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2.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1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6.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EDC" w:rsidRDefault="00E35EDC" w:rsidP="003C2E02">
      <w:pPr>
        <w:ind w:left="-4230"/>
      </w:pPr>
    </w:p>
    <w:p w:rsidR="003C2E02" w:rsidRDefault="003C2E02" w:rsidP="003C2E02">
      <w:pPr>
        <w:ind w:left="-4230"/>
      </w:pPr>
    </w:p>
    <w:p w:rsidR="003C2E02" w:rsidRDefault="003C2E02" w:rsidP="003C2E02">
      <w:pPr>
        <w:ind w:left="-4230"/>
      </w:pPr>
    </w:p>
    <w:p w:rsidR="003C2E02" w:rsidRDefault="003C2E02" w:rsidP="003C2E02">
      <w:pPr>
        <w:ind w:left="-4230"/>
      </w:pPr>
    </w:p>
    <w:p w:rsidR="003C2E02" w:rsidRDefault="003C2E02" w:rsidP="003C2E02">
      <w:pPr>
        <w:ind w:left="-4230"/>
      </w:pPr>
    </w:p>
    <w:p w:rsidR="00C04725" w:rsidRDefault="00C04725" w:rsidP="003C2E02">
      <w:pPr>
        <w:ind w:left="-4230"/>
      </w:pPr>
    </w:p>
    <w:p w:rsidR="00C04725" w:rsidRDefault="00C04725" w:rsidP="003C2E02">
      <w:pPr>
        <w:ind w:left="-4230"/>
      </w:pPr>
    </w:p>
    <w:p w:rsidR="00C04725" w:rsidRDefault="00C04725" w:rsidP="003C2E02">
      <w:pPr>
        <w:ind w:left="-4230"/>
      </w:pPr>
    </w:p>
    <w:p w:rsidR="00C04725" w:rsidRDefault="00C04725" w:rsidP="003C2E02">
      <w:pPr>
        <w:ind w:left="-4230"/>
      </w:pPr>
    </w:p>
    <w:p w:rsidR="00C04725" w:rsidRDefault="00C04725" w:rsidP="003C2E02">
      <w:pPr>
        <w:ind w:left="-4230"/>
      </w:pPr>
    </w:p>
    <w:p w:rsidR="00C04725" w:rsidRDefault="00C04725" w:rsidP="003C2E02">
      <w:pPr>
        <w:ind w:left="-4230"/>
      </w:pPr>
    </w:p>
    <w:p w:rsidR="003C2E02" w:rsidRDefault="003C2E02" w:rsidP="003C2E02">
      <w:pPr>
        <w:ind w:left="-4230"/>
      </w:pPr>
    </w:p>
    <w:p w:rsidR="003C2E02" w:rsidRDefault="003C2E02" w:rsidP="003C2E02">
      <w:pPr>
        <w:ind w:left="-4230"/>
      </w:pPr>
    </w:p>
    <w:p w:rsidR="003C2E02" w:rsidRDefault="00D31EFB" w:rsidP="00D31EFB">
      <w:pPr>
        <w:jc w:val="center"/>
      </w:pPr>
      <w:r w:rsidRPr="008932C4">
        <w:rPr>
          <w:noProof/>
        </w:rPr>
        <w:drawing>
          <wp:inline distT="0" distB="0" distL="0" distR="0">
            <wp:extent cx="4099060" cy="1263015"/>
            <wp:effectExtent l="0" t="0" r="0" b="0"/>
            <wp:docPr id="3" name="Picture 1" descr="http://www.ligreenguide.org/vendorimages/127628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greenguide.org/vendorimages/1276283961.JPG"/>
                    <pic:cNvPicPr>
                      <a:picLocks noChangeAspect="1" noChangeArrowheads="1"/>
                    </pic:cNvPicPr>
                  </pic:nvPicPr>
                  <pic:blipFill>
                    <a:blip r:embed="rId8" cstate="print"/>
                    <a:srcRect/>
                    <a:stretch>
                      <a:fillRect/>
                    </a:stretch>
                  </pic:blipFill>
                  <pic:spPr bwMode="auto">
                    <a:xfrm>
                      <a:off x="0" y="0"/>
                      <a:ext cx="4139461" cy="1275464"/>
                    </a:xfrm>
                    <a:prstGeom prst="rect">
                      <a:avLst/>
                    </a:prstGeom>
                    <a:noFill/>
                    <a:ln w="9525">
                      <a:noFill/>
                      <a:miter lim="800000"/>
                      <a:headEnd/>
                      <a:tailEnd/>
                    </a:ln>
                  </pic:spPr>
                </pic:pic>
              </a:graphicData>
            </a:graphic>
          </wp:inline>
        </w:drawing>
      </w:r>
    </w:p>
    <w:p w:rsidR="003C2E02" w:rsidRDefault="003C2E02" w:rsidP="003C2E02">
      <w:pPr>
        <w:ind w:left="-4230"/>
      </w:pPr>
    </w:p>
    <w:p w:rsidR="00D31EFB" w:rsidRDefault="00D31EFB" w:rsidP="003C2E02">
      <w:pPr>
        <w:ind w:left="-4230"/>
      </w:pPr>
    </w:p>
    <w:tbl>
      <w:tblPr>
        <w:tblStyle w:val="TableGrid"/>
        <w:tblW w:w="92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6"/>
      </w:tblGrid>
      <w:tr w:rsidR="00D31EFB" w:rsidRPr="00D31EFB" w:rsidTr="008D01F0">
        <w:trPr>
          <w:trHeight w:val="288"/>
          <w:jc w:val="center"/>
        </w:trPr>
        <w:tc>
          <w:tcPr>
            <w:tcW w:w="9216" w:type="dxa"/>
            <w:tcBorders>
              <w:top w:val="single" w:sz="12" w:space="0" w:color="000060"/>
            </w:tcBorders>
          </w:tcPr>
          <w:tbl>
            <w:tblPr>
              <w:tblStyle w:val="TableGrid"/>
              <w:tblW w:w="92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bottom w:w="58" w:type="dxa"/>
                <w:right w:w="115" w:type="dxa"/>
              </w:tblCellMar>
              <w:tblLook w:val="04A0" w:firstRow="1" w:lastRow="0" w:firstColumn="1" w:lastColumn="0" w:noHBand="0" w:noVBand="1"/>
            </w:tblPr>
            <w:tblGrid>
              <w:gridCol w:w="4158"/>
              <w:gridCol w:w="5040"/>
              <w:gridCol w:w="18"/>
            </w:tblGrid>
            <w:tr w:rsidR="001B22C7" w:rsidRPr="001B22C7" w:rsidTr="00D31EFB">
              <w:trPr>
                <w:trHeight w:val="1365"/>
                <w:jc w:val="center"/>
              </w:trPr>
              <w:tc>
                <w:tcPr>
                  <w:tcW w:w="9216" w:type="dxa"/>
                  <w:gridSpan w:val="3"/>
                  <w:tcBorders>
                    <w:top w:val="single" w:sz="12" w:space="0" w:color="003E74" w:themeColor="text2"/>
                    <w:bottom w:val="single" w:sz="6" w:space="0" w:color="4C789D" w:themeColor="accent1"/>
                  </w:tcBorders>
                </w:tcPr>
                <w:p w:rsidR="00157E2A" w:rsidRPr="001B22C7" w:rsidRDefault="00056B58" w:rsidP="00BD0E72">
                  <w:pPr>
                    <w:pStyle w:val="ReportTitle"/>
                    <w:spacing w:before="120" w:after="120"/>
                    <w:rPr>
                      <w:b/>
                      <w:spacing w:val="4"/>
                      <w:sz w:val="32"/>
                    </w:rPr>
                  </w:pPr>
                  <w:r>
                    <w:rPr>
                      <w:b/>
                      <w:spacing w:val="4"/>
                      <w:sz w:val="32"/>
                    </w:rPr>
                    <w:t>Avista Electric Conservation Potential Assessment Study</w:t>
                  </w:r>
                </w:p>
                <w:p w:rsidR="00D31EFB" w:rsidRPr="001B22C7" w:rsidRDefault="00354B11" w:rsidP="00BD0E72">
                  <w:pPr>
                    <w:pStyle w:val="ReportSubtitle"/>
                    <w:spacing w:before="120" w:after="120"/>
                    <w:rPr>
                      <w:sz w:val="28"/>
                      <w:highlight w:val="green"/>
                    </w:rPr>
                  </w:pPr>
                  <w:r>
                    <w:rPr>
                      <w:sz w:val="28"/>
                    </w:rPr>
                    <w:t>Final</w:t>
                  </w:r>
                  <w:r w:rsidR="00C302D7" w:rsidRPr="00C302D7">
                    <w:rPr>
                      <w:sz w:val="28"/>
                    </w:rPr>
                    <w:t xml:space="preserve"> Report</w:t>
                  </w:r>
                  <w:r w:rsidR="00D31EFB" w:rsidRPr="00EF25A7">
                    <w:rPr>
                      <w:sz w:val="28"/>
                    </w:rPr>
                    <w:t xml:space="preserve"> </w:t>
                  </w:r>
                </w:p>
              </w:tc>
            </w:tr>
            <w:tr w:rsidR="001B22C7" w:rsidRPr="001B22C7" w:rsidTr="00D31EFB">
              <w:trPr>
                <w:jc w:val="center"/>
              </w:trPr>
              <w:tc>
                <w:tcPr>
                  <w:tcW w:w="4158" w:type="dxa"/>
                  <w:tcBorders>
                    <w:top w:val="single" w:sz="6" w:space="0" w:color="4C789D" w:themeColor="accent1"/>
                  </w:tcBorders>
                  <w:vAlign w:val="center"/>
                </w:tcPr>
                <w:p w:rsidR="00D31EFB" w:rsidRPr="001B22C7" w:rsidRDefault="00D31EFB" w:rsidP="00D31EFB">
                  <w:pPr>
                    <w:pStyle w:val="ReportData"/>
                  </w:pPr>
                </w:p>
              </w:tc>
              <w:tc>
                <w:tcPr>
                  <w:tcW w:w="5058" w:type="dxa"/>
                  <w:gridSpan w:val="2"/>
                  <w:tcBorders>
                    <w:top w:val="single" w:sz="6" w:space="0" w:color="4C789D" w:themeColor="accent1"/>
                  </w:tcBorders>
                  <w:vAlign w:val="center"/>
                </w:tcPr>
                <w:p w:rsidR="00D31EFB" w:rsidRPr="001B22C7" w:rsidRDefault="00D31EFB" w:rsidP="00D31EFB">
                  <w:pPr>
                    <w:pStyle w:val="ReportData"/>
                  </w:pPr>
                </w:p>
              </w:tc>
            </w:tr>
            <w:tr w:rsidR="001B22C7" w:rsidRPr="001B22C7" w:rsidTr="00D31EFB">
              <w:trPr>
                <w:gridAfter w:val="1"/>
                <w:wAfter w:w="18" w:type="dxa"/>
                <w:trHeight w:val="793"/>
                <w:jc w:val="center"/>
              </w:trPr>
              <w:tc>
                <w:tcPr>
                  <w:tcW w:w="4158" w:type="dxa"/>
                  <w:vMerge w:val="restart"/>
                </w:tcPr>
                <w:p w:rsidR="00D31EFB" w:rsidRPr="001B22C7" w:rsidRDefault="00D31EFB" w:rsidP="00D31EFB">
                  <w:pPr>
                    <w:pStyle w:val="ReportData"/>
                  </w:pPr>
                  <w:r w:rsidRPr="001B22C7">
                    <w:t>Applied Energy Group, Inc.</w:t>
                  </w:r>
                </w:p>
                <w:p w:rsidR="00D31EFB" w:rsidRPr="001B22C7" w:rsidRDefault="00D31EFB" w:rsidP="00D31EFB">
                  <w:pPr>
                    <w:pStyle w:val="ReportData"/>
                  </w:pPr>
                  <w:r w:rsidRPr="001B22C7">
                    <w:t>500 Ygnacio Valley Road</w:t>
                  </w:r>
                </w:p>
                <w:p w:rsidR="00D31EFB" w:rsidRPr="001B22C7" w:rsidRDefault="00781FD7" w:rsidP="00D31EFB">
                  <w:pPr>
                    <w:pStyle w:val="ReportData"/>
                  </w:pPr>
                  <w:r>
                    <w:t>Suite 2</w:t>
                  </w:r>
                  <w:r w:rsidR="00D31EFB" w:rsidRPr="001B22C7">
                    <w:t>50</w:t>
                  </w:r>
                </w:p>
                <w:p w:rsidR="00D31EFB" w:rsidRPr="001B22C7" w:rsidRDefault="00D31EFB" w:rsidP="00D31EFB">
                  <w:pPr>
                    <w:pStyle w:val="ReportData"/>
                  </w:pPr>
                  <w:r w:rsidRPr="001B22C7">
                    <w:t>Walnut Creek, CA 94596</w:t>
                  </w:r>
                </w:p>
                <w:p w:rsidR="00D31EFB" w:rsidRPr="001B22C7" w:rsidRDefault="00D31EFB" w:rsidP="00D31EFB">
                  <w:pPr>
                    <w:pStyle w:val="ReportData"/>
                  </w:pPr>
                  <w:r w:rsidRPr="001B22C7">
                    <w:t xml:space="preserve">510.982.3525 </w:t>
                  </w:r>
                </w:p>
                <w:p w:rsidR="00D31EFB" w:rsidRPr="001B22C7" w:rsidRDefault="00D31EFB" w:rsidP="00D31EFB">
                  <w:pPr>
                    <w:pStyle w:val="ReportData"/>
                    <w:rPr>
                      <w:rFonts w:cs="Arial"/>
                    </w:rPr>
                  </w:pPr>
                  <w:r w:rsidRPr="001B22C7">
                    <w:t>www.appliedenergygroup.com</w:t>
                  </w:r>
                </w:p>
              </w:tc>
              <w:tc>
                <w:tcPr>
                  <w:tcW w:w="5040" w:type="dxa"/>
                </w:tcPr>
                <w:p w:rsidR="00D31EFB" w:rsidRPr="001B22C7" w:rsidRDefault="00056B58" w:rsidP="00157E2A">
                  <w:pPr>
                    <w:pStyle w:val="ReportData"/>
                    <w:spacing w:after="120"/>
                    <w:rPr>
                      <w:rFonts w:cs="Arial"/>
                    </w:rPr>
                  </w:pPr>
                  <w:r>
                    <w:rPr>
                      <w:i/>
                    </w:rPr>
                    <w:t>Avista Corporation</w:t>
                  </w:r>
                </w:p>
              </w:tc>
            </w:tr>
            <w:tr w:rsidR="001B22C7" w:rsidRPr="001B22C7" w:rsidTr="00D31EFB">
              <w:trPr>
                <w:gridAfter w:val="1"/>
                <w:wAfter w:w="18" w:type="dxa"/>
                <w:trHeight w:val="720"/>
                <w:jc w:val="center"/>
              </w:trPr>
              <w:tc>
                <w:tcPr>
                  <w:tcW w:w="4158" w:type="dxa"/>
                  <w:vMerge/>
                  <w:tcBorders>
                    <w:bottom w:val="single" w:sz="12" w:space="0" w:color="003E74" w:themeColor="text2"/>
                  </w:tcBorders>
                </w:tcPr>
                <w:p w:rsidR="00D31EFB" w:rsidRPr="001B22C7" w:rsidRDefault="00D31EFB" w:rsidP="00D31EFB">
                  <w:pPr>
                    <w:pStyle w:val="ReportData"/>
                  </w:pPr>
                </w:p>
              </w:tc>
              <w:tc>
                <w:tcPr>
                  <w:tcW w:w="5040" w:type="dxa"/>
                  <w:tcBorders>
                    <w:bottom w:val="single" w:sz="12" w:space="0" w:color="003E74" w:themeColor="text2"/>
                  </w:tcBorders>
                </w:tcPr>
                <w:p w:rsidR="00D31EFB" w:rsidRPr="001B22C7" w:rsidRDefault="00354B11" w:rsidP="00C302D7">
                  <w:pPr>
                    <w:pStyle w:val="ReportData"/>
                    <w:rPr>
                      <w:i/>
                    </w:rPr>
                  </w:pPr>
                  <w:r>
                    <w:t>July 22</w:t>
                  </w:r>
                  <w:r w:rsidR="00393DAE">
                    <w:t>, 2015</w:t>
                  </w:r>
                </w:p>
              </w:tc>
            </w:tr>
          </w:tbl>
          <w:p w:rsidR="00D31EFB" w:rsidRPr="00D31EFB" w:rsidRDefault="00D31EFB" w:rsidP="00D31EFB">
            <w:pPr>
              <w:pStyle w:val="ReportTitle"/>
              <w:rPr>
                <w:color w:val="002060"/>
              </w:rPr>
            </w:pPr>
          </w:p>
        </w:tc>
      </w:tr>
    </w:tbl>
    <w:p w:rsidR="003C2E02" w:rsidRDefault="003C2E02" w:rsidP="00D31EFB">
      <w:pPr>
        <w:pStyle w:val="BodyText"/>
      </w:pPr>
    </w:p>
    <w:p w:rsidR="003C2E02" w:rsidRDefault="003C2E02" w:rsidP="00D31EFB">
      <w:pPr>
        <w:pStyle w:val="BodyText"/>
      </w:pPr>
    </w:p>
    <w:p w:rsidR="003C2E02" w:rsidRDefault="003C2E02" w:rsidP="00D31EFB">
      <w:pPr>
        <w:pStyle w:val="BodyText"/>
      </w:pPr>
    </w:p>
    <w:p w:rsidR="00C81F15" w:rsidRDefault="00C81F15" w:rsidP="00D31EFB">
      <w:pPr>
        <w:pStyle w:val="BodyText"/>
      </w:pPr>
    </w:p>
    <w:p w:rsidR="00C81F15" w:rsidRDefault="00C81F15" w:rsidP="00D31EFB">
      <w:pPr>
        <w:pStyle w:val="BodyText"/>
      </w:pPr>
    </w:p>
    <w:p w:rsidR="00C81F15" w:rsidRDefault="00C81F15" w:rsidP="00D31EFB">
      <w:pPr>
        <w:pStyle w:val="BodyText"/>
      </w:pPr>
    </w:p>
    <w:p w:rsidR="00C81F15" w:rsidRDefault="00C81F15" w:rsidP="00D31EFB">
      <w:pPr>
        <w:pStyle w:val="BodyText"/>
      </w:pPr>
    </w:p>
    <w:p w:rsidR="00C81F15" w:rsidRDefault="00C81F15" w:rsidP="00D31EFB">
      <w:pPr>
        <w:pStyle w:val="BodyText"/>
      </w:pPr>
    </w:p>
    <w:p w:rsidR="007D5CF0" w:rsidRDefault="007D5CF0" w:rsidP="00D31EFB">
      <w:pPr>
        <w:pStyle w:val="BodyText"/>
        <w:sectPr w:rsidR="007D5CF0" w:rsidSect="00170C8B">
          <w:headerReference w:type="default" r:id="rId9"/>
          <w:footerReference w:type="default" r:id="rId10"/>
          <w:headerReference w:type="first" r:id="rId11"/>
          <w:footerReference w:type="first" r:id="rId12"/>
          <w:type w:val="oddPage"/>
          <w:pgSz w:w="12240" w:h="15840" w:code="1"/>
          <w:pgMar w:top="1152" w:right="1440" w:bottom="1152" w:left="1800" w:header="720" w:footer="720" w:gutter="0"/>
          <w:cols w:space="720"/>
          <w:titlePg/>
          <w:docGrid w:linePitch="231"/>
        </w:sectPr>
      </w:pPr>
    </w:p>
    <w:p w:rsidR="00C81F15" w:rsidRDefault="00C81F15" w:rsidP="00D31EFB">
      <w:pPr>
        <w:pStyle w:val="BodyText"/>
      </w:pPr>
    </w:p>
    <w:p w:rsidR="00C81F15" w:rsidRDefault="00C81F15" w:rsidP="00D31EFB">
      <w:pPr>
        <w:pStyle w:val="BodyText"/>
      </w:pPr>
    </w:p>
    <w:p w:rsidR="00C81F15" w:rsidRDefault="00C81F15" w:rsidP="00D31EFB">
      <w:pPr>
        <w:pStyle w:val="BodyText"/>
      </w:pPr>
    </w:p>
    <w:p w:rsidR="00C81F15" w:rsidRDefault="00C81F15" w:rsidP="00D31EFB">
      <w:pPr>
        <w:pStyle w:val="BodyText"/>
      </w:pPr>
    </w:p>
    <w:p w:rsidR="00C81F15" w:rsidRDefault="00C81F15" w:rsidP="00D31EFB">
      <w:pPr>
        <w:pStyle w:val="BodyText"/>
      </w:pPr>
    </w:p>
    <w:p w:rsidR="00524158" w:rsidRDefault="00524158" w:rsidP="005D54E3">
      <w:pPr>
        <w:pStyle w:val="BodyText"/>
        <w:spacing w:before="1920"/>
      </w:pPr>
    </w:p>
    <w:p w:rsidR="00170FF1" w:rsidRDefault="00170FF1" w:rsidP="005D54E3">
      <w:pPr>
        <w:pStyle w:val="BodyText"/>
        <w:spacing w:before="1920"/>
      </w:pPr>
    </w:p>
    <w:p w:rsidR="005D54E3" w:rsidRDefault="005D54E3" w:rsidP="005D54E3">
      <w:pPr>
        <w:pStyle w:val="BodyText"/>
      </w:pPr>
    </w:p>
    <w:p w:rsidR="005D54E3" w:rsidRDefault="005D54E3" w:rsidP="005D54E3">
      <w:pPr>
        <w:pStyle w:val="BodyText"/>
      </w:pPr>
    </w:p>
    <w:p w:rsidR="005D54E3" w:rsidRDefault="005D54E3" w:rsidP="005D54E3">
      <w:pPr>
        <w:pStyle w:val="BodyText"/>
      </w:pPr>
    </w:p>
    <w:p w:rsidR="005D54E3" w:rsidRDefault="005D54E3" w:rsidP="005D54E3">
      <w:pPr>
        <w:pStyle w:val="BodyText"/>
      </w:pPr>
    </w:p>
    <w:p w:rsidR="00170FF1" w:rsidRDefault="00170FF1" w:rsidP="005D54E3">
      <w:pPr>
        <w:pStyle w:val="BodyText"/>
      </w:pPr>
    </w:p>
    <w:p w:rsidR="00170FF1" w:rsidRDefault="00170FF1" w:rsidP="005D54E3">
      <w:pPr>
        <w:pStyle w:val="BodyText"/>
      </w:pPr>
    </w:p>
    <w:p w:rsidR="005D54E3" w:rsidRDefault="005D54E3" w:rsidP="005D54E3">
      <w:pPr>
        <w:pStyle w:val="BodyText"/>
      </w:pPr>
    </w:p>
    <w:p w:rsidR="00265004" w:rsidRPr="005D54E3" w:rsidRDefault="00C61D7A" w:rsidP="005D54E3">
      <w:pPr>
        <w:pStyle w:val="BodyText"/>
      </w:pPr>
      <w:r w:rsidRPr="005D54E3">
        <w:t>This report was prepared by</w:t>
      </w:r>
    </w:p>
    <w:p w:rsidR="005D54E3" w:rsidRDefault="00335C0D" w:rsidP="005D54E3">
      <w:pPr>
        <w:pStyle w:val="BodyText"/>
      </w:pPr>
      <w:r>
        <w:t>Applied Energy Group, Inc</w:t>
      </w:r>
      <w:r w:rsidR="003F7D8B">
        <w:t xml:space="preserve">. </w:t>
      </w:r>
      <w:r w:rsidR="00D97C75" w:rsidRPr="006B72CD">
        <w:br/>
      </w:r>
      <w:r w:rsidR="00E25B79" w:rsidRPr="006B72CD">
        <w:t>500 Ygnacio Valley</w:t>
      </w:r>
      <w:r w:rsidR="00C61D7A" w:rsidRPr="006B72CD">
        <w:t xml:space="preserve"> Blvd., Suite </w:t>
      </w:r>
      <w:r w:rsidR="00BD1F69">
        <w:t>25</w:t>
      </w:r>
      <w:r w:rsidR="00E25B79" w:rsidRPr="006B72CD">
        <w:t>0</w:t>
      </w:r>
      <w:r w:rsidR="00C61D7A" w:rsidRPr="006B72CD">
        <w:br/>
      </w:r>
      <w:r w:rsidR="00E25B79" w:rsidRPr="006B72CD">
        <w:t>Walnut Creek</w:t>
      </w:r>
      <w:r w:rsidR="006B72CD" w:rsidRPr="006B72CD">
        <w:t xml:space="preserve">, CA </w:t>
      </w:r>
      <w:r w:rsidR="00C61D7A" w:rsidRPr="006B72CD">
        <w:t>945</w:t>
      </w:r>
      <w:r w:rsidR="00E25B79" w:rsidRPr="006B72CD">
        <w:t>96</w:t>
      </w:r>
    </w:p>
    <w:p w:rsidR="00170FF1" w:rsidRDefault="00C61D7A" w:rsidP="00D97C75">
      <w:pPr>
        <w:pStyle w:val="BodyText"/>
        <w:spacing w:after="0"/>
      </w:pPr>
      <w:r w:rsidRPr="00D70EC0">
        <w:br/>
      </w:r>
      <w:r w:rsidR="00C55AF2" w:rsidRPr="00157E2A">
        <w:t xml:space="preserve">Project Director: </w:t>
      </w:r>
      <w:r w:rsidR="00157E2A" w:rsidRPr="00157E2A">
        <w:t xml:space="preserve">I. Rohmund </w:t>
      </w:r>
      <w:r w:rsidR="00DF6803" w:rsidRPr="00157E2A">
        <w:br/>
      </w:r>
      <w:r w:rsidR="00C55AF2" w:rsidRPr="00157E2A">
        <w:t xml:space="preserve">Project Manager: </w:t>
      </w:r>
      <w:r w:rsidR="001914B5">
        <w:t>B. Kester</w:t>
      </w:r>
      <w:r w:rsidR="001B22C7">
        <w:br/>
      </w:r>
      <w:r w:rsidR="001914B5">
        <w:t>F. Nguyen</w:t>
      </w:r>
    </w:p>
    <w:p w:rsidR="001914B5" w:rsidRPr="00157E2A" w:rsidRDefault="001914B5" w:rsidP="00D97C75">
      <w:pPr>
        <w:pStyle w:val="BodyText"/>
        <w:spacing w:after="0"/>
      </w:pPr>
      <w:r>
        <w:t>S. Yoshida</w:t>
      </w:r>
    </w:p>
    <w:p w:rsidR="00157E2A" w:rsidRPr="00157E2A" w:rsidRDefault="00157E2A" w:rsidP="00D97C75">
      <w:pPr>
        <w:pStyle w:val="BodyText"/>
        <w:spacing w:after="0"/>
      </w:pPr>
    </w:p>
    <w:p w:rsidR="00157E2A" w:rsidRPr="00157E2A" w:rsidRDefault="00157E2A" w:rsidP="00D97C75">
      <w:pPr>
        <w:pStyle w:val="BodyText"/>
        <w:spacing w:after="0"/>
      </w:pPr>
    </w:p>
    <w:p w:rsidR="00426D99" w:rsidRDefault="00426D99" w:rsidP="00D97C75">
      <w:pPr>
        <w:pStyle w:val="BodyText"/>
        <w:spacing w:after="0"/>
      </w:pPr>
    </w:p>
    <w:p w:rsidR="00157E2A" w:rsidRDefault="00157E2A" w:rsidP="00D97C75">
      <w:pPr>
        <w:pStyle w:val="BodyText"/>
        <w:spacing w:after="0"/>
        <w:rPr>
          <w:highlight w:val="green"/>
        </w:rPr>
      </w:pPr>
    </w:p>
    <w:p w:rsidR="007D5CF0" w:rsidRDefault="007D5CF0" w:rsidP="008554E6">
      <w:pPr>
        <w:pStyle w:val="BodyText"/>
      </w:pPr>
    </w:p>
    <w:p w:rsidR="007D5CF0" w:rsidRDefault="007D5CF0" w:rsidP="008554E6">
      <w:pPr>
        <w:pStyle w:val="BodyText"/>
        <w:sectPr w:rsidR="007D5CF0" w:rsidSect="00FE613D">
          <w:headerReference w:type="first" r:id="rId13"/>
          <w:footerReference w:type="first" r:id="rId14"/>
          <w:pgSz w:w="12240" w:h="15840" w:code="1"/>
          <w:pgMar w:top="1152" w:right="1440" w:bottom="1152" w:left="1800" w:header="720" w:footer="720" w:gutter="0"/>
          <w:pgNumType w:fmt="lowerRoman"/>
          <w:cols w:space="720"/>
          <w:titlePg/>
          <w:docGrid w:linePitch="272"/>
        </w:sectPr>
      </w:pPr>
    </w:p>
    <w:p w:rsidR="00B3398E" w:rsidRPr="00433CA8" w:rsidRDefault="00170FF1" w:rsidP="00B3398E">
      <w:pPr>
        <w:pStyle w:val="ContentsTitle"/>
      </w:pPr>
      <w:r>
        <w:lastRenderedPageBreak/>
        <w:t>C</w:t>
      </w:r>
      <w:r w:rsidR="00B3398E">
        <w:t>ontents</w:t>
      </w:r>
    </w:p>
    <w:p w:rsidR="00170CF8" w:rsidRDefault="00893E3D">
      <w:pPr>
        <w:pStyle w:val="TOC1"/>
        <w:rPr>
          <w:rFonts w:asciiTheme="minorHAnsi" w:eastAsiaTheme="minorEastAsia" w:hAnsiTheme="minorHAnsi" w:cstheme="minorBidi"/>
          <w:b w:val="0"/>
          <w:noProof/>
          <w:sz w:val="22"/>
          <w:szCs w:val="22"/>
        </w:rPr>
      </w:pPr>
      <w:r>
        <w:fldChar w:fldCharType="begin"/>
      </w:r>
      <w:r w:rsidR="00765034">
        <w:instrText xml:space="preserve"> TOC \o "3-3" \h \z \t "Heading 2,2,Chapter Title,1,Appendix Title,6,ES Title,7" </w:instrText>
      </w:r>
      <w:r>
        <w:fldChar w:fldCharType="separate"/>
      </w:r>
      <w:hyperlink w:anchor="_Toc424192606" w:history="1">
        <w:r w:rsidR="00170CF8" w:rsidRPr="004563BD">
          <w:rPr>
            <w:rStyle w:val="Hyperlink"/>
            <w:noProof/>
          </w:rPr>
          <w:t>Introduction</w:t>
        </w:r>
        <w:r w:rsidR="00170CF8">
          <w:rPr>
            <w:noProof/>
            <w:webHidden/>
          </w:rPr>
          <w:tab/>
        </w:r>
        <w:r>
          <w:rPr>
            <w:noProof/>
            <w:webHidden/>
          </w:rPr>
          <w:fldChar w:fldCharType="begin"/>
        </w:r>
        <w:r w:rsidR="00170CF8">
          <w:rPr>
            <w:noProof/>
            <w:webHidden/>
          </w:rPr>
          <w:instrText xml:space="preserve"> PAGEREF _Toc424192606 \h </w:instrText>
        </w:r>
        <w:r>
          <w:rPr>
            <w:noProof/>
            <w:webHidden/>
          </w:rPr>
        </w:r>
        <w:r>
          <w:rPr>
            <w:noProof/>
            <w:webHidden/>
          </w:rPr>
          <w:fldChar w:fldCharType="separate"/>
        </w:r>
        <w:r w:rsidR="00B2652C">
          <w:rPr>
            <w:noProof/>
            <w:webHidden/>
          </w:rPr>
          <w:t>1</w:t>
        </w:r>
        <w:r>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07" w:history="1">
        <w:r w:rsidR="00170CF8" w:rsidRPr="004563BD">
          <w:rPr>
            <w:rStyle w:val="Hyperlink"/>
            <w:noProof/>
          </w:rPr>
          <w:t>Abbreviations and Acronyms</w:t>
        </w:r>
        <w:r w:rsidR="00170CF8">
          <w:rPr>
            <w:noProof/>
            <w:webHidden/>
          </w:rPr>
          <w:tab/>
        </w:r>
        <w:r w:rsidR="00893E3D">
          <w:rPr>
            <w:noProof/>
            <w:webHidden/>
          </w:rPr>
          <w:fldChar w:fldCharType="begin"/>
        </w:r>
        <w:r w:rsidR="00170CF8">
          <w:rPr>
            <w:noProof/>
            <w:webHidden/>
          </w:rPr>
          <w:instrText xml:space="preserve"> PAGEREF _Toc424192607 \h </w:instrText>
        </w:r>
        <w:r w:rsidR="00893E3D">
          <w:rPr>
            <w:noProof/>
            <w:webHidden/>
          </w:rPr>
        </w:r>
        <w:r w:rsidR="00893E3D">
          <w:rPr>
            <w:noProof/>
            <w:webHidden/>
          </w:rPr>
          <w:fldChar w:fldCharType="separate"/>
        </w:r>
        <w:r w:rsidR="00B2652C">
          <w:rPr>
            <w:noProof/>
            <w:webHidden/>
          </w:rPr>
          <w:t>2</w:t>
        </w:r>
        <w:r w:rsidR="00893E3D">
          <w:rPr>
            <w:noProof/>
            <w:webHidden/>
          </w:rPr>
          <w:fldChar w:fldCharType="end"/>
        </w:r>
      </w:hyperlink>
    </w:p>
    <w:p w:rsidR="00170CF8" w:rsidRDefault="00512CD6">
      <w:pPr>
        <w:pStyle w:val="TOC1"/>
        <w:rPr>
          <w:rFonts w:asciiTheme="minorHAnsi" w:eastAsiaTheme="minorEastAsia" w:hAnsiTheme="minorHAnsi" w:cstheme="minorBidi"/>
          <w:b w:val="0"/>
          <w:noProof/>
          <w:sz w:val="22"/>
          <w:szCs w:val="22"/>
        </w:rPr>
      </w:pPr>
      <w:hyperlink w:anchor="_Toc424192608" w:history="1">
        <w:r w:rsidR="00170CF8" w:rsidRPr="004563BD">
          <w:rPr>
            <w:rStyle w:val="Hyperlink"/>
            <w:noProof/>
          </w:rPr>
          <w:t>Analysis Approach and Data Development</w:t>
        </w:r>
        <w:r w:rsidR="00170CF8">
          <w:rPr>
            <w:noProof/>
            <w:webHidden/>
          </w:rPr>
          <w:tab/>
        </w:r>
        <w:r w:rsidR="00893E3D">
          <w:rPr>
            <w:noProof/>
            <w:webHidden/>
          </w:rPr>
          <w:fldChar w:fldCharType="begin"/>
        </w:r>
        <w:r w:rsidR="00170CF8">
          <w:rPr>
            <w:noProof/>
            <w:webHidden/>
          </w:rPr>
          <w:instrText xml:space="preserve"> PAGEREF _Toc424192608 \h </w:instrText>
        </w:r>
        <w:r w:rsidR="00893E3D">
          <w:rPr>
            <w:noProof/>
            <w:webHidden/>
          </w:rPr>
        </w:r>
        <w:r w:rsidR="00893E3D">
          <w:rPr>
            <w:noProof/>
            <w:webHidden/>
          </w:rPr>
          <w:fldChar w:fldCharType="separate"/>
        </w:r>
        <w:r w:rsidR="00B2652C">
          <w:rPr>
            <w:noProof/>
            <w:webHidden/>
          </w:rPr>
          <w:t>4</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09" w:history="1">
        <w:r w:rsidR="00170CF8" w:rsidRPr="004563BD">
          <w:rPr>
            <w:rStyle w:val="Hyperlink"/>
            <w:noProof/>
          </w:rPr>
          <w:t>Overview of Analysis Approach</w:t>
        </w:r>
        <w:r w:rsidR="00170CF8">
          <w:rPr>
            <w:noProof/>
            <w:webHidden/>
          </w:rPr>
          <w:tab/>
        </w:r>
        <w:r w:rsidR="00893E3D">
          <w:rPr>
            <w:noProof/>
            <w:webHidden/>
          </w:rPr>
          <w:fldChar w:fldCharType="begin"/>
        </w:r>
        <w:r w:rsidR="00170CF8">
          <w:rPr>
            <w:noProof/>
            <w:webHidden/>
          </w:rPr>
          <w:instrText xml:space="preserve"> PAGEREF _Toc424192609 \h </w:instrText>
        </w:r>
        <w:r w:rsidR="00893E3D">
          <w:rPr>
            <w:noProof/>
            <w:webHidden/>
          </w:rPr>
        </w:r>
        <w:r w:rsidR="00893E3D">
          <w:rPr>
            <w:noProof/>
            <w:webHidden/>
          </w:rPr>
          <w:fldChar w:fldCharType="separate"/>
        </w:r>
        <w:r w:rsidR="00B2652C">
          <w:rPr>
            <w:noProof/>
            <w:webHidden/>
          </w:rPr>
          <w:t>4</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10" w:history="1">
        <w:r w:rsidR="00170CF8" w:rsidRPr="004563BD">
          <w:rPr>
            <w:rStyle w:val="Hyperlink"/>
            <w:noProof/>
          </w:rPr>
          <w:t>LoadMAP Model</w:t>
        </w:r>
        <w:r w:rsidR="00170CF8">
          <w:rPr>
            <w:noProof/>
            <w:webHidden/>
          </w:rPr>
          <w:tab/>
        </w:r>
        <w:r w:rsidR="00893E3D">
          <w:rPr>
            <w:noProof/>
            <w:webHidden/>
          </w:rPr>
          <w:fldChar w:fldCharType="begin"/>
        </w:r>
        <w:r w:rsidR="00170CF8">
          <w:rPr>
            <w:noProof/>
            <w:webHidden/>
          </w:rPr>
          <w:instrText xml:space="preserve"> PAGEREF _Toc424192610 \h </w:instrText>
        </w:r>
        <w:r w:rsidR="00893E3D">
          <w:rPr>
            <w:noProof/>
            <w:webHidden/>
          </w:rPr>
        </w:r>
        <w:r w:rsidR="00893E3D">
          <w:rPr>
            <w:noProof/>
            <w:webHidden/>
          </w:rPr>
          <w:fldChar w:fldCharType="separate"/>
        </w:r>
        <w:r w:rsidR="00B2652C">
          <w:rPr>
            <w:noProof/>
            <w:webHidden/>
          </w:rPr>
          <w:t>4</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11" w:history="1">
        <w:r w:rsidR="00170CF8" w:rsidRPr="004563BD">
          <w:rPr>
            <w:rStyle w:val="Hyperlink"/>
            <w:noProof/>
          </w:rPr>
          <w:t>Definitions of Potential</w:t>
        </w:r>
        <w:r w:rsidR="00170CF8">
          <w:rPr>
            <w:noProof/>
            <w:webHidden/>
          </w:rPr>
          <w:tab/>
        </w:r>
        <w:r w:rsidR="00893E3D">
          <w:rPr>
            <w:noProof/>
            <w:webHidden/>
          </w:rPr>
          <w:fldChar w:fldCharType="begin"/>
        </w:r>
        <w:r w:rsidR="00170CF8">
          <w:rPr>
            <w:noProof/>
            <w:webHidden/>
          </w:rPr>
          <w:instrText xml:space="preserve"> PAGEREF _Toc424192611 \h </w:instrText>
        </w:r>
        <w:r w:rsidR="00893E3D">
          <w:rPr>
            <w:noProof/>
            <w:webHidden/>
          </w:rPr>
        </w:r>
        <w:r w:rsidR="00893E3D">
          <w:rPr>
            <w:noProof/>
            <w:webHidden/>
          </w:rPr>
          <w:fldChar w:fldCharType="separate"/>
        </w:r>
        <w:r w:rsidR="00B2652C">
          <w:rPr>
            <w:noProof/>
            <w:webHidden/>
          </w:rPr>
          <w:t>6</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12" w:history="1">
        <w:r w:rsidR="00170CF8" w:rsidRPr="004563BD">
          <w:rPr>
            <w:rStyle w:val="Hyperlink"/>
            <w:noProof/>
          </w:rPr>
          <w:t>Market Characterization</w:t>
        </w:r>
        <w:r w:rsidR="00170CF8">
          <w:rPr>
            <w:noProof/>
            <w:webHidden/>
          </w:rPr>
          <w:tab/>
        </w:r>
        <w:r w:rsidR="00893E3D">
          <w:rPr>
            <w:noProof/>
            <w:webHidden/>
          </w:rPr>
          <w:fldChar w:fldCharType="begin"/>
        </w:r>
        <w:r w:rsidR="00170CF8">
          <w:rPr>
            <w:noProof/>
            <w:webHidden/>
          </w:rPr>
          <w:instrText xml:space="preserve"> PAGEREF _Toc424192612 \h </w:instrText>
        </w:r>
        <w:r w:rsidR="00893E3D">
          <w:rPr>
            <w:noProof/>
            <w:webHidden/>
          </w:rPr>
        </w:r>
        <w:r w:rsidR="00893E3D">
          <w:rPr>
            <w:noProof/>
            <w:webHidden/>
          </w:rPr>
          <w:fldChar w:fldCharType="separate"/>
        </w:r>
        <w:r w:rsidR="00B2652C">
          <w:rPr>
            <w:noProof/>
            <w:webHidden/>
          </w:rPr>
          <w:t>6</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13" w:history="1">
        <w:r w:rsidR="00170CF8" w:rsidRPr="004563BD">
          <w:rPr>
            <w:rStyle w:val="Hyperlink"/>
            <w:noProof/>
          </w:rPr>
          <w:t>Baseline Projection</w:t>
        </w:r>
        <w:r w:rsidR="00170CF8">
          <w:rPr>
            <w:noProof/>
            <w:webHidden/>
          </w:rPr>
          <w:tab/>
        </w:r>
        <w:r w:rsidR="00893E3D">
          <w:rPr>
            <w:noProof/>
            <w:webHidden/>
          </w:rPr>
          <w:fldChar w:fldCharType="begin"/>
        </w:r>
        <w:r w:rsidR="00170CF8">
          <w:rPr>
            <w:noProof/>
            <w:webHidden/>
          </w:rPr>
          <w:instrText xml:space="preserve"> PAGEREF _Toc424192613 \h </w:instrText>
        </w:r>
        <w:r w:rsidR="00893E3D">
          <w:rPr>
            <w:noProof/>
            <w:webHidden/>
          </w:rPr>
        </w:r>
        <w:r w:rsidR="00893E3D">
          <w:rPr>
            <w:noProof/>
            <w:webHidden/>
          </w:rPr>
          <w:fldChar w:fldCharType="separate"/>
        </w:r>
        <w:r w:rsidR="00B2652C">
          <w:rPr>
            <w:noProof/>
            <w:webHidden/>
          </w:rPr>
          <w:t>8</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14" w:history="1">
        <w:r w:rsidR="00170CF8" w:rsidRPr="004563BD">
          <w:rPr>
            <w:rStyle w:val="Hyperlink"/>
            <w:noProof/>
          </w:rPr>
          <w:t>Conservation Measure Analysis</w:t>
        </w:r>
        <w:r w:rsidR="00170CF8">
          <w:rPr>
            <w:noProof/>
            <w:webHidden/>
          </w:rPr>
          <w:tab/>
        </w:r>
        <w:r w:rsidR="00893E3D">
          <w:rPr>
            <w:noProof/>
            <w:webHidden/>
          </w:rPr>
          <w:fldChar w:fldCharType="begin"/>
        </w:r>
        <w:r w:rsidR="00170CF8">
          <w:rPr>
            <w:noProof/>
            <w:webHidden/>
          </w:rPr>
          <w:instrText xml:space="preserve"> PAGEREF _Toc424192614 \h </w:instrText>
        </w:r>
        <w:r w:rsidR="00893E3D">
          <w:rPr>
            <w:noProof/>
            <w:webHidden/>
          </w:rPr>
        </w:r>
        <w:r w:rsidR="00893E3D">
          <w:rPr>
            <w:noProof/>
            <w:webHidden/>
          </w:rPr>
          <w:fldChar w:fldCharType="separate"/>
        </w:r>
        <w:r w:rsidR="00B2652C">
          <w:rPr>
            <w:noProof/>
            <w:webHidden/>
          </w:rPr>
          <w:t>8</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15" w:history="1">
        <w:r w:rsidR="00170CF8" w:rsidRPr="004563BD">
          <w:rPr>
            <w:rStyle w:val="Hyperlink"/>
            <w:noProof/>
          </w:rPr>
          <w:t>Conservation Potential</w:t>
        </w:r>
        <w:r w:rsidR="00170CF8">
          <w:rPr>
            <w:noProof/>
            <w:webHidden/>
          </w:rPr>
          <w:tab/>
        </w:r>
        <w:r w:rsidR="00893E3D">
          <w:rPr>
            <w:noProof/>
            <w:webHidden/>
          </w:rPr>
          <w:fldChar w:fldCharType="begin"/>
        </w:r>
        <w:r w:rsidR="00170CF8">
          <w:rPr>
            <w:noProof/>
            <w:webHidden/>
          </w:rPr>
          <w:instrText xml:space="preserve"> PAGEREF _Toc424192615 \h </w:instrText>
        </w:r>
        <w:r w:rsidR="00893E3D">
          <w:rPr>
            <w:noProof/>
            <w:webHidden/>
          </w:rPr>
        </w:r>
        <w:r w:rsidR="00893E3D">
          <w:rPr>
            <w:noProof/>
            <w:webHidden/>
          </w:rPr>
          <w:fldChar w:fldCharType="separate"/>
        </w:r>
        <w:r w:rsidR="00B2652C">
          <w:rPr>
            <w:noProof/>
            <w:webHidden/>
          </w:rPr>
          <w:t>12</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16" w:history="1">
        <w:r w:rsidR="00170CF8" w:rsidRPr="004563BD">
          <w:rPr>
            <w:rStyle w:val="Hyperlink"/>
            <w:noProof/>
          </w:rPr>
          <w:t>Data Development</w:t>
        </w:r>
        <w:r w:rsidR="00170CF8">
          <w:rPr>
            <w:noProof/>
            <w:webHidden/>
          </w:rPr>
          <w:tab/>
        </w:r>
        <w:r w:rsidR="00893E3D">
          <w:rPr>
            <w:noProof/>
            <w:webHidden/>
          </w:rPr>
          <w:fldChar w:fldCharType="begin"/>
        </w:r>
        <w:r w:rsidR="00170CF8">
          <w:rPr>
            <w:noProof/>
            <w:webHidden/>
          </w:rPr>
          <w:instrText xml:space="preserve"> PAGEREF _Toc424192616 \h </w:instrText>
        </w:r>
        <w:r w:rsidR="00893E3D">
          <w:rPr>
            <w:noProof/>
            <w:webHidden/>
          </w:rPr>
        </w:r>
        <w:r w:rsidR="00893E3D">
          <w:rPr>
            <w:noProof/>
            <w:webHidden/>
          </w:rPr>
          <w:fldChar w:fldCharType="separate"/>
        </w:r>
        <w:r w:rsidR="00B2652C">
          <w:rPr>
            <w:noProof/>
            <w:webHidden/>
          </w:rPr>
          <w:t>13</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17" w:history="1">
        <w:r w:rsidR="00170CF8" w:rsidRPr="004563BD">
          <w:rPr>
            <w:rStyle w:val="Hyperlink"/>
            <w:noProof/>
          </w:rPr>
          <w:t>Data Sources</w:t>
        </w:r>
        <w:r w:rsidR="00170CF8">
          <w:rPr>
            <w:noProof/>
            <w:webHidden/>
          </w:rPr>
          <w:tab/>
        </w:r>
        <w:r w:rsidR="00893E3D">
          <w:rPr>
            <w:noProof/>
            <w:webHidden/>
          </w:rPr>
          <w:fldChar w:fldCharType="begin"/>
        </w:r>
        <w:r w:rsidR="00170CF8">
          <w:rPr>
            <w:noProof/>
            <w:webHidden/>
          </w:rPr>
          <w:instrText xml:space="preserve"> PAGEREF _Toc424192617 \h </w:instrText>
        </w:r>
        <w:r w:rsidR="00893E3D">
          <w:rPr>
            <w:noProof/>
            <w:webHidden/>
          </w:rPr>
        </w:r>
        <w:r w:rsidR="00893E3D">
          <w:rPr>
            <w:noProof/>
            <w:webHidden/>
          </w:rPr>
          <w:fldChar w:fldCharType="separate"/>
        </w:r>
        <w:r w:rsidR="00B2652C">
          <w:rPr>
            <w:noProof/>
            <w:webHidden/>
          </w:rPr>
          <w:t>13</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18" w:history="1">
        <w:r w:rsidR="00170CF8" w:rsidRPr="004563BD">
          <w:rPr>
            <w:rStyle w:val="Hyperlink"/>
            <w:noProof/>
          </w:rPr>
          <w:t>Data Application</w:t>
        </w:r>
        <w:r w:rsidR="00170CF8">
          <w:rPr>
            <w:noProof/>
            <w:webHidden/>
          </w:rPr>
          <w:tab/>
        </w:r>
        <w:r w:rsidR="00893E3D">
          <w:rPr>
            <w:noProof/>
            <w:webHidden/>
          </w:rPr>
          <w:fldChar w:fldCharType="begin"/>
        </w:r>
        <w:r w:rsidR="00170CF8">
          <w:rPr>
            <w:noProof/>
            <w:webHidden/>
          </w:rPr>
          <w:instrText xml:space="preserve"> PAGEREF _Toc424192618 \h </w:instrText>
        </w:r>
        <w:r w:rsidR="00893E3D">
          <w:rPr>
            <w:noProof/>
            <w:webHidden/>
          </w:rPr>
        </w:r>
        <w:r w:rsidR="00893E3D">
          <w:rPr>
            <w:noProof/>
            <w:webHidden/>
          </w:rPr>
          <w:fldChar w:fldCharType="separate"/>
        </w:r>
        <w:r w:rsidR="00B2652C">
          <w:rPr>
            <w:noProof/>
            <w:webHidden/>
          </w:rPr>
          <w:t>15</w:t>
        </w:r>
        <w:r w:rsidR="00893E3D">
          <w:rPr>
            <w:noProof/>
            <w:webHidden/>
          </w:rPr>
          <w:fldChar w:fldCharType="end"/>
        </w:r>
      </w:hyperlink>
    </w:p>
    <w:p w:rsidR="00170CF8" w:rsidRDefault="00512CD6">
      <w:pPr>
        <w:pStyle w:val="TOC1"/>
        <w:rPr>
          <w:rFonts w:asciiTheme="minorHAnsi" w:eastAsiaTheme="minorEastAsia" w:hAnsiTheme="minorHAnsi" w:cstheme="minorBidi"/>
          <w:b w:val="0"/>
          <w:noProof/>
          <w:sz w:val="22"/>
          <w:szCs w:val="22"/>
        </w:rPr>
      </w:pPr>
      <w:hyperlink w:anchor="_Toc424192619" w:history="1">
        <w:r w:rsidR="00170CF8" w:rsidRPr="004563BD">
          <w:rPr>
            <w:rStyle w:val="Hyperlink"/>
            <w:noProof/>
          </w:rPr>
          <w:t>Market Characterization and Market Profiles</w:t>
        </w:r>
        <w:r w:rsidR="00170CF8">
          <w:rPr>
            <w:noProof/>
            <w:webHidden/>
          </w:rPr>
          <w:tab/>
        </w:r>
        <w:r w:rsidR="00893E3D">
          <w:rPr>
            <w:noProof/>
            <w:webHidden/>
          </w:rPr>
          <w:fldChar w:fldCharType="begin"/>
        </w:r>
        <w:r w:rsidR="00170CF8">
          <w:rPr>
            <w:noProof/>
            <w:webHidden/>
          </w:rPr>
          <w:instrText xml:space="preserve"> PAGEREF _Toc424192619 \h </w:instrText>
        </w:r>
        <w:r w:rsidR="00893E3D">
          <w:rPr>
            <w:noProof/>
            <w:webHidden/>
          </w:rPr>
        </w:r>
        <w:r w:rsidR="00893E3D">
          <w:rPr>
            <w:noProof/>
            <w:webHidden/>
          </w:rPr>
          <w:fldChar w:fldCharType="separate"/>
        </w:r>
        <w:r w:rsidR="00B2652C">
          <w:rPr>
            <w:noProof/>
            <w:webHidden/>
          </w:rPr>
          <w:t>23</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20" w:history="1">
        <w:r w:rsidR="00170CF8" w:rsidRPr="004563BD">
          <w:rPr>
            <w:rStyle w:val="Hyperlink"/>
            <w:noProof/>
          </w:rPr>
          <w:t>Energy Use Summary</w:t>
        </w:r>
        <w:r w:rsidR="00170CF8">
          <w:rPr>
            <w:noProof/>
            <w:webHidden/>
          </w:rPr>
          <w:tab/>
        </w:r>
        <w:r w:rsidR="00893E3D">
          <w:rPr>
            <w:noProof/>
            <w:webHidden/>
          </w:rPr>
          <w:fldChar w:fldCharType="begin"/>
        </w:r>
        <w:r w:rsidR="00170CF8">
          <w:rPr>
            <w:noProof/>
            <w:webHidden/>
          </w:rPr>
          <w:instrText xml:space="preserve"> PAGEREF _Toc424192620 \h </w:instrText>
        </w:r>
        <w:r w:rsidR="00893E3D">
          <w:rPr>
            <w:noProof/>
            <w:webHidden/>
          </w:rPr>
        </w:r>
        <w:r w:rsidR="00893E3D">
          <w:rPr>
            <w:noProof/>
            <w:webHidden/>
          </w:rPr>
          <w:fldChar w:fldCharType="separate"/>
        </w:r>
        <w:r w:rsidR="00B2652C">
          <w:rPr>
            <w:noProof/>
            <w:webHidden/>
          </w:rPr>
          <w:t>23</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21" w:history="1">
        <w:r w:rsidR="00170CF8" w:rsidRPr="004563BD">
          <w:rPr>
            <w:rStyle w:val="Hyperlink"/>
            <w:noProof/>
          </w:rPr>
          <w:t>Residential Sector</w:t>
        </w:r>
        <w:r w:rsidR="00170CF8">
          <w:rPr>
            <w:noProof/>
            <w:webHidden/>
          </w:rPr>
          <w:tab/>
        </w:r>
        <w:r w:rsidR="00893E3D">
          <w:rPr>
            <w:noProof/>
            <w:webHidden/>
          </w:rPr>
          <w:fldChar w:fldCharType="begin"/>
        </w:r>
        <w:r w:rsidR="00170CF8">
          <w:rPr>
            <w:noProof/>
            <w:webHidden/>
          </w:rPr>
          <w:instrText xml:space="preserve"> PAGEREF _Toc424192621 \h </w:instrText>
        </w:r>
        <w:r w:rsidR="00893E3D">
          <w:rPr>
            <w:noProof/>
            <w:webHidden/>
          </w:rPr>
        </w:r>
        <w:r w:rsidR="00893E3D">
          <w:rPr>
            <w:noProof/>
            <w:webHidden/>
          </w:rPr>
          <w:fldChar w:fldCharType="separate"/>
        </w:r>
        <w:r w:rsidR="00B2652C">
          <w:rPr>
            <w:noProof/>
            <w:webHidden/>
          </w:rPr>
          <w:t>25</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22" w:history="1">
        <w:r w:rsidR="00170CF8" w:rsidRPr="004563BD">
          <w:rPr>
            <w:rStyle w:val="Hyperlink"/>
            <w:noProof/>
          </w:rPr>
          <w:t>Commercial Sector</w:t>
        </w:r>
        <w:r w:rsidR="00170CF8">
          <w:rPr>
            <w:noProof/>
            <w:webHidden/>
          </w:rPr>
          <w:tab/>
        </w:r>
        <w:r w:rsidR="00893E3D">
          <w:rPr>
            <w:noProof/>
            <w:webHidden/>
          </w:rPr>
          <w:fldChar w:fldCharType="begin"/>
        </w:r>
        <w:r w:rsidR="00170CF8">
          <w:rPr>
            <w:noProof/>
            <w:webHidden/>
          </w:rPr>
          <w:instrText xml:space="preserve"> PAGEREF _Toc424192622 \h </w:instrText>
        </w:r>
        <w:r w:rsidR="00893E3D">
          <w:rPr>
            <w:noProof/>
            <w:webHidden/>
          </w:rPr>
        </w:r>
        <w:r w:rsidR="00893E3D">
          <w:rPr>
            <w:noProof/>
            <w:webHidden/>
          </w:rPr>
          <w:fldChar w:fldCharType="separate"/>
        </w:r>
        <w:r w:rsidR="00B2652C">
          <w:rPr>
            <w:noProof/>
            <w:webHidden/>
          </w:rPr>
          <w:t>32</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23" w:history="1">
        <w:r w:rsidR="00170CF8" w:rsidRPr="004563BD">
          <w:rPr>
            <w:rStyle w:val="Hyperlink"/>
            <w:noProof/>
          </w:rPr>
          <w:t>Industrial Sector</w:t>
        </w:r>
        <w:r w:rsidR="00170CF8">
          <w:rPr>
            <w:noProof/>
            <w:webHidden/>
          </w:rPr>
          <w:tab/>
        </w:r>
        <w:r w:rsidR="00893E3D">
          <w:rPr>
            <w:noProof/>
            <w:webHidden/>
          </w:rPr>
          <w:fldChar w:fldCharType="begin"/>
        </w:r>
        <w:r w:rsidR="00170CF8">
          <w:rPr>
            <w:noProof/>
            <w:webHidden/>
          </w:rPr>
          <w:instrText xml:space="preserve"> PAGEREF _Toc424192623 \h </w:instrText>
        </w:r>
        <w:r w:rsidR="00893E3D">
          <w:rPr>
            <w:noProof/>
            <w:webHidden/>
          </w:rPr>
        </w:r>
        <w:r w:rsidR="00893E3D">
          <w:rPr>
            <w:noProof/>
            <w:webHidden/>
          </w:rPr>
          <w:fldChar w:fldCharType="separate"/>
        </w:r>
        <w:r w:rsidR="00B2652C">
          <w:rPr>
            <w:noProof/>
            <w:webHidden/>
          </w:rPr>
          <w:t>38</w:t>
        </w:r>
        <w:r w:rsidR="00893E3D">
          <w:rPr>
            <w:noProof/>
            <w:webHidden/>
          </w:rPr>
          <w:fldChar w:fldCharType="end"/>
        </w:r>
      </w:hyperlink>
    </w:p>
    <w:p w:rsidR="00170CF8" w:rsidRDefault="00512CD6">
      <w:pPr>
        <w:pStyle w:val="TOC1"/>
        <w:rPr>
          <w:rFonts w:asciiTheme="minorHAnsi" w:eastAsiaTheme="minorEastAsia" w:hAnsiTheme="minorHAnsi" w:cstheme="minorBidi"/>
          <w:b w:val="0"/>
          <w:noProof/>
          <w:sz w:val="22"/>
          <w:szCs w:val="22"/>
        </w:rPr>
      </w:pPr>
      <w:hyperlink w:anchor="_Toc424192624" w:history="1">
        <w:r w:rsidR="00170CF8" w:rsidRPr="004563BD">
          <w:rPr>
            <w:rStyle w:val="Hyperlink"/>
            <w:noProof/>
          </w:rPr>
          <w:t>Baseline Projection</w:t>
        </w:r>
        <w:r w:rsidR="00170CF8">
          <w:rPr>
            <w:noProof/>
            <w:webHidden/>
          </w:rPr>
          <w:tab/>
        </w:r>
        <w:r w:rsidR="00893E3D">
          <w:rPr>
            <w:noProof/>
            <w:webHidden/>
          </w:rPr>
          <w:fldChar w:fldCharType="begin"/>
        </w:r>
        <w:r w:rsidR="00170CF8">
          <w:rPr>
            <w:noProof/>
            <w:webHidden/>
          </w:rPr>
          <w:instrText xml:space="preserve"> PAGEREF _Toc424192624 \h </w:instrText>
        </w:r>
        <w:r w:rsidR="00893E3D">
          <w:rPr>
            <w:noProof/>
            <w:webHidden/>
          </w:rPr>
        </w:r>
        <w:r w:rsidR="00893E3D">
          <w:rPr>
            <w:noProof/>
            <w:webHidden/>
          </w:rPr>
          <w:fldChar w:fldCharType="separate"/>
        </w:r>
        <w:r w:rsidR="00B2652C">
          <w:rPr>
            <w:noProof/>
            <w:webHidden/>
          </w:rPr>
          <w:t>42</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25" w:history="1">
        <w:r w:rsidR="00170CF8" w:rsidRPr="004563BD">
          <w:rPr>
            <w:rStyle w:val="Hyperlink"/>
            <w:noProof/>
          </w:rPr>
          <w:t>Residential Sector</w:t>
        </w:r>
        <w:r w:rsidR="00170CF8">
          <w:rPr>
            <w:noProof/>
            <w:webHidden/>
          </w:rPr>
          <w:tab/>
        </w:r>
        <w:r w:rsidR="00893E3D">
          <w:rPr>
            <w:noProof/>
            <w:webHidden/>
          </w:rPr>
          <w:fldChar w:fldCharType="begin"/>
        </w:r>
        <w:r w:rsidR="00170CF8">
          <w:rPr>
            <w:noProof/>
            <w:webHidden/>
          </w:rPr>
          <w:instrText xml:space="preserve"> PAGEREF _Toc424192625 \h </w:instrText>
        </w:r>
        <w:r w:rsidR="00893E3D">
          <w:rPr>
            <w:noProof/>
            <w:webHidden/>
          </w:rPr>
        </w:r>
        <w:r w:rsidR="00893E3D">
          <w:rPr>
            <w:noProof/>
            <w:webHidden/>
          </w:rPr>
          <w:fldChar w:fldCharType="separate"/>
        </w:r>
        <w:r w:rsidR="00B2652C">
          <w:rPr>
            <w:noProof/>
            <w:webHidden/>
          </w:rPr>
          <w:t>42</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26" w:history="1">
        <w:r w:rsidR="00170CF8" w:rsidRPr="004563BD">
          <w:rPr>
            <w:rStyle w:val="Hyperlink"/>
            <w:noProof/>
          </w:rPr>
          <w:t>Annual Use</w:t>
        </w:r>
        <w:r w:rsidR="00170CF8">
          <w:rPr>
            <w:noProof/>
            <w:webHidden/>
          </w:rPr>
          <w:tab/>
        </w:r>
        <w:r w:rsidR="00893E3D">
          <w:rPr>
            <w:noProof/>
            <w:webHidden/>
          </w:rPr>
          <w:fldChar w:fldCharType="begin"/>
        </w:r>
        <w:r w:rsidR="00170CF8">
          <w:rPr>
            <w:noProof/>
            <w:webHidden/>
          </w:rPr>
          <w:instrText xml:space="preserve"> PAGEREF _Toc424192626 \h </w:instrText>
        </w:r>
        <w:r w:rsidR="00893E3D">
          <w:rPr>
            <w:noProof/>
            <w:webHidden/>
          </w:rPr>
        </w:r>
        <w:r w:rsidR="00893E3D">
          <w:rPr>
            <w:noProof/>
            <w:webHidden/>
          </w:rPr>
          <w:fldChar w:fldCharType="separate"/>
        </w:r>
        <w:r w:rsidR="00B2652C">
          <w:rPr>
            <w:noProof/>
            <w:webHidden/>
          </w:rPr>
          <w:t>42</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27" w:history="1">
        <w:r w:rsidR="00170CF8" w:rsidRPr="004563BD">
          <w:rPr>
            <w:rStyle w:val="Hyperlink"/>
            <w:noProof/>
          </w:rPr>
          <w:t>Residential Summer Peak Projection</w:t>
        </w:r>
        <w:r w:rsidR="00170CF8">
          <w:rPr>
            <w:noProof/>
            <w:webHidden/>
          </w:rPr>
          <w:tab/>
        </w:r>
        <w:r w:rsidR="00893E3D">
          <w:rPr>
            <w:noProof/>
            <w:webHidden/>
          </w:rPr>
          <w:fldChar w:fldCharType="begin"/>
        </w:r>
        <w:r w:rsidR="00170CF8">
          <w:rPr>
            <w:noProof/>
            <w:webHidden/>
          </w:rPr>
          <w:instrText xml:space="preserve"> PAGEREF _Toc424192627 \h </w:instrText>
        </w:r>
        <w:r w:rsidR="00893E3D">
          <w:rPr>
            <w:noProof/>
            <w:webHidden/>
          </w:rPr>
        </w:r>
        <w:r w:rsidR="00893E3D">
          <w:rPr>
            <w:noProof/>
            <w:webHidden/>
          </w:rPr>
          <w:fldChar w:fldCharType="separate"/>
        </w:r>
        <w:r w:rsidR="00B2652C">
          <w:rPr>
            <w:noProof/>
            <w:webHidden/>
          </w:rPr>
          <w:t>45</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28" w:history="1">
        <w:r w:rsidR="00170CF8" w:rsidRPr="004563BD">
          <w:rPr>
            <w:rStyle w:val="Hyperlink"/>
            <w:noProof/>
          </w:rPr>
          <w:t>Residential Winter Peak Projection</w:t>
        </w:r>
        <w:r w:rsidR="00170CF8">
          <w:rPr>
            <w:noProof/>
            <w:webHidden/>
          </w:rPr>
          <w:tab/>
        </w:r>
        <w:r w:rsidR="00893E3D">
          <w:rPr>
            <w:noProof/>
            <w:webHidden/>
          </w:rPr>
          <w:fldChar w:fldCharType="begin"/>
        </w:r>
        <w:r w:rsidR="00170CF8">
          <w:rPr>
            <w:noProof/>
            <w:webHidden/>
          </w:rPr>
          <w:instrText xml:space="preserve"> PAGEREF _Toc424192628 \h </w:instrText>
        </w:r>
        <w:r w:rsidR="00893E3D">
          <w:rPr>
            <w:noProof/>
            <w:webHidden/>
          </w:rPr>
        </w:r>
        <w:r w:rsidR="00893E3D">
          <w:rPr>
            <w:noProof/>
            <w:webHidden/>
          </w:rPr>
          <w:fldChar w:fldCharType="separate"/>
        </w:r>
        <w:r w:rsidR="00B2652C">
          <w:rPr>
            <w:noProof/>
            <w:webHidden/>
          </w:rPr>
          <w:t>47</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29" w:history="1">
        <w:r w:rsidR="00170CF8" w:rsidRPr="004563BD">
          <w:rPr>
            <w:rStyle w:val="Hyperlink"/>
            <w:noProof/>
          </w:rPr>
          <w:t>Commercial Sector Baseline Projections</w:t>
        </w:r>
        <w:r w:rsidR="00170CF8">
          <w:rPr>
            <w:noProof/>
            <w:webHidden/>
          </w:rPr>
          <w:tab/>
        </w:r>
        <w:r w:rsidR="00893E3D">
          <w:rPr>
            <w:noProof/>
            <w:webHidden/>
          </w:rPr>
          <w:fldChar w:fldCharType="begin"/>
        </w:r>
        <w:r w:rsidR="00170CF8">
          <w:rPr>
            <w:noProof/>
            <w:webHidden/>
          </w:rPr>
          <w:instrText xml:space="preserve"> PAGEREF _Toc424192629 \h </w:instrText>
        </w:r>
        <w:r w:rsidR="00893E3D">
          <w:rPr>
            <w:noProof/>
            <w:webHidden/>
          </w:rPr>
        </w:r>
        <w:r w:rsidR="00893E3D">
          <w:rPr>
            <w:noProof/>
            <w:webHidden/>
          </w:rPr>
          <w:fldChar w:fldCharType="separate"/>
        </w:r>
        <w:r w:rsidR="00B2652C">
          <w:rPr>
            <w:noProof/>
            <w:webHidden/>
          </w:rPr>
          <w:t>48</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30" w:history="1">
        <w:r w:rsidR="00170CF8" w:rsidRPr="004563BD">
          <w:rPr>
            <w:rStyle w:val="Hyperlink"/>
            <w:noProof/>
          </w:rPr>
          <w:t>Annual Use</w:t>
        </w:r>
        <w:r w:rsidR="00170CF8">
          <w:rPr>
            <w:noProof/>
            <w:webHidden/>
          </w:rPr>
          <w:tab/>
        </w:r>
        <w:r w:rsidR="00893E3D">
          <w:rPr>
            <w:noProof/>
            <w:webHidden/>
          </w:rPr>
          <w:fldChar w:fldCharType="begin"/>
        </w:r>
        <w:r w:rsidR="00170CF8">
          <w:rPr>
            <w:noProof/>
            <w:webHidden/>
          </w:rPr>
          <w:instrText xml:space="preserve"> PAGEREF _Toc424192630 \h </w:instrText>
        </w:r>
        <w:r w:rsidR="00893E3D">
          <w:rPr>
            <w:noProof/>
            <w:webHidden/>
          </w:rPr>
        </w:r>
        <w:r w:rsidR="00893E3D">
          <w:rPr>
            <w:noProof/>
            <w:webHidden/>
          </w:rPr>
          <w:fldChar w:fldCharType="separate"/>
        </w:r>
        <w:r w:rsidR="00B2652C">
          <w:rPr>
            <w:noProof/>
            <w:webHidden/>
          </w:rPr>
          <w:t>48</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31" w:history="1">
        <w:r w:rsidR="00170CF8" w:rsidRPr="004563BD">
          <w:rPr>
            <w:rStyle w:val="Hyperlink"/>
            <w:noProof/>
          </w:rPr>
          <w:t>Commercial Summer Peak Demand Projection</w:t>
        </w:r>
        <w:r w:rsidR="00170CF8">
          <w:rPr>
            <w:noProof/>
            <w:webHidden/>
          </w:rPr>
          <w:tab/>
        </w:r>
        <w:r w:rsidR="00893E3D">
          <w:rPr>
            <w:noProof/>
            <w:webHidden/>
          </w:rPr>
          <w:fldChar w:fldCharType="begin"/>
        </w:r>
        <w:r w:rsidR="00170CF8">
          <w:rPr>
            <w:noProof/>
            <w:webHidden/>
          </w:rPr>
          <w:instrText xml:space="preserve"> PAGEREF _Toc424192631 \h </w:instrText>
        </w:r>
        <w:r w:rsidR="00893E3D">
          <w:rPr>
            <w:noProof/>
            <w:webHidden/>
          </w:rPr>
        </w:r>
        <w:r w:rsidR="00893E3D">
          <w:rPr>
            <w:noProof/>
            <w:webHidden/>
          </w:rPr>
          <w:fldChar w:fldCharType="separate"/>
        </w:r>
        <w:r w:rsidR="00B2652C">
          <w:rPr>
            <w:noProof/>
            <w:webHidden/>
          </w:rPr>
          <w:t>51</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32" w:history="1">
        <w:r w:rsidR="00170CF8" w:rsidRPr="004563BD">
          <w:rPr>
            <w:rStyle w:val="Hyperlink"/>
            <w:noProof/>
          </w:rPr>
          <w:t>Commercial Winter Peak Demand Projection</w:t>
        </w:r>
        <w:r w:rsidR="00170CF8">
          <w:rPr>
            <w:noProof/>
            <w:webHidden/>
          </w:rPr>
          <w:tab/>
        </w:r>
        <w:r w:rsidR="00893E3D">
          <w:rPr>
            <w:noProof/>
            <w:webHidden/>
          </w:rPr>
          <w:fldChar w:fldCharType="begin"/>
        </w:r>
        <w:r w:rsidR="00170CF8">
          <w:rPr>
            <w:noProof/>
            <w:webHidden/>
          </w:rPr>
          <w:instrText xml:space="preserve"> PAGEREF _Toc424192632 \h </w:instrText>
        </w:r>
        <w:r w:rsidR="00893E3D">
          <w:rPr>
            <w:noProof/>
            <w:webHidden/>
          </w:rPr>
        </w:r>
        <w:r w:rsidR="00893E3D">
          <w:rPr>
            <w:noProof/>
            <w:webHidden/>
          </w:rPr>
          <w:fldChar w:fldCharType="separate"/>
        </w:r>
        <w:r w:rsidR="00B2652C">
          <w:rPr>
            <w:noProof/>
            <w:webHidden/>
          </w:rPr>
          <w:t>53</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33" w:history="1">
        <w:r w:rsidR="00170CF8" w:rsidRPr="004563BD">
          <w:rPr>
            <w:rStyle w:val="Hyperlink"/>
            <w:noProof/>
          </w:rPr>
          <w:t>Industrial Sector Baseline Projections</w:t>
        </w:r>
        <w:r w:rsidR="00170CF8">
          <w:rPr>
            <w:noProof/>
            <w:webHidden/>
          </w:rPr>
          <w:tab/>
        </w:r>
        <w:r w:rsidR="00893E3D">
          <w:rPr>
            <w:noProof/>
            <w:webHidden/>
          </w:rPr>
          <w:fldChar w:fldCharType="begin"/>
        </w:r>
        <w:r w:rsidR="00170CF8">
          <w:rPr>
            <w:noProof/>
            <w:webHidden/>
          </w:rPr>
          <w:instrText xml:space="preserve"> PAGEREF _Toc424192633 \h </w:instrText>
        </w:r>
        <w:r w:rsidR="00893E3D">
          <w:rPr>
            <w:noProof/>
            <w:webHidden/>
          </w:rPr>
        </w:r>
        <w:r w:rsidR="00893E3D">
          <w:rPr>
            <w:noProof/>
            <w:webHidden/>
          </w:rPr>
          <w:fldChar w:fldCharType="separate"/>
        </w:r>
        <w:r w:rsidR="00B2652C">
          <w:rPr>
            <w:noProof/>
            <w:webHidden/>
          </w:rPr>
          <w:t>55</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34" w:history="1">
        <w:r w:rsidR="00170CF8" w:rsidRPr="004563BD">
          <w:rPr>
            <w:rStyle w:val="Hyperlink"/>
            <w:noProof/>
          </w:rPr>
          <w:t>Annual Use</w:t>
        </w:r>
        <w:r w:rsidR="00170CF8">
          <w:rPr>
            <w:noProof/>
            <w:webHidden/>
          </w:rPr>
          <w:tab/>
        </w:r>
        <w:r w:rsidR="00893E3D">
          <w:rPr>
            <w:noProof/>
            <w:webHidden/>
          </w:rPr>
          <w:fldChar w:fldCharType="begin"/>
        </w:r>
        <w:r w:rsidR="00170CF8">
          <w:rPr>
            <w:noProof/>
            <w:webHidden/>
          </w:rPr>
          <w:instrText xml:space="preserve"> PAGEREF _Toc424192634 \h </w:instrText>
        </w:r>
        <w:r w:rsidR="00893E3D">
          <w:rPr>
            <w:noProof/>
            <w:webHidden/>
          </w:rPr>
        </w:r>
        <w:r w:rsidR="00893E3D">
          <w:rPr>
            <w:noProof/>
            <w:webHidden/>
          </w:rPr>
          <w:fldChar w:fldCharType="separate"/>
        </w:r>
        <w:r w:rsidR="00B2652C">
          <w:rPr>
            <w:noProof/>
            <w:webHidden/>
          </w:rPr>
          <w:t>55</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35" w:history="1">
        <w:r w:rsidR="00170CF8" w:rsidRPr="004563BD">
          <w:rPr>
            <w:rStyle w:val="Hyperlink"/>
            <w:noProof/>
          </w:rPr>
          <w:t>Industrial Summer Peak Demand Projection</w:t>
        </w:r>
        <w:r w:rsidR="00170CF8">
          <w:rPr>
            <w:noProof/>
            <w:webHidden/>
          </w:rPr>
          <w:tab/>
        </w:r>
        <w:r w:rsidR="00893E3D">
          <w:rPr>
            <w:noProof/>
            <w:webHidden/>
          </w:rPr>
          <w:fldChar w:fldCharType="begin"/>
        </w:r>
        <w:r w:rsidR="00170CF8">
          <w:rPr>
            <w:noProof/>
            <w:webHidden/>
          </w:rPr>
          <w:instrText xml:space="preserve"> PAGEREF _Toc424192635 \h </w:instrText>
        </w:r>
        <w:r w:rsidR="00893E3D">
          <w:rPr>
            <w:noProof/>
            <w:webHidden/>
          </w:rPr>
        </w:r>
        <w:r w:rsidR="00893E3D">
          <w:rPr>
            <w:noProof/>
            <w:webHidden/>
          </w:rPr>
          <w:fldChar w:fldCharType="separate"/>
        </w:r>
        <w:r w:rsidR="00B2652C">
          <w:rPr>
            <w:noProof/>
            <w:webHidden/>
          </w:rPr>
          <w:t>57</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36" w:history="1">
        <w:r w:rsidR="00170CF8" w:rsidRPr="004563BD">
          <w:rPr>
            <w:rStyle w:val="Hyperlink"/>
            <w:noProof/>
          </w:rPr>
          <w:t>Industrial Winter Peak Demand Projection</w:t>
        </w:r>
        <w:r w:rsidR="00170CF8">
          <w:rPr>
            <w:noProof/>
            <w:webHidden/>
          </w:rPr>
          <w:tab/>
        </w:r>
        <w:r w:rsidR="00893E3D">
          <w:rPr>
            <w:noProof/>
            <w:webHidden/>
          </w:rPr>
          <w:fldChar w:fldCharType="begin"/>
        </w:r>
        <w:r w:rsidR="00170CF8">
          <w:rPr>
            <w:noProof/>
            <w:webHidden/>
          </w:rPr>
          <w:instrText xml:space="preserve"> PAGEREF _Toc424192636 \h </w:instrText>
        </w:r>
        <w:r w:rsidR="00893E3D">
          <w:rPr>
            <w:noProof/>
            <w:webHidden/>
          </w:rPr>
        </w:r>
        <w:r w:rsidR="00893E3D">
          <w:rPr>
            <w:noProof/>
            <w:webHidden/>
          </w:rPr>
          <w:fldChar w:fldCharType="separate"/>
        </w:r>
        <w:r w:rsidR="00B2652C">
          <w:rPr>
            <w:noProof/>
            <w:webHidden/>
          </w:rPr>
          <w:t>59</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37" w:history="1">
        <w:r w:rsidR="00170CF8" w:rsidRPr="004563BD">
          <w:rPr>
            <w:rStyle w:val="Hyperlink"/>
            <w:noProof/>
          </w:rPr>
          <w:t>Summary of Baseline Projections across Sectors and States</w:t>
        </w:r>
        <w:r w:rsidR="00170CF8">
          <w:rPr>
            <w:noProof/>
            <w:webHidden/>
          </w:rPr>
          <w:tab/>
        </w:r>
        <w:r w:rsidR="00893E3D">
          <w:rPr>
            <w:noProof/>
            <w:webHidden/>
          </w:rPr>
          <w:fldChar w:fldCharType="begin"/>
        </w:r>
        <w:r w:rsidR="00170CF8">
          <w:rPr>
            <w:noProof/>
            <w:webHidden/>
          </w:rPr>
          <w:instrText xml:space="preserve"> PAGEREF _Toc424192637 \h </w:instrText>
        </w:r>
        <w:r w:rsidR="00893E3D">
          <w:rPr>
            <w:noProof/>
            <w:webHidden/>
          </w:rPr>
        </w:r>
        <w:r w:rsidR="00893E3D">
          <w:rPr>
            <w:noProof/>
            <w:webHidden/>
          </w:rPr>
          <w:fldChar w:fldCharType="separate"/>
        </w:r>
        <w:r w:rsidR="00B2652C">
          <w:rPr>
            <w:noProof/>
            <w:webHidden/>
          </w:rPr>
          <w:t>61</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38" w:history="1">
        <w:r w:rsidR="00170CF8" w:rsidRPr="004563BD">
          <w:rPr>
            <w:rStyle w:val="Hyperlink"/>
            <w:noProof/>
          </w:rPr>
          <w:t>Annual Use</w:t>
        </w:r>
        <w:r w:rsidR="00170CF8">
          <w:rPr>
            <w:noProof/>
            <w:webHidden/>
          </w:rPr>
          <w:tab/>
        </w:r>
        <w:r w:rsidR="00893E3D">
          <w:rPr>
            <w:noProof/>
            <w:webHidden/>
          </w:rPr>
          <w:fldChar w:fldCharType="begin"/>
        </w:r>
        <w:r w:rsidR="00170CF8">
          <w:rPr>
            <w:noProof/>
            <w:webHidden/>
          </w:rPr>
          <w:instrText xml:space="preserve"> PAGEREF _Toc424192638 \h </w:instrText>
        </w:r>
        <w:r w:rsidR="00893E3D">
          <w:rPr>
            <w:noProof/>
            <w:webHidden/>
          </w:rPr>
        </w:r>
        <w:r w:rsidR="00893E3D">
          <w:rPr>
            <w:noProof/>
            <w:webHidden/>
          </w:rPr>
          <w:fldChar w:fldCharType="separate"/>
        </w:r>
        <w:r w:rsidR="00B2652C">
          <w:rPr>
            <w:noProof/>
            <w:webHidden/>
          </w:rPr>
          <w:t>61</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39" w:history="1">
        <w:r w:rsidR="00170CF8" w:rsidRPr="004563BD">
          <w:rPr>
            <w:rStyle w:val="Hyperlink"/>
            <w:noProof/>
          </w:rPr>
          <w:t>Summer Peak Demand Projection</w:t>
        </w:r>
        <w:r w:rsidR="00170CF8">
          <w:rPr>
            <w:noProof/>
            <w:webHidden/>
          </w:rPr>
          <w:tab/>
        </w:r>
        <w:r w:rsidR="00893E3D">
          <w:rPr>
            <w:noProof/>
            <w:webHidden/>
          </w:rPr>
          <w:fldChar w:fldCharType="begin"/>
        </w:r>
        <w:r w:rsidR="00170CF8">
          <w:rPr>
            <w:noProof/>
            <w:webHidden/>
          </w:rPr>
          <w:instrText xml:space="preserve"> PAGEREF _Toc424192639 \h </w:instrText>
        </w:r>
        <w:r w:rsidR="00893E3D">
          <w:rPr>
            <w:noProof/>
            <w:webHidden/>
          </w:rPr>
        </w:r>
        <w:r w:rsidR="00893E3D">
          <w:rPr>
            <w:noProof/>
            <w:webHidden/>
          </w:rPr>
          <w:fldChar w:fldCharType="separate"/>
        </w:r>
        <w:r w:rsidR="00B2652C">
          <w:rPr>
            <w:noProof/>
            <w:webHidden/>
          </w:rPr>
          <w:t>62</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40" w:history="1">
        <w:r w:rsidR="00170CF8" w:rsidRPr="004563BD">
          <w:rPr>
            <w:rStyle w:val="Hyperlink"/>
            <w:noProof/>
          </w:rPr>
          <w:t>Winter Peak Demand Projection</w:t>
        </w:r>
        <w:r w:rsidR="00170CF8">
          <w:rPr>
            <w:noProof/>
            <w:webHidden/>
          </w:rPr>
          <w:tab/>
        </w:r>
        <w:r w:rsidR="00893E3D">
          <w:rPr>
            <w:noProof/>
            <w:webHidden/>
          </w:rPr>
          <w:fldChar w:fldCharType="begin"/>
        </w:r>
        <w:r w:rsidR="00170CF8">
          <w:rPr>
            <w:noProof/>
            <w:webHidden/>
          </w:rPr>
          <w:instrText xml:space="preserve"> PAGEREF _Toc424192640 \h </w:instrText>
        </w:r>
        <w:r w:rsidR="00893E3D">
          <w:rPr>
            <w:noProof/>
            <w:webHidden/>
          </w:rPr>
        </w:r>
        <w:r w:rsidR="00893E3D">
          <w:rPr>
            <w:noProof/>
            <w:webHidden/>
          </w:rPr>
          <w:fldChar w:fldCharType="separate"/>
        </w:r>
        <w:r w:rsidR="00B2652C">
          <w:rPr>
            <w:noProof/>
            <w:webHidden/>
          </w:rPr>
          <w:t>62</w:t>
        </w:r>
        <w:r w:rsidR="00893E3D">
          <w:rPr>
            <w:noProof/>
            <w:webHidden/>
          </w:rPr>
          <w:fldChar w:fldCharType="end"/>
        </w:r>
      </w:hyperlink>
    </w:p>
    <w:p w:rsidR="00170CF8" w:rsidRDefault="00512CD6">
      <w:pPr>
        <w:pStyle w:val="TOC1"/>
        <w:rPr>
          <w:rFonts w:asciiTheme="minorHAnsi" w:eastAsiaTheme="minorEastAsia" w:hAnsiTheme="minorHAnsi" w:cstheme="minorBidi"/>
          <w:b w:val="0"/>
          <w:noProof/>
          <w:sz w:val="22"/>
          <w:szCs w:val="22"/>
        </w:rPr>
      </w:pPr>
      <w:hyperlink w:anchor="_Toc424192641" w:history="1">
        <w:r w:rsidR="00170CF8" w:rsidRPr="004563BD">
          <w:rPr>
            <w:rStyle w:val="Hyperlink"/>
            <w:noProof/>
          </w:rPr>
          <w:t>Conservation Potential</w:t>
        </w:r>
        <w:r w:rsidR="00170CF8">
          <w:rPr>
            <w:noProof/>
            <w:webHidden/>
          </w:rPr>
          <w:tab/>
        </w:r>
        <w:r w:rsidR="00893E3D">
          <w:rPr>
            <w:noProof/>
            <w:webHidden/>
          </w:rPr>
          <w:fldChar w:fldCharType="begin"/>
        </w:r>
        <w:r w:rsidR="00170CF8">
          <w:rPr>
            <w:noProof/>
            <w:webHidden/>
          </w:rPr>
          <w:instrText xml:space="preserve"> PAGEREF _Toc424192641 \h </w:instrText>
        </w:r>
        <w:r w:rsidR="00893E3D">
          <w:rPr>
            <w:noProof/>
            <w:webHidden/>
          </w:rPr>
        </w:r>
        <w:r w:rsidR="00893E3D">
          <w:rPr>
            <w:noProof/>
            <w:webHidden/>
          </w:rPr>
          <w:fldChar w:fldCharType="separate"/>
        </w:r>
        <w:r w:rsidR="00B2652C">
          <w:rPr>
            <w:noProof/>
            <w:webHidden/>
          </w:rPr>
          <w:t>64</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42" w:history="1">
        <w:r w:rsidR="00170CF8" w:rsidRPr="004563BD">
          <w:rPr>
            <w:rStyle w:val="Hyperlink"/>
            <w:noProof/>
          </w:rPr>
          <w:t>Overall Summary of Energy Efficiency Potential</w:t>
        </w:r>
        <w:r w:rsidR="00170CF8">
          <w:rPr>
            <w:noProof/>
            <w:webHidden/>
          </w:rPr>
          <w:tab/>
        </w:r>
        <w:r w:rsidR="00893E3D">
          <w:rPr>
            <w:noProof/>
            <w:webHidden/>
          </w:rPr>
          <w:fldChar w:fldCharType="begin"/>
        </w:r>
        <w:r w:rsidR="00170CF8">
          <w:rPr>
            <w:noProof/>
            <w:webHidden/>
          </w:rPr>
          <w:instrText xml:space="preserve"> PAGEREF _Toc424192642 \h </w:instrText>
        </w:r>
        <w:r w:rsidR="00893E3D">
          <w:rPr>
            <w:noProof/>
            <w:webHidden/>
          </w:rPr>
        </w:r>
        <w:r w:rsidR="00893E3D">
          <w:rPr>
            <w:noProof/>
            <w:webHidden/>
          </w:rPr>
          <w:fldChar w:fldCharType="separate"/>
        </w:r>
        <w:r w:rsidR="00B2652C">
          <w:rPr>
            <w:noProof/>
            <w:webHidden/>
          </w:rPr>
          <w:t>64</w:t>
        </w:r>
        <w:r w:rsidR="00893E3D">
          <w:rPr>
            <w:noProof/>
            <w:webHidden/>
          </w:rPr>
          <w:fldChar w:fldCharType="end"/>
        </w:r>
      </w:hyperlink>
    </w:p>
    <w:p w:rsidR="00170CF8" w:rsidRDefault="00512CD6">
      <w:pPr>
        <w:pStyle w:val="TOC3"/>
        <w:rPr>
          <w:rFonts w:asciiTheme="minorHAnsi" w:eastAsiaTheme="minorEastAsia" w:hAnsiTheme="minorHAnsi" w:cstheme="minorBidi"/>
          <w:noProof/>
          <w:sz w:val="22"/>
          <w:szCs w:val="22"/>
        </w:rPr>
      </w:pPr>
      <w:hyperlink w:anchor="_Toc424192643" w:history="1">
        <w:r w:rsidR="00170CF8" w:rsidRPr="004563BD">
          <w:rPr>
            <w:rStyle w:val="Hyperlink"/>
            <w:noProof/>
          </w:rPr>
          <w:t>Summary of Annual Energy Savings</w:t>
        </w:r>
        <w:r w:rsidR="00170CF8">
          <w:rPr>
            <w:noProof/>
            <w:webHidden/>
          </w:rPr>
          <w:tab/>
        </w:r>
        <w:r w:rsidR="00893E3D">
          <w:rPr>
            <w:noProof/>
            <w:webHidden/>
          </w:rPr>
          <w:fldChar w:fldCharType="begin"/>
        </w:r>
        <w:r w:rsidR="00170CF8">
          <w:rPr>
            <w:noProof/>
            <w:webHidden/>
          </w:rPr>
          <w:instrText xml:space="preserve"> PAGEREF _Toc424192643 \h </w:instrText>
        </w:r>
        <w:r w:rsidR="00893E3D">
          <w:rPr>
            <w:noProof/>
            <w:webHidden/>
          </w:rPr>
        </w:r>
        <w:r w:rsidR="00893E3D">
          <w:rPr>
            <w:noProof/>
            <w:webHidden/>
          </w:rPr>
          <w:fldChar w:fldCharType="separate"/>
        </w:r>
        <w:r w:rsidR="00B2652C">
          <w:rPr>
            <w:noProof/>
            <w:webHidden/>
          </w:rPr>
          <w:t>64</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44" w:history="1">
        <w:r w:rsidR="00170CF8" w:rsidRPr="004563BD">
          <w:rPr>
            <w:rStyle w:val="Hyperlink"/>
            <w:noProof/>
          </w:rPr>
          <w:t>Summary of Conservation Potential by Sector</w:t>
        </w:r>
        <w:r w:rsidR="00170CF8">
          <w:rPr>
            <w:noProof/>
            <w:webHidden/>
          </w:rPr>
          <w:tab/>
        </w:r>
        <w:r w:rsidR="00893E3D">
          <w:rPr>
            <w:noProof/>
            <w:webHidden/>
          </w:rPr>
          <w:fldChar w:fldCharType="begin"/>
        </w:r>
        <w:r w:rsidR="00170CF8">
          <w:rPr>
            <w:noProof/>
            <w:webHidden/>
          </w:rPr>
          <w:instrText xml:space="preserve"> PAGEREF _Toc424192644 \h </w:instrText>
        </w:r>
        <w:r w:rsidR="00893E3D">
          <w:rPr>
            <w:noProof/>
            <w:webHidden/>
          </w:rPr>
        </w:r>
        <w:r w:rsidR="00893E3D">
          <w:rPr>
            <w:noProof/>
            <w:webHidden/>
          </w:rPr>
          <w:fldChar w:fldCharType="separate"/>
        </w:r>
        <w:r w:rsidR="00B2652C">
          <w:rPr>
            <w:noProof/>
            <w:webHidden/>
          </w:rPr>
          <w:t>68</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45" w:history="1">
        <w:r w:rsidR="00170CF8" w:rsidRPr="004563BD">
          <w:rPr>
            <w:rStyle w:val="Hyperlink"/>
            <w:noProof/>
          </w:rPr>
          <w:t>Residential Conservation Potential</w:t>
        </w:r>
        <w:r w:rsidR="00170CF8">
          <w:rPr>
            <w:noProof/>
            <w:webHidden/>
          </w:rPr>
          <w:tab/>
        </w:r>
        <w:r w:rsidR="00893E3D">
          <w:rPr>
            <w:noProof/>
            <w:webHidden/>
          </w:rPr>
          <w:fldChar w:fldCharType="begin"/>
        </w:r>
        <w:r w:rsidR="00170CF8">
          <w:rPr>
            <w:noProof/>
            <w:webHidden/>
          </w:rPr>
          <w:instrText xml:space="preserve"> PAGEREF _Toc424192645 \h </w:instrText>
        </w:r>
        <w:r w:rsidR="00893E3D">
          <w:rPr>
            <w:noProof/>
            <w:webHidden/>
          </w:rPr>
        </w:r>
        <w:r w:rsidR="00893E3D">
          <w:rPr>
            <w:noProof/>
            <w:webHidden/>
          </w:rPr>
          <w:fldChar w:fldCharType="separate"/>
        </w:r>
        <w:r w:rsidR="00B2652C">
          <w:rPr>
            <w:noProof/>
            <w:webHidden/>
          </w:rPr>
          <w:t>69</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46" w:history="1">
        <w:r w:rsidR="00170CF8" w:rsidRPr="004563BD">
          <w:rPr>
            <w:rStyle w:val="Hyperlink"/>
            <w:noProof/>
          </w:rPr>
          <w:t>Commercial Conservation Potential</w:t>
        </w:r>
        <w:r w:rsidR="00170CF8">
          <w:rPr>
            <w:noProof/>
            <w:webHidden/>
          </w:rPr>
          <w:tab/>
        </w:r>
        <w:r w:rsidR="00893E3D">
          <w:rPr>
            <w:noProof/>
            <w:webHidden/>
          </w:rPr>
          <w:fldChar w:fldCharType="begin"/>
        </w:r>
        <w:r w:rsidR="00170CF8">
          <w:rPr>
            <w:noProof/>
            <w:webHidden/>
          </w:rPr>
          <w:instrText xml:space="preserve"> PAGEREF _Toc424192646 \h </w:instrText>
        </w:r>
        <w:r w:rsidR="00893E3D">
          <w:rPr>
            <w:noProof/>
            <w:webHidden/>
          </w:rPr>
        </w:r>
        <w:r w:rsidR="00893E3D">
          <w:rPr>
            <w:noProof/>
            <w:webHidden/>
          </w:rPr>
          <w:fldChar w:fldCharType="separate"/>
        </w:r>
        <w:r w:rsidR="00B2652C">
          <w:rPr>
            <w:noProof/>
            <w:webHidden/>
          </w:rPr>
          <w:t>77</w:t>
        </w:r>
        <w:r w:rsidR="00893E3D">
          <w:rPr>
            <w:noProof/>
            <w:webHidden/>
          </w:rPr>
          <w:fldChar w:fldCharType="end"/>
        </w:r>
      </w:hyperlink>
    </w:p>
    <w:p w:rsidR="00170CF8" w:rsidRDefault="00512CD6">
      <w:pPr>
        <w:pStyle w:val="TOC2"/>
        <w:rPr>
          <w:rFonts w:asciiTheme="minorHAnsi" w:eastAsiaTheme="minorEastAsia" w:hAnsiTheme="minorHAnsi" w:cstheme="minorBidi"/>
          <w:noProof/>
          <w:sz w:val="22"/>
          <w:szCs w:val="22"/>
        </w:rPr>
      </w:pPr>
      <w:hyperlink w:anchor="_Toc424192647" w:history="1">
        <w:r w:rsidR="00170CF8" w:rsidRPr="004563BD">
          <w:rPr>
            <w:rStyle w:val="Hyperlink"/>
            <w:noProof/>
          </w:rPr>
          <w:t>Industrial Conservation Potential</w:t>
        </w:r>
        <w:r w:rsidR="00170CF8">
          <w:rPr>
            <w:noProof/>
            <w:webHidden/>
          </w:rPr>
          <w:tab/>
        </w:r>
        <w:r w:rsidR="00893E3D">
          <w:rPr>
            <w:noProof/>
            <w:webHidden/>
          </w:rPr>
          <w:fldChar w:fldCharType="begin"/>
        </w:r>
        <w:r w:rsidR="00170CF8">
          <w:rPr>
            <w:noProof/>
            <w:webHidden/>
          </w:rPr>
          <w:instrText xml:space="preserve"> PAGEREF _Toc424192647 \h </w:instrText>
        </w:r>
        <w:r w:rsidR="00893E3D">
          <w:rPr>
            <w:noProof/>
            <w:webHidden/>
          </w:rPr>
        </w:r>
        <w:r w:rsidR="00893E3D">
          <w:rPr>
            <w:noProof/>
            <w:webHidden/>
          </w:rPr>
          <w:fldChar w:fldCharType="separate"/>
        </w:r>
        <w:r w:rsidR="00B2652C">
          <w:rPr>
            <w:noProof/>
            <w:webHidden/>
          </w:rPr>
          <w:t>83</w:t>
        </w:r>
        <w:r w:rsidR="00893E3D">
          <w:rPr>
            <w:noProof/>
            <w:webHidden/>
          </w:rPr>
          <w:fldChar w:fldCharType="end"/>
        </w:r>
      </w:hyperlink>
    </w:p>
    <w:p w:rsidR="00170CF8" w:rsidRDefault="00512CD6">
      <w:pPr>
        <w:pStyle w:val="TOC6"/>
        <w:rPr>
          <w:rFonts w:asciiTheme="minorHAnsi" w:eastAsiaTheme="minorEastAsia" w:hAnsiTheme="minorHAnsi" w:cstheme="minorBidi"/>
          <w:b w:val="0"/>
          <w:sz w:val="22"/>
          <w:szCs w:val="22"/>
        </w:rPr>
      </w:pPr>
      <w:hyperlink w:anchor="_Toc424192648" w:history="1">
        <w:r w:rsidR="00170CF8" w:rsidRPr="004563BD">
          <w:rPr>
            <w:rStyle w:val="Hyperlink"/>
          </w:rPr>
          <w:t>Market Profiles</w:t>
        </w:r>
        <w:r w:rsidR="00170CF8">
          <w:rPr>
            <w:webHidden/>
          </w:rPr>
          <w:tab/>
        </w:r>
        <w:r w:rsidR="00893E3D">
          <w:rPr>
            <w:webHidden/>
          </w:rPr>
          <w:fldChar w:fldCharType="begin"/>
        </w:r>
        <w:r w:rsidR="00170CF8">
          <w:rPr>
            <w:webHidden/>
          </w:rPr>
          <w:instrText xml:space="preserve"> PAGEREF _Toc424192648 \h </w:instrText>
        </w:r>
        <w:r w:rsidR="00893E3D">
          <w:rPr>
            <w:webHidden/>
          </w:rPr>
        </w:r>
        <w:r w:rsidR="00893E3D">
          <w:rPr>
            <w:webHidden/>
          </w:rPr>
          <w:fldChar w:fldCharType="separate"/>
        </w:r>
        <w:r w:rsidR="00B2652C">
          <w:rPr>
            <w:webHidden/>
          </w:rPr>
          <w:t>89</w:t>
        </w:r>
        <w:r w:rsidR="00893E3D">
          <w:rPr>
            <w:webHidden/>
          </w:rPr>
          <w:fldChar w:fldCharType="end"/>
        </w:r>
      </w:hyperlink>
    </w:p>
    <w:p w:rsidR="00170CF8" w:rsidRDefault="00512CD6">
      <w:pPr>
        <w:pStyle w:val="TOC6"/>
        <w:rPr>
          <w:rFonts w:asciiTheme="minorHAnsi" w:eastAsiaTheme="minorEastAsia" w:hAnsiTheme="minorHAnsi" w:cstheme="minorBidi"/>
          <w:b w:val="0"/>
          <w:sz w:val="22"/>
          <w:szCs w:val="22"/>
        </w:rPr>
      </w:pPr>
      <w:hyperlink w:anchor="_Toc424192649" w:history="1">
        <w:r w:rsidR="00170CF8" w:rsidRPr="004563BD">
          <w:rPr>
            <w:rStyle w:val="Hyperlink"/>
          </w:rPr>
          <w:t>Market Adoption (Ramp) Rates</w:t>
        </w:r>
        <w:r w:rsidR="00170CF8">
          <w:rPr>
            <w:webHidden/>
          </w:rPr>
          <w:tab/>
        </w:r>
        <w:r w:rsidR="00893E3D">
          <w:rPr>
            <w:webHidden/>
          </w:rPr>
          <w:fldChar w:fldCharType="begin"/>
        </w:r>
        <w:r w:rsidR="00170CF8">
          <w:rPr>
            <w:webHidden/>
          </w:rPr>
          <w:instrText xml:space="preserve"> PAGEREF _Toc424192649 \h </w:instrText>
        </w:r>
        <w:r w:rsidR="00893E3D">
          <w:rPr>
            <w:webHidden/>
          </w:rPr>
        </w:r>
        <w:r w:rsidR="00893E3D">
          <w:rPr>
            <w:webHidden/>
          </w:rPr>
          <w:fldChar w:fldCharType="separate"/>
        </w:r>
        <w:r w:rsidR="00B2652C">
          <w:rPr>
            <w:webHidden/>
          </w:rPr>
          <w:t>121</w:t>
        </w:r>
        <w:r w:rsidR="00893E3D">
          <w:rPr>
            <w:webHidden/>
          </w:rPr>
          <w:fldChar w:fldCharType="end"/>
        </w:r>
      </w:hyperlink>
    </w:p>
    <w:p w:rsidR="00170CF8" w:rsidRDefault="00512CD6">
      <w:pPr>
        <w:pStyle w:val="TOC6"/>
        <w:rPr>
          <w:rFonts w:asciiTheme="minorHAnsi" w:eastAsiaTheme="minorEastAsia" w:hAnsiTheme="minorHAnsi" w:cstheme="minorBidi"/>
          <w:b w:val="0"/>
          <w:sz w:val="22"/>
          <w:szCs w:val="22"/>
        </w:rPr>
      </w:pPr>
      <w:hyperlink w:anchor="_Toc424192650" w:history="1">
        <w:r w:rsidR="00170CF8" w:rsidRPr="004563BD">
          <w:rPr>
            <w:rStyle w:val="Hyperlink"/>
          </w:rPr>
          <w:t>Equipment Measure Data</w:t>
        </w:r>
        <w:r w:rsidR="00170CF8">
          <w:rPr>
            <w:webHidden/>
          </w:rPr>
          <w:tab/>
        </w:r>
        <w:r w:rsidR="00893E3D">
          <w:rPr>
            <w:webHidden/>
          </w:rPr>
          <w:fldChar w:fldCharType="begin"/>
        </w:r>
        <w:r w:rsidR="00170CF8">
          <w:rPr>
            <w:webHidden/>
          </w:rPr>
          <w:instrText xml:space="preserve"> PAGEREF _Toc424192650 \h </w:instrText>
        </w:r>
        <w:r w:rsidR="00893E3D">
          <w:rPr>
            <w:webHidden/>
          </w:rPr>
        </w:r>
        <w:r w:rsidR="00893E3D">
          <w:rPr>
            <w:webHidden/>
          </w:rPr>
          <w:fldChar w:fldCharType="separate"/>
        </w:r>
        <w:r w:rsidR="00B2652C">
          <w:rPr>
            <w:webHidden/>
          </w:rPr>
          <w:t>122</w:t>
        </w:r>
        <w:r w:rsidR="00893E3D">
          <w:rPr>
            <w:webHidden/>
          </w:rPr>
          <w:fldChar w:fldCharType="end"/>
        </w:r>
      </w:hyperlink>
    </w:p>
    <w:p w:rsidR="00170CF8" w:rsidRDefault="00512CD6">
      <w:pPr>
        <w:pStyle w:val="TOC6"/>
        <w:rPr>
          <w:rFonts w:asciiTheme="minorHAnsi" w:eastAsiaTheme="minorEastAsia" w:hAnsiTheme="minorHAnsi" w:cstheme="minorBidi"/>
          <w:b w:val="0"/>
          <w:sz w:val="22"/>
          <w:szCs w:val="22"/>
        </w:rPr>
      </w:pPr>
      <w:hyperlink w:anchor="_Toc424192651" w:history="1">
        <w:r w:rsidR="00170CF8" w:rsidRPr="004563BD">
          <w:rPr>
            <w:rStyle w:val="Hyperlink"/>
          </w:rPr>
          <w:t>Non-Equipment Measure Data</w:t>
        </w:r>
        <w:r w:rsidR="00170CF8">
          <w:rPr>
            <w:webHidden/>
          </w:rPr>
          <w:tab/>
        </w:r>
        <w:r w:rsidR="00893E3D">
          <w:rPr>
            <w:webHidden/>
          </w:rPr>
          <w:fldChar w:fldCharType="begin"/>
        </w:r>
        <w:r w:rsidR="00170CF8">
          <w:rPr>
            <w:webHidden/>
          </w:rPr>
          <w:instrText xml:space="preserve"> PAGEREF _Toc424192651 \h </w:instrText>
        </w:r>
        <w:r w:rsidR="00893E3D">
          <w:rPr>
            <w:webHidden/>
          </w:rPr>
        </w:r>
        <w:r w:rsidR="00893E3D">
          <w:rPr>
            <w:webHidden/>
          </w:rPr>
          <w:fldChar w:fldCharType="separate"/>
        </w:r>
        <w:r w:rsidR="00B2652C">
          <w:rPr>
            <w:webHidden/>
          </w:rPr>
          <w:t>D-123</w:t>
        </w:r>
        <w:r w:rsidR="00893E3D">
          <w:rPr>
            <w:webHidden/>
          </w:rPr>
          <w:fldChar w:fldCharType="end"/>
        </w:r>
      </w:hyperlink>
    </w:p>
    <w:p w:rsidR="007D5CF0" w:rsidRDefault="00893E3D" w:rsidP="00D97C75">
      <w:pPr>
        <w:pStyle w:val="BodyText"/>
        <w:rPr>
          <w:spacing w:val="0"/>
          <w:szCs w:val="20"/>
        </w:rPr>
      </w:pPr>
      <w:r>
        <w:rPr>
          <w:spacing w:val="0"/>
          <w:szCs w:val="20"/>
        </w:rPr>
        <w:fldChar w:fldCharType="end"/>
      </w:r>
    </w:p>
    <w:p w:rsidR="007D5CF0" w:rsidRDefault="007D5CF0" w:rsidP="00D97C75">
      <w:pPr>
        <w:pStyle w:val="BodyText"/>
        <w:rPr>
          <w:spacing w:val="0"/>
          <w:szCs w:val="20"/>
        </w:rPr>
      </w:pPr>
    </w:p>
    <w:p w:rsidR="007D5CF0" w:rsidRDefault="007D5CF0" w:rsidP="00D97C75">
      <w:pPr>
        <w:pStyle w:val="BodyText"/>
        <w:rPr>
          <w:spacing w:val="0"/>
          <w:szCs w:val="20"/>
        </w:rPr>
        <w:sectPr w:rsidR="007D5CF0" w:rsidSect="00FE613D">
          <w:headerReference w:type="default" r:id="rId15"/>
          <w:footerReference w:type="first" r:id="rId16"/>
          <w:pgSz w:w="12240" w:h="15840" w:code="1"/>
          <w:pgMar w:top="1152" w:right="1440" w:bottom="1152" w:left="1800" w:header="720" w:footer="720" w:gutter="0"/>
          <w:pgNumType w:fmt="lowerRoman"/>
          <w:cols w:space="720"/>
          <w:titlePg/>
          <w:docGrid w:linePitch="231"/>
        </w:sectPr>
      </w:pPr>
    </w:p>
    <w:p w:rsidR="00283424" w:rsidRDefault="00283424" w:rsidP="00283424">
      <w:pPr>
        <w:pStyle w:val="ContentsTitle"/>
      </w:pPr>
      <w:r>
        <w:lastRenderedPageBreak/>
        <w:t>List of Figures</w:t>
      </w:r>
    </w:p>
    <w:p w:rsidR="00170CF8" w:rsidRDefault="00893E3D">
      <w:pPr>
        <w:pStyle w:val="TableofFigures"/>
        <w:rPr>
          <w:rFonts w:asciiTheme="minorHAnsi" w:eastAsiaTheme="minorEastAsia" w:hAnsiTheme="minorHAnsi" w:cstheme="minorBidi"/>
          <w:noProof/>
          <w:sz w:val="22"/>
          <w:szCs w:val="22"/>
        </w:rPr>
      </w:pPr>
      <w:r>
        <w:rPr>
          <w:rFonts w:ascii="Verdana" w:hAnsi="Verdana"/>
          <w:noProof/>
        </w:rPr>
        <w:fldChar w:fldCharType="begin"/>
      </w:r>
      <w:r w:rsidR="00280628">
        <w:instrText xml:space="preserve"> TOC \c "Figure" </w:instrText>
      </w:r>
      <w:r>
        <w:rPr>
          <w:rFonts w:ascii="Verdana" w:hAnsi="Verdana"/>
          <w:noProof/>
        </w:rPr>
        <w:fldChar w:fldCharType="separate"/>
      </w:r>
      <w:r w:rsidR="00170CF8">
        <w:rPr>
          <w:noProof/>
        </w:rPr>
        <w:t>Figure 2-1</w:t>
      </w:r>
      <w:r w:rsidR="00170CF8">
        <w:rPr>
          <w:rFonts w:asciiTheme="minorHAnsi" w:eastAsiaTheme="minorEastAsia" w:hAnsiTheme="minorHAnsi" w:cstheme="minorBidi"/>
          <w:noProof/>
          <w:sz w:val="22"/>
          <w:szCs w:val="22"/>
        </w:rPr>
        <w:tab/>
      </w:r>
      <w:r w:rsidR="00170CF8">
        <w:rPr>
          <w:noProof/>
        </w:rPr>
        <w:t>LoadMAP Analysis Framework</w:t>
      </w:r>
      <w:r w:rsidR="00170CF8">
        <w:rPr>
          <w:noProof/>
        </w:rPr>
        <w:tab/>
      </w:r>
      <w:r>
        <w:rPr>
          <w:noProof/>
        </w:rPr>
        <w:fldChar w:fldCharType="begin"/>
      </w:r>
      <w:r w:rsidR="00170CF8">
        <w:rPr>
          <w:noProof/>
        </w:rPr>
        <w:instrText xml:space="preserve"> PAGEREF _Toc424192699 \h </w:instrText>
      </w:r>
      <w:r>
        <w:rPr>
          <w:noProof/>
        </w:rPr>
      </w:r>
      <w:r>
        <w:rPr>
          <w:noProof/>
        </w:rPr>
        <w:fldChar w:fldCharType="separate"/>
      </w:r>
      <w:r w:rsidR="00B2652C">
        <w:rPr>
          <w:noProof/>
        </w:rPr>
        <w:t>5</w:t>
      </w:r>
      <w:r>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2-2</w:t>
      </w:r>
      <w:r>
        <w:rPr>
          <w:rFonts w:asciiTheme="minorHAnsi" w:eastAsiaTheme="minorEastAsia" w:hAnsiTheme="minorHAnsi" w:cstheme="minorBidi"/>
          <w:noProof/>
          <w:sz w:val="22"/>
          <w:szCs w:val="22"/>
        </w:rPr>
        <w:tab/>
      </w:r>
      <w:r w:rsidRPr="005B2314">
        <w:rPr>
          <w:noProof/>
          <w:color w:val="000000"/>
        </w:rPr>
        <w:t>Approach for Conservation Measure Assessment</w:t>
      </w:r>
      <w:r>
        <w:rPr>
          <w:noProof/>
        </w:rPr>
        <w:tab/>
      </w:r>
      <w:r w:rsidR="00893E3D">
        <w:rPr>
          <w:noProof/>
        </w:rPr>
        <w:fldChar w:fldCharType="begin"/>
      </w:r>
      <w:r>
        <w:rPr>
          <w:noProof/>
        </w:rPr>
        <w:instrText xml:space="preserve"> PAGEREF _Toc424192700 \h </w:instrText>
      </w:r>
      <w:r w:rsidR="00893E3D">
        <w:rPr>
          <w:noProof/>
        </w:rPr>
      </w:r>
      <w:r w:rsidR="00893E3D">
        <w:rPr>
          <w:noProof/>
        </w:rPr>
        <w:fldChar w:fldCharType="separate"/>
      </w:r>
      <w:r w:rsidR="00B2652C">
        <w:rPr>
          <w:noProof/>
        </w:rPr>
        <w:t>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3-1</w:t>
      </w:r>
      <w:r>
        <w:rPr>
          <w:rFonts w:asciiTheme="minorHAnsi" w:eastAsiaTheme="minorEastAsia" w:hAnsiTheme="minorHAnsi" w:cstheme="minorBidi"/>
          <w:noProof/>
          <w:sz w:val="22"/>
          <w:szCs w:val="22"/>
        </w:rPr>
        <w:tab/>
      </w:r>
      <w:r w:rsidRPr="005B2314">
        <w:rPr>
          <w:noProof/>
          <w:color w:val="000000"/>
        </w:rPr>
        <w:t>Sector-Level Electricity Use in Base Year 2013, Washington</w:t>
      </w:r>
      <w:r>
        <w:rPr>
          <w:noProof/>
        </w:rPr>
        <w:tab/>
      </w:r>
      <w:r w:rsidR="00893E3D">
        <w:rPr>
          <w:noProof/>
        </w:rPr>
        <w:fldChar w:fldCharType="begin"/>
      </w:r>
      <w:r>
        <w:rPr>
          <w:noProof/>
        </w:rPr>
        <w:instrText xml:space="preserve"> PAGEREF _Toc424192701 \h </w:instrText>
      </w:r>
      <w:r w:rsidR="00893E3D">
        <w:rPr>
          <w:noProof/>
        </w:rPr>
      </w:r>
      <w:r w:rsidR="00893E3D">
        <w:rPr>
          <w:noProof/>
        </w:rPr>
        <w:fldChar w:fldCharType="separate"/>
      </w:r>
      <w:r w:rsidR="00B2652C">
        <w:rPr>
          <w:noProof/>
        </w:rPr>
        <w:t>23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3-2</w:t>
      </w:r>
      <w:r>
        <w:rPr>
          <w:rFonts w:asciiTheme="minorHAnsi" w:eastAsiaTheme="minorEastAsia" w:hAnsiTheme="minorHAnsi" w:cstheme="minorBidi"/>
          <w:noProof/>
          <w:sz w:val="22"/>
          <w:szCs w:val="22"/>
        </w:rPr>
        <w:tab/>
      </w:r>
      <w:r w:rsidRPr="005B2314">
        <w:rPr>
          <w:noProof/>
          <w:color w:val="000000"/>
        </w:rPr>
        <w:t>Sector-Level Electricity Use in Base Year 2013, Idaho</w:t>
      </w:r>
      <w:r>
        <w:rPr>
          <w:noProof/>
        </w:rPr>
        <w:tab/>
      </w:r>
      <w:r w:rsidR="00893E3D">
        <w:rPr>
          <w:noProof/>
        </w:rPr>
        <w:fldChar w:fldCharType="begin"/>
      </w:r>
      <w:r>
        <w:rPr>
          <w:noProof/>
        </w:rPr>
        <w:instrText xml:space="preserve"> PAGEREF _Toc424192702 \h </w:instrText>
      </w:r>
      <w:r w:rsidR="00893E3D">
        <w:rPr>
          <w:noProof/>
        </w:rPr>
      </w:r>
      <w:r w:rsidR="00893E3D">
        <w:rPr>
          <w:noProof/>
        </w:rPr>
        <w:fldChar w:fldCharType="separate"/>
      </w:r>
      <w:r w:rsidR="00B2652C">
        <w:rPr>
          <w:noProof/>
        </w:rPr>
        <w:t>25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3-3</w:t>
      </w:r>
      <w:r>
        <w:rPr>
          <w:rFonts w:asciiTheme="minorHAnsi" w:eastAsiaTheme="minorEastAsia" w:hAnsiTheme="minorHAnsi" w:cstheme="minorBidi"/>
          <w:noProof/>
          <w:sz w:val="22"/>
          <w:szCs w:val="22"/>
        </w:rPr>
        <w:tab/>
      </w:r>
      <w:r>
        <w:rPr>
          <w:noProof/>
        </w:rPr>
        <w:t>Residential Electricity Use and Summer Peak Demand by End Use (2013), Washington</w:t>
      </w:r>
      <w:r>
        <w:rPr>
          <w:noProof/>
        </w:rPr>
        <w:tab/>
      </w:r>
      <w:r w:rsidR="00893E3D">
        <w:rPr>
          <w:noProof/>
        </w:rPr>
        <w:fldChar w:fldCharType="begin"/>
      </w:r>
      <w:r>
        <w:rPr>
          <w:noProof/>
        </w:rPr>
        <w:instrText xml:space="preserve"> PAGEREF _Toc424192703 \h </w:instrText>
      </w:r>
      <w:r w:rsidR="00893E3D">
        <w:rPr>
          <w:noProof/>
        </w:rPr>
      </w:r>
      <w:r w:rsidR="00893E3D">
        <w:rPr>
          <w:noProof/>
        </w:rPr>
        <w:fldChar w:fldCharType="separate"/>
      </w:r>
      <w:r w:rsidR="00B2652C">
        <w:rPr>
          <w:noProof/>
        </w:rPr>
        <w:t>27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3-4</w:t>
      </w:r>
      <w:r>
        <w:rPr>
          <w:rFonts w:asciiTheme="minorHAnsi" w:eastAsiaTheme="minorEastAsia" w:hAnsiTheme="minorHAnsi" w:cstheme="minorBidi"/>
          <w:noProof/>
          <w:sz w:val="22"/>
          <w:szCs w:val="22"/>
        </w:rPr>
        <w:tab/>
      </w:r>
      <w:r>
        <w:rPr>
          <w:noProof/>
        </w:rPr>
        <w:t>Residential Electricity Use and Summer Peak Demand by End Use (2013), Idaho</w:t>
      </w:r>
      <w:r>
        <w:rPr>
          <w:noProof/>
        </w:rPr>
        <w:tab/>
      </w:r>
      <w:r w:rsidR="00893E3D">
        <w:rPr>
          <w:noProof/>
        </w:rPr>
        <w:fldChar w:fldCharType="begin"/>
      </w:r>
      <w:r>
        <w:rPr>
          <w:noProof/>
        </w:rPr>
        <w:instrText xml:space="preserve"> PAGEREF _Toc424192704 \h </w:instrText>
      </w:r>
      <w:r w:rsidR="00893E3D">
        <w:rPr>
          <w:noProof/>
        </w:rPr>
      </w:r>
      <w:r w:rsidR="00893E3D">
        <w:rPr>
          <w:noProof/>
        </w:rPr>
        <w:fldChar w:fldCharType="separate"/>
      </w:r>
      <w:r w:rsidR="00B2652C">
        <w:rPr>
          <w:noProof/>
        </w:rPr>
        <w:t>28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3-5</w:t>
      </w:r>
      <w:r>
        <w:rPr>
          <w:rFonts w:asciiTheme="minorHAnsi" w:eastAsiaTheme="minorEastAsia" w:hAnsiTheme="minorHAnsi" w:cstheme="minorBidi"/>
          <w:noProof/>
          <w:sz w:val="22"/>
          <w:szCs w:val="22"/>
        </w:rPr>
        <w:tab/>
      </w:r>
      <w:r>
        <w:rPr>
          <w:noProof/>
        </w:rPr>
        <w:t>Residential Intensity by End Use and Segment (Annual kWh/HH, 2013), Washington</w:t>
      </w:r>
      <w:r>
        <w:rPr>
          <w:noProof/>
        </w:rPr>
        <w:tab/>
      </w:r>
      <w:r w:rsidR="00893E3D">
        <w:rPr>
          <w:noProof/>
        </w:rPr>
        <w:fldChar w:fldCharType="begin"/>
      </w:r>
      <w:r>
        <w:rPr>
          <w:noProof/>
        </w:rPr>
        <w:instrText xml:space="preserve"> PAGEREF _Toc424192705 \h </w:instrText>
      </w:r>
      <w:r w:rsidR="00893E3D">
        <w:rPr>
          <w:noProof/>
        </w:rPr>
      </w:r>
      <w:r w:rsidR="00893E3D">
        <w:rPr>
          <w:noProof/>
        </w:rPr>
        <w:fldChar w:fldCharType="separate"/>
      </w:r>
      <w:r w:rsidR="00B2652C">
        <w:rPr>
          <w:noProof/>
        </w:rPr>
        <w:t>29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3-6</w:t>
      </w:r>
      <w:r>
        <w:rPr>
          <w:rFonts w:asciiTheme="minorHAnsi" w:eastAsiaTheme="minorEastAsia" w:hAnsiTheme="minorHAnsi" w:cstheme="minorBidi"/>
          <w:noProof/>
          <w:sz w:val="22"/>
          <w:szCs w:val="22"/>
        </w:rPr>
        <w:tab/>
      </w:r>
      <w:r>
        <w:rPr>
          <w:noProof/>
        </w:rPr>
        <w:t>Residential Intensity by End Use and Segment (Annual kWh/HH, 2013), Idaho</w:t>
      </w:r>
      <w:r>
        <w:rPr>
          <w:noProof/>
        </w:rPr>
        <w:tab/>
      </w:r>
      <w:r w:rsidR="00893E3D">
        <w:rPr>
          <w:noProof/>
        </w:rPr>
        <w:fldChar w:fldCharType="begin"/>
      </w:r>
      <w:r>
        <w:rPr>
          <w:noProof/>
        </w:rPr>
        <w:instrText xml:space="preserve"> PAGEREF _Toc424192706 \h </w:instrText>
      </w:r>
      <w:r w:rsidR="00893E3D">
        <w:rPr>
          <w:noProof/>
        </w:rPr>
      </w:r>
      <w:r w:rsidR="00893E3D">
        <w:rPr>
          <w:noProof/>
        </w:rPr>
        <w:fldChar w:fldCharType="separate"/>
      </w:r>
      <w:r w:rsidR="00B2652C">
        <w:rPr>
          <w:noProof/>
        </w:rPr>
        <w:t>29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3-7</w:t>
      </w:r>
      <w:r>
        <w:rPr>
          <w:rFonts w:asciiTheme="minorHAnsi" w:eastAsiaTheme="minorEastAsia" w:hAnsiTheme="minorHAnsi" w:cstheme="minorBidi"/>
          <w:noProof/>
          <w:sz w:val="22"/>
          <w:szCs w:val="22"/>
        </w:rPr>
        <w:tab/>
      </w:r>
      <w:r>
        <w:rPr>
          <w:noProof/>
        </w:rPr>
        <w:t>Commercial Sector Electricity Consumption by End Use (2013), Washington</w:t>
      </w:r>
      <w:r>
        <w:rPr>
          <w:noProof/>
        </w:rPr>
        <w:tab/>
      </w:r>
      <w:r w:rsidR="00893E3D">
        <w:rPr>
          <w:noProof/>
        </w:rPr>
        <w:fldChar w:fldCharType="begin"/>
      </w:r>
      <w:r>
        <w:rPr>
          <w:noProof/>
        </w:rPr>
        <w:instrText xml:space="preserve"> PAGEREF _Toc424192707 \h </w:instrText>
      </w:r>
      <w:r w:rsidR="00893E3D">
        <w:rPr>
          <w:noProof/>
        </w:rPr>
      </w:r>
      <w:r w:rsidR="00893E3D">
        <w:rPr>
          <w:noProof/>
        </w:rPr>
        <w:fldChar w:fldCharType="separate"/>
      </w:r>
      <w:r w:rsidR="00B2652C">
        <w:rPr>
          <w:noProof/>
        </w:rPr>
        <w:t>33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3-8</w:t>
      </w:r>
      <w:r>
        <w:rPr>
          <w:rFonts w:asciiTheme="minorHAnsi" w:eastAsiaTheme="minorEastAsia" w:hAnsiTheme="minorHAnsi" w:cstheme="minorBidi"/>
          <w:noProof/>
          <w:sz w:val="22"/>
          <w:szCs w:val="22"/>
        </w:rPr>
        <w:tab/>
      </w:r>
      <w:r>
        <w:rPr>
          <w:noProof/>
        </w:rPr>
        <w:t>Commercial Sector Electricity Consumption by End Use (2013), Idaho</w:t>
      </w:r>
      <w:r>
        <w:rPr>
          <w:noProof/>
        </w:rPr>
        <w:tab/>
      </w:r>
      <w:r w:rsidR="00893E3D">
        <w:rPr>
          <w:noProof/>
        </w:rPr>
        <w:fldChar w:fldCharType="begin"/>
      </w:r>
      <w:r>
        <w:rPr>
          <w:noProof/>
        </w:rPr>
        <w:instrText xml:space="preserve"> PAGEREF _Toc424192708 \h </w:instrText>
      </w:r>
      <w:r w:rsidR="00893E3D">
        <w:rPr>
          <w:noProof/>
        </w:rPr>
      </w:r>
      <w:r w:rsidR="00893E3D">
        <w:rPr>
          <w:noProof/>
        </w:rPr>
        <w:fldChar w:fldCharType="separate"/>
      </w:r>
      <w:r w:rsidR="00B2652C">
        <w:rPr>
          <w:noProof/>
        </w:rPr>
        <w:t>34</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3-9</w:t>
      </w:r>
      <w:r>
        <w:rPr>
          <w:rFonts w:asciiTheme="minorHAnsi" w:eastAsiaTheme="minorEastAsia" w:hAnsiTheme="minorHAnsi" w:cstheme="minorBidi"/>
          <w:noProof/>
          <w:sz w:val="22"/>
          <w:szCs w:val="22"/>
        </w:rPr>
        <w:tab/>
      </w:r>
      <w:r>
        <w:rPr>
          <w:noProof/>
        </w:rPr>
        <w:t>Commercial Electricity Usage by End Use Segment (GWh, 2013), Washington</w:t>
      </w:r>
      <w:r>
        <w:rPr>
          <w:noProof/>
        </w:rPr>
        <w:tab/>
      </w:r>
      <w:r w:rsidR="00893E3D">
        <w:rPr>
          <w:noProof/>
        </w:rPr>
        <w:fldChar w:fldCharType="begin"/>
      </w:r>
      <w:r>
        <w:rPr>
          <w:noProof/>
        </w:rPr>
        <w:instrText xml:space="preserve"> PAGEREF _Toc424192709 \h </w:instrText>
      </w:r>
      <w:r w:rsidR="00893E3D">
        <w:rPr>
          <w:noProof/>
        </w:rPr>
      </w:r>
      <w:r w:rsidR="00893E3D">
        <w:rPr>
          <w:noProof/>
        </w:rPr>
        <w:fldChar w:fldCharType="separate"/>
      </w:r>
      <w:r w:rsidR="00B2652C">
        <w:rPr>
          <w:noProof/>
        </w:rPr>
        <w:t>35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3-10</w:t>
      </w:r>
      <w:r>
        <w:rPr>
          <w:rFonts w:asciiTheme="minorHAnsi" w:eastAsiaTheme="minorEastAsia" w:hAnsiTheme="minorHAnsi" w:cstheme="minorBidi"/>
          <w:noProof/>
          <w:sz w:val="22"/>
          <w:szCs w:val="22"/>
        </w:rPr>
        <w:tab/>
      </w:r>
      <w:r>
        <w:rPr>
          <w:noProof/>
        </w:rPr>
        <w:t>Commercial Electricity Usage by End Use Segment (GWh, 2013), Idaho</w:t>
      </w:r>
      <w:r>
        <w:rPr>
          <w:noProof/>
        </w:rPr>
        <w:tab/>
      </w:r>
      <w:r w:rsidR="00893E3D">
        <w:rPr>
          <w:noProof/>
        </w:rPr>
        <w:fldChar w:fldCharType="begin"/>
      </w:r>
      <w:r>
        <w:rPr>
          <w:noProof/>
        </w:rPr>
        <w:instrText xml:space="preserve"> PAGEREF _Toc424192710 \h </w:instrText>
      </w:r>
      <w:r w:rsidR="00893E3D">
        <w:rPr>
          <w:noProof/>
        </w:rPr>
      </w:r>
      <w:r w:rsidR="00893E3D">
        <w:rPr>
          <w:noProof/>
        </w:rPr>
        <w:fldChar w:fldCharType="separate"/>
      </w:r>
      <w:r w:rsidR="00B2652C">
        <w:rPr>
          <w:noProof/>
        </w:rPr>
        <w:t>35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 xml:space="preserve">Figure 3-11 </w:t>
      </w:r>
      <w:r>
        <w:rPr>
          <w:rFonts w:asciiTheme="minorHAnsi" w:eastAsiaTheme="minorEastAsia" w:hAnsiTheme="minorHAnsi" w:cstheme="minorBidi"/>
          <w:noProof/>
          <w:sz w:val="22"/>
          <w:szCs w:val="22"/>
        </w:rPr>
        <w:tab/>
      </w:r>
      <w:r>
        <w:rPr>
          <w:noProof/>
        </w:rPr>
        <w:t>Industrial Electricity Use by End Use (2013), All Industries, WA and ID</w:t>
      </w:r>
      <w:r>
        <w:rPr>
          <w:noProof/>
        </w:rPr>
        <w:tab/>
      </w:r>
      <w:r w:rsidR="00893E3D">
        <w:rPr>
          <w:noProof/>
        </w:rPr>
        <w:fldChar w:fldCharType="begin"/>
      </w:r>
      <w:r>
        <w:rPr>
          <w:noProof/>
        </w:rPr>
        <w:instrText xml:space="preserve"> PAGEREF _Toc424192711 \h </w:instrText>
      </w:r>
      <w:r w:rsidR="00893E3D">
        <w:rPr>
          <w:noProof/>
        </w:rPr>
      </w:r>
      <w:r w:rsidR="00893E3D">
        <w:rPr>
          <w:noProof/>
        </w:rPr>
        <w:fldChar w:fldCharType="separate"/>
      </w:r>
      <w:r w:rsidR="00B2652C">
        <w:rPr>
          <w:noProof/>
        </w:rPr>
        <w:t>39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w:t>
      </w:r>
      <w:r>
        <w:rPr>
          <w:rFonts w:asciiTheme="minorHAnsi" w:eastAsiaTheme="minorEastAsia" w:hAnsiTheme="minorHAnsi" w:cstheme="minorBidi"/>
          <w:noProof/>
          <w:sz w:val="22"/>
          <w:szCs w:val="22"/>
        </w:rPr>
        <w:tab/>
      </w:r>
      <w:r>
        <w:rPr>
          <w:noProof/>
        </w:rPr>
        <w:t>Residential Baseline Sales Projection by End Use (GWh), Washington</w:t>
      </w:r>
      <w:r>
        <w:rPr>
          <w:noProof/>
        </w:rPr>
        <w:tab/>
      </w:r>
      <w:r w:rsidR="00893E3D">
        <w:rPr>
          <w:noProof/>
        </w:rPr>
        <w:fldChar w:fldCharType="begin"/>
      </w:r>
      <w:r>
        <w:rPr>
          <w:noProof/>
        </w:rPr>
        <w:instrText xml:space="preserve"> PAGEREF _Toc424192712 \h </w:instrText>
      </w:r>
      <w:r w:rsidR="00893E3D">
        <w:rPr>
          <w:noProof/>
        </w:rPr>
      </w:r>
      <w:r w:rsidR="00893E3D">
        <w:rPr>
          <w:noProof/>
        </w:rPr>
        <w:fldChar w:fldCharType="separate"/>
      </w:r>
      <w:r w:rsidR="00B2652C">
        <w:rPr>
          <w:noProof/>
        </w:rPr>
        <w:t>43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4-2</w:t>
      </w:r>
      <w:r>
        <w:rPr>
          <w:rFonts w:asciiTheme="minorHAnsi" w:eastAsiaTheme="minorEastAsia" w:hAnsiTheme="minorHAnsi" w:cstheme="minorBidi"/>
          <w:noProof/>
          <w:sz w:val="22"/>
          <w:szCs w:val="22"/>
        </w:rPr>
        <w:tab/>
      </w:r>
      <w:r>
        <w:rPr>
          <w:noProof/>
        </w:rPr>
        <w:t>Residential Baseline Sales Projection by End Use – Annual Use per Household, Washington</w:t>
      </w:r>
      <w:r>
        <w:rPr>
          <w:noProof/>
        </w:rPr>
        <w:tab/>
      </w:r>
      <w:r w:rsidR="00893E3D">
        <w:rPr>
          <w:noProof/>
        </w:rPr>
        <w:fldChar w:fldCharType="begin"/>
      </w:r>
      <w:r>
        <w:rPr>
          <w:noProof/>
        </w:rPr>
        <w:instrText xml:space="preserve"> PAGEREF _Toc424192713 \h </w:instrText>
      </w:r>
      <w:r w:rsidR="00893E3D">
        <w:rPr>
          <w:noProof/>
        </w:rPr>
      </w:r>
      <w:r w:rsidR="00893E3D">
        <w:rPr>
          <w:noProof/>
        </w:rPr>
        <w:fldChar w:fldCharType="separate"/>
      </w:r>
      <w:r w:rsidR="00B2652C">
        <w:rPr>
          <w:noProof/>
        </w:rPr>
        <w:t>44</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4-3</w:t>
      </w:r>
      <w:r>
        <w:rPr>
          <w:rFonts w:asciiTheme="minorHAnsi" w:eastAsiaTheme="minorEastAsia" w:hAnsiTheme="minorHAnsi" w:cstheme="minorBidi"/>
          <w:noProof/>
          <w:sz w:val="22"/>
          <w:szCs w:val="22"/>
        </w:rPr>
        <w:tab/>
      </w:r>
      <w:r>
        <w:rPr>
          <w:noProof/>
        </w:rPr>
        <w:t>Residential Baseline Projection by End Use (GWh), Idaho</w:t>
      </w:r>
      <w:r>
        <w:rPr>
          <w:noProof/>
        </w:rPr>
        <w:tab/>
      </w:r>
      <w:r w:rsidR="00893E3D">
        <w:rPr>
          <w:noProof/>
        </w:rPr>
        <w:fldChar w:fldCharType="begin"/>
      </w:r>
      <w:r>
        <w:rPr>
          <w:noProof/>
        </w:rPr>
        <w:instrText xml:space="preserve"> PAGEREF _Toc424192714 \h </w:instrText>
      </w:r>
      <w:r w:rsidR="00893E3D">
        <w:rPr>
          <w:noProof/>
        </w:rPr>
      </w:r>
      <w:r w:rsidR="00893E3D">
        <w:rPr>
          <w:noProof/>
        </w:rPr>
        <w:fldChar w:fldCharType="separate"/>
      </w:r>
      <w:r w:rsidR="00B2652C">
        <w:rPr>
          <w:noProof/>
        </w:rPr>
        <w:t>44</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4-4</w:t>
      </w:r>
      <w:r>
        <w:rPr>
          <w:rFonts w:asciiTheme="minorHAnsi" w:eastAsiaTheme="minorEastAsia" w:hAnsiTheme="minorHAnsi" w:cstheme="minorBidi"/>
          <w:noProof/>
          <w:sz w:val="22"/>
          <w:szCs w:val="22"/>
        </w:rPr>
        <w:tab/>
      </w:r>
      <w:r>
        <w:rPr>
          <w:noProof/>
        </w:rPr>
        <w:t>Residential Baseline Sales Projection by End Use – Annual Use per Household, Idaho</w:t>
      </w:r>
      <w:r>
        <w:rPr>
          <w:noProof/>
        </w:rPr>
        <w:tab/>
      </w:r>
      <w:r w:rsidR="00893E3D">
        <w:rPr>
          <w:noProof/>
        </w:rPr>
        <w:fldChar w:fldCharType="begin"/>
      </w:r>
      <w:r>
        <w:rPr>
          <w:noProof/>
        </w:rPr>
        <w:instrText xml:space="preserve"> PAGEREF _Toc424192715 \h </w:instrText>
      </w:r>
      <w:r w:rsidR="00893E3D">
        <w:rPr>
          <w:noProof/>
        </w:rPr>
      </w:r>
      <w:r w:rsidR="00893E3D">
        <w:rPr>
          <w:noProof/>
        </w:rPr>
        <w:fldChar w:fldCharType="separate"/>
      </w:r>
      <w:r w:rsidR="00B2652C">
        <w:rPr>
          <w:noProof/>
        </w:rPr>
        <w:t>45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4-5</w:t>
      </w:r>
      <w:r>
        <w:rPr>
          <w:rFonts w:asciiTheme="minorHAnsi" w:eastAsiaTheme="minorEastAsia" w:hAnsiTheme="minorHAnsi" w:cstheme="minorBidi"/>
          <w:noProof/>
          <w:sz w:val="22"/>
          <w:szCs w:val="22"/>
        </w:rPr>
        <w:tab/>
      </w:r>
      <w:r>
        <w:rPr>
          <w:noProof/>
        </w:rPr>
        <w:t>Residential Summer Peak Baseline Projection by End Use (MW), Washington</w:t>
      </w:r>
      <w:r>
        <w:rPr>
          <w:noProof/>
        </w:rPr>
        <w:tab/>
      </w:r>
      <w:r w:rsidR="00893E3D">
        <w:rPr>
          <w:noProof/>
        </w:rPr>
        <w:fldChar w:fldCharType="begin"/>
      </w:r>
      <w:r>
        <w:rPr>
          <w:noProof/>
        </w:rPr>
        <w:instrText xml:space="preserve"> PAGEREF _Toc424192716 \h </w:instrText>
      </w:r>
      <w:r w:rsidR="00893E3D">
        <w:rPr>
          <w:noProof/>
        </w:rPr>
      </w:r>
      <w:r w:rsidR="00893E3D">
        <w:rPr>
          <w:noProof/>
        </w:rPr>
        <w:fldChar w:fldCharType="separate"/>
      </w:r>
      <w:r w:rsidR="00B2652C">
        <w:rPr>
          <w:noProof/>
        </w:rPr>
        <w:t>46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4-6</w:t>
      </w:r>
      <w:r>
        <w:rPr>
          <w:rFonts w:asciiTheme="minorHAnsi" w:eastAsiaTheme="minorEastAsia" w:hAnsiTheme="minorHAnsi" w:cstheme="minorBidi"/>
          <w:noProof/>
          <w:sz w:val="22"/>
          <w:szCs w:val="22"/>
        </w:rPr>
        <w:tab/>
      </w:r>
      <w:r>
        <w:rPr>
          <w:noProof/>
        </w:rPr>
        <w:t>Residential Summer Peak Baseline Projection by End Use (MW), Idaho</w:t>
      </w:r>
      <w:r>
        <w:rPr>
          <w:noProof/>
        </w:rPr>
        <w:tab/>
      </w:r>
      <w:r w:rsidR="00893E3D">
        <w:rPr>
          <w:noProof/>
        </w:rPr>
        <w:fldChar w:fldCharType="begin"/>
      </w:r>
      <w:r>
        <w:rPr>
          <w:noProof/>
        </w:rPr>
        <w:instrText xml:space="preserve"> PAGEREF _Toc424192717 \h </w:instrText>
      </w:r>
      <w:r w:rsidR="00893E3D">
        <w:rPr>
          <w:noProof/>
        </w:rPr>
      </w:r>
      <w:r w:rsidR="00893E3D">
        <w:rPr>
          <w:noProof/>
        </w:rPr>
        <w:fldChar w:fldCharType="separate"/>
      </w:r>
      <w:r w:rsidR="00B2652C">
        <w:rPr>
          <w:noProof/>
        </w:rPr>
        <w:t>46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4-7</w:t>
      </w:r>
      <w:r>
        <w:rPr>
          <w:rFonts w:asciiTheme="minorHAnsi" w:eastAsiaTheme="minorEastAsia" w:hAnsiTheme="minorHAnsi" w:cstheme="minorBidi"/>
          <w:noProof/>
          <w:sz w:val="22"/>
          <w:szCs w:val="22"/>
        </w:rPr>
        <w:tab/>
      </w:r>
      <w:r>
        <w:rPr>
          <w:noProof/>
        </w:rPr>
        <w:t>Residential Winter Peak Baseline Projection by End Use (MW), Washington</w:t>
      </w:r>
      <w:r>
        <w:rPr>
          <w:noProof/>
        </w:rPr>
        <w:tab/>
      </w:r>
      <w:r w:rsidR="00893E3D">
        <w:rPr>
          <w:noProof/>
        </w:rPr>
        <w:fldChar w:fldCharType="begin"/>
      </w:r>
      <w:r>
        <w:rPr>
          <w:noProof/>
        </w:rPr>
        <w:instrText xml:space="preserve"> PAGEREF _Toc424192718 \h </w:instrText>
      </w:r>
      <w:r w:rsidR="00893E3D">
        <w:rPr>
          <w:noProof/>
        </w:rPr>
      </w:r>
      <w:r w:rsidR="00893E3D">
        <w:rPr>
          <w:noProof/>
        </w:rPr>
        <w:fldChar w:fldCharType="separate"/>
      </w:r>
      <w:r w:rsidR="00B2652C">
        <w:rPr>
          <w:noProof/>
        </w:rPr>
        <w:t>48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4-8</w:t>
      </w:r>
      <w:r>
        <w:rPr>
          <w:rFonts w:asciiTheme="minorHAnsi" w:eastAsiaTheme="minorEastAsia" w:hAnsiTheme="minorHAnsi" w:cstheme="minorBidi"/>
          <w:noProof/>
          <w:sz w:val="22"/>
          <w:szCs w:val="22"/>
        </w:rPr>
        <w:tab/>
      </w:r>
      <w:r>
        <w:rPr>
          <w:noProof/>
        </w:rPr>
        <w:t>Residential Winter Peak Baseline Projection by End Use (MW), Idaho</w:t>
      </w:r>
      <w:r>
        <w:rPr>
          <w:noProof/>
        </w:rPr>
        <w:tab/>
      </w:r>
      <w:r w:rsidR="00893E3D">
        <w:rPr>
          <w:noProof/>
        </w:rPr>
        <w:fldChar w:fldCharType="begin"/>
      </w:r>
      <w:r>
        <w:rPr>
          <w:noProof/>
        </w:rPr>
        <w:instrText xml:space="preserve"> PAGEREF _Toc424192719 \h </w:instrText>
      </w:r>
      <w:r w:rsidR="00893E3D">
        <w:rPr>
          <w:noProof/>
        </w:rPr>
      </w:r>
      <w:r w:rsidR="00893E3D">
        <w:rPr>
          <w:noProof/>
        </w:rPr>
        <w:fldChar w:fldCharType="separate"/>
      </w:r>
      <w:r w:rsidR="00B2652C">
        <w:rPr>
          <w:noProof/>
        </w:rPr>
        <w:t>48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4-9</w:t>
      </w:r>
      <w:r>
        <w:rPr>
          <w:rFonts w:asciiTheme="minorHAnsi" w:eastAsiaTheme="minorEastAsia" w:hAnsiTheme="minorHAnsi" w:cstheme="minorBidi"/>
          <w:noProof/>
          <w:sz w:val="22"/>
          <w:szCs w:val="22"/>
        </w:rPr>
        <w:tab/>
      </w:r>
      <w:r>
        <w:rPr>
          <w:noProof/>
        </w:rPr>
        <w:t>Commercial Baseline Projection by End Use, Washington</w:t>
      </w:r>
      <w:r>
        <w:rPr>
          <w:noProof/>
        </w:rPr>
        <w:tab/>
      </w:r>
      <w:r w:rsidR="00893E3D">
        <w:rPr>
          <w:noProof/>
        </w:rPr>
        <w:fldChar w:fldCharType="begin"/>
      </w:r>
      <w:r>
        <w:rPr>
          <w:noProof/>
        </w:rPr>
        <w:instrText xml:space="preserve"> PAGEREF _Toc424192720 \h </w:instrText>
      </w:r>
      <w:r w:rsidR="00893E3D">
        <w:rPr>
          <w:noProof/>
        </w:rPr>
      </w:r>
      <w:r w:rsidR="00893E3D">
        <w:rPr>
          <w:noProof/>
        </w:rPr>
        <w:fldChar w:fldCharType="separate"/>
      </w:r>
      <w:r w:rsidR="00B2652C">
        <w:rPr>
          <w:noProof/>
        </w:rPr>
        <w:t>50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4-10</w:t>
      </w:r>
      <w:r>
        <w:rPr>
          <w:rFonts w:asciiTheme="minorHAnsi" w:eastAsiaTheme="minorEastAsia" w:hAnsiTheme="minorHAnsi" w:cstheme="minorBidi"/>
          <w:noProof/>
          <w:sz w:val="22"/>
          <w:szCs w:val="22"/>
        </w:rPr>
        <w:tab/>
      </w:r>
      <w:r>
        <w:rPr>
          <w:noProof/>
        </w:rPr>
        <w:t>Commercial Baseline Projection by End Use, Idaho</w:t>
      </w:r>
      <w:r>
        <w:rPr>
          <w:noProof/>
        </w:rPr>
        <w:tab/>
      </w:r>
      <w:r w:rsidR="00893E3D">
        <w:rPr>
          <w:noProof/>
        </w:rPr>
        <w:fldChar w:fldCharType="begin"/>
      </w:r>
      <w:r>
        <w:rPr>
          <w:noProof/>
        </w:rPr>
        <w:instrText xml:space="preserve"> PAGEREF _Toc424192721 \h </w:instrText>
      </w:r>
      <w:r w:rsidR="00893E3D">
        <w:rPr>
          <w:noProof/>
        </w:rPr>
      </w:r>
      <w:r w:rsidR="00893E3D">
        <w:rPr>
          <w:noProof/>
        </w:rPr>
        <w:fldChar w:fldCharType="separate"/>
      </w:r>
      <w:r w:rsidR="00B2652C">
        <w:rPr>
          <w:noProof/>
        </w:rPr>
        <w:t>50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4-11</w:t>
      </w:r>
      <w:r>
        <w:rPr>
          <w:rFonts w:asciiTheme="minorHAnsi" w:eastAsiaTheme="minorEastAsia" w:hAnsiTheme="minorHAnsi" w:cstheme="minorBidi"/>
          <w:noProof/>
          <w:sz w:val="22"/>
          <w:szCs w:val="22"/>
        </w:rPr>
        <w:tab/>
      </w:r>
      <w:r>
        <w:rPr>
          <w:noProof/>
        </w:rPr>
        <w:t>Commercial Summer Peak Baseline Projection by End Use (MW), Washington</w:t>
      </w:r>
      <w:r>
        <w:rPr>
          <w:noProof/>
        </w:rPr>
        <w:tab/>
      </w:r>
      <w:r w:rsidR="00893E3D">
        <w:rPr>
          <w:noProof/>
        </w:rPr>
        <w:fldChar w:fldCharType="begin"/>
      </w:r>
      <w:r>
        <w:rPr>
          <w:noProof/>
        </w:rPr>
        <w:instrText xml:space="preserve"> PAGEREF _Toc424192722 \h </w:instrText>
      </w:r>
      <w:r w:rsidR="00893E3D">
        <w:rPr>
          <w:noProof/>
        </w:rPr>
      </w:r>
      <w:r w:rsidR="00893E3D">
        <w:rPr>
          <w:noProof/>
        </w:rPr>
        <w:fldChar w:fldCharType="separate"/>
      </w:r>
      <w:r w:rsidR="00B2652C">
        <w:rPr>
          <w:noProof/>
        </w:rPr>
        <w:t>52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4-12</w:t>
      </w:r>
      <w:r>
        <w:rPr>
          <w:rFonts w:asciiTheme="minorHAnsi" w:eastAsiaTheme="minorEastAsia" w:hAnsiTheme="minorHAnsi" w:cstheme="minorBidi"/>
          <w:noProof/>
          <w:sz w:val="22"/>
          <w:szCs w:val="22"/>
        </w:rPr>
        <w:tab/>
      </w:r>
      <w:r>
        <w:rPr>
          <w:noProof/>
        </w:rPr>
        <w:t>Commercial Summer Peak Baseline Projection by End Use (MW), Idaho</w:t>
      </w:r>
      <w:r>
        <w:rPr>
          <w:noProof/>
        </w:rPr>
        <w:tab/>
      </w:r>
      <w:r w:rsidR="00893E3D">
        <w:rPr>
          <w:noProof/>
        </w:rPr>
        <w:fldChar w:fldCharType="begin"/>
      </w:r>
      <w:r>
        <w:rPr>
          <w:noProof/>
        </w:rPr>
        <w:instrText xml:space="preserve"> PAGEREF _Toc424192723 \h </w:instrText>
      </w:r>
      <w:r w:rsidR="00893E3D">
        <w:rPr>
          <w:noProof/>
        </w:rPr>
      </w:r>
      <w:r w:rsidR="00893E3D">
        <w:rPr>
          <w:noProof/>
        </w:rPr>
        <w:fldChar w:fldCharType="separate"/>
      </w:r>
      <w:r w:rsidR="00B2652C">
        <w:rPr>
          <w:noProof/>
        </w:rPr>
        <w:t>52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4-13</w:t>
      </w:r>
      <w:r>
        <w:rPr>
          <w:rFonts w:asciiTheme="minorHAnsi" w:eastAsiaTheme="minorEastAsia" w:hAnsiTheme="minorHAnsi" w:cstheme="minorBidi"/>
          <w:noProof/>
          <w:sz w:val="22"/>
          <w:szCs w:val="22"/>
        </w:rPr>
        <w:tab/>
      </w:r>
      <w:r>
        <w:rPr>
          <w:noProof/>
        </w:rPr>
        <w:t>Commercial Winter Peak Baseline Projection by End Use (MW), Washington</w:t>
      </w:r>
      <w:r>
        <w:rPr>
          <w:noProof/>
        </w:rPr>
        <w:tab/>
      </w:r>
      <w:r w:rsidR="00893E3D">
        <w:rPr>
          <w:noProof/>
        </w:rPr>
        <w:fldChar w:fldCharType="begin"/>
      </w:r>
      <w:r>
        <w:rPr>
          <w:noProof/>
        </w:rPr>
        <w:instrText xml:space="preserve"> PAGEREF _Toc424192724 \h </w:instrText>
      </w:r>
      <w:r w:rsidR="00893E3D">
        <w:rPr>
          <w:noProof/>
        </w:rPr>
      </w:r>
      <w:r w:rsidR="00893E3D">
        <w:rPr>
          <w:noProof/>
        </w:rPr>
        <w:fldChar w:fldCharType="separate"/>
      </w:r>
      <w:r w:rsidR="00B2652C">
        <w:rPr>
          <w:noProof/>
        </w:rPr>
        <w:t>54</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4-14</w:t>
      </w:r>
      <w:r>
        <w:rPr>
          <w:rFonts w:asciiTheme="minorHAnsi" w:eastAsiaTheme="minorEastAsia" w:hAnsiTheme="minorHAnsi" w:cstheme="minorBidi"/>
          <w:noProof/>
          <w:sz w:val="22"/>
          <w:szCs w:val="22"/>
        </w:rPr>
        <w:tab/>
      </w:r>
      <w:r>
        <w:rPr>
          <w:noProof/>
        </w:rPr>
        <w:t>Commercial Winter Peak Baseline Projection by End Use (MW), Idaho</w:t>
      </w:r>
      <w:r>
        <w:rPr>
          <w:noProof/>
        </w:rPr>
        <w:tab/>
      </w:r>
      <w:r w:rsidR="00893E3D">
        <w:rPr>
          <w:noProof/>
        </w:rPr>
        <w:fldChar w:fldCharType="begin"/>
      </w:r>
      <w:r>
        <w:rPr>
          <w:noProof/>
        </w:rPr>
        <w:instrText xml:space="preserve"> PAGEREF _Toc424192725 \h </w:instrText>
      </w:r>
      <w:r w:rsidR="00893E3D">
        <w:rPr>
          <w:noProof/>
        </w:rPr>
      </w:r>
      <w:r w:rsidR="00893E3D">
        <w:rPr>
          <w:noProof/>
        </w:rPr>
        <w:fldChar w:fldCharType="separate"/>
      </w:r>
      <w:r w:rsidR="00B2652C">
        <w:rPr>
          <w:noProof/>
        </w:rPr>
        <w:t>54</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4-15</w:t>
      </w:r>
      <w:r>
        <w:rPr>
          <w:rFonts w:asciiTheme="minorHAnsi" w:eastAsiaTheme="minorEastAsia" w:hAnsiTheme="minorHAnsi" w:cstheme="minorBidi"/>
          <w:noProof/>
          <w:sz w:val="22"/>
          <w:szCs w:val="22"/>
        </w:rPr>
        <w:tab/>
      </w:r>
      <w:r>
        <w:rPr>
          <w:noProof/>
        </w:rPr>
        <w:t>Industrial Baseline Projection by End Use (GWh), Washington</w:t>
      </w:r>
      <w:r>
        <w:rPr>
          <w:noProof/>
        </w:rPr>
        <w:tab/>
      </w:r>
      <w:r w:rsidR="00893E3D">
        <w:rPr>
          <w:noProof/>
        </w:rPr>
        <w:fldChar w:fldCharType="begin"/>
      </w:r>
      <w:r>
        <w:rPr>
          <w:noProof/>
        </w:rPr>
        <w:instrText xml:space="preserve"> PAGEREF _Toc424192726 \h </w:instrText>
      </w:r>
      <w:r w:rsidR="00893E3D">
        <w:rPr>
          <w:noProof/>
        </w:rPr>
      </w:r>
      <w:r w:rsidR="00893E3D">
        <w:rPr>
          <w:noProof/>
        </w:rPr>
        <w:fldChar w:fldCharType="separate"/>
      </w:r>
      <w:r w:rsidR="00B2652C">
        <w:rPr>
          <w:noProof/>
        </w:rPr>
        <w:t>56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4-16</w:t>
      </w:r>
      <w:r>
        <w:rPr>
          <w:rFonts w:asciiTheme="minorHAnsi" w:eastAsiaTheme="minorEastAsia" w:hAnsiTheme="minorHAnsi" w:cstheme="minorBidi"/>
          <w:noProof/>
          <w:sz w:val="22"/>
          <w:szCs w:val="22"/>
        </w:rPr>
        <w:tab/>
      </w:r>
      <w:r>
        <w:rPr>
          <w:noProof/>
        </w:rPr>
        <w:t>Industrial Baseline Projection by End Use (GWh), Idaho</w:t>
      </w:r>
      <w:r>
        <w:rPr>
          <w:noProof/>
        </w:rPr>
        <w:tab/>
      </w:r>
      <w:r w:rsidR="00893E3D">
        <w:rPr>
          <w:noProof/>
        </w:rPr>
        <w:fldChar w:fldCharType="begin"/>
      </w:r>
      <w:r>
        <w:rPr>
          <w:noProof/>
        </w:rPr>
        <w:instrText xml:space="preserve"> PAGEREF _Toc424192727 \h </w:instrText>
      </w:r>
      <w:r w:rsidR="00893E3D">
        <w:rPr>
          <w:noProof/>
        </w:rPr>
      </w:r>
      <w:r w:rsidR="00893E3D">
        <w:rPr>
          <w:noProof/>
        </w:rPr>
        <w:fldChar w:fldCharType="separate"/>
      </w:r>
      <w:r w:rsidR="00B2652C">
        <w:rPr>
          <w:noProof/>
        </w:rPr>
        <w:t>56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4-17</w:t>
      </w:r>
      <w:r>
        <w:rPr>
          <w:rFonts w:asciiTheme="minorHAnsi" w:eastAsiaTheme="minorEastAsia" w:hAnsiTheme="minorHAnsi" w:cstheme="minorBidi"/>
          <w:noProof/>
          <w:sz w:val="22"/>
          <w:szCs w:val="22"/>
        </w:rPr>
        <w:tab/>
      </w:r>
      <w:r>
        <w:rPr>
          <w:noProof/>
        </w:rPr>
        <w:t>Industrial Summer Peak Baseline Projection by End Use (MW), Washington</w:t>
      </w:r>
      <w:r>
        <w:rPr>
          <w:noProof/>
        </w:rPr>
        <w:tab/>
      </w:r>
      <w:r w:rsidR="00893E3D">
        <w:rPr>
          <w:noProof/>
        </w:rPr>
        <w:fldChar w:fldCharType="begin"/>
      </w:r>
      <w:r>
        <w:rPr>
          <w:noProof/>
        </w:rPr>
        <w:instrText xml:space="preserve"> PAGEREF _Toc424192728 \h </w:instrText>
      </w:r>
      <w:r w:rsidR="00893E3D">
        <w:rPr>
          <w:noProof/>
        </w:rPr>
      </w:r>
      <w:r w:rsidR="00893E3D">
        <w:rPr>
          <w:noProof/>
        </w:rPr>
        <w:fldChar w:fldCharType="separate"/>
      </w:r>
      <w:r w:rsidR="00B2652C">
        <w:rPr>
          <w:noProof/>
        </w:rPr>
        <w:t>58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4-18</w:t>
      </w:r>
      <w:r>
        <w:rPr>
          <w:rFonts w:asciiTheme="minorHAnsi" w:eastAsiaTheme="minorEastAsia" w:hAnsiTheme="minorHAnsi" w:cstheme="minorBidi"/>
          <w:noProof/>
          <w:sz w:val="22"/>
          <w:szCs w:val="22"/>
        </w:rPr>
        <w:tab/>
      </w:r>
      <w:r>
        <w:rPr>
          <w:noProof/>
        </w:rPr>
        <w:t>Industrial Summer Peak Baseline Projection by End Use (MW), Idaho</w:t>
      </w:r>
      <w:r>
        <w:rPr>
          <w:noProof/>
        </w:rPr>
        <w:tab/>
      </w:r>
      <w:r w:rsidR="00893E3D">
        <w:rPr>
          <w:noProof/>
        </w:rPr>
        <w:fldChar w:fldCharType="begin"/>
      </w:r>
      <w:r>
        <w:rPr>
          <w:noProof/>
        </w:rPr>
        <w:instrText xml:space="preserve"> PAGEREF _Toc424192729 \h </w:instrText>
      </w:r>
      <w:r w:rsidR="00893E3D">
        <w:rPr>
          <w:noProof/>
        </w:rPr>
      </w:r>
      <w:r w:rsidR="00893E3D">
        <w:rPr>
          <w:noProof/>
        </w:rPr>
        <w:fldChar w:fldCharType="separate"/>
      </w:r>
      <w:r w:rsidR="00B2652C">
        <w:rPr>
          <w:noProof/>
        </w:rPr>
        <w:t>58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4-19</w:t>
      </w:r>
      <w:r>
        <w:rPr>
          <w:rFonts w:asciiTheme="minorHAnsi" w:eastAsiaTheme="minorEastAsia" w:hAnsiTheme="minorHAnsi" w:cstheme="minorBidi"/>
          <w:noProof/>
          <w:sz w:val="22"/>
          <w:szCs w:val="22"/>
        </w:rPr>
        <w:tab/>
      </w:r>
      <w:r>
        <w:rPr>
          <w:noProof/>
        </w:rPr>
        <w:t>Industrial Winter Peak Baseline Projection by End Use (MW), Washington</w:t>
      </w:r>
      <w:r>
        <w:rPr>
          <w:noProof/>
        </w:rPr>
        <w:tab/>
      </w:r>
      <w:r w:rsidR="00893E3D">
        <w:rPr>
          <w:noProof/>
        </w:rPr>
        <w:fldChar w:fldCharType="begin"/>
      </w:r>
      <w:r>
        <w:rPr>
          <w:noProof/>
        </w:rPr>
        <w:instrText xml:space="preserve"> PAGEREF _Toc424192730 \h </w:instrText>
      </w:r>
      <w:r w:rsidR="00893E3D">
        <w:rPr>
          <w:noProof/>
        </w:rPr>
      </w:r>
      <w:r w:rsidR="00893E3D">
        <w:rPr>
          <w:noProof/>
        </w:rPr>
        <w:fldChar w:fldCharType="separate"/>
      </w:r>
      <w:r w:rsidR="00B2652C">
        <w:rPr>
          <w:noProof/>
        </w:rPr>
        <w:t>60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4-20</w:t>
      </w:r>
      <w:r>
        <w:rPr>
          <w:rFonts w:asciiTheme="minorHAnsi" w:eastAsiaTheme="minorEastAsia" w:hAnsiTheme="minorHAnsi" w:cstheme="minorBidi"/>
          <w:noProof/>
          <w:sz w:val="22"/>
          <w:szCs w:val="22"/>
        </w:rPr>
        <w:tab/>
      </w:r>
      <w:r>
        <w:rPr>
          <w:noProof/>
        </w:rPr>
        <w:t>Industrial Winter Peak Baseline Projection by End Use (MW), Idaho</w:t>
      </w:r>
      <w:r>
        <w:rPr>
          <w:noProof/>
        </w:rPr>
        <w:tab/>
      </w:r>
      <w:r w:rsidR="00893E3D">
        <w:rPr>
          <w:noProof/>
        </w:rPr>
        <w:fldChar w:fldCharType="begin"/>
      </w:r>
      <w:r>
        <w:rPr>
          <w:noProof/>
        </w:rPr>
        <w:instrText xml:space="preserve"> PAGEREF _Toc424192731 \h </w:instrText>
      </w:r>
      <w:r w:rsidR="00893E3D">
        <w:rPr>
          <w:noProof/>
        </w:rPr>
      </w:r>
      <w:r w:rsidR="00893E3D">
        <w:rPr>
          <w:noProof/>
        </w:rPr>
        <w:fldChar w:fldCharType="separate"/>
      </w:r>
      <w:r w:rsidR="00B2652C">
        <w:rPr>
          <w:noProof/>
        </w:rPr>
        <w:t>60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4-21</w:t>
      </w:r>
      <w:r>
        <w:rPr>
          <w:rFonts w:asciiTheme="minorHAnsi" w:eastAsiaTheme="minorEastAsia" w:hAnsiTheme="minorHAnsi" w:cstheme="minorBidi"/>
          <w:noProof/>
          <w:sz w:val="22"/>
          <w:szCs w:val="22"/>
        </w:rPr>
        <w:tab/>
      </w:r>
      <w:r>
        <w:rPr>
          <w:noProof/>
        </w:rPr>
        <w:t>Baseline Projection Summary (GWh), WA and ID Combined</w:t>
      </w:r>
      <w:r>
        <w:rPr>
          <w:noProof/>
        </w:rPr>
        <w:tab/>
      </w:r>
      <w:r w:rsidR="00893E3D">
        <w:rPr>
          <w:noProof/>
        </w:rPr>
        <w:fldChar w:fldCharType="begin"/>
      </w:r>
      <w:r>
        <w:rPr>
          <w:noProof/>
        </w:rPr>
        <w:instrText xml:space="preserve"> PAGEREF _Toc424192732 \h </w:instrText>
      </w:r>
      <w:r w:rsidR="00893E3D">
        <w:rPr>
          <w:noProof/>
        </w:rPr>
      </w:r>
      <w:r w:rsidR="00893E3D">
        <w:rPr>
          <w:noProof/>
        </w:rPr>
        <w:fldChar w:fldCharType="separate"/>
      </w:r>
      <w:r w:rsidR="00B2652C">
        <w:rPr>
          <w:noProof/>
        </w:rPr>
        <w:t>61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4-22</w:t>
      </w:r>
      <w:r>
        <w:rPr>
          <w:rFonts w:asciiTheme="minorHAnsi" w:eastAsiaTheme="minorEastAsia" w:hAnsiTheme="minorHAnsi" w:cstheme="minorBidi"/>
          <w:noProof/>
          <w:sz w:val="22"/>
          <w:szCs w:val="22"/>
        </w:rPr>
        <w:tab/>
      </w:r>
      <w:r>
        <w:rPr>
          <w:noProof/>
        </w:rPr>
        <w:t>Baseline Summer Peak Projection Summary (MW), WA and ID Combined</w:t>
      </w:r>
      <w:r>
        <w:rPr>
          <w:noProof/>
        </w:rPr>
        <w:tab/>
      </w:r>
      <w:r w:rsidR="00893E3D">
        <w:rPr>
          <w:noProof/>
        </w:rPr>
        <w:fldChar w:fldCharType="begin"/>
      </w:r>
      <w:r>
        <w:rPr>
          <w:noProof/>
        </w:rPr>
        <w:instrText xml:space="preserve"> PAGEREF _Toc424192733 \h </w:instrText>
      </w:r>
      <w:r w:rsidR="00893E3D">
        <w:rPr>
          <w:noProof/>
        </w:rPr>
      </w:r>
      <w:r w:rsidR="00893E3D">
        <w:rPr>
          <w:noProof/>
        </w:rPr>
        <w:fldChar w:fldCharType="separate"/>
      </w:r>
      <w:r w:rsidR="00B2652C">
        <w:rPr>
          <w:noProof/>
        </w:rPr>
        <w:t>62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4-23</w:t>
      </w:r>
      <w:r>
        <w:rPr>
          <w:rFonts w:asciiTheme="minorHAnsi" w:eastAsiaTheme="minorEastAsia" w:hAnsiTheme="minorHAnsi" w:cstheme="minorBidi"/>
          <w:noProof/>
          <w:sz w:val="22"/>
          <w:szCs w:val="22"/>
        </w:rPr>
        <w:tab/>
      </w:r>
      <w:r>
        <w:rPr>
          <w:noProof/>
        </w:rPr>
        <w:t>Baseline Winter Peak Projection Summary (MW), WA and ID Combined</w:t>
      </w:r>
      <w:r>
        <w:rPr>
          <w:noProof/>
        </w:rPr>
        <w:tab/>
      </w:r>
      <w:r w:rsidR="00893E3D">
        <w:rPr>
          <w:noProof/>
        </w:rPr>
        <w:fldChar w:fldCharType="begin"/>
      </w:r>
      <w:r>
        <w:rPr>
          <w:noProof/>
        </w:rPr>
        <w:instrText xml:space="preserve"> PAGEREF _Toc424192734 \h </w:instrText>
      </w:r>
      <w:r w:rsidR="00893E3D">
        <w:rPr>
          <w:noProof/>
        </w:rPr>
      </w:r>
      <w:r w:rsidR="00893E3D">
        <w:rPr>
          <w:noProof/>
        </w:rPr>
        <w:fldChar w:fldCharType="separate"/>
      </w:r>
      <w:r w:rsidR="00B2652C">
        <w:rPr>
          <w:noProof/>
        </w:rPr>
        <w:t>63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5-1</w:t>
      </w:r>
      <w:r>
        <w:rPr>
          <w:rFonts w:asciiTheme="minorHAnsi" w:eastAsiaTheme="minorEastAsia" w:hAnsiTheme="minorHAnsi" w:cstheme="minorBidi"/>
          <w:noProof/>
          <w:sz w:val="22"/>
          <w:szCs w:val="22"/>
        </w:rPr>
        <w:tab/>
      </w:r>
      <w:r>
        <w:rPr>
          <w:noProof/>
        </w:rPr>
        <w:t>Summary of EE Potential as % of Baseline Projection (Annual Energy), Washington</w:t>
      </w:r>
      <w:r>
        <w:rPr>
          <w:noProof/>
        </w:rPr>
        <w:tab/>
      </w:r>
      <w:r w:rsidR="00893E3D">
        <w:rPr>
          <w:noProof/>
        </w:rPr>
        <w:fldChar w:fldCharType="begin"/>
      </w:r>
      <w:r>
        <w:rPr>
          <w:noProof/>
        </w:rPr>
        <w:instrText xml:space="preserve"> PAGEREF _Toc424192735 \h </w:instrText>
      </w:r>
      <w:r w:rsidR="00893E3D">
        <w:rPr>
          <w:noProof/>
        </w:rPr>
      </w:r>
      <w:r w:rsidR="00893E3D">
        <w:rPr>
          <w:noProof/>
        </w:rPr>
        <w:fldChar w:fldCharType="separate"/>
      </w:r>
      <w:r w:rsidR="00B2652C">
        <w:rPr>
          <w:noProof/>
        </w:rPr>
        <w:t>66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5-2</w:t>
      </w:r>
      <w:r>
        <w:rPr>
          <w:rFonts w:asciiTheme="minorHAnsi" w:eastAsiaTheme="minorEastAsia" w:hAnsiTheme="minorHAnsi" w:cstheme="minorBidi"/>
          <w:noProof/>
          <w:sz w:val="22"/>
          <w:szCs w:val="22"/>
        </w:rPr>
        <w:tab/>
      </w:r>
      <w:r>
        <w:rPr>
          <w:noProof/>
        </w:rPr>
        <w:t>Summary of EE Potential as % of Baseline Projection (Annual Energy), Idaho</w:t>
      </w:r>
      <w:r>
        <w:rPr>
          <w:noProof/>
        </w:rPr>
        <w:tab/>
      </w:r>
      <w:r w:rsidR="00893E3D">
        <w:rPr>
          <w:noProof/>
        </w:rPr>
        <w:fldChar w:fldCharType="begin"/>
      </w:r>
      <w:r>
        <w:rPr>
          <w:noProof/>
        </w:rPr>
        <w:instrText xml:space="preserve"> PAGEREF _Toc424192736 \h </w:instrText>
      </w:r>
      <w:r w:rsidR="00893E3D">
        <w:rPr>
          <w:noProof/>
        </w:rPr>
      </w:r>
      <w:r w:rsidR="00893E3D">
        <w:rPr>
          <w:noProof/>
        </w:rPr>
        <w:fldChar w:fldCharType="separate"/>
      </w:r>
      <w:r w:rsidR="00B2652C">
        <w:rPr>
          <w:noProof/>
        </w:rPr>
        <w:t>66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5-3</w:t>
      </w:r>
      <w:r>
        <w:rPr>
          <w:rFonts w:asciiTheme="minorHAnsi" w:eastAsiaTheme="minorEastAsia" w:hAnsiTheme="minorHAnsi" w:cstheme="minorBidi"/>
          <w:noProof/>
          <w:sz w:val="22"/>
          <w:szCs w:val="22"/>
        </w:rPr>
        <w:tab/>
      </w:r>
      <w:r>
        <w:rPr>
          <w:noProof/>
        </w:rPr>
        <w:t>Baseline Projection and EE Forecast Summary (Annual Energy, GWh), Washington</w:t>
      </w:r>
      <w:r>
        <w:rPr>
          <w:noProof/>
        </w:rPr>
        <w:tab/>
      </w:r>
      <w:r w:rsidR="00893E3D">
        <w:rPr>
          <w:noProof/>
        </w:rPr>
        <w:fldChar w:fldCharType="begin"/>
      </w:r>
      <w:r>
        <w:rPr>
          <w:noProof/>
        </w:rPr>
        <w:instrText xml:space="preserve"> PAGEREF _Toc424192737 \h </w:instrText>
      </w:r>
      <w:r w:rsidR="00893E3D">
        <w:rPr>
          <w:noProof/>
        </w:rPr>
      </w:r>
      <w:r w:rsidR="00893E3D">
        <w:rPr>
          <w:noProof/>
        </w:rPr>
        <w:fldChar w:fldCharType="separate"/>
      </w:r>
      <w:r w:rsidR="00B2652C">
        <w:rPr>
          <w:noProof/>
        </w:rPr>
        <w:t>67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lastRenderedPageBreak/>
        <w:t>Figure 5-4</w:t>
      </w:r>
      <w:r>
        <w:rPr>
          <w:rFonts w:asciiTheme="minorHAnsi" w:eastAsiaTheme="minorEastAsia" w:hAnsiTheme="minorHAnsi" w:cstheme="minorBidi"/>
          <w:noProof/>
          <w:sz w:val="22"/>
          <w:szCs w:val="22"/>
        </w:rPr>
        <w:tab/>
      </w:r>
      <w:r>
        <w:rPr>
          <w:noProof/>
        </w:rPr>
        <w:t>Baseline Projection and EE Forecast Summary (Annual Energy, GWh), Idaho</w:t>
      </w:r>
      <w:r>
        <w:rPr>
          <w:noProof/>
        </w:rPr>
        <w:tab/>
      </w:r>
      <w:r w:rsidR="00893E3D">
        <w:rPr>
          <w:noProof/>
        </w:rPr>
        <w:fldChar w:fldCharType="begin"/>
      </w:r>
      <w:r>
        <w:rPr>
          <w:noProof/>
        </w:rPr>
        <w:instrText xml:space="preserve"> PAGEREF _Toc424192738 \h </w:instrText>
      </w:r>
      <w:r w:rsidR="00893E3D">
        <w:rPr>
          <w:noProof/>
        </w:rPr>
      </w:r>
      <w:r w:rsidR="00893E3D">
        <w:rPr>
          <w:noProof/>
        </w:rPr>
        <w:fldChar w:fldCharType="separate"/>
      </w:r>
      <w:r w:rsidR="00B2652C">
        <w:rPr>
          <w:noProof/>
        </w:rPr>
        <w:t>67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5-5</w:t>
      </w:r>
      <w:r>
        <w:rPr>
          <w:rFonts w:asciiTheme="minorHAnsi" w:eastAsiaTheme="minorEastAsia" w:hAnsiTheme="minorHAnsi" w:cstheme="minorBidi"/>
          <w:noProof/>
          <w:sz w:val="22"/>
          <w:szCs w:val="22"/>
        </w:rPr>
        <w:tab/>
      </w:r>
      <w:r>
        <w:rPr>
          <w:noProof/>
        </w:rPr>
        <w:t>Achievable Conservation Potential by Sector (Annual Energy, GWh)</w:t>
      </w:r>
      <w:r>
        <w:rPr>
          <w:noProof/>
        </w:rPr>
        <w:tab/>
      </w:r>
      <w:r w:rsidR="00893E3D">
        <w:rPr>
          <w:noProof/>
        </w:rPr>
        <w:fldChar w:fldCharType="begin"/>
      </w:r>
      <w:r>
        <w:rPr>
          <w:noProof/>
        </w:rPr>
        <w:instrText xml:space="preserve"> PAGEREF _Toc424192739 \h </w:instrText>
      </w:r>
      <w:r w:rsidR="00893E3D">
        <w:rPr>
          <w:noProof/>
        </w:rPr>
      </w:r>
      <w:r w:rsidR="00893E3D">
        <w:rPr>
          <w:noProof/>
        </w:rPr>
        <w:fldChar w:fldCharType="separate"/>
      </w:r>
      <w:r w:rsidR="00B2652C">
        <w:rPr>
          <w:noProof/>
        </w:rPr>
        <w:t>68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5-6</w:t>
      </w:r>
      <w:r>
        <w:rPr>
          <w:rFonts w:asciiTheme="minorHAnsi" w:eastAsiaTheme="minorEastAsia" w:hAnsiTheme="minorHAnsi" w:cstheme="minorBidi"/>
          <w:noProof/>
          <w:sz w:val="22"/>
          <w:szCs w:val="22"/>
        </w:rPr>
        <w:tab/>
      </w:r>
      <w:r>
        <w:rPr>
          <w:noProof/>
        </w:rPr>
        <w:t>Residential Conservation Savings as a % of the Baseline Projection (Annual Energy), Washington</w:t>
      </w:r>
      <w:r>
        <w:rPr>
          <w:noProof/>
        </w:rPr>
        <w:tab/>
      </w:r>
      <w:r w:rsidR="00893E3D">
        <w:rPr>
          <w:noProof/>
        </w:rPr>
        <w:fldChar w:fldCharType="begin"/>
      </w:r>
      <w:r>
        <w:rPr>
          <w:noProof/>
        </w:rPr>
        <w:instrText xml:space="preserve"> PAGEREF _Toc424192740 \h </w:instrText>
      </w:r>
      <w:r w:rsidR="00893E3D">
        <w:rPr>
          <w:noProof/>
        </w:rPr>
      </w:r>
      <w:r w:rsidR="00893E3D">
        <w:rPr>
          <w:noProof/>
        </w:rPr>
        <w:fldChar w:fldCharType="separate"/>
      </w:r>
      <w:r w:rsidR="00B2652C">
        <w:rPr>
          <w:noProof/>
        </w:rPr>
        <w:t>70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5-7</w:t>
      </w:r>
      <w:r>
        <w:rPr>
          <w:rFonts w:asciiTheme="minorHAnsi" w:eastAsiaTheme="minorEastAsia" w:hAnsiTheme="minorHAnsi" w:cstheme="minorBidi"/>
          <w:noProof/>
          <w:sz w:val="22"/>
          <w:szCs w:val="22"/>
        </w:rPr>
        <w:tab/>
      </w:r>
      <w:r>
        <w:rPr>
          <w:noProof/>
        </w:rPr>
        <w:t>Residential Conservation Savings as a % of the Baseline Projection (Annual Energy), Idaho</w:t>
      </w:r>
      <w:r>
        <w:rPr>
          <w:noProof/>
        </w:rPr>
        <w:tab/>
      </w:r>
      <w:r w:rsidR="00893E3D">
        <w:rPr>
          <w:noProof/>
        </w:rPr>
        <w:fldChar w:fldCharType="begin"/>
      </w:r>
      <w:r>
        <w:rPr>
          <w:noProof/>
        </w:rPr>
        <w:instrText xml:space="preserve"> PAGEREF _Toc424192741 \h </w:instrText>
      </w:r>
      <w:r w:rsidR="00893E3D">
        <w:rPr>
          <w:noProof/>
        </w:rPr>
      </w:r>
      <w:r w:rsidR="00893E3D">
        <w:rPr>
          <w:noProof/>
        </w:rPr>
        <w:fldChar w:fldCharType="separate"/>
      </w:r>
      <w:r w:rsidR="00B2652C">
        <w:rPr>
          <w:noProof/>
        </w:rPr>
        <w:t>71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5-8</w:t>
      </w:r>
      <w:r>
        <w:rPr>
          <w:rFonts w:asciiTheme="minorHAnsi" w:eastAsiaTheme="minorEastAsia" w:hAnsiTheme="minorHAnsi" w:cstheme="minorBidi"/>
          <w:noProof/>
          <w:sz w:val="22"/>
          <w:szCs w:val="22"/>
        </w:rPr>
        <w:tab/>
      </w:r>
      <w:r>
        <w:rPr>
          <w:noProof/>
        </w:rPr>
        <w:t>Residential Achievable Savings Forecast (Cumulative GWh), Washington</w:t>
      </w:r>
      <w:r>
        <w:rPr>
          <w:noProof/>
        </w:rPr>
        <w:tab/>
      </w:r>
      <w:r w:rsidR="00893E3D">
        <w:rPr>
          <w:noProof/>
        </w:rPr>
        <w:fldChar w:fldCharType="begin"/>
      </w:r>
      <w:r>
        <w:rPr>
          <w:noProof/>
        </w:rPr>
        <w:instrText xml:space="preserve"> PAGEREF _Toc424192742 \h </w:instrText>
      </w:r>
      <w:r w:rsidR="00893E3D">
        <w:rPr>
          <w:noProof/>
        </w:rPr>
      </w:r>
      <w:r w:rsidR="00893E3D">
        <w:rPr>
          <w:noProof/>
        </w:rPr>
        <w:fldChar w:fldCharType="separate"/>
      </w:r>
      <w:r w:rsidR="00B2652C">
        <w:rPr>
          <w:noProof/>
        </w:rPr>
        <w:t>74</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5-9</w:t>
      </w:r>
      <w:r>
        <w:rPr>
          <w:rFonts w:asciiTheme="minorHAnsi" w:eastAsiaTheme="minorEastAsia" w:hAnsiTheme="minorHAnsi" w:cstheme="minorBidi"/>
          <w:noProof/>
          <w:sz w:val="22"/>
          <w:szCs w:val="22"/>
        </w:rPr>
        <w:tab/>
      </w:r>
      <w:r>
        <w:rPr>
          <w:noProof/>
        </w:rPr>
        <w:t>Residential Achievable Savings Forecast (Cumulative GWh), Idaho</w:t>
      </w:r>
      <w:r>
        <w:rPr>
          <w:noProof/>
        </w:rPr>
        <w:tab/>
      </w:r>
      <w:r w:rsidR="00893E3D">
        <w:rPr>
          <w:noProof/>
        </w:rPr>
        <w:fldChar w:fldCharType="begin"/>
      </w:r>
      <w:r>
        <w:rPr>
          <w:noProof/>
        </w:rPr>
        <w:instrText xml:space="preserve"> PAGEREF _Toc424192743 \h </w:instrText>
      </w:r>
      <w:r w:rsidR="00893E3D">
        <w:rPr>
          <w:noProof/>
        </w:rPr>
      </w:r>
      <w:r w:rsidR="00893E3D">
        <w:rPr>
          <w:noProof/>
        </w:rPr>
        <w:fldChar w:fldCharType="separate"/>
      </w:r>
      <w:r w:rsidR="00B2652C">
        <w:rPr>
          <w:noProof/>
        </w:rPr>
        <w:t>76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5-10</w:t>
      </w:r>
      <w:r>
        <w:rPr>
          <w:rFonts w:asciiTheme="minorHAnsi" w:eastAsiaTheme="minorEastAsia" w:hAnsiTheme="minorHAnsi" w:cstheme="minorBidi"/>
          <w:noProof/>
          <w:sz w:val="22"/>
          <w:szCs w:val="22"/>
        </w:rPr>
        <w:tab/>
      </w:r>
      <w:r>
        <w:rPr>
          <w:noProof/>
        </w:rPr>
        <w:t>Commercial Conservation Savings (Energy), Washington</w:t>
      </w:r>
      <w:r>
        <w:rPr>
          <w:noProof/>
        </w:rPr>
        <w:tab/>
      </w:r>
      <w:r w:rsidR="00893E3D">
        <w:rPr>
          <w:noProof/>
        </w:rPr>
        <w:fldChar w:fldCharType="begin"/>
      </w:r>
      <w:r>
        <w:rPr>
          <w:noProof/>
        </w:rPr>
        <w:instrText xml:space="preserve"> PAGEREF _Toc424192744 \h </w:instrText>
      </w:r>
      <w:r w:rsidR="00893E3D">
        <w:rPr>
          <w:noProof/>
        </w:rPr>
      </w:r>
      <w:r w:rsidR="00893E3D">
        <w:rPr>
          <w:noProof/>
        </w:rPr>
        <w:fldChar w:fldCharType="separate"/>
      </w:r>
      <w:r w:rsidR="00B2652C">
        <w:rPr>
          <w:noProof/>
        </w:rPr>
        <w:t>78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5-11</w:t>
      </w:r>
      <w:r>
        <w:rPr>
          <w:rFonts w:asciiTheme="minorHAnsi" w:eastAsiaTheme="minorEastAsia" w:hAnsiTheme="minorHAnsi" w:cstheme="minorBidi"/>
          <w:noProof/>
          <w:sz w:val="22"/>
          <w:szCs w:val="22"/>
        </w:rPr>
        <w:tab/>
      </w:r>
      <w:r>
        <w:rPr>
          <w:noProof/>
        </w:rPr>
        <w:t>Commercial Conservation Savings (Energy), Idaho</w:t>
      </w:r>
      <w:r>
        <w:rPr>
          <w:noProof/>
        </w:rPr>
        <w:tab/>
      </w:r>
      <w:r w:rsidR="00893E3D">
        <w:rPr>
          <w:noProof/>
        </w:rPr>
        <w:fldChar w:fldCharType="begin"/>
      </w:r>
      <w:r>
        <w:rPr>
          <w:noProof/>
        </w:rPr>
        <w:instrText xml:space="preserve"> PAGEREF _Toc424192745 \h </w:instrText>
      </w:r>
      <w:r w:rsidR="00893E3D">
        <w:rPr>
          <w:noProof/>
        </w:rPr>
      </w:r>
      <w:r w:rsidR="00893E3D">
        <w:rPr>
          <w:noProof/>
        </w:rPr>
        <w:fldChar w:fldCharType="separate"/>
      </w:r>
      <w:r w:rsidR="00B2652C">
        <w:rPr>
          <w:noProof/>
        </w:rPr>
        <w:t>79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5-12</w:t>
      </w:r>
      <w:r>
        <w:rPr>
          <w:rFonts w:asciiTheme="minorHAnsi" w:eastAsiaTheme="minorEastAsia" w:hAnsiTheme="minorHAnsi" w:cstheme="minorBidi"/>
          <w:noProof/>
          <w:sz w:val="22"/>
          <w:szCs w:val="22"/>
        </w:rPr>
        <w:tab/>
      </w:r>
      <w:r>
        <w:rPr>
          <w:noProof/>
        </w:rPr>
        <w:t>Commercial Achievable Savings Forecast (Cumulative GWh), Washington</w:t>
      </w:r>
      <w:r>
        <w:rPr>
          <w:noProof/>
        </w:rPr>
        <w:tab/>
      </w:r>
      <w:r w:rsidR="00893E3D">
        <w:rPr>
          <w:noProof/>
        </w:rPr>
        <w:fldChar w:fldCharType="begin"/>
      </w:r>
      <w:r>
        <w:rPr>
          <w:noProof/>
        </w:rPr>
        <w:instrText xml:space="preserve"> PAGEREF _Toc424192746 \h </w:instrText>
      </w:r>
      <w:r w:rsidR="00893E3D">
        <w:rPr>
          <w:noProof/>
        </w:rPr>
      </w:r>
      <w:r w:rsidR="00893E3D">
        <w:rPr>
          <w:noProof/>
        </w:rPr>
        <w:fldChar w:fldCharType="separate"/>
      </w:r>
      <w:r w:rsidR="00B2652C">
        <w:rPr>
          <w:noProof/>
        </w:rPr>
        <w:t>81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5-13</w:t>
      </w:r>
      <w:r>
        <w:rPr>
          <w:rFonts w:asciiTheme="minorHAnsi" w:eastAsiaTheme="minorEastAsia" w:hAnsiTheme="minorHAnsi" w:cstheme="minorBidi"/>
          <w:noProof/>
          <w:sz w:val="22"/>
          <w:szCs w:val="22"/>
        </w:rPr>
        <w:tab/>
      </w:r>
      <w:r>
        <w:rPr>
          <w:noProof/>
        </w:rPr>
        <w:t>Commercial Achievable Savings Forecast (Cumulative GWh), Idaho</w:t>
      </w:r>
      <w:r>
        <w:rPr>
          <w:noProof/>
        </w:rPr>
        <w:tab/>
      </w:r>
      <w:r w:rsidR="00893E3D">
        <w:rPr>
          <w:noProof/>
        </w:rPr>
        <w:fldChar w:fldCharType="begin"/>
      </w:r>
      <w:r>
        <w:rPr>
          <w:noProof/>
        </w:rPr>
        <w:instrText xml:space="preserve"> PAGEREF _Toc424192747 \h </w:instrText>
      </w:r>
      <w:r w:rsidR="00893E3D">
        <w:rPr>
          <w:noProof/>
        </w:rPr>
      </w:r>
      <w:r w:rsidR="00893E3D">
        <w:rPr>
          <w:noProof/>
        </w:rPr>
        <w:fldChar w:fldCharType="separate"/>
      </w:r>
      <w:r w:rsidR="00B2652C">
        <w:rPr>
          <w:noProof/>
        </w:rPr>
        <w:t>82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5-14</w:t>
      </w:r>
      <w:r>
        <w:rPr>
          <w:rFonts w:asciiTheme="minorHAnsi" w:eastAsiaTheme="minorEastAsia" w:hAnsiTheme="minorHAnsi" w:cstheme="minorBidi"/>
          <w:noProof/>
          <w:sz w:val="22"/>
          <w:szCs w:val="22"/>
        </w:rPr>
        <w:tab/>
      </w:r>
      <w:r>
        <w:rPr>
          <w:noProof/>
        </w:rPr>
        <w:t>Industrial Conservation Potential as a % of the Baseline Projection (Annual Energy), Washington</w:t>
      </w:r>
      <w:r>
        <w:rPr>
          <w:noProof/>
        </w:rPr>
        <w:tab/>
      </w:r>
      <w:r w:rsidR="00893E3D">
        <w:rPr>
          <w:noProof/>
        </w:rPr>
        <w:fldChar w:fldCharType="begin"/>
      </w:r>
      <w:r>
        <w:rPr>
          <w:noProof/>
        </w:rPr>
        <w:instrText xml:space="preserve"> PAGEREF _Toc424192748 \h </w:instrText>
      </w:r>
      <w:r w:rsidR="00893E3D">
        <w:rPr>
          <w:noProof/>
        </w:rPr>
      </w:r>
      <w:r w:rsidR="00893E3D">
        <w:rPr>
          <w:noProof/>
        </w:rPr>
        <w:fldChar w:fldCharType="separate"/>
      </w:r>
      <w:r w:rsidR="00B2652C">
        <w:rPr>
          <w:noProof/>
        </w:rPr>
        <w:t>84</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5-15</w:t>
      </w:r>
      <w:r>
        <w:rPr>
          <w:rFonts w:asciiTheme="minorHAnsi" w:eastAsiaTheme="minorEastAsia" w:hAnsiTheme="minorHAnsi" w:cstheme="minorBidi"/>
          <w:noProof/>
          <w:sz w:val="22"/>
          <w:szCs w:val="22"/>
        </w:rPr>
        <w:tab/>
      </w:r>
      <w:r>
        <w:rPr>
          <w:noProof/>
        </w:rPr>
        <w:t>Industrial Conservation Potential as a % of the Baseline Projection (Annual Energy), Idaho</w:t>
      </w:r>
      <w:r>
        <w:rPr>
          <w:noProof/>
        </w:rPr>
        <w:tab/>
      </w:r>
      <w:r w:rsidR="00893E3D">
        <w:rPr>
          <w:noProof/>
        </w:rPr>
        <w:fldChar w:fldCharType="begin"/>
      </w:r>
      <w:r>
        <w:rPr>
          <w:noProof/>
        </w:rPr>
        <w:instrText xml:space="preserve"> PAGEREF _Toc424192749 \h </w:instrText>
      </w:r>
      <w:r w:rsidR="00893E3D">
        <w:rPr>
          <w:noProof/>
        </w:rPr>
      </w:r>
      <w:r w:rsidR="00893E3D">
        <w:rPr>
          <w:noProof/>
        </w:rPr>
        <w:fldChar w:fldCharType="separate"/>
      </w:r>
      <w:r w:rsidR="00B2652C">
        <w:rPr>
          <w:noProof/>
        </w:rPr>
        <w:t>85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5-16</w:t>
      </w:r>
      <w:r>
        <w:rPr>
          <w:rFonts w:asciiTheme="minorHAnsi" w:eastAsiaTheme="minorEastAsia" w:hAnsiTheme="minorHAnsi" w:cstheme="minorBidi"/>
          <w:noProof/>
          <w:sz w:val="22"/>
          <w:szCs w:val="22"/>
        </w:rPr>
        <w:tab/>
      </w:r>
      <w:r>
        <w:rPr>
          <w:noProof/>
        </w:rPr>
        <w:t>Industrial Achievable Savings Forecast (Cumulative GWh), Washington</w:t>
      </w:r>
      <w:r>
        <w:rPr>
          <w:noProof/>
        </w:rPr>
        <w:tab/>
      </w:r>
      <w:r w:rsidR="00893E3D">
        <w:rPr>
          <w:noProof/>
        </w:rPr>
        <w:fldChar w:fldCharType="begin"/>
      </w:r>
      <w:r>
        <w:rPr>
          <w:noProof/>
        </w:rPr>
        <w:instrText xml:space="preserve"> PAGEREF _Toc424192750 \h </w:instrText>
      </w:r>
      <w:r w:rsidR="00893E3D">
        <w:rPr>
          <w:noProof/>
        </w:rPr>
      </w:r>
      <w:r w:rsidR="00893E3D">
        <w:rPr>
          <w:noProof/>
        </w:rPr>
        <w:fldChar w:fldCharType="separate"/>
      </w:r>
      <w:r w:rsidR="00B2652C">
        <w:rPr>
          <w:noProof/>
        </w:rPr>
        <w:t>87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Figure 5-17</w:t>
      </w:r>
      <w:r>
        <w:rPr>
          <w:rFonts w:asciiTheme="minorHAnsi" w:eastAsiaTheme="minorEastAsia" w:hAnsiTheme="minorHAnsi" w:cstheme="minorBidi"/>
          <w:noProof/>
          <w:sz w:val="22"/>
          <w:szCs w:val="22"/>
        </w:rPr>
        <w:tab/>
      </w:r>
      <w:r>
        <w:rPr>
          <w:noProof/>
        </w:rPr>
        <w:t>Industrial Achievable Savings Forecast (Annual Energy, GWh), Idaho</w:t>
      </w:r>
      <w:r>
        <w:rPr>
          <w:noProof/>
        </w:rPr>
        <w:tab/>
      </w:r>
      <w:r w:rsidR="00893E3D">
        <w:rPr>
          <w:noProof/>
        </w:rPr>
        <w:fldChar w:fldCharType="begin"/>
      </w:r>
      <w:r>
        <w:rPr>
          <w:noProof/>
        </w:rPr>
        <w:instrText xml:space="preserve"> PAGEREF _Toc424192751 \h </w:instrText>
      </w:r>
      <w:r w:rsidR="00893E3D">
        <w:rPr>
          <w:noProof/>
        </w:rPr>
      </w:r>
      <w:r w:rsidR="00893E3D">
        <w:rPr>
          <w:noProof/>
        </w:rPr>
        <w:fldChar w:fldCharType="separate"/>
      </w:r>
      <w:r w:rsidR="00B2652C">
        <w:rPr>
          <w:noProof/>
        </w:rPr>
        <w:t>88</w:t>
      </w:r>
      <w:r w:rsidR="00893E3D">
        <w:rPr>
          <w:noProof/>
        </w:rPr>
        <w:fldChar w:fldCharType="end"/>
      </w:r>
    </w:p>
    <w:p w:rsidR="007D5CF0" w:rsidRDefault="00893E3D" w:rsidP="00283424">
      <w:pPr>
        <w:pStyle w:val="BodyText"/>
      </w:pPr>
      <w:r>
        <w:fldChar w:fldCharType="end"/>
      </w:r>
    </w:p>
    <w:p w:rsidR="007D5CF0" w:rsidRDefault="007D5CF0" w:rsidP="00283424">
      <w:pPr>
        <w:pStyle w:val="BodyText"/>
        <w:sectPr w:rsidR="007D5CF0" w:rsidSect="00FE613D">
          <w:pgSz w:w="12240" w:h="15840" w:code="1"/>
          <w:pgMar w:top="1152" w:right="1440" w:bottom="1152" w:left="1800" w:header="720" w:footer="720" w:gutter="0"/>
          <w:pgNumType w:fmt="lowerRoman"/>
          <w:cols w:space="720"/>
          <w:titlePg/>
          <w:docGrid w:linePitch="231"/>
        </w:sectPr>
      </w:pPr>
    </w:p>
    <w:p w:rsidR="00283424" w:rsidRPr="00433CA8" w:rsidRDefault="00283424" w:rsidP="00283424">
      <w:pPr>
        <w:pStyle w:val="ContentsTitle"/>
      </w:pPr>
      <w:r>
        <w:lastRenderedPageBreak/>
        <w:t>List of Tables</w:t>
      </w:r>
    </w:p>
    <w:p w:rsidR="00170CF8" w:rsidRDefault="00893E3D">
      <w:pPr>
        <w:pStyle w:val="TableofFigures"/>
        <w:rPr>
          <w:rFonts w:asciiTheme="minorHAnsi" w:eastAsiaTheme="minorEastAsia" w:hAnsiTheme="minorHAnsi" w:cstheme="minorBidi"/>
          <w:noProof/>
          <w:sz w:val="22"/>
          <w:szCs w:val="22"/>
        </w:rPr>
      </w:pPr>
      <w:r>
        <w:rPr>
          <w:rFonts w:ascii="Times New Roman" w:hAnsi="Times New Roman"/>
          <w:noProof/>
          <w:sz w:val="24"/>
          <w:szCs w:val="24"/>
        </w:rPr>
        <w:fldChar w:fldCharType="begin"/>
      </w:r>
      <w:r w:rsidR="00F47F23">
        <w:rPr>
          <w:rFonts w:ascii="Times New Roman" w:hAnsi="Times New Roman"/>
          <w:sz w:val="24"/>
          <w:szCs w:val="24"/>
        </w:rPr>
        <w:instrText xml:space="preserve"> TOC \c "Table" </w:instrText>
      </w:r>
      <w:r>
        <w:rPr>
          <w:rFonts w:ascii="Times New Roman" w:hAnsi="Times New Roman"/>
          <w:noProof/>
          <w:sz w:val="24"/>
          <w:szCs w:val="24"/>
        </w:rPr>
        <w:fldChar w:fldCharType="separate"/>
      </w:r>
      <w:r w:rsidR="00170CF8">
        <w:rPr>
          <w:noProof/>
        </w:rPr>
        <w:t>Table 1-1</w:t>
      </w:r>
      <w:r w:rsidR="00170CF8">
        <w:rPr>
          <w:rFonts w:asciiTheme="minorHAnsi" w:eastAsiaTheme="minorEastAsia" w:hAnsiTheme="minorHAnsi" w:cstheme="minorBidi"/>
          <w:noProof/>
          <w:sz w:val="22"/>
          <w:szCs w:val="22"/>
        </w:rPr>
        <w:tab/>
      </w:r>
      <w:r w:rsidR="00170CF8">
        <w:rPr>
          <w:noProof/>
        </w:rPr>
        <w:t>Explanation of Abbreviations and Acronyms</w:t>
      </w:r>
      <w:r w:rsidR="00170CF8">
        <w:rPr>
          <w:noProof/>
        </w:rPr>
        <w:tab/>
      </w:r>
      <w:r>
        <w:rPr>
          <w:noProof/>
        </w:rPr>
        <w:fldChar w:fldCharType="begin"/>
      </w:r>
      <w:r w:rsidR="00170CF8">
        <w:rPr>
          <w:noProof/>
        </w:rPr>
        <w:instrText xml:space="preserve"> PAGEREF _Toc424192752 \h </w:instrText>
      </w:r>
      <w:r>
        <w:rPr>
          <w:noProof/>
        </w:rPr>
      </w:r>
      <w:r>
        <w:rPr>
          <w:noProof/>
        </w:rPr>
        <w:fldChar w:fldCharType="separate"/>
      </w:r>
      <w:r w:rsidR="00B2652C">
        <w:rPr>
          <w:noProof/>
        </w:rPr>
        <w:t>2</w:t>
      </w:r>
      <w:r>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Table 2-1</w:t>
      </w:r>
      <w:r>
        <w:rPr>
          <w:rFonts w:asciiTheme="minorHAnsi" w:eastAsiaTheme="minorEastAsia" w:hAnsiTheme="minorHAnsi" w:cstheme="minorBidi"/>
          <w:noProof/>
          <w:sz w:val="22"/>
          <w:szCs w:val="22"/>
        </w:rPr>
        <w:tab/>
      </w:r>
      <w:r>
        <w:rPr>
          <w:noProof/>
        </w:rPr>
        <w:t>Overview of Avista Analysis Segmentation Scheme</w:t>
      </w:r>
      <w:r>
        <w:rPr>
          <w:noProof/>
        </w:rPr>
        <w:tab/>
      </w:r>
      <w:r w:rsidR="00893E3D">
        <w:rPr>
          <w:noProof/>
        </w:rPr>
        <w:fldChar w:fldCharType="begin"/>
      </w:r>
      <w:r>
        <w:rPr>
          <w:noProof/>
        </w:rPr>
        <w:instrText xml:space="preserve"> PAGEREF _Toc424192753 \h </w:instrText>
      </w:r>
      <w:r w:rsidR="00893E3D">
        <w:rPr>
          <w:noProof/>
        </w:rPr>
      </w:r>
      <w:r w:rsidR="00893E3D">
        <w:rPr>
          <w:noProof/>
        </w:rPr>
        <w:fldChar w:fldCharType="separate"/>
      </w:r>
      <w:r w:rsidR="00B2652C">
        <w:rPr>
          <w:noProof/>
        </w:rPr>
        <w:t>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Table 2-2</w:t>
      </w:r>
      <w:r>
        <w:rPr>
          <w:rFonts w:asciiTheme="minorHAnsi" w:eastAsiaTheme="minorEastAsia" w:hAnsiTheme="minorHAnsi" w:cstheme="minorBidi"/>
          <w:noProof/>
          <w:sz w:val="22"/>
          <w:szCs w:val="22"/>
        </w:rPr>
        <w:tab/>
      </w:r>
      <w:r>
        <w:rPr>
          <w:noProof/>
        </w:rPr>
        <w:t>Example Equipment Measures for Central AC – Single-Family Home</w:t>
      </w:r>
      <w:r>
        <w:rPr>
          <w:noProof/>
        </w:rPr>
        <w:tab/>
      </w:r>
      <w:r w:rsidR="00893E3D">
        <w:rPr>
          <w:noProof/>
        </w:rPr>
        <w:fldChar w:fldCharType="begin"/>
      </w:r>
      <w:r>
        <w:rPr>
          <w:noProof/>
        </w:rPr>
        <w:instrText xml:space="preserve"> PAGEREF _Toc424192754 \h </w:instrText>
      </w:r>
      <w:r w:rsidR="00893E3D">
        <w:rPr>
          <w:noProof/>
        </w:rPr>
      </w:r>
      <w:r w:rsidR="00893E3D">
        <w:rPr>
          <w:noProof/>
        </w:rPr>
        <w:fldChar w:fldCharType="separate"/>
      </w:r>
      <w:r w:rsidR="00B2652C">
        <w:rPr>
          <w:noProof/>
        </w:rPr>
        <w:t>10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Pr>
          <w:noProof/>
        </w:rPr>
        <w:t>Table 2-3</w:t>
      </w:r>
      <w:r>
        <w:rPr>
          <w:rFonts w:asciiTheme="minorHAnsi" w:eastAsiaTheme="minorEastAsia" w:hAnsiTheme="minorHAnsi" w:cstheme="minorBidi"/>
          <w:noProof/>
          <w:sz w:val="22"/>
          <w:szCs w:val="22"/>
        </w:rPr>
        <w:tab/>
      </w:r>
      <w:r>
        <w:rPr>
          <w:noProof/>
        </w:rPr>
        <w:t>Example Non-Equipment Measures – Single Family Home, Existing</w:t>
      </w:r>
      <w:r>
        <w:rPr>
          <w:noProof/>
        </w:rPr>
        <w:tab/>
      </w:r>
      <w:r w:rsidR="00893E3D">
        <w:rPr>
          <w:noProof/>
        </w:rPr>
        <w:fldChar w:fldCharType="begin"/>
      </w:r>
      <w:r>
        <w:rPr>
          <w:noProof/>
        </w:rPr>
        <w:instrText xml:space="preserve"> PAGEREF _Toc424192755 \h </w:instrText>
      </w:r>
      <w:r w:rsidR="00893E3D">
        <w:rPr>
          <w:noProof/>
        </w:rPr>
      </w:r>
      <w:r w:rsidR="00893E3D">
        <w:rPr>
          <w:noProof/>
        </w:rPr>
        <w:fldChar w:fldCharType="separate"/>
      </w:r>
      <w:r w:rsidR="00B2652C">
        <w:rPr>
          <w:noProof/>
        </w:rPr>
        <w:t>11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rFonts w:cs="Calibri"/>
          <w:bCs/>
          <w:iCs/>
          <w:noProof/>
        </w:rPr>
        <w:t>Table 2-4</w:t>
      </w:r>
      <w:r>
        <w:rPr>
          <w:rFonts w:asciiTheme="minorHAnsi" w:eastAsiaTheme="minorEastAsia" w:hAnsiTheme="minorHAnsi" w:cstheme="minorBidi"/>
          <w:noProof/>
          <w:sz w:val="22"/>
          <w:szCs w:val="22"/>
        </w:rPr>
        <w:tab/>
      </w:r>
      <w:r w:rsidRPr="00060070">
        <w:rPr>
          <w:rFonts w:cs="Calibri"/>
          <w:bCs/>
          <w:iCs/>
          <w:noProof/>
        </w:rPr>
        <w:t>Number of Measures Evaluated</w:t>
      </w:r>
      <w:r>
        <w:rPr>
          <w:noProof/>
        </w:rPr>
        <w:tab/>
      </w:r>
      <w:r w:rsidR="00893E3D">
        <w:rPr>
          <w:noProof/>
        </w:rPr>
        <w:fldChar w:fldCharType="begin"/>
      </w:r>
      <w:r>
        <w:rPr>
          <w:noProof/>
        </w:rPr>
        <w:instrText xml:space="preserve"> PAGEREF _Toc424192756 \h </w:instrText>
      </w:r>
      <w:r w:rsidR="00893E3D">
        <w:rPr>
          <w:noProof/>
        </w:rPr>
      </w:r>
      <w:r w:rsidR="00893E3D">
        <w:rPr>
          <w:noProof/>
        </w:rPr>
        <w:fldChar w:fldCharType="separate"/>
      </w:r>
      <w:r w:rsidR="00B2652C">
        <w:rPr>
          <w:noProof/>
        </w:rPr>
        <w:t>11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2-5</w:t>
      </w:r>
      <w:r>
        <w:rPr>
          <w:rFonts w:asciiTheme="minorHAnsi" w:eastAsiaTheme="minorEastAsia" w:hAnsiTheme="minorHAnsi" w:cstheme="minorBidi"/>
          <w:noProof/>
          <w:sz w:val="22"/>
          <w:szCs w:val="22"/>
        </w:rPr>
        <w:tab/>
      </w:r>
      <w:r>
        <w:rPr>
          <w:noProof/>
        </w:rPr>
        <w:t>Data Applied for the Market Profiles</w:t>
      </w:r>
      <w:r>
        <w:rPr>
          <w:noProof/>
        </w:rPr>
        <w:tab/>
      </w:r>
      <w:r w:rsidR="00893E3D">
        <w:rPr>
          <w:noProof/>
        </w:rPr>
        <w:fldChar w:fldCharType="begin"/>
      </w:r>
      <w:r>
        <w:rPr>
          <w:noProof/>
        </w:rPr>
        <w:instrText xml:space="preserve"> PAGEREF _Toc424192757 \h </w:instrText>
      </w:r>
      <w:r w:rsidR="00893E3D">
        <w:rPr>
          <w:noProof/>
        </w:rPr>
      </w:r>
      <w:r w:rsidR="00893E3D">
        <w:rPr>
          <w:noProof/>
        </w:rPr>
        <w:fldChar w:fldCharType="separate"/>
      </w:r>
      <w:r w:rsidR="00B2652C">
        <w:rPr>
          <w:noProof/>
        </w:rPr>
        <w:t>16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2-6</w:t>
      </w:r>
      <w:r>
        <w:rPr>
          <w:rFonts w:asciiTheme="minorHAnsi" w:eastAsiaTheme="minorEastAsia" w:hAnsiTheme="minorHAnsi" w:cstheme="minorBidi"/>
          <w:noProof/>
          <w:sz w:val="22"/>
          <w:szCs w:val="22"/>
        </w:rPr>
        <w:tab/>
      </w:r>
      <w:r>
        <w:rPr>
          <w:noProof/>
        </w:rPr>
        <w:t>Residential Electric Equipment Standards</w:t>
      </w:r>
      <w:r>
        <w:rPr>
          <w:noProof/>
        </w:rPr>
        <w:tab/>
      </w:r>
      <w:r w:rsidR="00893E3D">
        <w:rPr>
          <w:noProof/>
        </w:rPr>
        <w:fldChar w:fldCharType="begin"/>
      </w:r>
      <w:r>
        <w:rPr>
          <w:noProof/>
        </w:rPr>
        <w:instrText xml:space="preserve"> PAGEREF _Toc424192758 \h </w:instrText>
      </w:r>
      <w:r w:rsidR="00893E3D">
        <w:rPr>
          <w:noProof/>
        </w:rPr>
      </w:r>
      <w:r w:rsidR="00893E3D">
        <w:rPr>
          <w:noProof/>
        </w:rPr>
        <w:fldChar w:fldCharType="separate"/>
      </w:r>
      <w:r w:rsidR="00B2652C">
        <w:rPr>
          <w:noProof/>
        </w:rPr>
        <w:t>18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2-7</w:t>
      </w:r>
      <w:r>
        <w:rPr>
          <w:rFonts w:asciiTheme="minorHAnsi" w:eastAsiaTheme="minorEastAsia" w:hAnsiTheme="minorHAnsi" w:cstheme="minorBidi"/>
          <w:noProof/>
          <w:sz w:val="22"/>
          <w:szCs w:val="22"/>
        </w:rPr>
        <w:tab/>
      </w:r>
      <w:r>
        <w:rPr>
          <w:noProof/>
        </w:rPr>
        <w:t>Commercial Electric Equipment Standards</w:t>
      </w:r>
      <w:r>
        <w:rPr>
          <w:noProof/>
        </w:rPr>
        <w:tab/>
      </w:r>
      <w:r w:rsidR="00893E3D">
        <w:rPr>
          <w:noProof/>
        </w:rPr>
        <w:fldChar w:fldCharType="begin"/>
      </w:r>
      <w:r>
        <w:rPr>
          <w:noProof/>
        </w:rPr>
        <w:instrText xml:space="preserve"> PAGEREF _Toc424192759 \h </w:instrText>
      </w:r>
      <w:r w:rsidR="00893E3D">
        <w:rPr>
          <w:noProof/>
        </w:rPr>
      </w:r>
      <w:r w:rsidR="00893E3D">
        <w:rPr>
          <w:noProof/>
        </w:rPr>
        <w:fldChar w:fldCharType="separate"/>
      </w:r>
      <w:r w:rsidR="00B2652C">
        <w:rPr>
          <w:noProof/>
        </w:rPr>
        <w:t>19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2-8</w:t>
      </w:r>
      <w:r>
        <w:rPr>
          <w:rFonts w:asciiTheme="minorHAnsi" w:eastAsiaTheme="minorEastAsia" w:hAnsiTheme="minorHAnsi" w:cstheme="minorBidi"/>
          <w:noProof/>
          <w:sz w:val="22"/>
          <w:szCs w:val="22"/>
        </w:rPr>
        <w:tab/>
      </w:r>
      <w:r>
        <w:rPr>
          <w:noProof/>
        </w:rPr>
        <w:t>Industrial Electric Equipment Standards</w:t>
      </w:r>
      <w:r>
        <w:rPr>
          <w:noProof/>
        </w:rPr>
        <w:tab/>
      </w:r>
      <w:r w:rsidR="00893E3D">
        <w:rPr>
          <w:noProof/>
        </w:rPr>
        <w:fldChar w:fldCharType="begin"/>
      </w:r>
      <w:r>
        <w:rPr>
          <w:noProof/>
        </w:rPr>
        <w:instrText xml:space="preserve"> PAGEREF _Toc424192760 \h </w:instrText>
      </w:r>
      <w:r w:rsidR="00893E3D">
        <w:rPr>
          <w:noProof/>
        </w:rPr>
      </w:r>
      <w:r w:rsidR="00893E3D">
        <w:rPr>
          <w:noProof/>
        </w:rPr>
        <w:fldChar w:fldCharType="separate"/>
      </w:r>
      <w:r w:rsidR="00B2652C">
        <w:rPr>
          <w:noProof/>
        </w:rPr>
        <w:t>20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2-9</w:t>
      </w:r>
      <w:r>
        <w:rPr>
          <w:rFonts w:asciiTheme="minorHAnsi" w:eastAsiaTheme="minorEastAsia" w:hAnsiTheme="minorHAnsi" w:cstheme="minorBidi"/>
          <w:noProof/>
          <w:sz w:val="22"/>
          <w:szCs w:val="22"/>
        </w:rPr>
        <w:tab/>
      </w:r>
      <w:r>
        <w:rPr>
          <w:noProof/>
        </w:rPr>
        <w:t>Data Needs for the Measure Characteristics in LoadMAP</w:t>
      </w:r>
      <w:r>
        <w:rPr>
          <w:noProof/>
        </w:rPr>
        <w:tab/>
      </w:r>
      <w:r w:rsidR="00893E3D">
        <w:rPr>
          <w:noProof/>
        </w:rPr>
        <w:fldChar w:fldCharType="begin"/>
      </w:r>
      <w:r>
        <w:rPr>
          <w:noProof/>
        </w:rPr>
        <w:instrText xml:space="preserve"> PAGEREF _Toc424192761 \h </w:instrText>
      </w:r>
      <w:r w:rsidR="00893E3D">
        <w:rPr>
          <w:noProof/>
        </w:rPr>
      </w:r>
      <w:r w:rsidR="00893E3D">
        <w:rPr>
          <w:noProof/>
        </w:rPr>
        <w:fldChar w:fldCharType="separate"/>
      </w:r>
      <w:r w:rsidR="00B2652C">
        <w:rPr>
          <w:noProof/>
        </w:rPr>
        <w:t>21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3-1</w:t>
      </w:r>
      <w:r>
        <w:rPr>
          <w:rFonts w:asciiTheme="minorHAnsi" w:eastAsiaTheme="minorEastAsia" w:hAnsiTheme="minorHAnsi" w:cstheme="minorBidi"/>
          <w:noProof/>
          <w:sz w:val="22"/>
          <w:szCs w:val="22"/>
        </w:rPr>
        <w:tab/>
      </w:r>
      <w:r>
        <w:rPr>
          <w:noProof/>
        </w:rPr>
        <w:t>Avista Sector Control Totals (2013), Washington</w:t>
      </w:r>
      <w:r>
        <w:rPr>
          <w:noProof/>
        </w:rPr>
        <w:tab/>
      </w:r>
      <w:r w:rsidR="00893E3D">
        <w:rPr>
          <w:noProof/>
        </w:rPr>
        <w:fldChar w:fldCharType="begin"/>
      </w:r>
      <w:r>
        <w:rPr>
          <w:noProof/>
        </w:rPr>
        <w:instrText xml:space="preserve"> PAGEREF _Toc424192762 \h </w:instrText>
      </w:r>
      <w:r w:rsidR="00893E3D">
        <w:rPr>
          <w:noProof/>
        </w:rPr>
      </w:r>
      <w:r w:rsidR="00893E3D">
        <w:rPr>
          <w:noProof/>
        </w:rPr>
        <w:fldChar w:fldCharType="separate"/>
      </w:r>
      <w:r w:rsidR="00B2652C">
        <w:rPr>
          <w:noProof/>
        </w:rPr>
        <w:t>24</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3-2</w:t>
      </w:r>
      <w:r>
        <w:rPr>
          <w:rFonts w:asciiTheme="minorHAnsi" w:eastAsiaTheme="minorEastAsia" w:hAnsiTheme="minorHAnsi" w:cstheme="minorBidi"/>
          <w:noProof/>
          <w:sz w:val="22"/>
          <w:szCs w:val="22"/>
        </w:rPr>
        <w:tab/>
      </w:r>
      <w:r>
        <w:rPr>
          <w:noProof/>
        </w:rPr>
        <w:t>Avista Sector Control Totals (2013), Idaho</w:t>
      </w:r>
      <w:r>
        <w:rPr>
          <w:noProof/>
        </w:rPr>
        <w:tab/>
      </w:r>
      <w:r w:rsidR="00893E3D">
        <w:rPr>
          <w:noProof/>
        </w:rPr>
        <w:fldChar w:fldCharType="begin"/>
      </w:r>
      <w:r>
        <w:rPr>
          <w:noProof/>
        </w:rPr>
        <w:instrText xml:space="preserve"> PAGEREF _Toc424192763 \h </w:instrText>
      </w:r>
      <w:r w:rsidR="00893E3D">
        <w:rPr>
          <w:noProof/>
        </w:rPr>
      </w:r>
      <w:r w:rsidR="00893E3D">
        <w:rPr>
          <w:noProof/>
        </w:rPr>
        <w:fldChar w:fldCharType="separate"/>
      </w:r>
      <w:r w:rsidR="00B2652C">
        <w:rPr>
          <w:noProof/>
        </w:rPr>
        <w:t>25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3-3</w:t>
      </w:r>
      <w:r>
        <w:rPr>
          <w:rFonts w:asciiTheme="minorHAnsi" w:eastAsiaTheme="minorEastAsia" w:hAnsiTheme="minorHAnsi" w:cstheme="minorBidi"/>
          <w:noProof/>
          <w:sz w:val="22"/>
          <w:szCs w:val="22"/>
        </w:rPr>
        <w:tab/>
      </w:r>
      <w:r>
        <w:rPr>
          <w:noProof/>
        </w:rPr>
        <w:t>Residential Sector Control Totals (2013), Washington</w:t>
      </w:r>
      <w:r>
        <w:rPr>
          <w:noProof/>
        </w:rPr>
        <w:tab/>
      </w:r>
      <w:r w:rsidR="00893E3D">
        <w:rPr>
          <w:noProof/>
        </w:rPr>
        <w:fldChar w:fldCharType="begin"/>
      </w:r>
      <w:r>
        <w:rPr>
          <w:noProof/>
        </w:rPr>
        <w:instrText xml:space="preserve"> PAGEREF _Toc424192764 \h </w:instrText>
      </w:r>
      <w:r w:rsidR="00893E3D">
        <w:rPr>
          <w:noProof/>
        </w:rPr>
      </w:r>
      <w:r w:rsidR="00893E3D">
        <w:rPr>
          <w:noProof/>
        </w:rPr>
        <w:fldChar w:fldCharType="separate"/>
      </w:r>
      <w:r w:rsidR="00B2652C">
        <w:rPr>
          <w:noProof/>
        </w:rPr>
        <w:t>26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3-4</w:t>
      </w:r>
      <w:r>
        <w:rPr>
          <w:rFonts w:asciiTheme="minorHAnsi" w:eastAsiaTheme="minorEastAsia" w:hAnsiTheme="minorHAnsi" w:cstheme="minorBidi"/>
          <w:noProof/>
          <w:sz w:val="22"/>
          <w:szCs w:val="22"/>
        </w:rPr>
        <w:tab/>
      </w:r>
      <w:r>
        <w:rPr>
          <w:noProof/>
        </w:rPr>
        <w:t>Residential Sector Control Totals (2013), Idaho</w:t>
      </w:r>
      <w:r>
        <w:rPr>
          <w:noProof/>
        </w:rPr>
        <w:tab/>
      </w:r>
      <w:r w:rsidR="00893E3D">
        <w:rPr>
          <w:noProof/>
        </w:rPr>
        <w:fldChar w:fldCharType="begin"/>
      </w:r>
      <w:r>
        <w:rPr>
          <w:noProof/>
        </w:rPr>
        <w:instrText xml:space="preserve"> PAGEREF _Toc424192765 \h </w:instrText>
      </w:r>
      <w:r w:rsidR="00893E3D">
        <w:rPr>
          <w:noProof/>
        </w:rPr>
      </w:r>
      <w:r w:rsidR="00893E3D">
        <w:rPr>
          <w:noProof/>
        </w:rPr>
        <w:fldChar w:fldCharType="separate"/>
      </w:r>
      <w:r w:rsidR="00B2652C">
        <w:rPr>
          <w:noProof/>
        </w:rPr>
        <w:t>26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3-5</w:t>
      </w:r>
      <w:r>
        <w:rPr>
          <w:rFonts w:asciiTheme="minorHAnsi" w:eastAsiaTheme="minorEastAsia" w:hAnsiTheme="minorHAnsi" w:cstheme="minorBidi"/>
          <w:noProof/>
          <w:sz w:val="22"/>
          <w:szCs w:val="22"/>
        </w:rPr>
        <w:tab/>
      </w:r>
      <w:r>
        <w:rPr>
          <w:noProof/>
        </w:rPr>
        <w:t>Average Market Profile for the Residential Sector, 2013, Washington</w:t>
      </w:r>
      <w:r>
        <w:rPr>
          <w:noProof/>
        </w:rPr>
        <w:tab/>
      </w:r>
      <w:r w:rsidR="00893E3D">
        <w:rPr>
          <w:noProof/>
        </w:rPr>
        <w:fldChar w:fldCharType="begin"/>
      </w:r>
      <w:r>
        <w:rPr>
          <w:noProof/>
        </w:rPr>
        <w:instrText xml:space="preserve"> PAGEREF _Toc424192766 \h </w:instrText>
      </w:r>
      <w:r w:rsidR="00893E3D">
        <w:rPr>
          <w:noProof/>
        </w:rPr>
      </w:r>
      <w:r w:rsidR="00893E3D">
        <w:rPr>
          <w:noProof/>
        </w:rPr>
        <w:fldChar w:fldCharType="separate"/>
      </w:r>
      <w:r w:rsidR="00B2652C">
        <w:rPr>
          <w:noProof/>
        </w:rPr>
        <w:t>30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3-6</w:t>
      </w:r>
      <w:r>
        <w:rPr>
          <w:rFonts w:asciiTheme="minorHAnsi" w:eastAsiaTheme="minorEastAsia" w:hAnsiTheme="minorHAnsi" w:cstheme="minorBidi"/>
          <w:noProof/>
          <w:sz w:val="22"/>
          <w:szCs w:val="22"/>
        </w:rPr>
        <w:tab/>
      </w:r>
      <w:r>
        <w:rPr>
          <w:noProof/>
        </w:rPr>
        <w:t>Average Market Profile for the Residential Sector, 2013, Idaho</w:t>
      </w:r>
      <w:r>
        <w:rPr>
          <w:noProof/>
        </w:rPr>
        <w:tab/>
      </w:r>
      <w:r w:rsidR="00893E3D">
        <w:rPr>
          <w:noProof/>
        </w:rPr>
        <w:fldChar w:fldCharType="begin"/>
      </w:r>
      <w:r>
        <w:rPr>
          <w:noProof/>
        </w:rPr>
        <w:instrText xml:space="preserve"> PAGEREF _Toc424192767 \h </w:instrText>
      </w:r>
      <w:r w:rsidR="00893E3D">
        <w:rPr>
          <w:noProof/>
        </w:rPr>
      </w:r>
      <w:r w:rsidR="00893E3D">
        <w:rPr>
          <w:noProof/>
        </w:rPr>
        <w:fldChar w:fldCharType="separate"/>
      </w:r>
      <w:r w:rsidR="00B2652C">
        <w:rPr>
          <w:noProof/>
        </w:rPr>
        <w:t>31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3-7</w:t>
      </w:r>
      <w:r>
        <w:rPr>
          <w:rFonts w:asciiTheme="minorHAnsi" w:eastAsiaTheme="minorEastAsia" w:hAnsiTheme="minorHAnsi" w:cstheme="minorBidi"/>
          <w:noProof/>
          <w:sz w:val="22"/>
          <w:szCs w:val="22"/>
        </w:rPr>
        <w:tab/>
      </w:r>
      <w:r>
        <w:rPr>
          <w:noProof/>
        </w:rPr>
        <w:t>Commercial Sector Control Totals (2013), Washington</w:t>
      </w:r>
      <w:r>
        <w:rPr>
          <w:noProof/>
        </w:rPr>
        <w:tab/>
      </w:r>
      <w:r w:rsidR="00893E3D">
        <w:rPr>
          <w:noProof/>
        </w:rPr>
        <w:fldChar w:fldCharType="begin"/>
      </w:r>
      <w:r>
        <w:rPr>
          <w:noProof/>
        </w:rPr>
        <w:instrText xml:space="preserve"> PAGEREF _Toc424192768 \h </w:instrText>
      </w:r>
      <w:r w:rsidR="00893E3D">
        <w:rPr>
          <w:noProof/>
        </w:rPr>
      </w:r>
      <w:r w:rsidR="00893E3D">
        <w:rPr>
          <w:noProof/>
        </w:rPr>
        <w:fldChar w:fldCharType="separate"/>
      </w:r>
      <w:r w:rsidR="00B2652C">
        <w:rPr>
          <w:noProof/>
        </w:rPr>
        <w:t>32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3-8</w:t>
      </w:r>
      <w:r>
        <w:rPr>
          <w:rFonts w:asciiTheme="minorHAnsi" w:eastAsiaTheme="minorEastAsia" w:hAnsiTheme="minorHAnsi" w:cstheme="minorBidi"/>
          <w:noProof/>
          <w:sz w:val="22"/>
          <w:szCs w:val="22"/>
        </w:rPr>
        <w:tab/>
      </w:r>
      <w:r>
        <w:rPr>
          <w:noProof/>
        </w:rPr>
        <w:t>Commercial Sector Control Totals (2013), Idaho</w:t>
      </w:r>
      <w:r>
        <w:rPr>
          <w:noProof/>
        </w:rPr>
        <w:tab/>
      </w:r>
      <w:r w:rsidR="00893E3D">
        <w:rPr>
          <w:noProof/>
        </w:rPr>
        <w:fldChar w:fldCharType="begin"/>
      </w:r>
      <w:r>
        <w:rPr>
          <w:noProof/>
        </w:rPr>
        <w:instrText xml:space="preserve"> PAGEREF _Toc424192769 \h </w:instrText>
      </w:r>
      <w:r w:rsidR="00893E3D">
        <w:rPr>
          <w:noProof/>
        </w:rPr>
      </w:r>
      <w:r w:rsidR="00893E3D">
        <w:rPr>
          <w:noProof/>
        </w:rPr>
        <w:fldChar w:fldCharType="separate"/>
      </w:r>
      <w:r w:rsidR="00B2652C">
        <w:rPr>
          <w:noProof/>
        </w:rPr>
        <w:t>32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3-9</w:t>
      </w:r>
      <w:r>
        <w:rPr>
          <w:rFonts w:asciiTheme="minorHAnsi" w:eastAsiaTheme="minorEastAsia" w:hAnsiTheme="minorHAnsi" w:cstheme="minorBidi"/>
          <w:noProof/>
          <w:sz w:val="22"/>
          <w:szCs w:val="22"/>
        </w:rPr>
        <w:tab/>
      </w:r>
      <w:r>
        <w:rPr>
          <w:noProof/>
        </w:rPr>
        <w:t>Average Electric Market Profile for the Commercial Sector, 2013, Washington</w:t>
      </w:r>
      <w:r>
        <w:rPr>
          <w:noProof/>
        </w:rPr>
        <w:tab/>
      </w:r>
      <w:r w:rsidR="00893E3D">
        <w:rPr>
          <w:noProof/>
        </w:rPr>
        <w:fldChar w:fldCharType="begin"/>
      </w:r>
      <w:r>
        <w:rPr>
          <w:noProof/>
        </w:rPr>
        <w:instrText xml:space="preserve"> PAGEREF _Toc424192770 \h </w:instrText>
      </w:r>
      <w:r w:rsidR="00893E3D">
        <w:rPr>
          <w:noProof/>
        </w:rPr>
      </w:r>
      <w:r w:rsidR="00893E3D">
        <w:rPr>
          <w:noProof/>
        </w:rPr>
        <w:fldChar w:fldCharType="separate"/>
      </w:r>
      <w:r w:rsidR="00B2652C">
        <w:rPr>
          <w:noProof/>
        </w:rPr>
        <w:t>36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3-10</w:t>
      </w:r>
      <w:r>
        <w:rPr>
          <w:rFonts w:asciiTheme="minorHAnsi" w:eastAsiaTheme="minorEastAsia" w:hAnsiTheme="minorHAnsi" w:cstheme="minorBidi"/>
          <w:noProof/>
          <w:sz w:val="22"/>
          <w:szCs w:val="22"/>
        </w:rPr>
        <w:tab/>
      </w:r>
      <w:r>
        <w:rPr>
          <w:noProof/>
        </w:rPr>
        <w:t>Average Electric Market Profile for the Commercial Sector, 2013, Idaho</w:t>
      </w:r>
      <w:r>
        <w:rPr>
          <w:noProof/>
        </w:rPr>
        <w:tab/>
      </w:r>
      <w:r w:rsidR="00893E3D">
        <w:rPr>
          <w:noProof/>
        </w:rPr>
        <w:fldChar w:fldCharType="begin"/>
      </w:r>
      <w:r>
        <w:rPr>
          <w:noProof/>
        </w:rPr>
        <w:instrText xml:space="preserve"> PAGEREF _Toc424192771 \h </w:instrText>
      </w:r>
      <w:r w:rsidR="00893E3D">
        <w:rPr>
          <w:noProof/>
        </w:rPr>
      </w:r>
      <w:r w:rsidR="00893E3D">
        <w:rPr>
          <w:noProof/>
        </w:rPr>
        <w:fldChar w:fldCharType="separate"/>
      </w:r>
      <w:r w:rsidR="00B2652C">
        <w:rPr>
          <w:noProof/>
        </w:rPr>
        <w:t>37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3-11</w:t>
      </w:r>
      <w:r>
        <w:rPr>
          <w:rFonts w:asciiTheme="minorHAnsi" w:eastAsiaTheme="minorEastAsia" w:hAnsiTheme="minorHAnsi" w:cstheme="minorBidi"/>
          <w:noProof/>
          <w:sz w:val="22"/>
          <w:szCs w:val="22"/>
        </w:rPr>
        <w:tab/>
      </w:r>
      <w:r>
        <w:rPr>
          <w:noProof/>
        </w:rPr>
        <w:t>Industrial Sector Control Totals (2013)</w:t>
      </w:r>
      <w:r>
        <w:rPr>
          <w:noProof/>
        </w:rPr>
        <w:tab/>
      </w:r>
      <w:r w:rsidR="00893E3D">
        <w:rPr>
          <w:noProof/>
        </w:rPr>
        <w:fldChar w:fldCharType="begin"/>
      </w:r>
      <w:r>
        <w:rPr>
          <w:noProof/>
        </w:rPr>
        <w:instrText xml:space="preserve"> PAGEREF _Toc424192772 \h </w:instrText>
      </w:r>
      <w:r w:rsidR="00893E3D">
        <w:rPr>
          <w:noProof/>
        </w:rPr>
      </w:r>
      <w:r w:rsidR="00893E3D">
        <w:rPr>
          <w:noProof/>
        </w:rPr>
        <w:fldChar w:fldCharType="separate"/>
      </w:r>
      <w:r w:rsidR="00B2652C">
        <w:rPr>
          <w:noProof/>
        </w:rPr>
        <w:t>38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3-12</w:t>
      </w:r>
      <w:r>
        <w:rPr>
          <w:rFonts w:asciiTheme="minorHAnsi" w:eastAsiaTheme="minorEastAsia" w:hAnsiTheme="minorHAnsi" w:cstheme="minorBidi"/>
          <w:noProof/>
          <w:sz w:val="22"/>
          <w:szCs w:val="22"/>
        </w:rPr>
        <w:tab/>
      </w:r>
      <w:r>
        <w:rPr>
          <w:noProof/>
        </w:rPr>
        <w:t>Average Electric Market Profile for the Industrial Sector, 2013, Washington</w:t>
      </w:r>
      <w:r>
        <w:rPr>
          <w:noProof/>
        </w:rPr>
        <w:tab/>
      </w:r>
      <w:r w:rsidR="00893E3D">
        <w:rPr>
          <w:noProof/>
        </w:rPr>
        <w:fldChar w:fldCharType="begin"/>
      </w:r>
      <w:r>
        <w:rPr>
          <w:noProof/>
        </w:rPr>
        <w:instrText xml:space="preserve"> PAGEREF _Toc424192773 \h </w:instrText>
      </w:r>
      <w:r w:rsidR="00893E3D">
        <w:rPr>
          <w:noProof/>
        </w:rPr>
      </w:r>
      <w:r w:rsidR="00893E3D">
        <w:rPr>
          <w:noProof/>
        </w:rPr>
        <w:fldChar w:fldCharType="separate"/>
      </w:r>
      <w:r w:rsidR="00B2652C">
        <w:rPr>
          <w:noProof/>
        </w:rPr>
        <w:t>40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3-13</w:t>
      </w:r>
      <w:r>
        <w:rPr>
          <w:rFonts w:asciiTheme="minorHAnsi" w:eastAsiaTheme="minorEastAsia" w:hAnsiTheme="minorHAnsi" w:cstheme="minorBidi"/>
          <w:noProof/>
          <w:sz w:val="22"/>
          <w:szCs w:val="22"/>
        </w:rPr>
        <w:tab/>
      </w:r>
      <w:r>
        <w:rPr>
          <w:noProof/>
        </w:rPr>
        <w:t>Average Electric Market Profile for the Industrial Sector, 2013, Idaho</w:t>
      </w:r>
      <w:r>
        <w:rPr>
          <w:noProof/>
        </w:rPr>
        <w:tab/>
      </w:r>
      <w:r w:rsidR="00893E3D">
        <w:rPr>
          <w:noProof/>
        </w:rPr>
        <w:fldChar w:fldCharType="begin"/>
      </w:r>
      <w:r>
        <w:rPr>
          <w:noProof/>
        </w:rPr>
        <w:instrText xml:space="preserve"> PAGEREF _Toc424192774 \h </w:instrText>
      </w:r>
      <w:r w:rsidR="00893E3D">
        <w:rPr>
          <w:noProof/>
        </w:rPr>
      </w:r>
      <w:r w:rsidR="00893E3D">
        <w:rPr>
          <w:noProof/>
        </w:rPr>
        <w:fldChar w:fldCharType="separate"/>
      </w:r>
      <w:r w:rsidR="00B2652C">
        <w:rPr>
          <w:noProof/>
        </w:rPr>
        <w:t>41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w:t>
      </w:r>
      <w:r>
        <w:rPr>
          <w:rFonts w:asciiTheme="minorHAnsi" w:eastAsiaTheme="minorEastAsia" w:hAnsiTheme="minorHAnsi" w:cstheme="minorBidi"/>
          <w:noProof/>
          <w:sz w:val="22"/>
          <w:szCs w:val="22"/>
        </w:rPr>
        <w:tab/>
      </w:r>
      <w:r>
        <w:rPr>
          <w:noProof/>
        </w:rPr>
        <w:t>Residential Baseline Sales Projection by End Use (GWh), Washington</w:t>
      </w:r>
      <w:r>
        <w:rPr>
          <w:noProof/>
        </w:rPr>
        <w:tab/>
      </w:r>
      <w:r w:rsidR="00893E3D">
        <w:rPr>
          <w:noProof/>
        </w:rPr>
        <w:fldChar w:fldCharType="begin"/>
      </w:r>
      <w:r>
        <w:rPr>
          <w:noProof/>
        </w:rPr>
        <w:instrText xml:space="preserve"> PAGEREF _Toc424192775 \h </w:instrText>
      </w:r>
      <w:r w:rsidR="00893E3D">
        <w:rPr>
          <w:noProof/>
        </w:rPr>
      </w:r>
      <w:r w:rsidR="00893E3D">
        <w:rPr>
          <w:noProof/>
        </w:rPr>
        <w:fldChar w:fldCharType="separate"/>
      </w:r>
      <w:r w:rsidR="00B2652C">
        <w:rPr>
          <w:noProof/>
        </w:rPr>
        <w:t>43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4-2</w:t>
      </w:r>
      <w:r>
        <w:rPr>
          <w:rFonts w:asciiTheme="minorHAnsi" w:eastAsiaTheme="minorEastAsia" w:hAnsiTheme="minorHAnsi" w:cstheme="minorBidi"/>
          <w:noProof/>
          <w:sz w:val="22"/>
          <w:szCs w:val="22"/>
        </w:rPr>
        <w:tab/>
      </w:r>
      <w:r>
        <w:rPr>
          <w:noProof/>
        </w:rPr>
        <w:t>Residential Baseline Sales Projection by End Use (GWh), Idaho</w:t>
      </w:r>
      <w:r>
        <w:rPr>
          <w:noProof/>
        </w:rPr>
        <w:tab/>
      </w:r>
      <w:r w:rsidR="00893E3D">
        <w:rPr>
          <w:noProof/>
        </w:rPr>
        <w:fldChar w:fldCharType="begin"/>
      </w:r>
      <w:r>
        <w:rPr>
          <w:noProof/>
        </w:rPr>
        <w:instrText xml:space="preserve"> PAGEREF _Toc424192776 \h </w:instrText>
      </w:r>
      <w:r w:rsidR="00893E3D">
        <w:rPr>
          <w:noProof/>
        </w:rPr>
      </w:r>
      <w:r w:rsidR="00893E3D">
        <w:rPr>
          <w:noProof/>
        </w:rPr>
        <w:fldChar w:fldCharType="separate"/>
      </w:r>
      <w:r w:rsidR="00B2652C">
        <w:rPr>
          <w:noProof/>
        </w:rPr>
        <w:t>43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4-3</w:t>
      </w:r>
      <w:r>
        <w:rPr>
          <w:rFonts w:asciiTheme="minorHAnsi" w:eastAsiaTheme="minorEastAsia" w:hAnsiTheme="minorHAnsi" w:cstheme="minorBidi"/>
          <w:noProof/>
          <w:sz w:val="22"/>
          <w:szCs w:val="22"/>
        </w:rPr>
        <w:tab/>
      </w:r>
      <w:r>
        <w:rPr>
          <w:noProof/>
        </w:rPr>
        <w:t>Residential Summer Peak Baseline Projection by End Use (MW), Washington</w:t>
      </w:r>
      <w:r>
        <w:rPr>
          <w:noProof/>
        </w:rPr>
        <w:tab/>
      </w:r>
      <w:r w:rsidR="00893E3D">
        <w:rPr>
          <w:noProof/>
        </w:rPr>
        <w:fldChar w:fldCharType="begin"/>
      </w:r>
      <w:r>
        <w:rPr>
          <w:noProof/>
        </w:rPr>
        <w:instrText xml:space="preserve"> PAGEREF _Toc424192777 \h </w:instrText>
      </w:r>
      <w:r w:rsidR="00893E3D">
        <w:rPr>
          <w:noProof/>
        </w:rPr>
      </w:r>
      <w:r w:rsidR="00893E3D">
        <w:rPr>
          <w:noProof/>
        </w:rPr>
        <w:fldChar w:fldCharType="separate"/>
      </w:r>
      <w:r w:rsidR="00B2652C">
        <w:rPr>
          <w:noProof/>
        </w:rPr>
        <w:t>45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4-4</w:t>
      </w:r>
      <w:r>
        <w:rPr>
          <w:rFonts w:asciiTheme="minorHAnsi" w:eastAsiaTheme="minorEastAsia" w:hAnsiTheme="minorHAnsi" w:cstheme="minorBidi"/>
          <w:noProof/>
          <w:sz w:val="22"/>
          <w:szCs w:val="22"/>
        </w:rPr>
        <w:tab/>
      </w:r>
      <w:r>
        <w:rPr>
          <w:noProof/>
        </w:rPr>
        <w:t>Residential Summer Peak Baseline Projection by End Use (MW), Idaho</w:t>
      </w:r>
      <w:r>
        <w:rPr>
          <w:noProof/>
        </w:rPr>
        <w:tab/>
      </w:r>
      <w:r w:rsidR="00893E3D">
        <w:rPr>
          <w:noProof/>
        </w:rPr>
        <w:fldChar w:fldCharType="begin"/>
      </w:r>
      <w:r>
        <w:rPr>
          <w:noProof/>
        </w:rPr>
        <w:instrText xml:space="preserve"> PAGEREF _Toc424192778 \h </w:instrText>
      </w:r>
      <w:r w:rsidR="00893E3D">
        <w:rPr>
          <w:noProof/>
        </w:rPr>
      </w:r>
      <w:r w:rsidR="00893E3D">
        <w:rPr>
          <w:noProof/>
        </w:rPr>
        <w:fldChar w:fldCharType="separate"/>
      </w:r>
      <w:r w:rsidR="00B2652C">
        <w:rPr>
          <w:noProof/>
        </w:rPr>
        <w:t>46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4-5</w:t>
      </w:r>
      <w:r>
        <w:rPr>
          <w:rFonts w:asciiTheme="minorHAnsi" w:eastAsiaTheme="minorEastAsia" w:hAnsiTheme="minorHAnsi" w:cstheme="minorBidi"/>
          <w:noProof/>
          <w:sz w:val="22"/>
          <w:szCs w:val="22"/>
        </w:rPr>
        <w:tab/>
      </w:r>
      <w:r>
        <w:rPr>
          <w:noProof/>
        </w:rPr>
        <w:t>Residential Winter Peak Baseline Projection by End Use (MW), Washington</w:t>
      </w:r>
      <w:r>
        <w:rPr>
          <w:noProof/>
        </w:rPr>
        <w:tab/>
      </w:r>
      <w:r w:rsidR="00893E3D">
        <w:rPr>
          <w:noProof/>
        </w:rPr>
        <w:fldChar w:fldCharType="begin"/>
      </w:r>
      <w:r>
        <w:rPr>
          <w:noProof/>
        </w:rPr>
        <w:instrText xml:space="preserve"> PAGEREF _Toc424192779 \h </w:instrText>
      </w:r>
      <w:r w:rsidR="00893E3D">
        <w:rPr>
          <w:noProof/>
        </w:rPr>
      </w:r>
      <w:r w:rsidR="00893E3D">
        <w:rPr>
          <w:noProof/>
        </w:rPr>
        <w:fldChar w:fldCharType="separate"/>
      </w:r>
      <w:r w:rsidR="00B2652C">
        <w:rPr>
          <w:noProof/>
        </w:rPr>
        <w:t>47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4-6</w:t>
      </w:r>
      <w:r>
        <w:rPr>
          <w:rFonts w:asciiTheme="minorHAnsi" w:eastAsiaTheme="minorEastAsia" w:hAnsiTheme="minorHAnsi" w:cstheme="minorBidi"/>
          <w:noProof/>
          <w:sz w:val="22"/>
          <w:szCs w:val="22"/>
        </w:rPr>
        <w:tab/>
      </w:r>
      <w:r>
        <w:rPr>
          <w:noProof/>
        </w:rPr>
        <w:t>Residential Winter Peak Baseline Projection by End Use (MW), Idaho</w:t>
      </w:r>
      <w:r>
        <w:rPr>
          <w:noProof/>
        </w:rPr>
        <w:tab/>
      </w:r>
      <w:r w:rsidR="00893E3D">
        <w:rPr>
          <w:noProof/>
        </w:rPr>
        <w:fldChar w:fldCharType="begin"/>
      </w:r>
      <w:r>
        <w:rPr>
          <w:noProof/>
        </w:rPr>
        <w:instrText xml:space="preserve"> PAGEREF _Toc424192780 \h </w:instrText>
      </w:r>
      <w:r w:rsidR="00893E3D">
        <w:rPr>
          <w:noProof/>
        </w:rPr>
      </w:r>
      <w:r w:rsidR="00893E3D">
        <w:rPr>
          <w:noProof/>
        </w:rPr>
        <w:fldChar w:fldCharType="separate"/>
      </w:r>
      <w:r w:rsidR="00B2652C">
        <w:rPr>
          <w:noProof/>
        </w:rPr>
        <w:t>47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4-7</w:t>
      </w:r>
      <w:r>
        <w:rPr>
          <w:rFonts w:asciiTheme="minorHAnsi" w:eastAsiaTheme="minorEastAsia" w:hAnsiTheme="minorHAnsi" w:cstheme="minorBidi"/>
          <w:noProof/>
          <w:sz w:val="22"/>
          <w:szCs w:val="22"/>
        </w:rPr>
        <w:tab/>
      </w:r>
      <w:r>
        <w:rPr>
          <w:noProof/>
        </w:rPr>
        <w:t>Commercial Baseline Sales Projection by End Use (GWh), Washington</w:t>
      </w:r>
      <w:r>
        <w:rPr>
          <w:noProof/>
        </w:rPr>
        <w:tab/>
      </w:r>
      <w:r w:rsidR="00893E3D">
        <w:rPr>
          <w:noProof/>
        </w:rPr>
        <w:fldChar w:fldCharType="begin"/>
      </w:r>
      <w:r>
        <w:rPr>
          <w:noProof/>
        </w:rPr>
        <w:instrText xml:space="preserve"> PAGEREF _Toc424192781 \h </w:instrText>
      </w:r>
      <w:r w:rsidR="00893E3D">
        <w:rPr>
          <w:noProof/>
        </w:rPr>
      </w:r>
      <w:r w:rsidR="00893E3D">
        <w:rPr>
          <w:noProof/>
        </w:rPr>
        <w:fldChar w:fldCharType="separate"/>
      </w:r>
      <w:r w:rsidR="00B2652C">
        <w:rPr>
          <w:noProof/>
        </w:rPr>
        <w:t>48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4-8</w:t>
      </w:r>
      <w:r>
        <w:rPr>
          <w:rFonts w:asciiTheme="minorHAnsi" w:eastAsiaTheme="minorEastAsia" w:hAnsiTheme="minorHAnsi" w:cstheme="minorBidi"/>
          <w:noProof/>
          <w:sz w:val="22"/>
          <w:szCs w:val="22"/>
        </w:rPr>
        <w:tab/>
      </w:r>
      <w:r>
        <w:rPr>
          <w:noProof/>
        </w:rPr>
        <w:t>Commercial Baseline Sales Projection by End Use (GWh), Idaho</w:t>
      </w:r>
      <w:r>
        <w:rPr>
          <w:noProof/>
        </w:rPr>
        <w:tab/>
      </w:r>
      <w:r w:rsidR="00893E3D">
        <w:rPr>
          <w:noProof/>
        </w:rPr>
        <w:fldChar w:fldCharType="begin"/>
      </w:r>
      <w:r>
        <w:rPr>
          <w:noProof/>
        </w:rPr>
        <w:instrText xml:space="preserve"> PAGEREF _Toc424192782 \h </w:instrText>
      </w:r>
      <w:r w:rsidR="00893E3D">
        <w:rPr>
          <w:noProof/>
        </w:rPr>
      </w:r>
      <w:r w:rsidR="00893E3D">
        <w:rPr>
          <w:noProof/>
        </w:rPr>
        <w:fldChar w:fldCharType="separate"/>
      </w:r>
      <w:r w:rsidR="00B2652C">
        <w:rPr>
          <w:noProof/>
        </w:rPr>
        <w:t>49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4-9</w:t>
      </w:r>
      <w:r>
        <w:rPr>
          <w:rFonts w:asciiTheme="minorHAnsi" w:eastAsiaTheme="minorEastAsia" w:hAnsiTheme="minorHAnsi" w:cstheme="minorBidi"/>
          <w:noProof/>
          <w:sz w:val="22"/>
          <w:szCs w:val="22"/>
        </w:rPr>
        <w:tab/>
      </w:r>
      <w:r>
        <w:rPr>
          <w:noProof/>
        </w:rPr>
        <w:t>Commercial Summer Peak Baseline Projection by End Use (MW), Washington</w:t>
      </w:r>
      <w:r>
        <w:rPr>
          <w:noProof/>
        </w:rPr>
        <w:tab/>
      </w:r>
      <w:r w:rsidR="00893E3D">
        <w:rPr>
          <w:noProof/>
        </w:rPr>
        <w:fldChar w:fldCharType="begin"/>
      </w:r>
      <w:r>
        <w:rPr>
          <w:noProof/>
        </w:rPr>
        <w:instrText xml:space="preserve"> PAGEREF _Toc424192783 \h </w:instrText>
      </w:r>
      <w:r w:rsidR="00893E3D">
        <w:rPr>
          <w:noProof/>
        </w:rPr>
      </w:r>
      <w:r w:rsidR="00893E3D">
        <w:rPr>
          <w:noProof/>
        </w:rPr>
        <w:fldChar w:fldCharType="separate"/>
      </w:r>
      <w:r w:rsidR="00B2652C">
        <w:rPr>
          <w:noProof/>
        </w:rPr>
        <w:t>51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4-10</w:t>
      </w:r>
      <w:r>
        <w:rPr>
          <w:rFonts w:asciiTheme="minorHAnsi" w:eastAsiaTheme="minorEastAsia" w:hAnsiTheme="minorHAnsi" w:cstheme="minorBidi"/>
          <w:noProof/>
          <w:sz w:val="22"/>
          <w:szCs w:val="22"/>
        </w:rPr>
        <w:tab/>
      </w:r>
      <w:r>
        <w:rPr>
          <w:noProof/>
        </w:rPr>
        <w:t>Commercial Summer Peak Baseline Projection by End Use (MW), Idaho</w:t>
      </w:r>
      <w:r>
        <w:rPr>
          <w:noProof/>
        </w:rPr>
        <w:tab/>
      </w:r>
      <w:r w:rsidR="00893E3D">
        <w:rPr>
          <w:noProof/>
        </w:rPr>
        <w:fldChar w:fldCharType="begin"/>
      </w:r>
      <w:r>
        <w:rPr>
          <w:noProof/>
        </w:rPr>
        <w:instrText xml:space="preserve"> PAGEREF _Toc424192784 \h </w:instrText>
      </w:r>
      <w:r w:rsidR="00893E3D">
        <w:rPr>
          <w:noProof/>
        </w:rPr>
      </w:r>
      <w:r w:rsidR="00893E3D">
        <w:rPr>
          <w:noProof/>
        </w:rPr>
        <w:fldChar w:fldCharType="separate"/>
      </w:r>
      <w:r w:rsidR="00B2652C">
        <w:rPr>
          <w:noProof/>
        </w:rPr>
        <w:t>51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4-11</w:t>
      </w:r>
      <w:r>
        <w:rPr>
          <w:rFonts w:asciiTheme="minorHAnsi" w:eastAsiaTheme="minorEastAsia" w:hAnsiTheme="minorHAnsi" w:cstheme="minorBidi"/>
          <w:noProof/>
          <w:sz w:val="22"/>
          <w:szCs w:val="22"/>
        </w:rPr>
        <w:tab/>
      </w:r>
      <w:r>
        <w:rPr>
          <w:noProof/>
        </w:rPr>
        <w:t>Commercial Winter Peak Baseline Projection by End Use (MW), Washington</w:t>
      </w:r>
      <w:r>
        <w:rPr>
          <w:noProof/>
        </w:rPr>
        <w:tab/>
      </w:r>
      <w:r w:rsidR="00893E3D">
        <w:rPr>
          <w:noProof/>
        </w:rPr>
        <w:fldChar w:fldCharType="begin"/>
      </w:r>
      <w:r>
        <w:rPr>
          <w:noProof/>
        </w:rPr>
        <w:instrText xml:space="preserve"> PAGEREF _Toc424192785 \h </w:instrText>
      </w:r>
      <w:r w:rsidR="00893E3D">
        <w:rPr>
          <w:noProof/>
        </w:rPr>
      </w:r>
      <w:r w:rsidR="00893E3D">
        <w:rPr>
          <w:noProof/>
        </w:rPr>
        <w:fldChar w:fldCharType="separate"/>
      </w:r>
      <w:r w:rsidR="00B2652C">
        <w:rPr>
          <w:noProof/>
        </w:rPr>
        <w:t>53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4-12</w:t>
      </w:r>
      <w:r>
        <w:rPr>
          <w:rFonts w:asciiTheme="minorHAnsi" w:eastAsiaTheme="minorEastAsia" w:hAnsiTheme="minorHAnsi" w:cstheme="minorBidi"/>
          <w:noProof/>
          <w:sz w:val="22"/>
          <w:szCs w:val="22"/>
        </w:rPr>
        <w:tab/>
      </w:r>
      <w:r>
        <w:rPr>
          <w:noProof/>
        </w:rPr>
        <w:t>Commercial Winter Peak Baseline Projection by End Use (MW), Idaho</w:t>
      </w:r>
      <w:r>
        <w:rPr>
          <w:noProof/>
        </w:rPr>
        <w:tab/>
      </w:r>
      <w:r w:rsidR="00893E3D">
        <w:rPr>
          <w:noProof/>
        </w:rPr>
        <w:fldChar w:fldCharType="begin"/>
      </w:r>
      <w:r>
        <w:rPr>
          <w:noProof/>
        </w:rPr>
        <w:instrText xml:space="preserve"> PAGEREF _Toc424192786 \h </w:instrText>
      </w:r>
      <w:r w:rsidR="00893E3D">
        <w:rPr>
          <w:noProof/>
        </w:rPr>
      </w:r>
      <w:r w:rsidR="00893E3D">
        <w:rPr>
          <w:noProof/>
        </w:rPr>
        <w:fldChar w:fldCharType="separate"/>
      </w:r>
      <w:r w:rsidR="00B2652C">
        <w:rPr>
          <w:noProof/>
        </w:rPr>
        <w:t>53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4-13</w:t>
      </w:r>
      <w:r>
        <w:rPr>
          <w:rFonts w:asciiTheme="minorHAnsi" w:eastAsiaTheme="minorEastAsia" w:hAnsiTheme="minorHAnsi" w:cstheme="minorBidi"/>
          <w:noProof/>
          <w:sz w:val="22"/>
          <w:szCs w:val="22"/>
        </w:rPr>
        <w:tab/>
      </w:r>
      <w:r>
        <w:rPr>
          <w:noProof/>
        </w:rPr>
        <w:t>Industrial Baseline Projection by End Use (GWh), Washington</w:t>
      </w:r>
      <w:r>
        <w:rPr>
          <w:noProof/>
        </w:rPr>
        <w:tab/>
      </w:r>
      <w:r w:rsidR="00893E3D">
        <w:rPr>
          <w:noProof/>
        </w:rPr>
        <w:fldChar w:fldCharType="begin"/>
      </w:r>
      <w:r>
        <w:rPr>
          <w:noProof/>
        </w:rPr>
        <w:instrText xml:space="preserve"> PAGEREF _Toc424192787 \h </w:instrText>
      </w:r>
      <w:r w:rsidR="00893E3D">
        <w:rPr>
          <w:noProof/>
        </w:rPr>
      </w:r>
      <w:r w:rsidR="00893E3D">
        <w:rPr>
          <w:noProof/>
        </w:rPr>
        <w:fldChar w:fldCharType="separate"/>
      </w:r>
      <w:r w:rsidR="00B2652C">
        <w:rPr>
          <w:noProof/>
        </w:rPr>
        <w:t>55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4-14</w:t>
      </w:r>
      <w:r>
        <w:rPr>
          <w:rFonts w:asciiTheme="minorHAnsi" w:eastAsiaTheme="minorEastAsia" w:hAnsiTheme="minorHAnsi" w:cstheme="minorBidi"/>
          <w:noProof/>
          <w:sz w:val="22"/>
          <w:szCs w:val="22"/>
        </w:rPr>
        <w:tab/>
      </w:r>
      <w:r>
        <w:rPr>
          <w:noProof/>
        </w:rPr>
        <w:t>Industrial Baseline Projection by End Use (GWh), Idaho</w:t>
      </w:r>
      <w:r>
        <w:rPr>
          <w:noProof/>
        </w:rPr>
        <w:tab/>
      </w:r>
      <w:r w:rsidR="00893E3D">
        <w:rPr>
          <w:noProof/>
        </w:rPr>
        <w:fldChar w:fldCharType="begin"/>
      </w:r>
      <w:r>
        <w:rPr>
          <w:noProof/>
        </w:rPr>
        <w:instrText xml:space="preserve"> PAGEREF _Toc424192788 \h </w:instrText>
      </w:r>
      <w:r w:rsidR="00893E3D">
        <w:rPr>
          <w:noProof/>
        </w:rPr>
      </w:r>
      <w:r w:rsidR="00893E3D">
        <w:rPr>
          <w:noProof/>
        </w:rPr>
        <w:fldChar w:fldCharType="separate"/>
      </w:r>
      <w:r w:rsidR="00B2652C">
        <w:rPr>
          <w:noProof/>
        </w:rPr>
        <w:t>55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4-15</w:t>
      </w:r>
      <w:r>
        <w:rPr>
          <w:rFonts w:asciiTheme="minorHAnsi" w:eastAsiaTheme="minorEastAsia" w:hAnsiTheme="minorHAnsi" w:cstheme="minorBidi"/>
          <w:noProof/>
          <w:sz w:val="22"/>
          <w:szCs w:val="22"/>
        </w:rPr>
        <w:tab/>
      </w:r>
      <w:r>
        <w:rPr>
          <w:noProof/>
        </w:rPr>
        <w:t>Industrial Summer Peak Baseline Projection by End Use (MW), Washington</w:t>
      </w:r>
      <w:r>
        <w:rPr>
          <w:noProof/>
        </w:rPr>
        <w:tab/>
      </w:r>
      <w:r w:rsidR="00893E3D">
        <w:rPr>
          <w:noProof/>
        </w:rPr>
        <w:fldChar w:fldCharType="begin"/>
      </w:r>
      <w:r>
        <w:rPr>
          <w:noProof/>
        </w:rPr>
        <w:instrText xml:space="preserve"> PAGEREF _Toc424192789 \h </w:instrText>
      </w:r>
      <w:r w:rsidR="00893E3D">
        <w:rPr>
          <w:noProof/>
        </w:rPr>
      </w:r>
      <w:r w:rsidR="00893E3D">
        <w:rPr>
          <w:noProof/>
        </w:rPr>
        <w:fldChar w:fldCharType="separate"/>
      </w:r>
      <w:r w:rsidR="00B2652C">
        <w:rPr>
          <w:noProof/>
        </w:rPr>
        <w:t>57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4-16</w:t>
      </w:r>
      <w:r>
        <w:rPr>
          <w:rFonts w:asciiTheme="minorHAnsi" w:eastAsiaTheme="minorEastAsia" w:hAnsiTheme="minorHAnsi" w:cstheme="minorBidi"/>
          <w:noProof/>
          <w:sz w:val="22"/>
          <w:szCs w:val="22"/>
        </w:rPr>
        <w:tab/>
      </w:r>
      <w:r>
        <w:rPr>
          <w:noProof/>
        </w:rPr>
        <w:t>Industrial Summer Peak Baseline Projection by End Use (MW), Idaho</w:t>
      </w:r>
      <w:r>
        <w:rPr>
          <w:noProof/>
        </w:rPr>
        <w:tab/>
      </w:r>
      <w:r w:rsidR="00893E3D">
        <w:rPr>
          <w:noProof/>
        </w:rPr>
        <w:fldChar w:fldCharType="begin"/>
      </w:r>
      <w:r>
        <w:rPr>
          <w:noProof/>
        </w:rPr>
        <w:instrText xml:space="preserve"> PAGEREF _Toc424192790 \h </w:instrText>
      </w:r>
      <w:r w:rsidR="00893E3D">
        <w:rPr>
          <w:noProof/>
        </w:rPr>
      </w:r>
      <w:r w:rsidR="00893E3D">
        <w:rPr>
          <w:noProof/>
        </w:rPr>
        <w:fldChar w:fldCharType="separate"/>
      </w:r>
      <w:r w:rsidR="00B2652C">
        <w:rPr>
          <w:noProof/>
        </w:rPr>
        <w:t>57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4-17</w:t>
      </w:r>
      <w:r>
        <w:rPr>
          <w:rFonts w:asciiTheme="minorHAnsi" w:eastAsiaTheme="minorEastAsia" w:hAnsiTheme="minorHAnsi" w:cstheme="minorBidi"/>
          <w:noProof/>
          <w:sz w:val="22"/>
          <w:szCs w:val="22"/>
        </w:rPr>
        <w:tab/>
      </w:r>
      <w:r>
        <w:rPr>
          <w:noProof/>
        </w:rPr>
        <w:t>Industrial Winter Peak Baseline Projection by End Use (MW), Washington</w:t>
      </w:r>
      <w:r>
        <w:rPr>
          <w:noProof/>
        </w:rPr>
        <w:tab/>
      </w:r>
      <w:r w:rsidR="00893E3D">
        <w:rPr>
          <w:noProof/>
        </w:rPr>
        <w:fldChar w:fldCharType="begin"/>
      </w:r>
      <w:r>
        <w:rPr>
          <w:noProof/>
        </w:rPr>
        <w:instrText xml:space="preserve"> PAGEREF _Toc424192791 \h </w:instrText>
      </w:r>
      <w:r w:rsidR="00893E3D">
        <w:rPr>
          <w:noProof/>
        </w:rPr>
      </w:r>
      <w:r w:rsidR="00893E3D">
        <w:rPr>
          <w:noProof/>
        </w:rPr>
        <w:fldChar w:fldCharType="separate"/>
      </w:r>
      <w:r w:rsidR="00B2652C">
        <w:rPr>
          <w:noProof/>
        </w:rPr>
        <w:t>59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lastRenderedPageBreak/>
        <w:t>Table 4-18</w:t>
      </w:r>
      <w:r>
        <w:rPr>
          <w:rFonts w:asciiTheme="minorHAnsi" w:eastAsiaTheme="minorEastAsia" w:hAnsiTheme="minorHAnsi" w:cstheme="minorBidi"/>
          <w:noProof/>
          <w:sz w:val="22"/>
          <w:szCs w:val="22"/>
        </w:rPr>
        <w:tab/>
      </w:r>
      <w:r>
        <w:rPr>
          <w:noProof/>
        </w:rPr>
        <w:t>Industrial Winter Peak Baseline Projection by End Use (MW), Idaho</w:t>
      </w:r>
      <w:r>
        <w:rPr>
          <w:noProof/>
        </w:rPr>
        <w:tab/>
      </w:r>
      <w:r w:rsidR="00893E3D">
        <w:rPr>
          <w:noProof/>
        </w:rPr>
        <w:fldChar w:fldCharType="begin"/>
      </w:r>
      <w:r>
        <w:rPr>
          <w:noProof/>
        </w:rPr>
        <w:instrText xml:space="preserve"> PAGEREF _Toc424192792 \h </w:instrText>
      </w:r>
      <w:r w:rsidR="00893E3D">
        <w:rPr>
          <w:noProof/>
        </w:rPr>
      </w:r>
      <w:r w:rsidR="00893E3D">
        <w:rPr>
          <w:noProof/>
        </w:rPr>
        <w:fldChar w:fldCharType="separate"/>
      </w:r>
      <w:r w:rsidR="00B2652C">
        <w:rPr>
          <w:noProof/>
        </w:rPr>
        <w:t>59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4-19</w:t>
      </w:r>
      <w:r>
        <w:rPr>
          <w:rFonts w:asciiTheme="minorHAnsi" w:eastAsiaTheme="minorEastAsia" w:hAnsiTheme="minorHAnsi" w:cstheme="minorBidi"/>
          <w:noProof/>
          <w:sz w:val="22"/>
          <w:szCs w:val="22"/>
        </w:rPr>
        <w:tab/>
      </w:r>
      <w:r>
        <w:rPr>
          <w:noProof/>
        </w:rPr>
        <w:t>Baseline Projection Summary (GWh), WA and ID Combined</w:t>
      </w:r>
      <w:r>
        <w:rPr>
          <w:noProof/>
        </w:rPr>
        <w:tab/>
      </w:r>
      <w:r w:rsidR="00893E3D">
        <w:rPr>
          <w:noProof/>
        </w:rPr>
        <w:fldChar w:fldCharType="begin"/>
      </w:r>
      <w:r>
        <w:rPr>
          <w:noProof/>
        </w:rPr>
        <w:instrText xml:space="preserve"> PAGEREF _Toc424192793 \h </w:instrText>
      </w:r>
      <w:r w:rsidR="00893E3D">
        <w:rPr>
          <w:noProof/>
        </w:rPr>
      </w:r>
      <w:r w:rsidR="00893E3D">
        <w:rPr>
          <w:noProof/>
        </w:rPr>
        <w:fldChar w:fldCharType="separate"/>
      </w:r>
      <w:r w:rsidR="00B2652C">
        <w:rPr>
          <w:noProof/>
        </w:rPr>
        <w:t>61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4-20</w:t>
      </w:r>
      <w:r>
        <w:rPr>
          <w:rFonts w:asciiTheme="minorHAnsi" w:eastAsiaTheme="minorEastAsia" w:hAnsiTheme="minorHAnsi" w:cstheme="minorBidi"/>
          <w:noProof/>
          <w:sz w:val="22"/>
          <w:szCs w:val="22"/>
        </w:rPr>
        <w:tab/>
      </w:r>
      <w:r>
        <w:rPr>
          <w:noProof/>
        </w:rPr>
        <w:t>Baseline Summer Peak Projection Summary (MW), WA and ID Combined</w:t>
      </w:r>
      <w:r>
        <w:rPr>
          <w:noProof/>
        </w:rPr>
        <w:tab/>
      </w:r>
      <w:r w:rsidR="00893E3D">
        <w:rPr>
          <w:noProof/>
        </w:rPr>
        <w:fldChar w:fldCharType="begin"/>
      </w:r>
      <w:r>
        <w:rPr>
          <w:noProof/>
        </w:rPr>
        <w:instrText xml:space="preserve"> PAGEREF _Toc424192794 \h </w:instrText>
      </w:r>
      <w:r w:rsidR="00893E3D">
        <w:rPr>
          <w:noProof/>
        </w:rPr>
      </w:r>
      <w:r w:rsidR="00893E3D">
        <w:rPr>
          <w:noProof/>
        </w:rPr>
        <w:fldChar w:fldCharType="separate"/>
      </w:r>
      <w:r w:rsidR="00B2652C">
        <w:rPr>
          <w:noProof/>
        </w:rPr>
        <w:t>62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4-21</w:t>
      </w:r>
      <w:r>
        <w:rPr>
          <w:rFonts w:asciiTheme="minorHAnsi" w:eastAsiaTheme="minorEastAsia" w:hAnsiTheme="minorHAnsi" w:cstheme="minorBidi"/>
          <w:noProof/>
          <w:sz w:val="22"/>
          <w:szCs w:val="22"/>
        </w:rPr>
        <w:tab/>
      </w:r>
      <w:r>
        <w:rPr>
          <w:noProof/>
        </w:rPr>
        <w:t>Baseline Winter Peak Projection Summary (MW), WA and ID Combined</w:t>
      </w:r>
      <w:r>
        <w:rPr>
          <w:noProof/>
        </w:rPr>
        <w:tab/>
      </w:r>
      <w:r w:rsidR="00893E3D">
        <w:rPr>
          <w:noProof/>
        </w:rPr>
        <w:fldChar w:fldCharType="begin"/>
      </w:r>
      <w:r>
        <w:rPr>
          <w:noProof/>
        </w:rPr>
        <w:instrText xml:space="preserve"> PAGEREF _Toc424192795 \h </w:instrText>
      </w:r>
      <w:r w:rsidR="00893E3D">
        <w:rPr>
          <w:noProof/>
        </w:rPr>
      </w:r>
      <w:r w:rsidR="00893E3D">
        <w:rPr>
          <w:noProof/>
        </w:rPr>
        <w:fldChar w:fldCharType="separate"/>
      </w:r>
      <w:r w:rsidR="00B2652C">
        <w:rPr>
          <w:noProof/>
        </w:rPr>
        <w:t>62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w:t>
      </w:r>
      <w:r>
        <w:rPr>
          <w:rFonts w:asciiTheme="minorHAnsi" w:eastAsiaTheme="minorEastAsia" w:hAnsiTheme="minorHAnsi" w:cstheme="minorBidi"/>
          <w:noProof/>
          <w:sz w:val="22"/>
          <w:szCs w:val="22"/>
        </w:rPr>
        <w:tab/>
      </w:r>
      <w:r>
        <w:rPr>
          <w:noProof/>
        </w:rPr>
        <w:t>Summary of EE Potential (Annual Energy, GWh), Washington</w:t>
      </w:r>
      <w:r>
        <w:rPr>
          <w:noProof/>
        </w:rPr>
        <w:tab/>
      </w:r>
      <w:r w:rsidR="00893E3D">
        <w:rPr>
          <w:noProof/>
        </w:rPr>
        <w:fldChar w:fldCharType="begin"/>
      </w:r>
      <w:r>
        <w:rPr>
          <w:noProof/>
        </w:rPr>
        <w:instrText xml:space="preserve"> PAGEREF _Toc424192796 \h </w:instrText>
      </w:r>
      <w:r w:rsidR="00893E3D">
        <w:rPr>
          <w:noProof/>
        </w:rPr>
      </w:r>
      <w:r w:rsidR="00893E3D">
        <w:rPr>
          <w:noProof/>
        </w:rPr>
        <w:fldChar w:fldCharType="separate"/>
      </w:r>
      <w:r w:rsidR="00B2652C">
        <w:rPr>
          <w:noProof/>
        </w:rPr>
        <w:t>65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5-2</w:t>
      </w:r>
      <w:r>
        <w:rPr>
          <w:rFonts w:asciiTheme="minorHAnsi" w:eastAsiaTheme="minorEastAsia" w:hAnsiTheme="minorHAnsi" w:cstheme="minorBidi"/>
          <w:noProof/>
          <w:sz w:val="22"/>
          <w:szCs w:val="22"/>
        </w:rPr>
        <w:tab/>
      </w:r>
      <w:r>
        <w:rPr>
          <w:noProof/>
        </w:rPr>
        <w:t>Summary of EE Potential (Annual Energy, GWh), Idaho</w:t>
      </w:r>
      <w:r>
        <w:rPr>
          <w:noProof/>
        </w:rPr>
        <w:tab/>
      </w:r>
      <w:r w:rsidR="00893E3D">
        <w:rPr>
          <w:noProof/>
        </w:rPr>
        <w:fldChar w:fldCharType="begin"/>
      </w:r>
      <w:r>
        <w:rPr>
          <w:noProof/>
        </w:rPr>
        <w:instrText xml:space="preserve"> PAGEREF _Toc424192797 \h </w:instrText>
      </w:r>
      <w:r w:rsidR="00893E3D">
        <w:rPr>
          <w:noProof/>
        </w:rPr>
      </w:r>
      <w:r w:rsidR="00893E3D">
        <w:rPr>
          <w:noProof/>
        </w:rPr>
        <w:fldChar w:fldCharType="separate"/>
      </w:r>
      <w:r w:rsidR="00B2652C">
        <w:rPr>
          <w:noProof/>
        </w:rPr>
        <w:t>65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5-3</w:t>
      </w:r>
      <w:r>
        <w:rPr>
          <w:rFonts w:asciiTheme="minorHAnsi" w:eastAsiaTheme="minorEastAsia" w:hAnsiTheme="minorHAnsi" w:cstheme="minorBidi"/>
          <w:noProof/>
          <w:sz w:val="22"/>
          <w:szCs w:val="22"/>
        </w:rPr>
        <w:tab/>
      </w:r>
      <w:r>
        <w:rPr>
          <w:noProof/>
        </w:rPr>
        <w:t>Achievable Conservation Potential by Sector (Annual Use), WA and ID</w:t>
      </w:r>
      <w:r>
        <w:rPr>
          <w:noProof/>
        </w:rPr>
        <w:tab/>
      </w:r>
      <w:r w:rsidR="00893E3D">
        <w:rPr>
          <w:noProof/>
        </w:rPr>
        <w:fldChar w:fldCharType="begin"/>
      </w:r>
      <w:r>
        <w:rPr>
          <w:noProof/>
        </w:rPr>
        <w:instrText xml:space="preserve"> PAGEREF _Toc424192798 \h </w:instrText>
      </w:r>
      <w:r w:rsidR="00893E3D">
        <w:rPr>
          <w:noProof/>
        </w:rPr>
      </w:r>
      <w:r w:rsidR="00893E3D">
        <w:rPr>
          <w:noProof/>
        </w:rPr>
        <w:fldChar w:fldCharType="separate"/>
      </w:r>
      <w:r w:rsidR="00B2652C">
        <w:rPr>
          <w:noProof/>
        </w:rPr>
        <w:t>68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5-4</w:t>
      </w:r>
      <w:r>
        <w:rPr>
          <w:rFonts w:asciiTheme="minorHAnsi" w:eastAsiaTheme="minorEastAsia" w:hAnsiTheme="minorHAnsi" w:cstheme="minorBidi"/>
          <w:noProof/>
          <w:sz w:val="22"/>
          <w:szCs w:val="22"/>
        </w:rPr>
        <w:tab/>
      </w:r>
      <w:r>
        <w:rPr>
          <w:noProof/>
        </w:rPr>
        <w:t>Residential Conservation Potential (Annual Energy), Washington and Idaho</w:t>
      </w:r>
      <w:r>
        <w:rPr>
          <w:noProof/>
        </w:rPr>
        <w:tab/>
      </w:r>
      <w:r w:rsidR="00893E3D">
        <w:rPr>
          <w:noProof/>
        </w:rPr>
        <w:fldChar w:fldCharType="begin"/>
      </w:r>
      <w:r>
        <w:rPr>
          <w:noProof/>
        </w:rPr>
        <w:instrText xml:space="preserve"> PAGEREF _Toc424192799 \h </w:instrText>
      </w:r>
      <w:r w:rsidR="00893E3D">
        <w:rPr>
          <w:noProof/>
        </w:rPr>
      </w:r>
      <w:r w:rsidR="00893E3D">
        <w:rPr>
          <w:noProof/>
        </w:rPr>
        <w:fldChar w:fldCharType="separate"/>
      </w:r>
      <w:r w:rsidR="00B2652C">
        <w:rPr>
          <w:noProof/>
        </w:rPr>
        <w:t>69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5-5</w:t>
      </w:r>
      <w:r>
        <w:rPr>
          <w:rFonts w:asciiTheme="minorHAnsi" w:eastAsiaTheme="minorEastAsia" w:hAnsiTheme="minorHAnsi" w:cstheme="minorBidi"/>
          <w:noProof/>
          <w:sz w:val="22"/>
          <w:szCs w:val="22"/>
        </w:rPr>
        <w:tab/>
      </w:r>
      <w:r>
        <w:rPr>
          <w:noProof/>
        </w:rPr>
        <w:t>Residential Conservation Potential (Annual Energy), Washington</w:t>
      </w:r>
      <w:r>
        <w:rPr>
          <w:noProof/>
        </w:rPr>
        <w:tab/>
      </w:r>
      <w:r w:rsidR="00893E3D">
        <w:rPr>
          <w:noProof/>
        </w:rPr>
        <w:fldChar w:fldCharType="begin"/>
      </w:r>
      <w:r>
        <w:rPr>
          <w:noProof/>
        </w:rPr>
        <w:instrText xml:space="preserve"> PAGEREF _Toc424192800 \h </w:instrText>
      </w:r>
      <w:r w:rsidR="00893E3D">
        <w:rPr>
          <w:noProof/>
        </w:rPr>
      </w:r>
      <w:r w:rsidR="00893E3D">
        <w:rPr>
          <w:noProof/>
        </w:rPr>
        <w:fldChar w:fldCharType="separate"/>
      </w:r>
      <w:r w:rsidR="00B2652C">
        <w:rPr>
          <w:noProof/>
        </w:rPr>
        <w:t>69</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5-6</w:t>
      </w:r>
      <w:r>
        <w:rPr>
          <w:rFonts w:asciiTheme="minorHAnsi" w:eastAsiaTheme="minorEastAsia" w:hAnsiTheme="minorHAnsi" w:cstheme="minorBidi"/>
          <w:noProof/>
          <w:sz w:val="22"/>
          <w:szCs w:val="22"/>
        </w:rPr>
        <w:tab/>
      </w:r>
      <w:r>
        <w:rPr>
          <w:noProof/>
        </w:rPr>
        <w:t>Residential Conservation Potential (Annual Energy), Idaho</w:t>
      </w:r>
      <w:r>
        <w:rPr>
          <w:noProof/>
        </w:rPr>
        <w:tab/>
      </w:r>
      <w:r w:rsidR="00893E3D">
        <w:rPr>
          <w:noProof/>
        </w:rPr>
        <w:fldChar w:fldCharType="begin"/>
      </w:r>
      <w:r>
        <w:rPr>
          <w:noProof/>
        </w:rPr>
        <w:instrText xml:space="preserve"> PAGEREF _Toc424192801 \h </w:instrText>
      </w:r>
      <w:r w:rsidR="00893E3D">
        <w:rPr>
          <w:noProof/>
        </w:rPr>
      </w:r>
      <w:r w:rsidR="00893E3D">
        <w:rPr>
          <w:noProof/>
        </w:rPr>
        <w:fldChar w:fldCharType="separate"/>
      </w:r>
      <w:r w:rsidR="00B2652C">
        <w:rPr>
          <w:noProof/>
        </w:rPr>
        <w:t>70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5-7</w:t>
      </w:r>
      <w:r>
        <w:rPr>
          <w:rFonts w:asciiTheme="minorHAnsi" w:eastAsiaTheme="minorEastAsia" w:hAnsiTheme="minorHAnsi" w:cstheme="minorBidi"/>
          <w:noProof/>
          <w:sz w:val="22"/>
          <w:szCs w:val="22"/>
        </w:rPr>
        <w:tab/>
      </w:r>
      <w:r>
        <w:rPr>
          <w:noProof/>
        </w:rPr>
        <w:t>Residential Top Measures in 2017 (Annual Energy, MWh), Washington and Idaho</w:t>
      </w:r>
      <w:r>
        <w:rPr>
          <w:noProof/>
        </w:rPr>
        <w:tab/>
      </w:r>
      <w:r w:rsidR="00893E3D">
        <w:rPr>
          <w:noProof/>
        </w:rPr>
        <w:fldChar w:fldCharType="begin"/>
      </w:r>
      <w:r>
        <w:rPr>
          <w:noProof/>
        </w:rPr>
        <w:instrText xml:space="preserve"> PAGEREF _Toc424192802 \h </w:instrText>
      </w:r>
      <w:r w:rsidR="00893E3D">
        <w:rPr>
          <w:noProof/>
        </w:rPr>
      </w:r>
      <w:r w:rsidR="00893E3D">
        <w:rPr>
          <w:noProof/>
        </w:rPr>
        <w:fldChar w:fldCharType="separate"/>
      </w:r>
      <w:r w:rsidR="00B2652C">
        <w:rPr>
          <w:noProof/>
        </w:rPr>
        <w:t>72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5-8</w:t>
      </w:r>
      <w:r>
        <w:rPr>
          <w:rFonts w:asciiTheme="minorHAnsi" w:eastAsiaTheme="minorEastAsia" w:hAnsiTheme="minorHAnsi" w:cstheme="minorBidi"/>
          <w:noProof/>
          <w:sz w:val="22"/>
          <w:szCs w:val="22"/>
        </w:rPr>
        <w:tab/>
      </w:r>
      <w:r>
        <w:rPr>
          <w:noProof/>
        </w:rPr>
        <w:t>Residential Top Measures in 2017 (Annual Energy, MWh), Washington</w:t>
      </w:r>
      <w:r>
        <w:rPr>
          <w:noProof/>
        </w:rPr>
        <w:tab/>
      </w:r>
      <w:r w:rsidR="00893E3D">
        <w:rPr>
          <w:noProof/>
        </w:rPr>
        <w:fldChar w:fldCharType="begin"/>
      </w:r>
      <w:r>
        <w:rPr>
          <w:noProof/>
        </w:rPr>
        <w:instrText xml:space="preserve"> PAGEREF _Toc424192803 \h </w:instrText>
      </w:r>
      <w:r w:rsidR="00893E3D">
        <w:rPr>
          <w:noProof/>
        </w:rPr>
      </w:r>
      <w:r w:rsidR="00893E3D">
        <w:rPr>
          <w:noProof/>
        </w:rPr>
        <w:fldChar w:fldCharType="separate"/>
      </w:r>
      <w:r w:rsidR="00B2652C">
        <w:rPr>
          <w:noProof/>
        </w:rPr>
        <w:t>73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5-9</w:t>
      </w:r>
      <w:r>
        <w:rPr>
          <w:rFonts w:asciiTheme="minorHAnsi" w:eastAsiaTheme="minorEastAsia" w:hAnsiTheme="minorHAnsi" w:cstheme="minorBidi"/>
          <w:noProof/>
          <w:sz w:val="22"/>
          <w:szCs w:val="22"/>
        </w:rPr>
        <w:tab/>
      </w:r>
      <w:r>
        <w:rPr>
          <w:noProof/>
        </w:rPr>
        <w:t>Residential Top Measures in 2017 (Annual Energy, MWh), Idaho</w:t>
      </w:r>
      <w:r>
        <w:rPr>
          <w:noProof/>
        </w:rPr>
        <w:tab/>
      </w:r>
      <w:r w:rsidR="00893E3D">
        <w:rPr>
          <w:noProof/>
        </w:rPr>
        <w:fldChar w:fldCharType="begin"/>
      </w:r>
      <w:r>
        <w:rPr>
          <w:noProof/>
        </w:rPr>
        <w:instrText xml:space="preserve"> PAGEREF _Toc424192804 \h </w:instrText>
      </w:r>
      <w:r w:rsidR="00893E3D">
        <w:rPr>
          <w:noProof/>
        </w:rPr>
      </w:r>
      <w:r w:rsidR="00893E3D">
        <w:rPr>
          <w:noProof/>
        </w:rPr>
        <w:fldChar w:fldCharType="separate"/>
      </w:r>
      <w:r w:rsidR="00B2652C">
        <w:rPr>
          <w:noProof/>
        </w:rPr>
        <w:t>75</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5-10</w:t>
      </w:r>
      <w:r>
        <w:rPr>
          <w:rFonts w:asciiTheme="minorHAnsi" w:eastAsiaTheme="minorEastAsia" w:hAnsiTheme="minorHAnsi" w:cstheme="minorBidi"/>
          <w:noProof/>
          <w:sz w:val="22"/>
          <w:szCs w:val="22"/>
        </w:rPr>
        <w:tab/>
      </w:r>
      <w:r>
        <w:rPr>
          <w:noProof/>
        </w:rPr>
        <w:t>Commercial Conservation Potential (Energy Savings), Washington and Idaho</w:t>
      </w:r>
      <w:r>
        <w:rPr>
          <w:noProof/>
        </w:rPr>
        <w:tab/>
      </w:r>
      <w:r w:rsidR="00893E3D">
        <w:rPr>
          <w:noProof/>
        </w:rPr>
        <w:fldChar w:fldCharType="begin"/>
      </w:r>
      <w:r>
        <w:rPr>
          <w:noProof/>
        </w:rPr>
        <w:instrText xml:space="preserve"> PAGEREF _Toc424192805 \h </w:instrText>
      </w:r>
      <w:r w:rsidR="00893E3D">
        <w:rPr>
          <w:noProof/>
        </w:rPr>
      </w:r>
      <w:r w:rsidR="00893E3D">
        <w:rPr>
          <w:noProof/>
        </w:rPr>
        <w:fldChar w:fldCharType="separate"/>
      </w:r>
      <w:r w:rsidR="00B2652C">
        <w:rPr>
          <w:noProof/>
        </w:rPr>
        <w:t>77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5-11</w:t>
      </w:r>
      <w:r>
        <w:rPr>
          <w:rFonts w:asciiTheme="minorHAnsi" w:eastAsiaTheme="minorEastAsia" w:hAnsiTheme="minorHAnsi" w:cstheme="minorBidi"/>
          <w:noProof/>
          <w:sz w:val="22"/>
          <w:szCs w:val="22"/>
        </w:rPr>
        <w:tab/>
      </w:r>
      <w:r>
        <w:rPr>
          <w:noProof/>
        </w:rPr>
        <w:t>Commercial Conservation Potential (Energy Savings), Washington</w:t>
      </w:r>
      <w:r>
        <w:rPr>
          <w:noProof/>
        </w:rPr>
        <w:tab/>
      </w:r>
      <w:r w:rsidR="00893E3D">
        <w:rPr>
          <w:noProof/>
        </w:rPr>
        <w:fldChar w:fldCharType="begin"/>
      </w:r>
      <w:r>
        <w:rPr>
          <w:noProof/>
        </w:rPr>
        <w:instrText xml:space="preserve"> PAGEREF _Toc424192806 \h </w:instrText>
      </w:r>
      <w:r w:rsidR="00893E3D">
        <w:rPr>
          <w:noProof/>
        </w:rPr>
      </w:r>
      <w:r w:rsidR="00893E3D">
        <w:rPr>
          <w:noProof/>
        </w:rPr>
        <w:fldChar w:fldCharType="separate"/>
      </w:r>
      <w:r w:rsidR="00B2652C">
        <w:rPr>
          <w:noProof/>
        </w:rPr>
        <w:t>77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5-12</w:t>
      </w:r>
      <w:r>
        <w:rPr>
          <w:rFonts w:asciiTheme="minorHAnsi" w:eastAsiaTheme="minorEastAsia" w:hAnsiTheme="minorHAnsi" w:cstheme="minorBidi"/>
          <w:noProof/>
          <w:sz w:val="22"/>
          <w:szCs w:val="22"/>
        </w:rPr>
        <w:tab/>
      </w:r>
      <w:r>
        <w:rPr>
          <w:noProof/>
        </w:rPr>
        <w:t>Commercial Conservation Potential (Energy Savings), Idaho</w:t>
      </w:r>
      <w:r>
        <w:rPr>
          <w:noProof/>
        </w:rPr>
        <w:tab/>
      </w:r>
      <w:r w:rsidR="00893E3D">
        <w:rPr>
          <w:noProof/>
        </w:rPr>
        <w:fldChar w:fldCharType="begin"/>
      </w:r>
      <w:r>
        <w:rPr>
          <w:noProof/>
        </w:rPr>
        <w:instrText xml:space="preserve"> PAGEREF _Toc424192807 \h </w:instrText>
      </w:r>
      <w:r w:rsidR="00893E3D">
        <w:rPr>
          <w:noProof/>
        </w:rPr>
      </w:r>
      <w:r w:rsidR="00893E3D">
        <w:rPr>
          <w:noProof/>
        </w:rPr>
        <w:fldChar w:fldCharType="separate"/>
      </w:r>
      <w:r w:rsidR="00B2652C">
        <w:rPr>
          <w:noProof/>
        </w:rPr>
        <w:t>78</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5-13</w:t>
      </w:r>
      <w:r>
        <w:rPr>
          <w:rFonts w:asciiTheme="minorHAnsi" w:eastAsiaTheme="minorEastAsia" w:hAnsiTheme="minorHAnsi" w:cstheme="minorBidi"/>
          <w:noProof/>
          <w:sz w:val="22"/>
          <w:szCs w:val="22"/>
        </w:rPr>
        <w:tab/>
      </w:r>
      <w:r>
        <w:rPr>
          <w:noProof/>
        </w:rPr>
        <w:t>Commercial Top Measures in 2017 (Annual Energy, MWh), Washington and Idaho</w:t>
      </w:r>
      <w:r>
        <w:rPr>
          <w:noProof/>
        </w:rPr>
        <w:tab/>
      </w:r>
      <w:r w:rsidR="00893E3D">
        <w:rPr>
          <w:noProof/>
        </w:rPr>
        <w:fldChar w:fldCharType="begin"/>
      </w:r>
      <w:r>
        <w:rPr>
          <w:noProof/>
        </w:rPr>
        <w:instrText xml:space="preserve"> PAGEREF _Toc424192808 \h </w:instrText>
      </w:r>
      <w:r w:rsidR="00893E3D">
        <w:rPr>
          <w:noProof/>
        </w:rPr>
      </w:r>
      <w:r w:rsidR="00893E3D">
        <w:rPr>
          <w:noProof/>
        </w:rPr>
        <w:fldChar w:fldCharType="separate"/>
      </w:r>
      <w:r w:rsidR="00B2652C">
        <w:rPr>
          <w:noProof/>
        </w:rPr>
        <w:t>80</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5-14</w:t>
      </w:r>
      <w:r>
        <w:rPr>
          <w:rFonts w:asciiTheme="minorHAnsi" w:eastAsiaTheme="minorEastAsia" w:hAnsiTheme="minorHAnsi" w:cstheme="minorBidi"/>
          <w:noProof/>
          <w:sz w:val="22"/>
          <w:szCs w:val="22"/>
        </w:rPr>
        <w:tab/>
      </w:r>
      <w:r>
        <w:rPr>
          <w:noProof/>
        </w:rPr>
        <w:t>Commercial Top Measures in 2017 (Annual Energy, MWh), Washington</w:t>
      </w:r>
      <w:r>
        <w:rPr>
          <w:noProof/>
        </w:rPr>
        <w:tab/>
      </w:r>
      <w:r w:rsidR="00893E3D">
        <w:rPr>
          <w:noProof/>
        </w:rPr>
        <w:fldChar w:fldCharType="begin"/>
      </w:r>
      <w:r>
        <w:rPr>
          <w:noProof/>
        </w:rPr>
        <w:instrText xml:space="preserve"> PAGEREF _Toc424192809 \h </w:instrText>
      </w:r>
      <w:r w:rsidR="00893E3D">
        <w:rPr>
          <w:noProof/>
        </w:rPr>
      </w:r>
      <w:r w:rsidR="00893E3D">
        <w:rPr>
          <w:noProof/>
        </w:rPr>
        <w:fldChar w:fldCharType="separate"/>
      </w:r>
      <w:r w:rsidR="00B2652C">
        <w:rPr>
          <w:noProof/>
        </w:rPr>
        <w:t>81</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5-15</w:t>
      </w:r>
      <w:r>
        <w:rPr>
          <w:rFonts w:asciiTheme="minorHAnsi" w:eastAsiaTheme="minorEastAsia" w:hAnsiTheme="minorHAnsi" w:cstheme="minorBidi"/>
          <w:noProof/>
          <w:sz w:val="22"/>
          <w:szCs w:val="22"/>
        </w:rPr>
        <w:tab/>
      </w:r>
      <w:r>
        <w:rPr>
          <w:noProof/>
        </w:rPr>
        <w:t>Commercial Top Measures in 2017 (Annual Energy, MWh), Idaho</w:t>
      </w:r>
      <w:r>
        <w:rPr>
          <w:noProof/>
        </w:rPr>
        <w:tab/>
      </w:r>
      <w:r w:rsidR="00893E3D">
        <w:rPr>
          <w:noProof/>
        </w:rPr>
        <w:fldChar w:fldCharType="begin"/>
      </w:r>
      <w:r>
        <w:rPr>
          <w:noProof/>
        </w:rPr>
        <w:instrText xml:space="preserve"> PAGEREF _Toc424192810 \h </w:instrText>
      </w:r>
      <w:r w:rsidR="00893E3D">
        <w:rPr>
          <w:noProof/>
        </w:rPr>
      </w:r>
      <w:r w:rsidR="00893E3D">
        <w:rPr>
          <w:noProof/>
        </w:rPr>
        <w:fldChar w:fldCharType="separate"/>
      </w:r>
      <w:r w:rsidR="00B2652C">
        <w:rPr>
          <w:noProof/>
        </w:rPr>
        <w:t>82</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5-16</w:t>
      </w:r>
      <w:r>
        <w:rPr>
          <w:rFonts w:asciiTheme="minorHAnsi" w:eastAsiaTheme="minorEastAsia" w:hAnsiTheme="minorHAnsi" w:cstheme="minorBidi"/>
          <w:noProof/>
          <w:sz w:val="22"/>
          <w:szCs w:val="22"/>
        </w:rPr>
        <w:tab/>
      </w:r>
      <w:r>
        <w:rPr>
          <w:noProof/>
        </w:rPr>
        <w:t>Industrial Conservation Potential (Annual Energy, GWh), Washington and Idaho</w:t>
      </w:r>
      <w:r>
        <w:rPr>
          <w:noProof/>
        </w:rPr>
        <w:tab/>
      </w:r>
      <w:r w:rsidR="00893E3D">
        <w:rPr>
          <w:noProof/>
        </w:rPr>
        <w:fldChar w:fldCharType="begin"/>
      </w:r>
      <w:r>
        <w:rPr>
          <w:noProof/>
        </w:rPr>
        <w:instrText xml:space="preserve"> PAGEREF _Toc424192811 \h </w:instrText>
      </w:r>
      <w:r w:rsidR="00893E3D">
        <w:rPr>
          <w:noProof/>
        </w:rPr>
      </w:r>
      <w:r w:rsidR="00893E3D">
        <w:rPr>
          <w:noProof/>
        </w:rPr>
        <w:fldChar w:fldCharType="separate"/>
      </w:r>
      <w:r w:rsidR="00B2652C">
        <w:rPr>
          <w:noProof/>
        </w:rPr>
        <w:t>83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5-17</w:t>
      </w:r>
      <w:r>
        <w:rPr>
          <w:rFonts w:asciiTheme="minorHAnsi" w:eastAsiaTheme="minorEastAsia" w:hAnsiTheme="minorHAnsi" w:cstheme="minorBidi"/>
          <w:noProof/>
          <w:sz w:val="22"/>
          <w:szCs w:val="22"/>
        </w:rPr>
        <w:tab/>
      </w:r>
      <w:r>
        <w:rPr>
          <w:noProof/>
        </w:rPr>
        <w:t>Industrial Conservation Potential (Annual Energy, GWh), Washington</w:t>
      </w:r>
      <w:r>
        <w:rPr>
          <w:noProof/>
        </w:rPr>
        <w:tab/>
      </w:r>
      <w:r w:rsidR="00893E3D">
        <w:rPr>
          <w:noProof/>
        </w:rPr>
        <w:fldChar w:fldCharType="begin"/>
      </w:r>
      <w:r>
        <w:rPr>
          <w:noProof/>
        </w:rPr>
        <w:instrText xml:space="preserve"> PAGEREF _Toc424192812 \h </w:instrText>
      </w:r>
      <w:r w:rsidR="00893E3D">
        <w:rPr>
          <w:noProof/>
        </w:rPr>
      </w:r>
      <w:r w:rsidR="00893E3D">
        <w:rPr>
          <w:noProof/>
        </w:rPr>
        <w:fldChar w:fldCharType="separate"/>
      </w:r>
      <w:r w:rsidR="00B2652C">
        <w:rPr>
          <w:noProof/>
        </w:rPr>
        <w:t>83</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5-18</w:t>
      </w:r>
      <w:r>
        <w:rPr>
          <w:rFonts w:asciiTheme="minorHAnsi" w:eastAsiaTheme="minorEastAsia" w:hAnsiTheme="minorHAnsi" w:cstheme="minorBidi"/>
          <w:noProof/>
          <w:sz w:val="22"/>
          <w:szCs w:val="22"/>
        </w:rPr>
        <w:tab/>
      </w:r>
      <w:r>
        <w:rPr>
          <w:noProof/>
        </w:rPr>
        <w:t>Industrial Conservation Potential (Annual Energy, GWh), Idaho</w:t>
      </w:r>
      <w:r>
        <w:rPr>
          <w:noProof/>
        </w:rPr>
        <w:tab/>
      </w:r>
      <w:r w:rsidR="00893E3D">
        <w:rPr>
          <w:noProof/>
        </w:rPr>
        <w:fldChar w:fldCharType="begin"/>
      </w:r>
      <w:r>
        <w:rPr>
          <w:noProof/>
        </w:rPr>
        <w:instrText xml:space="preserve"> PAGEREF _Toc424192813 \h </w:instrText>
      </w:r>
      <w:r w:rsidR="00893E3D">
        <w:rPr>
          <w:noProof/>
        </w:rPr>
      </w:r>
      <w:r w:rsidR="00893E3D">
        <w:rPr>
          <w:noProof/>
        </w:rPr>
        <w:fldChar w:fldCharType="separate"/>
      </w:r>
      <w:r w:rsidR="00B2652C">
        <w:rPr>
          <w:noProof/>
        </w:rPr>
        <w:t>84</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5-19</w:t>
      </w:r>
      <w:r>
        <w:rPr>
          <w:rFonts w:asciiTheme="minorHAnsi" w:eastAsiaTheme="minorEastAsia" w:hAnsiTheme="minorHAnsi" w:cstheme="minorBidi"/>
          <w:noProof/>
          <w:sz w:val="22"/>
          <w:szCs w:val="22"/>
        </w:rPr>
        <w:tab/>
      </w:r>
      <w:r>
        <w:rPr>
          <w:noProof/>
        </w:rPr>
        <w:t>Industrial Top Measures in 2017 (Annual Energy, GWh), Washington and Idaho</w:t>
      </w:r>
      <w:r>
        <w:rPr>
          <w:noProof/>
        </w:rPr>
        <w:tab/>
      </w:r>
      <w:r w:rsidR="00893E3D">
        <w:rPr>
          <w:noProof/>
        </w:rPr>
        <w:fldChar w:fldCharType="begin"/>
      </w:r>
      <w:r>
        <w:rPr>
          <w:noProof/>
        </w:rPr>
        <w:instrText xml:space="preserve"> PAGEREF _Toc424192814 \h </w:instrText>
      </w:r>
      <w:r w:rsidR="00893E3D">
        <w:rPr>
          <w:noProof/>
        </w:rPr>
      </w:r>
      <w:r w:rsidR="00893E3D">
        <w:rPr>
          <w:noProof/>
        </w:rPr>
        <w:fldChar w:fldCharType="separate"/>
      </w:r>
      <w:r w:rsidR="00B2652C">
        <w:rPr>
          <w:noProof/>
        </w:rPr>
        <w:t>86</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5-20</w:t>
      </w:r>
      <w:r>
        <w:rPr>
          <w:rFonts w:asciiTheme="minorHAnsi" w:eastAsiaTheme="minorEastAsia" w:hAnsiTheme="minorHAnsi" w:cstheme="minorBidi"/>
          <w:noProof/>
          <w:sz w:val="22"/>
          <w:szCs w:val="22"/>
        </w:rPr>
        <w:tab/>
      </w:r>
      <w:r>
        <w:rPr>
          <w:noProof/>
        </w:rPr>
        <w:t>Industrial Top Measures in 2017 (Annual Energy, GWh), Washington</w:t>
      </w:r>
      <w:r>
        <w:rPr>
          <w:noProof/>
        </w:rPr>
        <w:tab/>
      </w:r>
      <w:r w:rsidR="00893E3D">
        <w:rPr>
          <w:noProof/>
        </w:rPr>
        <w:fldChar w:fldCharType="begin"/>
      </w:r>
      <w:r>
        <w:rPr>
          <w:noProof/>
        </w:rPr>
        <w:instrText xml:space="preserve"> PAGEREF _Toc424192815 \h </w:instrText>
      </w:r>
      <w:r w:rsidR="00893E3D">
        <w:rPr>
          <w:noProof/>
        </w:rPr>
      </w:r>
      <w:r w:rsidR="00893E3D">
        <w:rPr>
          <w:noProof/>
        </w:rPr>
        <w:fldChar w:fldCharType="separate"/>
      </w:r>
      <w:r w:rsidR="00B2652C">
        <w:rPr>
          <w:noProof/>
        </w:rPr>
        <w:t>87</w:t>
      </w:r>
      <w:r w:rsidR="00893E3D">
        <w:rPr>
          <w:noProof/>
        </w:rPr>
        <w:fldChar w:fldCharType="end"/>
      </w:r>
    </w:p>
    <w:p w:rsidR="00170CF8" w:rsidRDefault="00170CF8">
      <w:pPr>
        <w:pStyle w:val="TableofFigures"/>
        <w:rPr>
          <w:rFonts w:asciiTheme="minorHAnsi" w:eastAsiaTheme="minorEastAsia" w:hAnsiTheme="minorHAnsi" w:cstheme="minorBidi"/>
          <w:noProof/>
          <w:sz w:val="22"/>
          <w:szCs w:val="22"/>
        </w:rPr>
      </w:pPr>
      <w:r w:rsidRPr="00060070">
        <w:rPr>
          <w:noProof/>
        </w:rPr>
        <w:t>Table 5-21</w:t>
      </w:r>
      <w:r>
        <w:rPr>
          <w:rFonts w:asciiTheme="minorHAnsi" w:eastAsiaTheme="minorEastAsia" w:hAnsiTheme="minorHAnsi" w:cstheme="minorBidi"/>
          <w:noProof/>
          <w:sz w:val="22"/>
          <w:szCs w:val="22"/>
        </w:rPr>
        <w:tab/>
      </w:r>
      <w:r>
        <w:rPr>
          <w:noProof/>
        </w:rPr>
        <w:t>Industrial Top Measures in 2017 (Annual Energy, GWh), Idaho</w:t>
      </w:r>
      <w:r>
        <w:rPr>
          <w:noProof/>
        </w:rPr>
        <w:tab/>
      </w:r>
      <w:r w:rsidR="00893E3D">
        <w:rPr>
          <w:noProof/>
        </w:rPr>
        <w:fldChar w:fldCharType="begin"/>
      </w:r>
      <w:r>
        <w:rPr>
          <w:noProof/>
        </w:rPr>
        <w:instrText xml:space="preserve"> PAGEREF _Toc424192816 \h </w:instrText>
      </w:r>
      <w:r w:rsidR="00893E3D">
        <w:rPr>
          <w:noProof/>
        </w:rPr>
      </w:r>
      <w:r w:rsidR="00893E3D">
        <w:rPr>
          <w:noProof/>
        </w:rPr>
        <w:fldChar w:fldCharType="separate"/>
      </w:r>
      <w:r w:rsidR="00B2652C">
        <w:rPr>
          <w:noProof/>
        </w:rPr>
        <w:t>88</w:t>
      </w:r>
      <w:r w:rsidR="00893E3D">
        <w:rPr>
          <w:noProof/>
        </w:rPr>
        <w:fldChar w:fldCharType="end"/>
      </w:r>
    </w:p>
    <w:p w:rsidR="007D5CF0" w:rsidRDefault="00893E3D" w:rsidP="00C61D7A">
      <w:pPr>
        <w:pStyle w:val="BodyText"/>
        <w:rPr>
          <w:rFonts w:ascii="Times New Roman" w:hAnsi="Times New Roman"/>
          <w:spacing w:val="0"/>
          <w:sz w:val="24"/>
          <w:szCs w:val="24"/>
        </w:rPr>
      </w:pPr>
      <w:r>
        <w:rPr>
          <w:rFonts w:ascii="Times New Roman" w:hAnsi="Times New Roman"/>
          <w:spacing w:val="0"/>
          <w:sz w:val="24"/>
          <w:szCs w:val="24"/>
        </w:rPr>
        <w:fldChar w:fldCharType="end"/>
      </w:r>
    </w:p>
    <w:p w:rsidR="007D5CF0" w:rsidRDefault="007D5CF0" w:rsidP="00C61D7A">
      <w:pPr>
        <w:pStyle w:val="BodyText"/>
        <w:rPr>
          <w:rFonts w:ascii="Times New Roman" w:hAnsi="Times New Roman"/>
          <w:spacing w:val="0"/>
          <w:sz w:val="24"/>
          <w:szCs w:val="24"/>
        </w:rPr>
      </w:pPr>
    </w:p>
    <w:p w:rsidR="007D5CF0" w:rsidRDefault="007D5CF0" w:rsidP="00C61D7A">
      <w:pPr>
        <w:pStyle w:val="BodyText"/>
        <w:rPr>
          <w:rFonts w:ascii="Times New Roman" w:hAnsi="Times New Roman"/>
          <w:spacing w:val="0"/>
          <w:sz w:val="24"/>
          <w:szCs w:val="24"/>
        </w:rPr>
      </w:pPr>
    </w:p>
    <w:p w:rsidR="007D5CF0" w:rsidRDefault="007D5CF0" w:rsidP="00C61D7A">
      <w:pPr>
        <w:pStyle w:val="BodyText"/>
        <w:rPr>
          <w:rFonts w:ascii="Times New Roman" w:hAnsi="Times New Roman"/>
          <w:spacing w:val="0"/>
          <w:sz w:val="24"/>
          <w:szCs w:val="24"/>
        </w:rPr>
        <w:sectPr w:rsidR="007D5CF0" w:rsidSect="00FE613D">
          <w:headerReference w:type="default" r:id="rId17"/>
          <w:footerReference w:type="default" r:id="rId18"/>
          <w:pgSz w:w="12240" w:h="15840" w:code="1"/>
          <w:pgMar w:top="1152" w:right="1440" w:bottom="1152" w:left="1800" w:header="720" w:footer="720" w:gutter="0"/>
          <w:pgNumType w:fmt="lowerRoman"/>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08"/>
        <w:gridCol w:w="7779"/>
      </w:tblGrid>
      <w:tr w:rsidR="004B466A" w:rsidRPr="00351A80" w:rsidTr="007D5CF0">
        <w:trPr>
          <w:cantSplit/>
          <w:trHeight w:hRule="exact" w:val="288"/>
        </w:trPr>
        <w:tc>
          <w:tcPr>
            <w:tcW w:w="1295" w:type="dxa"/>
            <w:shd w:val="clear" w:color="auto" w:fill="auto"/>
            <w:vAlign w:val="center"/>
          </w:tcPr>
          <w:p w:rsidR="004B466A" w:rsidRPr="00351A80" w:rsidRDefault="004B466A" w:rsidP="004B466A">
            <w:pPr>
              <w:pStyle w:val="Chapter"/>
              <w:framePr w:hSpace="0" w:wrap="auto" w:vAnchor="margin" w:hAnchor="text" w:yAlign="inline"/>
            </w:pPr>
            <w:r>
              <w:lastRenderedPageBreak/>
              <w:t>Section</w:t>
            </w:r>
          </w:p>
        </w:tc>
        <w:tc>
          <w:tcPr>
            <w:tcW w:w="7705" w:type="dxa"/>
            <w:shd w:val="clear" w:color="auto" w:fill="auto"/>
            <w:tcMar>
              <w:left w:w="173" w:type="dxa"/>
            </w:tcMar>
            <w:vAlign w:val="center"/>
          </w:tcPr>
          <w:p w:rsidR="004B466A" w:rsidRPr="00351A80" w:rsidRDefault="004B466A" w:rsidP="004B466A">
            <w:pPr>
              <w:pStyle w:val="Heading1"/>
            </w:pPr>
          </w:p>
        </w:tc>
      </w:tr>
    </w:tbl>
    <w:p w:rsidR="00794BD9" w:rsidRDefault="00157E2A" w:rsidP="00D031CB">
      <w:pPr>
        <w:pStyle w:val="ChapterTitle"/>
      </w:pPr>
      <w:bookmarkStart w:id="0" w:name="_Toc319670919"/>
      <w:bookmarkStart w:id="1" w:name="_Toc329701174"/>
      <w:bookmarkStart w:id="2" w:name="_Toc424192606"/>
      <w:r>
        <w:t>Introduction</w:t>
      </w:r>
      <w:bookmarkEnd w:id="0"/>
      <w:bookmarkEnd w:id="1"/>
      <w:bookmarkEnd w:id="2"/>
    </w:p>
    <w:p w:rsidR="00056B58" w:rsidRDefault="00056B58" w:rsidP="00056B58">
      <w:pPr>
        <w:pStyle w:val="BodyText"/>
      </w:pPr>
      <w:bookmarkStart w:id="3" w:name="_Toc357173458"/>
      <w:bookmarkStart w:id="4" w:name="_Toc401046330"/>
      <w:r w:rsidRPr="00811622">
        <w:t xml:space="preserve">Avista Corporation (Avista) engaged </w:t>
      </w:r>
      <w:r w:rsidR="00781FD7">
        <w:t xml:space="preserve">Applied Energy Group (AEG, formerly </w:t>
      </w:r>
      <w:r>
        <w:t>EnerNOC</w:t>
      </w:r>
      <w:r w:rsidRPr="00811622">
        <w:t xml:space="preserve"> </w:t>
      </w:r>
      <w:r w:rsidR="00781FD7">
        <w:t xml:space="preserve">Utility Solutions) </w:t>
      </w:r>
      <w:r w:rsidRPr="00811622">
        <w:t>to conduct a Conservation Potential Assessment (CPA). The CPA is a 20-year study</w:t>
      </w:r>
      <w:r w:rsidR="00527FA8">
        <w:t xml:space="preserve">, performed </w:t>
      </w:r>
      <w:r w:rsidR="00527FA8" w:rsidRPr="00811622">
        <w:t>in accordance with Washington I</w:t>
      </w:r>
      <w:r w:rsidR="00527FA8">
        <w:t xml:space="preserve">nitiative </w:t>
      </w:r>
      <w:r w:rsidR="00527FA8" w:rsidRPr="00811622">
        <w:t>937</w:t>
      </w:r>
      <w:r w:rsidR="00527FA8">
        <w:t xml:space="preserve"> (I-937), that </w:t>
      </w:r>
      <w:r w:rsidRPr="00811622">
        <w:t>provide</w:t>
      </w:r>
      <w:r w:rsidR="00527FA8">
        <w:t>s</w:t>
      </w:r>
      <w:r w:rsidRPr="00811622">
        <w:t xml:space="preserve"> data on </w:t>
      </w:r>
      <w:r>
        <w:t>conservation</w:t>
      </w:r>
      <w:r w:rsidRPr="00811622">
        <w:t xml:space="preserve"> resour</w:t>
      </w:r>
      <w:r>
        <w:t xml:space="preserve">ces </w:t>
      </w:r>
      <w:r w:rsidR="00527FA8">
        <w:t xml:space="preserve">to support development of </w:t>
      </w:r>
      <w:r>
        <w:t>Avista’s 2013</w:t>
      </w:r>
      <w:r w:rsidRPr="00811622">
        <w:t xml:space="preserve"> Integrated Resource Plan (IRP). The study </w:t>
      </w:r>
      <w:r>
        <w:t xml:space="preserve">updates Avista’s last CPA, which </w:t>
      </w:r>
      <w:r w:rsidR="00781FD7">
        <w:t>AEG</w:t>
      </w:r>
      <w:r>
        <w:t xml:space="preserve"> performed in 2013. </w:t>
      </w:r>
    </w:p>
    <w:p w:rsidR="006F1ED1" w:rsidRDefault="00527FA8" w:rsidP="00056B58">
      <w:pPr>
        <w:pStyle w:val="BodyText"/>
      </w:pPr>
      <w:r>
        <w:t xml:space="preserve">This study provided enhanced analysis compared to the previous studies. </w:t>
      </w:r>
    </w:p>
    <w:p w:rsidR="006F1ED1" w:rsidRDefault="00527FA8" w:rsidP="00330765">
      <w:pPr>
        <w:pStyle w:val="BulletedList0"/>
      </w:pPr>
      <w:r>
        <w:t xml:space="preserve">The base-year for the analysis was brought forward </w:t>
      </w:r>
      <w:r w:rsidR="006F1ED1">
        <w:t xml:space="preserve">from 2011 </w:t>
      </w:r>
      <w:r>
        <w:t>to 2013</w:t>
      </w:r>
      <w:r w:rsidR="006F1ED1">
        <w:t>.</w:t>
      </w:r>
    </w:p>
    <w:p w:rsidR="00225883" w:rsidRDefault="00330765" w:rsidP="00B22B44">
      <w:pPr>
        <w:pStyle w:val="BulletedList0"/>
      </w:pPr>
      <w:r>
        <w:t>For the residential sector, the study i</w:t>
      </w:r>
      <w:r w:rsidR="00225883">
        <w:t>ncorporated Avista’s GenPOP residential saturation survey from 2012</w:t>
      </w:r>
      <w:r>
        <w:t xml:space="preserve">. This </w:t>
      </w:r>
      <w:r w:rsidR="00225883">
        <w:t xml:space="preserve">provided the foundation for the </w:t>
      </w:r>
      <w:r>
        <w:t xml:space="preserve">base-year </w:t>
      </w:r>
      <w:r w:rsidR="00225883">
        <w:t xml:space="preserve">market characterization and energy market profiles. The recently completed 2014 Residential Building Stock Assessment (RBSA) supplemented the GenPOP survey. </w:t>
      </w:r>
    </w:p>
    <w:p w:rsidR="00225883" w:rsidRDefault="00225883" w:rsidP="00225883">
      <w:pPr>
        <w:pStyle w:val="BulletedList0"/>
      </w:pPr>
      <w:r>
        <w:t>For the commercial sector, the analysis was performed for the major building types in the service territory. Preliminary results from the 2015 Commercial Building Stock Assessment (CBSA) provided useful information for this characterization.</w:t>
      </w:r>
    </w:p>
    <w:p w:rsidR="00225883" w:rsidRDefault="00225883" w:rsidP="00225883">
      <w:pPr>
        <w:pStyle w:val="BulletedList0"/>
      </w:pPr>
      <w:r>
        <w:t xml:space="preserve">This study also incorporated changes to the list of energy conservation measures, as a result of research by the Regional Technical Forum (RTF). In particular, LED lamps have dropped in price and now provide a significant opportunity for savings. </w:t>
      </w:r>
    </w:p>
    <w:p w:rsidR="00225883" w:rsidRDefault="00225883" w:rsidP="00225883">
      <w:pPr>
        <w:pStyle w:val="BulletedList0"/>
      </w:pPr>
      <w:r>
        <w:t>The study incorporates updated forecasting assumptions that line up with the most recent Avista load forecast.</w:t>
      </w:r>
    </w:p>
    <w:p w:rsidR="00225883" w:rsidRDefault="00225883" w:rsidP="00225883">
      <w:pPr>
        <w:pStyle w:val="BulletedList0"/>
      </w:pPr>
      <w:r>
        <w:t>Measure-adoption rates were developed using the Northwest Power and Conservation Council’s (Council) ramp rates as a starting point and adjusted to reflect Avista program results in recent years.</w:t>
      </w:r>
    </w:p>
    <w:p w:rsidR="00225883" w:rsidRDefault="00225883" w:rsidP="00225883">
      <w:pPr>
        <w:pStyle w:val="BulletedList0"/>
      </w:pPr>
      <w:r>
        <w:t xml:space="preserve">Finally, in addition to analyzing annual energy savings, the study also estimated the opportunity for reduction of summer peak demand. This involved a full characterization by sector, segment and end use of summer peak demand in the base year. </w:t>
      </w:r>
    </w:p>
    <w:p w:rsidR="00225883" w:rsidRDefault="00225883" w:rsidP="00330765">
      <w:pPr>
        <w:pStyle w:val="BodyText"/>
      </w:pPr>
      <w:r>
        <w:t>Compared to the previous study, potential savings decreased. The 10</w:t>
      </w:r>
      <w:r w:rsidR="00463464">
        <w:t>-</w:t>
      </w:r>
      <w:r>
        <w:t xml:space="preserve">year potential for Washington and Idaho in </w:t>
      </w:r>
      <w:r w:rsidR="00463464">
        <w:t xml:space="preserve">this CPA is 65.6 aMW, compared to </w:t>
      </w:r>
      <w:r>
        <w:t xml:space="preserve">72.4 aMW </w:t>
      </w:r>
      <w:r w:rsidR="00463464">
        <w:t xml:space="preserve">from the previous study. </w:t>
      </w:r>
      <w:r>
        <w:t xml:space="preserve">This is a result of lower avoided costs, the </w:t>
      </w:r>
      <w:r w:rsidR="00463464">
        <w:t xml:space="preserve">expected </w:t>
      </w:r>
      <w:r>
        <w:t>impact of the most recent wave of appliance standards</w:t>
      </w:r>
      <w:r w:rsidR="00463464">
        <w:t xml:space="preserve">, </w:t>
      </w:r>
      <w:r>
        <w:t xml:space="preserve">the </w:t>
      </w:r>
      <w:r w:rsidR="00463464">
        <w:t xml:space="preserve">lighting standards in </w:t>
      </w:r>
      <w:r>
        <w:t xml:space="preserve">Energy Independence and Security Act (EISA) legislation, and Avista’s recent capture of low-hanging fruit.  </w:t>
      </w:r>
    </w:p>
    <w:p w:rsidR="00225883" w:rsidRDefault="00225883" w:rsidP="00330765">
      <w:pPr>
        <w:pStyle w:val="BodyText"/>
      </w:pPr>
    </w:p>
    <w:p w:rsidR="00225883" w:rsidRDefault="00225883" w:rsidP="00330765">
      <w:pPr>
        <w:pStyle w:val="BodyText"/>
      </w:pPr>
    </w:p>
    <w:p w:rsidR="00527FA8" w:rsidRDefault="00527FA8">
      <w:pPr>
        <w:rPr>
          <w:spacing w:val="4"/>
          <w:szCs w:val="18"/>
        </w:rPr>
      </w:pPr>
      <w:r>
        <w:br w:type="page"/>
      </w:r>
    </w:p>
    <w:p w:rsidR="00157E2A" w:rsidRDefault="00157E2A" w:rsidP="00157E2A">
      <w:pPr>
        <w:pStyle w:val="Heading2"/>
      </w:pPr>
      <w:bookmarkStart w:id="5" w:name="_Toc424192607"/>
      <w:r>
        <w:lastRenderedPageBreak/>
        <w:t>Abbreviations and Acronyms</w:t>
      </w:r>
      <w:bookmarkEnd w:id="3"/>
      <w:bookmarkEnd w:id="4"/>
      <w:bookmarkEnd w:id="5"/>
    </w:p>
    <w:p w:rsidR="00157E2A" w:rsidRDefault="00157E2A" w:rsidP="00157E2A">
      <w:pPr>
        <w:pStyle w:val="BodyText"/>
      </w:pPr>
      <w:r>
        <w:t xml:space="preserve">Throughout the report we use several abbreviations and acronyms. </w:t>
      </w:r>
      <w:r w:rsidR="00893E3D">
        <w:fldChar w:fldCharType="begin"/>
      </w:r>
      <w:r w:rsidR="00535EB3">
        <w:instrText xml:space="preserve"> REF _Ref128471079 \h </w:instrText>
      </w:r>
      <w:r w:rsidR="00893E3D">
        <w:fldChar w:fldCharType="separate"/>
      </w:r>
      <w:r w:rsidR="00B2652C" w:rsidRPr="00711A6B">
        <w:t xml:space="preserve">Table </w:t>
      </w:r>
      <w:r w:rsidR="00B2652C">
        <w:rPr>
          <w:noProof/>
        </w:rPr>
        <w:t>1</w:t>
      </w:r>
      <w:r w:rsidR="00B2652C" w:rsidRPr="00F36BD8">
        <w:t>-</w:t>
      </w:r>
      <w:r w:rsidR="00B2652C">
        <w:rPr>
          <w:noProof/>
        </w:rPr>
        <w:t>1</w:t>
      </w:r>
      <w:r w:rsidR="00893E3D">
        <w:fldChar w:fldCharType="end"/>
      </w:r>
      <w:r w:rsidR="0097248B">
        <w:t xml:space="preserve"> </w:t>
      </w:r>
      <w:r>
        <w:t>shows the abbreviation or acronym, along with an explanation.</w:t>
      </w:r>
    </w:p>
    <w:p w:rsidR="00157E2A" w:rsidRDefault="00535EB3" w:rsidP="008D01F0">
      <w:pPr>
        <w:pStyle w:val="FigureorTableTitle"/>
      </w:pPr>
      <w:bookmarkStart w:id="6" w:name="_Ref128471079"/>
      <w:bookmarkStart w:id="7" w:name="_Toc396755817"/>
      <w:bookmarkStart w:id="8" w:name="_Toc424192752"/>
      <w:r w:rsidRPr="00711A6B">
        <w:t xml:space="preserve">Table </w:t>
      </w:r>
      <w:r w:rsidR="00893E3D" w:rsidRPr="00F36BD8">
        <w:fldChar w:fldCharType="begin"/>
      </w:r>
      <w:r w:rsidRPr="00F36BD8">
        <w:instrText xml:space="preserve"> STYLEREF  "Heading 1,Chap Num"  \* MERGEFORMAT </w:instrText>
      </w:r>
      <w:r w:rsidR="00893E3D" w:rsidRPr="00F36BD8">
        <w:fldChar w:fldCharType="end"/>
      </w:r>
      <w:r w:rsidR="00512CD6">
        <w:fldChar w:fldCharType="begin"/>
      </w:r>
      <w:r w:rsidR="00512CD6">
        <w:instrText xml:space="preserve"> STYLEREF  "Heading 1,Chap Num" \n  \* MERGEFORMAT </w:instrText>
      </w:r>
      <w:r w:rsidR="00512CD6">
        <w:fldChar w:fldCharType="separate"/>
      </w:r>
      <w:r w:rsidR="00B2652C">
        <w:rPr>
          <w:noProof/>
        </w:rPr>
        <w:t>1</w:t>
      </w:r>
      <w:r w:rsidR="00512CD6">
        <w:rPr>
          <w:noProof/>
        </w:rPr>
        <w:fldChar w:fldCharType="end"/>
      </w:r>
      <w:r w:rsidRPr="00F36BD8">
        <w:t>-</w:t>
      </w:r>
      <w:r w:rsidR="00512CD6">
        <w:fldChar w:fldCharType="begin"/>
      </w:r>
      <w:r w:rsidR="00512CD6">
        <w:instrText xml:space="preserve"> SEQ Table\s 1 \* MERGEFORMAT </w:instrText>
      </w:r>
      <w:r w:rsidR="00512CD6">
        <w:fldChar w:fldCharType="separate"/>
      </w:r>
      <w:r w:rsidR="00B2652C">
        <w:rPr>
          <w:noProof/>
        </w:rPr>
        <w:t>1</w:t>
      </w:r>
      <w:r w:rsidR="00512CD6">
        <w:rPr>
          <w:noProof/>
        </w:rPr>
        <w:fldChar w:fldCharType="end"/>
      </w:r>
      <w:bookmarkEnd w:id="6"/>
      <w:r w:rsidR="00157E2A">
        <w:tab/>
        <w:t>Explanation of Abbreviations and Acronyms</w:t>
      </w:r>
      <w:bookmarkEnd w:id="7"/>
      <w:bookmarkEnd w:id="8"/>
      <w:r w:rsidR="00157E2A">
        <w:t xml:space="preserve"> </w:t>
      </w:r>
    </w:p>
    <w:tbl>
      <w:tblPr>
        <w:tblStyle w:val="EnerNOCReportTable"/>
        <w:tblW w:w="4860" w:type="pct"/>
        <w:tblCellMar>
          <w:top w:w="0" w:type="dxa"/>
          <w:bottom w:w="0" w:type="dxa"/>
        </w:tblCellMar>
        <w:tblLook w:val="04A0" w:firstRow="1" w:lastRow="0" w:firstColumn="1" w:lastColumn="0" w:noHBand="0" w:noVBand="1"/>
      </w:tblPr>
      <w:tblGrid>
        <w:gridCol w:w="2591"/>
        <w:gridCol w:w="6381"/>
      </w:tblGrid>
      <w:tr w:rsidR="00157E2A" w:rsidRPr="00BD3BA9" w:rsidTr="00BA12FC">
        <w:trPr>
          <w:cnfStyle w:val="100000000000" w:firstRow="1" w:lastRow="0" w:firstColumn="0" w:lastColumn="0" w:oddVBand="0" w:evenVBand="0" w:oddHBand="0" w:evenHBand="0" w:firstRowFirstColumn="0" w:firstRowLastColumn="0" w:lastRowFirstColumn="0" w:lastRowLastColumn="0"/>
          <w:trHeight w:val="350"/>
          <w:tblHeader/>
        </w:trPr>
        <w:tc>
          <w:tcPr>
            <w:tcW w:w="2524" w:type="dxa"/>
            <w:shd w:val="clear" w:color="auto" w:fill="1A1D5D"/>
            <w:noWrap/>
            <w:hideMark/>
          </w:tcPr>
          <w:p w:rsidR="00157E2A" w:rsidRPr="008D01F0" w:rsidRDefault="00157E2A" w:rsidP="00157E2A">
            <w:pPr>
              <w:rPr>
                <w:rFonts w:ascii="Calibri" w:hAnsi="Calibri"/>
                <w:b w:val="0"/>
                <w:bCs/>
                <w:szCs w:val="20"/>
              </w:rPr>
            </w:pPr>
            <w:r w:rsidRPr="008D01F0">
              <w:rPr>
                <w:rFonts w:ascii="Calibri" w:hAnsi="Calibri"/>
                <w:b w:val="0"/>
                <w:bCs/>
                <w:szCs w:val="20"/>
              </w:rPr>
              <w:t>Acronym</w:t>
            </w:r>
          </w:p>
        </w:tc>
        <w:tc>
          <w:tcPr>
            <w:tcW w:w="6215" w:type="dxa"/>
            <w:shd w:val="clear" w:color="auto" w:fill="1A1D5D"/>
            <w:noWrap/>
            <w:hideMark/>
          </w:tcPr>
          <w:p w:rsidR="00157E2A" w:rsidRPr="008D01F0" w:rsidRDefault="00157E2A" w:rsidP="00157E2A">
            <w:pPr>
              <w:rPr>
                <w:rFonts w:ascii="Calibri" w:hAnsi="Calibri"/>
                <w:b w:val="0"/>
                <w:bCs/>
                <w:szCs w:val="20"/>
              </w:rPr>
            </w:pPr>
            <w:r w:rsidRPr="008D01F0">
              <w:rPr>
                <w:rFonts w:ascii="Calibri" w:hAnsi="Calibri"/>
                <w:b w:val="0"/>
                <w:bCs/>
                <w:szCs w:val="20"/>
              </w:rPr>
              <w:t>Explanation</w:t>
            </w:r>
          </w:p>
        </w:tc>
      </w:tr>
      <w:tr w:rsidR="00126CA6" w:rsidRPr="00755BAC" w:rsidTr="002B6ADE">
        <w:trPr>
          <w:trHeight w:val="274"/>
        </w:trPr>
        <w:tc>
          <w:tcPr>
            <w:tcW w:w="2524" w:type="dxa"/>
            <w:noWrap/>
          </w:tcPr>
          <w:p w:rsidR="00126CA6" w:rsidRPr="00CD6DD1" w:rsidRDefault="00126CA6" w:rsidP="00157E2A">
            <w:pPr>
              <w:rPr>
                <w:rFonts w:ascii="Calibri" w:hAnsi="Calibri"/>
                <w:color w:val="000000"/>
                <w:szCs w:val="20"/>
              </w:rPr>
            </w:pPr>
            <w:r>
              <w:rPr>
                <w:rFonts w:ascii="Calibri" w:hAnsi="Calibri"/>
                <w:color w:val="000000"/>
                <w:szCs w:val="20"/>
              </w:rPr>
              <w:t>aMW</w:t>
            </w:r>
          </w:p>
        </w:tc>
        <w:tc>
          <w:tcPr>
            <w:tcW w:w="6215" w:type="dxa"/>
            <w:noWrap/>
          </w:tcPr>
          <w:p w:rsidR="00126CA6" w:rsidRPr="00CD6DD1" w:rsidRDefault="00126CA6" w:rsidP="00157E2A">
            <w:pPr>
              <w:rPr>
                <w:rFonts w:ascii="Calibri" w:hAnsi="Calibri"/>
                <w:color w:val="000000"/>
                <w:szCs w:val="20"/>
              </w:rPr>
            </w:pPr>
            <w:r>
              <w:rPr>
                <w:rFonts w:ascii="Calibri" w:hAnsi="Calibri"/>
                <w:color w:val="000000"/>
                <w:szCs w:val="20"/>
              </w:rPr>
              <w:t>Average annual megawatt</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ACS</w:t>
            </w:r>
          </w:p>
        </w:tc>
        <w:tc>
          <w:tcPr>
            <w:tcW w:w="6215" w:type="dxa"/>
            <w:noWrap/>
            <w:hideMark/>
          </w:tcPr>
          <w:p w:rsidR="00157E2A" w:rsidRDefault="00157E2A" w:rsidP="00157E2A">
            <w:pPr>
              <w:rPr>
                <w:rFonts w:ascii="Calibri" w:hAnsi="Calibri"/>
                <w:color w:val="000000"/>
                <w:szCs w:val="20"/>
              </w:rPr>
            </w:pPr>
            <w:r w:rsidRPr="00CD6DD1">
              <w:rPr>
                <w:rFonts w:ascii="Calibri" w:hAnsi="Calibri"/>
                <w:color w:val="000000"/>
                <w:szCs w:val="20"/>
              </w:rPr>
              <w:t>American Community Survey</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AEO</w:t>
            </w:r>
          </w:p>
        </w:tc>
        <w:tc>
          <w:tcPr>
            <w:tcW w:w="6215" w:type="dxa"/>
            <w:noWrap/>
            <w:hideMark/>
          </w:tcPr>
          <w:p w:rsidR="00157E2A" w:rsidRDefault="00157E2A" w:rsidP="00157E2A">
            <w:pPr>
              <w:rPr>
                <w:rFonts w:ascii="Calibri" w:hAnsi="Calibri"/>
                <w:color w:val="000000"/>
                <w:szCs w:val="20"/>
              </w:rPr>
            </w:pPr>
            <w:r w:rsidRPr="00CD6DD1">
              <w:rPr>
                <w:rFonts w:ascii="Calibri" w:hAnsi="Calibri"/>
                <w:color w:val="000000"/>
                <w:szCs w:val="20"/>
              </w:rPr>
              <w:t>Annual Energy Outlook forecast developed by EIA</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AHAM</w:t>
            </w:r>
          </w:p>
        </w:tc>
        <w:tc>
          <w:tcPr>
            <w:tcW w:w="6215" w:type="dxa"/>
            <w:noWrap/>
            <w:hideMark/>
          </w:tcPr>
          <w:p w:rsidR="00157E2A" w:rsidRDefault="00157E2A" w:rsidP="00157E2A">
            <w:pPr>
              <w:rPr>
                <w:rFonts w:ascii="Calibri" w:hAnsi="Calibri"/>
                <w:color w:val="000000"/>
                <w:szCs w:val="20"/>
              </w:rPr>
            </w:pPr>
            <w:r w:rsidRPr="00CD6DD1">
              <w:rPr>
                <w:rFonts w:ascii="Calibri" w:hAnsi="Calibri"/>
                <w:color w:val="000000"/>
                <w:szCs w:val="20"/>
              </w:rPr>
              <w:t xml:space="preserve">Association of Home Appliance Manufacturers </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AMI</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Advanced Metering Infrastructure</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AMR</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Automated Meter Reading</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Auto-DR</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Automated Demand Response</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B/C Ratio</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Benefit to Cost Ratio</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BEST</w:t>
            </w:r>
          </w:p>
        </w:tc>
        <w:tc>
          <w:tcPr>
            <w:tcW w:w="6215" w:type="dxa"/>
            <w:noWrap/>
            <w:hideMark/>
          </w:tcPr>
          <w:p w:rsidR="00157E2A" w:rsidRDefault="00C92294" w:rsidP="00157E2A">
            <w:pPr>
              <w:rPr>
                <w:rFonts w:ascii="Calibri" w:hAnsi="Calibri"/>
                <w:color w:val="000000"/>
                <w:szCs w:val="20"/>
              </w:rPr>
            </w:pPr>
            <w:r>
              <w:rPr>
                <w:rFonts w:ascii="Calibri" w:hAnsi="Calibri"/>
                <w:color w:val="000000"/>
                <w:szCs w:val="20"/>
              </w:rPr>
              <w:t>AEG</w:t>
            </w:r>
            <w:r w:rsidR="00157E2A" w:rsidRPr="00CD6DD1">
              <w:rPr>
                <w:rFonts w:ascii="Calibri" w:hAnsi="Calibri"/>
                <w:color w:val="000000"/>
                <w:szCs w:val="20"/>
              </w:rPr>
              <w:t>’s Building Energy Simulation Tool</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C&amp;I</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Commercial and Industrial</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CAC</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Central Air Conditioning</w:t>
            </w:r>
          </w:p>
        </w:tc>
      </w:tr>
      <w:tr w:rsidR="008A28AA" w:rsidRPr="00755BAC" w:rsidTr="002B6ADE">
        <w:trPr>
          <w:trHeight w:val="274"/>
        </w:trPr>
        <w:tc>
          <w:tcPr>
            <w:tcW w:w="2524" w:type="dxa"/>
            <w:noWrap/>
          </w:tcPr>
          <w:p w:rsidR="008A28AA" w:rsidRPr="00CD6DD1" w:rsidRDefault="008A28AA" w:rsidP="00157E2A">
            <w:pPr>
              <w:rPr>
                <w:rFonts w:ascii="Calibri" w:hAnsi="Calibri"/>
                <w:color w:val="000000"/>
                <w:szCs w:val="20"/>
              </w:rPr>
            </w:pPr>
            <w:r>
              <w:rPr>
                <w:rFonts w:ascii="Calibri" w:hAnsi="Calibri"/>
                <w:color w:val="000000"/>
                <w:szCs w:val="20"/>
              </w:rPr>
              <w:t>CBSA</w:t>
            </w:r>
          </w:p>
        </w:tc>
        <w:tc>
          <w:tcPr>
            <w:tcW w:w="6215" w:type="dxa"/>
            <w:noWrap/>
          </w:tcPr>
          <w:p w:rsidR="008A28AA" w:rsidRPr="00CD6DD1" w:rsidRDefault="008A28AA" w:rsidP="00157E2A">
            <w:pPr>
              <w:rPr>
                <w:rFonts w:ascii="Calibri" w:hAnsi="Calibri"/>
                <w:color w:val="000000"/>
                <w:szCs w:val="20"/>
              </w:rPr>
            </w:pPr>
            <w:r>
              <w:rPr>
                <w:rFonts w:ascii="Calibri" w:hAnsi="Calibri"/>
                <w:color w:val="000000"/>
                <w:szCs w:val="20"/>
              </w:rPr>
              <w:t>Commercial Building Stock Assessment</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CFL</w:t>
            </w:r>
          </w:p>
        </w:tc>
        <w:tc>
          <w:tcPr>
            <w:tcW w:w="6215" w:type="dxa"/>
            <w:noWrap/>
            <w:hideMark/>
          </w:tcPr>
          <w:p w:rsidR="00157E2A" w:rsidRDefault="00157E2A" w:rsidP="00157E2A">
            <w:pPr>
              <w:rPr>
                <w:rFonts w:ascii="Calibri" w:hAnsi="Calibri"/>
                <w:color w:val="000000"/>
                <w:szCs w:val="20"/>
              </w:rPr>
            </w:pPr>
            <w:r w:rsidRPr="00CD6DD1">
              <w:rPr>
                <w:rFonts w:ascii="Calibri" w:hAnsi="Calibri"/>
                <w:color w:val="000000"/>
                <w:szCs w:val="20"/>
              </w:rPr>
              <w:t>Compact fluorescent lamp</w:t>
            </w:r>
          </w:p>
        </w:tc>
      </w:tr>
      <w:tr w:rsidR="00E92F2B" w:rsidRPr="00755BAC" w:rsidTr="002B6ADE">
        <w:trPr>
          <w:trHeight w:val="274"/>
        </w:trPr>
        <w:tc>
          <w:tcPr>
            <w:tcW w:w="2524" w:type="dxa"/>
            <w:noWrap/>
          </w:tcPr>
          <w:p w:rsidR="00E92F2B" w:rsidRPr="00CD6DD1" w:rsidRDefault="00E92F2B" w:rsidP="00157E2A">
            <w:pPr>
              <w:rPr>
                <w:rFonts w:ascii="Calibri" w:hAnsi="Calibri"/>
                <w:color w:val="000000"/>
                <w:szCs w:val="20"/>
              </w:rPr>
            </w:pPr>
            <w:r>
              <w:rPr>
                <w:rFonts w:ascii="Calibri" w:hAnsi="Calibri"/>
                <w:color w:val="000000"/>
                <w:szCs w:val="20"/>
              </w:rPr>
              <w:t>CBECS</w:t>
            </w:r>
          </w:p>
        </w:tc>
        <w:tc>
          <w:tcPr>
            <w:tcW w:w="6215" w:type="dxa"/>
            <w:noWrap/>
          </w:tcPr>
          <w:p w:rsidR="00E92F2B" w:rsidRPr="00CD6DD1" w:rsidRDefault="00E92F2B" w:rsidP="00157E2A">
            <w:pPr>
              <w:rPr>
                <w:rFonts w:ascii="Calibri" w:hAnsi="Calibri"/>
                <w:color w:val="000000"/>
                <w:szCs w:val="20"/>
              </w:rPr>
            </w:pPr>
            <w:r>
              <w:rPr>
                <w:rFonts w:ascii="Calibri" w:hAnsi="Calibri"/>
                <w:color w:val="000000"/>
                <w:szCs w:val="20"/>
              </w:rPr>
              <w:t>Commercial Buildings Energy Consumption Survey</w:t>
            </w:r>
          </w:p>
        </w:tc>
      </w:tr>
      <w:tr w:rsidR="008A28AA" w:rsidRPr="00755BAC" w:rsidTr="002B6ADE">
        <w:trPr>
          <w:trHeight w:val="274"/>
        </w:trPr>
        <w:tc>
          <w:tcPr>
            <w:tcW w:w="2524" w:type="dxa"/>
            <w:noWrap/>
          </w:tcPr>
          <w:p w:rsidR="008A28AA" w:rsidRDefault="008A28AA" w:rsidP="00157E2A">
            <w:pPr>
              <w:rPr>
                <w:rFonts w:ascii="Calibri" w:hAnsi="Calibri"/>
                <w:color w:val="000000"/>
                <w:szCs w:val="20"/>
              </w:rPr>
            </w:pPr>
            <w:r>
              <w:rPr>
                <w:rFonts w:ascii="Calibri" w:hAnsi="Calibri"/>
                <w:color w:val="000000"/>
                <w:szCs w:val="20"/>
              </w:rPr>
              <w:t>CHP</w:t>
            </w:r>
          </w:p>
        </w:tc>
        <w:tc>
          <w:tcPr>
            <w:tcW w:w="6215" w:type="dxa"/>
            <w:noWrap/>
          </w:tcPr>
          <w:p w:rsidR="008A28AA" w:rsidRDefault="008A28AA" w:rsidP="00157E2A">
            <w:pPr>
              <w:rPr>
                <w:rFonts w:ascii="Calibri" w:hAnsi="Calibri"/>
                <w:color w:val="000000"/>
                <w:szCs w:val="20"/>
              </w:rPr>
            </w:pPr>
            <w:r>
              <w:rPr>
                <w:rFonts w:ascii="Calibri" w:hAnsi="Calibri"/>
                <w:color w:val="000000"/>
                <w:szCs w:val="20"/>
              </w:rPr>
              <w:t>Combined Heat  and Power</w:t>
            </w:r>
          </w:p>
        </w:tc>
      </w:tr>
      <w:tr w:rsidR="008A28AA" w:rsidRPr="00755BAC" w:rsidTr="002B6ADE">
        <w:trPr>
          <w:trHeight w:val="274"/>
        </w:trPr>
        <w:tc>
          <w:tcPr>
            <w:tcW w:w="2524" w:type="dxa"/>
            <w:noWrap/>
          </w:tcPr>
          <w:p w:rsidR="008A28AA" w:rsidRDefault="008A28AA" w:rsidP="00157E2A">
            <w:pPr>
              <w:rPr>
                <w:rFonts w:ascii="Calibri" w:hAnsi="Calibri"/>
                <w:color w:val="000000"/>
                <w:szCs w:val="20"/>
              </w:rPr>
            </w:pPr>
            <w:r>
              <w:rPr>
                <w:rFonts w:ascii="Calibri" w:hAnsi="Calibri"/>
                <w:color w:val="000000"/>
                <w:szCs w:val="20"/>
              </w:rPr>
              <w:t>Council</w:t>
            </w:r>
          </w:p>
        </w:tc>
        <w:tc>
          <w:tcPr>
            <w:tcW w:w="6215" w:type="dxa"/>
            <w:noWrap/>
          </w:tcPr>
          <w:p w:rsidR="008A28AA" w:rsidRDefault="008A28AA" w:rsidP="00157E2A">
            <w:pPr>
              <w:rPr>
                <w:rFonts w:ascii="Calibri" w:hAnsi="Calibri"/>
                <w:color w:val="000000"/>
                <w:szCs w:val="20"/>
              </w:rPr>
            </w:pPr>
            <w:r>
              <w:rPr>
                <w:rFonts w:ascii="Calibri" w:hAnsi="Calibri"/>
                <w:color w:val="000000"/>
                <w:szCs w:val="20"/>
              </w:rPr>
              <w:t>Northwest Power and Conservation Council</w:t>
            </w:r>
          </w:p>
        </w:tc>
      </w:tr>
      <w:tr w:rsidR="008A28AA" w:rsidRPr="00755BAC" w:rsidTr="002B6ADE">
        <w:trPr>
          <w:trHeight w:val="274"/>
        </w:trPr>
        <w:tc>
          <w:tcPr>
            <w:tcW w:w="2524" w:type="dxa"/>
            <w:noWrap/>
          </w:tcPr>
          <w:p w:rsidR="008A28AA" w:rsidRDefault="008A28AA" w:rsidP="00157E2A">
            <w:pPr>
              <w:rPr>
                <w:rFonts w:ascii="Calibri" w:hAnsi="Calibri"/>
                <w:color w:val="000000"/>
                <w:szCs w:val="20"/>
              </w:rPr>
            </w:pPr>
            <w:r>
              <w:rPr>
                <w:rFonts w:ascii="Calibri" w:hAnsi="Calibri"/>
                <w:color w:val="000000"/>
                <w:szCs w:val="20"/>
              </w:rPr>
              <w:t>CPA</w:t>
            </w:r>
          </w:p>
        </w:tc>
        <w:tc>
          <w:tcPr>
            <w:tcW w:w="6215" w:type="dxa"/>
            <w:noWrap/>
          </w:tcPr>
          <w:p w:rsidR="008A28AA" w:rsidRDefault="008A28AA" w:rsidP="00157E2A">
            <w:pPr>
              <w:rPr>
                <w:rFonts w:ascii="Calibri" w:hAnsi="Calibri"/>
                <w:color w:val="000000"/>
                <w:szCs w:val="20"/>
              </w:rPr>
            </w:pPr>
            <w:r>
              <w:rPr>
                <w:rFonts w:ascii="Calibri" w:hAnsi="Calibri"/>
                <w:color w:val="000000"/>
                <w:szCs w:val="20"/>
              </w:rPr>
              <w:t>Conservation Potential Assessment</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CPP</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Critical Peak Pricing</w:t>
            </w:r>
          </w:p>
        </w:tc>
      </w:tr>
      <w:tr w:rsidR="0094179C" w:rsidRPr="00755BAC" w:rsidTr="002B6ADE">
        <w:trPr>
          <w:trHeight w:val="274"/>
        </w:trPr>
        <w:tc>
          <w:tcPr>
            <w:tcW w:w="2524" w:type="dxa"/>
            <w:noWrap/>
          </w:tcPr>
          <w:p w:rsidR="0094179C" w:rsidRDefault="0094179C" w:rsidP="00157E2A">
            <w:pPr>
              <w:rPr>
                <w:rFonts w:ascii="Calibri" w:hAnsi="Calibri"/>
                <w:color w:val="000000"/>
                <w:szCs w:val="20"/>
              </w:rPr>
            </w:pPr>
            <w:r>
              <w:rPr>
                <w:rFonts w:ascii="Calibri" w:hAnsi="Calibri"/>
                <w:color w:val="000000"/>
                <w:szCs w:val="20"/>
              </w:rPr>
              <w:t>CPUC</w:t>
            </w:r>
          </w:p>
        </w:tc>
        <w:tc>
          <w:tcPr>
            <w:tcW w:w="6215" w:type="dxa"/>
            <w:noWrap/>
          </w:tcPr>
          <w:p w:rsidR="0094179C" w:rsidRDefault="0094179C" w:rsidP="00157E2A">
            <w:pPr>
              <w:rPr>
                <w:rFonts w:ascii="Calibri" w:hAnsi="Calibri"/>
                <w:color w:val="000000"/>
                <w:szCs w:val="20"/>
              </w:rPr>
            </w:pPr>
            <w:r>
              <w:rPr>
                <w:rFonts w:ascii="Calibri" w:hAnsi="Calibri"/>
                <w:color w:val="000000"/>
                <w:szCs w:val="20"/>
              </w:rPr>
              <w:t>California Public Utilities Commission</w:t>
            </w:r>
          </w:p>
        </w:tc>
      </w:tr>
      <w:tr w:rsidR="00080540" w:rsidRPr="00755BAC" w:rsidTr="002B6ADE">
        <w:trPr>
          <w:trHeight w:val="274"/>
        </w:trPr>
        <w:tc>
          <w:tcPr>
            <w:tcW w:w="2524" w:type="dxa"/>
            <w:noWrap/>
          </w:tcPr>
          <w:p w:rsidR="00080540" w:rsidRDefault="00080540" w:rsidP="00157E2A">
            <w:pPr>
              <w:rPr>
                <w:rFonts w:ascii="Calibri" w:hAnsi="Calibri"/>
                <w:color w:val="000000"/>
                <w:szCs w:val="20"/>
              </w:rPr>
            </w:pPr>
            <w:r>
              <w:rPr>
                <w:rFonts w:ascii="Calibri" w:hAnsi="Calibri"/>
                <w:color w:val="000000"/>
                <w:szCs w:val="20"/>
              </w:rPr>
              <w:t>DEEM</w:t>
            </w:r>
          </w:p>
        </w:tc>
        <w:tc>
          <w:tcPr>
            <w:tcW w:w="6215" w:type="dxa"/>
            <w:noWrap/>
          </w:tcPr>
          <w:p w:rsidR="00080540" w:rsidRDefault="00080540" w:rsidP="00157E2A">
            <w:pPr>
              <w:rPr>
                <w:rFonts w:ascii="Calibri" w:hAnsi="Calibri"/>
                <w:color w:val="000000"/>
                <w:szCs w:val="20"/>
              </w:rPr>
            </w:pPr>
            <w:r>
              <w:rPr>
                <w:rFonts w:ascii="Calibri" w:hAnsi="Calibri"/>
                <w:color w:val="000000"/>
                <w:szCs w:val="20"/>
              </w:rPr>
              <w:t>Database of Energy Efficiency Measures</w:t>
            </w:r>
          </w:p>
        </w:tc>
      </w:tr>
      <w:tr w:rsidR="00080540" w:rsidRPr="00755BAC" w:rsidTr="002B6ADE">
        <w:trPr>
          <w:trHeight w:val="274"/>
        </w:trPr>
        <w:tc>
          <w:tcPr>
            <w:tcW w:w="2524" w:type="dxa"/>
            <w:noWrap/>
          </w:tcPr>
          <w:p w:rsidR="00080540" w:rsidRDefault="00080540" w:rsidP="00157E2A">
            <w:pPr>
              <w:rPr>
                <w:rFonts w:ascii="Calibri" w:hAnsi="Calibri"/>
                <w:color w:val="000000"/>
                <w:szCs w:val="20"/>
              </w:rPr>
            </w:pPr>
            <w:r>
              <w:rPr>
                <w:rFonts w:ascii="Calibri" w:hAnsi="Calibri"/>
                <w:color w:val="000000"/>
                <w:szCs w:val="20"/>
              </w:rPr>
              <w:t>DEER</w:t>
            </w:r>
          </w:p>
        </w:tc>
        <w:tc>
          <w:tcPr>
            <w:tcW w:w="6215" w:type="dxa"/>
            <w:noWrap/>
          </w:tcPr>
          <w:p w:rsidR="00080540" w:rsidRDefault="00080540" w:rsidP="00157E2A">
            <w:pPr>
              <w:rPr>
                <w:rFonts w:ascii="Calibri" w:hAnsi="Calibri"/>
                <w:color w:val="000000"/>
                <w:szCs w:val="20"/>
              </w:rPr>
            </w:pPr>
            <w:r>
              <w:rPr>
                <w:rFonts w:ascii="Calibri" w:hAnsi="Calibri"/>
                <w:color w:val="000000"/>
                <w:szCs w:val="20"/>
              </w:rPr>
              <w:t>Database for Energy Efficient Resources</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DHW</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Domestic Hot Water</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DLC</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Direct Load Control</w:t>
            </w:r>
          </w:p>
        </w:tc>
      </w:tr>
      <w:tr w:rsidR="00080540" w:rsidRPr="00755BAC" w:rsidTr="002B6ADE">
        <w:trPr>
          <w:trHeight w:val="274"/>
        </w:trPr>
        <w:tc>
          <w:tcPr>
            <w:tcW w:w="2524" w:type="dxa"/>
            <w:noWrap/>
          </w:tcPr>
          <w:p w:rsidR="00080540" w:rsidRDefault="00080540" w:rsidP="00157E2A">
            <w:pPr>
              <w:rPr>
                <w:rFonts w:ascii="Calibri" w:hAnsi="Calibri"/>
                <w:color w:val="000000"/>
                <w:szCs w:val="20"/>
              </w:rPr>
            </w:pPr>
            <w:r>
              <w:rPr>
                <w:rFonts w:ascii="Calibri" w:hAnsi="Calibri"/>
                <w:color w:val="000000"/>
                <w:szCs w:val="20"/>
              </w:rPr>
              <w:t>DOE</w:t>
            </w:r>
          </w:p>
        </w:tc>
        <w:tc>
          <w:tcPr>
            <w:tcW w:w="6215" w:type="dxa"/>
            <w:noWrap/>
          </w:tcPr>
          <w:p w:rsidR="00080540" w:rsidRDefault="00080540" w:rsidP="00157E2A">
            <w:pPr>
              <w:rPr>
                <w:rFonts w:ascii="Calibri" w:hAnsi="Calibri"/>
                <w:color w:val="000000"/>
                <w:szCs w:val="20"/>
              </w:rPr>
            </w:pPr>
            <w:r>
              <w:rPr>
                <w:rFonts w:ascii="Calibri" w:hAnsi="Calibri"/>
                <w:color w:val="000000"/>
                <w:szCs w:val="20"/>
              </w:rPr>
              <w:t>Department of Energy</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DR</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Demand Response</w:t>
            </w:r>
          </w:p>
        </w:tc>
      </w:tr>
      <w:tr w:rsidR="00157E2A" w:rsidRPr="00755BAC" w:rsidTr="002B6ADE">
        <w:trPr>
          <w:trHeight w:val="274"/>
        </w:trPr>
        <w:tc>
          <w:tcPr>
            <w:tcW w:w="2524" w:type="dxa"/>
            <w:noWrap/>
            <w:hideMark/>
          </w:tcPr>
          <w:p w:rsidR="00157E2A" w:rsidRDefault="00816275" w:rsidP="00157E2A">
            <w:pPr>
              <w:rPr>
                <w:rFonts w:ascii="Calibri" w:hAnsi="Calibri"/>
                <w:color w:val="000000"/>
                <w:szCs w:val="20"/>
              </w:rPr>
            </w:pPr>
            <w:r>
              <w:rPr>
                <w:rFonts w:ascii="Calibri" w:hAnsi="Calibri"/>
                <w:color w:val="000000"/>
                <w:szCs w:val="20"/>
              </w:rPr>
              <w:t>DSM</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Demand Side Management</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EE</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Energy Efficiency</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EIA</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Energy Information Administration</w:t>
            </w:r>
          </w:p>
        </w:tc>
      </w:tr>
      <w:tr w:rsidR="008A28AA" w:rsidRPr="00755BAC" w:rsidTr="002B6ADE">
        <w:trPr>
          <w:trHeight w:val="274"/>
        </w:trPr>
        <w:tc>
          <w:tcPr>
            <w:tcW w:w="2524" w:type="dxa"/>
            <w:noWrap/>
          </w:tcPr>
          <w:p w:rsidR="008A28AA" w:rsidRDefault="008A28AA" w:rsidP="00157E2A">
            <w:pPr>
              <w:rPr>
                <w:rFonts w:ascii="Calibri" w:hAnsi="Calibri"/>
                <w:color w:val="000000"/>
                <w:szCs w:val="20"/>
              </w:rPr>
            </w:pPr>
            <w:r>
              <w:rPr>
                <w:rFonts w:ascii="Calibri" w:hAnsi="Calibri"/>
                <w:color w:val="000000"/>
                <w:szCs w:val="20"/>
              </w:rPr>
              <w:t>EISA</w:t>
            </w:r>
          </w:p>
        </w:tc>
        <w:tc>
          <w:tcPr>
            <w:tcW w:w="6215" w:type="dxa"/>
            <w:noWrap/>
          </w:tcPr>
          <w:p w:rsidR="008A28AA" w:rsidRDefault="008A28AA" w:rsidP="00157E2A">
            <w:pPr>
              <w:rPr>
                <w:rFonts w:ascii="Calibri" w:hAnsi="Calibri"/>
                <w:color w:val="000000"/>
                <w:szCs w:val="20"/>
              </w:rPr>
            </w:pPr>
            <w:r>
              <w:rPr>
                <w:rFonts w:ascii="Calibri" w:hAnsi="Calibri"/>
                <w:color w:val="000000"/>
                <w:szCs w:val="20"/>
              </w:rPr>
              <w:t>Energy Independence and Security Act</w:t>
            </w:r>
          </w:p>
        </w:tc>
      </w:tr>
      <w:tr w:rsidR="0094179C" w:rsidRPr="00755BAC" w:rsidTr="002B6ADE">
        <w:trPr>
          <w:trHeight w:val="274"/>
        </w:trPr>
        <w:tc>
          <w:tcPr>
            <w:tcW w:w="2524" w:type="dxa"/>
            <w:noWrap/>
          </w:tcPr>
          <w:p w:rsidR="0094179C" w:rsidRDefault="0094179C" w:rsidP="00157E2A">
            <w:pPr>
              <w:rPr>
                <w:rFonts w:ascii="Calibri" w:hAnsi="Calibri"/>
                <w:color w:val="000000"/>
                <w:szCs w:val="20"/>
              </w:rPr>
            </w:pPr>
            <w:r>
              <w:rPr>
                <w:rFonts w:ascii="Calibri" w:hAnsi="Calibri"/>
                <w:color w:val="000000"/>
                <w:szCs w:val="20"/>
              </w:rPr>
              <w:t>EPA</w:t>
            </w:r>
          </w:p>
        </w:tc>
        <w:tc>
          <w:tcPr>
            <w:tcW w:w="6215" w:type="dxa"/>
            <w:noWrap/>
          </w:tcPr>
          <w:p w:rsidR="0094179C" w:rsidRDefault="0094179C" w:rsidP="00157E2A">
            <w:pPr>
              <w:rPr>
                <w:rFonts w:ascii="Calibri" w:hAnsi="Calibri"/>
                <w:color w:val="000000"/>
                <w:szCs w:val="20"/>
              </w:rPr>
            </w:pPr>
            <w:r>
              <w:rPr>
                <w:rFonts w:ascii="Calibri" w:hAnsi="Calibri"/>
                <w:color w:val="000000"/>
                <w:szCs w:val="20"/>
              </w:rPr>
              <w:t>Environmental Protection Agency</w:t>
            </w:r>
          </w:p>
        </w:tc>
      </w:tr>
      <w:tr w:rsidR="00080540" w:rsidRPr="00755BAC" w:rsidTr="002B6ADE">
        <w:trPr>
          <w:trHeight w:val="274"/>
        </w:trPr>
        <w:tc>
          <w:tcPr>
            <w:tcW w:w="2524" w:type="dxa"/>
            <w:noWrap/>
          </w:tcPr>
          <w:p w:rsidR="00080540" w:rsidRDefault="00080540" w:rsidP="00157E2A">
            <w:pPr>
              <w:rPr>
                <w:rFonts w:ascii="Calibri" w:hAnsi="Calibri"/>
                <w:color w:val="000000"/>
                <w:szCs w:val="20"/>
              </w:rPr>
            </w:pPr>
            <w:r>
              <w:rPr>
                <w:rFonts w:ascii="Calibri" w:hAnsi="Calibri"/>
                <w:color w:val="000000"/>
                <w:szCs w:val="20"/>
              </w:rPr>
              <w:t>EPRI</w:t>
            </w:r>
          </w:p>
        </w:tc>
        <w:tc>
          <w:tcPr>
            <w:tcW w:w="6215" w:type="dxa"/>
            <w:noWrap/>
          </w:tcPr>
          <w:p w:rsidR="00080540" w:rsidRDefault="00080540" w:rsidP="00157E2A">
            <w:pPr>
              <w:rPr>
                <w:rFonts w:ascii="Calibri" w:hAnsi="Calibri"/>
                <w:color w:val="000000"/>
                <w:szCs w:val="20"/>
              </w:rPr>
            </w:pPr>
            <w:r>
              <w:rPr>
                <w:rFonts w:ascii="Calibri" w:hAnsi="Calibri"/>
                <w:color w:val="000000"/>
                <w:szCs w:val="20"/>
              </w:rPr>
              <w:t>Electric Power Research Institute</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EUL</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Estimated Useful Life</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EUI</w:t>
            </w:r>
          </w:p>
        </w:tc>
        <w:tc>
          <w:tcPr>
            <w:tcW w:w="6215" w:type="dxa"/>
            <w:noWrap/>
            <w:hideMark/>
          </w:tcPr>
          <w:p w:rsidR="00157E2A" w:rsidRDefault="00157E2A" w:rsidP="00080540">
            <w:pPr>
              <w:rPr>
                <w:rFonts w:ascii="Calibri" w:hAnsi="Calibri"/>
                <w:color w:val="000000"/>
                <w:szCs w:val="20"/>
              </w:rPr>
            </w:pPr>
            <w:r>
              <w:rPr>
                <w:rFonts w:ascii="Calibri" w:hAnsi="Calibri"/>
                <w:color w:val="000000"/>
                <w:szCs w:val="20"/>
              </w:rPr>
              <w:t>Energy Us</w:t>
            </w:r>
            <w:r w:rsidR="00754ED4">
              <w:rPr>
                <w:rFonts w:ascii="Calibri" w:hAnsi="Calibri"/>
                <w:color w:val="000000"/>
                <w:szCs w:val="20"/>
              </w:rPr>
              <w:t>e</w:t>
            </w:r>
            <w:r>
              <w:rPr>
                <w:rFonts w:ascii="Calibri" w:hAnsi="Calibri"/>
                <w:color w:val="000000"/>
                <w:szCs w:val="20"/>
              </w:rPr>
              <w:t xml:space="preserve"> Intensity </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FERC</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Federal Energy Regulatory Commission</w:t>
            </w:r>
          </w:p>
        </w:tc>
      </w:tr>
      <w:tr w:rsidR="00126CA6" w:rsidRPr="00755BAC" w:rsidTr="002B6ADE">
        <w:trPr>
          <w:trHeight w:val="274"/>
        </w:trPr>
        <w:tc>
          <w:tcPr>
            <w:tcW w:w="2524" w:type="dxa"/>
            <w:noWrap/>
          </w:tcPr>
          <w:p w:rsidR="00126CA6" w:rsidRPr="00CD6DD1" w:rsidRDefault="00126CA6" w:rsidP="00157E2A">
            <w:pPr>
              <w:rPr>
                <w:rFonts w:ascii="Calibri" w:hAnsi="Calibri"/>
                <w:color w:val="000000"/>
                <w:szCs w:val="20"/>
              </w:rPr>
            </w:pPr>
            <w:r>
              <w:rPr>
                <w:rFonts w:ascii="Calibri" w:hAnsi="Calibri"/>
                <w:color w:val="000000"/>
                <w:szCs w:val="20"/>
              </w:rPr>
              <w:t>GWh</w:t>
            </w:r>
          </w:p>
        </w:tc>
        <w:tc>
          <w:tcPr>
            <w:tcW w:w="6215" w:type="dxa"/>
            <w:noWrap/>
          </w:tcPr>
          <w:p w:rsidR="00126CA6" w:rsidRPr="00CD6DD1" w:rsidRDefault="00126CA6" w:rsidP="00080540">
            <w:pPr>
              <w:rPr>
                <w:rFonts w:ascii="Calibri" w:hAnsi="Calibri"/>
                <w:color w:val="000000"/>
                <w:szCs w:val="20"/>
              </w:rPr>
            </w:pPr>
            <w:r>
              <w:rPr>
                <w:rFonts w:ascii="Calibri" w:hAnsi="Calibri"/>
                <w:color w:val="000000"/>
                <w:szCs w:val="20"/>
              </w:rPr>
              <w:t>Gigawatt-hour</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HH</w:t>
            </w:r>
          </w:p>
        </w:tc>
        <w:tc>
          <w:tcPr>
            <w:tcW w:w="6215" w:type="dxa"/>
            <w:noWrap/>
            <w:hideMark/>
          </w:tcPr>
          <w:p w:rsidR="00157E2A" w:rsidRDefault="00157E2A" w:rsidP="00157E2A">
            <w:pPr>
              <w:rPr>
                <w:rFonts w:ascii="Calibri" w:hAnsi="Calibri"/>
                <w:color w:val="000000"/>
                <w:szCs w:val="20"/>
              </w:rPr>
            </w:pPr>
            <w:r w:rsidRPr="00CD6DD1">
              <w:rPr>
                <w:rFonts w:ascii="Calibri" w:hAnsi="Calibri"/>
                <w:color w:val="000000"/>
                <w:szCs w:val="20"/>
              </w:rPr>
              <w:t>Household</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HID</w:t>
            </w:r>
          </w:p>
        </w:tc>
        <w:tc>
          <w:tcPr>
            <w:tcW w:w="6215" w:type="dxa"/>
            <w:noWrap/>
            <w:hideMark/>
          </w:tcPr>
          <w:p w:rsidR="00157E2A" w:rsidRDefault="00157E2A" w:rsidP="00157E2A">
            <w:pPr>
              <w:rPr>
                <w:rFonts w:ascii="Calibri" w:hAnsi="Calibri"/>
                <w:color w:val="000000"/>
                <w:szCs w:val="20"/>
              </w:rPr>
            </w:pPr>
            <w:r w:rsidRPr="00CD6DD1">
              <w:rPr>
                <w:rFonts w:ascii="Calibri" w:hAnsi="Calibri"/>
                <w:color w:val="000000"/>
                <w:szCs w:val="20"/>
              </w:rPr>
              <w:t>High intensity discharge lamps</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HVAC</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Heating Ventilation and Air Conditioning</w:t>
            </w:r>
          </w:p>
        </w:tc>
      </w:tr>
      <w:tr w:rsidR="00754ED4" w:rsidRPr="00755BAC" w:rsidTr="00020372">
        <w:trPr>
          <w:trHeight w:val="179"/>
        </w:trPr>
        <w:tc>
          <w:tcPr>
            <w:tcW w:w="2524" w:type="dxa"/>
            <w:noWrap/>
          </w:tcPr>
          <w:p w:rsidR="00754ED4" w:rsidRDefault="00126CA6" w:rsidP="00080540">
            <w:pPr>
              <w:rPr>
                <w:rFonts w:ascii="Calibri" w:hAnsi="Calibri"/>
                <w:color w:val="000000"/>
                <w:szCs w:val="20"/>
              </w:rPr>
            </w:pPr>
            <w:r>
              <w:rPr>
                <w:rFonts w:ascii="Calibri" w:hAnsi="Calibri"/>
                <w:color w:val="000000"/>
                <w:szCs w:val="20"/>
              </w:rPr>
              <w:t>K</w:t>
            </w:r>
            <w:r w:rsidR="00754ED4">
              <w:rPr>
                <w:rFonts w:ascii="Calibri" w:hAnsi="Calibri"/>
                <w:color w:val="000000"/>
                <w:szCs w:val="20"/>
              </w:rPr>
              <w:t>Wh</w:t>
            </w:r>
          </w:p>
        </w:tc>
        <w:tc>
          <w:tcPr>
            <w:tcW w:w="6215" w:type="dxa"/>
            <w:noWrap/>
          </w:tcPr>
          <w:p w:rsidR="00754ED4" w:rsidRDefault="00126CA6" w:rsidP="0094179C">
            <w:pPr>
              <w:rPr>
                <w:rFonts w:ascii="Calibri" w:hAnsi="Calibri"/>
                <w:color w:val="000000"/>
                <w:szCs w:val="20"/>
              </w:rPr>
            </w:pPr>
            <w:r>
              <w:rPr>
                <w:rFonts w:ascii="Calibri" w:hAnsi="Calibri"/>
                <w:color w:val="000000"/>
                <w:szCs w:val="20"/>
              </w:rPr>
              <w:t>K</w:t>
            </w:r>
            <w:r w:rsidR="00754ED4">
              <w:rPr>
                <w:rFonts w:ascii="Calibri" w:hAnsi="Calibri"/>
                <w:color w:val="000000"/>
                <w:szCs w:val="20"/>
              </w:rPr>
              <w:t>ilowatt</w:t>
            </w:r>
            <w:r>
              <w:rPr>
                <w:rFonts w:ascii="Calibri" w:hAnsi="Calibri"/>
                <w:color w:val="000000"/>
                <w:szCs w:val="20"/>
              </w:rPr>
              <w:t>-hour</w:t>
            </w:r>
          </w:p>
        </w:tc>
      </w:tr>
      <w:tr w:rsidR="008A28AA" w:rsidRPr="00755BAC" w:rsidTr="002B6ADE">
        <w:trPr>
          <w:trHeight w:val="274"/>
        </w:trPr>
        <w:tc>
          <w:tcPr>
            <w:tcW w:w="2524" w:type="dxa"/>
            <w:noWrap/>
          </w:tcPr>
          <w:p w:rsidR="008A28AA" w:rsidRDefault="008A28AA" w:rsidP="00157E2A">
            <w:pPr>
              <w:rPr>
                <w:rFonts w:ascii="Calibri" w:hAnsi="Calibri"/>
                <w:color w:val="000000"/>
                <w:szCs w:val="20"/>
              </w:rPr>
            </w:pPr>
            <w:r>
              <w:rPr>
                <w:rFonts w:ascii="Calibri" w:hAnsi="Calibri"/>
                <w:color w:val="000000"/>
                <w:szCs w:val="20"/>
              </w:rPr>
              <w:t>I-937</w:t>
            </w:r>
          </w:p>
        </w:tc>
        <w:tc>
          <w:tcPr>
            <w:tcW w:w="6215" w:type="dxa"/>
            <w:noWrap/>
          </w:tcPr>
          <w:p w:rsidR="008A28AA" w:rsidRDefault="008A28AA" w:rsidP="00157E2A">
            <w:pPr>
              <w:rPr>
                <w:rFonts w:ascii="Calibri" w:hAnsi="Calibri"/>
                <w:color w:val="000000"/>
                <w:szCs w:val="20"/>
              </w:rPr>
            </w:pPr>
            <w:r>
              <w:rPr>
                <w:rFonts w:ascii="Calibri" w:hAnsi="Calibri"/>
                <w:color w:val="000000"/>
                <w:szCs w:val="20"/>
              </w:rPr>
              <w:t>Washington Initiative 937</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ICAP</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Installed Capacity</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lastRenderedPageBreak/>
              <w:t>IOU</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Investor Owned Utility</w:t>
            </w:r>
          </w:p>
        </w:tc>
      </w:tr>
      <w:tr w:rsidR="008A28AA" w:rsidRPr="00755BAC" w:rsidTr="002B6ADE">
        <w:trPr>
          <w:trHeight w:val="274"/>
        </w:trPr>
        <w:tc>
          <w:tcPr>
            <w:tcW w:w="2524" w:type="dxa"/>
            <w:noWrap/>
          </w:tcPr>
          <w:p w:rsidR="008A28AA" w:rsidRPr="00CD6DD1" w:rsidRDefault="008A28AA" w:rsidP="00157E2A">
            <w:pPr>
              <w:rPr>
                <w:rFonts w:ascii="Calibri" w:hAnsi="Calibri"/>
                <w:color w:val="000000"/>
                <w:szCs w:val="20"/>
              </w:rPr>
            </w:pPr>
            <w:r>
              <w:rPr>
                <w:rFonts w:ascii="Calibri" w:hAnsi="Calibri"/>
                <w:color w:val="000000"/>
                <w:szCs w:val="20"/>
              </w:rPr>
              <w:t>IRP</w:t>
            </w:r>
          </w:p>
        </w:tc>
        <w:tc>
          <w:tcPr>
            <w:tcW w:w="6215" w:type="dxa"/>
            <w:noWrap/>
          </w:tcPr>
          <w:p w:rsidR="008A28AA" w:rsidRPr="00CD6DD1" w:rsidRDefault="008A28AA" w:rsidP="00157E2A">
            <w:pPr>
              <w:rPr>
                <w:rFonts w:ascii="Calibri" w:hAnsi="Calibri"/>
                <w:color w:val="000000"/>
                <w:szCs w:val="20"/>
              </w:rPr>
            </w:pPr>
            <w:r>
              <w:rPr>
                <w:rFonts w:ascii="Calibri" w:hAnsi="Calibri"/>
                <w:color w:val="000000"/>
                <w:szCs w:val="20"/>
              </w:rPr>
              <w:t>Integrated Resource Plan</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LED</w:t>
            </w:r>
          </w:p>
        </w:tc>
        <w:tc>
          <w:tcPr>
            <w:tcW w:w="6215" w:type="dxa"/>
            <w:noWrap/>
            <w:hideMark/>
          </w:tcPr>
          <w:p w:rsidR="00157E2A" w:rsidRDefault="00157E2A" w:rsidP="00157E2A">
            <w:pPr>
              <w:rPr>
                <w:rFonts w:ascii="Calibri" w:hAnsi="Calibri"/>
                <w:color w:val="000000"/>
                <w:szCs w:val="20"/>
              </w:rPr>
            </w:pPr>
            <w:r w:rsidRPr="00CD6DD1">
              <w:rPr>
                <w:rFonts w:ascii="Calibri" w:hAnsi="Calibri"/>
                <w:color w:val="000000"/>
                <w:szCs w:val="20"/>
              </w:rPr>
              <w:t>Light emitting diode lamp</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LoadMAP</w:t>
            </w:r>
          </w:p>
        </w:tc>
        <w:tc>
          <w:tcPr>
            <w:tcW w:w="6215" w:type="dxa"/>
            <w:noWrap/>
            <w:hideMark/>
          </w:tcPr>
          <w:p w:rsidR="00157E2A" w:rsidRDefault="00C92294" w:rsidP="00157E2A">
            <w:pPr>
              <w:rPr>
                <w:rFonts w:ascii="Calibri" w:hAnsi="Calibri"/>
                <w:color w:val="000000"/>
                <w:szCs w:val="20"/>
              </w:rPr>
            </w:pPr>
            <w:r>
              <w:rPr>
                <w:rFonts w:ascii="Calibri" w:hAnsi="Calibri"/>
                <w:color w:val="000000"/>
                <w:szCs w:val="20"/>
              </w:rPr>
              <w:t>AEG</w:t>
            </w:r>
            <w:r w:rsidR="00157E2A" w:rsidRPr="00CD6DD1">
              <w:rPr>
                <w:rFonts w:ascii="Calibri" w:hAnsi="Calibri"/>
                <w:color w:val="000000"/>
                <w:szCs w:val="20"/>
              </w:rPr>
              <w:t>’s Load Management Analysis and Planning</w:t>
            </w:r>
            <w:r w:rsidR="00157E2A" w:rsidRPr="008F1069">
              <w:rPr>
                <w:rFonts w:ascii="Calibri" w:hAnsi="Calibri"/>
                <w:color w:val="000000"/>
                <w:szCs w:val="20"/>
                <w:vertAlign w:val="superscript"/>
              </w:rPr>
              <w:t>TM</w:t>
            </w:r>
            <w:r w:rsidR="00157E2A" w:rsidRPr="00CD6DD1">
              <w:rPr>
                <w:rFonts w:ascii="Calibri" w:hAnsi="Calibri"/>
                <w:color w:val="000000"/>
                <w:szCs w:val="20"/>
              </w:rPr>
              <w:t xml:space="preserve"> tool</w:t>
            </w:r>
          </w:p>
        </w:tc>
      </w:tr>
      <w:tr w:rsidR="00E92F2B" w:rsidRPr="00755BAC" w:rsidTr="002B6ADE">
        <w:trPr>
          <w:trHeight w:val="274"/>
        </w:trPr>
        <w:tc>
          <w:tcPr>
            <w:tcW w:w="2524" w:type="dxa"/>
            <w:noWrap/>
          </w:tcPr>
          <w:p w:rsidR="00E92F2B" w:rsidRDefault="00E92F2B" w:rsidP="00157E2A">
            <w:pPr>
              <w:rPr>
                <w:rFonts w:ascii="Calibri" w:hAnsi="Calibri"/>
                <w:color w:val="000000"/>
                <w:szCs w:val="20"/>
              </w:rPr>
            </w:pPr>
            <w:r>
              <w:rPr>
                <w:rFonts w:ascii="Calibri" w:hAnsi="Calibri"/>
                <w:color w:val="000000"/>
                <w:szCs w:val="20"/>
              </w:rPr>
              <w:t>MECS</w:t>
            </w:r>
          </w:p>
        </w:tc>
        <w:tc>
          <w:tcPr>
            <w:tcW w:w="6215" w:type="dxa"/>
            <w:noWrap/>
          </w:tcPr>
          <w:p w:rsidR="00E92F2B" w:rsidRDefault="00E92F2B" w:rsidP="00157E2A">
            <w:pPr>
              <w:rPr>
                <w:rFonts w:ascii="Calibri" w:hAnsi="Calibri"/>
                <w:color w:val="000000"/>
                <w:szCs w:val="20"/>
              </w:rPr>
            </w:pPr>
            <w:r>
              <w:rPr>
                <w:rFonts w:ascii="Calibri" w:hAnsi="Calibri"/>
                <w:color w:val="000000"/>
                <w:szCs w:val="20"/>
              </w:rPr>
              <w:t>Manufacturing Energy Consumption Survey</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MW</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Megawatt</w:t>
            </w:r>
          </w:p>
        </w:tc>
      </w:tr>
      <w:tr w:rsidR="00E92F2B" w:rsidRPr="00755BAC" w:rsidTr="002B6ADE">
        <w:trPr>
          <w:trHeight w:val="274"/>
        </w:trPr>
        <w:tc>
          <w:tcPr>
            <w:tcW w:w="2524" w:type="dxa"/>
            <w:noWrap/>
          </w:tcPr>
          <w:p w:rsidR="00E92F2B" w:rsidRDefault="00E92F2B" w:rsidP="00157E2A">
            <w:pPr>
              <w:rPr>
                <w:rFonts w:ascii="Calibri" w:hAnsi="Calibri"/>
                <w:color w:val="000000"/>
                <w:szCs w:val="20"/>
              </w:rPr>
            </w:pPr>
            <w:r>
              <w:rPr>
                <w:rFonts w:ascii="Calibri" w:hAnsi="Calibri"/>
                <w:color w:val="000000"/>
                <w:szCs w:val="20"/>
              </w:rPr>
              <w:t>NAPEE</w:t>
            </w:r>
          </w:p>
        </w:tc>
        <w:tc>
          <w:tcPr>
            <w:tcW w:w="6215" w:type="dxa"/>
            <w:noWrap/>
          </w:tcPr>
          <w:p w:rsidR="00E92F2B" w:rsidRDefault="00E92F2B" w:rsidP="00157E2A">
            <w:pPr>
              <w:rPr>
                <w:rFonts w:ascii="Calibri" w:hAnsi="Calibri"/>
                <w:color w:val="000000"/>
                <w:szCs w:val="20"/>
              </w:rPr>
            </w:pPr>
            <w:r w:rsidRPr="00020372">
              <w:rPr>
                <w:rFonts w:ascii="Calibri" w:hAnsi="Calibri"/>
                <w:color w:val="000000"/>
                <w:szCs w:val="20"/>
              </w:rPr>
              <w:t>National Action Plan for Energy-Efficiency</w:t>
            </w:r>
          </w:p>
        </w:tc>
      </w:tr>
      <w:tr w:rsidR="008A28AA" w:rsidRPr="00755BAC" w:rsidTr="002B6ADE">
        <w:trPr>
          <w:trHeight w:val="274"/>
        </w:trPr>
        <w:tc>
          <w:tcPr>
            <w:tcW w:w="2524" w:type="dxa"/>
            <w:noWrap/>
          </w:tcPr>
          <w:p w:rsidR="008A28AA" w:rsidRDefault="008A28AA" w:rsidP="00157E2A">
            <w:pPr>
              <w:rPr>
                <w:rFonts w:ascii="Calibri" w:hAnsi="Calibri"/>
                <w:color w:val="000000"/>
                <w:szCs w:val="20"/>
              </w:rPr>
            </w:pPr>
            <w:r>
              <w:rPr>
                <w:rFonts w:ascii="Calibri" w:hAnsi="Calibri"/>
                <w:color w:val="000000"/>
                <w:szCs w:val="20"/>
              </w:rPr>
              <w:t>NEEA</w:t>
            </w:r>
          </w:p>
        </w:tc>
        <w:tc>
          <w:tcPr>
            <w:tcW w:w="6215" w:type="dxa"/>
            <w:noWrap/>
          </w:tcPr>
          <w:p w:rsidR="008A28AA" w:rsidRDefault="008A28AA" w:rsidP="00157E2A">
            <w:pPr>
              <w:rPr>
                <w:rFonts w:ascii="Calibri" w:hAnsi="Calibri"/>
                <w:color w:val="000000"/>
                <w:szCs w:val="20"/>
              </w:rPr>
            </w:pPr>
            <w:r>
              <w:rPr>
                <w:rFonts w:ascii="Calibri" w:hAnsi="Calibri"/>
                <w:color w:val="000000"/>
                <w:szCs w:val="20"/>
              </w:rPr>
              <w:t>Northwest Energy Efficiency Alliance</w:t>
            </w:r>
          </w:p>
        </w:tc>
      </w:tr>
      <w:tr w:rsidR="00080540" w:rsidRPr="00755BAC" w:rsidTr="002B6ADE">
        <w:trPr>
          <w:trHeight w:val="274"/>
        </w:trPr>
        <w:tc>
          <w:tcPr>
            <w:tcW w:w="2524" w:type="dxa"/>
            <w:noWrap/>
          </w:tcPr>
          <w:p w:rsidR="00080540" w:rsidRDefault="00080540" w:rsidP="00157E2A">
            <w:pPr>
              <w:rPr>
                <w:rFonts w:ascii="Calibri" w:hAnsi="Calibri"/>
                <w:color w:val="000000"/>
                <w:szCs w:val="20"/>
              </w:rPr>
            </w:pPr>
            <w:r>
              <w:rPr>
                <w:rFonts w:ascii="Calibri" w:hAnsi="Calibri"/>
                <w:color w:val="000000"/>
                <w:szCs w:val="20"/>
              </w:rPr>
              <w:t>NOAA</w:t>
            </w:r>
          </w:p>
        </w:tc>
        <w:tc>
          <w:tcPr>
            <w:tcW w:w="6215" w:type="dxa"/>
            <w:noWrap/>
          </w:tcPr>
          <w:p w:rsidR="00080540" w:rsidRDefault="00080540" w:rsidP="00157E2A">
            <w:pPr>
              <w:rPr>
                <w:rFonts w:ascii="Calibri" w:hAnsi="Calibri"/>
                <w:color w:val="000000"/>
                <w:szCs w:val="20"/>
              </w:rPr>
            </w:pPr>
            <w:r>
              <w:rPr>
                <w:rFonts w:ascii="Calibri" w:hAnsi="Calibri"/>
                <w:color w:val="000000"/>
                <w:szCs w:val="20"/>
              </w:rPr>
              <w:t>National Oceanic and Atmospheric Administration</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NPV</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Net Present Value</w:t>
            </w:r>
          </w:p>
        </w:tc>
      </w:tr>
      <w:tr w:rsidR="00E92F2B" w:rsidRPr="00755BAC" w:rsidTr="002B6ADE">
        <w:trPr>
          <w:trHeight w:val="274"/>
        </w:trPr>
        <w:tc>
          <w:tcPr>
            <w:tcW w:w="2524" w:type="dxa"/>
            <w:noWrap/>
          </w:tcPr>
          <w:p w:rsidR="00E92F2B" w:rsidRDefault="003621AF" w:rsidP="00157E2A">
            <w:pPr>
              <w:rPr>
                <w:rFonts w:ascii="Calibri" w:hAnsi="Calibri"/>
                <w:color w:val="000000"/>
                <w:szCs w:val="20"/>
              </w:rPr>
            </w:pPr>
            <w:r>
              <w:rPr>
                <w:rFonts w:ascii="Calibri" w:hAnsi="Calibri"/>
                <w:color w:val="000000"/>
                <w:szCs w:val="20"/>
              </w:rPr>
              <w:t>NPCC</w:t>
            </w:r>
          </w:p>
        </w:tc>
        <w:tc>
          <w:tcPr>
            <w:tcW w:w="6215" w:type="dxa"/>
            <w:noWrap/>
          </w:tcPr>
          <w:p w:rsidR="00E92F2B" w:rsidRDefault="00E92F2B" w:rsidP="00157E2A">
            <w:pPr>
              <w:rPr>
                <w:rFonts w:ascii="Calibri" w:hAnsi="Calibri"/>
                <w:color w:val="000000"/>
                <w:szCs w:val="20"/>
              </w:rPr>
            </w:pPr>
            <w:r>
              <w:rPr>
                <w:rFonts w:ascii="Calibri" w:hAnsi="Calibri"/>
                <w:color w:val="000000"/>
                <w:szCs w:val="20"/>
              </w:rPr>
              <w:t>Northwest Power and Conservation Council</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O&amp;M</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Operations and Maintenance</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PCT</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Programmable Communicating Thermostat</w:t>
            </w:r>
          </w:p>
        </w:tc>
      </w:tr>
      <w:tr w:rsidR="008A28AA" w:rsidRPr="00755BAC" w:rsidTr="002B6ADE">
        <w:trPr>
          <w:trHeight w:val="274"/>
        </w:trPr>
        <w:tc>
          <w:tcPr>
            <w:tcW w:w="2524" w:type="dxa"/>
            <w:noWrap/>
          </w:tcPr>
          <w:p w:rsidR="008A28AA" w:rsidRPr="00CD6DD1" w:rsidRDefault="008A28AA" w:rsidP="00157E2A">
            <w:pPr>
              <w:rPr>
                <w:rFonts w:ascii="Calibri" w:hAnsi="Calibri"/>
                <w:color w:val="000000"/>
                <w:szCs w:val="20"/>
              </w:rPr>
            </w:pPr>
            <w:r>
              <w:rPr>
                <w:rFonts w:ascii="Calibri" w:hAnsi="Calibri"/>
                <w:color w:val="000000"/>
                <w:szCs w:val="20"/>
              </w:rPr>
              <w:t>RBSA</w:t>
            </w:r>
          </w:p>
        </w:tc>
        <w:tc>
          <w:tcPr>
            <w:tcW w:w="6215" w:type="dxa"/>
            <w:noWrap/>
          </w:tcPr>
          <w:p w:rsidR="008A28AA" w:rsidRPr="00CD6DD1" w:rsidRDefault="008A28AA" w:rsidP="00157E2A">
            <w:pPr>
              <w:rPr>
                <w:rFonts w:ascii="Calibri" w:hAnsi="Calibri"/>
                <w:color w:val="000000"/>
                <w:szCs w:val="20"/>
              </w:rPr>
            </w:pPr>
            <w:r>
              <w:rPr>
                <w:rFonts w:ascii="Calibri" w:hAnsi="Calibri"/>
                <w:color w:val="000000"/>
                <w:szCs w:val="20"/>
              </w:rPr>
              <w:t>Residential Building Stock Assessment</w:t>
            </w:r>
          </w:p>
        </w:tc>
      </w:tr>
      <w:tr w:rsidR="00E92F2B" w:rsidRPr="00755BAC" w:rsidTr="002B6ADE">
        <w:trPr>
          <w:trHeight w:val="274"/>
        </w:trPr>
        <w:tc>
          <w:tcPr>
            <w:tcW w:w="2524" w:type="dxa"/>
            <w:noWrap/>
          </w:tcPr>
          <w:p w:rsidR="00E92F2B" w:rsidRDefault="00E92F2B" w:rsidP="00157E2A">
            <w:pPr>
              <w:rPr>
                <w:rFonts w:ascii="Calibri" w:hAnsi="Calibri"/>
                <w:color w:val="000000"/>
                <w:szCs w:val="20"/>
              </w:rPr>
            </w:pPr>
            <w:r>
              <w:rPr>
                <w:rFonts w:ascii="Calibri" w:hAnsi="Calibri"/>
                <w:color w:val="000000"/>
                <w:szCs w:val="20"/>
              </w:rPr>
              <w:t>RECS</w:t>
            </w:r>
          </w:p>
        </w:tc>
        <w:tc>
          <w:tcPr>
            <w:tcW w:w="6215" w:type="dxa"/>
            <w:noWrap/>
          </w:tcPr>
          <w:p w:rsidR="00E92F2B" w:rsidRDefault="00E92F2B" w:rsidP="00157E2A">
            <w:pPr>
              <w:rPr>
                <w:rFonts w:ascii="Calibri" w:hAnsi="Calibri"/>
                <w:color w:val="000000"/>
                <w:szCs w:val="20"/>
              </w:rPr>
            </w:pPr>
            <w:r>
              <w:rPr>
                <w:rFonts w:ascii="Calibri" w:hAnsi="Calibri"/>
                <w:color w:val="000000"/>
                <w:szCs w:val="20"/>
              </w:rPr>
              <w:t>Residential Energy Consumption Survey</w:t>
            </w:r>
          </w:p>
        </w:tc>
      </w:tr>
      <w:tr w:rsidR="008A28AA" w:rsidRPr="00755BAC" w:rsidTr="002B6ADE">
        <w:trPr>
          <w:trHeight w:val="274"/>
        </w:trPr>
        <w:tc>
          <w:tcPr>
            <w:tcW w:w="2524" w:type="dxa"/>
            <w:noWrap/>
          </w:tcPr>
          <w:p w:rsidR="008A28AA" w:rsidRPr="00CD6DD1" w:rsidRDefault="008A28AA" w:rsidP="00157E2A">
            <w:pPr>
              <w:rPr>
                <w:rFonts w:ascii="Calibri" w:hAnsi="Calibri"/>
                <w:color w:val="000000"/>
                <w:szCs w:val="20"/>
              </w:rPr>
            </w:pPr>
            <w:r>
              <w:rPr>
                <w:rFonts w:ascii="Calibri" w:hAnsi="Calibri"/>
                <w:color w:val="000000"/>
                <w:szCs w:val="20"/>
              </w:rPr>
              <w:t>RTF</w:t>
            </w:r>
          </w:p>
        </w:tc>
        <w:tc>
          <w:tcPr>
            <w:tcW w:w="6215" w:type="dxa"/>
            <w:noWrap/>
          </w:tcPr>
          <w:p w:rsidR="008A28AA" w:rsidRPr="00CD6DD1" w:rsidRDefault="008A28AA" w:rsidP="00157E2A">
            <w:pPr>
              <w:rPr>
                <w:rFonts w:ascii="Calibri" w:hAnsi="Calibri"/>
                <w:color w:val="000000"/>
                <w:szCs w:val="20"/>
              </w:rPr>
            </w:pPr>
            <w:r>
              <w:rPr>
                <w:rFonts w:ascii="Calibri" w:hAnsi="Calibri"/>
                <w:color w:val="000000"/>
                <w:szCs w:val="20"/>
              </w:rPr>
              <w:t>Regional Technical Forum</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sidRPr="00CD6DD1">
              <w:rPr>
                <w:rFonts w:ascii="Calibri" w:hAnsi="Calibri"/>
                <w:color w:val="000000"/>
                <w:szCs w:val="20"/>
              </w:rPr>
              <w:t>RTU</w:t>
            </w:r>
          </w:p>
        </w:tc>
        <w:tc>
          <w:tcPr>
            <w:tcW w:w="6215" w:type="dxa"/>
            <w:noWrap/>
            <w:hideMark/>
          </w:tcPr>
          <w:p w:rsidR="00157E2A" w:rsidRDefault="00157E2A" w:rsidP="00157E2A">
            <w:pPr>
              <w:rPr>
                <w:rFonts w:ascii="Calibri" w:hAnsi="Calibri"/>
                <w:color w:val="000000"/>
                <w:szCs w:val="20"/>
              </w:rPr>
            </w:pPr>
            <w:r w:rsidRPr="00CD6DD1">
              <w:rPr>
                <w:rFonts w:ascii="Calibri" w:hAnsi="Calibri"/>
                <w:color w:val="000000"/>
                <w:szCs w:val="20"/>
              </w:rPr>
              <w:t>Roof top unit</w:t>
            </w:r>
          </w:p>
        </w:tc>
      </w:tr>
      <w:tr w:rsidR="00754ED4" w:rsidRPr="00755BAC" w:rsidTr="002B6ADE">
        <w:trPr>
          <w:trHeight w:val="274"/>
        </w:trPr>
        <w:tc>
          <w:tcPr>
            <w:tcW w:w="2524" w:type="dxa"/>
            <w:noWrap/>
          </w:tcPr>
          <w:p w:rsidR="00754ED4" w:rsidRPr="00CD6DD1" w:rsidRDefault="00754ED4" w:rsidP="00157E2A">
            <w:pPr>
              <w:rPr>
                <w:rFonts w:ascii="Calibri" w:hAnsi="Calibri"/>
                <w:color w:val="000000"/>
                <w:szCs w:val="20"/>
              </w:rPr>
            </w:pPr>
            <w:r>
              <w:rPr>
                <w:rFonts w:ascii="Calibri" w:hAnsi="Calibri"/>
                <w:color w:val="000000"/>
                <w:szCs w:val="20"/>
              </w:rPr>
              <w:t>SEER</w:t>
            </w:r>
          </w:p>
        </w:tc>
        <w:tc>
          <w:tcPr>
            <w:tcW w:w="6215" w:type="dxa"/>
            <w:noWrap/>
          </w:tcPr>
          <w:p w:rsidR="00754ED4" w:rsidRPr="00CD6DD1" w:rsidRDefault="00754ED4" w:rsidP="00157E2A">
            <w:pPr>
              <w:rPr>
                <w:rFonts w:ascii="Calibri" w:hAnsi="Calibri"/>
                <w:color w:val="000000"/>
                <w:szCs w:val="20"/>
              </w:rPr>
            </w:pPr>
            <w:r>
              <w:rPr>
                <w:rFonts w:ascii="Calibri" w:hAnsi="Calibri"/>
                <w:color w:val="000000"/>
                <w:szCs w:val="20"/>
              </w:rPr>
              <w:t>Seasonal Energy Efficiency Ratio</w:t>
            </w:r>
          </w:p>
        </w:tc>
      </w:tr>
      <w:tr w:rsidR="0094179C" w:rsidRPr="00755BAC" w:rsidTr="002B6ADE">
        <w:trPr>
          <w:trHeight w:val="274"/>
        </w:trPr>
        <w:tc>
          <w:tcPr>
            <w:tcW w:w="2524" w:type="dxa"/>
            <w:noWrap/>
          </w:tcPr>
          <w:p w:rsidR="0094179C" w:rsidRDefault="0094179C" w:rsidP="00157E2A">
            <w:pPr>
              <w:rPr>
                <w:rFonts w:ascii="Calibri" w:hAnsi="Calibri"/>
                <w:color w:val="000000"/>
                <w:szCs w:val="20"/>
              </w:rPr>
            </w:pPr>
            <w:r>
              <w:rPr>
                <w:rFonts w:ascii="Calibri" w:hAnsi="Calibri"/>
                <w:color w:val="000000"/>
                <w:szCs w:val="20"/>
              </w:rPr>
              <w:t>SIC</w:t>
            </w:r>
          </w:p>
        </w:tc>
        <w:tc>
          <w:tcPr>
            <w:tcW w:w="6215" w:type="dxa"/>
            <w:noWrap/>
          </w:tcPr>
          <w:p w:rsidR="0094179C" w:rsidRDefault="0094179C" w:rsidP="00157E2A">
            <w:pPr>
              <w:rPr>
                <w:rFonts w:ascii="Calibri" w:hAnsi="Calibri"/>
                <w:color w:val="000000"/>
                <w:szCs w:val="20"/>
              </w:rPr>
            </w:pPr>
            <w:r>
              <w:rPr>
                <w:rFonts w:ascii="Calibri" w:hAnsi="Calibri"/>
                <w:color w:val="000000"/>
                <w:szCs w:val="20"/>
              </w:rPr>
              <w:t>Standard Industrial Classification</w:t>
            </w:r>
          </w:p>
        </w:tc>
      </w:tr>
      <w:tr w:rsidR="00E92F2B" w:rsidRPr="00755BAC" w:rsidTr="002B6ADE">
        <w:trPr>
          <w:trHeight w:val="274"/>
        </w:trPr>
        <w:tc>
          <w:tcPr>
            <w:tcW w:w="2524" w:type="dxa"/>
            <w:noWrap/>
          </w:tcPr>
          <w:p w:rsidR="00E92F2B" w:rsidRDefault="00E92F2B" w:rsidP="00157E2A">
            <w:pPr>
              <w:rPr>
                <w:rFonts w:ascii="Calibri" w:hAnsi="Calibri"/>
                <w:color w:val="000000"/>
                <w:szCs w:val="20"/>
              </w:rPr>
            </w:pPr>
            <w:r>
              <w:rPr>
                <w:rFonts w:ascii="Calibri" w:hAnsi="Calibri"/>
                <w:color w:val="000000"/>
                <w:szCs w:val="20"/>
              </w:rPr>
              <w:t>Sixth Plan</w:t>
            </w:r>
          </w:p>
        </w:tc>
        <w:tc>
          <w:tcPr>
            <w:tcW w:w="6215" w:type="dxa"/>
            <w:noWrap/>
          </w:tcPr>
          <w:p w:rsidR="00E92F2B" w:rsidRDefault="00E92F2B" w:rsidP="00157E2A">
            <w:pPr>
              <w:rPr>
                <w:rFonts w:ascii="Calibri" w:hAnsi="Calibri"/>
                <w:color w:val="000000"/>
                <w:szCs w:val="20"/>
              </w:rPr>
            </w:pPr>
            <w:r>
              <w:rPr>
                <w:rFonts w:ascii="Calibri" w:hAnsi="Calibri"/>
                <w:color w:val="000000"/>
                <w:szCs w:val="20"/>
              </w:rPr>
              <w:t>Sixth Northwest Conservation and Electric Power Plan</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TRC</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Total Resource Cost test</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UEC</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 xml:space="preserve">Unit Energy Consumption </w:t>
            </w:r>
          </w:p>
        </w:tc>
      </w:tr>
      <w:tr w:rsidR="00157E2A" w:rsidRPr="00755BAC" w:rsidTr="002B6ADE">
        <w:trPr>
          <w:trHeight w:val="274"/>
        </w:trPr>
        <w:tc>
          <w:tcPr>
            <w:tcW w:w="2524" w:type="dxa"/>
            <w:noWrap/>
            <w:hideMark/>
          </w:tcPr>
          <w:p w:rsidR="00157E2A" w:rsidRDefault="00157E2A" w:rsidP="00157E2A">
            <w:pPr>
              <w:rPr>
                <w:rFonts w:ascii="Calibri" w:hAnsi="Calibri"/>
                <w:color w:val="000000"/>
                <w:szCs w:val="20"/>
              </w:rPr>
            </w:pPr>
            <w:r>
              <w:rPr>
                <w:rFonts w:ascii="Calibri" w:hAnsi="Calibri"/>
                <w:color w:val="000000"/>
                <w:szCs w:val="20"/>
              </w:rPr>
              <w:t>WH</w:t>
            </w:r>
          </w:p>
        </w:tc>
        <w:tc>
          <w:tcPr>
            <w:tcW w:w="6215" w:type="dxa"/>
            <w:noWrap/>
            <w:hideMark/>
          </w:tcPr>
          <w:p w:rsidR="00157E2A" w:rsidRDefault="00157E2A" w:rsidP="00157E2A">
            <w:pPr>
              <w:rPr>
                <w:rFonts w:ascii="Calibri" w:hAnsi="Calibri"/>
                <w:color w:val="000000"/>
                <w:szCs w:val="20"/>
              </w:rPr>
            </w:pPr>
            <w:r>
              <w:rPr>
                <w:rFonts w:ascii="Calibri" w:hAnsi="Calibri"/>
                <w:color w:val="000000"/>
                <w:szCs w:val="20"/>
              </w:rPr>
              <w:t>Water heater</w:t>
            </w:r>
          </w:p>
        </w:tc>
      </w:tr>
    </w:tbl>
    <w:p w:rsidR="00C92294" w:rsidRDefault="00C92294" w:rsidP="004048AF">
      <w:pPr>
        <w:pStyle w:val="Chapter"/>
        <w:framePr w:hSpace="0" w:wrap="auto" w:vAnchor="margin" w:hAnchor="text" w:yAlign="inline"/>
        <w:sectPr w:rsidR="00C92294" w:rsidSect="00FE613D">
          <w:headerReference w:type="default" r:id="rId19"/>
          <w:footerReference w:type="default" r:id="rId20"/>
          <w:headerReference w:type="first" r:id="rId21"/>
          <w:footerReference w:type="first" r:id="rId22"/>
          <w:type w:val="oddPage"/>
          <w:pgSz w:w="12240" w:h="15840" w:code="1"/>
          <w:pgMar w:top="1152" w:right="1440" w:bottom="1152" w:left="1800" w:header="720" w:footer="720" w:gutter="0"/>
          <w:pgNumType w:start="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08"/>
        <w:gridCol w:w="7779"/>
      </w:tblGrid>
      <w:tr w:rsidR="007D5CF0" w:rsidRPr="00351A80" w:rsidTr="00157E2A">
        <w:trPr>
          <w:cantSplit/>
          <w:trHeight w:hRule="exact" w:val="288"/>
        </w:trPr>
        <w:tc>
          <w:tcPr>
            <w:tcW w:w="1295" w:type="dxa"/>
            <w:shd w:val="clear" w:color="auto" w:fill="auto"/>
            <w:vAlign w:val="center"/>
          </w:tcPr>
          <w:p w:rsidR="007D5CF0" w:rsidRPr="00351A80" w:rsidRDefault="007D5CF0" w:rsidP="004048AF">
            <w:pPr>
              <w:pStyle w:val="Chapter"/>
              <w:framePr w:hSpace="0" w:wrap="auto" w:vAnchor="margin" w:hAnchor="text" w:yAlign="inline"/>
            </w:pPr>
            <w:r>
              <w:lastRenderedPageBreak/>
              <w:t>Section</w:t>
            </w:r>
          </w:p>
        </w:tc>
        <w:tc>
          <w:tcPr>
            <w:tcW w:w="7705" w:type="dxa"/>
            <w:shd w:val="clear" w:color="auto" w:fill="auto"/>
            <w:tcMar>
              <w:left w:w="173" w:type="dxa"/>
            </w:tcMar>
            <w:vAlign w:val="center"/>
          </w:tcPr>
          <w:p w:rsidR="007D5CF0" w:rsidRPr="00351A80" w:rsidRDefault="007D5CF0" w:rsidP="004048AF">
            <w:pPr>
              <w:pStyle w:val="Heading1"/>
            </w:pPr>
          </w:p>
        </w:tc>
      </w:tr>
    </w:tbl>
    <w:p w:rsidR="00B524FA" w:rsidRDefault="00157E2A" w:rsidP="00B524FA">
      <w:pPr>
        <w:pStyle w:val="ChapterTitle"/>
      </w:pPr>
      <w:bookmarkStart w:id="9" w:name="Analysis"/>
      <w:bookmarkStart w:id="10" w:name="_Toc335647145"/>
      <w:bookmarkStart w:id="11" w:name="_Toc341176209"/>
      <w:bookmarkStart w:id="12" w:name="_Toc401046331"/>
      <w:bookmarkStart w:id="13" w:name="_Toc424192608"/>
      <w:bookmarkStart w:id="14" w:name="_Toc319670865"/>
      <w:bookmarkStart w:id="15" w:name="_Toc319670921"/>
      <w:bookmarkStart w:id="16" w:name="_Toc319671868"/>
      <w:bookmarkStart w:id="17" w:name="_Toc319671968"/>
      <w:bookmarkStart w:id="18" w:name="_Toc319673035"/>
      <w:bookmarkStart w:id="19" w:name="_Toc319674534"/>
      <w:bookmarkStart w:id="20" w:name="_Toc329701176"/>
      <w:r w:rsidRPr="00CE3825">
        <w:t>Analysis</w:t>
      </w:r>
      <w:bookmarkEnd w:id="9"/>
      <w:r w:rsidRPr="00CE3825">
        <w:t xml:space="preserve"> Approach and Data Development</w:t>
      </w:r>
      <w:bookmarkEnd w:id="10"/>
      <w:bookmarkEnd w:id="11"/>
      <w:bookmarkEnd w:id="12"/>
      <w:bookmarkEnd w:id="13"/>
    </w:p>
    <w:bookmarkEnd w:id="14"/>
    <w:bookmarkEnd w:id="15"/>
    <w:bookmarkEnd w:id="16"/>
    <w:bookmarkEnd w:id="17"/>
    <w:bookmarkEnd w:id="18"/>
    <w:bookmarkEnd w:id="19"/>
    <w:bookmarkEnd w:id="20"/>
    <w:p w:rsidR="00157E2A" w:rsidRDefault="00157E2A" w:rsidP="00157E2A">
      <w:pPr>
        <w:pStyle w:val="BodyText"/>
      </w:pPr>
      <w:r>
        <w:t>This section describes the analysis approach taken for the study and the data sources used to develop the potential estimates.</w:t>
      </w:r>
      <w:r w:rsidR="001752EB">
        <w:t xml:space="preserve"> </w:t>
      </w:r>
    </w:p>
    <w:p w:rsidR="00157E2A" w:rsidRDefault="00157E2A" w:rsidP="00157E2A">
      <w:pPr>
        <w:pStyle w:val="Heading2"/>
      </w:pPr>
      <w:bookmarkStart w:id="21" w:name="_Toc335647146"/>
      <w:bookmarkStart w:id="22" w:name="_Toc341176210"/>
      <w:bookmarkStart w:id="23" w:name="_Toc401046332"/>
      <w:bookmarkStart w:id="24" w:name="_Toc424192609"/>
      <w:r>
        <w:t>Overview of Analysis Approach</w:t>
      </w:r>
      <w:bookmarkEnd w:id="21"/>
      <w:bookmarkEnd w:id="22"/>
      <w:bookmarkEnd w:id="23"/>
      <w:bookmarkEnd w:id="24"/>
      <w:r w:rsidR="001752EB">
        <w:t xml:space="preserve"> </w:t>
      </w:r>
    </w:p>
    <w:p w:rsidR="00157E2A" w:rsidRPr="00357D2D" w:rsidRDefault="00157E2A" w:rsidP="00157E2A">
      <w:pPr>
        <w:pStyle w:val="BodyText"/>
        <w:rPr>
          <w:color w:val="000000"/>
        </w:rPr>
      </w:pPr>
      <w:bookmarkStart w:id="25" w:name="_Ref332118798"/>
      <w:bookmarkStart w:id="26" w:name="_Toc334177680"/>
      <w:bookmarkStart w:id="27" w:name="_Toc341180505"/>
      <w:r w:rsidRPr="00B31BB4">
        <w:t xml:space="preserve">To perform the </w:t>
      </w:r>
      <w:r w:rsidR="006D0B5A">
        <w:t>potential</w:t>
      </w:r>
      <w:r w:rsidRPr="00B31BB4">
        <w:t xml:space="preserve"> analysis, </w:t>
      </w:r>
      <w:r w:rsidR="00C92294">
        <w:t>AEG</w:t>
      </w:r>
      <w:r w:rsidRPr="00B31BB4">
        <w:t xml:space="preserve"> used a bottom-up approach </w:t>
      </w:r>
      <w:r>
        <w:t>following</w:t>
      </w:r>
      <w:r w:rsidR="002F638E">
        <w:t xml:space="preserve"> the major steps listed below. </w:t>
      </w:r>
      <w:r>
        <w:t>We describe these analysis steps in more detail throughout the remainder of this chapter.</w:t>
      </w:r>
    </w:p>
    <w:p w:rsidR="00157E2A" w:rsidRPr="00B31BB4" w:rsidRDefault="00157E2A" w:rsidP="00157E2A">
      <w:pPr>
        <w:pStyle w:val="NumberedList"/>
      </w:pPr>
      <w:r w:rsidRPr="00B31BB4">
        <w:t>Perform a market characterization to describe sector-level electricity</w:t>
      </w:r>
      <w:r>
        <w:t xml:space="preserve"> </w:t>
      </w:r>
      <w:r w:rsidRPr="00B31BB4">
        <w:t>use for the residential</w:t>
      </w:r>
      <w:r>
        <w:t>, commercial,</w:t>
      </w:r>
      <w:r w:rsidR="00F73552">
        <w:t xml:space="preserve"> and</w:t>
      </w:r>
      <w:r w:rsidRPr="00B31BB4">
        <w:t xml:space="preserve"> </w:t>
      </w:r>
      <w:r w:rsidR="0017103B">
        <w:t>industrial</w:t>
      </w:r>
      <w:r w:rsidR="00F73552">
        <w:t xml:space="preserve"> </w:t>
      </w:r>
      <w:r w:rsidRPr="00B31BB4">
        <w:t>sectors for the base year</w:t>
      </w:r>
      <w:r>
        <w:t>,</w:t>
      </w:r>
      <w:r w:rsidRPr="00B31BB4">
        <w:t xml:space="preserve"> </w:t>
      </w:r>
      <w:r>
        <w:t>201</w:t>
      </w:r>
      <w:r w:rsidR="002B6ADE">
        <w:t>3</w:t>
      </w:r>
      <w:r>
        <w:t xml:space="preserve">. </w:t>
      </w:r>
    </w:p>
    <w:p w:rsidR="00157E2A" w:rsidRPr="00B76C61" w:rsidRDefault="00157E2A" w:rsidP="00157E2A">
      <w:pPr>
        <w:pStyle w:val="NumberedList"/>
      </w:pPr>
      <w:r w:rsidRPr="00B31BB4">
        <w:t xml:space="preserve">Develop a baseline </w:t>
      </w:r>
      <w:r>
        <w:t>projection</w:t>
      </w:r>
      <w:r w:rsidRPr="00B31BB4">
        <w:t xml:space="preserve"> </w:t>
      </w:r>
      <w:r>
        <w:t xml:space="preserve">of energy consumption and peak demand </w:t>
      </w:r>
      <w:r w:rsidRPr="00B31BB4">
        <w:t>by sector, segment, and end use for 20</w:t>
      </w:r>
      <w:r>
        <w:t>1</w:t>
      </w:r>
      <w:r w:rsidR="002B6ADE">
        <w:t>3</w:t>
      </w:r>
      <w:r w:rsidRPr="00B31BB4">
        <w:t xml:space="preserve"> </w:t>
      </w:r>
      <w:r>
        <w:t>through 203</w:t>
      </w:r>
      <w:r w:rsidR="00F73552">
        <w:t>5</w:t>
      </w:r>
      <w:r w:rsidRPr="00B76C61">
        <w:t xml:space="preserve">. </w:t>
      </w:r>
    </w:p>
    <w:p w:rsidR="00157E2A" w:rsidRDefault="00157E2A" w:rsidP="00157E2A">
      <w:pPr>
        <w:pStyle w:val="NumberedList"/>
      </w:pPr>
      <w:r>
        <w:t xml:space="preserve">Define and characterize </w:t>
      </w:r>
      <w:r w:rsidRPr="00B76C61">
        <w:t xml:space="preserve">several hundred </w:t>
      </w:r>
      <w:r w:rsidR="003A7F74">
        <w:t>conservation</w:t>
      </w:r>
      <w:r>
        <w:t xml:space="preserve"> </w:t>
      </w:r>
      <w:r w:rsidRPr="00B76C61">
        <w:t xml:space="preserve">measures </w:t>
      </w:r>
      <w:r>
        <w:t>to be applied to all sectors, segments, and end uses.</w:t>
      </w:r>
      <w:r w:rsidRPr="00B76C61">
        <w:t xml:space="preserve"> </w:t>
      </w:r>
    </w:p>
    <w:p w:rsidR="002B6ADE" w:rsidRPr="00B76C61" w:rsidRDefault="00157E2A" w:rsidP="002B6ADE">
      <w:pPr>
        <w:pStyle w:val="NumberedList"/>
      </w:pPr>
      <w:r>
        <w:t>E</w:t>
      </w:r>
      <w:r w:rsidRPr="00B76C61">
        <w:t xml:space="preserve">stimate </w:t>
      </w:r>
      <w:r w:rsidR="002B6ADE">
        <w:t>t</w:t>
      </w:r>
      <w:r>
        <w:t xml:space="preserve">echnical, </w:t>
      </w:r>
      <w:r w:rsidR="002B6ADE">
        <w:t>e</w:t>
      </w:r>
      <w:r>
        <w:t xml:space="preserve">conomic, and </w:t>
      </w:r>
      <w:r w:rsidR="002B6ADE">
        <w:t>a</w:t>
      </w:r>
      <w:r>
        <w:t xml:space="preserve">chievable potential </w:t>
      </w:r>
      <w:r w:rsidR="002B6ADE">
        <w:t xml:space="preserve">at the measure level </w:t>
      </w:r>
      <w:r>
        <w:t xml:space="preserve">in terms of energy and peak demand impacts from </w:t>
      </w:r>
      <w:r w:rsidR="003A7F74">
        <w:t>conservation</w:t>
      </w:r>
      <w:r>
        <w:t xml:space="preserve"> measures</w:t>
      </w:r>
      <w:r w:rsidR="002B6ADE">
        <w:t xml:space="preserve"> for </w:t>
      </w:r>
      <w:r w:rsidRPr="00B76C61">
        <w:t>201</w:t>
      </w:r>
      <w:r>
        <w:t>5-</w:t>
      </w:r>
      <w:r w:rsidR="00801E8D">
        <w:t>203</w:t>
      </w:r>
      <w:r w:rsidR="00F73552">
        <w:t>5</w:t>
      </w:r>
      <w:r w:rsidRPr="00B76C61">
        <w:t xml:space="preserve">. </w:t>
      </w:r>
    </w:p>
    <w:p w:rsidR="00157E2A" w:rsidRDefault="00157E2A" w:rsidP="00BD0E72">
      <w:pPr>
        <w:pStyle w:val="Heading3"/>
      </w:pPr>
      <w:bookmarkStart w:id="28" w:name="_Toc335647147"/>
      <w:bookmarkStart w:id="29" w:name="_Toc341176211"/>
      <w:bookmarkStart w:id="30" w:name="_Toc401046333"/>
      <w:bookmarkStart w:id="31" w:name="_Toc424192610"/>
      <w:bookmarkEnd w:id="25"/>
      <w:bookmarkEnd w:id="26"/>
      <w:bookmarkEnd w:id="27"/>
      <w:r>
        <w:t>LoadMAP Model</w:t>
      </w:r>
      <w:bookmarkEnd w:id="28"/>
      <w:bookmarkEnd w:id="29"/>
      <w:bookmarkEnd w:id="30"/>
      <w:bookmarkEnd w:id="31"/>
    </w:p>
    <w:p w:rsidR="00157E2A" w:rsidRPr="00565166" w:rsidRDefault="002B6ADE" w:rsidP="00157E2A">
      <w:pPr>
        <w:pStyle w:val="BodyText"/>
      </w:pPr>
      <w:r>
        <w:t xml:space="preserve">AEG used its </w:t>
      </w:r>
      <w:r w:rsidR="00157E2A" w:rsidRPr="00C40A71">
        <w:t>Load Management Analysis and Planning tool (LoadMAP</w:t>
      </w:r>
      <w:r w:rsidR="00157E2A" w:rsidRPr="00C40A71">
        <w:rPr>
          <w:vertAlign w:val="superscript"/>
        </w:rPr>
        <w:t>TM</w:t>
      </w:r>
      <w:r w:rsidR="00157E2A" w:rsidRPr="00C40A71">
        <w:t xml:space="preserve">) version </w:t>
      </w:r>
      <w:r w:rsidR="00157E2A">
        <w:t>4</w:t>
      </w:r>
      <w:r w:rsidR="00157E2A" w:rsidRPr="00C40A71">
        <w:t xml:space="preserve">.0 to develop both the </w:t>
      </w:r>
      <w:r w:rsidR="00157E2A">
        <w:t>baseline projection</w:t>
      </w:r>
      <w:r w:rsidR="00157E2A" w:rsidRPr="00C40A71">
        <w:t xml:space="preserve"> and the estimates of potential. </w:t>
      </w:r>
      <w:r w:rsidR="00C92294">
        <w:t>AEG</w:t>
      </w:r>
      <w:r w:rsidR="00157E2A" w:rsidRPr="00565166">
        <w:t xml:space="preserve"> developed LoadMAP in 2007 and has </w:t>
      </w:r>
      <w:r w:rsidR="00157E2A">
        <w:t xml:space="preserve">enhanced it over time, using </w:t>
      </w:r>
      <w:r w:rsidR="00157E2A" w:rsidRPr="00565166">
        <w:t xml:space="preserve">it for the </w:t>
      </w:r>
      <w:r w:rsidR="0094179C">
        <w:t>Electric Power Research Institute (</w:t>
      </w:r>
      <w:r w:rsidR="00157E2A" w:rsidRPr="00565166">
        <w:t>EPRI</w:t>
      </w:r>
      <w:r w:rsidR="0094179C">
        <w:t>)</w:t>
      </w:r>
      <w:r w:rsidR="00157E2A" w:rsidRPr="00565166">
        <w:t xml:space="preserve"> National Potential Study and numerous utility-specific forecasting and potential studies</w:t>
      </w:r>
      <w:r w:rsidR="00157E2A">
        <w:t xml:space="preserve"> since</w:t>
      </w:r>
      <w:r w:rsidR="00514160">
        <w:t xml:space="preserve"> that time</w:t>
      </w:r>
      <w:r w:rsidR="00157E2A" w:rsidRPr="00565166">
        <w:t>. Built in Excel, the LoadMAP framework (se</w:t>
      </w:r>
      <w:r w:rsidR="00157E2A">
        <w:t xml:space="preserve">e </w:t>
      </w:r>
      <w:r w:rsidR="00893E3D">
        <w:fldChar w:fldCharType="begin"/>
      </w:r>
      <w:r w:rsidR="0097248B">
        <w:instrText xml:space="preserve"> REF _Ref337021903 \h </w:instrText>
      </w:r>
      <w:r w:rsidR="00893E3D">
        <w:fldChar w:fldCharType="separate"/>
      </w:r>
      <w:r w:rsidR="00B2652C" w:rsidRPr="00F75EB3">
        <w:t xml:space="preserve">Figure </w:t>
      </w:r>
      <w:r w:rsidR="00B2652C">
        <w:rPr>
          <w:noProof/>
        </w:rPr>
        <w:t>2</w:t>
      </w:r>
      <w:r w:rsidR="00B2652C" w:rsidRPr="00F75EB3">
        <w:t>-</w:t>
      </w:r>
      <w:r w:rsidR="00B2652C">
        <w:rPr>
          <w:noProof/>
        </w:rPr>
        <w:t>1</w:t>
      </w:r>
      <w:r w:rsidR="00893E3D">
        <w:fldChar w:fldCharType="end"/>
      </w:r>
      <w:r w:rsidR="00157E2A" w:rsidRPr="00565166">
        <w:t>) is both accessible and transparent and has the following key features.</w:t>
      </w:r>
    </w:p>
    <w:p w:rsidR="00157E2A" w:rsidRPr="00565166" w:rsidRDefault="00157E2A" w:rsidP="00157E2A">
      <w:pPr>
        <w:pStyle w:val="BulletedList0"/>
        <w:tabs>
          <w:tab w:val="clear" w:pos="360"/>
        </w:tabs>
      </w:pPr>
      <w:r w:rsidRPr="00565166">
        <w:t xml:space="preserve">Embodies the basic principles of rigorous end-use models (such as EPRI’s REEPS and COMMEND) but in a more simplified, accessible form. </w:t>
      </w:r>
    </w:p>
    <w:p w:rsidR="00157E2A" w:rsidRPr="00565166" w:rsidRDefault="00157E2A" w:rsidP="00157E2A">
      <w:pPr>
        <w:pStyle w:val="BulletedList0"/>
        <w:tabs>
          <w:tab w:val="clear" w:pos="360"/>
        </w:tabs>
      </w:pPr>
      <w:r w:rsidRPr="00565166">
        <w:t xml:space="preserve">Includes stock-accounting algorithms that treat older, less efficient appliance/equipment stock separately from newer, more efficient equipment. Equipment is replaced according to the measure life </w:t>
      </w:r>
      <w:r>
        <w:t xml:space="preserve">and appliance vintage distributions </w:t>
      </w:r>
      <w:r w:rsidRPr="00565166">
        <w:t>defined by the user.</w:t>
      </w:r>
    </w:p>
    <w:p w:rsidR="00157E2A" w:rsidRPr="00565166" w:rsidRDefault="00157E2A" w:rsidP="00157E2A">
      <w:pPr>
        <w:pStyle w:val="BulletedList0"/>
        <w:tabs>
          <w:tab w:val="clear" w:pos="360"/>
        </w:tabs>
      </w:pPr>
      <w:r w:rsidRPr="00565166">
        <w:t xml:space="preserve">Balances the competing needs of simplicity and robustness by incorporating important modeling details related to equipment saturations, efficiencies, vintage, and the like, where market data are available, and treats end uses separately to account for varying importance and availability of data resources. </w:t>
      </w:r>
    </w:p>
    <w:p w:rsidR="00157E2A" w:rsidRPr="00565166" w:rsidRDefault="00157E2A" w:rsidP="00157E2A">
      <w:pPr>
        <w:pStyle w:val="BulletedList0"/>
        <w:tabs>
          <w:tab w:val="clear" w:pos="360"/>
        </w:tabs>
      </w:pPr>
      <w:r w:rsidRPr="00565166">
        <w:t xml:space="preserve">Isolates new construction from existing equipment and buildings and treats purchase decisions for new construction and existing buildings separately. </w:t>
      </w:r>
    </w:p>
    <w:p w:rsidR="00157E2A" w:rsidRPr="00565166" w:rsidRDefault="00157E2A" w:rsidP="00157E2A">
      <w:pPr>
        <w:pStyle w:val="BulletedList0"/>
        <w:tabs>
          <w:tab w:val="clear" w:pos="360"/>
        </w:tabs>
      </w:pPr>
      <w:r w:rsidRPr="00565166">
        <w:t xml:space="preserve">Uses a simple logic for appliance and equipment decisions. Other models available for this purpose embody complex decision choice algorithms or diffusion assumptions, and the model parameters tend to be difficult to estimate or observe and sometimes produce anomalous results that require calibration or even overriding. The LoadMAP approach allows the user to drive the appliance and equipment choices year by year directly in the model. This flexible approach allows users to import the results from diffusion models or to input individual assumptions. The framework also facilitates sensitivity analysis. </w:t>
      </w:r>
    </w:p>
    <w:p w:rsidR="00157E2A" w:rsidRPr="00565166" w:rsidRDefault="00157E2A" w:rsidP="00157E2A">
      <w:pPr>
        <w:pStyle w:val="BulletedList0"/>
        <w:tabs>
          <w:tab w:val="clear" w:pos="360"/>
        </w:tabs>
      </w:pPr>
      <w:r w:rsidRPr="00565166">
        <w:lastRenderedPageBreak/>
        <w:t xml:space="preserve">Includes appliance and equipment models customized by end use. For example, the logic for lighting is distinct from refrigerators and freezers. </w:t>
      </w:r>
    </w:p>
    <w:p w:rsidR="00157E2A" w:rsidRPr="001752EB" w:rsidRDefault="00157E2A" w:rsidP="00157E2A">
      <w:pPr>
        <w:pStyle w:val="BulletedList0"/>
        <w:tabs>
          <w:tab w:val="clear" w:pos="360"/>
        </w:tabs>
        <w:rPr>
          <w:b/>
        </w:rPr>
      </w:pPr>
      <w:r w:rsidRPr="00565166">
        <w:t>Can accommodate various levels of segmentation. Analysis can be performed at the sector level (e.g., total residential) or for customized segments within sectors (e.g., housing type or income level).</w:t>
      </w:r>
    </w:p>
    <w:p w:rsidR="001752EB" w:rsidRPr="00565166" w:rsidRDefault="001752EB" w:rsidP="00157E2A">
      <w:pPr>
        <w:pStyle w:val="BulletedList0"/>
        <w:tabs>
          <w:tab w:val="clear" w:pos="360"/>
        </w:tabs>
        <w:rPr>
          <w:b/>
        </w:rPr>
      </w:pPr>
      <w:r>
        <w:t xml:space="preserve">Incorporates </w:t>
      </w:r>
      <w:r w:rsidR="003A7F74">
        <w:t>conservation</w:t>
      </w:r>
      <w:r>
        <w:t xml:space="preserve"> measures, demand-response options, combined heat and power (CHP) and distributed generation options and fuel switching.</w:t>
      </w:r>
    </w:p>
    <w:p w:rsidR="00157E2A" w:rsidRPr="00565166" w:rsidRDefault="00157E2A" w:rsidP="00157E2A">
      <w:pPr>
        <w:pStyle w:val="BodyText"/>
      </w:pPr>
      <w:r w:rsidRPr="00565166">
        <w:t xml:space="preserve">Consistent with the segmentation scheme and the market profiles we describe below, the LoadMAP model provides </w:t>
      </w:r>
      <w:r w:rsidR="00514160">
        <w:t>projections</w:t>
      </w:r>
      <w:r w:rsidRPr="00565166">
        <w:t xml:space="preserve"> of baseline energy use by sector, segment, end use</w:t>
      </w:r>
      <w:r>
        <w:t>,</w:t>
      </w:r>
      <w:r w:rsidRPr="00565166">
        <w:t xml:space="preserve"> and technology for existing and new buildings. It also provides forecasts of total energy use and energy-efficiency savings associated with the </w:t>
      </w:r>
      <w:r>
        <w:t>various</w:t>
      </w:r>
      <w:r w:rsidRPr="00565166">
        <w:t xml:space="preserve"> types of potential.</w:t>
      </w:r>
      <w:r w:rsidRPr="00565166">
        <w:rPr>
          <w:vertAlign w:val="superscript"/>
        </w:rPr>
        <w:footnoteReference w:id="1"/>
      </w:r>
      <w:r w:rsidRPr="00565166">
        <w:t xml:space="preserve"> </w:t>
      </w:r>
    </w:p>
    <w:p w:rsidR="00157E2A" w:rsidRPr="009D100B" w:rsidRDefault="00157E2A" w:rsidP="008D01F0">
      <w:pPr>
        <w:pStyle w:val="FigureorTableTitle"/>
      </w:pPr>
      <w:bookmarkStart w:id="32" w:name="_Ref337021903"/>
      <w:bookmarkStart w:id="33" w:name="_Toc341180506"/>
      <w:bookmarkStart w:id="34" w:name="_Toc341187163"/>
      <w:bookmarkStart w:id="35" w:name="_Toc387951587"/>
      <w:bookmarkStart w:id="36" w:name="_Toc424192699"/>
      <w:r w:rsidRPr="00F75EB3">
        <w:t xml:space="preserve">Figure </w:t>
      </w:r>
      <w:r w:rsidR="00512CD6">
        <w:fldChar w:fldCharType="begin"/>
      </w:r>
      <w:r w:rsidR="00512CD6">
        <w:instrText xml:space="preserve"> STYLEREF  "Heading 1,Chap Num" \n  \* MERGEFORMAT </w:instrText>
      </w:r>
      <w:r w:rsidR="00512CD6">
        <w:fldChar w:fldCharType="separate"/>
      </w:r>
      <w:r w:rsidR="00B2652C">
        <w:rPr>
          <w:noProof/>
        </w:rPr>
        <w:t>2</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1</w:t>
      </w:r>
      <w:r w:rsidR="00512CD6">
        <w:rPr>
          <w:noProof/>
        </w:rPr>
        <w:fldChar w:fldCharType="end"/>
      </w:r>
      <w:bookmarkEnd w:id="32"/>
      <w:r w:rsidRPr="00F75EB3">
        <w:tab/>
      </w:r>
      <w:r>
        <w:t>LoadMAP Analysis Framework</w:t>
      </w:r>
      <w:bookmarkEnd w:id="33"/>
      <w:bookmarkEnd w:id="34"/>
      <w:bookmarkEnd w:id="35"/>
      <w:bookmarkEnd w:id="36"/>
    </w:p>
    <w:p w:rsidR="00157E2A" w:rsidRDefault="007355AC" w:rsidP="00157E2A">
      <w:pPr>
        <w:pStyle w:val="BodyText"/>
      </w:pPr>
      <w:r>
        <w:rPr>
          <w:noProof/>
        </w:rPr>
        <w:drawing>
          <wp:inline distT="0" distB="0" distL="0" distR="0">
            <wp:extent cx="5718810" cy="329819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8810" cy="3298190"/>
                    </a:xfrm>
                    <a:prstGeom prst="rect">
                      <a:avLst/>
                    </a:prstGeom>
                    <a:noFill/>
                  </pic:spPr>
                </pic:pic>
              </a:graphicData>
            </a:graphic>
          </wp:inline>
        </w:drawing>
      </w:r>
    </w:p>
    <w:p w:rsidR="003D56FB" w:rsidRDefault="003D56FB">
      <w:pPr>
        <w:rPr>
          <w:rFonts w:cs="Arial"/>
          <w:b/>
          <w:bCs/>
          <w:sz w:val="22"/>
          <w:szCs w:val="18"/>
        </w:rPr>
      </w:pPr>
      <w:bookmarkStart w:id="37" w:name="_Toc401046334"/>
      <w:bookmarkStart w:id="38" w:name="_Toc335647148"/>
      <w:bookmarkStart w:id="39" w:name="_Toc341176212"/>
      <w:r>
        <w:br w:type="page"/>
      </w:r>
    </w:p>
    <w:p w:rsidR="00157E2A" w:rsidRDefault="00157E2A" w:rsidP="00BD0E72">
      <w:pPr>
        <w:pStyle w:val="Heading3"/>
      </w:pPr>
      <w:bookmarkStart w:id="40" w:name="_Toc424192611"/>
      <w:r>
        <w:lastRenderedPageBreak/>
        <w:t>Definitions of Potential</w:t>
      </w:r>
      <w:bookmarkEnd w:id="37"/>
      <w:bookmarkEnd w:id="40"/>
    </w:p>
    <w:p w:rsidR="00157E2A" w:rsidRPr="00F77A99" w:rsidRDefault="00590EBD" w:rsidP="00157E2A">
      <w:pPr>
        <w:pStyle w:val="BodyText"/>
      </w:pPr>
      <w:r w:rsidRPr="00183FEF">
        <w:t xml:space="preserve">In this study, the </w:t>
      </w:r>
      <w:r w:rsidR="00514160">
        <w:t xml:space="preserve">conservation </w:t>
      </w:r>
      <w:r w:rsidRPr="00183FEF">
        <w:t xml:space="preserve">potential estimates represent gross savings developed </w:t>
      </w:r>
      <w:r w:rsidR="00514160">
        <w:t>for three levels</w:t>
      </w:r>
      <w:r w:rsidRPr="00183FEF">
        <w:t xml:space="preserve"> of potential: technical potential, economic potential, and achievable potential. These levels are described below.</w:t>
      </w:r>
    </w:p>
    <w:p w:rsidR="00157E2A" w:rsidRPr="007811CA" w:rsidRDefault="00157E2A" w:rsidP="00157E2A">
      <w:pPr>
        <w:pStyle w:val="BulletedList0"/>
      </w:pPr>
      <w:r w:rsidRPr="007811CA">
        <w:rPr>
          <w:rStyle w:val="Emphasis"/>
        </w:rPr>
        <w:t>Technical Potential</w:t>
      </w:r>
      <w:r w:rsidRPr="007811CA">
        <w:t xml:space="preserve"> is defined as the theoretical upper limit of </w:t>
      </w:r>
      <w:r w:rsidR="003D56FB">
        <w:t>conservation</w:t>
      </w:r>
      <w:r w:rsidRPr="007811CA">
        <w:t xml:space="preserve"> potential. It assumes that customers adopt all feasible measures regardless of their cost. At the time of existing equipment failure, customers replace their equipment with the most efficient option available. In new construction, customers and developers also choose the most efficient equipment option</w:t>
      </w:r>
      <w:r w:rsidR="001752EB">
        <w:t>.</w:t>
      </w:r>
      <w:r w:rsidRPr="007811CA">
        <w:br/>
      </w:r>
      <w:r w:rsidRPr="007811CA">
        <w:br/>
        <w:t>Technical potential also assumes the adoption of every other available measure, where applicable. For example, it includes installation of high-efficiency windows in all new construction opportunities and air conditioner maintenance in all existing buildings with central and room air conditioning. These retrofit measures are phased in over a number of years</w:t>
      </w:r>
      <w:r>
        <w:t xml:space="preserve"> to align with the stock turnover of related equipment units, rather than modeled as immediately available all at once</w:t>
      </w:r>
      <w:r w:rsidRPr="007811CA">
        <w:t xml:space="preserve">. </w:t>
      </w:r>
    </w:p>
    <w:p w:rsidR="00157E2A" w:rsidRPr="00121270" w:rsidRDefault="00157E2A" w:rsidP="00157E2A">
      <w:pPr>
        <w:pStyle w:val="BulletedList0"/>
      </w:pPr>
      <w:r>
        <w:rPr>
          <w:rStyle w:val="Emphasis"/>
        </w:rPr>
        <w:t>Economic P</w:t>
      </w:r>
      <w:r w:rsidRPr="009A0965">
        <w:rPr>
          <w:rStyle w:val="Emphasis"/>
        </w:rPr>
        <w:t>otential</w:t>
      </w:r>
      <w:r w:rsidRPr="00121270">
        <w:t xml:space="preserve"> </w:t>
      </w:r>
      <w:r w:rsidRPr="00F77A99">
        <w:t xml:space="preserve">represents the adoption of all </w:t>
      </w:r>
      <w:r w:rsidRPr="00DC507A">
        <w:rPr>
          <w:rStyle w:val="Emphasis"/>
          <w:i/>
          <w:color w:val="auto"/>
        </w:rPr>
        <w:t>cost-effective</w:t>
      </w:r>
      <w:r w:rsidRPr="00F77A99">
        <w:t xml:space="preserve"> </w:t>
      </w:r>
      <w:r w:rsidR="003A7F74">
        <w:t>conservation</w:t>
      </w:r>
      <w:r w:rsidRPr="00F77A99">
        <w:t xml:space="preserve"> measures. In this analysis, the </w:t>
      </w:r>
      <w:r>
        <w:t xml:space="preserve">cost-effectiveness is measured by the </w:t>
      </w:r>
      <w:r w:rsidR="001752EB">
        <w:t>total resource cost (TRC) test</w:t>
      </w:r>
      <w:r w:rsidRPr="00F77A99">
        <w:t>,</w:t>
      </w:r>
      <w:r>
        <w:t xml:space="preserve"> which compares lifetime energy</w:t>
      </w:r>
      <w:r w:rsidRPr="00F77A99">
        <w:t xml:space="preserve"> </w:t>
      </w:r>
      <w:r>
        <w:t xml:space="preserve">and capacity </w:t>
      </w:r>
      <w:r w:rsidRPr="00F77A99">
        <w:t>benefits to the cost</w:t>
      </w:r>
      <w:r>
        <w:t>s</w:t>
      </w:r>
      <w:r w:rsidRPr="00F77A99">
        <w:t xml:space="preserve"> of the </w:t>
      </w:r>
      <w:r>
        <w:t>delivering the measure through a utility program</w:t>
      </w:r>
      <w:r w:rsidR="001752EB">
        <w:t>, with incentives not included since they are a transfer payment</w:t>
      </w:r>
      <w:r w:rsidRPr="00F77A99">
        <w:t xml:space="preserve">. </w:t>
      </w:r>
      <w:r>
        <w:t xml:space="preserve">If the benefits outweigh the costs (that is, if the </w:t>
      </w:r>
      <w:r w:rsidR="001752EB">
        <w:t>TRC</w:t>
      </w:r>
      <w:r>
        <w:t xml:space="preserve"> ratio is</w:t>
      </w:r>
      <w:r w:rsidR="00590EBD">
        <w:t xml:space="preserve"> equal to or</w:t>
      </w:r>
      <w:r>
        <w:t xml:space="preserve"> greater than 1.0), a given measure is included in the economic potential. Customers are then assumed to </w:t>
      </w:r>
      <w:r w:rsidRPr="00F77A99">
        <w:t>purchase the most cost</w:t>
      </w:r>
      <w:r>
        <w:t>-</w:t>
      </w:r>
      <w:r w:rsidRPr="00F77A99">
        <w:t xml:space="preserve">effective option </w:t>
      </w:r>
      <w:r>
        <w:t>applicable to them at any decision juncture</w:t>
      </w:r>
      <w:r w:rsidRPr="00F77A99">
        <w:t>.</w:t>
      </w:r>
    </w:p>
    <w:p w:rsidR="00157E2A" w:rsidRPr="001752EB" w:rsidRDefault="00157E2A" w:rsidP="00157E2A">
      <w:pPr>
        <w:pStyle w:val="BulletedList0"/>
        <w:rPr>
          <w:rStyle w:val="Emphasis"/>
          <w:b w:val="0"/>
          <w:iCs w:val="0"/>
          <w:color w:val="auto"/>
        </w:rPr>
      </w:pPr>
      <w:r>
        <w:rPr>
          <w:rStyle w:val="Emphasis"/>
        </w:rPr>
        <w:t xml:space="preserve">Achievable Potential </w:t>
      </w:r>
      <w:r w:rsidR="00590EBD" w:rsidRPr="00183FEF">
        <w:t xml:space="preserve">takes into account market maturity, customer preferences for energy-efficient technologies, and expected program participation. Achievable potential establishes a realistic target for the </w:t>
      </w:r>
      <w:r w:rsidR="003D56FB">
        <w:t>conservation</w:t>
      </w:r>
      <w:r w:rsidR="00590EBD" w:rsidRPr="00183FEF">
        <w:t xml:space="preserve"> savings that a utility can hope to achieve through its programs. It is determined by applying a series of annual </w:t>
      </w:r>
      <w:r w:rsidR="00590EBD">
        <w:t xml:space="preserve">market adoption </w:t>
      </w:r>
      <w:r w:rsidR="00590EBD" w:rsidRPr="00183FEF">
        <w:t xml:space="preserve">factors to the economic potential for each </w:t>
      </w:r>
      <w:r w:rsidR="003D56FB">
        <w:t>conservation</w:t>
      </w:r>
      <w:r w:rsidR="00590EBD" w:rsidRPr="00183FEF">
        <w:t xml:space="preserve"> measure. These factors represent the ramp rates at which technologies will penetrate the market. To develop these factors, the project team reviewed </w:t>
      </w:r>
      <w:r w:rsidR="00F73552">
        <w:t>Avista</w:t>
      </w:r>
      <w:r w:rsidR="00590EBD" w:rsidRPr="00183FEF">
        <w:t xml:space="preserve">’s past </w:t>
      </w:r>
      <w:r w:rsidR="003D56FB">
        <w:t>conservation</w:t>
      </w:r>
      <w:r w:rsidR="00590EBD" w:rsidRPr="00183FEF">
        <w:t xml:space="preserve"> achievements and program history over the last five year</w:t>
      </w:r>
      <w:r w:rsidR="00590EBD">
        <w:t>s</w:t>
      </w:r>
      <w:r w:rsidR="00590EBD" w:rsidRPr="00183FEF">
        <w:t>, as well as the Northwest Power and Conservation Council</w:t>
      </w:r>
      <w:r w:rsidR="00514160">
        <w:t>’s</w:t>
      </w:r>
      <w:r w:rsidR="00590EBD" w:rsidRPr="00183FEF">
        <w:t xml:space="preserve"> (</w:t>
      </w:r>
      <w:r w:rsidR="00514160">
        <w:t>Council</w:t>
      </w:r>
      <w:r w:rsidR="00590EBD" w:rsidRPr="00183FEF">
        <w:t xml:space="preserve">) ramp rates used in the </w:t>
      </w:r>
      <w:r w:rsidR="00514160">
        <w:t xml:space="preserve">Council’s </w:t>
      </w:r>
      <w:r w:rsidR="00590EBD" w:rsidRPr="00183FEF">
        <w:t xml:space="preserve">Sixth Plan. Details regarding the </w:t>
      </w:r>
      <w:r w:rsidR="00590EBD">
        <w:t>market adoption factors</w:t>
      </w:r>
      <w:r w:rsidR="00590EBD" w:rsidRPr="00183FEF">
        <w:t xml:space="preserve"> appear in Appendix </w:t>
      </w:r>
      <w:r w:rsidR="00141419">
        <w:t>B</w:t>
      </w:r>
      <w:r w:rsidR="00590EBD" w:rsidRPr="00183FEF">
        <w:t>.</w:t>
      </w:r>
      <w:r w:rsidRPr="007B2050" w:rsidDel="00352A53">
        <w:rPr>
          <w:rStyle w:val="Emphasis"/>
          <w:color w:val="auto"/>
        </w:rPr>
        <w:t xml:space="preserve"> </w:t>
      </w:r>
    </w:p>
    <w:p w:rsidR="00157E2A" w:rsidRDefault="00157E2A" w:rsidP="00BD0E72">
      <w:pPr>
        <w:pStyle w:val="Heading3"/>
      </w:pPr>
      <w:bookmarkStart w:id="41" w:name="_Toc401046335"/>
      <w:bookmarkStart w:id="42" w:name="_Toc424192612"/>
      <w:r>
        <w:t>Market Characterization</w:t>
      </w:r>
      <w:bookmarkEnd w:id="38"/>
      <w:bookmarkEnd w:id="39"/>
      <w:bookmarkEnd w:id="41"/>
      <w:bookmarkEnd w:id="42"/>
    </w:p>
    <w:p w:rsidR="00157E2A" w:rsidRDefault="00157E2A" w:rsidP="00157E2A">
      <w:pPr>
        <w:pStyle w:val="BodyText"/>
      </w:pPr>
      <w:r>
        <w:t xml:space="preserve">Now that we have described the modeling tool and provided the definitions of the potential cases, the first step in the analysis approach is market characterization. In order to estimate the savings potential from energy-efficient measures, it is necessary to understand how much energy is used today and what equipment is currently being used. This characterization begins with a segmentation of </w:t>
      </w:r>
      <w:r w:rsidR="00F73552">
        <w:t>Avista</w:t>
      </w:r>
      <w:r w:rsidR="00590EBD">
        <w:t>’s</w:t>
      </w:r>
      <w:r>
        <w:t xml:space="preserve"> electricity footprint to quantify energy use by sector, segment, end-use application, and the current set of technologies used. We rely primarily on information from </w:t>
      </w:r>
      <w:r w:rsidR="00F73552">
        <w:t>Avista</w:t>
      </w:r>
      <w:r w:rsidR="00514160">
        <w:t xml:space="preserve">, </w:t>
      </w:r>
      <w:r w:rsidR="00754ED4">
        <w:t>Northwest Energy Efficiency Alliance (</w:t>
      </w:r>
      <w:r w:rsidR="00514160">
        <w:t>NEEA</w:t>
      </w:r>
      <w:r w:rsidR="00754ED4">
        <w:t>)</w:t>
      </w:r>
      <w:r w:rsidR="001752EB">
        <w:t xml:space="preserve"> </w:t>
      </w:r>
      <w:r>
        <w:t xml:space="preserve">and secondary sources as necessary. </w:t>
      </w:r>
    </w:p>
    <w:p w:rsidR="00157E2A" w:rsidRDefault="00157E2A" w:rsidP="00157E2A">
      <w:pPr>
        <w:pStyle w:val="Heading4"/>
      </w:pPr>
      <w:r>
        <w:t>Segmentation for Modeling Purposes</w:t>
      </w:r>
    </w:p>
    <w:p w:rsidR="00157E2A" w:rsidRDefault="00157E2A" w:rsidP="00157E2A">
      <w:pPr>
        <w:pStyle w:val="BodyText"/>
      </w:pPr>
      <w:r w:rsidRPr="00440B70">
        <w:t xml:space="preserve">The market assessment </w:t>
      </w:r>
      <w:r>
        <w:t>first defined</w:t>
      </w:r>
      <w:r w:rsidRPr="00440B70">
        <w:t xml:space="preserve"> the market segments (building types, end uses</w:t>
      </w:r>
      <w:r>
        <w:t>,</w:t>
      </w:r>
      <w:r w:rsidRPr="00440B70">
        <w:t xml:space="preserve"> and other dimensions) that are relevant in </w:t>
      </w:r>
      <w:r>
        <w:t xml:space="preserve">the </w:t>
      </w:r>
      <w:r w:rsidR="00F73552">
        <w:t>Avista</w:t>
      </w:r>
      <w:r>
        <w:t xml:space="preserve"> service territory</w:t>
      </w:r>
      <w:r w:rsidRPr="00440B70">
        <w:t>. The segmentation scheme for this project is presented in</w:t>
      </w:r>
      <w:r>
        <w:t xml:space="preserve"> </w:t>
      </w:r>
      <w:r w:rsidR="00893E3D">
        <w:fldChar w:fldCharType="begin"/>
      </w:r>
      <w:r w:rsidR="00535EB3">
        <w:instrText xml:space="preserve"> REF _Ref402250610 \h </w:instrText>
      </w:r>
      <w:r w:rsidR="00893E3D">
        <w:fldChar w:fldCharType="separate"/>
      </w:r>
      <w:r w:rsidR="00B2652C" w:rsidRPr="00711A6B">
        <w:t xml:space="preserve">Table </w:t>
      </w:r>
      <w:r w:rsidR="00B2652C">
        <w:rPr>
          <w:noProof/>
        </w:rPr>
        <w:t>2</w:t>
      </w:r>
      <w:r w:rsidR="00B2652C" w:rsidRPr="00F36BD8">
        <w:t>-</w:t>
      </w:r>
      <w:r w:rsidR="00B2652C">
        <w:rPr>
          <w:noProof/>
        </w:rPr>
        <w:t>1</w:t>
      </w:r>
      <w:r w:rsidR="00893E3D">
        <w:fldChar w:fldCharType="end"/>
      </w:r>
      <w:r w:rsidRPr="00440B70">
        <w:t xml:space="preserve">. </w:t>
      </w:r>
      <w:r w:rsidR="00FA219D">
        <w:t>Note that the low income segment is defined as 200% of the poverty level. Assuming 2.5 people per household, this is approximately annual household income of $35,000. The distribution to residential segment is based on the results of the Avista GenPOP survey.</w:t>
      </w:r>
    </w:p>
    <w:p w:rsidR="001752EB" w:rsidRDefault="001752EB">
      <w:pPr>
        <w:rPr>
          <w:spacing w:val="4"/>
          <w:szCs w:val="18"/>
        </w:rPr>
      </w:pPr>
      <w:r>
        <w:br w:type="page"/>
      </w:r>
    </w:p>
    <w:p w:rsidR="00157E2A" w:rsidRPr="00265BD5" w:rsidRDefault="00535EB3" w:rsidP="008D01F0">
      <w:pPr>
        <w:pStyle w:val="FigureorTableTitle"/>
      </w:pPr>
      <w:bookmarkStart w:id="43" w:name="_Ref402250610"/>
      <w:bookmarkStart w:id="44" w:name="_Toc424192753"/>
      <w:bookmarkStart w:id="45" w:name="_Toc341181311"/>
      <w:bookmarkStart w:id="46" w:name="_Toc396755818"/>
      <w:r w:rsidRPr="00711A6B">
        <w:lastRenderedPageBreak/>
        <w:t xml:space="preserve">Table </w:t>
      </w:r>
      <w:r w:rsidR="00893E3D" w:rsidRPr="00F36BD8">
        <w:fldChar w:fldCharType="begin"/>
      </w:r>
      <w:r w:rsidRPr="00F36BD8">
        <w:instrText xml:space="preserve"> STYLEREF  "Heading 1,Chap Num"  \* MERGEFORMAT </w:instrText>
      </w:r>
      <w:r w:rsidR="00893E3D" w:rsidRPr="00F36BD8">
        <w:fldChar w:fldCharType="end"/>
      </w:r>
      <w:r w:rsidR="00512CD6">
        <w:fldChar w:fldCharType="begin"/>
      </w:r>
      <w:r w:rsidR="00512CD6">
        <w:instrText xml:space="preserve"> STYLEREF  "Heading 1,Chap Num" \n  \* MERGEFORMAT </w:instrText>
      </w:r>
      <w:r w:rsidR="00512CD6">
        <w:fldChar w:fldCharType="separate"/>
      </w:r>
      <w:r w:rsidR="00B2652C">
        <w:rPr>
          <w:noProof/>
        </w:rPr>
        <w:t>2</w:t>
      </w:r>
      <w:r w:rsidR="00512CD6">
        <w:rPr>
          <w:noProof/>
        </w:rPr>
        <w:fldChar w:fldCharType="end"/>
      </w:r>
      <w:r w:rsidRPr="00F36BD8">
        <w:t>-</w:t>
      </w:r>
      <w:r w:rsidR="00512CD6">
        <w:fldChar w:fldCharType="begin"/>
      </w:r>
      <w:r w:rsidR="00512CD6">
        <w:instrText xml:space="preserve"> SEQ Table\s 1 \* MERGEFORMAT </w:instrText>
      </w:r>
      <w:r w:rsidR="00512CD6">
        <w:fldChar w:fldCharType="separate"/>
      </w:r>
      <w:r w:rsidR="00B2652C">
        <w:rPr>
          <w:noProof/>
        </w:rPr>
        <w:t>1</w:t>
      </w:r>
      <w:r w:rsidR="00512CD6">
        <w:rPr>
          <w:noProof/>
        </w:rPr>
        <w:fldChar w:fldCharType="end"/>
      </w:r>
      <w:bookmarkEnd w:id="43"/>
      <w:r w:rsidR="00157E2A" w:rsidRPr="00265BD5">
        <w:tab/>
        <w:t xml:space="preserve">Overview of </w:t>
      </w:r>
      <w:r w:rsidR="00F73552">
        <w:t>Avista</w:t>
      </w:r>
      <w:r w:rsidR="00AD1526">
        <w:t xml:space="preserve"> Analysis S</w:t>
      </w:r>
      <w:r w:rsidR="00157E2A" w:rsidRPr="00265BD5">
        <w:t>egmentation Scheme</w:t>
      </w:r>
      <w:bookmarkEnd w:id="44"/>
      <w:r w:rsidR="00157E2A" w:rsidRPr="00265BD5">
        <w:t xml:space="preserve"> </w:t>
      </w:r>
      <w:bookmarkEnd w:id="45"/>
      <w:bookmarkEnd w:id="46"/>
    </w:p>
    <w:tbl>
      <w:tblPr>
        <w:tblW w:w="4875" w:type="pct"/>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1E0" w:firstRow="1" w:lastRow="1" w:firstColumn="1" w:lastColumn="1" w:noHBand="0" w:noVBand="0"/>
      </w:tblPr>
      <w:tblGrid>
        <w:gridCol w:w="1620"/>
        <w:gridCol w:w="2748"/>
        <w:gridCol w:w="4631"/>
      </w:tblGrid>
      <w:tr w:rsidR="00157E2A" w:rsidRPr="0024017D" w:rsidTr="00C63F81">
        <w:trPr>
          <w:trHeight w:val="654"/>
        </w:trPr>
        <w:tc>
          <w:tcPr>
            <w:tcW w:w="900" w:type="pct"/>
            <w:shd w:val="clear" w:color="auto" w:fill="1A1D5D"/>
            <w:tcMar>
              <w:top w:w="29" w:type="dxa"/>
              <w:bottom w:w="29" w:type="dxa"/>
            </w:tcMar>
            <w:vAlign w:val="center"/>
          </w:tcPr>
          <w:p w:rsidR="00157E2A" w:rsidRPr="008D01F0" w:rsidRDefault="00157E2A" w:rsidP="00157E2A">
            <w:pPr>
              <w:pStyle w:val="TableHeadings"/>
              <w:keepNext/>
              <w:rPr>
                <w:b w:val="0"/>
              </w:rPr>
            </w:pPr>
            <w:r w:rsidRPr="008D01F0">
              <w:rPr>
                <w:b w:val="0"/>
              </w:rPr>
              <w:t>Dimension</w:t>
            </w:r>
          </w:p>
        </w:tc>
        <w:tc>
          <w:tcPr>
            <w:tcW w:w="1527" w:type="pct"/>
            <w:shd w:val="clear" w:color="auto" w:fill="1A1D5D"/>
            <w:tcMar>
              <w:top w:w="29" w:type="dxa"/>
              <w:bottom w:w="29" w:type="dxa"/>
            </w:tcMar>
            <w:vAlign w:val="center"/>
          </w:tcPr>
          <w:p w:rsidR="00157E2A" w:rsidRPr="008D01F0" w:rsidRDefault="00157E2A" w:rsidP="00157E2A">
            <w:pPr>
              <w:pStyle w:val="TableHeadings"/>
              <w:keepNext/>
              <w:rPr>
                <w:b w:val="0"/>
              </w:rPr>
            </w:pPr>
            <w:r w:rsidRPr="008D01F0">
              <w:rPr>
                <w:b w:val="0"/>
              </w:rPr>
              <w:t>Segmentation Variable</w:t>
            </w:r>
          </w:p>
        </w:tc>
        <w:tc>
          <w:tcPr>
            <w:tcW w:w="2573" w:type="pct"/>
            <w:shd w:val="clear" w:color="auto" w:fill="1A1D5D"/>
            <w:tcMar>
              <w:top w:w="29" w:type="dxa"/>
              <w:bottom w:w="29" w:type="dxa"/>
            </w:tcMar>
            <w:vAlign w:val="center"/>
          </w:tcPr>
          <w:p w:rsidR="00157E2A" w:rsidRPr="008D01F0" w:rsidRDefault="00157E2A" w:rsidP="00157E2A">
            <w:pPr>
              <w:pStyle w:val="TableHeadings"/>
              <w:keepNext/>
              <w:rPr>
                <w:b w:val="0"/>
              </w:rPr>
            </w:pPr>
            <w:r w:rsidRPr="008D01F0">
              <w:rPr>
                <w:b w:val="0"/>
              </w:rPr>
              <w:t>Description</w:t>
            </w:r>
          </w:p>
        </w:tc>
      </w:tr>
      <w:tr w:rsidR="00157E2A" w:rsidRPr="008F2CE0" w:rsidTr="00157E2A">
        <w:tc>
          <w:tcPr>
            <w:tcW w:w="900" w:type="pct"/>
            <w:tcMar>
              <w:top w:w="29" w:type="dxa"/>
              <w:bottom w:w="29" w:type="dxa"/>
            </w:tcMar>
            <w:vAlign w:val="center"/>
          </w:tcPr>
          <w:p w:rsidR="00157E2A" w:rsidRPr="00ED4B0B" w:rsidRDefault="00157E2A" w:rsidP="00157E2A">
            <w:pPr>
              <w:pStyle w:val="TableText"/>
            </w:pPr>
            <w:r w:rsidRPr="00ED4B0B">
              <w:t>1</w:t>
            </w:r>
          </w:p>
        </w:tc>
        <w:tc>
          <w:tcPr>
            <w:tcW w:w="1527" w:type="pct"/>
            <w:tcMar>
              <w:top w:w="29" w:type="dxa"/>
              <w:bottom w:w="29" w:type="dxa"/>
            </w:tcMar>
            <w:vAlign w:val="center"/>
          </w:tcPr>
          <w:p w:rsidR="00157E2A" w:rsidRPr="00ED4B0B" w:rsidRDefault="00157E2A" w:rsidP="00157E2A">
            <w:pPr>
              <w:pStyle w:val="TableText"/>
              <w:jc w:val="left"/>
            </w:pPr>
            <w:r w:rsidRPr="00ED4B0B">
              <w:t>Sector</w:t>
            </w:r>
          </w:p>
        </w:tc>
        <w:tc>
          <w:tcPr>
            <w:tcW w:w="2573" w:type="pct"/>
            <w:tcMar>
              <w:top w:w="29" w:type="dxa"/>
              <w:bottom w:w="29" w:type="dxa"/>
            </w:tcMar>
            <w:vAlign w:val="center"/>
          </w:tcPr>
          <w:p w:rsidR="00157E2A" w:rsidRPr="00ED4B0B" w:rsidRDefault="00157E2A" w:rsidP="00056B58">
            <w:pPr>
              <w:pStyle w:val="TableText"/>
              <w:jc w:val="left"/>
            </w:pPr>
            <w:r w:rsidRPr="00ED4B0B">
              <w:t>Residential, commercial, industrial</w:t>
            </w:r>
          </w:p>
        </w:tc>
      </w:tr>
      <w:tr w:rsidR="00157E2A" w:rsidRPr="008F2CE0" w:rsidTr="00157E2A">
        <w:tc>
          <w:tcPr>
            <w:tcW w:w="900" w:type="pct"/>
            <w:tcMar>
              <w:top w:w="29" w:type="dxa"/>
              <w:bottom w:w="29" w:type="dxa"/>
            </w:tcMar>
            <w:vAlign w:val="center"/>
          </w:tcPr>
          <w:p w:rsidR="00157E2A" w:rsidRPr="00ED4B0B" w:rsidRDefault="00157E2A" w:rsidP="00157E2A">
            <w:pPr>
              <w:pStyle w:val="TableText"/>
            </w:pPr>
            <w:r w:rsidRPr="00ED4B0B">
              <w:t>2</w:t>
            </w:r>
          </w:p>
        </w:tc>
        <w:tc>
          <w:tcPr>
            <w:tcW w:w="1527" w:type="pct"/>
            <w:tcMar>
              <w:top w:w="29" w:type="dxa"/>
              <w:bottom w:w="29" w:type="dxa"/>
            </w:tcMar>
            <w:vAlign w:val="center"/>
          </w:tcPr>
          <w:p w:rsidR="00157E2A" w:rsidRPr="00ED4B0B" w:rsidRDefault="00157E2A" w:rsidP="00157E2A">
            <w:pPr>
              <w:pStyle w:val="TableText"/>
              <w:jc w:val="left"/>
            </w:pPr>
            <w:r>
              <w:t>Segment</w:t>
            </w:r>
          </w:p>
        </w:tc>
        <w:tc>
          <w:tcPr>
            <w:tcW w:w="2573" w:type="pct"/>
            <w:tcMar>
              <w:top w:w="29" w:type="dxa"/>
              <w:bottom w:w="29" w:type="dxa"/>
            </w:tcMar>
            <w:vAlign w:val="center"/>
          </w:tcPr>
          <w:p w:rsidR="00157E2A" w:rsidRPr="00ED4B0B" w:rsidRDefault="00157E2A" w:rsidP="00157E2A">
            <w:pPr>
              <w:pStyle w:val="TableText"/>
              <w:jc w:val="left"/>
            </w:pPr>
            <w:r w:rsidRPr="001F5029">
              <w:rPr>
                <w:b/>
              </w:rPr>
              <w:t>Residential</w:t>
            </w:r>
            <w:r>
              <w:t xml:space="preserve">: </w:t>
            </w:r>
            <w:r w:rsidRPr="00ED4B0B">
              <w:t>single family, multi family</w:t>
            </w:r>
            <w:r w:rsidR="001752EB">
              <w:t xml:space="preserve">, </w:t>
            </w:r>
            <w:r w:rsidR="00590EBD">
              <w:t>manufactured home</w:t>
            </w:r>
            <w:r w:rsidR="001E57DA">
              <w:t>, low income</w:t>
            </w:r>
          </w:p>
          <w:p w:rsidR="00157E2A" w:rsidRPr="00ED4B0B" w:rsidRDefault="00157E2A" w:rsidP="00157E2A">
            <w:pPr>
              <w:pStyle w:val="TableText"/>
              <w:jc w:val="left"/>
            </w:pPr>
            <w:r w:rsidRPr="001F5029">
              <w:rPr>
                <w:b/>
              </w:rPr>
              <w:t>Commercial</w:t>
            </w:r>
            <w:r>
              <w:t xml:space="preserve">: </w:t>
            </w:r>
            <w:r w:rsidR="00590EBD">
              <w:t>small office, large office, restaurant, retail, grocery, college, school, h</w:t>
            </w:r>
            <w:r w:rsidR="001E57DA">
              <w:t>ealth</w:t>
            </w:r>
            <w:r w:rsidR="00590EBD">
              <w:t>, lodging, warehouse, and miscellaneous</w:t>
            </w:r>
          </w:p>
          <w:p w:rsidR="00A4211D" w:rsidRPr="00ED4B0B" w:rsidRDefault="00157E2A" w:rsidP="001E57DA">
            <w:pPr>
              <w:pStyle w:val="TableText"/>
              <w:jc w:val="left"/>
            </w:pPr>
            <w:r w:rsidRPr="001F5029">
              <w:rPr>
                <w:b/>
              </w:rPr>
              <w:t>Industrial</w:t>
            </w:r>
            <w:r>
              <w:t xml:space="preserve">: </w:t>
            </w:r>
            <w:r w:rsidR="001E57DA">
              <w:t>total</w:t>
            </w:r>
          </w:p>
        </w:tc>
      </w:tr>
      <w:tr w:rsidR="00157E2A" w:rsidRPr="008F2CE0" w:rsidTr="00157E2A">
        <w:tc>
          <w:tcPr>
            <w:tcW w:w="900" w:type="pct"/>
            <w:tcMar>
              <w:top w:w="29" w:type="dxa"/>
              <w:bottom w:w="29" w:type="dxa"/>
            </w:tcMar>
            <w:vAlign w:val="center"/>
          </w:tcPr>
          <w:p w:rsidR="00157E2A" w:rsidRPr="00ED4B0B" w:rsidRDefault="00157E2A" w:rsidP="00157E2A">
            <w:pPr>
              <w:pStyle w:val="TableText"/>
            </w:pPr>
            <w:r w:rsidRPr="00ED4B0B">
              <w:t>3</w:t>
            </w:r>
          </w:p>
        </w:tc>
        <w:tc>
          <w:tcPr>
            <w:tcW w:w="1527" w:type="pct"/>
            <w:tcMar>
              <w:top w:w="29" w:type="dxa"/>
              <w:bottom w:w="29" w:type="dxa"/>
            </w:tcMar>
            <w:vAlign w:val="center"/>
          </w:tcPr>
          <w:p w:rsidR="00157E2A" w:rsidRPr="00ED4B0B" w:rsidRDefault="00157E2A" w:rsidP="00157E2A">
            <w:pPr>
              <w:pStyle w:val="TableText"/>
              <w:jc w:val="left"/>
            </w:pPr>
            <w:r w:rsidRPr="00ED4B0B">
              <w:t>Vintage</w:t>
            </w:r>
          </w:p>
        </w:tc>
        <w:tc>
          <w:tcPr>
            <w:tcW w:w="2573" w:type="pct"/>
            <w:tcMar>
              <w:top w:w="29" w:type="dxa"/>
              <w:bottom w:w="29" w:type="dxa"/>
            </w:tcMar>
            <w:vAlign w:val="center"/>
          </w:tcPr>
          <w:p w:rsidR="00157E2A" w:rsidRPr="00ED4B0B" w:rsidRDefault="00157E2A" w:rsidP="00157E2A">
            <w:pPr>
              <w:pStyle w:val="TableText"/>
              <w:jc w:val="left"/>
            </w:pPr>
            <w:r w:rsidRPr="00ED4B0B">
              <w:t>Existing and new construction</w:t>
            </w:r>
          </w:p>
        </w:tc>
      </w:tr>
      <w:tr w:rsidR="00157E2A" w:rsidRPr="008F2CE0" w:rsidTr="00157E2A">
        <w:tc>
          <w:tcPr>
            <w:tcW w:w="900" w:type="pct"/>
            <w:tcMar>
              <w:top w:w="29" w:type="dxa"/>
              <w:bottom w:w="29" w:type="dxa"/>
            </w:tcMar>
            <w:vAlign w:val="center"/>
          </w:tcPr>
          <w:p w:rsidR="00157E2A" w:rsidRPr="00ED4B0B" w:rsidRDefault="00157E2A" w:rsidP="00157E2A">
            <w:pPr>
              <w:pStyle w:val="TableText"/>
            </w:pPr>
            <w:r>
              <w:t>4</w:t>
            </w:r>
          </w:p>
        </w:tc>
        <w:tc>
          <w:tcPr>
            <w:tcW w:w="1527" w:type="pct"/>
            <w:tcMar>
              <w:top w:w="29" w:type="dxa"/>
              <w:bottom w:w="29" w:type="dxa"/>
            </w:tcMar>
            <w:vAlign w:val="center"/>
          </w:tcPr>
          <w:p w:rsidR="00157E2A" w:rsidRPr="00ED4B0B" w:rsidRDefault="00157E2A" w:rsidP="00157E2A">
            <w:pPr>
              <w:pStyle w:val="TableText"/>
              <w:jc w:val="left"/>
            </w:pPr>
            <w:r w:rsidRPr="00ED4B0B">
              <w:t>End uses</w:t>
            </w:r>
          </w:p>
        </w:tc>
        <w:tc>
          <w:tcPr>
            <w:tcW w:w="2573" w:type="pct"/>
            <w:tcMar>
              <w:top w:w="29" w:type="dxa"/>
              <w:bottom w:w="29" w:type="dxa"/>
            </w:tcMar>
            <w:vAlign w:val="center"/>
          </w:tcPr>
          <w:p w:rsidR="00157E2A" w:rsidRPr="00ED4B0B" w:rsidRDefault="00157E2A" w:rsidP="00157E2A">
            <w:pPr>
              <w:pStyle w:val="TableText"/>
              <w:jc w:val="left"/>
            </w:pPr>
            <w:r w:rsidRPr="00ED4B0B">
              <w:t>Cooling, lighting, water heat, motors, etc. (as appropriate by sector)</w:t>
            </w:r>
          </w:p>
        </w:tc>
      </w:tr>
      <w:tr w:rsidR="00157E2A" w:rsidRPr="008F2CE0" w:rsidTr="00157E2A">
        <w:tc>
          <w:tcPr>
            <w:tcW w:w="900" w:type="pct"/>
            <w:tcMar>
              <w:top w:w="29" w:type="dxa"/>
              <w:bottom w:w="29" w:type="dxa"/>
            </w:tcMar>
            <w:vAlign w:val="center"/>
          </w:tcPr>
          <w:p w:rsidR="00157E2A" w:rsidRPr="00ED4B0B" w:rsidRDefault="00157E2A" w:rsidP="00157E2A">
            <w:pPr>
              <w:pStyle w:val="TableText"/>
            </w:pPr>
            <w:r>
              <w:t>5</w:t>
            </w:r>
          </w:p>
        </w:tc>
        <w:tc>
          <w:tcPr>
            <w:tcW w:w="1527" w:type="pct"/>
            <w:tcMar>
              <w:top w:w="29" w:type="dxa"/>
              <w:bottom w:w="29" w:type="dxa"/>
            </w:tcMar>
            <w:vAlign w:val="center"/>
          </w:tcPr>
          <w:p w:rsidR="00157E2A" w:rsidRPr="00ED4B0B" w:rsidRDefault="00157E2A" w:rsidP="00157E2A">
            <w:pPr>
              <w:pStyle w:val="TableText"/>
              <w:jc w:val="left"/>
            </w:pPr>
            <w:r w:rsidRPr="00ED4B0B">
              <w:t>Appliances/end uses and technologies</w:t>
            </w:r>
          </w:p>
        </w:tc>
        <w:tc>
          <w:tcPr>
            <w:tcW w:w="2573" w:type="pct"/>
            <w:tcMar>
              <w:top w:w="29" w:type="dxa"/>
              <w:bottom w:w="29" w:type="dxa"/>
            </w:tcMar>
            <w:vAlign w:val="center"/>
          </w:tcPr>
          <w:p w:rsidR="00157E2A" w:rsidRPr="00ED4B0B" w:rsidRDefault="00157E2A" w:rsidP="00157E2A">
            <w:pPr>
              <w:pStyle w:val="TableText"/>
              <w:jc w:val="left"/>
            </w:pPr>
            <w:r w:rsidRPr="00ED4B0B">
              <w:t>Technologies such as lamp type, air conditioning equipment, motors by application, etc.</w:t>
            </w:r>
          </w:p>
        </w:tc>
      </w:tr>
      <w:tr w:rsidR="00157E2A" w:rsidRPr="008F2CE0" w:rsidTr="00157E2A">
        <w:tc>
          <w:tcPr>
            <w:tcW w:w="900" w:type="pct"/>
            <w:tcMar>
              <w:top w:w="29" w:type="dxa"/>
              <w:bottom w:w="29" w:type="dxa"/>
            </w:tcMar>
            <w:vAlign w:val="center"/>
          </w:tcPr>
          <w:p w:rsidR="00157E2A" w:rsidRPr="00ED4B0B" w:rsidRDefault="00157E2A" w:rsidP="00157E2A">
            <w:pPr>
              <w:pStyle w:val="TableText"/>
            </w:pPr>
            <w:r>
              <w:t>6</w:t>
            </w:r>
          </w:p>
        </w:tc>
        <w:tc>
          <w:tcPr>
            <w:tcW w:w="1527" w:type="pct"/>
            <w:tcMar>
              <w:top w:w="29" w:type="dxa"/>
              <w:bottom w:w="29" w:type="dxa"/>
            </w:tcMar>
            <w:vAlign w:val="center"/>
          </w:tcPr>
          <w:p w:rsidR="00157E2A" w:rsidRPr="00ED4B0B" w:rsidRDefault="00157E2A" w:rsidP="00157E2A">
            <w:pPr>
              <w:pStyle w:val="TableText"/>
              <w:jc w:val="left"/>
            </w:pPr>
            <w:r w:rsidRPr="00ED4B0B">
              <w:t>Equipment efficiency levels for new purchases</w:t>
            </w:r>
          </w:p>
        </w:tc>
        <w:tc>
          <w:tcPr>
            <w:tcW w:w="2573" w:type="pct"/>
            <w:tcMar>
              <w:top w:w="29" w:type="dxa"/>
              <w:bottom w:w="29" w:type="dxa"/>
            </w:tcMar>
            <w:vAlign w:val="center"/>
          </w:tcPr>
          <w:p w:rsidR="00157E2A" w:rsidRPr="00ED4B0B" w:rsidRDefault="00157E2A" w:rsidP="00157E2A">
            <w:pPr>
              <w:pStyle w:val="TableText"/>
              <w:jc w:val="left"/>
            </w:pPr>
            <w:r w:rsidRPr="00ED4B0B">
              <w:t>Baseline and higher-efficiency options as appropriate for each technology</w:t>
            </w:r>
          </w:p>
        </w:tc>
      </w:tr>
    </w:tbl>
    <w:p w:rsidR="00157E2A" w:rsidRPr="002B6098" w:rsidRDefault="00157E2A" w:rsidP="00157E2A">
      <w:pPr>
        <w:pStyle w:val="BodyText"/>
      </w:pPr>
    </w:p>
    <w:p w:rsidR="00157E2A" w:rsidRDefault="00157E2A" w:rsidP="00157E2A">
      <w:pPr>
        <w:pStyle w:val="BodyText"/>
      </w:pPr>
      <w:r w:rsidRPr="002B6098">
        <w:t xml:space="preserve">With the segmentation scheme defined, we then performed a high-level market characterization of electricity sales in the base year to allocate sales to each customer segment. We used </w:t>
      </w:r>
      <w:r w:rsidR="00F73552">
        <w:t>Avista</w:t>
      </w:r>
      <w:r w:rsidR="00AD1526">
        <w:t xml:space="preserve"> data and secondary sources to allocate energy use and customers </w:t>
      </w:r>
      <w:r>
        <w:t xml:space="preserve">to the various sectors and segments such that the total customer count, energy consumption, and peak demand matched the </w:t>
      </w:r>
      <w:r w:rsidR="00F73552">
        <w:t>Avista</w:t>
      </w:r>
      <w:r>
        <w:t xml:space="preserve"> system totals from 201</w:t>
      </w:r>
      <w:r w:rsidR="00AD1526">
        <w:t xml:space="preserve">3 </w:t>
      </w:r>
      <w:r>
        <w:t>billing data.</w:t>
      </w:r>
      <w:r w:rsidRPr="002B6098">
        <w:t xml:space="preserve"> This information provided control </w:t>
      </w:r>
      <w:r>
        <w:t xml:space="preserve">totals at a sector level </w:t>
      </w:r>
      <w:r w:rsidRPr="002B6098">
        <w:t>for calibrating the LoadMAP model to known data for the base-year</w:t>
      </w:r>
      <w:r>
        <w:t xml:space="preserve">. </w:t>
      </w:r>
      <w:bookmarkStart w:id="47" w:name="_Toc335647149"/>
      <w:bookmarkStart w:id="48" w:name="_Toc341176213"/>
    </w:p>
    <w:p w:rsidR="00157E2A" w:rsidRDefault="00157E2A" w:rsidP="00157E2A">
      <w:pPr>
        <w:pStyle w:val="Heading4"/>
      </w:pPr>
      <w:r>
        <w:t>Market Profiles</w:t>
      </w:r>
      <w:bookmarkEnd w:id="47"/>
      <w:bookmarkEnd w:id="48"/>
    </w:p>
    <w:p w:rsidR="00157E2A" w:rsidRPr="0019453B" w:rsidRDefault="00157E2A" w:rsidP="00157E2A">
      <w:pPr>
        <w:pStyle w:val="BodyText"/>
      </w:pPr>
      <w:r w:rsidRPr="0019453B">
        <w:t>The next step was to develop market profiles for each sector, customer segment, end use</w:t>
      </w:r>
      <w:r>
        <w:t>,</w:t>
      </w:r>
      <w:r w:rsidRPr="0019453B">
        <w:t xml:space="preserve"> and technology. A market profile includes the following elements:</w:t>
      </w:r>
    </w:p>
    <w:p w:rsidR="00157E2A" w:rsidRPr="003831A1" w:rsidRDefault="00157E2A" w:rsidP="00157E2A">
      <w:pPr>
        <w:pStyle w:val="BulletedList0"/>
      </w:pPr>
      <w:r w:rsidRPr="00C9186A">
        <w:rPr>
          <w:rStyle w:val="Emphasis"/>
        </w:rPr>
        <w:t>Market size</w:t>
      </w:r>
      <w:r w:rsidRPr="00964ED5">
        <w:rPr>
          <w:color w:val="C00000"/>
        </w:rPr>
        <w:t xml:space="preserve"> </w:t>
      </w:r>
      <w:r w:rsidRPr="0019453B">
        <w:t xml:space="preserve">is a </w:t>
      </w:r>
      <w:r w:rsidRPr="003831A1">
        <w:t xml:space="preserve">representation of the number of customers in the segment. For the residential sector, it is number of households. In the commercial sector, it is floor space measured in square feet. </w:t>
      </w:r>
      <w:r>
        <w:t xml:space="preserve">For the industrial sector, it is </w:t>
      </w:r>
      <w:r w:rsidR="00CF72C4">
        <w:t>overall electricity use</w:t>
      </w:r>
      <w:r>
        <w:t xml:space="preserve">. </w:t>
      </w:r>
    </w:p>
    <w:p w:rsidR="00157E2A" w:rsidRPr="0019453B" w:rsidRDefault="00157E2A" w:rsidP="00157E2A">
      <w:pPr>
        <w:pStyle w:val="BulletedList0"/>
      </w:pPr>
      <w:r w:rsidRPr="00C9186A">
        <w:rPr>
          <w:rStyle w:val="Emphasis"/>
        </w:rPr>
        <w:t>Saturations</w:t>
      </w:r>
      <w:r w:rsidRPr="00964ED5">
        <w:rPr>
          <w:b/>
          <w:i/>
          <w:color w:val="C00000"/>
        </w:rPr>
        <w:t xml:space="preserve"> </w:t>
      </w:r>
      <w:r w:rsidRPr="0019453B">
        <w:t>define the fractio</w:t>
      </w:r>
      <w:r>
        <w:t xml:space="preserve">n of homes </w:t>
      </w:r>
      <w:r w:rsidR="001F5029">
        <w:t>or</w:t>
      </w:r>
      <w:r>
        <w:t xml:space="preserve"> square feet with the</w:t>
      </w:r>
      <w:r w:rsidRPr="0019453B">
        <w:t xml:space="preserve"> </w:t>
      </w:r>
      <w:r>
        <w:t xml:space="preserve">various </w:t>
      </w:r>
      <w:r w:rsidRPr="0019453B">
        <w:t xml:space="preserve">technologies. (e.g., homes with electric space heating). </w:t>
      </w:r>
    </w:p>
    <w:p w:rsidR="00157E2A" w:rsidRPr="003831A1" w:rsidRDefault="00157E2A" w:rsidP="00157E2A">
      <w:pPr>
        <w:pStyle w:val="BulletedList0"/>
      </w:pPr>
      <w:r w:rsidRPr="00C9186A">
        <w:rPr>
          <w:rStyle w:val="Emphasis"/>
        </w:rPr>
        <w:t>UEC (unit energy consumption) or EUI (energy-use in</w:t>
      </w:r>
      <w:r w:rsidR="00754ED4">
        <w:rPr>
          <w:rStyle w:val="Emphasis"/>
        </w:rPr>
        <w:t>tensity</w:t>
      </w:r>
      <w:r w:rsidRPr="00C9186A">
        <w:rPr>
          <w:rStyle w:val="Emphasis"/>
        </w:rPr>
        <w:t xml:space="preserve">) </w:t>
      </w:r>
      <w:r w:rsidRPr="0019453B">
        <w:t xml:space="preserve">describes the amount of </w:t>
      </w:r>
      <w:r>
        <w:t xml:space="preserve">energy </w:t>
      </w:r>
      <w:r w:rsidRPr="0019453B">
        <w:t xml:space="preserve">consumed in </w:t>
      </w:r>
      <w:r>
        <w:t>201</w:t>
      </w:r>
      <w:r w:rsidR="00AD1526">
        <w:t>3</w:t>
      </w:r>
      <w:r w:rsidRPr="0019453B">
        <w:t xml:space="preserve"> by a specific technology in buildings that have the technology. </w:t>
      </w:r>
      <w:r>
        <w:t xml:space="preserve">For electricity, </w:t>
      </w:r>
      <w:r w:rsidRPr="003831A1">
        <w:t xml:space="preserve">UECs </w:t>
      </w:r>
      <w:r>
        <w:t xml:space="preserve">are </w:t>
      </w:r>
      <w:r w:rsidRPr="003831A1">
        <w:t>expressed in kWh/household</w:t>
      </w:r>
      <w:r>
        <w:t xml:space="preserve"> for the residential sector,</w:t>
      </w:r>
      <w:r w:rsidRPr="003831A1">
        <w:t xml:space="preserve"> </w:t>
      </w:r>
      <w:r>
        <w:t xml:space="preserve">and </w:t>
      </w:r>
      <w:r w:rsidRPr="003831A1">
        <w:t xml:space="preserve">EUIs </w:t>
      </w:r>
      <w:r>
        <w:t xml:space="preserve">are </w:t>
      </w:r>
      <w:r w:rsidRPr="003831A1">
        <w:t>expressed in kWh/square foot</w:t>
      </w:r>
      <w:r>
        <w:t xml:space="preserve"> </w:t>
      </w:r>
      <w:r w:rsidRPr="003831A1">
        <w:t>for the commercial</w:t>
      </w:r>
      <w:r w:rsidR="003D56FB">
        <w:t xml:space="preserve"> sector</w:t>
      </w:r>
      <w:r w:rsidRPr="003831A1">
        <w:t>.</w:t>
      </w:r>
      <w:r>
        <w:t xml:space="preserve"> </w:t>
      </w:r>
    </w:p>
    <w:p w:rsidR="00157E2A" w:rsidRPr="003831A1" w:rsidRDefault="00AD1526" w:rsidP="00157E2A">
      <w:pPr>
        <w:pStyle w:val="BulletedList0"/>
      </w:pPr>
      <w:r>
        <w:rPr>
          <w:rStyle w:val="Emphasis"/>
        </w:rPr>
        <w:t xml:space="preserve">Annual Energy </w:t>
      </w:r>
      <w:r w:rsidR="00157E2A" w:rsidRPr="00C9186A">
        <w:rPr>
          <w:rStyle w:val="Emphasis"/>
        </w:rPr>
        <w:t xml:space="preserve">Intensity </w:t>
      </w:r>
      <w:r w:rsidR="00157E2A" w:rsidRPr="0019453B">
        <w:t xml:space="preserve">for the residential sector represents the average </w:t>
      </w:r>
      <w:r w:rsidR="00157E2A">
        <w:t xml:space="preserve">energy </w:t>
      </w:r>
      <w:r w:rsidR="00157E2A" w:rsidRPr="0019453B">
        <w:t xml:space="preserve">use for the technology across all homes in </w:t>
      </w:r>
      <w:r w:rsidR="00157E2A">
        <w:t>201</w:t>
      </w:r>
      <w:r>
        <w:t>3</w:t>
      </w:r>
      <w:r w:rsidR="00157E2A" w:rsidRPr="0019453B">
        <w:t xml:space="preserve">. It </w:t>
      </w:r>
      <w:r w:rsidR="00157E2A" w:rsidRPr="003831A1">
        <w:t>is computed as the product of the saturation and the UEC and is defined as kWh/household</w:t>
      </w:r>
      <w:r w:rsidR="00157E2A">
        <w:t xml:space="preserve"> for electricity. </w:t>
      </w:r>
      <w:r w:rsidR="00157E2A" w:rsidRPr="003831A1">
        <w:t>For the commercial</w:t>
      </w:r>
      <w:r w:rsidR="00183DFE">
        <w:t xml:space="preserve"> </w:t>
      </w:r>
      <w:r w:rsidR="00157E2A" w:rsidRPr="003831A1">
        <w:t>sector, intensity, computed as the product of the saturation and the EUI, represents the average use for the technology across all floor space</w:t>
      </w:r>
      <w:r w:rsidR="00183DFE">
        <w:t xml:space="preserve"> </w:t>
      </w:r>
      <w:r w:rsidR="00157E2A" w:rsidRPr="003831A1">
        <w:t xml:space="preserve">in </w:t>
      </w:r>
      <w:r w:rsidR="00157E2A">
        <w:t>201</w:t>
      </w:r>
      <w:r w:rsidR="001F5029">
        <w:t>3</w:t>
      </w:r>
      <w:r w:rsidR="00157E2A" w:rsidRPr="003831A1">
        <w:t>.</w:t>
      </w:r>
    </w:p>
    <w:p w:rsidR="00157E2A" w:rsidRDefault="00AD1526" w:rsidP="00157E2A">
      <w:pPr>
        <w:pStyle w:val="BulletedList0"/>
      </w:pPr>
      <w:r>
        <w:rPr>
          <w:rStyle w:val="Emphasis"/>
        </w:rPr>
        <w:t xml:space="preserve">Annual </w:t>
      </w:r>
      <w:r w:rsidR="00157E2A" w:rsidRPr="00C9186A">
        <w:rPr>
          <w:rStyle w:val="Emphasis"/>
        </w:rPr>
        <w:t>Usage</w:t>
      </w:r>
      <w:r w:rsidR="00157E2A" w:rsidRPr="0055174F">
        <w:rPr>
          <w:color w:val="C00000"/>
        </w:rPr>
        <w:t xml:space="preserve"> </w:t>
      </w:r>
      <w:r w:rsidR="00157E2A" w:rsidRPr="0019453B">
        <w:t xml:space="preserve">is the annual </w:t>
      </w:r>
      <w:r w:rsidR="001F5029">
        <w:t>energy use by an end-</w:t>
      </w:r>
      <w:r w:rsidR="00157E2A">
        <w:t xml:space="preserve">use technology </w:t>
      </w:r>
      <w:r w:rsidR="00157E2A" w:rsidRPr="0019453B">
        <w:t xml:space="preserve">in the segment. It is the product of the market size and intensity and is quantified in </w:t>
      </w:r>
      <w:r w:rsidR="00126CA6">
        <w:t>gigawatt-hour (</w:t>
      </w:r>
      <w:r w:rsidR="00157E2A" w:rsidRPr="0019453B">
        <w:t>GWh</w:t>
      </w:r>
      <w:r w:rsidR="00126CA6">
        <w:t>)</w:t>
      </w:r>
      <w:r w:rsidR="00157E2A">
        <w:t>.</w:t>
      </w:r>
      <w:r w:rsidR="00157E2A" w:rsidRPr="0019453B">
        <w:t xml:space="preserve"> </w:t>
      </w:r>
    </w:p>
    <w:p w:rsidR="00AD1526" w:rsidRDefault="00AD1526" w:rsidP="00AD1526">
      <w:pPr>
        <w:pStyle w:val="BulletedList0"/>
      </w:pPr>
      <w:r>
        <w:rPr>
          <w:rStyle w:val="Emphasis"/>
        </w:rPr>
        <w:t>Peak Demand</w:t>
      </w:r>
      <w:r>
        <w:rPr>
          <w:rStyle w:val="BulletedListCharChar"/>
        </w:rPr>
        <w:t xml:space="preserve"> for each technology</w:t>
      </w:r>
      <w:r w:rsidR="001F5029">
        <w:rPr>
          <w:rStyle w:val="BulletedListCharChar"/>
        </w:rPr>
        <w:t>,</w:t>
      </w:r>
      <w:r>
        <w:rPr>
          <w:rStyle w:val="BulletedListCharChar"/>
        </w:rPr>
        <w:t xml:space="preserve"> summer peak and winter peak are calculated using peak fractions of annual energy use from AEG’s EnergyShape library and </w:t>
      </w:r>
      <w:r w:rsidR="00183DFE">
        <w:rPr>
          <w:rStyle w:val="BulletedListCharChar"/>
        </w:rPr>
        <w:t>Avista</w:t>
      </w:r>
      <w:r>
        <w:rPr>
          <w:rStyle w:val="BulletedListCharChar"/>
        </w:rPr>
        <w:t xml:space="preserve"> system peak data. </w:t>
      </w:r>
    </w:p>
    <w:p w:rsidR="00157E2A" w:rsidRDefault="00157E2A" w:rsidP="00157E2A">
      <w:pPr>
        <w:pStyle w:val="BulletedList0"/>
        <w:numPr>
          <w:ilvl w:val="0"/>
          <w:numId w:val="0"/>
        </w:numPr>
      </w:pPr>
      <w:r w:rsidRPr="0019453B">
        <w:t xml:space="preserve">The market </w:t>
      </w:r>
      <w:r>
        <w:t xml:space="preserve">characterization </w:t>
      </w:r>
      <w:r w:rsidRPr="0019453B">
        <w:t>results and the market profiles are presented in Chapter 3.</w:t>
      </w:r>
    </w:p>
    <w:p w:rsidR="00157E2A" w:rsidRPr="001D62BB" w:rsidRDefault="00157E2A" w:rsidP="00BD0E72">
      <w:pPr>
        <w:pStyle w:val="Heading3"/>
      </w:pPr>
      <w:bookmarkStart w:id="49" w:name="_Toc297120470"/>
      <w:bookmarkStart w:id="50" w:name="_Toc314728396"/>
      <w:bookmarkStart w:id="51" w:name="_Toc357173464"/>
      <w:bookmarkStart w:id="52" w:name="_Toc401046336"/>
      <w:bookmarkStart w:id="53" w:name="_Toc424192613"/>
      <w:r w:rsidRPr="001D62BB">
        <w:lastRenderedPageBreak/>
        <w:t xml:space="preserve">Baseline </w:t>
      </w:r>
      <w:r>
        <w:t>Projection</w:t>
      </w:r>
      <w:bookmarkEnd w:id="49"/>
      <w:bookmarkEnd w:id="50"/>
      <w:bookmarkEnd w:id="51"/>
      <w:bookmarkEnd w:id="52"/>
      <w:bookmarkEnd w:id="53"/>
    </w:p>
    <w:p w:rsidR="00157E2A" w:rsidRPr="00244A3E" w:rsidRDefault="00157E2A" w:rsidP="00157E2A">
      <w:pPr>
        <w:pStyle w:val="BodyText"/>
      </w:pPr>
      <w:r w:rsidRPr="00244A3E">
        <w:t xml:space="preserve">The next step was to develop the baseline </w:t>
      </w:r>
      <w:r>
        <w:t xml:space="preserve">projection of annual electricity use </w:t>
      </w:r>
      <w:r w:rsidR="00AD1526">
        <w:t xml:space="preserve">and summer peak demand </w:t>
      </w:r>
      <w:r w:rsidRPr="00244A3E">
        <w:t xml:space="preserve">for </w:t>
      </w:r>
      <w:r>
        <w:t>201</w:t>
      </w:r>
      <w:r w:rsidR="00AD1526">
        <w:t>3</w:t>
      </w:r>
      <w:r w:rsidRPr="00244A3E">
        <w:t xml:space="preserve"> through </w:t>
      </w:r>
      <w:r>
        <w:t>203</w:t>
      </w:r>
      <w:r w:rsidR="001F5029">
        <w:t>4</w:t>
      </w:r>
      <w:r w:rsidRPr="00244A3E">
        <w:t xml:space="preserve"> by customer segment and end use without new utility programs. The end-use </w:t>
      </w:r>
      <w:r>
        <w:t>projection</w:t>
      </w:r>
      <w:r w:rsidRPr="00244A3E">
        <w:t xml:space="preserve"> include</w:t>
      </w:r>
      <w:r>
        <w:t>s</w:t>
      </w:r>
      <w:r w:rsidRPr="00244A3E">
        <w:t xml:space="preserve"> the relatively certain impacts of codes and standards that will unfold over the study timeframe. All such mandates that were defined as of </w:t>
      </w:r>
      <w:r>
        <w:t>December 2013</w:t>
      </w:r>
      <w:r w:rsidRPr="00244A3E">
        <w:t xml:space="preserve"> are included in the baseline. The baseline </w:t>
      </w:r>
      <w:r>
        <w:t>projection</w:t>
      </w:r>
      <w:r w:rsidRPr="00244A3E">
        <w:t xml:space="preserve"> is the foundation for the analysis of savings from future </w:t>
      </w:r>
      <w:r w:rsidR="00F37D53">
        <w:t>conservation</w:t>
      </w:r>
      <w:r w:rsidRPr="00244A3E">
        <w:t xml:space="preserve"> efforts as well as the metric against which potential savings are measured.</w:t>
      </w:r>
    </w:p>
    <w:p w:rsidR="00157E2A" w:rsidRPr="00244A3E" w:rsidRDefault="00157E2A" w:rsidP="00157E2A">
      <w:pPr>
        <w:pStyle w:val="BodyText"/>
      </w:pPr>
      <w:r w:rsidRPr="00244A3E">
        <w:t xml:space="preserve">Inputs to the baseline </w:t>
      </w:r>
      <w:r>
        <w:t>projection</w:t>
      </w:r>
      <w:r w:rsidRPr="00244A3E">
        <w:t xml:space="preserve"> include:</w:t>
      </w:r>
    </w:p>
    <w:p w:rsidR="00157E2A" w:rsidRPr="00244A3E" w:rsidRDefault="00157E2A" w:rsidP="00157E2A">
      <w:pPr>
        <w:pStyle w:val="BulletedList0"/>
      </w:pPr>
      <w:r w:rsidRPr="00244A3E">
        <w:t xml:space="preserve">Current economic growth forecasts (i.e., </w:t>
      </w:r>
      <w:r>
        <w:t>customer growth, income growth</w:t>
      </w:r>
      <w:r w:rsidRPr="00244A3E">
        <w:t>)</w:t>
      </w:r>
    </w:p>
    <w:p w:rsidR="00157E2A" w:rsidRPr="00244A3E" w:rsidRDefault="00157E2A" w:rsidP="00157E2A">
      <w:pPr>
        <w:pStyle w:val="BulletedList0"/>
      </w:pPr>
      <w:r w:rsidRPr="00244A3E">
        <w:t>Electricity price forecasts</w:t>
      </w:r>
    </w:p>
    <w:p w:rsidR="00157E2A" w:rsidRPr="00244A3E" w:rsidRDefault="00157E2A" w:rsidP="00157E2A">
      <w:pPr>
        <w:pStyle w:val="BulletedList0"/>
      </w:pPr>
      <w:r w:rsidRPr="00244A3E">
        <w:t xml:space="preserve">Trends in fuel shares and equipment saturations </w:t>
      </w:r>
    </w:p>
    <w:p w:rsidR="00157E2A" w:rsidRDefault="00157E2A" w:rsidP="00157E2A">
      <w:pPr>
        <w:pStyle w:val="BulletedList0"/>
      </w:pPr>
      <w:r w:rsidRPr="00244A3E">
        <w:t xml:space="preserve">Existing and approved changes to building codes and </w:t>
      </w:r>
      <w:r>
        <w:t xml:space="preserve">equipment </w:t>
      </w:r>
      <w:r w:rsidRPr="00244A3E">
        <w:t>standards</w:t>
      </w:r>
    </w:p>
    <w:p w:rsidR="001F5029" w:rsidRDefault="000645B9" w:rsidP="001F5029">
      <w:pPr>
        <w:pStyle w:val="BulletedList0"/>
      </w:pPr>
      <w:r>
        <w:t>Avista</w:t>
      </w:r>
      <w:r w:rsidR="001F5029">
        <w:t>’s internally developed sector-level projections for electricity sales</w:t>
      </w:r>
    </w:p>
    <w:p w:rsidR="00AD1526" w:rsidRDefault="00AD1526" w:rsidP="00157E2A">
      <w:pPr>
        <w:pStyle w:val="BodyText"/>
      </w:pPr>
      <w:r>
        <w:t>We also developed a baseline projection for summer and winter peak by applying the peak fractions from the energy market profiles to the annual energy forecast in each year.</w:t>
      </w:r>
    </w:p>
    <w:p w:rsidR="00157E2A" w:rsidRPr="00244A3E" w:rsidRDefault="00157E2A" w:rsidP="00157E2A">
      <w:pPr>
        <w:pStyle w:val="BodyText"/>
      </w:pPr>
      <w:r w:rsidRPr="00244A3E">
        <w:t xml:space="preserve">We present the </w:t>
      </w:r>
      <w:r>
        <w:t xml:space="preserve">baseline-projection </w:t>
      </w:r>
      <w:r w:rsidRPr="00244A3E">
        <w:t>results</w:t>
      </w:r>
      <w:r>
        <w:t xml:space="preserve"> for the system as a whole and for each sector </w:t>
      </w:r>
      <w:r w:rsidRPr="00244A3E">
        <w:t>in Chapter 4.</w:t>
      </w:r>
    </w:p>
    <w:p w:rsidR="00157E2A" w:rsidRPr="001D62BB" w:rsidRDefault="000645B9" w:rsidP="00BD0E72">
      <w:pPr>
        <w:pStyle w:val="Heading3"/>
      </w:pPr>
      <w:bookmarkStart w:id="54" w:name="_Toc297120471"/>
      <w:bookmarkStart w:id="55" w:name="_Toc314728397"/>
      <w:bookmarkStart w:id="56" w:name="_Toc335647151"/>
      <w:bookmarkStart w:id="57" w:name="_Toc341176215"/>
      <w:bookmarkStart w:id="58" w:name="_Toc401046337"/>
      <w:bookmarkStart w:id="59" w:name="_Toc424192614"/>
      <w:r>
        <w:t xml:space="preserve">Conservation </w:t>
      </w:r>
      <w:r w:rsidR="00157E2A" w:rsidRPr="001D62BB">
        <w:t>Measure Analysis</w:t>
      </w:r>
      <w:bookmarkEnd w:id="54"/>
      <w:bookmarkEnd w:id="55"/>
      <w:bookmarkEnd w:id="56"/>
      <w:bookmarkEnd w:id="57"/>
      <w:bookmarkEnd w:id="58"/>
      <w:bookmarkEnd w:id="59"/>
    </w:p>
    <w:p w:rsidR="00AD1526" w:rsidRDefault="00157E2A" w:rsidP="00157E2A">
      <w:pPr>
        <w:pStyle w:val="BodyText"/>
      </w:pPr>
      <w:r w:rsidRPr="00244A3E">
        <w:t xml:space="preserve">This section describes the framework used to assess the savings, costs, and other attributes of </w:t>
      </w:r>
      <w:r w:rsidR="000645B9">
        <w:t>conservation</w:t>
      </w:r>
      <w:r w:rsidRPr="00244A3E">
        <w:t xml:space="preserve"> measures. These characteristics form the basis for measure-level cost-effectiveness analyses as well as for determining measure-level savings. For all measures, </w:t>
      </w:r>
      <w:r w:rsidR="00C92294">
        <w:t>AEG</w:t>
      </w:r>
      <w:r w:rsidRPr="00244A3E">
        <w:t xml:space="preserve"> assembled information to reflect equipment performance, incremental costs, and equipment lifetimes. We used this information, along with </w:t>
      </w:r>
      <w:r w:rsidR="00D64079">
        <w:t>Avista</w:t>
      </w:r>
      <w:r w:rsidR="001F5029">
        <w:t>’s</w:t>
      </w:r>
      <w:r w:rsidRPr="00244A3E">
        <w:t xml:space="preserve"> avoided costs</w:t>
      </w:r>
      <w:r>
        <w:t xml:space="preserve"> data</w:t>
      </w:r>
      <w:r w:rsidRPr="00244A3E">
        <w:t xml:space="preserve">, in the economic screen to determine economically feasible measures. </w:t>
      </w:r>
    </w:p>
    <w:p w:rsidR="00AD1526" w:rsidRDefault="000645B9" w:rsidP="00AD1526">
      <w:pPr>
        <w:pStyle w:val="Heading4"/>
      </w:pPr>
      <w:r>
        <w:t>Conservation</w:t>
      </w:r>
      <w:r w:rsidR="00AD1526">
        <w:t xml:space="preserve"> Measures </w:t>
      </w:r>
    </w:p>
    <w:p w:rsidR="00544B36" w:rsidRDefault="00893E3D" w:rsidP="00544B36">
      <w:pPr>
        <w:pStyle w:val="BodyText"/>
      </w:pPr>
      <w:r>
        <w:fldChar w:fldCharType="begin"/>
      </w:r>
      <w:r w:rsidR="005B52EC">
        <w:instrText xml:space="preserve"> REF _Ref337024134 \h </w:instrText>
      </w:r>
      <w:r>
        <w:fldChar w:fldCharType="separate"/>
      </w:r>
      <w:r w:rsidR="00B2652C" w:rsidRPr="00F75EB3">
        <w:t xml:space="preserve">Figure </w:t>
      </w:r>
      <w:r w:rsidR="00B2652C">
        <w:rPr>
          <w:noProof/>
        </w:rPr>
        <w:t>2</w:t>
      </w:r>
      <w:r w:rsidR="00B2652C" w:rsidRPr="00F75EB3">
        <w:t>-</w:t>
      </w:r>
      <w:r w:rsidR="00B2652C">
        <w:rPr>
          <w:noProof/>
        </w:rPr>
        <w:t>2</w:t>
      </w:r>
      <w:r>
        <w:fldChar w:fldCharType="end"/>
      </w:r>
      <w:r w:rsidR="005B52EC">
        <w:t xml:space="preserve"> </w:t>
      </w:r>
      <w:r w:rsidR="00157E2A" w:rsidRPr="00244A3E">
        <w:t xml:space="preserve">outlines the framework for </w:t>
      </w:r>
      <w:r w:rsidR="003A7F74">
        <w:t>conservation</w:t>
      </w:r>
      <w:r w:rsidR="00AD1526">
        <w:t xml:space="preserve"> </w:t>
      </w:r>
      <w:r w:rsidR="00157E2A" w:rsidRPr="00244A3E">
        <w:t>measure analysis.</w:t>
      </w:r>
      <w:r w:rsidR="00AD1526" w:rsidRPr="00AD1526">
        <w:t xml:space="preserve"> </w:t>
      </w:r>
      <w:r w:rsidR="00544B36">
        <w:t xml:space="preserve">The framework for assessing savings, costs, and other attributes of </w:t>
      </w:r>
      <w:r w:rsidR="003A7F74">
        <w:t>conservation</w:t>
      </w:r>
      <w:r w:rsidR="00544B36">
        <w:t xml:space="preserve"> measures involves identifying the list of measures to include in the analysis, determining their applicability to each market sector and segment, fully characterizing each measure, and performing cost-effectiveness screening. Potential measures include the replacement of a unit that has failed or is at the end of its useful life with an efficient unit, retrofit</w:t>
      </w:r>
      <w:r w:rsidR="0017103B">
        <w:t xml:space="preserve"> or </w:t>
      </w:r>
      <w:r w:rsidR="00544B36">
        <w:t>early replacement of equipment, improvements to the building envelope, the application of controls to optimize energy use, and other actions resulting in improved energy efficiency.</w:t>
      </w:r>
    </w:p>
    <w:p w:rsidR="00544B36" w:rsidRDefault="00544B36" w:rsidP="00544B36">
      <w:pPr>
        <w:pStyle w:val="BodyText"/>
      </w:pPr>
      <w:r>
        <w:t xml:space="preserve">We compiled a robust list of </w:t>
      </w:r>
      <w:r w:rsidR="003A7F74">
        <w:t>conservation</w:t>
      </w:r>
      <w:r>
        <w:t xml:space="preserve"> measures for each customer sector, </w:t>
      </w:r>
      <w:r w:rsidRPr="0012078F">
        <w:t xml:space="preserve">drawing upon </w:t>
      </w:r>
      <w:r w:rsidR="003A6C57">
        <w:t>Avista</w:t>
      </w:r>
      <w:r>
        <w:t xml:space="preserve">’s measure database, </w:t>
      </w:r>
      <w:r w:rsidRPr="0012078F">
        <w:t>and the Regional Technical Forum (RTF)</w:t>
      </w:r>
      <w:r>
        <w:t xml:space="preserve"> deemed measures databases, as well as a variety of secondary sources. This universal list of </w:t>
      </w:r>
      <w:r w:rsidR="003A7F74">
        <w:t>conservation</w:t>
      </w:r>
      <w:r>
        <w:t xml:space="preserve"> measures covers all major types of end-use equipment, as well as devices and actions to reduce energy consumption. If considered today, some of these measures would not pass the economic screens initially, but may pass in future years as a result of lower projected equipment costs or higher avoided costs.</w:t>
      </w:r>
    </w:p>
    <w:p w:rsidR="00157E2A" w:rsidRPr="00244A3E" w:rsidRDefault="00157E2A" w:rsidP="00157E2A">
      <w:pPr>
        <w:pStyle w:val="BodyText"/>
      </w:pPr>
    </w:p>
    <w:p w:rsidR="00157E2A" w:rsidRPr="009D100B" w:rsidRDefault="00157E2A" w:rsidP="008D01F0">
      <w:pPr>
        <w:pStyle w:val="FigureorTableTitle"/>
      </w:pPr>
      <w:bookmarkStart w:id="60" w:name="_Ref337024134"/>
      <w:bookmarkStart w:id="61" w:name="_Ref337024110"/>
      <w:bookmarkStart w:id="62" w:name="_Toc341180507"/>
      <w:bookmarkStart w:id="63" w:name="_Toc387951588"/>
      <w:bookmarkStart w:id="64" w:name="_Toc424192700"/>
      <w:r w:rsidRPr="00F75EB3">
        <w:lastRenderedPageBreak/>
        <w:t xml:space="preserve">Figure </w:t>
      </w:r>
      <w:r w:rsidR="00512CD6">
        <w:fldChar w:fldCharType="begin"/>
      </w:r>
      <w:r w:rsidR="00512CD6">
        <w:instrText xml:space="preserve"> STYLEREF  "Heading 1,Chap Num" \n  \* MERGEFORMAT </w:instrText>
      </w:r>
      <w:r w:rsidR="00512CD6">
        <w:fldChar w:fldCharType="separate"/>
      </w:r>
      <w:r w:rsidR="00B2652C">
        <w:rPr>
          <w:noProof/>
        </w:rPr>
        <w:t>2</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2</w:t>
      </w:r>
      <w:r w:rsidR="00512CD6">
        <w:rPr>
          <w:noProof/>
        </w:rPr>
        <w:fldChar w:fldCharType="end"/>
      </w:r>
      <w:bookmarkEnd w:id="60"/>
      <w:r w:rsidRPr="00F75EB3">
        <w:tab/>
      </w:r>
      <w:r w:rsidRPr="001D62BB">
        <w:rPr>
          <w:color w:val="000000"/>
        </w:rPr>
        <w:t xml:space="preserve">Approach for </w:t>
      </w:r>
      <w:r w:rsidR="000645B9">
        <w:rPr>
          <w:color w:val="000000"/>
        </w:rPr>
        <w:t>Conservation</w:t>
      </w:r>
      <w:r w:rsidR="00AD1526">
        <w:rPr>
          <w:color w:val="000000"/>
        </w:rPr>
        <w:t xml:space="preserve"> </w:t>
      </w:r>
      <w:r w:rsidRPr="001D62BB">
        <w:rPr>
          <w:color w:val="000000"/>
        </w:rPr>
        <w:t>Measure Assessment</w:t>
      </w:r>
      <w:bookmarkEnd w:id="61"/>
      <w:bookmarkEnd w:id="62"/>
      <w:bookmarkEnd w:id="63"/>
      <w:bookmarkEnd w:id="64"/>
    </w:p>
    <w:p w:rsidR="00223CE2" w:rsidRDefault="00223CE2" w:rsidP="00157E2A">
      <w:pPr>
        <w:pStyle w:val="BodyText"/>
      </w:pPr>
      <w:r w:rsidRPr="005A259E">
        <w:rPr>
          <w:noProof/>
        </w:rPr>
        <w:drawing>
          <wp:inline distT="0" distB="0" distL="0" distR="0">
            <wp:extent cx="5638800" cy="3861724"/>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0634" cy="3862980"/>
                    </a:xfrm>
                    <a:prstGeom prst="rect">
                      <a:avLst/>
                    </a:prstGeom>
                    <a:noFill/>
                    <a:ln>
                      <a:noFill/>
                    </a:ln>
                  </pic:spPr>
                </pic:pic>
              </a:graphicData>
            </a:graphic>
          </wp:inline>
        </w:drawing>
      </w:r>
    </w:p>
    <w:p w:rsidR="00223CE2" w:rsidRDefault="00223CE2" w:rsidP="00157E2A">
      <w:pPr>
        <w:pStyle w:val="BodyText"/>
      </w:pPr>
    </w:p>
    <w:p w:rsidR="00157E2A" w:rsidRPr="00532057" w:rsidRDefault="00157E2A" w:rsidP="00157E2A">
      <w:pPr>
        <w:pStyle w:val="BodyText"/>
      </w:pPr>
      <w:r w:rsidRPr="00532057">
        <w:t>The selected measures are categorized into two types</w:t>
      </w:r>
      <w:r w:rsidRPr="00CA0D29">
        <w:t xml:space="preserve"> </w:t>
      </w:r>
      <w:r w:rsidRPr="00532057">
        <w:t>according to the LoadMAP taxonomy: equipment measures and non-equipment measures</w:t>
      </w:r>
      <w:r>
        <w:t>.</w:t>
      </w:r>
      <w:r w:rsidRPr="00532057">
        <w:t xml:space="preserve"> </w:t>
      </w:r>
    </w:p>
    <w:p w:rsidR="00157E2A" w:rsidRDefault="00157E2A" w:rsidP="00157E2A">
      <w:pPr>
        <w:pStyle w:val="BulletedList0"/>
        <w:tabs>
          <w:tab w:val="clear" w:pos="360"/>
        </w:tabs>
      </w:pPr>
      <w:r w:rsidRPr="001D4472">
        <w:rPr>
          <w:rStyle w:val="Emphasis"/>
        </w:rPr>
        <w:t>Equipment measures</w:t>
      </w:r>
      <w:r>
        <w:t xml:space="preserve"> </w:t>
      </w:r>
      <w:r w:rsidRPr="00CA0D29">
        <w:t>are efficient energy-consuming pieces of equipment that save energy by providing the same service with a lower energy requirement than a standard unit. An example is an ENERGY STAR refrigerator that replaces a standard efficiency refrigerator. For equipment measures, many efficiency levels may be available for a given technology, ranging from the baseline unit (often determined by code or standard) up to the most efficient product commercially available. For instance, in the case of central air conditioners, this list begins with the current federal standard SEER 13 unit and spans a broad spectrum up to a maximum efficiency of a SEER 2</w:t>
      </w:r>
      <w:r>
        <w:t>4</w:t>
      </w:r>
      <w:r w:rsidRPr="00CA0D29">
        <w:t xml:space="preserve"> unit.</w:t>
      </w:r>
    </w:p>
    <w:p w:rsidR="00157E2A" w:rsidRDefault="00157E2A" w:rsidP="00157E2A">
      <w:pPr>
        <w:pStyle w:val="BulletedList0"/>
        <w:tabs>
          <w:tab w:val="clear" w:pos="360"/>
        </w:tabs>
      </w:pPr>
      <w:r w:rsidRPr="001D4472">
        <w:rPr>
          <w:rStyle w:val="Emphasis"/>
        </w:rPr>
        <w:t>Non-equipment measures</w:t>
      </w:r>
      <w:r>
        <w:t xml:space="preserve"> save energy by reducing the need for delivered energy, but do not involve replacement or purchase of major end-use equipment (such as a refrigerator or air conditioner). An example would be a programmable thermostat that is pre-set to run heating and cooling systems only when people are home. Non-equipment measures can apply to more than one end use. For instance, addition of wall insulation will affect the energy use of both space heating and cooling.</w:t>
      </w:r>
      <w:r w:rsidRPr="00D17067">
        <w:t xml:space="preserve"> Non</w:t>
      </w:r>
      <w:r w:rsidRPr="00266DA4">
        <w:t>-</w:t>
      </w:r>
      <w:r>
        <w:t>e</w:t>
      </w:r>
      <w:r w:rsidRPr="00266DA4">
        <w:t xml:space="preserve">quipment </w:t>
      </w:r>
      <w:r>
        <w:t>m</w:t>
      </w:r>
      <w:r w:rsidRPr="00266DA4">
        <w:t>easures</w:t>
      </w:r>
      <w:r>
        <w:t xml:space="preserve"> typically fall into one of the following categories: </w:t>
      </w:r>
    </w:p>
    <w:p w:rsidR="00157E2A" w:rsidRPr="008B05D0" w:rsidRDefault="00157E2A" w:rsidP="00157E2A">
      <w:pPr>
        <w:pStyle w:val="BulletedListIndent"/>
      </w:pPr>
      <w:r w:rsidRPr="008B05D0">
        <w:t>Building shell (windows, insulation, roofing material)</w:t>
      </w:r>
    </w:p>
    <w:p w:rsidR="00157E2A" w:rsidRPr="008B05D0" w:rsidRDefault="00157E2A" w:rsidP="00157E2A">
      <w:pPr>
        <w:pStyle w:val="BulletedListIndent"/>
      </w:pPr>
      <w:r w:rsidRPr="008B05D0">
        <w:t>Equipment controls (thermostat, energy management system)</w:t>
      </w:r>
    </w:p>
    <w:p w:rsidR="00157E2A" w:rsidRPr="008B05D0" w:rsidRDefault="00157E2A" w:rsidP="00157E2A">
      <w:pPr>
        <w:pStyle w:val="BulletedListIndent"/>
      </w:pPr>
      <w:r w:rsidRPr="008B05D0">
        <w:t>Equipment maintenance (cleaning filters, changing setpoints)</w:t>
      </w:r>
    </w:p>
    <w:p w:rsidR="00157E2A" w:rsidRPr="008B05D0" w:rsidRDefault="00157E2A" w:rsidP="00157E2A">
      <w:pPr>
        <w:pStyle w:val="BulletedListIndent"/>
      </w:pPr>
      <w:r w:rsidRPr="008B05D0">
        <w:t>Whole-building design (building orientation, passive solar lighting)</w:t>
      </w:r>
    </w:p>
    <w:p w:rsidR="00157E2A" w:rsidRPr="008B05D0" w:rsidRDefault="00157E2A" w:rsidP="00157E2A">
      <w:pPr>
        <w:pStyle w:val="BulletedListIndent"/>
      </w:pPr>
      <w:r w:rsidRPr="008B05D0">
        <w:t>Lighting retrofits (included as a non-equipment measure because retrofits are performed prior to the equipment’s normal end of life)</w:t>
      </w:r>
    </w:p>
    <w:p w:rsidR="00157E2A" w:rsidRPr="008B05D0" w:rsidRDefault="00157E2A" w:rsidP="00157E2A">
      <w:pPr>
        <w:pStyle w:val="BulletedListIndent"/>
      </w:pPr>
      <w:r w:rsidRPr="008B05D0">
        <w:lastRenderedPageBreak/>
        <w:t>Displacement measures (ceiling fan to reduce use of central air conditioners)</w:t>
      </w:r>
    </w:p>
    <w:p w:rsidR="00157E2A" w:rsidRPr="005D0920" w:rsidRDefault="00157E2A" w:rsidP="00157E2A">
      <w:pPr>
        <w:pStyle w:val="BulletedListIndent"/>
      </w:pPr>
      <w:r w:rsidRPr="008B05D0">
        <w:t>Commissioning</w:t>
      </w:r>
      <w:r w:rsidRPr="005D0920">
        <w:t xml:space="preserve"> and retro</w:t>
      </w:r>
      <w:r w:rsidR="00801E8D">
        <w:t xml:space="preserve"> </w:t>
      </w:r>
      <w:r w:rsidRPr="005D0920">
        <w:t>commissioning</w:t>
      </w:r>
      <w:r>
        <w:t xml:space="preserve"> (i</w:t>
      </w:r>
      <w:r w:rsidRPr="00640870">
        <w:t xml:space="preserve">nitial or ongoing monitoring of </w:t>
      </w:r>
      <w:r>
        <w:t xml:space="preserve">building </w:t>
      </w:r>
      <w:r w:rsidRPr="00640870">
        <w:t>energy systems to optimize energy use</w:t>
      </w:r>
      <w:r>
        <w:t>)</w:t>
      </w:r>
    </w:p>
    <w:p w:rsidR="00157E2A" w:rsidRPr="004C4F46" w:rsidRDefault="00157E2A" w:rsidP="00157E2A">
      <w:pPr>
        <w:pStyle w:val="BodyText"/>
      </w:pPr>
      <w:r w:rsidRPr="004C4F46">
        <w:t xml:space="preserve">We developed a preliminary list of </w:t>
      </w:r>
      <w:r w:rsidR="003A7F74">
        <w:t>conservation</w:t>
      </w:r>
      <w:r w:rsidRPr="004C4F46">
        <w:t xml:space="preserve"> measures</w:t>
      </w:r>
      <w:r>
        <w:t xml:space="preserve">, which was distributed to the </w:t>
      </w:r>
      <w:r w:rsidR="003A6C57">
        <w:t>Avista</w:t>
      </w:r>
      <w:r>
        <w:t xml:space="preserve"> project team for review. </w:t>
      </w:r>
      <w:r w:rsidRPr="004C4F46">
        <w:t xml:space="preserve">The list </w:t>
      </w:r>
      <w:r>
        <w:t xml:space="preserve">was finalized after incorporating comments and is presented in the appendix to this volume. </w:t>
      </w:r>
    </w:p>
    <w:p w:rsidR="00157E2A" w:rsidRPr="004C4F46" w:rsidRDefault="00157E2A" w:rsidP="00157E2A">
      <w:pPr>
        <w:pStyle w:val="BodyText"/>
      </w:pPr>
      <w:r w:rsidRPr="004C4F46">
        <w:t xml:space="preserve">Once we assembled the list of </w:t>
      </w:r>
      <w:r w:rsidR="003A7F74">
        <w:t>conservation</w:t>
      </w:r>
      <w:r w:rsidRPr="004C4F46">
        <w:t xml:space="preserve"> measures, the project team characterized </w:t>
      </w:r>
      <w:r w:rsidR="009B396D">
        <w:t xml:space="preserve">measure savings, </w:t>
      </w:r>
      <w:r w:rsidRPr="004C4F46">
        <w:t>incremental cost, service life, and other performance factors</w:t>
      </w:r>
      <w:r w:rsidR="00544B36">
        <w:t xml:space="preserve">, drawing upon data from the </w:t>
      </w:r>
      <w:r w:rsidR="003A6C57">
        <w:t>Avista</w:t>
      </w:r>
      <w:r w:rsidR="00544B36">
        <w:t xml:space="preserve"> measure database, the RTF deemed measure workbooks, and simulation modeling</w:t>
      </w:r>
      <w:r w:rsidRPr="004C4F46">
        <w:t xml:space="preserve">. Following the measure characterization, we performed an economic screening of each measure, which serves as the basis for developing the economic </w:t>
      </w:r>
      <w:r>
        <w:t xml:space="preserve">and achievable </w:t>
      </w:r>
      <w:r w:rsidRPr="004C4F46">
        <w:t xml:space="preserve">potential. </w:t>
      </w:r>
    </w:p>
    <w:p w:rsidR="00157E2A" w:rsidRPr="002A3EBD" w:rsidRDefault="00157E2A" w:rsidP="00AD1526">
      <w:pPr>
        <w:pStyle w:val="Heading5"/>
      </w:pPr>
      <w:r w:rsidRPr="002A3EBD">
        <w:t>Representative</w:t>
      </w:r>
      <w:r w:rsidR="00B26E46">
        <w:t xml:space="preserve"> </w:t>
      </w:r>
      <w:r w:rsidR="003A7F74">
        <w:t>Conservation</w:t>
      </w:r>
      <w:r w:rsidRPr="002A3EBD">
        <w:t xml:space="preserve"> Measure Data Inputs</w:t>
      </w:r>
    </w:p>
    <w:p w:rsidR="00157E2A" w:rsidRPr="002A3EBD" w:rsidRDefault="00157E2A" w:rsidP="00157E2A">
      <w:pPr>
        <w:pStyle w:val="BodyText"/>
      </w:pPr>
      <w:r w:rsidRPr="002A3EBD">
        <w:t xml:space="preserve">To provide an example of the </w:t>
      </w:r>
      <w:r w:rsidR="003A7F74">
        <w:t>conservation</w:t>
      </w:r>
      <w:r w:rsidR="00AD1526">
        <w:t xml:space="preserve"> </w:t>
      </w:r>
      <w:r w:rsidRPr="002A3EBD">
        <w:t xml:space="preserve">measure data, </w:t>
      </w:r>
      <w:r w:rsidR="00893E3D">
        <w:fldChar w:fldCharType="begin"/>
      </w:r>
      <w:r w:rsidR="00535EB3">
        <w:instrText xml:space="preserve"> REF _Ref402250689 \h </w:instrText>
      </w:r>
      <w:r w:rsidR="00893E3D">
        <w:fldChar w:fldCharType="separate"/>
      </w:r>
      <w:r w:rsidR="00B2652C" w:rsidRPr="00711A6B">
        <w:t xml:space="preserve">Table </w:t>
      </w:r>
      <w:r w:rsidR="00B2652C">
        <w:rPr>
          <w:noProof/>
        </w:rPr>
        <w:t>2</w:t>
      </w:r>
      <w:r w:rsidR="00B2652C" w:rsidRPr="00F36BD8">
        <w:t>-</w:t>
      </w:r>
      <w:r w:rsidR="00B2652C">
        <w:rPr>
          <w:noProof/>
        </w:rPr>
        <w:t>2</w:t>
      </w:r>
      <w:r w:rsidR="00893E3D">
        <w:fldChar w:fldCharType="end"/>
      </w:r>
      <w:r w:rsidR="00ED6738" w:rsidRPr="003F7D8B">
        <w:t xml:space="preserve"> and </w:t>
      </w:r>
      <w:r w:rsidR="00893E3D">
        <w:fldChar w:fldCharType="begin"/>
      </w:r>
      <w:r w:rsidR="00535EB3">
        <w:instrText xml:space="preserve"> REF _Ref402250697 \h </w:instrText>
      </w:r>
      <w:r w:rsidR="00893E3D">
        <w:fldChar w:fldCharType="separate"/>
      </w:r>
      <w:r w:rsidR="00B2652C" w:rsidRPr="00711A6B">
        <w:t xml:space="preserve">Table </w:t>
      </w:r>
      <w:r w:rsidR="00B2652C">
        <w:rPr>
          <w:noProof/>
        </w:rPr>
        <w:t>2</w:t>
      </w:r>
      <w:r w:rsidR="00B2652C" w:rsidRPr="00F36BD8">
        <w:t>-</w:t>
      </w:r>
      <w:r w:rsidR="00B2652C">
        <w:rPr>
          <w:noProof/>
        </w:rPr>
        <w:t>3</w:t>
      </w:r>
      <w:r w:rsidR="00893E3D">
        <w:fldChar w:fldCharType="end"/>
      </w:r>
      <w:r w:rsidR="009C4F3D">
        <w:t xml:space="preserve"> </w:t>
      </w:r>
      <w:r w:rsidRPr="00C40A71">
        <w:t>pre</w:t>
      </w:r>
      <w:r w:rsidRPr="002A3EBD">
        <w:t xml:space="preserve">sent </w:t>
      </w:r>
      <w:r>
        <w:t>ex</w:t>
      </w:r>
      <w:r w:rsidRPr="002A3EBD">
        <w:t xml:space="preserve">amples of the detailed data inputs behind both equipment and non-equipment measures, respectively, for the case of residential </w:t>
      </w:r>
      <w:r w:rsidR="00754ED4">
        <w:t>central air conditioning (</w:t>
      </w:r>
      <w:r w:rsidRPr="002A3EBD">
        <w:t>CAC</w:t>
      </w:r>
      <w:r w:rsidR="00754ED4">
        <w:t>)</w:t>
      </w:r>
      <w:r w:rsidRPr="002A3EBD">
        <w:t xml:space="preserve"> in single-family </w:t>
      </w:r>
      <w:r w:rsidRPr="00C40A71">
        <w:t xml:space="preserve">homes. </w:t>
      </w:r>
      <w:r w:rsidR="00893E3D">
        <w:rPr>
          <w:highlight w:val="yellow"/>
        </w:rPr>
        <w:fldChar w:fldCharType="begin"/>
      </w:r>
      <w:r w:rsidR="00A309E9">
        <w:instrText xml:space="preserve"> REF _Ref402250689 \h </w:instrText>
      </w:r>
      <w:r w:rsidR="00893E3D">
        <w:rPr>
          <w:highlight w:val="yellow"/>
        </w:rPr>
      </w:r>
      <w:r w:rsidR="00893E3D">
        <w:rPr>
          <w:highlight w:val="yellow"/>
        </w:rPr>
        <w:fldChar w:fldCharType="separate"/>
      </w:r>
      <w:r w:rsidR="00B2652C" w:rsidRPr="00711A6B">
        <w:t xml:space="preserve">Table </w:t>
      </w:r>
      <w:r w:rsidR="00B2652C">
        <w:rPr>
          <w:noProof/>
        </w:rPr>
        <w:t>2</w:t>
      </w:r>
      <w:r w:rsidR="00B2652C" w:rsidRPr="00F36BD8">
        <w:t>-</w:t>
      </w:r>
      <w:r w:rsidR="00B2652C">
        <w:rPr>
          <w:noProof/>
        </w:rPr>
        <w:t>2</w:t>
      </w:r>
      <w:r w:rsidR="00893E3D">
        <w:rPr>
          <w:highlight w:val="yellow"/>
        </w:rPr>
        <w:fldChar w:fldCharType="end"/>
      </w:r>
      <w:r w:rsidR="009C4F3D">
        <w:t xml:space="preserve"> </w:t>
      </w:r>
      <w:r w:rsidRPr="00C40A71">
        <w:t>displays the</w:t>
      </w:r>
      <w:r w:rsidRPr="002A3EBD">
        <w:t xml:space="preserve"> various efficiency levels available as equipment measures, as well as the corresponding useful life, energy usage, and cost estimates. The columns labeled On Market and Off Market reflect equipment availability due to codes and standards or the entry of new products to the market.</w:t>
      </w:r>
    </w:p>
    <w:p w:rsidR="00157E2A" w:rsidRDefault="00535EB3" w:rsidP="008D01F0">
      <w:pPr>
        <w:pStyle w:val="FigureorTableTitle"/>
        <w:rPr>
          <w:color w:val="000000"/>
        </w:rPr>
      </w:pPr>
      <w:bookmarkStart w:id="65" w:name="_Ref402250689"/>
      <w:bookmarkStart w:id="66" w:name="_Toc341181315"/>
      <w:bookmarkStart w:id="67" w:name="_Toc396755819"/>
      <w:bookmarkStart w:id="68" w:name="_Toc424192754"/>
      <w:r w:rsidRPr="00711A6B">
        <w:t xml:space="preserve">Table </w:t>
      </w:r>
      <w:r w:rsidR="00893E3D" w:rsidRPr="00F36BD8">
        <w:fldChar w:fldCharType="begin"/>
      </w:r>
      <w:r w:rsidRPr="00F36BD8">
        <w:instrText xml:space="preserve"> STYLEREF  "Heading 1,Chap Num"  \* MERGEFORMAT </w:instrText>
      </w:r>
      <w:r w:rsidR="00893E3D" w:rsidRPr="00F36BD8">
        <w:fldChar w:fldCharType="end"/>
      </w:r>
      <w:r w:rsidR="00512CD6">
        <w:fldChar w:fldCharType="begin"/>
      </w:r>
      <w:r w:rsidR="00512CD6">
        <w:instrText xml:space="preserve"> STYLEREF  "Heading 1,Chap Num" \n  \* MERGEFORMAT </w:instrText>
      </w:r>
      <w:r w:rsidR="00512CD6">
        <w:fldChar w:fldCharType="separate"/>
      </w:r>
      <w:r w:rsidR="00B2652C">
        <w:rPr>
          <w:noProof/>
        </w:rPr>
        <w:t>2</w:t>
      </w:r>
      <w:r w:rsidR="00512CD6">
        <w:rPr>
          <w:noProof/>
        </w:rPr>
        <w:fldChar w:fldCharType="end"/>
      </w:r>
      <w:r w:rsidRPr="00F36BD8">
        <w:t>-</w:t>
      </w:r>
      <w:r w:rsidR="00512CD6">
        <w:fldChar w:fldCharType="begin"/>
      </w:r>
      <w:r w:rsidR="00512CD6">
        <w:instrText xml:space="preserve"> SEQ</w:instrText>
      </w:r>
      <w:r w:rsidR="00512CD6">
        <w:instrText xml:space="preserve"> Table\s 1 \* MERGEFORMAT </w:instrText>
      </w:r>
      <w:r w:rsidR="00512CD6">
        <w:fldChar w:fldCharType="separate"/>
      </w:r>
      <w:r w:rsidR="00B2652C">
        <w:rPr>
          <w:noProof/>
        </w:rPr>
        <w:t>2</w:t>
      </w:r>
      <w:r w:rsidR="00512CD6">
        <w:rPr>
          <w:noProof/>
        </w:rPr>
        <w:fldChar w:fldCharType="end"/>
      </w:r>
      <w:bookmarkEnd w:id="65"/>
      <w:r w:rsidR="00157E2A">
        <w:tab/>
        <w:t>Example Equipment Measures for Central A</w:t>
      </w:r>
      <w:r w:rsidR="008D01F0">
        <w:t>C</w:t>
      </w:r>
      <w:r w:rsidR="00157E2A">
        <w:t xml:space="preserve"> – Single</w:t>
      </w:r>
      <w:r w:rsidR="008D01F0">
        <w:t>-</w:t>
      </w:r>
      <w:r w:rsidR="00157E2A">
        <w:t xml:space="preserve">Family </w:t>
      </w:r>
      <w:r w:rsidR="00157E2A" w:rsidRPr="00EF58FE">
        <w:t>Home</w:t>
      </w:r>
      <w:bookmarkEnd w:id="66"/>
      <w:bookmarkEnd w:id="67"/>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44" w:type="dxa"/>
        </w:tblCellMar>
        <w:tblLook w:val="04A0" w:firstRow="1" w:lastRow="0" w:firstColumn="1" w:lastColumn="0" w:noHBand="0" w:noVBand="1"/>
      </w:tblPr>
      <w:tblGrid>
        <w:gridCol w:w="3054"/>
        <w:gridCol w:w="1241"/>
        <w:gridCol w:w="1241"/>
        <w:gridCol w:w="1241"/>
        <w:gridCol w:w="1241"/>
        <w:gridCol w:w="1241"/>
      </w:tblGrid>
      <w:tr w:rsidR="00157E2A" w:rsidTr="00F37D53">
        <w:trPr>
          <w:trHeight w:val="288"/>
        </w:trPr>
        <w:tc>
          <w:tcPr>
            <w:tcW w:w="2965" w:type="dxa"/>
            <w:shd w:val="clear" w:color="auto" w:fill="1A1D5D"/>
            <w:vAlign w:val="center"/>
          </w:tcPr>
          <w:p w:rsidR="00157E2A" w:rsidRPr="00EA319C" w:rsidRDefault="00157E2A" w:rsidP="00157E2A">
            <w:pPr>
              <w:pStyle w:val="TableHeadings"/>
              <w:rPr>
                <w:b w:val="0"/>
              </w:rPr>
            </w:pPr>
            <w:r w:rsidRPr="00EA319C">
              <w:rPr>
                <w:b w:val="0"/>
              </w:rPr>
              <w:t>Efficiency Level</w:t>
            </w:r>
          </w:p>
        </w:tc>
        <w:tc>
          <w:tcPr>
            <w:tcW w:w="1205" w:type="dxa"/>
            <w:shd w:val="clear" w:color="auto" w:fill="1A1D5D"/>
            <w:vAlign w:val="center"/>
          </w:tcPr>
          <w:p w:rsidR="00157E2A" w:rsidRPr="00EA319C" w:rsidRDefault="00157E2A" w:rsidP="00A461B8">
            <w:pPr>
              <w:pStyle w:val="TableHeadings"/>
              <w:rPr>
                <w:b w:val="0"/>
              </w:rPr>
            </w:pPr>
            <w:r w:rsidRPr="00EA319C">
              <w:rPr>
                <w:b w:val="0"/>
              </w:rPr>
              <w:t>Useful Life</w:t>
            </w:r>
            <w:r w:rsidR="002A2FF9">
              <w:rPr>
                <w:b w:val="0"/>
              </w:rPr>
              <w:t xml:space="preserve"> (yrs)</w:t>
            </w:r>
          </w:p>
        </w:tc>
        <w:tc>
          <w:tcPr>
            <w:tcW w:w="1205" w:type="dxa"/>
            <w:shd w:val="clear" w:color="auto" w:fill="1A1D5D"/>
            <w:vAlign w:val="center"/>
          </w:tcPr>
          <w:p w:rsidR="00157E2A" w:rsidRPr="00EA319C" w:rsidRDefault="00157E2A" w:rsidP="00A461B8">
            <w:pPr>
              <w:pStyle w:val="TableHeadings"/>
              <w:rPr>
                <w:b w:val="0"/>
              </w:rPr>
            </w:pPr>
            <w:r w:rsidRPr="00EA319C">
              <w:rPr>
                <w:b w:val="0"/>
              </w:rPr>
              <w:t xml:space="preserve">Equipment </w:t>
            </w:r>
            <w:r w:rsidRPr="00EA319C">
              <w:rPr>
                <w:b w:val="0"/>
              </w:rPr>
              <w:br/>
              <w:t>Cost</w:t>
            </w:r>
          </w:p>
        </w:tc>
        <w:tc>
          <w:tcPr>
            <w:tcW w:w="1205" w:type="dxa"/>
            <w:shd w:val="clear" w:color="auto" w:fill="1A1D5D"/>
            <w:vAlign w:val="center"/>
          </w:tcPr>
          <w:p w:rsidR="00157E2A" w:rsidRPr="00EA319C" w:rsidRDefault="00157E2A" w:rsidP="00A461B8">
            <w:pPr>
              <w:pStyle w:val="TableHeadings"/>
              <w:rPr>
                <w:b w:val="0"/>
              </w:rPr>
            </w:pPr>
            <w:r w:rsidRPr="00EA319C">
              <w:rPr>
                <w:b w:val="0"/>
              </w:rPr>
              <w:t>Energy Usage</w:t>
            </w:r>
            <w:r w:rsidR="008D01F0" w:rsidRPr="00EA319C">
              <w:rPr>
                <w:b w:val="0"/>
              </w:rPr>
              <w:t xml:space="preserve"> </w:t>
            </w:r>
            <w:r w:rsidRPr="00EA319C">
              <w:rPr>
                <w:b w:val="0"/>
              </w:rPr>
              <w:t>(kWh/yr)</w:t>
            </w:r>
          </w:p>
        </w:tc>
        <w:tc>
          <w:tcPr>
            <w:tcW w:w="1205" w:type="dxa"/>
            <w:shd w:val="clear" w:color="auto" w:fill="1A1D5D"/>
            <w:vAlign w:val="center"/>
          </w:tcPr>
          <w:p w:rsidR="00157E2A" w:rsidRPr="00EA319C" w:rsidRDefault="00157E2A" w:rsidP="00A461B8">
            <w:pPr>
              <w:pStyle w:val="TableHeadings"/>
              <w:rPr>
                <w:b w:val="0"/>
              </w:rPr>
            </w:pPr>
            <w:r w:rsidRPr="00EA319C">
              <w:rPr>
                <w:b w:val="0"/>
              </w:rPr>
              <w:t xml:space="preserve">On </w:t>
            </w:r>
            <w:r w:rsidRPr="00EA319C">
              <w:rPr>
                <w:b w:val="0"/>
              </w:rPr>
              <w:br/>
              <w:t>Market</w:t>
            </w:r>
          </w:p>
        </w:tc>
        <w:tc>
          <w:tcPr>
            <w:tcW w:w="1205" w:type="dxa"/>
            <w:shd w:val="clear" w:color="auto" w:fill="1A1D5D"/>
            <w:vAlign w:val="center"/>
          </w:tcPr>
          <w:p w:rsidR="00157E2A" w:rsidRPr="00EA319C" w:rsidRDefault="00157E2A" w:rsidP="00A461B8">
            <w:pPr>
              <w:pStyle w:val="TableHeadings"/>
              <w:rPr>
                <w:b w:val="0"/>
              </w:rPr>
            </w:pPr>
            <w:r w:rsidRPr="00EA319C">
              <w:rPr>
                <w:b w:val="0"/>
              </w:rPr>
              <w:t xml:space="preserve">Off </w:t>
            </w:r>
            <w:r w:rsidRPr="00EA319C">
              <w:rPr>
                <w:b w:val="0"/>
              </w:rPr>
              <w:br/>
              <w:t>Market</w:t>
            </w:r>
          </w:p>
        </w:tc>
      </w:tr>
      <w:tr w:rsidR="00A461B8" w:rsidTr="00F37D53">
        <w:trPr>
          <w:trHeight w:val="288"/>
        </w:trPr>
        <w:tc>
          <w:tcPr>
            <w:tcW w:w="2965" w:type="dxa"/>
            <w:vAlign w:val="center"/>
          </w:tcPr>
          <w:p w:rsidR="00A461B8" w:rsidRPr="007B2050" w:rsidRDefault="00A461B8" w:rsidP="009F528C">
            <w:pPr>
              <w:pStyle w:val="TableText"/>
              <w:jc w:val="left"/>
            </w:pPr>
            <w:r w:rsidRPr="007B2050">
              <w:t>SEER 13</w:t>
            </w:r>
          </w:p>
        </w:tc>
        <w:tc>
          <w:tcPr>
            <w:tcW w:w="1205" w:type="dxa"/>
            <w:vAlign w:val="center"/>
          </w:tcPr>
          <w:p w:rsidR="00A461B8" w:rsidRPr="007B2050" w:rsidRDefault="00A461B8" w:rsidP="009F528C">
            <w:pPr>
              <w:pStyle w:val="TableText"/>
            </w:pPr>
            <w:r w:rsidRPr="007B2050">
              <w:t>14</w:t>
            </w:r>
            <w:r w:rsidR="002A2FF9">
              <w:t xml:space="preserve"> to </w:t>
            </w:r>
            <w:r>
              <w:t>2</w:t>
            </w:r>
            <w:r w:rsidR="009F528C">
              <w:t>0</w:t>
            </w:r>
          </w:p>
        </w:tc>
        <w:tc>
          <w:tcPr>
            <w:tcW w:w="1205" w:type="dxa"/>
            <w:vAlign w:val="center"/>
          </w:tcPr>
          <w:p w:rsidR="00A461B8" w:rsidRPr="00A461B8" w:rsidRDefault="00A461B8" w:rsidP="009F528C">
            <w:pPr>
              <w:pStyle w:val="TableText"/>
              <w:jc w:val="right"/>
            </w:pPr>
            <w:r w:rsidRPr="00A461B8">
              <w:rPr>
                <w:rFonts w:cs="Calibri"/>
              </w:rPr>
              <w:t>$2,</w:t>
            </w:r>
            <w:r w:rsidR="009F528C">
              <w:rPr>
                <w:rFonts w:cs="Calibri"/>
              </w:rPr>
              <w:t>549</w:t>
            </w:r>
          </w:p>
        </w:tc>
        <w:tc>
          <w:tcPr>
            <w:tcW w:w="1205" w:type="dxa"/>
            <w:vAlign w:val="center"/>
          </w:tcPr>
          <w:p w:rsidR="00A461B8" w:rsidRPr="00A461B8" w:rsidRDefault="009F528C" w:rsidP="009F528C">
            <w:pPr>
              <w:pStyle w:val="TableText"/>
              <w:jc w:val="right"/>
            </w:pPr>
            <w:r>
              <w:rPr>
                <w:rFonts w:cs="Calibri"/>
              </w:rPr>
              <w:t>1</w:t>
            </w:r>
            <w:r w:rsidR="00A461B8" w:rsidRPr="00A461B8">
              <w:rPr>
                <w:rFonts w:cs="Calibri"/>
              </w:rPr>
              <w:t>,</w:t>
            </w:r>
            <w:r>
              <w:rPr>
                <w:rFonts w:cs="Calibri"/>
              </w:rPr>
              <w:t>466</w:t>
            </w:r>
          </w:p>
        </w:tc>
        <w:tc>
          <w:tcPr>
            <w:tcW w:w="1205" w:type="dxa"/>
            <w:vAlign w:val="center"/>
          </w:tcPr>
          <w:p w:rsidR="00A461B8" w:rsidRPr="007B2050" w:rsidRDefault="00A461B8" w:rsidP="00A461B8">
            <w:pPr>
              <w:pStyle w:val="TableText"/>
              <w:jc w:val="right"/>
            </w:pPr>
            <w:r w:rsidRPr="007B2050">
              <w:t>201</w:t>
            </w:r>
            <w:r>
              <w:t>3</w:t>
            </w:r>
          </w:p>
        </w:tc>
        <w:tc>
          <w:tcPr>
            <w:tcW w:w="1205" w:type="dxa"/>
            <w:vAlign w:val="center"/>
          </w:tcPr>
          <w:p w:rsidR="00A461B8" w:rsidRPr="007B2050" w:rsidRDefault="00A461B8" w:rsidP="00A461B8">
            <w:pPr>
              <w:pStyle w:val="TableText"/>
              <w:jc w:val="right"/>
            </w:pPr>
            <w:r w:rsidRPr="007B2050">
              <w:t>n/a</w:t>
            </w:r>
          </w:p>
        </w:tc>
      </w:tr>
      <w:tr w:rsidR="00A461B8" w:rsidTr="00F37D53">
        <w:trPr>
          <w:trHeight w:val="288"/>
        </w:trPr>
        <w:tc>
          <w:tcPr>
            <w:tcW w:w="2965" w:type="dxa"/>
            <w:vAlign w:val="center"/>
          </w:tcPr>
          <w:p w:rsidR="00A461B8" w:rsidRPr="007B2050" w:rsidRDefault="00A461B8" w:rsidP="00A461B8">
            <w:pPr>
              <w:pStyle w:val="TableText"/>
              <w:jc w:val="left"/>
            </w:pPr>
            <w:r w:rsidRPr="007B2050">
              <w:t>SEER 14 (Energy Star)</w:t>
            </w:r>
          </w:p>
        </w:tc>
        <w:tc>
          <w:tcPr>
            <w:tcW w:w="1205" w:type="dxa"/>
            <w:vAlign w:val="center"/>
          </w:tcPr>
          <w:p w:rsidR="00A461B8" w:rsidRPr="007B2050" w:rsidRDefault="00A461B8" w:rsidP="009F528C">
            <w:pPr>
              <w:pStyle w:val="TableText"/>
            </w:pPr>
            <w:r w:rsidRPr="005B46C1">
              <w:t>14</w:t>
            </w:r>
            <w:r w:rsidR="002A2FF9">
              <w:t xml:space="preserve"> to </w:t>
            </w:r>
            <w:r w:rsidRPr="005B46C1">
              <w:t>2</w:t>
            </w:r>
            <w:r w:rsidR="009F528C">
              <w:t>0</w:t>
            </w:r>
          </w:p>
        </w:tc>
        <w:tc>
          <w:tcPr>
            <w:tcW w:w="1205" w:type="dxa"/>
            <w:vAlign w:val="center"/>
          </w:tcPr>
          <w:p w:rsidR="00A461B8" w:rsidRPr="00A461B8" w:rsidRDefault="00A461B8" w:rsidP="009F528C">
            <w:pPr>
              <w:pStyle w:val="TableText"/>
              <w:jc w:val="right"/>
            </w:pPr>
            <w:r w:rsidRPr="00A461B8">
              <w:rPr>
                <w:rFonts w:cs="Calibri"/>
              </w:rPr>
              <w:t>$3,</w:t>
            </w:r>
            <w:r w:rsidR="009F528C">
              <w:rPr>
                <w:rFonts w:cs="Calibri"/>
              </w:rPr>
              <w:t>072</w:t>
            </w:r>
          </w:p>
        </w:tc>
        <w:tc>
          <w:tcPr>
            <w:tcW w:w="1205" w:type="dxa"/>
            <w:vAlign w:val="center"/>
          </w:tcPr>
          <w:p w:rsidR="00A461B8" w:rsidRPr="00A461B8" w:rsidRDefault="00A461B8" w:rsidP="009F528C">
            <w:pPr>
              <w:pStyle w:val="TableText"/>
              <w:jc w:val="right"/>
            </w:pPr>
            <w:r w:rsidRPr="00A461B8">
              <w:rPr>
                <w:rFonts w:cs="Calibri"/>
              </w:rPr>
              <w:t>1,</w:t>
            </w:r>
            <w:r w:rsidR="009F528C">
              <w:rPr>
                <w:rFonts w:cs="Calibri"/>
              </w:rPr>
              <w:t>344</w:t>
            </w:r>
          </w:p>
        </w:tc>
        <w:tc>
          <w:tcPr>
            <w:tcW w:w="1205" w:type="dxa"/>
            <w:vAlign w:val="center"/>
          </w:tcPr>
          <w:p w:rsidR="00A461B8" w:rsidRPr="007B2050" w:rsidRDefault="00A461B8" w:rsidP="00A461B8">
            <w:pPr>
              <w:pStyle w:val="TableText"/>
              <w:jc w:val="right"/>
            </w:pPr>
            <w:r w:rsidRPr="00216CE5">
              <w:t>2013</w:t>
            </w:r>
          </w:p>
        </w:tc>
        <w:tc>
          <w:tcPr>
            <w:tcW w:w="1205" w:type="dxa"/>
            <w:vAlign w:val="center"/>
          </w:tcPr>
          <w:p w:rsidR="00A461B8" w:rsidRPr="007B2050" w:rsidRDefault="00A461B8" w:rsidP="00A461B8">
            <w:pPr>
              <w:pStyle w:val="TableText"/>
              <w:jc w:val="right"/>
            </w:pPr>
            <w:r w:rsidRPr="007B2050">
              <w:t>n/a</w:t>
            </w:r>
          </w:p>
        </w:tc>
      </w:tr>
      <w:tr w:rsidR="00A461B8" w:rsidTr="00F37D53">
        <w:trPr>
          <w:trHeight w:val="288"/>
        </w:trPr>
        <w:tc>
          <w:tcPr>
            <w:tcW w:w="2965" w:type="dxa"/>
            <w:vAlign w:val="center"/>
          </w:tcPr>
          <w:p w:rsidR="00A461B8" w:rsidRPr="007B2050" w:rsidRDefault="00A461B8" w:rsidP="00A461B8">
            <w:pPr>
              <w:pStyle w:val="TableText"/>
              <w:jc w:val="left"/>
            </w:pPr>
            <w:r w:rsidRPr="007B2050">
              <w:t>SEER 15 (CEE Tier 2)</w:t>
            </w:r>
          </w:p>
        </w:tc>
        <w:tc>
          <w:tcPr>
            <w:tcW w:w="1205" w:type="dxa"/>
            <w:vAlign w:val="center"/>
          </w:tcPr>
          <w:p w:rsidR="00A461B8" w:rsidRPr="007B2050" w:rsidRDefault="00A461B8" w:rsidP="009F528C">
            <w:pPr>
              <w:pStyle w:val="TableText"/>
            </w:pPr>
            <w:r w:rsidRPr="005B46C1">
              <w:t>14</w:t>
            </w:r>
            <w:r w:rsidR="002A2FF9">
              <w:t xml:space="preserve"> to </w:t>
            </w:r>
            <w:r w:rsidRPr="005B46C1">
              <w:t>2</w:t>
            </w:r>
            <w:r w:rsidR="009F528C">
              <w:t>0</w:t>
            </w:r>
          </w:p>
        </w:tc>
        <w:tc>
          <w:tcPr>
            <w:tcW w:w="1205" w:type="dxa"/>
            <w:vAlign w:val="center"/>
          </w:tcPr>
          <w:p w:rsidR="00A461B8" w:rsidRPr="00A461B8" w:rsidRDefault="00A461B8" w:rsidP="009F528C">
            <w:pPr>
              <w:pStyle w:val="TableText"/>
              <w:jc w:val="right"/>
            </w:pPr>
            <w:r w:rsidRPr="00A461B8">
              <w:rPr>
                <w:rFonts w:cs="Calibri"/>
              </w:rPr>
              <w:t>$3,</w:t>
            </w:r>
            <w:r w:rsidR="009F528C">
              <w:rPr>
                <w:rFonts w:cs="Calibri"/>
              </w:rPr>
              <w:t>158</w:t>
            </w:r>
          </w:p>
        </w:tc>
        <w:tc>
          <w:tcPr>
            <w:tcW w:w="1205" w:type="dxa"/>
            <w:vAlign w:val="center"/>
          </w:tcPr>
          <w:p w:rsidR="00A461B8" w:rsidRPr="00A461B8" w:rsidRDefault="00A461B8" w:rsidP="009F528C">
            <w:pPr>
              <w:pStyle w:val="TableText"/>
              <w:jc w:val="right"/>
            </w:pPr>
            <w:r w:rsidRPr="00A461B8">
              <w:rPr>
                <w:rFonts w:cs="Calibri"/>
              </w:rPr>
              <w:t>1,</w:t>
            </w:r>
            <w:r w:rsidR="009F528C">
              <w:rPr>
                <w:rFonts w:cs="Calibri"/>
              </w:rPr>
              <w:t>300</w:t>
            </w:r>
          </w:p>
        </w:tc>
        <w:tc>
          <w:tcPr>
            <w:tcW w:w="1205" w:type="dxa"/>
            <w:vAlign w:val="center"/>
          </w:tcPr>
          <w:p w:rsidR="00A461B8" w:rsidRPr="007B2050" w:rsidRDefault="00A461B8" w:rsidP="00A461B8">
            <w:pPr>
              <w:pStyle w:val="TableText"/>
              <w:jc w:val="right"/>
            </w:pPr>
            <w:r w:rsidRPr="00216CE5">
              <w:t>2013</w:t>
            </w:r>
          </w:p>
        </w:tc>
        <w:tc>
          <w:tcPr>
            <w:tcW w:w="1205" w:type="dxa"/>
            <w:vAlign w:val="center"/>
          </w:tcPr>
          <w:p w:rsidR="00A461B8" w:rsidRPr="007B2050" w:rsidRDefault="00A461B8" w:rsidP="00A461B8">
            <w:pPr>
              <w:pStyle w:val="TableText"/>
              <w:jc w:val="right"/>
            </w:pPr>
            <w:r w:rsidRPr="007B2050">
              <w:t>n/a</w:t>
            </w:r>
          </w:p>
        </w:tc>
      </w:tr>
      <w:tr w:rsidR="00A461B8" w:rsidTr="00F37D53">
        <w:trPr>
          <w:trHeight w:val="288"/>
        </w:trPr>
        <w:tc>
          <w:tcPr>
            <w:tcW w:w="2965" w:type="dxa"/>
            <w:vAlign w:val="center"/>
          </w:tcPr>
          <w:p w:rsidR="00A461B8" w:rsidRPr="007B2050" w:rsidRDefault="00A461B8" w:rsidP="00A461B8">
            <w:pPr>
              <w:pStyle w:val="TableText"/>
              <w:jc w:val="left"/>
            </w:pPr>
            <w:r w:rsidRPr="007B2050">
              <w:t>SEER 16 (CEE Tier 3)</w:t>
            </w:r>
          </w:p>
        </w:tc>
        <w:tc>
          <w:tcPr>
            <w:tcW w:w="1205" w:type="dxa"/>
            <w:vAlign w:val="center"/>
          </w:tcPr>
          <w:p w:rsidR="00A461B8" w:rsidRPr="007B2050" w:rsidRDefault="00A461B8" w:rsidP="009F528C">
            <w:pPr>
              <w:pStyle w:val="TableText"/>
            </w:pPr>
            <w:r w:rsidRPr="005B46C1">
              <w:t>14</w:t>
            </w:r>
            <w:r w:rsidR="002A2FF9">
              <w:t xml:space="preserve"> to </w:t>
            </w:r>
            <w:r w:rsidRPr="005B46C1">
              <w:t>2</w:t>
            </w:r>
            <w:r w:rsidR="009F528C">
              <w:t>0</w:t>
            </w:r>
          </w:p>
        </w:tc>
        <w:tc>
          <w:tcPr>
            <w:tcW w:w="1205" w:type="dxa"/>
            <w:vAlign w:val="center"/>
          </w:tcPr>
          <w:p w:rsidR="00A461B8" w:rsidRPr="00A461B8" w:rsidRDefault="00A461B8" w:rsidP="009F528C">
            <w:pPr>
              <w:pStyle w:val="TableText"/>
              <w:jc w:val="right"/>
            </w:pPr>
            <w:r w:rsidRPr="00A461B8">
              <w:rPr>
                <w:rFonts w:cs="Calibri"/>
              </w:rPr>
              <w:t>$3,</w:t>
            </w:r>
            <w:r w:rsidR="009F528C">
              <w:rPr>
                <w:rFonts w:cs="Calibri"/>
              </w:rPr>
              <w:t>148</w:t>
            </w:r>
          </w:p>
        </w:tc>
        <w:tc>
          <w:tcPr>
            <w:tcW w:w="1205" w:type="dxa"/>
            <w:vAlign w:val="center"/>
          </w:tcPr>
          <w:p w:rsidR="00A461B8" w:rsidRPr="00A461B8" w:rsidRDefault="00A461B8" w:rsidP="007F6688">
            <w:pPr>
              <w:pStyle w:val="TableText"/>
              <w:jc w:val="right"/>
            </w:pPr>
            <w:r w:rsidRPr="00A461B8">
              <w:rPr>
                <w:rFonts w:cs="Calibri"/>
              </w:rPr>
              <w:t>1,</w:t>
            </w:r>
            <w:r w:rsidR="007F6688">
              <w:rPr>
                <w:rFonts w:cs="Calibri"/>
              </w:rPr>
              <w:t>262</w:t>
            </w:r>
          </w:p>
        </w:tc>
        <w:tc>
          <w:tcPr>
            <w:tcW w:w="1205" w:type="dxa"/>
            <w:vAlign w:val="center"/>
          </w:tcPr>
          <w:p w:rsidR="00A461B8" w:rsidRPr="007B2050" w:rsidRDefault="00A461B8" w:rsidP="00A461B8">
            <w:pPr>
              <w:pStyle w:val="TableText"/>
              <w:jc w:val="right"/>
            </w:pPr>
            <w:r w:rsidRPr="00216CE5">
              <w:t>2013</w:t>
            </w:r>
          </w:p>
        </w:tc>
        <w:tc>
          <w:tcPr>
            <w:tcW w:w="1205" w:type="dxa"/>
            <w:vAlign w:val="center"/>
          </w:tcPr>
          <w:p w:rsidR="00A461B8" w:rsidRPr="007B2050" w:rsidRDefault="00A461B8" w:rsidP="00A461B8">
            <w:pPr>
              <w:pStyle w:val="TableText"/>
              <w:jc w:val="right"/>
            </w:pPr>
            <w:r w:rsidRPr="007B2050">
              <w:t>n/a</w:t>
            </w:r>
          </w:p>
        </w:tc>
      </w:tr>
      <w:tr w:rsidR="00A461B8" w:rsidTr="00F37D53">
        <w:trPr>
          <w:trHeight w:val="288"/>
        </w:trPr>
        <w:tc>
          <w:tcPr>
            <w:tcW w:w="2965" w:type="dxa"/>
            <w:vAlign w:val="center"/>
          </w:tcPr>
          <w:p w:rsidR="00A461B8" w:rsidRPr="007B2050" w:rsidRDefault="00A461B8" w:rsidP="00A461B8">
            <w:pPr>
              <w:pStyle w:val="TableText"/>
              <w:jc w:val="left"/>
            </w:pPr>
            <w:r>
              <w:t>SEER 18</w:t>
            </w:r>
          </w:p>
        </w:tc>
        <w:tc>
          <w:tcPr>
            <w:tcW w:w="1205" w:type="dxa"/>
            <w:vAlign w:val="center"/>
          </w:tcPr>
          <w:p w:rsidR="00A461B8" w:rsidRPr="007B2050" w:rsidRDefault="00A461B8" w:rsidP="009F528C">
            <w:pPr>
              <w:pStyle w:val="TableText"/>
            </w:pPr>
            <w:r w:rsidRPr="005B46C1">
              <w:t>14</w:t>
            </w:r>
            <w:r w:rsidR="002A2FF9">
              <w:t xml:space="preserve"> to </w:t>
            </w:r>
            <w:r w:rsidRPr="005B46C1">
              <w:t>2</w:t>
            </w:r>
            <w:r w:rsidR="009F528C">
              <w:t>0</w:t>
            </w:r>
          </w:p>
        </w:tc>
        <w:tc>
          <w:tcPr>
            <w:tcW w:w="1205" w:type="dxa"/>
            <w:vAlign w:val="center"/>
          </w:tcPr>
          <w:p w:rsidR="00A461B8" w:rsidRPr="00A461B8" w:rsidRDefault="00A461B8" w:rsidP="009F528C">
            <w:pPr>
              <w:pStyle w:val="TableText"/>
              <w:jc w:val="right"/>
            </w:pPr>
            <w:r w:rsidRPr="00A461B8">
              <w:rPr>
                <w:rFonts w:cs="Calibri"/>
              </w:rPr>
              <w:t>$3,</w:t>
            </w:r>
            <w:r w:rsidR="009F528C">
              <w:rPr>
                <w:rFonts w:cs="Calibri"/>
              </w:rPr>
              <w:t>70</w:t>
            </w:r>
            <w:r w:rsidRPr="00A461B8">
              <w:rPr>
                <w:rFonts w:cs="Calibri"/>
              </w:rPr>
              <w:t>8</w:t>
            </w:r>
          </w:p>
        </w:tc>
        <w:tc>
          <w:tcPr>
            <w:tcW w:w="1205" w:type="dxa"/>
            <w:vAlign w:val="center"/>
          </w:tcPr>
          <w:p w:rsidR="00A461B8" w:rsidRPr="00A461B8" w:rsidRDefault="00A461B8" w:rsidP="007F6688">
            <w:pPr>
              <w:pStyle w:val="TableText"/>
              <w:jc w:val="right"/>
            </w:pPr>
            <w:r w:rsidRPr="00A461B8">
              <w:rPr>
                <w:rFonts w:cs="Calibri"/>
              </w:rPr>
              <w:t>1,</w:t>
            </w:r>
            <w:r w:rsidR="007F6688">
              <w:rPr>
                <w:rFonts w:cs="Calibri"/>
              </w:rPr>
              <w:t>203</w:t>
            </w:r>
          </w:p>
        </w:tc>
        <w:tc>
          <w:tcPr>
            <w:tcW w:w="1205" w:type="dxa"/>
            <w:vAlign w:val="center"/>
          </w:tcPr>
          <w:p w:rsidR="00A461B8" w:rsidRPr="007B2050" w:rsidRDefault="00A461B8" w:rsidP="00A461B8">
            <w:pPr>
              <w:pStyle w:val="TableText"/>
              <w:jc w:val="right"/>
            </w:pPr>
            <w:r w:rsidRPr="00216CE5">
              <w:t>2013</w:t>
            </w:r>
          </w:p>
        </w:tc>
        <w:tc>
          <w:tcPr>
            <w:tcW w:w="1205" w:type="dxa"/>
            <w:vAlign w:val="center"/>
          </w:tcPr>
          <w:p w:rsidR="00A461B8" w:rsidRPr="007B2050" w:rsidRDefault="002A2FF9" w:rsidP="00A461B8">
            <w:pPr>
              <w:pStyle w:val="TableText"/>
              <w:jc w:val="right"/>
            </w:pPr>
            <w:r>
              <w:t>n/a</w:t>
            </w:r>
          </w:p>
        </w:tc>
      </w:tr>
      <w:tr w:rsidR="00A461B8" w:rsidTr="00F37D53">
        <w:trPr>
          <w:trHeight w:val="288"/>
        </w:trPr>
        <w:tc>
          <w:tcPr>
            <w:tcW w:w="2965" w:type="dxa"/>
            <w:vAlign w:val="center"/>
          </w:tcPr>
          <w:p w:rsidR="00A461B8" w:rsidRPr="007B2050" w:rsidRDefault="00A461B8" w:rsidP="00A461B8">
            <w:pPr>
              <w:pStyle w:val="TableText"/>
              <w:jc w:val="left"/>
            </w:pPr>
            <w:r w:rsidRPr="007B2050">
              <w:t>SEER 21</w:t>
            </w:r>
          </w:p>
        </w:tc>
        <w:tc>
          <w:tcPr>
            <w:tcW w:w="1205" w:type="dxa"/>
            <w:vAlign w:val="center"/>
          </w:tcPr>
          <w:p w:rsidR="00A461B8" w:rsidRPr="007B2050" w:rsidRDefault="00A461B8" w:rsidP="009F528C">
            <w:pPr>
              <w:pStyle w:val="TableText"/>
            </w:pPr>
            <w:r w:rsidRPr="005B46C1">
              <w:t>14</w:t>
            </w:r>
            <w:r w:rsidR="002A2FF9">
              <w:t xml:space="preserve"> to</w:t>
            </w:r>
            <w:r w:rsidRPr="005B46C1">
              <w:t>2</w:t>
            </w:r>
            <w:r w:rsidR="009F528C">
              <w:t>0</w:t>
            </w:r>
          </w:p>
        </w:tc>
        <w:tc>
          <w:tcPr>
            <w:tcW w:w="1205" w:type="dxa"/>
            <w:vAlign w:val="center"/>
          </w:tcPr>
          <w:p w:rsidR="00A461B8" w:rsidRPr="00A461B8" w:rsidRDefault="00A461B8" w:rsidP="009F528C">
            <w:pPr>
              <w:pStyle w:val="TableText"/>
              <w:jc w:val="right"/>
            </w:pPr>
            <w:r w:rsidRPr="00A461B8">
              <w:rPr>
                <w:rFonts w:cs="Calibri"/>
              </w:rPr>
              <w:t>$4,</w:t>
            </w:r>
            <w:r w:rsidR="009F528C">
              <w:rPr>
                <w:rFonts w:cs="Calibri"/>
              </w:rPr>
              <w:t>090</w:t>
            </w:r>
          </w:p>
        </w:tc>
        <w:tc>
          <w:tcPr>
            <w:tcW w:w="1205" w:type="dxa"/>
            <w:vAlign w:val="center"/>
          </w:tcPr>
          <w:p w:rsidR="00A461B8" w:rsidRPr="00A461B8" w:rsidRDefault="00A461B8" w:rsidP="007F6688">
            <w:pPr>
              <w:pStyle w:val="TableText"/>
              <w:jc w:val="right"/>
            </w:pPr>
            <w:r w:rsidRPr="00A461B8">
              <w:rPr>
                <w:rFonts w:cs="Calibri"/>
              </w:rPr>
              <w:t>1,</w:t>
            </w:r>
            <w:r w:rsidR="007F6688">
              <w:rPr>
                <w:rFonts w:cs="Calibri"/>
              </w:rPr>
              <w:t>139</w:t>
            </w:r>
          </w:p>
        </w:tc>
        <w:tc>
          <w:tcPr>
            <w:tcW w:w="1205" w:type="dxa"/>
            <w:vAlign w:val="center"/>
          </w:tcPr>
          <w:p w:rsidR="00A461B8" w:rsidRPr="007B2050" w:rsidRDefault="00A461B8" w:rsidP="00A461B8">
            <w:pPr>
              <w:pStyle w:val="TableText"/>
              <w:jc w:val="right"/>
            </w:pPr>
            <w:r w:rsidRPr="00216CE5">
              <w:t>2013</w:t>
            </w:r>
          </w:p>
        </w:tc>
        <w:tc>
          <w:tcPr>
            <w:tcW w:w="1205" w:type="dxa"/>
            <w:vAlign w:val="center"/>
          </w:tcPr>
          <w:p w:rsidR="00A461B8" w:rsidRPr="007B2050" w:rsidRDefault="00A461B8" w:rsidP="00A461B8">
            <w:pPr>
              <w:pStyle w:val="TableText"/>
              <w:jc w:val="right"/>
            </w:pPr>
            <w:r w:rsidRPr="007B2050">
              <w:t>n/a</w:t>
            </w:r>
          </w:p>
        </w:tc>
      </w:tr>
      <w:tr w:rsidR="00A461B8" w:rsidTr="00F37D53">
        <w:trPr>
          <w:trHeight w:val="288"/>
        </w:trPr>
        <w:tc>
          <w:tcPr>
            <w:tcW w:w="2965" w:type="dxa"/>
            <w:vAlign w:val="center"/>
          </w:tcPr>
          <w:p w:rsidR="00A461B8" w:rsidRPr="007B2050" w:rsidRDefault="00A461B8" w:rsidP="00A461B8">
            <w:pPr>
              <w:pStyle w:val="TableText"/>
              <w:jc w:val="left"/>
            </w:pPr>
            <w:r w:rsidRPr="007B2050">
              <w:t>SEER 24</w:t>
            </w:r>
            <w:r>
              <w:t xml:space="preserve"> (Ductless, Var. Ref. Flow)</w:t>
            </w:r>
          </w:p>
        </w:tc>
        <w:tc>
          <w:tcPr>
            <w:tcW w:w="1205" w:type="dxa"/>
            <w:vAlign w:val="center"/>
          </w:tcPr>
          <w:p w:rsidR="00A461B8" w:rsidRPr="007B2050" w:rsidRDefault="00A461B8" w:rsidP="009F528C">
            <w:pPr>
              <w:pStyle w:val="TableText"/>
            </w:pPr>
            <w:r w:rsidRPr="005B46C1">
              <w:t>14</w:t>
            </w:r>
            <w:r w:rsidR="002A2FF9">
              <w:t xml:space="preserve"> to </w:t>
            </w:r>
            <w:r w:rsidRPr="005B46C1">
              <w:t>2</w:t>
            </w:r>
            <w:r w:rsidR="009F528C">
              <w:t>0</w:t>
            </w:r>
          </w:p>
        </w:tc>
        <w:tc>
          <w:tcPr>
            <w:tcW w:w="1205" w:type="dxa"/>
            <w:vAlign w:val="center"/>
          </w:tcPr>
          <w:p w:rsidR="00A461B8" w:rsidRPr="00A461B8" w:rsidRDefault="00A461B8" w:rsidP="009F528C">
            <w:pPr>
              <w:pStyle w:val="TableText"/>
              <w:jc w:val="right"/>
            </w:pPr>
            <w:r w:rsidRPr="00A461B8">
              <w:rPr>
                <w:rFonts w:cs="Calibri"/>
              </w:rPr>
              <w:t>$</w:t>
            </w:r>
            <w:r w:rsidR="009F528C">
              <w:rPr>
                <w:rFonts w:cs="Calibri"/>
              </w:rPr>
              <w:t>4</w:t>
            </w:r>
            <w:r w:rsidRPr="00A461B8">
              <w:rPr>
                <w:rFonts w:cs="Calibri"/>
              </w:rPr>
              <w:t>,</w:t>
            </w:r>
            <w:r w:rsidR="009F528C">
              <w:rPr>
                <w:rFonts w:cs="Calibri"/>
              </w:rPr>
              <w:t>946</w:t>
            </w:r>
          </w:p>
        </w:tc>
        <w:tc>
          <w:tcPr>
            <w:tcW w:w="1205" w:type="dxa"/>
            <w:vAlign w:val="center"/>
          </w:tcPr>
          <w:p w:rsidR="00A461B8" w:rsidRPr="00A461B8" w:rsidRDefault="00A461B8" w:rsidP="007F6688">
            <w:pPr>
              <w:pStyle w:val="TableText"/>
              <w:jc w:val="right"/>
            </w:pPr>
            <w:r w:rsidRPr="00A461B8">
              <w:rPr>
                <w:rFonts w:cs="Calibri"/>
              </w:rPr>
              <w:t>1,</w:t>
            </w:r>
            <w:r w:rsidR="007F6688">
              <w:rPr>
                <w:rFonts w:cs="Calibri"/>
              </w:rPr>
              <w:t>094</w:t>
            </w:r>
          </w:p>
        </w:tc>
        <w:tc>
          <w:tcPr>
            <w:tcW w:w="1205" w:type="dxa"/>
            <w:vAlign w:val="center"/>
          </w:tcPr>
          <w:p w:rsidR="00A461B8" w:rsidRPr="007B2050" w:rsidRDefault="00A461B8" w:rsidP="00A461B8">
            <w:pPr>
              <w:pStyle w:val="TableText"/>
              <w:jc w:val="right"/>
            </w:pPr>
            <w:r w:rsidRPr="00216CE5">
              <w:t>2013</w:t>
            </w:r>
          </w:p>
        </w:tc>
        <w:tc>
          <w:tcPr>
            <w:tcW w:w="1205" w:type="dxa"/>
            <w:vAlign w:val="center"/>
          </w:tcPr>
          <w:p w:rsidR="00A461B8" w:rsidRPr="007B2050" w:rsidRDefault="00A461B8" w:rsidP="00A461B8">
            <w:pPr>
              <w:pStyle w:val="TableText"/>
              <w:jc w:val="right"/>
            </w:pPr>
            <w:r w:rsidRPr="007B2050">
              <w:t>n/a</w:t>
            </w:r>
          </w:p>
        </w:tc>
      </w:tr>
    </w:tbl>
    <w:p w:rsidR="00157E2A" w:rsidRDefault="00157E2A" w:rsidP="00157E2A">
      <w:pPr>
        <w:pStyle w:val="BodyText"/>
      </w:pPr>
    </w:p>
    <w:p w:rsidR="00CB5FF3" w:rsidRDefault="00893E3D" w:rsidP="00157E2A">
      <w:pPr>
        <w:pStyle w:val="BodyText"/>
      </w:pPr>
      <w:r>
        <w:fldChar w:fldCharType="begin"/>
      </w:r>
      <w:r w:rsidR="00535EB3">
        <w:instrText xml:space="preserve"> REF _Ref402250697 \h </w:instrText>
      </w:r>
      <w:r>
        <w:fldChar w:fldCharType="separate"/>
      </w:r>
      <w:r w:rsidR="00B2652C" w:rsidRPr="00711A6B">
        <w:t xml:space="preserve">Table </w:t>
      </w:r>
      <w:r w:rsidR="00B2652C">
        <w:rPr>
          <w:noProof/>
        </w:rPr>
        <w:t>2</w:t>
      </w:r>
      <w:r w:rsidR="00B2652C" w:rsidRPr="00F36BD8">
        <w:t>-</w:t>
      </w:r>
      <w:r w:rsidR="00B2652C">
        <w:rPr>
          <w:noProof/>
        </w:rPr>
        <w:t>3</w:t>
      </w:r>
      <w:r>
        <w:fldChar w:fldCharType="end"/>
      </w:r>
      <w:r w:rsidR="009C4F3D">
        <w:t xml:space="preserve"> </w:t>
      </w:r>
      <w:r w:rsidR="00157E2A" w:rsidRPr="0092450E">
        <w:rPr>
          <w:noProof/>
        </w:rPr>
        <w:t>lists</w:t>
      </w:r>
      <w:r w:rsidR="00157E2A" w:rsidRPr="0092450E">
        <w:t xml:space="preserve"> some of the non-equipment measures </w:t>
      </w:r>
      <w:r w:rsidR="00157E2A">
        <w:t xml:space="preserve">applicable to </w:t>
      </w:r>
      <w:r w:rsidR="00157E2A" w:rsidRPr="0092450E">
        <w:t>CAC in an existing single-family home. All measures are evaluated for cost</w:t>
      </w:r>
      <w:r w:rsidR="00157E2A">
        <w:t>-</w:t>
      </w:r>
      <w:r w:rsidR="00157E2A" w:rsidRPr="0092450E">
        <w:t xml:space="preserve">effectiveness based on the lifetime benefits relative to the cost of the measure. The total savings </w:t>
      </w:r>
      <w:r w:rsidR="00157E2A">
        <w:t xml:space="preserve">and costs </w:t>
      </w:r>
      <w:r w:rsidR="00157E2A" w:rsidRPr="0092450E">
        <w:t xml:space="preserve">are calculated for each year of the </w:t>
      </w:r>
      <w:r w:rsidR="00157E2A">
        <w:t>study</w:t>
      </w:r>
      <w:r w:rsidR="00157E2A" w:rsidRPr="0092450E">
        <w:t xml:space="preserve"> and depend on the base year saturation of the measure, the applicability</w:t>
      </w:r>
      <w:r w:rsidR="00157E2A" w:rsidRPr="0092450E">
        <w:rPr>
          <w:rStyle w:val="FootnoteReference"/>
        </w:rPr>
        <w:footnoteReference w:id="2"/>
      </w:r>
      <w:r w:rsidR="00157E2A" w:rsidRPr="0092450E">
        <w:t xml:space="preserve"> of the measure, and the savings as a percentage of the relevant energy end uses. </w:t>
      </w:r>
      <w:r w:rsidR="00CB5FF3">
        <w:br w:type="page"/>
      </w:r>
    </w:p>
    <w:p w:rsidR="00157E2A" w:rsidRPr="0018065C" w:rsidRDefault="00535EB3" w:rsidP="008D01F0">
      <w:pPr>
        <w:pStyle w:val="FigureorTableTitle"/>
      </w:pPr>
      <w:bookmarkStart w:id="69" w:name="_Ref402250697"/>
      <w:bookmarkStart w:id="70" w:name="_Toc341181316"/>
      <w:bookmarkStart w:id="71" w:name="_Toc396755820"/>
      <w:bookmarkStart w:id="72" w:name="_Toc424192755"/>
      <w:r w:rsidRPr="00711A6B">
        <w:lastRenderedPageBreak/>
        <w:t xml:space="preserve">Table </w:t>
      </w:r>
      <w:r w:rsidR="00893E3D" w:rsidRPr="00F36BD8">
        <w:fldChar w:fldCharType="begin"/>
      </w:r>
      <w:r w:rsidRPr="00F36BD8">
        <w:instrText xml:space="preserve"> STYLEREF  "Heading 1,Chap Num"  \* MERGEFORMAT </w:instrText>
      </w:r>
      <w:r w:rsidR="00893E3D" w:rsidRPr="00F36BD8">
        <w:fldChar w:fldCharType="end"/>
      </w:r>
      <w:r w:rsidR="00512CD6">
        <w:fldChar w:fldCharType="begin"/>
      </w:r>
      <w:r w:rsidR="00512CD6">
        <w:instrText xml:space="preserve"> STYLEREF  "Heading 1,Chap Num" \n  \* MERGEFORMAT </w:instrText>
      </w:r>
      <w:r w:rsidR="00512CD6">
        <w:fldChar w:fldCharType="separate"/>
      </w:r>
      <w:r w:rsidR="00B2652C">
        <w:rPr>
          <w:noProof/>
        </w:rPr>
        <w:t>2</w:t>
      </w:r>
      <w:r w:rsidR="00512CD6">
        <w:rPr>
          <w:noProof/>
        </w:rPr>
        <w:fldChar w:fldCharType="end"/>
      </w:r>
      <w:r w:rsidRPr="00F36BD8">
        <w:t>-</w:t>
      </w:r>
      <w:r w:rsidR="00512CD6">
        <w:fldChar w:fldCharType="begin"/>
      </w:r>
      <w:r w:rsidR="00512CD6">
        <w:instrText xml:space="preserve"> SEQ Table\s 1 \* MERGEFORMAT </w:instrText>
      </w:r>
      <w:r w:rsidR="00512CD6">
        <w:fldChar w:fldCharType="separate"/>
      </w:r>
      <w:r w:rsidR="00B2652C">
        <w:rPr>
          <w:noProof/>
        </w:rPr>
        <w:t>3</w:t>
      </w:r>
      <w:r w:rsidR="00512CD6">
        <w:rPr>
          <w:noProof/>
        </w:rPr>
        <w:fldChar w:fldCharType="end"/>
      </w:r>
      <w:bookmarkEnd w:id="69"/>
      <w:r w:rsidR="00157E2A">
        <w:tab/>
        <w:t>Ex</w:t>
      </w:r>
      <w:r w:rsidR="00157E2A" w:rsidRPr="00EF58FE">
        <w:t>ample Non-Equipment Measures – Single Family Home, Existing</w:t>
      </w:r>
      <w:bookmarkEnd w:id="70"/>
      <w:bookmarkEnd w:id="71"/>
      <w:bookmarkEnd w:id="72"/>
    </w:p>
    <w:tbl>
      <w:tblPr>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3045"/>
        <w:gridCol w:w="1042"/>
        <w:gridCol w:w="1043"/>
        <w:gridCol w:w="1042"/>
        <w:gridCol w:w="1043"/>
        <w:gridCol w:w="1043"/>
      </w:tblGrid>
      <w:tr w:rsidR="00157E2A" w:rsidTr="00C63F81">
        <w:trPr>
          <w:trHeight w:val="288"/>
        </w:trPr>
        <w:tc>
          <w:tcPr>
            <w:tcW w:w="914" w:type="dxa"/>
            <w:shd w:val="clear" w:color="auto" w:fill="1A1D5D"/>
            <w:vAlign w:val="center"/>
          </w:tcPr>
          <w:p w:rsidR="00157E2A" w:rsidRPr="008D01F0" w:rsidRDefault="00157E2A" w:rsidP="00157E2A">
            <w:pPr>
              <w:pStyle w:val="TableHeadings"/>
              <w:jc w:val="left"/>
              <w:rPr>
                <w:b w:val="0"/>
                <w:sz w:val="18"/>
                <w:szCs w:val="18"/>
              </w:rPr>
            </w:pPr>
            <w:r w:rsidRPr="008D01F0">
              <w:rPr>
                <w:b w:val="0"/>
                <w:sz w:val="18"/>
                <w:szCs w:val="18"/>
              </w:rPr>
              <w:t>End Use</w:t>
            </w:r>
          </w:p>
        </w:tc>
        <w:tc>
          <w:tcPr>
            <w:tcW w:w="3045" w:type="dxa"/>
            <w:shd w:val="clear" w:color="auto" w:fill="1A1D5D"/>
            <w:vAlign w:val="center"/>
          </w:tcPr>
          <w:p w:rsidR="00157E2A" w:rsidRPr="008D01F0" w:rsidRDefault="00157E2A" w:rsidP="008D01F0">
            <w:pPr>
              <w:pStyle w:val="TableHeadings"/>
              <w:rPr>
                <w:b w:val="0"/>
                <w:sz w:val="18"/>
                <w:szCs w:val="18"/>
              </w:rPr>
            </w:pPr>
            <w:r w:rsidRPr="008D01F0">
              <w:rPr>
                <w:b w:val="0"/>
                <w:sz w:val="18"/>
                <w:szCs w:val="18"/>
              </w:rPr>
              <w:t>Measure</w:t>
            </w:r>
          </w:p>
        </w:tc>
        <w:tc>
          <w:tcPr>
            <w:tcW w:w="1042" w:type="dxa"/>
            <w:shd w:val="clear" w:color="auto" w:fill="1A1D5D"/>
            <w:vAlign w:val="center"/>
          </w:tcPr>
          <w:p w:rsidR="00157E2A" w:rsidRPr="008D01F0" w:rsidRDefault="00157E2A" w:rsidP="00A461B8">
            <w:pPr>
              <w:pStyle w:val="TableHeadings"/>
              <w:rPr>
                <w:b w:val="0"/>
                <w:sz w:val="18"/>
                <w:szCs w:val="18"/>
              </w:rPr>
            </w:pPr>
            <w:r w:rsidRPr="008D01F0">
              <w:rPr>
                <w:b w:val="0"/>
                <w:sz w:val="18"/>
                <w:szCs w:val="18"/>
              </w:rPr>
              <w:t>Saturation in 201</w:t>
            </w:r>
            <w:r w:rsidR="00A461B8">
              <w:rPr>
                <w:b w:val="0"/>
                <w:sz w:val="18"/>
                <w:szCs w:val="18"/>
              </w:rPr>
              <w:t>3</w:t>
            </w:r>
            <w:r w:rsidRPr="008D01F0">
              <w:rPr>
                <w:rStyle w:val="FootnoteReference"/>
                <w:b w:val="0"/>
                <w:sz w:val="18"/>
              </w:rPr>
              <w:footnoteReference w:id="3"/>
            </w:r>
          </w:p>
        </w:tc>
        <w:tc>
          <w:tcPr>
            <w:tcW w:w="1043" w:type="dxa"/>
            <w:shd w:val="clear" w:color="auto" w:fill="1A1D5D"/>
            <w:vAlign w:val="center"/>
          </w:tcPr>
          <w:p w:rsidR="00157E2A" w:rsidRPr="008D01F0" w:rsidRDefault="00157E2A" w:rsidP="00157E2A">
            <w:pPr>
              <w:pStyle w:val="TableHeadings"/>
              <w:rPr>
                <w:b w:val="0"/>
                <w:sz w:val="18"/>
                <w:szCs w:val="18"/>
              </w:rPr>
            </w:pPr>
            <w:r w:rsidRPr="008D01F0">
              <w:rPr>
                <w:b w:val="0"/>
                <w:sz w:val="18"/>
                <w:szCs w:val="18"/>
              </w:rPr>
              <w:t>Applica-</w:t>
            </w:r>
            <w:r w:rsidRPr="008D01F0">
              <w:rPr>
                <w:b w:val="0"/>
                <w:sz w:val="18"/>
                <w:szCs w:val="18"/>
              </w:rPr>
              <w:br/>
              <w:t>bility</w:t>
            </w:r>
          </w:p>
        </w:tc>
        <w:tc>
          <w:tcPr>
            <w:tcW w:w="1042" w:type="dxa"/>
            <w:shd w:val="clear" w:color="auto" w:fill="1A1D5D"/>
            <w:vAlign w:val="center"/>
          </w:tcPr>
          <w:p w:rsidR="00157E2A" w:rsidRPr="008D01F0" w:rsidRDefault="00157E2A" w:rsidP="00157E2A">
            <w:pPr>
              <w:pStyle w:val="TableHeadings"/>
              <w:rPr>
                <w:b w:val="0"/>
                <w:sz w:val="18"/>
                <w:szCs w:val="18"/>
              </w:rPr>
            </w:pPr>
            <w:r w:rsidRPr="008D01F0">
              <w:rPr>
                <w:b w:val="0"/>
                <w:sz w:val="18"/>
                <w:szCs w:val="18"/>
              </w:rPr>
              <w:t>Lifetime (yrs)</w:t>
            </w:r>
          </w:p>
        </w:tc>
        <w:tc>
          <w:tcPr>
            <w:tcW w:w="1043" w:type="dxa"/>
            <w:shd w:val="clear" w:color="auto" w:fill="1A1D5D"/>
            <w:vAlign w:val="center"/>
          </w:tcPr>
          <w:p w:rsidR="00157E2A" w:rsidRPr="008D01F0" w:rsidRDefault="00157E2A" w:rsidP="00157E2A">
            <w:pPr>
              <w:pStyle w:val="TableHeadings"/>
              <w:rPr>
                <w:b w:val="0"/>
                <w:sz w:val="18"/>
                <w:szCs w:val="18"/>
              </w:rPr>
            </w:pPr>
            <w:r w:rsidRPr="008D01F0">
              <w:rPr>
                <w:b w:val="0"/>
                <w:sz w:val="18"/>
                <w:szCs w:val="18"/>
              </w:rPr>
              <w:t>Measure Installed Cost</w:t>
            </w:r>
          </w:p>
        </w:tc>
        <w:tc>
          <w:tcPr>
            <w:tcW w:w="1043" w:type="dxa"/>
            <w:shd w:val="clear" w:color="auto" w:fill="1A1D5D"/>
            <w:vAlign w:val="center"/>
          </w:tcPr>
          <w:p w:rsidR="00157E2A" w:rsidRPr="008D01F0" w:rsidRDefault="00157E2A" w:rsidP="00157E2A">
            <w:pPr>
              <w:pStyle w:val="TableHeadings"/>
              <w:rPr>
                <w:b w:val="0"/>
                <w:sz w:val="18"/>
                <w:szCs w:val="18"/>
              </w:rPr>
            </w:pPr>
            <w:r w:rsidRPr="008D01F0">
              <w:rPr>
                <w:b w:val="0"/>
                <w:sz w:val="18"/>
                <w:szCs w:val="18"/>
              </w:rPr>
              <w:t>Energy Savings (%)</w:t>
            </w:r>
          </w:p>
        </w:tc>
      </w:tr>
      <w:tr w:rsidR="004E1AFC" w:rsidTr="004E1AFC">
        <w:trPr>
          <w:trHeight w:val="288"/>
        </w:trPr>
        <w:tc>
          <w:tcPr>
            <w:tcW w:w="914" w:type="dxa"/>
            <w:vAlign w:val="center"/>
          </w:tcPr>
          <w:p w:rsidR="004E1AFC" w:rsidRPr="007B2050" w:rsidRDefault="004E1AFC" w:rsidP="004E1AFC">
            <w:pPr>
              <w:pStyle w:val="TableText"/>
              <w:jc w:val="left"/>
            </w:pPr>
            <w:r w:rsidRPr="007B2050">
              <w:t>Cooling</w:t>
            </w:r>
          </w:p>
        </w:tc>
        <w:tc>
          <w:tcPr>
            <w:tcW w:w="3045" w:type="dxa"/>
            <w:vAlign w:val="center"/>
          </w:tcPr>
          <w:p w:rsidR="004E1AFC" w:rsidRPr="00A461B8" w:rsidRDefault="004E1AFC" w:rsidP="004E1AFC">
            <w:pPr>
              <w:pStyle w:val="TableText"/>
              <w:jc w:val="left"/>
            </w:pPr>
            <w:r w:rsidRPr="00A461B8">
              <w:rPr>
                <w:rFonts w:cs="Calibri"/>
                <w:color w:val="000000"/>
              </w:rPr>
              <w:t>Insulation - Ceiling</w:t>
            </w:r>
          </w:p>
        </w:tc>
        <w:tc>
          <w:tcPr>
            <w:tcW w:w="1042" w:type="dxa"/>
            <w:vAlign w:val="center"/>
          </w:tcPr>
          <w:p w:rsidR="004E1AFC" w:rsidRPr="007B2050" w:rsidRDefault="008D2D2A" w:rsidP="004E1AFC">
            <w:pPr>
              <w:pStyle w:val="TableText"/>
              <w:ind w:right="144"/>
              <w:jc w:val="right"/>
            </w:pPr>
            <w:r>
              <w:t>3</w:t>
            </w:r>
            <w:r w:rsidR="004E1AFC" w:rsidRPr="007B2050">
              <w:t>5%</w:t>
            </w:r>
          </w:p>
        </w:tc>
        <w:tc>
          <w:tcPr>
            <w:tcW w:w="1043" w:type="dxa"/>
            <w:vAlign w:val="center"/>
          </w:tcPr>
          <w:p w:rsidR="004E1AFC" w:rsidRPr="004E1AFC" w:rsidRDefault="004E1AFC" w:rsidP="004E1AFC">
            <w:pPr>
              <w:pStyle w:val="TableText"/>
              <w:ind w:right="144"/>
              <w:jc w:val="right"/>
            </w:pPr>
            <w:r w:rsidRPr="004E1AFC">
              <w:rPr>
                <w:rFonts w:cs="Calibri"/>
              </w:rPr>
              <w:t>50.0%</w:t>
            </w:r>
          </w:p>
        </w:tc>
        <w:tc>
          <w:tcPr>
            <w:tcW w:w="1042" w:type="dxa"/>
            <w:vAlign w:val="center"/>
          </w:tcPr>
          <w:p w:rsidR="004E1AFC" w:rsidRPr="007B2050" w:rsidRDefault="004E1AFC" w:rsidP="004E1AFC">
            <w:pPr>
              <w:pStyle w:val="TableText"/>
              <w:ind w:right="144"/>
              <w:jc w:val="right"/>
            </w:pPr>
            <w:r w:rsidRPr="007B2050">
              <w:t>45</w:t>
            </w:r>
          </w:p>
        </w:tc>
        <w:tc>
          <w:tcPr>
            <w:tcW w:w="1043" w:type="dxa"/>
            <w:vAlign w:val="center"/>
          </w:tcPr>
          <w:p w:rsidR="004E1AFC" w:rsidRPr="004E1AFC" w:rsidRDefault="004E1AFC" w:rsidP="004E1AFC">
            <w:pPr>
              <w:pStyle w:val="TableText"/>
              <w:ind w:right="144"/>
              <w:jc w:val="right"/>
            </w:pPr>
            <w:r w:rsidRPr="004E1AFC">
              <w:rPr>
                <w:rFonts w:cs="Calibri"/>
              </w:rPr>
              <w:t>$1,134</w:t>
            </w:r>
          </w:p>
        </w:tc>
        <w:tc>
          <w:tcPr>
            <w:tcW w:w="1043" w:type="dxa"/>
            <w:vAlign w:val="center"/>
          </w:tcPr>
          <w:p w:rsidR="004E1AFC" w:rsidRPr="004E1AFC" w:rsidRDefault="00C02911" w:rsidP="00C02911">
            <w:pPr>
              <w:pStyle w:val="TableText"/>
              <w:ind w:right="144"/>
              <w:jc w:val="right"/>
            </w:pPr>
            <w:r>
              <w:rPr>
                <w:rFonts w:cs="Calibri"/>
              </w:rPr>
              <w:t>5</w:t>
            </w:r>
            <w:r w:rsidR="004E1AFC" w:rsidRPr="004E1AFC">
              <w:rPr>
                <w:rFonts w:cs="Calibri"/>
              </w:rPr>
              <w:t>%</w:t>
            </w:r>
          </w:p>
        </w:tc>
      </w:tr>
      <w:tr w:rsidR="004E1AFC" w:rsidTr="004E1AFC">
        <w:trPr>
          <w:trHeight w:val="288"/>
        </w:trPr>
        <w:tc>
          <w:tcPr>
            <w:tcW w:w="914" w:type="dxa"/>
            <w:vAlign w:val="center"/>
          </w:tcPr>
          <w:p w:rsidR="004E1AFC" w:rsidRPr="007B2050" w:rsidRDefault="004E1AFC" w:rsidP="004E1AFC">
            <w:pPr>
              <w:pStyle w:val="TableText"/>
              <w:jc w:val="left"/>
            </w:pPr>
            <w:r>
              <w:t>Cooling</w:t>
            </w:r>
          </w:p>
        </w:tc>
        <w:tc>
          <w:tcPr>
            <w:tcW w:w="3045" w:type="dxa"/>
            <w:vAlign w:val="center"/>
          </w:tcPr>
          <w:p w:rsidR="004E1AFC" w:rsidRPr="00A461B8" w:rsidRDefault="004E1AFC" w:rsidP="004E1AFC">
            <w:pPr>
              <w:pStyle w:val="TableText"/>
              <w:jc w:val="left"/>
            </w:pPr>
            <w:r w:rsidRPr="00A461B8">
              <w:rPr>
                <w:rFonts w:cs="Calibri"/>
                <w:color w:val="000000"/>
              </w:rPr>
              <w:t>Insulation - Radiant Barrier</w:t>
            </w:r>
          </w:p>
        </w:tc>
        <w:tc>
          <w:tcPr>
            <w:tcW w:w="1042" w:type="dxa"/>
            <w:vAlign w:val="center"/>
          </w:tcPr>
          <w:p w:rsidR="004E1AFC" w:rsidRPr="007B2050" w:rsidRDefault="004E1AFC" w:rsidP="004E1AFC">
            <w:pPr>
              <w:pStyle w:val="TableText"/>
              <w:ind w:right="144"/>
              <w:jc w:val="right"/>
            </w:pPr>
            <w:r>
              <w:t>15%</w:t>
            </w:r>
          </w:p>
        </w:tc>
        <w:tc>
          <w:tcPr>
            <w:tcW w:w="1043" w:type="dxa"/>
            <w:vAlign w:val="center"/>
          </w:tcPr>
          <w:p w:rsidR="004E1AFC" w:rsidRPr="004E1AFC" w:rsidRDefault="004E1AFC" w:rsidP="004E1AFC">
            <w:pPr>
              <w:pStyle w:val="TableText"/>
              <w:ind w:right="144"/>
              <w:jc w:val="right"/>
            </w:pPr>
            <w:r w:rsidRPr="004E1AFC">
              <w:rPr>
                <w:rFonts w:cs="Calibri"/>
              </w:rPr>
              <w:t>75.0%</w:t>
            </w:r>
          </w:p>
        </w:tc>
        <w:tc>
          <w:tcPr>
            <w:tcW w:w="1042" w:type="dxa"/>
            <w:vAlign w:val="center"/>
          </w:tcPr>
          <w:p w:rsidR="004E1AFC" w:rsidRPr="007B2050" w:rsidRDefault="004E1AFC" w:rsidP="004E1AFC">
            <w:pPr>
              <w:pStyle w:val="TableText"/>
              <w:ind w:right="144"/>
              <w:jc w:val="right"/>
            </w:pPr>
            <w:r>
              <w:t>15</w:t>
            </w:r>
          </w:p>
        </w:tc>
        <w:tc>
          <w:tcPr>
            <w:tcW w:w="1043" w:type="dxa"/>
            <w:vAlign w:val="center"/>
          </w:tcPr>
          <w:p w:rsidR="004E1AFC" w:rsidRPr="004E1AFC" w:rsidRDefault="004E1AFC" w:rsidP="008D2D2A">
            <w:pPr>
              <w:pStyle w:val="TableText"/>
              <w:ind w:right="144"/>
              <w:jc w:val="right"/>
            </w:pPr>
            <w:r w:rsidRPr="004E1AFC">
              <w:rPr>
                <w:rFonts w:cs="Calibri"/>
              </w:rPr>
              <w:t>$</w:t>
            </w:r>
            <w:r w:rsidR="008D2D2A">
              <w:rPr>
                <w:rFonts w:cs="Calibri"/>
              </w:rPr>
              <w:t>1,245</w:t>
            </w:r>
          </w:p>
        </w:tc>
        <w:tc>
          <w:tcPr>
            <w:tcW w:w="1043" w:type="dxa"/>
            <w:vAlign w:val="center"/>
          </w:tcPr>
          <w:p w:rsidR="004E1AFC" w:rsidRPr="004E1AFC" w:rsidRDefault="00C02911" w:rsidP="004E1AFC">
            <w:pPr>
              <w:pStyle w:val="TableText"/>
              <w:ind w:right="144"/>
              <w:jc w:val="right"/>
            </w:pPr>
            <w:r>
              <w:rPr>
                <w:rFonts w:cs="Calibri"/>
              </w:rPr>
              <w:t>13</w:t>
            </w:r>
            <w:r w:rsidR="004E1AFC" w:rsidRPr="004E1AFC">
              <w:rPr>
                <w:rFonts w:cs="Calibri"/>
              </w:rPr>
              <w:t>%</w:t>
            </w:r>
          </w:p>
        </w:tc>
      </w:tr>
      <w:tr w:rsidR="004E1AFC" w:rsidTr="004E1AFC">
        <w:trPr>
          <w:trHeight w:val="288"/>
        </w:trPr>
        <w:tc>
          <w:tcPr>
            <w:tcW w:w="914" w:type="dxa"/>
            <w:vAlign w:val="center"/>
          </w:tcPr>
          <w:p w:rsidR="004E1AFC" w:rsidRPr="007B2050" w:rsidRDefault="004E1AFC" w:rsidP="004E1AFC">
            <w:pPr>
              <w:pStyle w:val="TableText"/>
              <w:jc w:val="left"/>
            </w:pPr>
            <w:r w:rsidRPr="007B2050">
              <w:t>Cooling</w:t>
            </w:r>
          </w:p>
        </w:tc>
        <w:tc>
          <w:tcPr>
            <w:tcW w:w="3045" w:type="dxa"/>
            <w:vAlign w:val="center"/>
          </w:tcPr>
          <w:p w:rsidR="004E1AFC" w:rsidRPr="00A461B8" w:rsidRDefault="004E1AFC" w:rsidP="004E1AFC">
            <w:pPr>
              <w:pStyle w:val="TableText"/>
              <w:jc w:val="left"/>
            </w:pPr>
            <w:r w:rsidRPr="00A461B8">
              <w:rPr>
                <w:rFonts w:cs="Calibri"/>
                <w:color w:val="000000"/>
              </w:rPr>
              <w:t>Ducting - Repair and Sealing</w:t>
            </w:r>
          </w:p>
        </w:tc>
        <w:tc>
          <w:tcPr>
            <w:tcW w:w="1042" w:type="dxa"/>
            <w:vAlign w:val="center"/>
          </w:tcPr>
          <w:p w:rsidR="004E1AFC" w:rsidRPr="007B2050" w:rsidRDefault="004E1AFC" w:rsidP="004E1AFC">
            <w:pPr>
              <w:pStyle w:val="TableText"/>
              <w:ind w:right="144"/>
              <w:jc w:val="right"/>
            </w:pPr>
            <w:r w:rsidRPr="007B2050">
              <w:t>15%</w:t>
            </w:r>
          </w:p>
        </w:tc>
        <w:tc>
          <w:tcPr>
            <w:tcW w:w="1043" w:type="dxa"/>
            <w:vAlign w:val="center"/>
          </w:tcPr>
          <w:p w:rsidR="004E1AFC" w:rsidRPr="004E1AFC" w:rsidRDefault="008D2D2A" w:rsidP="008D2D2A">
            <w:pPr>
              <w:pStyle w:val="TableText"/>
              <w:ind w:right="144"/>
              <w:jc w:val="right"/>
            </w:pPr>
            <w:r>
              <w:rPr>
                <w:rFonts w:cs="Calibri"/>
              </w:rPr>
              <w:t>5</w:t>
            </w:r>
            <w:r w:rsidR="004E1AFC" w:rsidRPr="004E1AFC">
              <w:rPr>
                <w:rFonts w:cs="Calibri"/>
              </w:rPr>
              <w:t>0.0%</w:t>
            </w:r>
          </w:p>
        </w:tc>
        <w:tc>
          <w:tcPr>
            <w:tcW w:w="1042" w:type="dxa"/>
            <w:vAlign w:val="center"/>
          </w:tcPr>
          <w:p w:rsidR="004E1AFC" w:rsidRPr="007B2050" w:rsidRDefault="00C02911" w:rsidP="00C02911">
            <w:pPr>
              <w:pStyle w:val="TableText"/>
              <w:ind w:right="144"/>
              <w:jc w:val="right"/>
            </w:pPr>
            <w:r>
              <w:t>20</w:t>
            </w:r>
          </w:p>
        </w:tc>
        <w:tc>
          <w:tcPr>
            <w:tcW w:w="1043" w:type="dxa"/>
            <w:vAlign w:val="center"/>
          </w:tcPr>
          <w:p w:rsidR="004E1AFC" w:rsidRPr="004E1AFC" w:rsidRDefault="004E1AFC" w:rsidP="004E1AFC">
            <w:pPr>
              <w:pStyle w:val="TableText"/>
              <w:ind w:right="144"/>
              <w:jc w:val="right"/>
            </w:pPr>
            <w:r w:rsidRPr="004E1AFC">
              <w:rPr>
                <w:rFonts w:cs="Calibri"/>
              </w:rPr>
              <w:t>$538</w:t>
            </w:r>
          </w:p>
        </w:tc>
        <w:tc>
          <w:tcPr>
            <w:tcW w:w="1043" w:type="dxa"/>
            <w:vAlign w:val="center"/>
          </w:tcPr>
          <w:p w:rsidR="004E1AFC" w:rsidRPr="004E1AFC" w:rsidRDefault="00C02911" w:rsidP="00C02911">
            <w:pPr>
              <w:pStyle w:val="TableText"/>
              <w:ind w:right="144"/>
              <w:jc w:val="right"/>
            </w:pPr>
            <w:r>
              <w:rPr>
                <w:rFonts w:cs="Calibri"/>
              </w:rPr>
              <w:t>5</w:t>
            </w:r>
            <w:r w:rsidR="004E1AFC" w:rsidRPr="004E1AFC">
              <w:rPr>
                <w:rFonts w:cs="Calibri"/>
              </w:rPr>
              <w:t>%</w:t>
            </w:r>
          </w:p>
        </w:tc>
      </w:tr>
      <w:tr w:rsidR="004E1AFC" w:rsidTr="004E1AFC">
        <w:trPr>
          <w:trHeight w:val="288"/>
        </w:trPr>
        <w:tc>
          <w:tcPr>
            <w:tcW w:w="914" w:type="dxa"/>
            <w:vAlign w:val="center"/>
          </w:tcPr>
          <w:p w:rsidR="004E1AFC" w:rsidRPr="007B2050" w:rsidRDefault="004E1AFC" w:rsidP="004E1AFC">
            <w:pPr>
              <w:pStyle w:val="TableText"/>
              <w:jc w:val="left"/>
            </w:pPr>
            <w:r w:rsidRPr="007B2050">
              <w:t>Cooling</w:t>
            </w:r>
          </w:p>
        </w:tc>
        <w:tc>
          <w:tcPr>
            <w:tcW w:w="3045" w:type="dxa"/>
            <w:vAlign w:val="center"/>
          </w:tcPr>
          <w:p w:rsidR="004E1AFC" w:rsidRPr="00A461B8" w:rsidRDefault="004E1AFC" w:rsidP="004E1AFC">
            <w:pPr>
              <w:pStyle w:val="TableText"/>
              <w:jc w:val="left"/>
            </w:pPr>
            <w:r w:rsidRPr="00A461B8">
              <w:rPr>
                <w:rFonts w:cs="Calibri"/>
                <w:color w:val="000000"/>
              </w:rPr>
              <w:t>Windows - High Efficiency</w:t>
            </w:r>
          </w:p>
        </w:tc>
        <w:tc>
          <w:tcPr>
            <w:tcW w:w="1042" w:type="dxa"/>
            <w:vAlign w:val="center"/>
          </w:tcPr>
          <w:p w:rsidR="004E1AFC" w:rsidRPr="007B2050" w:rsidRDefault="00C02911" w:rsidP="004E1AFC">
            <w:pPr>
              <w:pStyle w:val="TableText"/>
              <w:ind w:right="144"/>
              <w:jc w:val="right"/>
            </w:pPr>
            <w:r>
              <w:t>20</w:t>
            </w:r>
            <w:r w:rsidR="004E1AFC" w:rsidRPr="007B2050">
              <w:t>%</w:t>
            </w:r>
          </w:p>
        </w:tc>
        <w:tc>
          <w:tcPr>
            <w:tcW w:w="1043" w:type="dxa"/>
            <w:vAlign w:val="center"/>
          </w:tcPr>
          <w:p w:rsidR="004E1AFC" w:rsidRPr="004E1AFC" w:rsidRDefault="004E1AFC" w:rsidP="004E1AFC">
            <w:pPr>
              <w:pStyle w:val="TableText"/>
              <w:ind w:right="144"/>
              <w:jc w:val="right"/>
            </w:pPr>
            <w:r w:rsidRPr="004E1AFC">
              <w:rPr>
                <w:rFonts w:cs="Calibri"/>
              </w:rPr>
              <w:t>75.0%</w:t>
            </w:r>
          </w:p>
        </w:tc>
        <w:tc>
          <w:tcPr>
            <w:tcW w:w="1042" w:type="dxa"/>
            <w:vAlign w:val="center"/>
          </w:tcPr>
          <w:p w:rsidR="004E1AFC" w:rsidRPr="007B2050" w:rsidRDefault="00C02911" w:rsidP="00C02911">
            <w:pPr>
              <w:pStyle w:val="TableText"/>
              <w:ind w:right="144"/>
              <w:jc w:val="right"/>
            </w:pPr>
            <w:r>
              <w:t>4</w:t>
            </w:r>
            <w:r w:rsidR="004E1AFC" w:rsidRPr="007B2050">
              <w:t>5</w:t>
            </w:r>
          </w:p>
        </w:tc>
        <w:tc>
          <w:tcPr>
            <w:tcW w:w="1043" w:type="dxa"/>
            <w:vAlign w:val="center"/>
          </w:tcPr>
          <w:p w:rsidR="004E1AFC" w:rsidRPr="004E1AFC" w:rsidRDefault="004E1AFC" w:rsidP="00C02911">
            <w:pPr>
              <w:pStyle w:val="TableText"/>
              <w:ind w:right="144"/>
              <w:jc w:val="right"/>
            </w:pPr>
            <w:r w:rsidRPr="004E1AFC">
              <w:rPr>
                <w:rFonts w:cs="Calibri"/>
              </w:rPr>
              <w:t>$2,</w:t>
            </w:r>
            <w:r w:rsidR="00C02911">
              <w:rPr>
                <w:rFonts w:cs="Calibri"/>
              </w:rPr>
              <w:t>908</w:t>
            </w:r>
          </w:p>
        </w:tc>
        <w:tc>
          <w:tcPr>
            <w:tcW w:w="1043" w:type="dxa"/>
            <w:vAlign w:val="center"/>
          </w:tcPr>
          <w:p w:rsidR="004E1AFC" w:rsidRPr="004E1AFC" w:rsidRDefault="00C02911" w:rsidP="00C02911">
            <w:pPr>
              <w:pStyle w:val="TableText"/>
              <w:ind w:right="144"/>
              <w:jc w:val="right"/>
            </w:pPr>
            <w:r>
              <w:rPr>
                <w:rFonts w:cs="Calibri"/>
              </w:rPr>
              <w:t>9</w:t>
            </w:r>
            <w:r w:rsidR="004E1AFC" w:rsidRPr="004E1AFC">
              <w:rPr>
                <w:rFonts w:cs="Calibri"/>
              </w:rPr>
              <w:t>%</w:t>
            </w:r>
          </w:p>
        </w:tc>
      </w:tr>
      <w:tr w:rsidR="004E1AFC" w:rsidTr="004E1AFC">
        <w:trPr>
          <w:trHeight w:val="288"/>
        </w:trPr>
        <w:tc>
          <w:tcPr>
            <w:tcW w:w="914" w:type="dxa"/>
            <w:vAlign w:val="center"/>
          </w:tcPr>
          <w:p w:rsidR="004E1AFC" w:rsidRPr="007B2050" w:rsidRDefault="004E1AFC" w:rsidP="004E1AFC">
            <w:pPr>
              <w:pStyle w:val="TableText"/>
              <w:jc w:val="left"/>
            </w:pPr>
            <w:r w:rsidRPr="007B2050">
              <w:t>Cooling</w:t>
            </w:r>
          </w:p>
        </w:tc>
        <w:tc>
          <w:tcPr>
            <w:tcW w:w="3045" w:type="dxa"/>
            <w:vAlign w:val="center"/>
          </w:tcPr>
          <w:p w:rsidR="004E1AFC" w:rsidRPr="00A461B8" w:rsidRDefault="004E1AFC" w:rsidP="004E1AFC">
            <w:pPr>
              <w:pStyle w:val="TableText"/>
              <w:jc w:val="left"/>
            </w:pPr>
            <w:r w:rsidRPr="00A461B8">
              <w:rPr>
                <w:rFonts w:cs="Calibri"/>
                <w:color w:val="000000"/>
              </w:rPr>
              <w:t>Thermostat - Clock/Programmable</w:t>
            </w:r>
          </w:p>
        </w:tc>
        <w:tc>
          <w:tcPr>
            <w:tcW w:w="1042" w:type="dxa"/>
            <w:vAlign w:val="center"/>
          </w:tcPr>
          <w:p w:rsidR="004E1AFC" w:rsidRPr="007B2050" w:rsidRDefault="00C02911" w:rsidP="004E1AFC">
            <w:pPr>
              <w:pStyle w:val="TableText"/>
              <w:ind w:right="144"/>
              <w:jc w:val="right"/>
            </w:pPr>
            <w:r>
              <w:t>30</w:t>
            </w:r>
            <w:r w:rsidR="004E1AFC" w:rsidRPr="007B2050">
              <w:t>%</w:t>
            </w:r>
          </w:p>
        </w:tc>
        <w:tc>
          <w:tcPr>
            <w:tcW w:w="1043" w:type="dxa"/>
            <w:vAlign w:val="center"/>
          </w:tcPr>
          <w:p w:rsidR="004E1AFC" w:rsidRPr="004E1AFC" w:rsidRDefault="00C02911" w:rsidP="00C02911">
            <w:pPr>
              <w:pStyle w:val="TableText"/>
              <w:ind w:right="144"/>
              <w:jc w:val="right"/>
            </w:pPr>
            <w:r>
              <w:rPr>
                <w:rFonts w:cs="Calibri"/>
              </w:rPr>
              <w:t>4</w:t>
            </w:r>
            <w:r w:rsidR="004E1AFC" w:rsidRPr="004E1AFC">
              <w:rPr>
                <w:rFonts w:cs="Calibri"/>
              </w:rPr>
              <w:t>0.0%</w:t>
            </w:r>
          </w:p>
        </w:tc>
        <w:tc>
          <w:tcPr>
            <w:tcW w:w="1042" w:type="dxa"/>
            <w:vAlign w:val="center"/>
          </w:tcPr>
          <w:p w:rsidR="004E1AFC" w:rsidRPr="007B2050" w:rsidRDefault="004E1AFC" w:rsidP="004E1AFC">
            <w:pPr>
              <w:pStyle w:val="TableText"/>
              <w:ind w:right="144"/>
              <w:jc w:val="right"/>
            </w:pPr>
            <w:r>
              <w:t>15</w:t>
            </w:r>
          </w:p>
        </w:tc>
        <w:tc>
          <w:tcPr>
            <w:tcW w:w="1043" w:type="dxa"/>
            <w:vAlign w:val="center"/>
          </w:tcPr>
          <w:p w:rsidR="004E1AFC" w:rsidRPr="004E1AFC" w:rsidRDefault="004E1AFC" w:rsidP="00C02911">
            <w:pPr>
              <w:pStyle w:val="TableText"/>
              <w:ind w:right="144"/>
              <w:jc w:val="right"/>
            </w:pPr>
            <w:r w:rsidRPr="004E1AFC">
              <w:rPr>
                <w:rFonts w:cs="Calibri"/>
              </w:rPr>
              <w:t>$23</w:t>
            </w:r>
            <w:r w:rsidR="00C02911">
              <w:rPr>
                <w:rFonts w:cs="Calibri"/>
              </w:rPr>
              <w:t>0</w:t>
            </w:r>
          </w:p>
        </w:tc>
        <w:tc>
          <w:tcPr>
            <w:tcW w:w="1043" w:type="dxa"/>
            <w:vAlign w:val="center"/>
          </w:tcPr>
          <w:p w:rsidR="004E1AFC" w:rsidRPr="004E1AFC" w:rsidRDefault="00C02911" w:rsidP="00C02911">
            <w:pPr>
              <w:pStyle w:val="TableText"/>
              <w:ind w:right="144"/>
              <w:jc w:val="right"/>
            </w:pPr>
            <w:r>
              <w:rPr>
                <w:rFonts w:cs="Calibri"/>
              </w:rPr>
              <w:t>4</w:t>
            </w:r>
            <w:r w:rsidR="004E1AFC" w:rsidRPr="004E1AFC">
              <w:rPr>
                <w:rFonts w:cs="Calibri"/>
              </w:rPr>
              <w:t>%</w:t>
            </w:r>
          </w:p>
        </w:tc>
      </w:tr>
    </w:tbl>
    <w:p w:rsidR="00157E2A" w:rsidRPr="0092450E" w:rsidRDefault="00157E2A" w:rsidP="00B26E46">
      <w:pPr>
        <w:pStyle w:val="Heading5"/>
      </w:pPr>
      <w:r w:rsidRPr="0092450E">
        <w:t xml:space="preserve">Screening Measures for Cost-Effectiveness </w:t>
      </w:r>
    </w:p>
    <w:p w:rsidR="00157E2A" w:rsidRPr="0092450E" w:rsidRDefault="00157E2A" w:rsidP="00157E2A">
      <w:pPr>
        <w:pStyle w:val="BodyText"/>
      </w:pPr>
      <w:r w:rsidRPr="0092450E">
        <w:t>Only measures that are cost-effective are included in economic and achievable potential</w:t>
      </w:r>
      <w:r>
        <w:t>.</w:t>
      </w:r>
      <w:r w:rsidRPr="0092450E">
        <w:t xml:space="preserve"> Therefore</w:t>
      </w:r>
      <w:r>
        <w:t>,</w:t>
      </w:r>
      <w:r w:rsidRPr="0092450E">
        <w:t xml:space="preserve"> for each individual measure</w:t>
      </w:r>
      <w:r>
        <w:t>, LoadMAP performs</w:t>
      </w:r>
      <w:r w:rsidRPr="0092450E">
        <w:t xml:space="preserve"> an economic screen. This study uses the </w:t>
      </w:r>
      <w:r w:rsidR="00B26E46">
        <w:t>TRC</w:t>
      </w:r>
      <w:r w:rsidRPr="0092450E">
        <w:t xml:space="preserve"> test that compares the lifetime</w:t>
      </w:r>
      <w:r>
        <w:t xml:space="preserve"> energy</w:t>
      </w:r>
      <w:r w:rsidRPr="0092450E">
        <w:t xml:space="preserve"> </w:t>
      </w:r>
      <w:r>
        <w:t>and</w:t>
      </w:r>
      <w:r w:rsidRPr="0092450E">
        <w:t xml:space="preserve"> peak demand</w:t>
      </w:r>
      <w:r>
        <w:t xml:space="preserve"> benefits </w:t>
      </w:r>
      <w:r w:rsidRPr="0092450E">
        <w:t>of each applicable measure with its cost</w:t>
      </w:r>
      <w:r w:rsidR="00B26E46">
        <w:t xml:space="preserve">. </w:t>
      </w:r>
      <w:r w:rsidRPr="0092450E">
        <w:t xml:space="preserve">The lifetime benefits are calculated by multiplying the annual energy and demand savings for each measure by all appropriate avoided costs for each year, and discounting the dollar savings to the present value equivalent. </w:t>
      </w:r>
      <w:r w:rsidR="00B26E46">
        <w:t xml:space="preserve">Lifetime costs represent incremental measure cost and annual </w:t>
      </w:r>
      <w:r w:rsidR="00754ED4">
        <w:t>operations and maintenance (</w:t>
      </w:r>
      <w:r w:rsidR="00B26E46">
        <w:t>O&amp;M</w:t>
      </w:r>
      <w:r w:rsidR="00754ED4">
        <w:t>)</w:t>
      </w:r>
      <w:r w:rsidR="00B26E46">
        <w:t xml:space="preserve"> costs. </w:t>
      </w:r>
      <w:r w:rsidRPr="0092450E">
        <w:t>The analysis uses each measure’s values for savings, costs</w:t>
      </w:r>
      <w:r>
        <w:t>,</w:t>
      </w:r>
      <w:r w:rsidRPr="0092450E">
        <w:t xml:space="preserve"> and lifetimes that were developed as part of the measure characterization process described above. </w:t>
      </w:r>
    </w:p>
    <w:p w:rsidR="00157E2A" w:rsidRPr="0089750E" w:rsidRDefault="00157E2A" w:rsidP="00157E2A">
      <w:pPr>
        <w:pStyle w:val="BodyText"/>
      </w:pPr>
      <w:r w:rsidRPr="0089750E">
        <w:t xml:space="preserve">The LoadMAP model performs this screening dynamically, taking into account changing savings and cost data over time. Thus, some measures pass the economic screen for some — but not all — of the years in the </w:t>
      </w:r>
      <w:r w:rsidR="00544B36">
        <w:t>projection</w:t>
      </w:r>
      <w:r w:rsidRPr="0089750E">
        <w:t xml:space="preserve">. </w:t>
      </w:r>
    </w:p>
    <w:p w:rsidR="00157E2A" w:rsidRDefault="00157E2A" w:rsidP="00157E2A">
      <w:pPr>
        <w:pStyle w:val="BodyText"/>
      </w:pPr>
      <w:r w:rsidRPr="0089750E">
        <w:t xml:space="preserve">It is important to note the following about the economic screen: </w:t>
      </w:r>
    </w:p>
    <w:p w:rsidR="00157E2A" w:rsidRPr="0089750E" w:rsidRDefault="00157E2A" w:rsidP="00157E2A">
      <w:pPr>
        <w:pStyle w:val="BulletedList0"/>
        <w:tabs>
          <w:tab w:val="clear" w:pos="360"/>
        </w:tabs>
      </w:pPr>
      <w:r w:rsidRPr="0089750E">
        <w:t xml:space="preserve">The economic evaluation of every measure in the screen is conducted relative to a baseline condition. For instance, in order to determine the kilowatt-hour (kWh) savings potential of a measure, kWh consumption with the measure applied must be compared to the kWh consumption of a baseline condition. </w:t>
      </w:r>
    </w:p>
    <w:p w:rsidR="00157E2A" w:rsidRDefault="00157E2A" w:rsidP="00157E2A">
      <w:pPr>
        <w:pStyle w:val="BulletedList0"/>
        <w:tabs>
          <w:tab w:val="clear" w:pos="360"/>
        </w:tabs>
      </w:pPr>
      <w:r w:rsidRPr="0089750E">
        <w:t>The economic screening was conducted only for measures that are applicable to each building type and vintage; thus if a measure is deemed to be irrelevant to a particular building type and vintage, it is excluded from the respective economic screen.</w:t>
      </w:r>
    </w:p>
    <w:p w:rsidR="00544B36" w:rsidRDefault="00544B36" w:rsidP="00544B36">
      <w:pPr>
        <w:pStyle w:val="BulletedList0"/>
      </w:pPr>
      <w:r>
        <w:t xml:space="preserve">If multiple equipment measures have </w:t>
      </w:r>
      <w:r w:rsidR="00E92F2B">
        <w:t xml:space="preserve">benefit to cost </w:t>
      </w:r>
      <w:r>
        <w:t>ratios</w:t>
      </w:r>
      <w:r w:rsidR="00E92F2B">
        <w:t xml:space="preserve"> (B/C ratios)</w:t>
      </w:r>
      <w:r>
        <w:t xml:space="preserve"> greater than or equal to 1.0, the most efficient technology is selected by the economic screen.</w:t>
      </w:r>
    </w:p>
    <w:bookmarkStart w:id="73" w:name="_Toc229911601"/>
    <w:bookmarkStart w:id="74" w:name="_Toc257011234"/>
    <w:bookmarkStart w:id="75" w:name="_Toc285452591"/>
    <w:bookmarkStart w:id="76" w:name="_Toc297120472"/>
    <w:bookmarkStart w:id="77" w:name="_Toc314728398"/>
    <w:bookmarkStart w:id="78" w:name="_Toc335647152"/>
    <w:bookmarkStart w:id="79" w:name="_Toc341176216"/>
    <w:p w:rsidR="00157E2A" w:rsidRDefault="00893E3D" w:rsidP="00157E2A">
      <w:pPr>
        <w:pStyle w:val="BodyText"/>
      </w:pPr>
      <w:r>
        <w:fldChar w:fldCharType="begin"/>
      </w:r>
      <w:r w:rsidR="00535EB3">
        <w:instrText xml:space="preserve"> REF _Ref402250805 \h </w:instrText>
      </w:r>
      <w:r>
        <w:fldChar w:fldCharType="separate"/>
      </w:r>
      <w:r w:rsidR="00B2652C" w:rsidRPr="00535EB3">
        <w:rPr>
          <w:rFonts w:cs="Calibri"/>
          <w:bCs/>
          <w:iCs/>
          <w:szCs w:val="22"/>
        </w:rPr>
        <w:t xml:space="preserve">Table </w:t>
      </w:r>
      <w:r w:rsidR="00B2652C" w:rsidRPr="00B2652C">
        <w:rPr>
          <w:rFonts w:cs="Calibri"/>
          <w:bCs/>
          <w:iCs/>
          <w:noProof/>
          <w:szCs w:val="22"/>
        </w:rPr>
        <w:t>2</w:t>
      </w:r>
      <w:r w:rsidR="00B2652C" w:rsidRPr="00535EB3">
        <w:rPr>
          <w:rFonts w:cs="Calibri"/>
          <w:bCs/>
          <w:iCs/>
          <w:szCs w:val="22"/>
        </w:rPr>
        <w:t>-</w:t>
      </w:r>
      <w:r w:rsidR="00B2652C" w:rsidRPr="00B2652C">
        <w:rPr>
          <w:rFonts w:cs="Calibri"/>
          <w:bCs/>
          <w:iCs/>
          <w:noProof/>
          <w:szCs w:val="22"/>
        </w:rPr>
        <w:t>4</w:t>
      </w:r>
      <w:r>
        <w:fldChar w:fldCharType="end"/>
      </w:r>
      <w:r w:rsidR="009C4F3D">
        <w:t xml:space="preserve"> </w:t>
      </w:r>
      <w:r w:rsidR="00157E2A" w:rsidRPr="002A202A">
        <w:t>summarizes the number of measures evaluated for each segment within each sector.</w:t>
      </w:r>
    </w:p>
    <w:p w:rsidR="00157E2A" w:rsidRPr="00535EB3" w:rsidRDefault="00535EB3" w:rsidP="00157E2A">
      <w:pPr>
        <w:pStyle w:val="TableCaption"/>
        <w:rPr>
          <w:rFonts w:cs="Calibri"/>
          <w:bCs/>
          <w:iCs/>
          <w:sz w:val="20"/>
          <w:szCs w:val="22"/>
        </w:rPr>
      </w:pPr>
      <w:bookmarkStart w:id="80" w:name="_Ref402250805"/>
      <w:bookmarkStart w:id="81" w:name="_Toc396755821"/>
      <w:bookmarkStart w:id="82" w:name="_Toc424192756"/>
      <w:r w:rsidRPr="00535EB3">
        <w:rPr>
          <w:rFonts w:cs="Calibri"/>
          <w:bCs/>
          <w:iCs/>
          <w:sz w:val="20"/>
          <w:szCs w:val="22"/>
        </w:rPr>
        <w:t xml:space="preserve">Table </w:t>
      </w:r>
      <w:r w:rsidR="00893E3D" w:rsidRPr="00535EB3">
        <w:rPr>
          <w:rFonts w:cs="Calibri"/>
          <w:bCs/>
          <w:iCs/>
          <w:sz w:val="20"/>
          <w:szCs w:val="22"/>
        </w:rPr>
        <w:fldChar w:fldCharType="begin"/>
      </w:r>
      <w:r w:rsidRPr="00535EB3">
        <w:rPr>
          <w:rFonts w:cs="Calibri"/>
          <w:bCs/>
          <w:iCs/>
          <w:sz w:val="20"/>
          <w:szCs w:val="22"/>
        </w:rPr>
        <w:instrText xml:space="preserve"> STYLEREF  "Heading 1,Chap Num"  \* MERGEFORMAT </w:instrText>
      </w:r>
      <w:r w:rsidR="00893E3D" w:rsidRPr="00535EB3">
        <w:rPr>
          <w:rFonts w:cs="Calibri"/>
          <w:bCs/>
          <w:iCs/>
          <w:sz w:val="20"/>
          <w:szCs w:val="22"/>
        </w:rPr>
        <w:fldChar w:fldCharType="end"/>
      </w:r>
      <w:r w:rsidR="00512CD6">
        <w:fldChar w:fldCharType="begin"/>
      </w:r>
      <w:r w:rsidR="00512CD6">
        <w:instrText xml:space="preserve"> STYLEREF  "Headin</w:instrText>
      </w:r>
      <w:r w:rsidR="00512CD6">
        <w:instrText xml:space="preserve">g 1,Chap Num" \n  \* MERGEFORMAT </w:instrText>
      </w:r>
      <w:r w:rsidR="00512CD6">
        <w:fldChar w:fldCharType="separate"/>
      </w:r>
      <w:r w:rsidR="00B2652C" w:rsidRPr="00B2652C">
        <w:rPr>
          <w:rFonts w:cs="Calibri"/>
          <w:bCs/>
          <w:iCs/>
          <w:noProof/>
          <w:sz w:val="20"/>
          <w:szCs w:val="22"/>
        </w:rPr>
        <w:t>2</w:t>
      </w:r>
      <w:r w:rsidR="00512CD6">
        <w:rPr>
          <w:rFonts w:cs="Calibri"/>
          <w:bCs/>
          <w:iCs/>
          <w:noProof/>
          <w:sz w:val="20"/>
          <w:szCs w:val="22"/>
        </w:rPr>
        <w:fldChar w:fldCharType="end"/>
      </w:r>
      <w:r w:rsidRPr="00535EB3">
        <w:rPr>
          <w:rFonts w:cs="Calibri"/>
          <w:bCs/>
          <w:iCs/>
          <w:sz w:val="20"/>
          <w:szCs w:val="22"/>
        </w:rPr>
        <w:t>-</w:t>
      </w:r>
      <w:r w:rsidR="00512CD6">
        <w:fldChar w:fldCharType="begin"/>
      </w:r>
      <w:r w:rsidR="00512CD6">
        <w:instrText xml:space="preserve"> SEQ Table\s 1 \* MERGEFORMAT </w:instrText>
      </w:r>
      <w:r w:rsidR="00512CD6">
        <w:fldChar w:fldCharType="separate"/>
      </w:r>
      <w:r w:rsidR="00B2652C" w:rsidRPr="00B2652C">
        <w:rPr>
          <w:rFonts w:cs="Calibri"/>
          <w:bCs/>
          <w:iCs/>
          <w:noProof/>
          <w:sz w:val="20"/>
          <w:szCs w:val="22"/>
        </w:rPr>
        <w:t>4</w:t>
      </w:r>
      <w:r w:rsidR="00512CD6">
        <w:rPr>
          <w:rFonts w:cs="Calibri"/>
          <w:bCs/>
          <w:iCs/>
          <w:noProof/>
          <w:sz w:val="20"/>
          <w:szCs w:val="22"/>
        </w:rPr>
        <w:fldChar w:fldCharType="end"/>
      </w:r>
      <w:bookmarkEnd w:id="80"/>
      <w:r w:rsidR="00157E2A" w:rsidRPr="00535EB3">
        <w:rPr>
          <w:rFonts w:cs="Calibri"/>
          <w:bCs/>
          <w:iCs/>
          <w:sz w:val="20"/>
          <w:szCs w:val="22"/>
        </w:rPr>
        <w:tab/>
        <w:t>Number of Measures Evaluated</w:t>
      </w:r>
      <w:bookmarkEnd w:id="81"/>
      <w:bookmarkEnd w:id="82"/>
      <w:r w:rsidR="00157E2A" w:rsidRPr="00535EB3">
        <w:rPr>
          <w:rFonts w:cs="Calibri"/>
          <w:bCs/>
          <w:iCs/>
          <w:sz w:val="20"/>
          <w:szCs w:val="22"/>
        </w:rPr>
        <w:t xml:space="preserve"> </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58" w:type="dxa"/>
          <w:left w:w="115" w:type="dxa"/>
          <w:bottom w:w="58" w:type="dxa"/>
          <w:right w:w="115" w:type="dxa"/>
        </w:tblCellMar>
        <w:tblLook w:val="04A0" w:firstRow="1" w:lastRow="0" w:firstColumn="1" w:lastColumn="0" w:noHBand="0" w:noVBand="1"/>
      </w:tblPr>
      <w:tblGrid>
        <w:gridCol w:w="3912"/>
        <w:gridCol w:w="1772"/>
        <w:gridCol w:w="1774"/>
        <w:gridCol w:w="1772"/>
      </w:tblGrid>
      <w:tr w:rsidR="00157E2A" w:rsidTr="00C63F81">
        <w:tc>
          <w:tcPr>
            <w:tcW w:w="2119" w:type="pct"/>
            <w:shd w:val="clear" w:color="auto" w:fill="1A1D5D"/>
            <w:tcMar>
              <w:top w:w="29" w:type="dxa"/>
              <w:bottom w:w="29" w:type="dxa"/>
            </w:tcMar>
            <w:vAlign w:val="center"/>
          </w:tcPr>
          <w:p w:rsidR="00157E2A" w:rsidRPr="008D01F0" w:rsidRDefault="00157E2A" w:rsidP="00157E2A">
            <w:pPr>
              <w:pStyle w:val="TableHeadings"/>
              <w:rPr>
                <w:b w:val="0"/>
              </w:rPr>
            </w:pPr>
            <w:r w:rsidRPr="008D01F0">
              <w:rPr>
                <w:b w:val="0"/>
              </w:rPr>
              <w:t>Sector</w:t>
            </w:r>
          </w:p>
        </w:tc>
        <w:tc>
          <w:tcPr>
            <w:tcW w:w="960" w:type="pct"/>
            <w:shd w:val="clear" w:color="auto" w:fill="1A1D5D"/>
            <w:tcMar>
              <w:top w:w="29" w:type="dxa"/>
              <w:bottom w:w="29" w:type="dxa"/>
            </w:tcMar>
            <w:vAlign w:val="center"/>
          </w:tcPr>
          <w:p w:rsidR="00157E2A" w:rsidRPr="008D01F0" w:rsidRDefault="00157E2A" w:rsidP="00157E2A">
            <w:pPr>
              <w:pStyle w:val="TableHeadings"/>
              <w:rPr>
                <w:b w:val="0"/>
              </w:rPr>
            </w:pPr>
            <w:r w:rsidRPr="008D01F0">
              <w:rPr>
                <w:b w:val="0"/>
                <w:bCs/>
                <w:color w:val="FFFFFF"/>
                <w:kern w:val="24"/>
              </w:rPr>
              <w:t>Total Measures</w:t>
            </w:r>
            <w:r w:rsidRPr="008D01F0">
              <w:rPr>
                <w:b w:val="0"/>
                <w:color w:val="FFFFFF"/>
                <w:kern w:val="24"/>
              </w:rPr>
              <w:t xml:space="preserve"> </w:t>
            </w:r>
          </w:p>
        </w:tc>
        <w:tc>
          <w:tcPr>
            <w:tcW w:w="961" w:type="pct"/>
            <w:shd w:val="clear" w:color="auto" w:fill="1A1D5D"/>
            <w:tcMar>
              <w:top w:w="29" w:type="dxa"/>
              <w:bottom w:w="29" w:type="dxa"/>
            </w:tcMar>
            <w:vAlign w:val="center"/>
          </w:tcPr>
          <w:p w:rsidR="00157E2A" w:rsidRPr="008D01F0" w:rsidRDefault="00157E2A" w:rsidP="00157E2A">
            <w:pPr>
              <w:pStyle w:val="TableHeadings"/>
              <w:rPr>
                <w:b w:val="0"/>
              </w:rPr>
            </w:pPr>
            <w:r w:rsidRPr="008D01F0">
              <w:rPr>
                <w:b w:val="0"/>
                <w:color w:val="FFFFFF"/>
                <w:kern w:val="24"/>
              </w:rPr>
              <w:t>Measure Permutations w/ 2 Vintages</w:t>
            </w:r>
          </w:p>
        </w:tc>
        <w:tc>
          <w:tcPr>
            <w:tcW w:w="960" w:type="pct"/>
            <w:shd w:val="clear" w:color="auto" w:fill="1A1D5D"/>
            <w:tcMar>
              <w:top w:w="29" w:type="dxa"/>
              <w:bottom w:w="29" w:type="dxa"/>
            </w:tcMar>
            <w:vAlign w:val="center"/>
          </w:tcPr>
          <w:p w:rsidR="00157E2A" w:rsidRPr="008D01F0" w:rsidRDefault="00157E2A" w:rsidP="00141419">
            <w:pPr>
              <w:pStyle w:val="TableHeadings"/>
              <w:rPr>
                <w:b w:val="0"/>
              </w:rPr>
            </w:pPr>
            <w:r w:rsidRPr="008D01F0">
              <w:rPr>
                <w:b w:val="0"/>
                <w:color w:val="FFFFFF"/>
                <w:kern w:val="24"/>
              </w:rPr>
              <w:t xml:space="preserve">Measure Permutations w/  Segments </w:t>
            </w:r>
          </w:p>
        </w:tc>
      </w:tr>
      <w:tr w:rsidR="00157E2A" w:rsidTr="00157E2A">
        <w:tc>
          <w:tcPr>
            <w:tcW w:w="2119" w:type="pct"/>
            <w:tcMar>
              <w:top w:w="29" w:type="dxa"/>
              <w:bottom w:w="29" w:type="dxa"/>
            </w:tcMar>
            <w:vAlign w:val="center"/>
          </w:tcPr>
          <w:p w:rsidR="00157E2A" w:rsidRPr="007B2050" w:rsidRDefault="00157E2A" w:rsidP="00157E2A">
            <w:pPr>
              <w:pStyle w:val="TableText"/>
              <w:jc w:val="left"/>
            </w:pPr>
            <w:r w:rsidRPr="007B2050">
              <w:rPr>
                <w:kern w:val="24"/>
              </w:rPr>
              <w:t xml:space="preserve">Residential </w:t>
            </w:r>
          </w:p>
        </w:tc>
        <w:tc>
          <w:tcPr>
            <w:tcW w:w="960" w:type="pct"/>
            <w:tcMar>
              <w:top w:w="29" w:type="dxa"/>
              <w:bottom w:w="29" w:type="dxa"/>
            </w:tcMar>
            <w:vAlign w:val="center"/>
          </w:tcPr>
          <w:p w:rsidR="00157E2A" w:rsidRPr="007B2050" w:rsidRDefault="00E14955" w:rsidP="00E14955">
            <w:pPr>
              <w:pStyle w:val="TableText"/>
              <w:ind w:right="144"/>
              <w:jc w:val="right"/>
            </w:pPr>
            <w:r>
              <w:rPr>
                <w:kern w:val="24"/>
              </w:rPr>
              <w:t>6</w:t>
            </w:r>
            <w:r w:rsidR="004E1AFC">
              <w:rPr>
                <w:kern w:val="24"/>
              </w:rPr>
              <w:t>0</w:t>
            </w:r>
          </w:p>
        </w:tc>
        <w:tc>
          <w:tcPr>
            <w:tcW w:w="961" w:type="pct"/>
            <w:tcMar>
              <w:top w:w="29" w:type="dxa"/>
              <w:bottom w:w="29" w:type="dxa"/>
            </w:tcMar>
            <w:vAlign w:val="center"/>
          </w:tcPr>
          <w:p w:rsidR="00157E2A" w:rsidRPr="007B2050" w:rsidRDefault="00157E2A" w:rsidP="00C87592">
            <w:pPr>
              <w:pStyle w:val="TableText"/>
              <w:ind w:right="144"/>
              <w:jc w:val="right"/>
            </w:pPr>
            <w:r w:rsidRPr="007B2050">
              <w:rPr>
                <w:kern w:val="24"/>
              </w:rPr>
              <w:t>1</w:t>
            </w:r>
            <w:r w:rsidR="00C87592">
              <w:rPr>
                <w:kern w:val="24"/>
              </w:rPr>
              <w:t>2</w:t>
            </w:r>
            <w:r w:rsidRPr="007B2050">
              <w:rPr>
                <w:kern w:val="24"/>
              </w:rPr>
              <w:t>0</w:t>
            </w:r>
          </w:p>
        </w:tc>
        <w:tc>
          <w:tcPr>
            <w:tcW w:w="960" w:type="pct"/>
            <w:tcMar>
              <w:top w:w="29" w:type="dxa"/>
              <w:bottom w:w="29" w:type="dxa"/>
            </w:tcMar>
            <w:vAlign w:val="center"/>
          </w:tcPr>
          <w:p w:rsidR="00157E2A" w:rsidRPr="007B2050" w:rsidRDefault="004E1AFC" w:rsidP="00C87592">
            <w:pPr>
              <w:pStyle w:val="TableText"/>
              <w:ind w:right="144"/>
              <w:jc w:val="right"/>
            </w:pPr>
            <w:r>
              <w:rPr>
                <w:kern w:val="24"/>
              </w:rPr>
              <w:t>4</w:t>
            </w:r>
            <w:r w:rsidR="00C87592">
              <w:rPr>
                <w:kern w:val="24"/>
              </w:rPr>
              <w:t>80</w:t>
            </w:r>
          </w:p>
        </w:tc>
      </w:tr>
      <w:tr w:rsidR="00157E2A" w:rsidTr="00157E2A">
        <w:tc>
          <w:tcPr>
            <w:tcW w:w="2119" w:type="pct"/>
            <w:tcMar>
              <w:top w:w="29" w:type="dxa"/>
              <w:bottom w:w="29" w:type="dxa"/>
            </w:tcMar>
            <w:vAlign w:val="center"/>
          </w:tcPr>
          <w:p w:rsidR="00157E2A" w:rsidRPr="007B2050" w:rsidRDefault="00157E2A" w:rsidP="00157E2A">
            <w:pPr>
              <w:pStyle w:val="TableText"/>
              <w:jc w:val="left"/>
            </w:pPr>
            <w:r w:rsidRPr="007B2050">
              <w:rPr>
                <w:kern w:val="24"/>
              </w:rPr>
              <w:t>Commercial</w:t>
            </w:r>
          </w:p>
        </w:tc>
        <w:tc>
          <w:tcPr>
            <w:tcW w:w="960" w:type="pct"/>
            <w:tcMar>
              <w:top w:w="29" w:type="dxa"/>
              <w:bottom w:w="29" w:type="dxa"/>
            </w:tcMar>
            <w:vAlign w:val="center"/>
          </w:tcPr>
          <w:p w:rsidR="00157E2A" w:rsidRPr="007B2050" w:rsidRDefault="00C87592" w:rsidP="00157E2A">
            <w:pPr>
              <w:pStyle w:val="TableText"/>
              <w:ind w:right="144"/>
              <w:jc w:val="right"/>
            </w:pPr>
            <w:r>
              <w:rPr>
                <w:kern w:val="24"/>
              </w:rPr>
              <w:t>82</w:t>
            </w:r>
          </w:p>
        </w:tc>
        <w:tc>
          <w:tcPr>
            <w:tcW w:w="961" w:type="pct"/>
            <w:tcMar>
              <w:top w:w="29" w:type="dxa"/>
              <w:bottom w:w="29" w:type="dxa"/>
            </w:tcMar>
            <w:vAlign w:val="center"/>
          </w:tcPr>
          <w:p w:rsidR="00157E2A" w:rsidRPr="007B2050" w:rsidRDefault="00141419" w:rsidP="00C87592">
            <w:pPr>
              <w:pStyle w:val="TableText"/>
              <w:ind w:right="144"/>
              <w:jc w:val="right"/>
            </w:pPr>
            <w:r>
              <w:rPr>
                <w:kern w:val="24"/>
              </w:rPr>
              <w:t>1</w:t>
            </w:r>
            <w:r w:rsidR="00C87592">
              <w:rPr>
                <w:kern w:val="24"/>
              </w:rPr>
              <w:t>6</w:t>
            </w:r>
            <w:r>
              <w:rPr>
                <w:kern w:val="24"/>
              </w:rPr>
              <w:t>4</w:t>
            </w:r>
          </w:p>
        </w:tc>
        <w:tc>
          <w:tcPr>
            <w:tcW w:w="960" w:type="pct"/>
            <w:tcMar>
              <w:top w:w="29" w:type="dxa"/>
              <w:bottom w:w="29" w:type="dxa"/>
            </w:tcMar>
            <w:vAlign w:val="center"/>
          </w:tcPr>
          <w:p w:rsidR="00157E2A" w:rsidRPr="007B2050" w:rsidRDefault="00C87592" w:rsidP="00C87592">
            <w:pPr>
              <w:pStyle w:val="TableText"/>
              <w:ind w:right="144"/>
              <w:jc w:val="right"/>
            </w:pPr>
            <w:r>
              <w:rPr>
                <w:kern w:val="24"/>
              </w:rPr>
              <w:t>1</w:t>
            </w:r>
            <w:r w:rsidR="00141419">
              <w:rPr>
                <w:kern w:val="24"/>
              </w:rPr>
              <w:t>,</w:t>
            </w:r>
            <w:r>
              <w:rPr>
                <w:kern w:val="24"/>
              </w:rPr>
              <w:t>804</w:t>
            </w:r>
          </w:p>
        </w:tc>
      </w:tr>
      <w:tr w:rsidR="00157E2A" w:rsidTr="00157E2A">
        <w:tc>
          <w:tcPr>
            <w:tcW w:w="2119" w:type="pct"/>
            <w:tcMar>
              <w:top w:w="29" w:type="dxa"/>
              <w:bottom w:w="29" w:type="dxa"/>
            </w:tcMar>
            <w:vAlign w:val="center"/>
          </w:tcPr>
          <w:p w:rsidR="00157E2A" w:rsidRPr="007B2050" w:rsidRDefault="00157E2A" w:rsidP="00157E2A">
            <w:pPr>
              <w:pStyle w:val="TableText"/>
              <w:jc w:val="left"/>
            </w:pPr>
            <w:r w:rsidRPr="007B2050">
              <w:rPr>
                <w:kern w:val="24"/>
              </w:rPr>
              <w:t>Industrial</w:t>
            </w:r>
          </w:p>
        </w:tc>
        <w:tc>
          <w:tcPr>
            <w:tcW w:w="960" w:type="pct"/>
            <w:tcMar>
              <w:top w:w="29" w:type="dxa"/>
              <w:bottom w:w="29" w:type="dxa"/>
            </w:tcMar>
            <w:vAlign w:val="center"/>
          </w:tcPr>
          <w:p w:rsidR="00157E2A" w:rsidRPr="007B2050" w:rsidRDefault="00C87592" w:rsidP="00157E2A">
            <w:pPr>
              <w:pStyle w:val="TableText"/>
              <w:ind w:right="144"/>
              <w:jc w:val="right"/>
            </w:pPr>
            <w:r>
              <w:rPr>
                <w:kern w:val="24"/>
              </w:rPr>
              <w:t>57</w:t>
            </w:r>
          </w:p>
        </w:tc>
        <w:tc>
          <w:tcPr>
            <w:tcW w:w="961" w:type="pct"/>
            <w:tcMar>
              <w:top w:w="29" w:type="dxa"/>
              <w:bottom w:w="29" w:type="dxa"/>
            </w:tcMar>
            <w:vAlign w:val="center"/>
          </w:tcPr>
          <w:p w:rsidR="00157E2A" w:rsidRPr="007B2050" w:rsidRDefault="00141419" w:rsidP="00C87592">
            <w:pPr>
              <w:pStyle w:val="TableText"/>
              <w:ind w:right="144"/>
              <w:jc w:val="right"/>
            </w:pPr>
            <w:r>
              <w:rPr>
                <w:kern w:val="24"/>
              </w:rPr>
              <w:t>1</w:t>
            </w:r>
            <w:r w:rsidR="00C87592">
              <w:rPr>
                <w:kern w:val="24"/>
              </w:rPr>
              <w:t>1</w:t>
            </w:r>
            <w:r>
              <w:rPr>
                <w:kern w:val="24"/>
              </w:rPr>
              <w:t>4</w:t>
            </w:r>
          </w:p>
        </w:tc>
        <w:tc>
          <w:tcPr>
            <w:tcW w:w="960" w:type="pct"/>
            <w:tcMar>
              <w:top w:w="29" w:type="dxa"/>
              <w:bottom w:w="29" w:type="dxa"/>
            </w:tcMar>
            <w:vAlign w:val="center"/>
          </w:tcPr>
          <w:p w:rsidR="00157E2A" w:rsidRPr="007B2050" w:rsidRDefault="00C87592" w:rsidP="00C87592">
            <w:pPr>
              <w:pStyle w:val="TableText"/>
              <w:ind w:right="144"/>
              <w:jc w:val="right"/>
            </w:pPr>
            <w:r>
              <w:rPr>
                <w:kern w:val="24"/>
              </w:rPr>
              <w:t>114</w:t>
            </w:r>
          </w:p>
        </w:tc>
      </w:tr>
      <w:tr w:rsidR="00157E2A" w:rsidTr="00157E2A">
        <w:tc>
          <w:tcPr>
            <w:tcW w:w="2119" w:type="pct"/>
            <w:tcMar>
              <w:top w:w="29" w:type="dxa"/>
              <w:bottom w:w="29" w:type="dxa"/>
            </w:tcMar>
            <w:vAlign w:val="center"/>
          </w:tcPr>
          <w:p w:rsidR="00157E2A" w:rsidRPr="007B2050" w:rsidRDefault="00157E2A" w:rsidP="00157E2A">
            <w:pPr>
              <w:pStyle w:val="TableText"/>
              <w:jc w:val="left"/>
              <w:rPr>
                <w:b/>
              </w:rPr>
            </w:pPr>
            <w:r w:rsidRPr="007B2050">
              <w:rPr>
                <w:b/>
              </w:rPr>
              <w:t>Total Measures Evaluated</w:t>
            </w:r>
          </w:p>
        </w:tc>
        <w:tc>
          <w:tcPr>
            <w:tcW w:w="960" w:type="pct"/>
            <w:tcMar>
              <w:top w:w="29" w:type="dxa"/>
              <w:bottom w:w="29" w:type="dxa"/>
            </w:tcMar>
            <w:vAlign w:val="center"/>
          </w:tcPr>
          <w:p w:rsidR="00157E2A" w:rsidRPr="007B2050" w:rsidRDefault="00C87592" w:rsidP="001648F8">
            <w:pPr>
              <w:pStyle w:val="TableText"/>
              <w:ind w:right="144"/>
              <w:jc w:val="right"/>
              <w:rPr>
                <w:b/>
                <w:bCs/>
              </w:rPr>
            </w:pPr>
            <w:r>
              <w:rPr>
                <w:b/>
                <w:bCs/>
                <w:kern w:val="24"/>
              </w:rPr>
              <w:t>199</w:t>
            </w:r>
            <w:r w:rsidR="00157E2A" w:rsidRPr="007B2050">
              <w:rPr>
                <w:kern w:val="24"/>
              </w:rPr>
              <w:t xml:space="preserve"> </w:t>
            </w:r>
          </w:p>
        </w:tc>
        <w:tc>
          <w:tcPr>
            <w:tcW w:w="961" w:type="pct"/>
            <w:tcMar>
              <w:top w:w="29" w:type="dxa"/>
              <w:bottom w:w="29" w:type="dxa"/>
            </w:tcMar>
            <w:vAlign w:val="center"/>
          </w:tcPr>
          <w:p w:rsidR="00157E2A" w:rsidRPr="007B2050" w:rsidRDefault="00C87592" w:rsidP="001648F8">
            <w:pPr>
              <w:pStyle w:val="TableText"/>
              <w:ind w:right="144"/>
              <w:jc w:val="right"/>
              <w:rPr>
                <w:b/>
                <w:bCs/>
              </w:rPr>
            </w:pPr>
            <w:r>
              <w:rPr>
                <w:b/>
                <w:bCs/>
                <w:kern w:val="24"/>
              </w:rPr>
              <w:t>398</w:t>
            </w:r>
            <w:r w:rsidR="00157E2A" w:rsidRPr="007B2050">
              <w:rPr>
                <w:kern w:val="24"/>
              </w:rPr>
              <w:t xml:space="preserve"> </w:t>
            </w:r>
          </w:p>
        </w:tc>
        <w:tc>
          <w:tcPr>
            <w:tcW w:w="960" w:type="pct"/>
            <w:tcMar>
              <w:top w:w="29" w:type="dxa"/>
              <w:bottom w:w="29" w:type="dxa"/>
            </w:tcMar>
            <w:vAlign w:val="center"/>
          </w:tcPr>
          <w:p w:rsidR="00157E2A" w:rsidRPr="007B2050" w:rsidRDefault="00C87592" w:rsidP="00C87592">
            <w:pPr>
              <w:pStyle w:val="TableText"/>
              <w:ind w:right="144"/>
              <w:jc w:val="right"/>
              <w:rPr>
                <w:b/>
                <w:bCs/>
              </w:rPr>
            </w:pPr>
            <w:r>
              <w:rPr>
                <w:b/>
                <w:bCs/>
                <w:kern w:val="24"/>
              </w:rPr>
              <w:t>2</w:t>
            </w:r>
            <w:r w:rsidR="001648F8">
              <w:rPr>
                <w:b/>
                <w:bCs/>
                <w:kern w:val="24"/>
              </w:rPr>
              <w:t>,</w:t>
            </w:r>
            <w:r>
              <w:rPr>
                <w:b/>
                <w:bCs/>
                <w:kern w:val="24"/>
              </w:rPr>
              <w:t>398</w:t>
            </w:r>
            <w:r w:rsidR="00157E2A" w:rsidRPr="007B2050">
              <w:rPr>
                <w:kern w:val="24"/>
              </w:rPr>
              <w:t xml:space="preserve"> </w:t>
            </w:r>
          </w:p>
        </w:tc>
      </w:tr>
    </w:tbl>
    <w:p w:rsidR="00157E2A" w:rsidRPr="002A202A" w:rsidRDefault="00157E2A" w:rsidP="00157E2A">
      <w:pPr>
        <w:pStyle w:val="BodyText"/>
      </w:pPr>
    </w:p>
    <w:p w:rsidR="00157E2A" w:rsidRDefault="00157E2A" w:rsidP="00157E2A">
      <w:pPr>
        <w:pStyle w:val="BodyText"/>
      </w:pPr>
      <w:r>
        <w:lastRenderedPageBreak/>
        <w:t xml:space="preserve">The appendix to this volume presents results for </w:t>
      </w:r>
      <w:r w:rsidRPr="002640E5">
        <w:t xml:space="preserve">the economic screening process by segment, vintage, end use and measure for </w:t>
      </w:r>
      <w:r>
        <w:t>all sectors</w:t>
      </w:r>
      <w:r w:rsidRPr="002640E5">
        <w:t>.</w:t>
      </w:r>
      <w:r w:rsidRPr="00656D70">
        <w:t xml:space="preserve"> </w:t>
      </w:r>
    </w:p>
    <w:p w:rsidR="00157E2A" w:rsidRPr="0089750E" w:rsidRDefault="000645B9" w:rsidP="00BD0E72">
      <w:pPr>
        <w:pStyle w:val="Heading3"/>
      </w:pPr>
      <w:bookmarkStart w:id="83" w:name="_Toc401046338"/>
      <w:bookmarkStart w:id="84" w:name="_Toc424192615"/>
      <w:r>
        <w:t>Conservation</w:t>
      </w:r>
      <w:r w:rsidR="00157E2A" w:rsidRPr="0089750E">
        <w:t xml:space="preserve"> Potential</w:t>
      </w:r>
      <w:bookmarkEnd w:id="73"/>
      <w:bookmarkEnd w:id="74"/>
      <w:bookmarkEnd w:id="75"/>
      <w:bookmarkEnd w:id="76"/>
      <w:bookmarkEnd w:id="77"/>
      <w:bookmarkEnd w:id="78"/>
      <w:bookmarkEnd w:id="79"/>
      <w:bookmarkEnd w:id="83"/>
      <w:bookmarkEnd w:id="84"/>
    </w:p>
    <w:p w:rsidR="00157E2A" w:rsidRDefault="00157E2A" w:rsidP="00157E2A">
      <w:pPr>
        <w:pStyle w:val="BodyText"/>
      </w:pPr>
      <w:r w:rsidRPr="0089750E">
        <w:t>The approach we used for this study</w:t>
      </w:r>
      <w:r>
        <w:t xml:space="preserve"> to calculate the </w:t>
      </w:r>
      <w:r w:rsidR="00283B9F">
        <w:t>conservation</w:t>
      </w:r>
      <w:r>
        <w:t xml:space="preserve"> potential</w:t>
      </w:r>
      <w:r w:rsidRPr="0089750E">
        <w:t xml:space="preserve"> adheres to the approaches and conventions outlined in the National Action Plan for Energy-Efficiency (NAPEE) Guide for Conducting Potential Studies (November 2007).</w:t>
      </w:r>
      <w:r w:rsidRPr="0089750E">
        <w:rPr>
          <w:vertAlign w:val="superscript"/>
        </w:rPr>
        <w:footnoteReference w:id="4"/>
      </w:r>
      <w:r w:rsidRPr="0089750E">
        <w:t xml:space="preserve"> The NAPEE Guide represents the most credible and comprehensive industry practice for specifying </w:t>
      </w:r>
      <w:r w:rsidR="00283B9F">
        <w:t>conservation</w:t>
      </w:r>
      <w:r w:rsidRPr="0089750E">
        <w:t xml:space="preserve"> potential. </w:t>
      </w:r>
      <w:r>
        <w:t xml:space="preserve">As described in </w:t>
      </w:r>
      <w:r w:rsidR="00E02DA2">
        <w:t>Chapter</w:t>
      </w:r>
      <w:r w:rsidR="009E71A7">
        <w:t xml:space="preserve"> 2</w:t>
      </w:r>
      <w:r>
        <w:t xml:space="preserve">, </w:t>
      </w:r>
      <w:r w:rsidR="009422D1">
        <w:t>three</w:t>
      </w:r>
      <w:r w:rsidR="002D7FCF">
        <w:t xml:space="preserve"> </w:t>
      </w:r>
      <w:r w:rsidRPr="0089750E">
        <w:t>types of potential</w:t>
      </w:r>
      <w:r w:rsidR="002D7FCF">
        <w:t xml:space="preserve"> </w:t>
      </w:r>
      <w:r w:rsidRPr="0089750E">
        <w:t xml:space="preserve">were developed as part of this </w:t>
      </w:r>
      <w:r>
        <w:t>effort</w:t>
      </w:r>
      <w:r w:rsidRPr="0089750E">
        <w:t xml:space="preserve">: </w:t>
      </w:r>
      <w:r w:rsidR="002D7FCF">
        <w:t>t</w:t>
      </w:r>
      <w:r>
        <w:t xml:space="preserve">echnical potential, </w:t>
      </w:r>
      <w:r w:rsidR="002D7FCF">
        <w:t>e</w:t>
      </w:r>
      <w:r>
        <w:t>conomic potential</w:t>
      </w:r>
      <w:r w:rsidR="009422D1">
        <w:t xml:space="preserve"> and</w:t>
      </w:r>
      <w:r>
        <w:t xml:space="preserve"> </w:t>
      </w:r>
      <w:r w:rsidR="002D7FCF">
        <w:t>a</w:t>
      </w:r>
      <w:r>
        <w:t>chievable potential.</w:t>
      </w:r>
    </w:p>
    <w:p w:rsidR="009422D1" w:rsidRDefault="009422D1" w:rsidP="009422D1">
      <w:pPr>
        <w:pStyle w:val="BulletedList0"/>
      </w:pPr>
      <w:r w:rsidRPr="00720694">
        <w:rPr>
          <w:rStyle w:val="Emphasis"/>
        </w:rPr>
        <w:t>Technical potential</w:t>
      </w:r>
      <w:r>
        <w:t xml:space="preserve"> is a theoretical construct that assumes the highest efficiency measures that are technically feasible to install are adopted by customers, regardless of cost or customer preferences. Thus, determining the technical potential is relatively straightforward. LoadMAP “chooses” the most efficient equipment options for each technology at the time of equipment replacement. In addition, it installs all relevant non-equipment measures for each technology to calculate savings. For example, for central air conditioning, as shown in</w:t>
      </w:r>
      <w:r w:rsidR="009E71A7">
        <w:t xml:space="preserve"> </w:t>
      </w:r>
      <w:r w:rsidR="00893E3D">
        <w:rPr>
          <w:highlight w:val="yellow"/>
        </w:rPr>
        <w:fldChar w:fldCharType="begin"/>
      </w:r>
      <w:r w:rsidR="009E71A7">
        <w:instrText xml:space="preserve"> REF _Ref402250689 \h </w:instrText>
      </w:r>
      <w:r w:rsidR="00893E3D">
        <w:rPr>
          <w:highlight w:val="yellow"/>
        </w:rPr>
      </w:r>
      <w:r w:rsidR="00893E3D">
        <w:rPr>
          <w:highlight w:val="yellow"/>
        </w:rPr>
        <w:fldChar w:fldCharType="separate"/>
      </w:r>
      <w:r w:rsidR="00B2652C" w:rsidRPr="00711A6B">
        <w:t xml:space="preserve">Table </w:t>
      </w:r>
      <w:r w:rsidR="00B2652C">
        <w:rPr>
          <w:noProof/>
        </w:rPr>
        <w:t>2</w:t>
      </w:r>
      <w:r w:rsidR="00B2652C" w:rsidRPr="00F36BD8">
        <w:t>-</w:t>
      </w:r>
      <w:r w:rsidR="00B2652C">
        <w:rPr>
          <w:noProof/>
        </w:rPr>
        <w:t>2</w:t>
      </w:r>
      <w:r w:rsidR="00893E3D">
        <w:rPr>
          <w:highlight w:val="yellow"/>
        </w:rPr>
        <w:fldChar w:fldCharType="end"/>
      </w:r>
      <w:r>
        <w:t>, the most efficient option is a SEER 2</w:t>
      </w:r>
      <w:r w:rsidR="00E02DA2">
        <w:t>4</w:t>
      </w:r>
      <w:r>
        <w:t xml:space="preserve">. The multiple non-equipment measures shown in </w:t>
      </w:r>
      <w:r w:rsidR="00893E3D">
        <w:fldChar w:fldCharType="begin"/>
      </w:r>
      <w:r w:rsidR="009E71A7">
        <w:instrText xml:space="preserve"> REF _Ref402250697 \h </w:instrText>
      </w:r>
      <w:r w:rsidR="00893E3D">
        <w:fldChar w:fldCharType="separate"/>
      </w:r>
      <w:r w:rsidR="00B2652C" w:rsidRPr="00711A6B">
        <w:t xml:space="preserve">Table </w:t>
      </w:r>
      <w:r w:rsidR="00B2652C">
        <w:rPr>
          <w:noProof/>
        </w:rPr>
        <w:t>2</w:t>
      </w:r>
      <w:r w:rsidR="00B2652C" w:rsidRPr="00F36BD8">
        <w:t>-</w:t>
      </w:r>
      <w:r w:rsidR="00B2652C">
        <w:rPr>
          <w:noProof/>
        </w:rPr>
        <w:t>3</w:t>
      </w:r>
      <w:r w:rsidR="00893E3D">
        <w:fldChar w:fldCharType="end"/>
      </w:r>
      <w:r w:rsidR="009E71A7">
        <w:t xml:space="preserve"> </w:t>
      </w:r>
      <w:r>
        <w:t>are then applied to the energy used by the SEER 2</w:t>
      </w:r>
      <w:r w:rsidR="00E02DA2">
        <w:t>4</w:t>
      </w:r>
      <w:r>
        <w:t xml:space="preserve"> system to further reduce air conditioning energy use. LoadMAP applies the savings due to the non-equipment measures one-by-one to avoid double counting of savings. The measures are evaluated in order of their B/C ratio, with the measure with the highest B/C ratio applied first. Each time a measure is applied, the baseline energy use for the end use is reduced and the percentage savings for the next measure is applied to the revised (lower) usage.</w:t>
      </w:r>
    </w:p>
    <w:p w:rsidR="009422D1" w:rsidRDefault="009422D1" w:rsidP="009422D1">
      <w:pPr>
        <w:pStyle w:val="BulletedList0"/>
      </w:pPr>
      <w:r w:rsidRPr="004635CA">
        <w:rPr>
          <w:rStyle w:val="Emphasis"/>
        </w:rPr>
        <w:t>Economic potential</w:t>
      </w:r>
      <w:r>
        <w:t xml:space="preserve"> results from the purchase of the most efficient cost-effective option available for a given equipment or non-equipment measure as determined in the cost-effectiveness screening process described above. As with technical potential, economic potential is a phased-in approach. Economic potential is still a hypothetical upper-boundary of savings potential as it represents only measures that are economic</w:t>
      </w:r>
      <w:r w:rsidR="00283B9F">
        <w:t>,</w:t>
      </w:r>
      <w:r>
        <w:t xml:space="preserve"> but does not yet consider customer acceptance and other factors.</w:t>
      </w:r>
    </w:p>
    <w:p w:rsidR="009422D1" w:rsidRDefault="009422D1" w:rsidP="009422D1">
      <w:pPr>
        <w:pStyle w:val="BulletedList0"/>
      </w:pPr>
      <w:r w:rsidRPr="004635CA">
        <w:rPr>
          <w:rStyle w:val="Emphasis"/>
        </w:rPr>
        <w:t>Achievable potential</w:t>
      </w:r>
      <w:r>
        <w:t xml:space="preserve"> defines the range of savings that is very likely to occur. It accounts for customers’ awareness of efficiency options, any barriers to customer adoption, limits to program design, and other factors that influence the rate at which </w:t>
      </w:r>
      <w:r w:rsidR="003A7F74">
        <w:t>conservation</w:t>
      </w:r>
      <w:r>
        <w:t xml:space="preserve"> measures penetrate the market.</w:t>
      </w:r>
    </w:p>
    <w:p w:rsidR="009422D1" w:rsidRDefault="00157E2A" w:rsidP="009422D1">
      <w:pPr>
        <w:pStyle w:val="BodyText"/>
      </w:pPr>
      <w:r>
        <w:t xml:space="preserve">The calculation of </w:t>
      </w:r>
      <w:r w:rsidR="002D7FCF">
        <w:t>t</w:t>
      </w:r>
      <w:r>
        <w:t xml:space="preserve">echnical and </w:t>
      </w:r>
      <w:r w:rsidR="002D7FCF">
        <w:t>e</w:t>
      </w:r>
      <w:r>
        <w:t xml:space="preserve">conomic potential is a straightforward algorithm. </w:t>
      </w:r>
      <w:r w:rsidRPr="00A42474">
        <w:t xml:space="preserve">To develop estimates for </w:t>
      </w:r>
      <w:r w:rsidR="002D7FCF">
        <w:t>a</w:t>
      </w:r>
      <w:r w:rsidRPr="00E762C6">
        <w:t>chievable potential</w:t>
      </w:r>
      <w:r w:rsidRPr="00A42474">
        <w:t xml:space="preserve">, we </w:t>
      </w:r>
      <w:r>
        <w:t xml:space="preserve">develop market </w:t>
      </w:r>
      <w:r w:rsidRPr="00A42474">
        <w:t>adoption rates for each measure</w:t>
      </w:r>
      <w:r>
        <w:t xml:space="preserve"> that specify the percentage of customers that will select the highest–efficiency economic option. </w:t>
      </w:r>
      <w:bookmarkStart w:id="85" w:name="_Toc335647155"/>
      <w:bookmarkStart w:id="86" w:name="_Toc341176219"/>
      <w:r w:rsidR="009422D1" w:rsidRPr="00C24DC4">
        <w:t xml:space="preserve">For </w:t>
      </w:r>
      <w:r w:rsidR="003A6C57">
        <w:t>Avista</w:t>
      </w:r>
      <w:r w:rsidR="009422D1" w:rsidRPr="00C24DC4">
        <w:t xml:space="preserve">, </w:t>
      </w:r>
      <w:r w:rsidR="009422D1">
        <w:t>the project team</w:t>
      </w:r>
      <w:r w:rsidR="009422D1" w:rsidRPr="00C24DC4">
        <w:t xml:space="preserve"> began with the ramp rates specified in the Sixth Plan conservation workbooks, but modified these to match </w:t>
      </w:r>
      <w:r w:rsidR="003A6C57">
        <w:t>Avista</w:t>
      </w:r>
      <w:r w:rsidR="009422D1" w:rsidRPr="00C24DC4">
        <w:t xml:space="preserve"> program history and service territory specifics.</w:t>
      </w:r>
      <w:r w:rsidR="009422D1">
        <w:t xml:space="preserve"> </w:t>
      </w:r>
      <w:r w:rsidR="009422D1" w:rsidRPr="00283B9F">
        <w:t xml:space="preserve">For specific measures, we examined historic program results for the </w:t>
      </w:r>
      <w:r w:rsidR="00283B9F" w:rsidRPr="00283B9F">
        <w:t>most recent</w:t>
      </w:r>
      <w:r w:rsidR="00283B9F">
        <w:t xml:space="preserve"> program results</w:t>
      </w:r>
      <w:r w:rsidR="009422D1">
        <w:t>. We then adjusted the 201</w:t>
      </w:r>
      <w:r w:rsidR="00283B9F">
        <w:t>4</w:t>
      </w:r>
      <w:r w:rsidR="009422D1">
        <w:t xml:space="preserve"> achievable potential for these measures to approximately match the historical results. This provided a starting for 201</w:t>
      </w:r>
      <w:r w:rsidR="00283B9F">
        <w:t>4</w:t>
      </w:r>
      <w:r w:rsidR="009422D1">
        <w:t xml:space="preserve"> potential that was aligned to historic results. For future years, we increased the potential factors to model increasing market acceptance and program improvements. For measures not currently included in </w:t>
      </w:r>
      <w:r w:rsidR="003A6C57">
        <w:t>Avista</w:t>
      </w:r>
      <w:r w:rsidR="009422D1">
        <w:t xml:space="preserve"> programs, we relied upon the Sixth Plan ramp rates and recent </w:t>
      </w:r>
      <w:r w:rsidR="004E1AFC">
        <w:t>AEG</w:t>
      </w:r>
      <w:r w:rsidR="009422D1">
        <w:t xml:space="preserve"> potential studies to create market adoption rates for </w:t>
      </w:r>
      <w:r w:rsidR="003A6C57">
        <w:t>Avista</w:t>
      </w:r>
      <w:r w:rsidR="009422D1">
        <w:t>. The market adoption rates for each measure appear in Appendix</w:t>
      </w:r>
      <w:r w:rsidR="004E1AFC">
        <w:t xml:space="preserve"> B</w:t>
      </w:r>
      <w:r w:rsidR="009422D1">
        <w:t xml:space="preserve">. </w:t>
      </w:r>
    </w:p>
    <w:p w:rsidR="009422D1" w:rsidRDefault="009422D1" w:rsidP="009422D1">
      <w:pPr>
        <w:pStyle w:val="BodyText"/>
      </w:pPr>
      <w:r w:rsidRPr="008B2C62">
        <w:t>Results of all the potentials analysis are presented in Chapter 5.</w:t>
      </w:r>
    </w:p>
    <w:p w:rsidR="00157E2A" w:rsidRDefault="00157E2A" w:rsidP="00157E2A">
      <w:pPr>
        <w:pStyle w:val="Heading2"/>
      </w:pPr>
      <w:bookmarkStart w:id="87" w:name="_Toc297120474"/>
      <w:bookmarkStart w:id="88" w:name="_Toc314728400"/>
      <w:bookmarkStart w:id="89" w:name="_Toc335647156"/>
      <w:bookmarkStart w:id="90" w:name="_Toc341176220"/>
      <w:bookmarkStart w:id="91" w:name="_Toc401046339"/>
      <w:bookmarkStart w:id="92" w:name="_Toc424192616"/>
      <w:bookmarkEnd w:id="85"/>
      <w:bookmarkEnd w:id="86"/>
      <w:r>
        <w:lastRenderedPageBreak/>
        <w:t>Data Development</w:t>
      </w:r>
      <w:bookmarkEnd w:id="87"/>
      <w:bookmarkEnd w:id="88"/>
      <w:bookmarkEnd w:id="89"/>
      <w:bookmarkEnd w:id="90"/>
      <w:bookmarkEnd w:id="91"/>
      <w:bookmarkEnd w:id="92"/>
    </w:p>
    <w:p w:rsidR="00157E2A" w:rsidRPr="003831A1" w:rsidRDefault="00157E2A" w:rsidP="00157E2A">
      <w:pPr>
        <w:pStyle w:val="BodyText"/>
      </w:pPr>
      <w:r w:rsidRPr="003831A1">
        <w:t xml:space="preserve">This section </w:t>
      </w:r>
      <w:r>
        <w:t>details</w:t>
      </w:r>
      <w:r w:rsidRPr="003831A1">
        <w:t xml:space="preserve"> the data sources used in this study, followed by a discussion of how these sources were applied</w:t>
      </w:r>
      <w:r>
        <w:t xml:space="preserve">. In general, </w:t>
      </w:r>
      <w:r w:rsidR="009B396D">
        <w:t xml:space="preserve">data sources were applied in the following order: Avista data, Northwest data and, finally, other secondary sources. </w:t>
      </w:r>
    </w:p>
    <w:p w:rsidR="00157E2A" w:rsidRPr="003831A1" w:rsidRDefault="00157E2A" w:rsidP="00BD0E72">
      <w:pPr>
        <w:pStyle w:val="Heading3"/>
      </w:pPr>
      <w:bookmarkStart w:id="93" w:name="_Toc297120475"/>
      <w:bookmarkStart w:id="94" w:name="_Toc314728401"/>
      <w:bookmarkStart w:id="95" w:name="_Toc335647157"/>
      <w:bookmarkStart w:id="96" w:name="_Toc341176221"/>
      <w:bookmarkStart w:id="97" w:name="_Toc401046340"/>
      <w:bookmarkStart w:id="98" w:name="_Toc424192617"/>
      <w:r w:rsidRPr="003831A1">
        <w:t>Data Sources</w:t>
      </w:r>
      <w:bookmarkEnd w:id="93"/>
      <w:bookmarkEnd w:id="94"/>
      <w:bookmarkEnd w:id="95"/>
      <w:bookmarkEnd w:id="96"/>
      <w:bookmarkEnd w:id="97"/>
      <w:bookmarkEnd w:id="98"/>
    </w:p>
    <w:p w:rsidR="00157E2A" w:rsidRPr="00D02505" w:rsidRDefault="00157E2A" w:rsidP="00157E2A">
      <w:pPr>
        <w:pStyle w:val="BodyText"/>
      </w:pPr>
      <w:r w:rsidRPr="00D02505">
        <w:t>The data sources are organized into the following categories:</w:t>
      </w:r>
    </w:p>
    <w:p w:rsidR="00157E2A" w:rsidRDefault="000645B9" w:rsidP="00157E2A">
      <w:pPr>
        <w:pStyle w:val="BulletedList0"/>
      </w:pPr>
      <w:r>
        <w:t>Avista</w:t>
      </w:r>
      <w:r w:rsidR="00157E2A">
        <w:t xml:space="preserve"> data</w:t>
      </w:r>
    </w:p>
    <w:p w:rsidR="009B396D" w:rsidRDefault="009B396D" w:rsidP="00157E2A">
      <w:pPr>
        <w:pStyle w:val="BulletedList0"/>
      </w:pPr>
      <w:r>
        <w:t xml:space="preserve">Northwest </w:t>
      </w:r>
      <w:r w:rsidR="00646BB1">
        <w:t xml:space="preserve">Energy Efficiency Alliance </w:t>
      </w:r>
      <w:r>
        <w:t>data</w:t>
      </w:r>
    </w:p>
    <w:p w:rsidR="009422D1" w:rsidRDefault="000645B9" w:rsidP="009422D1">
      <w:pPr>
        <w:pStyle w:val="BulletedList0"/>
      </w:pPr>
      <w:r>
        <w:t>M</w:t>
      </w:r>
      <w:r w:rsidR="009422D1">
        <w:t>easure data</w:t>
      </w:r>
    </w:p>
    <w:p w:rsidR="00157E2A" w:rsidRPr="00D02505" w:rsidRDefault="00C92294" w:rsidP="00157E2A">
      <w:pPr>
        <w:pStyle w:val="BulletedList0"/>
      </w:pPr>
      <w:r>
        <w:t>AEG</w:t>
      </w:r>
      <w:r w:rsidR="00157E2A">
        <w:t>’s</w:t>
      </w:r>
      <w:r w:rsidR="00157E2A" w:rsidRPr="00D02505">
        <w:t xml:space="preserve"> databases and analysis tools</w:t>
      </w:r>
    </w:p>
    <w:p w:rsidR="00157E2A" w:rsidRDefault="00157E2A" w:rsidP="00157E2A">
      <w:pPr>
        <w:pStyle w:val="BulletedList0"/>
      </w:pPr>
      <w:r w:rsidRPr="00D02505">
        <w:t>Other secondary data and reports</w:t>
      </w:r>
    </w:p>
    <w:p w:rsidR="00157E2A" w:rsidRDefault="000645B9" w:rsidP="00157E2A">
      <w:pPr>
        <w:pStyle w:val="Heading4"/>
      </w:pPr>
      <w:r>
        <w:t>Avista</w:t>
      </w:r>
      <w:r w:rsidR="00157E2A">
        <w:t xml:space="preserve"> Data</w:t>
      </w:r>
    </w:p>
    <w:p w:rsidR="00157E2A" w:rsidRDefault="00157E2A" w:rsidP="00157E2A">
      <w:pPr>
        <w:pStyle w:val="BodyText"/>
      </w:pPr>
      <w:r>
        <w:t xml:space="preserve">Our highest priority data sources for this study were those that were specific to </w:t>
      </w:r>
      <w:r w:rsidR="000645B9">
        <w:t>Avista</w:t>
      </w:r>
      <w:r>
        <w:t xml:space="preserve">. </w:t>
      </w:r>
    </w:p>
    <w:p w:rsidR="00157E2A" w:rsidRPr="00C84C6C" w:rsidRDefault="000645B9" w:rsidP="00157E2A">
      <w:pPr>
        <w:pStyle w:val="BulletedList0"/>
        <w:rPr>
          <w:rStyle w:val="Emphasis"/>
          <w:b w:val="0"/>
          <w:iCs w:val="0"/>
          <w:color w:val="auto"/>
        </w:rPr>
      </w:pPr>
      <w:r>
        <w:rPr>
          <w:rStyle w:val="Emphasis"/>
        </w:rPr>
        <w:t xml:space="preserve">Avista </w:t>
      </w:r>
      <w:r w:rsidR="00157E2A">
        <w:rPr>
          <w:rStyle w:val="Emphasis"/>
        </w:rPr>
        <w:t>customer data</w:t>
      </w:r>
      <w:r w:rsidR="00157E2A" w:rsidRPr="00F117F2">
        <w:rPr>
          <w:rStyle w:val="Emphasis"/>
        </w:rPr>
        <w:t>:</w:t>
      </w:r>
      <w:r w:rsidR="00157E2A">
        <w:t xml:space="preserve"> </w:t>
      </w:r>
      <w:r>
        <w:rPr>
          <w:rStyle w:val="Emphasis"/>
          <w:b w:val="0"/>
          <w:color w:val="auto"/>
        </w:rPr>
        <w:t>Avista</w:t>
      </w:r>
      <w:r w:rsidR="00157E2A">
        <w:rPr>
          <w:rStyle w:val="Emphasis"/>
          <w:b w:val="0"/>
          <w:color w:val="auto"/>
        </w:rPr>
        <w:t xml:space="preserve"> </w:t>
      </w:r>
      <w:r w:rsidR="00157E2A" w:rsidRPr="00E666B9">
        <w:rPr>
          <w:rStyle w:val="Emphasis"/>
          <w:b w:val="0"/>
          <w:color w:val="auto"/>
        </w:rPr>
        <w:t xml:space="preserve">provided </w:t>
      </w:r>
      <w:r w:rsidR="00157E2A">
        <w:rPr>
          <w:rStyle w:val="Emphasis"/>
          <w:b w:val="0"/>
          <w:color w:val="auto"/>
        </w:rPr>
        <w:t xml:space="preserve">billing data </w:t>
      </w:r>
      <w:r w:rsidR="002D7FCF">
        <w:rPr>
          <w:rStyle w:val="Emphasis"/>
          <w:b w:val="0"/>
          <w:color w:val="auto"/>
        </w:rPr>
        <w:t xml:space="preserve">for development of customer counts and energy use for each sector. </w:t>
      </w:r>
      <w:r w:rsidR="009422D1">
        <w:rPr>
          <w:rStyle w:val="Emphasis"/>
          <w:b w:val="0"/>
          <w:color w:val="auto"/>
        </w:rPr>
        <w:t xml:space="preserve">We also used the results of the </w:t>
      </w:r>
      <w:r>
        <w:rPr>
          <w:rStyle w:val="Emphasis"/>
          <w:b w:val="0"/>
          <w:color w:val="auto"/>
        </w:rPr>
        <w:t>Avista GenPOP survey</w:t>
      </w:r>
      <w:r w:rsidR="009422D1">
        <w:rPr>
          <w:rStyle w:val="Emphasis"/>
          <w:b w:val="0"/>
          <w:color w:val="auto"/>
        </w:rPr>
        <w:t>, a residential saturation survey.</w:t>
      </w:r>
    </w:p>
    <w:p w:rsidR="00157E2A" w:rsidRDefault="00157E2A" w:rsidP="00157E2A">
      <w:pPr>
        <w:pStyle w:val="BulletedList0"/>
        <w:rPr>
          <w:rStyle w:val="Bulletedlistlevel2Char"/>
        </w:rPr>
      </w:pPr>
      <w:r>
        <w:rPr>
          <w:rStyle w:val="Emphasis"/>
        </w:rPr>
        <w:t>Load forecasts</w:t>
      </w:r>
      <w:r w:rsidRPr="00261568">
        <w:rPr>
          <w:rStyle w:val="Emphasis"/>
        </w:rPr>
        <w:t>:</w:t>
      </w:r>
      <w:r w:rsidRPr="00261568">
        <w:t xml:space="preserve"> </w:t>
      </w:r>
      <w:r w:rsidR="003A6C57">
        <w:t>Avista</w:t>
      </w:r>
      <w:r>
        <w:t xml:space="preserve"> provided an economic growth forecast by sector; electric load forecast; peak-demand forecasts at the sector level; and retail electricity price history and forecasts.</w:t>
      </w:r>
    </w:p>
    <w:p w:rsidR="00157E2A" w:rsidRDefault="00157E2A" w:rsidP="00157E2A">
      <w:pPr>
        <w:pStyle w:val="BulletedList0"/>
      </w:pPr>
      <w:r>
        <w:rPr>
          <w:rStyle w:val="Emphasis"/>
        </w:rPr>
        <w:t>Economic information</w:t>
      </w:r>
      <w:r w:rsidRPr="00F117F2">
        <w:rPr>
          <w:rStyle w:val="Emphasis"/>
        </w:rPr>
        <w:t>:</w:t>
      </w:r>
      <w:r>
        <w:t xml:space="preserve"> </w:t>
      </w:r>
      <w:r w:rsidR="003A6C57">
        <w:t>Avista</w:t>
      </w:r>
      <w:r w:rsidR="009422D1">
        <w:t xml:space="preserve"> Power</w:t>
      </w:r>
      <w:r>
        <w:t xml:space="preserve"> provided avoided cost forecasts, a discount rate, and line loss factor. </w:t>
      </w:r>
    </w:p>
    <w:p w:rsidR="00157E2A" w:rsidRPr="008643F3" w:rsidRDefault="003A6C57" w:rsidP="00157E2A">
      <w:pPr>
        <w:pStyle w:val="BulletedList0"/>
        <w:rPr>
          <w:rStyle w:val="Emphasis"/>
          <w:b w:val="0"/>
          <w:iCs w:val="0"/>
          <w:color w:val="auto"/>
        </w:rPr>
      </w:pPr>
      <w:r>
        <w:rPr>
          <w:rStyle w:val="Emphasis"/>
        </w:rPr>
        <w:t>Avista</w:t>
      </w:r>
      <w:r w:rsidR="00157E2A" w:rsidRPr="008643F3">
        <w:rPr>
          <w:rStyle w:val="Emphasis"/>
        </w:rPr>
        <w:t xml:space="preserve"> program data</w:t>
      </w:r>
      <w:r w:rsidR="00157E2A">
        <w:rPr>
          <w:rStyle w:val="Emphasis"/>
          <w:b w:val="0"/>
          <w:iCs w:val="0"/>
          <w:color w:val="auto"/>
        </w:rPr>
        <w:t xml:space="preserve">: </w:t>
      </w:r>
      <w:r>
        <w:rPr>
          <w:rStyle w:val="Emphasis"/>
          <w:b w:val="0"/>
          <w:iCs w:val="0"/>
          <w:color w:val="auto"/>
        </w:rPr>
        <w:t>Avista</w:t>
      </w:r>
      <w:r w:rsidR="00157E2A">
        <w:rPr>
          <w:rStyle w:val="Emphasis"/>
          <w:b w:val="0"/>
          <w:iCs w:val="0"/>
          <w:color w:val="auto"/>
        </w:rPr>
        <w:t xml:space="preserve"> provided information about past and current programs, including program descriptions, </w:t>
      </w:r>
      <w:r w:rsidR="00157E2A">
        <w:rPr>
          <w:rStyle w:val="Emphasis"/>
          <w:b w:val="0"/>
          <w:color w:val="auto"/>
        </w:rPr>
        <w:t>goals, and achievements to date.</w:t>
      </w:r>
    </w:p>
    <w:p w:rsidR="009B396D" w:rsidRDefault="009B396D" w:rsidP="009422D1">
      <w:pPr>
        <w:pStyle w:val="Heading4"/>
      </w:pPr>
      <w:r>
        <w:t xml:space="preserve">Northwest </w:t>
      </w:r>
      <w:r w:rsidR="00646BB1">
        <w:t xml:space="preserve">Energy Efficiency Alliance </w:t>
      </w:r>
      <w:r>
        <w:t>Data</w:t>
      </w:r>
    </w:p>
    <w:p w:rsidR="00646BB1" w:rsidRPr="00646BB1" w:rsidRDefault="00646BB1" w:rsidP="00515C94">
      <w:pPr>
        <w:pStyle w:val="BodyText"/>
      </w:pPr>
      <w:r>
        <w:t>The Northwest Energy Efficiency Alliance conducts research on an ongoing basis for the Northwest region. The following studies were particularly useful for this study:</w:t>
      </w:r>
    </w:p>
    <w:p w:rsidR="009B396D" w:rsidRDefault="009B396D" w:rsidP="009B396D">
      <w:pPr>
        <w:pStyle w:val="BulletedList0"/>
      </w:pPr>
      <w:r w:rsidRPr="00003D25">
        <w:rPr>
          <w:rStyle w:val="Emphasis"/>
        </w:rPr>
        <w:t xml:space="preserve">Northwest Energy Efficiency Alliance, </w:t>
      </w:r>
      <w:r>
        <w:rPr>
          <w:rStyle w:val="Emphasis"/>
        </w:rPr>
        <w:t xml:space="preserve">2011 </w:t>
      </w:r>
      <w:r w:rsidRPr="00003D25">
        <w:rPr>
          <w:rStyle w:val="Emphasis"/>
        </w:rPr>
        <w:t xml:space="preserve">Residential </w:t>
      </w:r>
      <w:r>
        <w:rPr>
          <w:rStyle w:val="Emphasis"/>
        </w:rPr>
        <w:t>Building Stock</w:t>
      </w:r>
      <w:r w:rsidRPr="00003D25">
        <w:rPr>
          <w:rStyle w:val="Emphasis"/>
        </w:rPr>
        <w:t xml:space="preserve"> Assessment Single-Family</w:t>
      </w:r>
      <w:r>
        <w:t xml:space="preserve">, Market Research Report, </w:t>
      </w:r>
      <w:r w:rsidRPr="005C4A03">
        <w:t>http://neea.org/docs/reports/residential-building-stock-assessment-single-family-characteristics-and-energy-use.pdf?sfvrsn=8</w:t>
      </w:r>
    </w:p>
    <w:p w:rsidR="009B396D" w:rsidRDefault="009B396D" w:rsidP="009B396D">
      <w:pPr>
        <w:pStyle w:val="BulletedList0"/>
      </w:pPr>
      <w:r w:rsidRPr="00003D25">
        <w:rPr>
          <w:rStyle w:val="Emphasis"/>
        </w:rPr>
        <w:t xml:space="preserve">Northwest Energy Efficiency Alliance, </w:t>
      </w:r>
      <w:r>
        <w:rPr>
          <w:rStyle w:val="Emphasis"/>
        </w:rPr>
        <w:t xml:space="preserve">2011 </w:t>
      </w:r>
      <w:r w:rsidRPr="00003D25">
        <w:rPr>
          <w:rStyle w:val="Emphasis"/>
        </w:rPr>
        <w:t xml:space="preserve">Residential </w:t>
      </w:r>
      <w:r>
        <w:rPr>
          <w:rStyle w:val="Emphasis"/>
        </w:rPr>
        <w:t>Building Stock</w:t>
      </w:r>
      <w:r w:rsidRPr="00003D25">
        <w:rPr>
          <w:rStyle w:val="Emphasis"/>
        </w:rPr>
        <w:t xml:space="preserve"> Assessment</w:t>
      </w:r>
      <w:r>
        <w:rPr>
          <w:rStyle w:val="Emphasis"/>
        </w:rPr>
        <w:t>: Manufactured Home</w:t>
      </w:r>
      <w:r>
        <w:t xml:space="preserve">, Market Research Report, #E13-249, January, 2013. </w:t>
      </w:r>
      <w:r w:rsidRPr="005C4A03">
        <w:t>http://neea.org/docs/default-source/reports/residential-building-stock-assessment--manufactured-homes-characteristics-and-energy-use.pdf?sfvrsn=8</w:t>
      </w:r>
    </w:p>
    <w:p w:rsidR="009B396D" w:rsidRDefault="009B396D" w:rsidP="009B396D">
      <w:pPr>
        <w:pStyle w:val="BulletedList0"/>
      </w:pPr>
      <w:r w:rsidRPr="00003D25">
        <w:rPr>
          <w:rStyle w:val="Emphasis"/>
        </w:rPr>
        <w:t>Northwest Energy Efficiency Alliance, Long-Term Northwest Residential Lighting Tracking and Monitoring Study</w:t>
      </w:r>
      <w:r>
        <w:t xml:space="preserve">, Market Research Report, 11-228, August, 2011. http://neea.org/research/reports/E11-231_Combinedv2.pdf </w:t>
      </w:r>
    </w:p>
    <w:p w:rsidR="009B396D" w:rsidRDefault="009B396D" w:rsidP="009B396D">
      <w:pPr>
        <w:pStyle w:val="BulletedList0"/>
      </w:pPr>
      <w:r w:rsidRPr="00003D25">
        <w:rPr>
          <w:rStyle w:val="Emphasis"/>
        </w:rPr>
        <w:t xml:space="preserve">Northwest Energy Efficiency Alliance, </w:t>
      </w:r>
      <w:r>
        <w:rPr>
          <w:rStyle w:val="Emphasis"/>
        </w:rPr>
        <w:t xml:space="preserve">2011 </w:t>
      </w:r>
      <w:r w:rsidRPr="00003D25">
        <w:rPr>
          <w:rStyle w:val="Emphasis"/>
        </w:rPr>
        <w:t xml:space="preserve">Residential </w:t>
      </w:r>
      <w:r>
        <w:rPr>
          <w:rStyle w:val="Emphasis"/>
        </w:rPr>
        <w:t>Building Stock</w:t>
      </w:r>
      <w:r w:rsidRPr="00003D25">
        <w:rPr>
          <w:rStyle w:val="Emphasis"/>
        </w:rPr>
        <w:t xml:space="preserve"> Assessment</w:t>
      </w:r>
      <w:r>
        <w:rPr>
          <w:rStyle w:val="Emphasis"/>
        </w:rPr>
        <w:t>: Multifamily</w:t>
      </w:r>
      <w:r>
        <w:t xml:space="preserve">, Market Research Report, #13-263, September, 2013. </w:t>
      </w:r>
      <w:r w:rsidRPr="005C4A03">
        <w:t>http://neea.org/docs/default-source/reports/residential-building-stock-assessment--multi-family-characteristics-and-energy-use.pdf?sfvrsn=4</w:t>
      </w:r>
    </w:p>
    <w:p w:rsidR="009B396D" w:rsidRDefault="009B396D" w:rsidP="009B396D">
      <w:pPr>
        <w:pStyle w:val="BulletedList0"/>
      </w:pPr>
      <w:r w:rsidRPr="00003D25">
        <w:rPr>
          <w:rStyle w:val="Emphasis"/>
        </w:rPr>
        <w:t>Northwest Energy Efficiency Alliance, 20</w:t>
      </w:r>
      <w:r>
        <w:rPr>
          <w:rStyle w:val="Emphasis"/>
        </w:rPr>
        <w:t>14</w:t>
      </w:r>
      <w:r w:rsidRPr="00003D25">
        <w:rPr>
          <w:rStyle w:val="Emphasis"/>
        </w:rPr>
        <w:t xml:space="preserve"> Commercial Building Stock Assessment</w:t>
      </w:r>
      <w:r w:rsidRPr="005C4A03">
        <w:rPr>
          <w:rStyle w:val="Emphasis"/>
          <w:b w:val="0"/>
        </w:rPr>
        <w:t xml:space="preserve">, </w:t>
      </w:r>
      <w:r w:rsidRPr="005C4A03">
        <w:rPr>
          <w:iCs/>
        </w:rPr>
        <w:t>December 16, 2014</w:t>
      </w:r>
      <w:r w:rsidRPr="005C4A03">
        <w:rPr>
          <w:b/>
          <w:iCs/>
        </w:rPr>
        <w:t>,</w:t>
      </w:r>
      <w:r>
        <w:t xml:space="preserve"> </w:t>
      </w:r>
      <w:r w:rsidRPr="005C4A03">
        <w:t>http://neea.org/docs/default-source/reports/2014-cbsa-final-report_05-dec-2014.pdf?sfvrsn=12</w:t>
      </w:r>
      <w:r>
        <w:t>.</w:t>
      </w:r>
    </w:p>
    <w:p w:rsidR="009422D1" w:rsidRDefault="003A7F74" w:rsidP="009422D1">
      <w:pPr>
        <w:pStyle w:val="Heading4"/>
      </w:pPr>
      <w:r>
        <w:lastRenderedPageBreak/>
        <w:t>Conservation</w:t>
      </w:r>
      <w:r w:rsidR="009422D1">
        <w:t xml:space="preserve"> Measure Data</w:t>
      </w:r>
    </w:p>
    <w:p w:rsidR="009422D1" w:rsidRPr="00D02505" w:rsidRDefault="009422D1" w:rsidP="009422D1">
      <w:pPr>
        <w:pStyle w:val="BodyText"/>
      </w:pPr>
      <w:r>
        <w:t xml:space="preserve">Several sources of data were used to characterize the </w:t>
      </w:r>
      <w:r w:rsidR="003A7F74">
        <w:t>conservation</w:t>
      </w:r>
      <w:r>
        <w:t xml:space="preserve"> measures.</w:t>
      </w:r>
      <w:r w:rsidR="00E04468">
        <w:t xml:space="preserve"> We used the following regional data sources and supplemented with AEG’s data sources to fill in any gaps.</w:t>
      </w:r>
    </w:p>
    <w:p w:rsidR="009422D1" w:rsidRDefault="009422D1" w:rsidP="009422D1">
      <w:pPr>
        <w:pStyle w:val="BulletedList0"/>
      </w:pPr>
      <w:r w:rsidRPr="004635CA">
        <w:rPr>
          <w:rStyle w:val="Emphasis"/>
        </w:rPr>
        <w:t>Northwest Power and Conservation Council Sixth Plan Cons</w:t>
      </w:r>
      <w:r w:rsidR="001147F7">
        <w:rPr>
          <w:rStyle w:val="Emphasis"/>
        </w:rPr>
        <w:t>ervation Supply Curve Workbooks</w:t>
      </w:r>
      <w:r w:rsidRPr="004635CA">
        <w:rPr>
          <w:rStyle w:val="Emphasis"/>
        </w:rPr>
        <w:t>.</w:t>
      </w:r>
      <w:r>
        <w:t xml:space="preserve"> To develop its Sixth Power Plan, the Council used workbooks with detailed information about measures, available at </w:t>
      </w:r>
      <w:hyperlink r:id="rId25" w:history="1">
        <w:r w:rsidRPr="004635CA">
          <w:rPr>
            <w:rStyle w:val="Hyperlink"/>
          </w:rPr>
          <w:t>http://www.nwcouncil.org/energy/powerplan/6/supplycurves/default.htm</w:t>
        </w:r>
      </w:hyperlink>
      <w:r>
        <w:t xml:space="preserve"> . </w:t>
      </w:r>
    </w:p>
    <w:p w:rsidR="009422D1" w:rsidRDefault="009422D1" w:rsidP="009422D1">
      <w:pPr>
        <w:pStyle w:val="BulletedList0"/>
      </w:pPr>
      <w:r w:rsidRPr="004635CA">
        <w:rPr>
          <w:rStyle w:val="Emphasis"/>
        </w:rPr>
        <w:t>Regional Technical Forum Deemed Measures.</w:t>
      </w:r>
      <w:r>
        <w:t xml:space="preserve"> The NPCC Regional Technical Forum maintains databases of deemed measure savings data, available at </w:t>
      </w:r>
      <w:hyperlink r:id="rId26" w:history="1">
        <w:r w:rsidRPr="004635CA">
          <w:rPr>
            <w:rStyle w:val="Hyperlink"/>
          </w:rPr>
          <w:t>http://www.nwcouncil.org/energy/</w:t>
        </w:r>
        <w:bookmarkStart w:id="99" w:name="_GoBack"/>
        <w:bookmarkEnd w:id="99"/>
        <w:r w:rsidRPr="004635CA">
          <w:rPr>
            <w:rStyle w:val="Hyperlink"/>
          </w:rPr>
          <w:t>rtf/measures/Default.asp</w:t>
        </w:r>
      </w:hyperlink>
      <w:r>
        <w:t xml:space="preserve"> .</w:t>
      </w:r>
    </w:p>
    <w:p w:rsidR="00157E2A" w:rsidRDefault="00C92294" w:rsidP="00157E2A">
      <w:pPr>
        <w:pStyle w:val="Heading4"/>
      </w:pPr>
      <w:r>
        <w:t>AEG</w:t>
      </w:r>
      <w:r w:rsidR="00157E2A">
        <w:t xml:space="preserve"> Data</w:t>
      </w:r>
    </w:p>
    <w:p w:rsidR="00157E2A" w:rsidRPr="00D02505" w:rsidRDefault="00C92294" w:rsidP="00157E2A">
      <w:pPr>
        <w:pStyle w:val="BodyText"/>
      </w:pPr>
      <w:r>
        <w:t>AEG</w:t>
      </w:r>
      <w:r w:rsidR="00157E2A" w:rsidRPr="00D02505">
        <w:t xml:space="preserve"> mainta</w:t>
      </w:r>
      <w:r w:rsidR="00157E2A" w:rsidRPr="008643F3">
        <w:t>ins several databases and modeling tools that we use for forecasting and poten</w:t>
      </w:r>
      <w:r w:rsidR="00157E2A" w:rsidRPr="00D02505">
        <w:t xml:space="preserve">tial studies. </w:t>
      </w:r>
      <w:r w:rsidR="00157E2A">
        <w:t>Relevant data from these tools has been incorporated into the analysis and deliverables for this study.</w:t>
      </w:r>
    </w:p>
    <w:p w:rsidR="00157E2A" w:rsidRPr="00FA1E26" w:rsidRDefault="00C92294" w:rsidP="00157E2A">
      <w:pPr>
        <w:pStyle w:val="BulletedList0"/>
      </w:pPr>
      <w:r>
        <w:rPr>
          <w:rStyle w:val="Emphasis"/>
        </w:rPr>
        <w:t>AEG</w:t>
      </w:r>
      <w:r w:rsidR="00157E2A" w:rsidRPr="00FA1E26">
        <w:rPr>
          <w:rStyle w:val="Emphasis"/>
        </w:rPr>
        <w:t xml:space="preserve"> Energy Market Profiles</w:t>
      </w:r>
      <w:r w:rsidR="00157E2A" w:rsidRPr="008643F3">
        <w:rPr>
          <w:rStyle w:val="Emphasis"/>
          <w:b w:val="0"/>
        </w:rPr>
        <w:t>:</w:t>
      </w:r>
      <w:r w:rsidR="00157E2A" w:rsidRPr="008643F3">
        <w:t xml:space="preserve"> For more than 10 years, </w:t>
      </w:r>
      <w:r>
        <w:t>AEG</w:t>
      </w:r>
      <w:r w:rsidR="00157E2A" w:rsidRPr="008643F3">
        <w:t xml:space="preserve"> staff </w:t>
      </w:r>
      <w:r w:rsidR="00801E8D">
        <w:t>has</w:t>
      </w:r>
      <w:r w:rsidR="00157E2A" w:rsidRPr="008643F3">
        <w:t xml:space="preserve"> maintained profiles of end-use consumption for the residenti</w:t>
      </w:r>
      <w:r w:rsidR="00157E2A" w:rsidRPr="00FA1E26">
        <w:t>al, commercial, and industrial se</w:t>
      </w:r>
      <w:r w:rsidR="00157E2A" w:rsidRPr="008643F3">
        <w:t>ctors. These profiles include market size, fuel shares, unit consumption estimates, and annual energy use by fuel (electricity and na</w:t>
      </w:r>
      <w:r w:rsidR="00157E2A" w:rsidRPr="00FA1E26">
        <w:t>tural gas), customer segment and end use for 10 regions in the U.S. The Energy Information Administration surveys (RECS, CBECS and MECS) as well as state-level statistics and local customer research provide the foundation for these regional profiles.</w:t>
      </w:r>
    </w:p>
    <w:p w:rsidR="00157E2A" w:rsidRPr="00E80532" w:rsidRDefault="00157E2A" w:rsidP="00157E2A">
      <w:pPr>
        <w:pStyle w:val="BulletedList0"/>
      </w:pPr>
      <w:r w:rsidRPr="00E80532">
        <w:rPr>
          <w:rStyle w:val="Emphasis"/>
        </w:rPr>
        <w:t>Building Energy Simulation Tool (BEST)</w:t>
      </w:r>
      <w:r w:rsidRPr="00E80532">
        <w:t xml:space="preserve">. </w:t>
      </w:r>
      <w:r w:rsidR="00C92294">
        <w:t>AEG</w:t>
      </w:r>
      <w:r>
        <w:t xml:space="preserve">’s </w:t>
      </w:r>
      <w:r w:rsidRPr="00E80532">
        <w:t xml:space="preserve">BEST is a derivative of the </w:t>
      </w:r>
      <w:r w:rsidR="00080540">
        <w:t>Department of Energy (</w:t>
      </w:r>
      <w:r w:rsidRPr="00E80532">
        <w:t>DOE</w:t>
      </w:r>
      <w:r w:rsidR="00080540">
        <w:t>)</w:t>
      </w:r>
      <w:r w:rsidRPr="00E80532">
        <w:t xml:space="preserve"> 2.2 building simulation model, used to estimate base-year UECs and EUIs, as well as measure savings for </w:t>
      </w:r>
      <w:r w:rsidR="00080540">
        <w:t>heating, ventilation and air conditioning (</w:t>
      </w:r>
      <w:r w:rsidRPr="00E80532">
        <w:t>HVAC</w:t>
      </w:r>
      <w:r w:rsidR="00080540">
        <w:t>)</w:t>
      </w:r>
      <w:r w:rsidRPr="00E80532">
        <w:t>-related measures.</w:t>
      </w:r>
    </w:p>
    <w:p w:rsidR="002D7FCF" w:rsidRDefault="00C92294" w:rsidP="00157E2A">
      <w:pPr>
        <w:pStyle w:val="BulletedList0"/>
      </w:pPr>
      <w:r>
        <w:rPr>
          <w:rStyle w:val="Emphasis"/>
        </w:rPr>
        <w:t>AEG</w:t>
      </w:r>
      <w:r w:rsidR="00157E2A">
        <w:rPr>
          <w:rStyle w:val="Emphasis"/>
        </w:rPr>
        <w:t xml:space="preserve">’s </w:t>
      </w:r>
      <w:r w:rsidR="00157E2A" w:rsidRPr="00F117F2">
        <w:rPr>
          <w:rStyle w:val="Emphasis"/>
        </w:rPr>
        <w:t>EnergyShape</w:t>
      </w:r>
      <w:r w:rsidR="00157E2A" w:rsidRPr="003D61A7">
        <w:rPr>
          <w:rStyle w:val="Emphasis"/>
        </w:rPr>
        <w:t>™</w:t>
      </w:r>
      <w:r w:rsidR="00157E2A" w:rsidRPr="00F117F2">
        <w:rPr>
          <w:rStyle w:val="Emphasis"/>
        </w:rPr>
        <w:t>:</w:t>
      </w:r>
      <w:r w:rsidR="00157E2A">
        <w:t xml:space="preserve"> This database of load shapes includes the following: </w:t>
      </w:r>
    </w:p>
    <w:p w:rsidR="002D7FCF" w:rsidRDefault="00157E2A" w:rsidP="002D7FCF">
      <w:pPr>
        <w:pStyle w:val="Bulletlistindent1"/>
      </w:pPr>
      <w:r w:rsidRPr="00C928AE">
        <w:t>Residential –</w:t>
      </w:r>
      <w:r>
        <w:t xml:space="preserve"> </w:t>
      </w:r>
      <w:r w:rsidRPr="00C928AE">
        <w:t xml:space="preserve">electric load shapes for </w:t>
      </w:r>
      <w:r w:rsidR="002D7FCF">
        <w:t xml:space="preserve">ten </w:t>
      </w:r>
      <w:r w:rsidRPr="00C928AE">
        <w:t xml:space="preserve">regions, </w:t>
      </w:r>
      <w:r w:rsidR="002D7FCF">
        <w:t xml:space="preserve">three </w:t>
      </w:r>
      <w:r w:rsidRPr="00C928AE">
        <w:t>housing types, 13 end uses</w:t>
      </w:r>
    </w:p>
    <w:p w:rsidR="002D7FCF" w:rsidRDefault="00157E2A" w:rsidP="002D7FCF">
      <w:pPr>
        <w:pStyle w:val="Bulletlistindent1"/>
      </w:pPr>
      <w:r w:rsidRPr="00C928AE">
        <w:t>Commercial –</w:t>
      </w:r>
      <w:r>
        <w:t xml:space="preserve"> </w:t>
      </w:r>
      <w:r w:rsidRPr="00C928AE">
        <w:t xml:space="preserve">electric load shapes for </w:t>
      </w:r>
      <w:r w:rsidR="002D7FCF">
        <w:t>nine</w:t>
      </w:r>
      <w:r w:rsidRPr="00C928AE">
        <w:t xml:space="preserve"> regions, 54 building types, </w:t>
      </w:r>
      <w:r w:rsidR="002D7FCF">
        <w:t>ten</w:t>
      </w:r>
      <w:r w:rsidRPr="00C928AE">
        <w:t xml:space="preserve"> end uses</w:t>
      </w:r>
    </w:p>
    <w:p w:rsidR="00157E2A" w:rsidRDefault="00157E2A" w:rsidP="002D7FCF">
      <w:pPr>
        <w:pStyle w:val="Bulletlistindent1"/>
      </w:pPr>
      <w:r w:rsidRPr="00C928AE">
        <w:t xml:space="preserve">Industrial – </w:t>
      </w:r>
      <w:r>
        <w:t>e</w:t>
      </w:r>
      <w:r w:rsidRPr="00C928AE">
        <w:t xml:space="preserve">lectric load shapes, whole facility only, 19 2-digit SIC codes, as well as various 3-digit and 4-digit SIC codes </w:t>
      </w:r>
    </w:p>
    <w:p w:rsidR="00157E2A" w:rsidRPr="00F117F2" w:rsidRDefault="00C92294" w:rsidP="00157E2A">
      <w:pPr>
        <w:pStyle w:val="BulletedList0"/>
      </w:pPr>
      <w:r>
        <w:rPr>
          <w:rStyle w:val="Emphasis"/>
        </w:rPr>
        <w:t>AEG</w:t>
      </w:r>
      <w:r w:rsidR="00157E2A">
        <w:rPr>
          <w:rStyle w:val="Emphasis"/>
        </w:rPr>
        <w:t>’s Database of Energy Efficiency Measures (DEEM)</w:t>
      </w:r>
      <w:r w:rsidR="00157E2A" w:rsidRPr="00F117F2">
        <w:rPr>
          <w:rStyle w:val="Emphasis"/>
        </w:rPr>
        <w:t xml:space="preserve">: </w:t>
      </w:r>
      <w:r>
        <w:t>AEG</w:t>
      </w:r>
      <w:r w:rsidR="00157E2A" w:rsidRPr="009306FC">
        <w:t xml:space="preserve"> maintains an extensive database of measure data</w:t>
      </w:r>
      <w:r w:rsidR="00157E2A">
        <w:t xml:space="preserve"> for our</w:t>
      </w:r>
      <w:r w:rsidR="00157E2A" w:rsidRPr="009306FC">
        <w:t xml:space="preserve"> studies. Our database draws upon reliable sources including the </w:t>
      </w:r>
      <w:r w:rsidR="00157E2A" w:rsidRPr="00FA1E26">
        <w:t xml:space="preserve">California </w:t>
      </w:r>
      <w:r w:rsidR="00157E2A" w:rsidRPr="009306FC">
        <w:t xml:space="preserve">Database for Energy Efficient Resources (DEER), the </w:t>
      </w:r>
      <w:r w:rsidR="00080540">
        <w:t>Energy Information Administration (</w:t>
      </w:r>
      <w:r w:rsidR="00157E2A" w:rsidRPr="00FA1E26">
        <w:t>EIA</w:t>
      </w:r>
      <w:r w:rsidR="00080540">
        <w:t>)</w:t>
      </w:r>
      <w:r w:rsidR="00157E2A" w:rsidRPr="00FA1E26">
        <w:t xml:space="preserve"> Technology Forecast Updates – Residential and Commercial</w:t>
      </w:r>
      <w:r w:rsidR="00157E2A" w:rsidRPr="00F117F2">
        <w:t xml:space="preserve"> Building Technologies – Reference Case,</w:t>
      </w:r>
      <w:r w:rsidR="00157E2A" w:rsidRPr="00F117F2">
        <w:rPr>
          <w:rStyle w:val="Emphasis"/>
        </w:rPr>
        <w:t xml:space="preserve"> </w:t>
      </w:r>
      <w:r w:rsidR="00157E2A" w:rsidRPr="00F117F2">
        <w:t>RS Means cost data, and Grainger Catalog Cost data</w:t>
      </w:r>
      <w:r w:rsidR="00157E2A" w:rsidRPr="00F117F2">
        <w:rPr>
          <w:rStyle w:val="Emphasis"/>
        </w:rPr>
        <w:t>.</w:t>
      </w:r>
      <w:r w:rsidR="00157E2A" w:rsidRPr="00F117F2">
        <w:t xml:space="preserve"> </w:t>
      </w:r>
    </w:p>
    <w:p w:rsidR="00157E2A" w:rsidRDefault="00157E2A" w:rsidP="00157E2A">
      <w:pPr>
        <w:pStyle w:val="BulletedList0"/>
      </w:pPr>
      <w:r w:rsidRPr="00E80532">
        <w:rPr>
          <w:rStyle w:val="Emphasis"/>
        </w:rPr>
        <w:t xml:space="preserve">Recent </w:t>
      </w:r>
      <w:r>
        <w:rPr>
          <w:rStyle w:val="Emphasis"/>
        </w:rPr>
        <w:t>s</w:t>
      </w:r>
      <w:r w:rsidRPr="00E80532">
        <w:rPr>
          <w:rStyle w:val="Emphasis"/>
        </w:rPr>
        <w:t>tudies</w:t>
      </w:r>
      <w:r w:rsidRPr="00E80532">
        <w:t xml:space="preserve">. </w:t>
      </w:r>
      <w:r w:rsidR="00C92294">
        <w:t>AEG</w:t>
      </w:r>
      <w:r w:rsidRPr="00E80532">
        <w:t xml:space="preserve"> has conducted numerous studies of </w:t>
      </w:r>
      <w:r w:rsidR="00080540">
        <w:t>conservation</w:t>
      </w:r>
      <w:r w:rsidRPr="00E80532">
        <w:t xml:space="preserve"> potential in the last five years. We checke</w:t>
      </w:r>
      <w:r>
        <w:t xml:space="preserve">d our input assumptions and analysis results against the results from these other studies, which include </w:t>
      </w:r>
      <w:r w:rsidR="00906C3F">
        <w:t xml:space="preserve">Tacoma Power, </w:t>
      </w:r>
      <w:r w:rsidR="003A6C57">
        <w:t>Idaho Power</w:t>
      </w:r>
      <w:r w:rsidR="00906C3F">
        <w:t xml:space="preserve">, PacifiCorp, </w:t>
      </w:r>
      <w:r>
        <w:t xml:space="preserve">Ameren Missouri, Vectren Energy, Indianapolis Power &amp; Light, Tennessee Valley Authority, </w:t>
      </w:r>
      <w:r w:rsidR="00906C3F">
        <w:t xml:space="preserve">Ameren Missouri, </w:t>
      </w:r>
      <w:r>
        <w:t>Ameren Illinois, and Seattle City Light. In addition, we used the information about impacts of building codes and appliance standards from recent reports for the Edison Electric Institute</w:t>
      </w:r>
      <w:r>
        <w:rPr>
          <w:rStyle w:val="FootnoteReference"/>
        </w:rPr>
        <w:footnoteReference w:id="5"/>
      </w:r>
      <w:r>
        <w:t>.</w:t>
      </w:r>
    </w:p>
    <w:p w:rsidR="00157E2A" w:rsidRPr="002A7B63" w:rsidRDefault="00157E2A" w:rsidP="00157E2A">
      <w:pPr>
        <w:pStyle w:val="Heading4"/>
        <w:rPr>
          <w:color w:val="000000"/>
        </w:rPr>
      </w:pPr>
      <w:r w:rsidRPr="002A7B63">
        <w:rPr>
          <w:color w:val="000000"/>
        </w:rPr>
        <w:lastRenderedPageBreak/>
        <w:t>Other Secondary Data and Reports</w:t>
      </w:r>
    </w:p>
    <w:p w:rsidR="00157E2A" w:rsidRDefault="00157E2A" w:rsidP="00157E2A">
      <w:pPr>
        <w:pStyle w:val="BodyText"/>
      </w:pPr>
      <w:r w:rsidRPr="00D02505">
        <w:t xml:space="preserve">Finally, a variety of secondary data sources and reports were used for this study. The main sources are identified below. </w:t>
      </w:r>
    </w:p>
    <w:p w:rsidR="00157E2A" w:rsidRDefault="00157E2A" w:rsidP="00157E2A">
      <w:pPr>
        <w:pStyle w:val="BulletedList0"/>
      </w:pPr>
      <w:r w:rsidRPr="00A624AC">
        <w:rPr>
          <w:rStyle w:val="Emphasis"/>
        </w:rPr>
        <w:t>Annual Energy Outlook</w:t>
      </w:r>
      <w:r w:rsidRPr="00A624AC">
        <w:t>. The Annual Energy Outlook (AEO), conducted each year by the U.S. Energy</w:t>
      </w:r>
      <w:r w:rsidRPr="00E80532">
        <w:t xml:space="preserve"> Information Administration (EIA), presents yearly projections and analysis of energy topics. For this study, we used data from the 201</w:t>
      </w:r>
      <w:r>
        <w:t>3</w:t>
      </w:r>
      <w:r w:rsidRPr="00E80532">
        <w:t xml:space="preserve"> AEO. </w:t>
      </w:r>
    </w:p>
    <w:p w:rsidR="00157E2A" w:rsidRPr="003039B9" w:rsidRDefault="002D7FCF" w:rsidP="00157E2A">
      <w:pPr>
        <w:pStyle w:val="BulletedList0"/>
      </w:pPr>
      <w:r>
        <w:rPr>
          <w:rStyle w:val="Emphasis"/>
        </w:rPr>
        <w:t xml:space="preserve">Local </w:t>
      </w:r>
      <w:r w:rsidR="00157E2A">
        <w:rPr>
          <w:rStyle w:val="Emphasis"/>
        </w:rPr>
        <w:t xml:space="preserve">Weather Data: </w:t>
      </w:r>
      <w:r w:rsidR="00157E2A" w:rsidRPr="008643F3">
        <w:rPr>
          <w:rStyle w:val="Emphasis"/>
          <w:b w:val="0"/>
          <w:color w:val="auto"/>
        </w:rPr>
        <w:t>Weather from NOAA’s N</w:t>
      </w:r>
      <w:r w:rsidR="00175BC2">
        <w:rPr>
          <w:rStyle w:val="Emphasis"/>
          <w:b w:val="0"/>
          <w:color w:val="auto"/>
        </w:rPr>
        <w:t>ational Climatic Data Center fo</w:t>
      </w:r>
      <w:r w:rsidR="006D0B5A">
        <w:rPr>
          <w:rStyle w:val="Emphasis"/>
          <w:b w:val="0"/>
          <w:color w:val="auto"/>
        </w:rPr>
        <w:t xml:space="preserve">r </w:t>
      </w:r>
      <w:r w:rsidR="001147F7">
        <w:rPr>
          <w:rStyle w:val="Emphasis"/>
          <w:b w:val="0"/>
          <w:color w:val="auto"/>
        </w:rPr>
        <w:t>Spokane, WA</w:t>
      </w:r>
      <w:r w:rsidR="00157E2A">
        <w:rPr>
          <w:rStyle w:val="Emphasis"/>
          <w:b w:val="0"/>
          <w:color w:val="auto"/>
        </w:rPr>
        <w:t xml:space="preserve"> </w:t>
      </w:r>
      <w:r w:rsidR="00157E2A" w:rsidRPr="008643F3">
        <w:rPr>
          <w:rStyle w:val="Emphasis"/>
          <w:b w:val="0"/>
          <w:color w:val="auto"/>
        </w:rPr>
        <w:t>was used as the basi</w:t>
      </w:r>
      <w:r w:rsidR="00157E2A" w:rsidRPr="003039B9">
        <w:rPr>
          <w:rStyle w:val="Emphasis"/>
          <w:b w:val="0"/>
          <w:color w:val="auto"/>
        </w:rPr>
        <w:t>s for building simulations.</w:t>
      </w:r>
    </w:p>
    <w:p w:rsidR="00157E2A" w:rsidRDefault="00157E2A" w:rsidP="00157E2A">
      <w:pPr>
        <w:pStyle w:val="BulletedList0"/>
      </w:pPr>
      <w:r w:rsidRPr="00E80532">
        <w:rPr>
          <w:rStyle w:val="Emphasis"/>
        </w:rPr>
        <w:t>EPRI End-Use Models (REEPS and COMMEND)</w:t>
      </w:r>
      <w:r w:rsidRPr="00E80532">
        <w:t>. These models provide the elas</w:t>
      </w:r>
      <w:r>
        <w:t>ticities we apply to electricity prices, household income, home size and heating and cooling.</w:t>
      </w:r>
    </w:p>
    <w:p w:rsidR="00157E2A" w:rsidRPr="00B34E68" w:rsidRDefault="00157E2A" w:rsidP="00157E2A">
      <w:pPr>
        <w:pStyle w:val="BulletedList0"/>
      </w:pPr>
      <w:r w:rsidRPr="001D50E0">
        <w:rPr>
          <w:rStyle w:val="Emphasis"/>
        </w:rPr>
        <w:t>Database for Energy Efficient Resources (DEER).</w:t>
      </w:r>
      <w:r>
        <w:t xml:space="preserve"> </w:t>
      </w:r>
      <w:r w:rsidRPr="00B34E68">
        <w:t xml:space="preserve">The California Energy Commission and California Public Utilities Commission (CPUC) sponsor this database, </w:t>
      </w:r>
      <w:r>
        <w:t xml:space="preserve">which is </w:t>
      </w:r>
      <w:r w:rsidRPr="00B34E68">
        <w:t xml:space="preserve">designed to provide well-documented estimates of energy and peak demand savings values, measure costs, and effective useful life (EUL) </w:t>
      </w:r>
      <w:r>
        <w:t>for the state of California</w:t>
      </w:r>
      <w:r w:rsidRPr="00B34E68">
        <w:t xml:space="preserve">. </w:t>
      </w:r>
      <w:r>
        <w:t>We used the DEER database to cross check the measure savings we developed using BEST and DEEM.</w:t>
      </w:r>
    </w:p>
    <w:p w:rsidR="00157E2A" w:rsidRDefault="00157E2A" w:rsidP="00157E2A">
      <w:pPr>
        <w:pStyle w:val="BulletedList0"/>
      </w:pPr>
      <w:r w:rsidRPr="00261568">
        <w:rPr>
          <w:rStyle w:val="Emphasis"/>
        </w:rPr>
        <w:t>Other relevant regional sources:</w:t>
      </w:r>
      <w:r>
        <w:t xml:space="preserve"> These include reports from </w:t>
      </w:r>
      <w:r w:rsidRPr="0029631A">
        <w:t xml:space="preserve">the Consortium for Energy Efficiency, the </w:t>
      </w:r>
      <w:r w:rsidR="0094179C">
        <w:t>Environmental Protection Agency (</w:t>
      </w:r>
      <w:r w:rsidRPr="0029631A">
        <w:t>EPA</w:t>
      </w:r>
      <w:r w:rsidR="0094179C">
        <w:t>)</w:t>
      </w:r>
      <w:r w:rsidRPr="0029631A">
        <w:t>,</w:t>
      </w:r>
      <w:r>
        <w:t xml:space="preserve"> and the American Council for an Energy-Efficient Economy.</w:t>
      </w:r>
    </w:p>
    <w:p w:rsidR="00157E2A" w:rsidRPr="002A7B63" w:rsidRDefault="00A4211D" w:rsidP="00BD0E72">
      <w:pPr>
        <w:pStyle w:val="Heading3"/>
      </w:pPr>
      <w:bookmarkStart w:id="100" w:name="_Toc424192618"/>
      <w:r>
        <w:t>Data Application</w:t>
      </w:r>
      <w:bookmarkEnd w:id="100"/>
    </w:p>
    <w:p w:rsidR="00157E2A" w:rsidRPr="003831A1" w:rsidRDefault="00157E2A" w:rsidP="00157E2A">
      <w:pPr>
        <w:pStyle w:val="BodyText"/>
      </w:pPr>
      <w:r w:rsidRPr="003831A1">
        <w:t>We now discuss how the data sources described above were used for each step of the study.</w:t>
      </w:r>
    </w:p>
    <w:p w:rsidR="00157E2A" w:rsidRPr="00A624AC" w:rsidRDefault="00157E2A" w:rsidP="00157E2A">
      <w:pPr>
        <w:pStyle w:val="Heading4"/>
      </w:pPr>
      <w:r w:rsidRPr="00A624AC">
        <w:t>Data Application for Market Characterization</w:t>
      </w:r>
    </w:p>
    <w:p w:rsidR="00157E2A" w:rsidRDefault="00157E2A" w:rsidP="00175BC2">
      <w:pPr>
        <w:pStyle w:val="BodyText"/>
      </w:pPr>
      <w:r w:rsidRPr="00A624AC">
        <w:t>To construct the high-level market characterization of electricity use and households/floor space for the residential, commercial</w:t>
      </w:r>
      <w:r w:rsidR="003A6C57">
        <w:t xml:space="preserve"> and</w:t>
      </w:r>
      <w:r w:rsidRPr="00A624AC">
        <w:t xml:space="preserve"> industrial sectors, we </w:t>
      </w:r>
      <w:r w:rsidR="00175BC2">
        <w:t xml:space="preserve">used </w:t>
      </w:r>
      <w:r w:rsidR="003A6C57">
        <w:t>Avista</w:t>
      </w:r>
      <w:r>
        <w:t xml:space="preserve"> billing data and customer surveys </w:t>
      </w:r>
      <w:r w:rsidRPr="00A624AC">
        <w:t xml:space="preserve">to </w:t>
      </w:r>
      <w:r>
        <w:t xml:space="preserve">estimate </w:t>
      </w:r>
      <w:r w:rsidR="00A4211D">
        <w:t>energy use</w:t>
      </w:r>
      <w:r>
        <w:t>.</w:t>
      </w:r>
    </w:p>
    <w:p w:rsidR="00A4211D" w:rsidRDefault="00A4211D" w:rsidP="00A4211D">
      <w:pPr>
        <w:pStyle w:val="BulletedList0"/>
      </w:pPr>
      <w:r>
        <w:t xml:space="preserve">For the residential sector, </w:t>
      </w:r>
      <w:r w:rsidR="003A6C57">
        <w:t>Avista</w:t>
      </w:r>
      <w:r>
        <w:t xml:space="preserve"> estimated the numbers of customers and the average energy use per customer for each of the three segments, based on </w:t>
      </w:r>
      <w:r w:rsidR="003A6C57">
        <w:t>its GenPOP survey</w:t>
      </w:r>
      <w:r>
        <w:t>, matched to billing data for surveyed customers</w:t>
      </w:r>
      <w:r w:rsidRPr="008E7F1A">
        <w:t>.</w:t>
      </w:r>
      <w:r>
        <w:t xml:space="preserve"> AEG compared the resulting segmentation with data from the American Community Survey (ACS) regarding housing types and income and found that the </w:t>
      </w:r>
      <w:r w:rsidR="003A6C57">
        <w:t>Avista</w:t>
      </w:r>
      <w:r>
        <w:t xml:space="preserve"> segmentation corresponded well with the ACS data. (See Chapter 3 for additional details.)</w:t>
      </w:r>
    </w:p>
    <w:p w:rsidR="00A4211D" w:rsidRDefault="00A4211D" w:rsidP="00A4211D">
      <w:pPr>
        <w:pStyle w:val="BulletedList0"/>
      </w:pPr>
      <w:r>
        <w:t xml:space="preserve">To segment the commercial and industrial segments, we relied upon the allocation from the previous energy efficiency potential study. For the previous study, customers and sales were allocated to building type based on </w:t>
      </w:r>
      <w:r w:rsidR="0094179C">
        <w:t>standard industrial classification (</w:t>
      </w:r>
      <w:r>
        <w:t>SIC</w:t>
      </w:r>
      <w:r w:rsidR="0094179C">
        <w:t>)</w:t>
      </w:r>
      <w:r>
        <w:t xml:space="preserve"> codes, with some adjustments between the commercial and industrial sectors to better group energy use by facility type and predominate end uses. (See Chapter 3 for additional details.)</w:t>
      </w:r>
    </w:p>
    <w:p w:rsidR="00157E2A" w:rsidRPr="003831A1" w:rsidRDefault="00157E2A" w:rsidP="00157E2A">
      <w:pPr>
        <w:pStyle w:val="Heading4"/>
      </w:pPr>
      <w:r w:rsidRPr="003831A1">
        <w:t>Data Application for Market Profiles</w:t>
      </w:r>
    </w:p>
    <w:p w:rsidR="00157E2A" w:rsidRPr="003831A1" w:rsidRDefault="00157E2A" w:rsidP="00157E2A">
      <w:pPr>
        <w:pStyle w:val="BodyText"/>
      </w:pPr>
      <w:r w:rsidRPr="003831A1">
        <w:t xml:space="preserve">The specific data elements for the market profiles, together with the key data sources, are shown </w:t>
      </w:r>
      <w:r w:rsidRPr="003F7D8B">
        <w:t xml:space="preserve">in </w:t>
      </w:r>
      <w:r w:rsidR="00893E3D">
        <w:rPr>
          <w:noProof/>
        </w:rPr>
        <w:fldChar w:fldCharType="begin"/>
      </w:r>
      <w:r w:rsidR="00535EB3">
        <w:instrText xml:space="preserve"> REF _Ref402250873 \h </w:instrText>
      </w:r>
      <w:r w:rsidR="00893E3D">
        <w:rPr>
          <w:noProof/>
        </w:rPr>
      </w:r>
      <w:r w:rsidR="00893E3D">
        <w:rPr>
          <w:noProof/>
        </w:rPr>
        <w:fldChar w:fldCharType="separate"/>
      </w:r>
      <w:r w:rsidR="00B2652C" w:rsidRPr="00535EB3">
        <w:t xml:space="preserve">Table </w:t>
      </w:r>
      <w:r w:rsidR="00B2652C" w:rsidRPr="00B2652C">
        <w:rPr>
          <w:noProof/>
        </w:rPr>
        <w:t>2</w:t>
      </w:r>
      <w:r w:rsidR="00B2652C" w:rsidRPr="00535EB3">
        <w:t>-</w:t>
      </w:r>
      <w:r w:rsidR="00B2652C" w:rsidRPr="00B2652C">
        <w:rPr>
          <w:noProof/>
        </w:rPr>
        <w:t>5</w:t>
      </w:r>
      <w:r w:rsidR="00893E3D">
        <w:rPr>
          <w:noProof/>
        </w:rPr>
        <w:fldChar w:fldCharType="end"/>
      </w:r>
      <w:r w:rsidRPr="003831A1">
        <w:t>.</w:t>
      </w:r>
      <w:r>
        <w:t xml:space="preserve"> </w:t>
      </w:r>
      <w:r w:rsidRPr="003831A1">
        <w:t xml:space="preserve">To develop the market profiles for each segment, we </w:t>
      </w:r>
      <w:r w:rsidR="00B22B44">
        <w:t>did</w:t>
      </w:r>
      <w:r w:rsidRPr="003831A1">
        <w:t xml:space="preserve"> the following</w:t>
      </w:r>
      <w:r w:rsidR="00B22B44">
        <w:t>:</w:t>
      </w:r>
      <w:r w:rsidRPr="003831A1">
        <w:t xml:space="preserve"> </w:t>
      </w:r>
    </w:p>
    <w:p w:rsidR="00157E2A" w:rsidRPr="008B76DA" w:rsidRDefault="00157E2A" w:rsidP="00157088">
      <w:pPr>
        <w:pStyle w:val="NumberedList"/>
        <w:numPr>
          <w:ilvl w:val="0"/>
          <w:numId w:val="25"/>
        </w:numPr>
      </w:pPr>
      <w:r w:rsidRPr="003831A1">
        <w:t xml:space="preserve">Developed control totals for each segment. These include market </w:t>
      </w:r>
      <w:r w:rsidRPr="008B76DA">
        <w:t xml:space="preserve">size, segment-level annual electricity use, and annual intensity. </w:t>
      </w:r>
    </w:p>
    <w:p w:rsidR="00157E2A" w:rsidRPr="008B76DA" w:rsidRDefault="00157E2A" w:rsidP="00157E2A">
      <w:pPr>
        <w:pStyle w:val="NumberedList"/>
      </w:pPr>
      <w:r w:rsidRPr="008B76DA">
        <w:t xml:space="preserve">Used </w:t>
      </w:r>
      <w:r w:rsidR="00A4211D">
        <w:t xml:space="preserve">the </w:t>
      </w:r>
      <w:r w:rsidR="003A6C57">
        <w:t>Avista GenPOP</w:t>
      </w:r>
      <w:r w:rsidR="00A4211D">
        <w:t xml:space="preserve"> Survey, NEEA’s RBSA, NEEA’s CBSA</w:t>
      </w:r>
      <w:r w:rsidRPr="008B76DA">
        <w:t xml:space="preserve"> </w:t>
      </w:r>
      <w:r w:rsidR="00175BC2">
        <w:t xml:space="preserve">and AEG’s Energy Market Profiles database </w:t>
      </w:r>
      <w:r w:rsidRPr="008B76DA">
        <w:t xml:space="preserve">to </w:t>
      </w:r>
      <w:r w:rsidR="00175BC2">
        <w:t xml:space="preserve">develop </w:t>
      </w:r>
      <w:r w:rsidRPr="008B76DA">
        <w:t xml:space="preserve">existing appliance saturations, appliance and equipment characteristics, and building characteristics. </w:t>
      </w:r>
    </w:p>
    <w:p w:rsidR="00157E2A" w:rsidRPr="008B76DA" w:rsidRDefault="00157E2A" w:rsidP="00157E2A">
      <w:pPr>
        <w:pStyle w:val="NumberedList"/>
      </w:pPr>
      <w:r w:rsidRPr="008B76DA">
        <w:lastRenderedPageBreak/>
        <w:t>Ensured calibration to control totals for annual electricity sales in each sector and segment.</w:t>
      </w:r>
    </w:p>
    <w:p w:rsidR="00175BC2" w:rsidRDefault="00175BC2" w:rsidP="00DD08CA">
      <w:pPr>
        <w:pStyle w:val="NumberedList"/>
      </w:pPr>
      <w:r w:rsidRPr="008B76DA">
        <w:t xml:space="preserve">Compared and cross-checked with other recent </w:t>
      </w:r>
      <w:r>
        <w:t>AEG studies.</w:t>
      </w:r>
    </w:p>
    <w:p w:rsidR="00157E2A" w:rsidRDefault="00175BC2" w:rsidP="00DD08CA">
      <w:pPr>
        <w:pStyle w:val="NumberedList"/>
      </w:pPr>
      <w:r>
        <w:t>W</w:t>
      </w:r>
      <w:r w:rsidR="00157E2A" w:rsidRPr="008B76DA">
        <w:t xml:space="preserve">orked with </w:t>
      </w:r>
      <w:r w:rsidR="003A6C57">
        <w:t>Avista</w:t>
      </w:r>
      <w:r w:rsidR="00157E2A" w:rsidRPr="008B76DA">
        <w:t xml:space="preserve"> staff to vet the data against their knowledge and experience</w:t>
      </w:r>
      <w:r w:rsidR="00157E2A" w:rsidRPr="003831A1">
        <w:t>.</w:t>
      </w:r>
    </w:p>
    <w:p w:rsidR="00175BC2" w:rsidRDefault="008D449B" w:rsidP="00175BC2">
      <w:pPr>
        <w:pStyle w:val="Heading4"/>
      </w:pPr>
      <w:r>
        <w:t>Data Application for Baseline P</w:t>
      </w:r>
      <w:r w:rsidR="00175BC2">
        <w:t>rojection</w:t>
      </w:r>
    </w:p>
    <w:p w:rsidR="00175BC2" w:rsidRDefault="00893E3D" w:rsidP="00175BC2">
      <w:pPr>
        <w:pStyle w:val="BodyText"/>
      </w:pPr>
      <w:r>
        <w:fldChar w:fldCharType="begin"/>
      </w:r>
      <w:r w:rsidR="009864D3">
        <w:instrText xml:space="preserve"> REF _Ref402250873 \h </w:instrText>
      </w:r>
      <w:r>
        <w:fldChar w:fldCharType="separate"/>
      </w:r>
      <w:r w:rsidR="00B2652C" w:rsidRPr="00535EB3">
        <w:t xml:space="preserve">Table </w:t>
      </w:r>
      <w:r w:rsidR="00B2652C" w:rsidRPr="00B2652C">
        <w:rPr>
          <w:noProof/>
        </w:rPr>
        <w:t>2</w:t>
      </w:r>
      <w:r w:rsidR="00B2652C" w:rsidRPr="00535EB3">
        <w:t>-</w:t>
      </w:r>
      <w:r w:rsidR="00B2652C" w:rsidRPr="00B2652C">
        <w:rPr>
          <w:noProof/>
        </w:rPr>
        <w:t>5</w:t>
      </w:r>
      <w:r>
        <w:fldChar w:fldCharType="end"/>
      </w:r>
      <w:r w:rsidR="009864D3">
        <w:t xml:space="preserve"> </w:t>
      </w:r>
      <w:r w:rsidR="00175BC2" w:rsidRPr="00B34E68">
        <w:t xml:space="preserve">summarizes the LoadMAP model inputs required for the </w:t>
      </w:r>
      <w:r w:rsidR="00175BC2">
        <w:t>baseline projection</w:t>
      </w:r>
      <w:r w:rsidR="00175BC2" w:rsidRPr="00B34E68">
        <w:t xml:space="preserve">. These inputs are required for each segment within each sector, as well as for new construction and existing dwellings/buildings. </w:t>
      </w:r>
    </w:p>
    <w:p w:rsidR="00157E2A" w:rsidRPr="0018065C" w:rsidRDefault="00535EB3" w:rsidP="008D01F0">
      <w:pPr>
        <w:pStyle w:val="FigureorTableTitle"/>
      </w:pPr>
      <w:bookmarkStart w:id="101" w:name="_Ref402250873"/>
      <w:bookmarkStart w:id="102" w:name="_Toc341181318"/>
      <w:bookmarkStart w:id="103" w:name="_Toc396755822"/>
      <w:bookmarkStart w:id="104" w:name="_Toc424192757"/>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w:instrText>
      </w:r>
      <w:r w:rsidR="00512CD6">
        <w:instrText xml:space="preserve">EFORMAT </w:instrText>
      </w:r>
      <w:r w:rsidR="00512CD6">
        <w:fldChar w:fldCharType="separate"/>
      </w:r>
      <w:r w:rsidR="00B2652C" w:rsidRPr="00B2652C">
        <w:rPr>
          <w:bCs w:val="0"/>
          <w:iCs w:val="0"/>
          <w:noProof/>
        </w:rPr>
        <w:t>2</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5</w:t>
      </w:r>
      <w:r w:rsidR="00512CD6">
        <w:rPr>
          <w:bCs w:val="0"/>
          <w:iCs w:val="0"/>
          <w:noProof/>
        </w:rPr>
        <w:fldChar w:fldCharType="end"/>
      </w:r>
      <w:bookmarkEnd w:id="101"/>
      <w:r w:rsidR="00157E2A">
        <w:tab/>
      </w:r>
      <w:r w:rsidR="00157E2A" w:rsidRPr="00134785">
        <w:t xml:space="preserve">Data </w:t>
      </w:r>
      <w:r w:rsidR="00157E2A">
        <w:t>Applied</w:t>
      </w:r>
      <w:r w:rsidR="00157E2A" w:rsidRPr="00134785">
        <w:t xml:space="preserve"> for the Market Profiles</w:t>
      </w:r>
      <w:bookmarkEnd w:id="102"/>
      <w:bookmarkEnd w:id="103"/>
      <w:bookmarkEnd w:id="104"/>
      <w:r w:rsidR="00157E2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3853"/>
        <w:gridCol w:w="3055"/>
      </w:tblGrid>
      <w:tr w:rsidR="00157E2A" w:rsidTr="00175BC2">
        <w:tc>
          <w:tcPr>
            <w:tcW w:w="2082" w:type="dxa"/>
            <w:shd w:val="clear" w:color="auto" w:fill="1A1D5D"/>
            <w:vAlign w:val="center"/>
          </w:tcPr>
          <w:p w:rsidR="00157E2A" w:rsidRPr="008D01F0" w:rsidRDefault="00157E2A" w:rsidP="00157E2A">
            <w:pPr>
              <w:pStyle w:val="TableHeadings"/>
              <w:rPr>
                <w:b w:val="0"/>
              </w:rPr>
            </w:pPr>
            <w:r w:rsidRPr="008D01F0">
              <w:rPr>
                <w:b w:val="0"/>
              </w:rPr>
              <w:t>Model Inputs</w:t>
            </w:r>
          </w:p>
        </w:tc>
        <w:tc>
          <w:tcPr>
            <w:tcW w:w="3853" w:type="dxa"/>
            <w:shd w:val="clear" w:color="auto" w:fill="1A1D5D"/>
            <w:vAlign w:val="center"/>
          </w:tcPr>
          <w:p w:rsidR="00157E2A" w:rsidRPr="008D01F0" w:rsidRDefault="00157E2A" w:rsidP="00157E2A">
            <w:pPr>
              <w:pStyle w:val="TableHeadings"/>
              <w:rPr>
                <w:b w:val="0"/>
              </w:rPr>
            </w:pPr>
            <w:r w:rsidRPr="008D01F0">
              <w:rPr>
                <w:b w:val="0"/>
              </w:rPr>
              <w:t>Description</w:t>
            </w:r>
          </w:p>
        </w:tc>
        <w:tc>
          <w:tcPr>
            <w:tcW w:w="3055" w:type="dxa"/>
            <w:shd w:val="clear" w:color="auto" w:fill="1A1D5D"/>
            <w:vAlign w:val="center"/>
          </w:tcPr>
          <w:p w:rsidR="00157E2A" w:rsidRPr="008D01F0" w:rsidRDefault="00157E2A" w:rsidP="00157E2A">
            <w:pPr>
              <w:pStyle w:val="TableHeadings"/>
              <w:rPr>
                <w:b w:val="0"/>
              </w:rPr>
            </w:pPr>
            <w:r w:rsidRPr="008D01F0">
              <w:rPr>
                <w:b w:val="0"/>
              </w:rPr>
              <w:t>Key Sources</w:t>
            </w:r>
          </w:p>
        </w:tc>
      </w:tr>
      <w:tr w:rsidR="00157E2A" w:rsidTr="00175BC2">
        <w:tc>
          <w:tcPr>
            <w:tcW w:w="2082" w:type="dxa"/>
            <w:vAlign w:val="center"/>
          </w:tcPr>
          <w:p w:rsidR="00157E2A" w:rsidRPr="00777662" w:rsidRDefault="00157E2A" w:rsidP="00157E2A">
            <w:pPr>
              <w:pStyle w:val="TableText"/>
              <w:jc w:val="left"/>
            </w:pPr>
            <w:r w:rsidRPr="00777662">
              <w:t xml:space="preserve">Market size </w:t>
            </w:r>
          </w:p>
        </w:tc>
        <w:tc>
          <w:tcPr>
            <w:tcW w:w="3853" w:type="dxa"/>
            <w:vAlign w:val="center"/>
          </w:tcPr>
          <w:p w:rsidR="00157E2A" w:rsidRPr="00777662" w:rsidRDefault="00157E2A" w:rsidP="003A6C57">
            <w:pPr>
              <w:pStyle w:val="TableText"/>
              <w:jc w:val="left"/>
            </w:pPr>
            <w:r w:rsidRPr="00777662">
              <w:t>Base-year residential dwellings</w:t>
            </w:r>
            <w:r>
              <w:t>,</w:t>
            </w:r>
            <w:r w:rsidRPr="00777662">
              <w:t xml:space="preserve"> commercial floor space, </w:t>
            </w:r>
            <w:r w:rsidR="003A6C57">
              <w:t xml:space="preserve">and </w:t>
            </w:r>
            <w:r w:rsidRPr="00777662">
              <w:t>industrial employment</w:t>
            </w:r>
          </w:p>
        </w:tc>
        <w:tc>
          <w:tcPr>
            <w:tcW w:w="3055" w:type="dxa"/>
            <w:vAlign w:val="center"/>
          </w:tcPr>
          <w:p w:rsidR="00157E2A" w:rsidRDefault="003A6C57" w:rsidP="00157E2A">
            <w:pPr>
              <w:pStyle w:val="TableText"/>
              <w:jc w:val="left"/>
            </w:pPr>
            <w:r>
              <w:t>Avista</w:t>
            </w:r>
            <w:r w:rsidR="00157E2A">
              <w:t xml:space="preserve"> billing data</w:t>
            </w:r>
          </w:p>
          <w:p w:rsidR="00157E2A" w:rsidRDefault="003A6C57" w:rsidP="00157E2A">
            <w:pPr>
              <w:pStyle w:val="TableText"/>
              <w:jc w:val="left"/>
            </w:pPr>
            <w:r>
              <w:t>Avista GenPOP</w:t>
            </w:r>
            <w:r w:rsidR="00A4211D">
              <w:t xml:space="preserve"> Survey</w:t>
            </w:r>
          </w:p>
          <w:p w:rsidR="00A4211D" w:rsidRDefault="00A4211D" w:rsidP="00157E2A">
            <w:pPr>
              <w:pStyle w:val="TableText"/>
              <w:jc w:val="left"/>
            </w:pPr>
            <w:r>
              <w:t>NEEA RBSA and CBSA</w:t>
            </w:r>
          </w:p>
          <w:p w:rsidR="00175BC2" w:rsidRPr="00777662" w:rsidRDefault="00175BC2" w:rsidP="00157E2A">
            <w:pPr>
              <w:pStyle w:val="TableText"/>
              <w:jc w:val="left"/>
            </w:pPr>
            <w:r>
              <w:t>AEO 2013</w:t>
            </w:r>
          </w:p>
        </w:tc>
      </w:tr>
      <w:tr w:rsidR="00157E2A" w:rsidTr="00175BC2">
        <w:tc>
          <w:tcPr>
            <w:tcW w:w="2082" w:type="dxa"/>
            <w:vAlign w:val="center"/>
          </w:tcPr>
          <w:p w:rsidR="00157E2A" w:rsidRPr="00777662" w:rsidRDefault="00157E2A" w:rsidP="00157E2A">
            <w:pPr>
              <w:pStyle w:val="TableText"/>
              <w:jc w:val="left"/>
            </w:pPr>
            <w:r w:rsidRPr="00777662">
              <w:t>Annual intensity</w:t>
            </w:r>
          </w:p>
        </w:tc>
        <w:tc>
          <w:tcPr>
            <w:tcW w:w="3853" w:type="dxa"/>
            <w:vAlign w:val="center"/>
          </w:tcPr>
          <w:p w:rsidR="00157E2A" w:rsidRPr="00777662" w:rsidRDefault="00157E2A" w:rsidP="00157E2A">
            <w:pPr>
              <w:pStyle w:val="TableText"/>
              <w:jc w:val="left"/>
            </w:pPr>
            <w:r w:rsidRPr="00A4211D">
              <w:rPr>
                <w:b/>
              </w:rPr>
              <w:t>Residential</w:t>
            </w:r>
            <w:r w:rsidRPr="00777662">
              <w:t xml:space="preserve">: Annual </w:t>
            </w:r>
            <w:r w:rsidR="00175BC2">
              <w:t>use per household</w:t>
            </w:r>
          </w:p>
          <w:p w:rsidR="00157E2A" w:rsidRPr="00777662" w:rsidRDefault="00157E2A" w:rsidP="00157E2A">
            <w:pPr>
              <w:pStyle w:val="TableText"/>
              <w:jc w:val="left"/>
            </w:pPr>
            <w:r w:rsidRPr="00A4211D">
              <w:rPr>
                <w:b/>
              </w:rPr>
              <w:t>Commercial</w:t>
            </w:r>
            <w:r w:rsidRPr="00777662">
              <w:t xml:space="preserve">: Annual </w:t>
            </w:r>
            <w:r w:rsidR="00175BC2">
              <w:t>use per square foot</w:t>
            </w:r>
          </w:p>
          <w:p w:rsidR="00AB3FD3" w:rsidRPr="00777662" w:rsidRDefault="00175BC2" w:rsidP="003A6C57">
            <w:pPr>
              <w:pStyle w:val="TableText"/>
              <w:jc w:val="left"/>
            </w:pPr>
            <w:r w:rsidRPr="00A4211D">
              <w:rPr>
                <w:b/>
              </w:rPr>
              <w:t>Industrial</w:t>
            </w:r>
            <w:r>
              <w:t xml:space="preserve">: Annual </w:t>
            </w:r>
            <w:r w:rsidR="00157E2A" w:rsidRPr="00777662">
              <w:t>use</w:t>
            </w:r>
            <w:r>
              <w:t xml:space="preserve"> per e</w:t>
            </w:r>
            <w:r w:rsidR="00157E2A" w:rsidRPr="00777662">
              <w:t>mployee</w:t>
            </w:r>
          </w:p>
        </w:tc>
        <w:tc>
          <w:tcPr>
            <w:tcW w:w="3055" w:type="dxa"/>
            <w:vAlign w:val="center"/>
          </w:tcPr>
          <w:p w:rsidR="00FF313C" w:rsidRDefault="003A6C57" w:rsidP="00157E2A">
            <w:pPr>
              <w:pStyle w:val="TableText"/>
              <w:jc w:val="left"/>
            </w:pPr>
            <w:r>
              <w:t>Avista</w:t>
            </w:r>
            <w:r w:rsidR="00FF313C">
              <w:t xml:space="preserve"> billing data</w:t>
            </w:r>
          </w:p>
          <w:p w:rsidR="00157E2A" w:rsidRPr="00777662" w:rsidRDefault="00175BC2" w:rsidP="00157E2A">
            <w:pPr>
              <w:pStyle w:val="TableText"/>
              <w:jc w:val="left"/>
            </w:pPr>
            <w:r>
              <w:t xml:space="preserve">AEG’s </w:t>
            </w:r>
            <w:r w:rsidR="00157E2A" w:rsidRPr="00777662">
              <w:t>Energy Market Profiles</w:t>
            </w:r>
          </w:p>
          <w:p w:rsidR="00FF313C" w:rsidRDefault="00FF313C" w:rsidP="00157E2A">
            <w:pPr>
              <w:pStyle w:val="TableText"/>
              <w:jc w:val="left"/>
            </w:pPr>
            <w:r>
              <w:t>NEEA RBSA and CBSA</w:t>
            </w:r>
          </w:p>
          <w:p w:rsidR="00157E2A" w:rsidRPr="00777662" w:rsidRDefault="00157E2A" w:rsidP="00157E2A">
            <w:pPr>
              <w:pStyle w:val="TableText"/>
              <w:jc w:val="left"/>
            </w:pPr>
            <w:r w:rsidRPr="00777662">
              <w:t>AEO</w:t>
            </w:r>
            <w:r>
              <w:t xml:space="preserve"> 2013</w:t>
            </w:r>
          </w:p>
          <w:p w:rsidR="00157E2A" w:rsidRPr="00777662" w:rsidRDefault="00157E2A" w:rsidP="00157E2A">
            <w:pPr>
              <w:pStyle w:val="TableText"/>
              <w:jc w:val="left"/>
            </w:pPr>
            <w:r>
              <w:t xml:space="preserve">Other recent </w:t>
            </w:r>
            <w:r w:rsidRPr="00777662">
              <w:t>studies</w:t>
            </w:r>
          </w:p>
        </w:tc>
      </w:tr>
      <w:tr w:rsidR="00157E2A" w:rsidTr="00175BC2">
        <w:tc>
          <w:tcPr>
            <w:tcW w:w="2082" w:type="dxa"/>
            <w:vAlign w:val="center"/>
          </w:tcPr>
          <w:p w:rsidR="00157E2A" w:rsidRPr="00777662" w:rsidRDefault="00157E2A" w:rsidP="00157E2A">
            <w:pPr>
              <w:pStyle w:val="TableText"/>
              <w:jc w:val="left"/>
            </w:pPr>
            <w:r w:rsidRPr="00777662">
              <w:t>Appliance/equipment saturations</w:t>
            </w:r>
          </w:p>
        </w:tc>
        <w:tc>
          <w:tcPr>
            <w:tcW w:w="3853" w:type="dxa"/>
            <w:vAlign w:val="center"/>
          </w:tcPr>
          <w:p w:rsidR="00157E2A" w:rsidRPr="00777662" w:rsidRDefault="00157E2A" w:rsidP="003A6C57">
            <w:pPr>
              <w:pStyle w:val="TableText"/>
              <w:jc w:val="left"/>
            </w:pPr>
            <w:r w:rsidRPr="00777662">
              <w:t>Fraction of dwellings with an appliance/technology</w:t>
            </w:r>
            <w:r w:rsidRPr="00777662">
              <w:br/>
              <w:t>Percentage of C&amp;I floor space/employment with equipment/technology</w:t>
            </w:r>
          </w:p>
        </w:tc>
        <w:tc>
          <w:tcPr>
            <w:tcW w:w="3055" w:type="dxa"/>
            <w:vAlign w:val="center"/>
          </w:tcPr>
          <w:p w:rsidR="00175BC2" w:rsidRDefault="003A6C57" w:rsidP="00157E2A">
            <w:pPr>
              <w:pStyle w:val="TableText"/>
              <w:jc w:val="left"/>
            </w:pPr>
            <w:r>
              <w:t>Avista GenPOP</w:t>
            </w:r>
            <w:r w:rsidR="00FF313C">
              <w:t xml:space="preserve"> Survey</w:t>
            </w:r>
          </w:p>
          <w:p w:rsidR="00FF313C" w:rsidRDefault="00FF313C" w:rsidP="00157E2A">
            <w:pPr>
              <w:pStyle w:val="TableText"/>
              <w:jc w:val="left"/>
            </w:pPr>
            <w:r>
              <w:t>NEEA RBSA and CBSA</w:t>
            </w:r>
          </w:p>
          <w:p w:rsidR="00157E2A" w:rsidRDefault="00175BC2" w:rsidP="00157E2A">
            <w:pPr>
              <w:pStyle w:val="TableText"/>
              <w:jc w:val="left"/>
            </w:pPr>
            <w:r>
              <w:t xml:space="preserve">AEG’s </w:t>
            </w:r>
            <w:r w:rsidR="00157E2A" w:rsidRPr="00777662">
              <w:t>Energy Market Profiles</w:t>
            </w:r>
          </w:p>
          <w:p w:rsidR="00157E2A" w:rsidRPr="00777662" w:rsidRDefault="00533432" w:rsidP="00533432">
            <w:pPr>
              <w:pStyle w:val="TableText"/>
              <w:jc w:val="left"/>
            </w:pPr>
            <w:r>
              <w:t>Avista</w:t>
            </w:r>
            <w:r w:rsidR="00157E2A">
              <w:t xml:space="preserve"> Load Forecasting</w:t>
            </w:r>
          </w:p>
        </w:tc>
      </w:tr>
      <w:tr w:rsidR="00157E2A" w:rsidTr="00175BC2">
        <w:tc>
          <w:tcPr>
            <w:tcW w:w="2082" w:type="dxa"/>
            <w:vAlign w:val="center"/>
          </w:tcPr>
          <w:p w:rsidR="00157E2A" w:rsidRPr="00777662" w:rsidRDefault="00157E2A" w:rsidP="00157E2A">
            <w:pPr>
              <w:pStyle w:val="TableText"/>
              <w:jc w:val="left"/>
            </w:pPr>
            <w:r w:rsidRPr="00777662">
              <w:t>UEC/EUI for each end-use technology</w:t>
            </w:r>
          </w:p>
        </w:tc>
        <w:tc>
          <w:tcPr>
            <w:tcW w:w="3853" w:type="dxa"/>
            <w:vAlign w:val="center"/>
          </w:tcPr>
          <w:p w:rsidR="00157E2A" w:rsidRPr="00777662" w:rsidRDefault="00175BC2" w:rsidP="00533432">
            <w:pPr>
              <w:pStyle w:val="TableText"/>
              <w:jc w:val="left"/>
            </w:pPr>
            <w:r>
              <w:t xml:space="preserve">UEC: </w:t>
            </w:r>
            <w:r w:rsidR="00157E2A" w:rsidRPr="00777662">
              <w:t xml:space="preserve">Annual electricity use in </w:t>
            </w:r>
            <w:r>
              <w:t xml:space="preserve">homes and buildings </w:t>
            </w:r>
            <w:r w:rsidR="00157E2A" w:rsidRPr="00777662">
              <w:t>that have the technology</w:t>
            </w:r>
            <w:r w:rsidR="00157E2A" w:rsidRPr="00777662">
              <w:br/>
              <w:t>EUI: Annual electricity use per square foot/employee for a technology in floor space that has the technology</w:t>
            </w:r>
          </w:p>
        </w:tc>
        <w:tc>
          <w:tcPr>
            <w:tcW w:w="3055" w:type="dxa"/>
            <w:vAlign w:val="center"/>
          </w:tcPr>
          <w:p w:rsidR="00FF313C" w:rsidRDefault="003621AF" w:rsidP="00157E2A">
            <w:pPr>
              <w:pStyle w:val="TableText"/>
              <w:jc w:val="left"/>
            </w:pPr>
            <w:r>
              <w:t>NPCC</w:t>
            </w:r>
            <w:r w:rsidR="00FF313C">
              <w:t xml:space="preserve"> Sixth Plan and RTF data</w:t>
            </w:r>
          </w:p>
          <w:p w:rsidR="00157E2A" w:rsidRDefault="00157E2A" w:rsidP="00157E2A">
            <w:pPr>
              <w:pStyle w:val="TableText"/>
              <w:jc w:val="left"/>
            </w:pPr>
            <w:r w:rsidRPr="00777662">
              <w:t>HVAC uses: BEST simulations using prototypes developed for</w:t>
            </w:r>
            <w:r>
              <w:t xml:space="preserve"> </w:t>
            </w:r>
            <w:r w:rsidR="00FF313C">
              <w:t>Idaho</w:t>
            </w:r>
            <w:r w:rsidRPr="00777662">
              <w:t xml:space="preserve"> </w:t>
            </w:r>
          </w:p>
          <w:p w:rsidR="00157E2A" w:rsidRPr="00777662" w:rsidRDefault="00157E2A" w:rsidP="00157E2A">
            <w:pPr>
              <w:pStyle w:val="TableText"/>
              <w:jc w:val="left"/>
            </w:pPr>
            <w:r w:rsidRPr="00777662">
              <w:t>Engineering analysis</w:t>
            </w:r>
          </w:p>
          <w:p w:rsidR="00157E2A" w:rsidRPr="00777662" w:rsidRDefault="00157E2A" w:rsidP="00157E2A">
            <w:pPr>
              <w:pStyle w:val="TableText"/>
              <w:jc w:val="left"/>
            </w:pPr>
            <w:r w:rsidRPr="00777662">
              <w:t>DEEM</w:t>
            </w:r>
          </w:p>
          <w:p w:rsidR="00157E2A" w:rsidRPr="00777662" w:rsidRDefault="00157E2A" w:rsidP="00157E2A">
            <w:pPr>
              <w:pStyle w:val="TableText"/>
              <w:jc w:val="left"/>
            </w:pPr>
            <w:r>
              <w:t xml:space="preserve">Recent </w:t>
            </w:r>
            <w:r w:rsidR="00C92294">
              <w:t>AEG</w:t>
            </w:r>
            <w:r w:rsidRPr="00777662">
              <w:t xml:space="preserve"> studies</w:t>
            </w:r>
          </w:p>
        </w:tc>
      </w:tr>
      <w:tr w:rsidR="00157E2A" w:rsidTr="00175BC2">
        <w:tc>
          <w:tcPr>
            <w:tcW w:w="2082" w:type="dxa"/>
            <w:vAlign w:val="center"/>
          </w:tcPr>
          <w:p w:rsidR="00157E2A" w:rsidRPr="00777662" w:rsidRDefault="00157E2A" w:rsidP="00845684">
            <w:pPr>
              <w:pStyle w:val="TableText"/>
              <w:jc w:val="left"/>
            </w:pPr>
            <w:r w:rsidRPr="00777662">
              <w:t xml:space="preserve">Appliance/equipment </w:t>
            </w:r>
            <w:r w:rsidR="00845684">
              <w:t>age</w:t>
            </w:r>
            <w:r w:rsidRPr="00777662">
              <w:t xml:space="preserve"> distribution</w:t>
            </w:r>
          </w:p>
        </w:tc>
        <w:tc>
          <w:tcPr>
            <w:tcW w:w="3853" w:type="dxa"/>
            <w:vAlign w:val="center"/>
          </w:tcPr>
          <w:p w:rsidR="00157E2A" w:rsidRPr="00777662" w:rsidRDefault="00157E2A" w:rsidP="00157E2A">
            <w:pPr>
              <w:pStyle w:val="TableText"/>
              <w:jc w:val="left"/>
            </w:pPr>
            <w:r w:rsidRPr="00777662">
              <w:t>Age distribution for each technology</w:t>
            </w:r>
          </w:p>
        </w:tc>
        <w:tc>
          <w:tcPr>
            <w:tcW w:w="3055" w:type="dxa"/>
            <w:vAlign w:val="center"/>
          </w:tcPr>
          <w:p w:rsidR="00FF313C" w:rsidRDefault="003621AF" w:rsidP="00FF313C">
            <w:pPr>
              <w:pStyle w:val="TableText"/>
              <w:jc w:val="left"/>
            </w:pPr>
            <w:r>
              <w:t>NPCC</w:t>
            </w:r>
            <w:r w:rsidR="00FF313C">
              <w:t xml:space="preserve"> Sixth Plan and RTF data</w:t>
            </w:r>
          </w:p>
          <w:p w:rsidR="00FF313C" w:rsidRDefault="00FF313C" w:rsidP="00FF313C">
            <w:pPr>
              <w:pStyle w:val="TableText"/>
              <w:jc w:val="left"/>
            </w:pPr>
            <w:r>
              <w:t xml:space="preserve">NEEA regional survey data </w:t>
            </w:r>
          </w:p>
          <w:p w:rsidR="00FF313C" w:rsidRDefault="00FF313C" w:rsidP="00FF313C">
            <w:pPr>
              <w:pStyle w:val="TableText"/>
              <w:jc w:val="left"/>
            </w:pPr>
            <w:r>
              <w:t xml:space="preserve">Utility saturation surveys </w:t>
            </w:r>
          </w:p>
          <w:p w:rsidR="00157E2A" w:rsidRPr="00777662" w:rsidRDefault="00157E2A" w:rsidP="00FF313C">
            <w:pPr>
              <w:pStyle w:val="TableText"/>
              <w:jc w:val="left"/>
            </w:pPr>
            <w:r>
              <w:t>Recent</w:t>
            </w:r>
            <w:r w:rsidRPr="00777662">
              <w:t xml:space="preserve"> </w:t>
            </w:r>
            <w:r w:rsidR="00C92294">
              <w:t>AEG</w:t>
            </w:r>
            <w:r w:rsidRPr="00777662">
              <w:t xml:space="preserve"> studies</w:t>
            </w:r>
          </w:p>
        </w:tc>
      </w:tr>
      <w:tr w:rsidR="00157E2A" w:rsidTr="00175BC2">
        <w:tc>
          <w:tcPr>
            <w:tcW w:w="2082" w:type="dxa"/>
            <w:vAlign w:val="center"/>
          </w:tcPr>
          <w:p w:rsidR="00157E2A" w:rsidRPr="00777662" w:rsidRDefault="00157E2A" w:rsidP="00157E2A">
            <w:pPr>
              <w:pStyle w:val="TableText"/>
              <w:jc w:val="left"/>
            </w:pPr>
            <w:r w:rsidRPr="00777662">
              <w:t>Efficiency options for each technology</w:t>
            </w:r>
          </w:p>
        </w:tc>
        <w:tc>
          <w:tcPr>
            <w:tcW w:w="3853" w:type="dxa"/>
            <w:vAlign w:val="center"/>
          </w:tcPr>
          <w:p w:rsidR="00157E2A" w:rsidRPr="00777662" w:rsidRDefault="00157E2A" w:rsidP="00157E2A">
            <w:pPr>
              <w:pStyle w:val="TableText"/>
              <w:jc w:val="left"/>
            </w:pPr>
            <w:r w:rsidRPr="00777662">
              <w:t>List of available efficiency options and annual energy use for each technology</w:t>
            </w:r>
          </w:p>
        </w:tc>
        <w:tc>
          <w:tcPr>
            <w:tcW w:w="3055" w:type="dxa"/>
            <w:vAlign w:val="center"/>
          </w:tcPr>
          <w:p w:rsidR="00157E2A" w:rsidRPr="00777662" w:rsidRDefault="00C92294" w:rsidP="00157E2A">
            <w:pPr>
              <w:pStyle w:val="TableText"/>
              <w:jc w:val="left"/>
            </w:pPr>
            <w:r>
              <w:t>AEG</w:t>
            </w:r>
            <w:r w:rsidR="00157E2A">
              <w:t xml:space="preserve"> </w:t>
            </w:r>
            <w:r w:rsidR="00157E2A" w:rsidRPr="00777662">
              <w:t>DEEM</w:t>
            </w:r>
          </w:p>
          <w:p w:rsidR="00157E2A" w:rsidRDefault="00157E2A" w:rsidP="00157E2A">
            <w:pPr>
              <w:pStyle w:val="TableText"/>
              <w:jc w:val="left"/>
            </w:pPr>
            <w:r>
              <w:t>AEO 2013</w:t>
            </w:r>
          </w:p>
          <w:p w:rsidR="00157E2A" w:rsidRPr="00777662" w:rsidRDefault="00157E2A" w:rsidP="00157E2A">
            <w:pPr>
              <w:pStyle w:val="TableText"/>
              <w:jc w:val="left"/>
            </w:pPr>
            <w:r w:rsidRPr="00777662">
              <w:t>DEER</w:t>
            </w:r>
          </w:p>
          <w:p w:rsidR="00157E2A" w:rsidRPr="00777662" w:rsidRDefault="003621AF" w:rsidP="00157E2A">
            <w:pPr>
              <w:pStyle w:val="TableText"/>
              <w:jc w:val="left"/>
            </w:pPr>
            <w:r>
              <w:t>NPCC</w:t>
            </w:r>
            <w:r w:rsidR="00157E2A" w:rsidRPr="00777662">
              <w:t xml:space="preserve"> workbooks</w:t>
            </w:r>
            <w:r w:rsidR="00157E2A">
              <w:t>, RTF</w:t>
            </w:r>
          </w:p>
          <w:p w:rsidR="00157E2A" w:rsidRPr="00777662" w:rsidRDefault="00157E2A" w:rsidP="00157E2A">
            <w:pPr>
              <w:pStyle w:val="TableText"/>
              <w:jc w:val="left"/>
            </w:pPr>
            <w:r w:rsidRPr="00777662">
              <w:t>Previous studies</w:t>
            </w:r>
          </w:p>
        </w:tc>
      </w:tr>
      <w:tr w:rsidR="00157E2A" w:rsidTr="00175BC2">
        <w:tc>
          <w:tcPr>
            <w:tcW w:w="2082" w:type="dxa"/>
            <w:vAlign w:val="center"/>
          </w:tcPr>
          <w:p w:rsidR="00157E2A" w:rsidRPr="00777662" w:rsidRDefault="00157E2A" w:rsidP="00157E2A">
            <w:pPr>
              <w:pStyle w:val="TableText"/>
              <w:jc w:val="left"/>
            </w:pPr>
            <w:r w:rsidRPr="00777662">
              <w:t>Peak factors</w:t>
            </w:r>
          </w:p>
        </w:tc>
        <w:tc>
          <w:tcPr>
            <w:tcW w:w="3853" w:type="dxa"/>
            <w:vAlign w:val="center"/>
          </w:tcPr>
          <w:p w:rsidR="00157E2A" w:rsidRPr="00777662" w:rsidRDefault="00157E2A" w:rsidP="00157E2A">
            <w:pPr>
              <w:pStyle w:val="TableText"/>
              <w:jc w:val="left"/>
            </w:pPr>
            <w:r w:rsidRPr="00777662">
              <w:t>Share of technology energy use that occurs during the peak hour</w:t>
            </w:r>
          </w:p>
        </w:tc>
        <w:tc>
          <w:tcPr>
            <w:tcW w:w="3055" w:type="dxa"/>
            <w:vAlign w:val="center"/>
          </w:tcPr>
          <w:p w:rsidR="00157E2A" w:rsidRPr="00777662" w:rsidRDefault="00157E2A" w:rsidP="00157E2A">
            <w:pPr>
              <w:pStyle w:val="TableText"/>
              <w:jc w:val="left"/>
            </w:pPr>
            <w:r w:rsidRPr="00777662">
              <w:t>EnergyShape database</w:t>
            </w:r>
          </w:p>
        </w:tc>
      </w:tr>
    </w:tbl>
    <w:p w:rsidR="00157E2A" w:rsidRDefault="00157E2A" w:rsidP="008D01F0">
      <w:pPr>
        <w:pStyle w:val="BodyText"/>
      </w:pPr>
      <w:bookmarkStart w:id="105" w:name="_Ref337024476"/>
      <w:bookmarkStart w:id="106" w:name="_Toc341181319"/>
    </w:p>
    <w:p w:rsidR="004E1AFC" w:rsidRDefault="004E1AFC" w:rsidP="00125362">
      <w:pPr>
        <w:pStyle w:val="BodyText"/>
      </w:pPr>
      <w:bookmarkStart w:id="107" w:name="_Ref402250996"/>
      <w:bookmarkStart w:id="108" w:name="_Toc396755823"/>
      <w:bookmarkEnd w:id="105"/>
      <w:r>
        <w:rPr>
          <w:bCs/>
          <w:iCs/>
        </w:rPr>
        <w:br w:type="page"/>
      </w:r>
    </w:p>
    <w:p w:rsidR="00157E2A" w:rsidRDefault="009E6846" w:rsidP="008D01F0">
      <w:pPr>
        <w:pStyle w:val="FigureorTableTitle"/>
        <w:rPr>
          <w:color w:val="000000"/>
        </w:rPr>
      </w:pPr>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2</w:t>
      </w:r>
      <w:r w:rsidR="00512CD6">
        <w:rPr>
          <w:bCs w:val="0"/>
          <w:iCs w:val="0"/>
          <w:noProof/>
        </w:rPr>
        <w:fldChar w:fldCharType="end"/>
      </w:r>
      <w:r w:rsidRPr="00535EB3">
        <w:rPr>
          <w:bCs w:val="0"/>
          <w:iCs w:val="0"/>
        </w:rPr>
        <w:t>-</w:t>
      </w:r>
      <w:r w:rsidR="009864D3">
        <w:rPr>
          <w:bCs w:val="0"/>
          <w:iCs w:val="0"/>
        </w:rPr>
        <w:t>5</w:t>
      </w:r>
      <w:bookmarkEnd w:id="107"/>
      <w:r w:rsidR="00157E2A">
        <w:tab/>
      </w:r>
      <w:r w:rsidR="00157E2A" w:rsidRPr="00B34E68">
        <w:t xml:space="preserve">Data Needs for the </w:t>
      </w:r>
      <w:r w:rsidR="008D449B">
        <w:t>Baseline P</w:t>
      </w:r>
      <w:r w:rsidR="00157E2A">
        <w:t>rojection</w:t>
      </w:r>
      <w:r w:rsidR="00157E2A" w:rsidRPr="00B34E68">
        <w:t xml:space="preserve"> and Potentials Estimation in LoadMAP</w:t>
      </w:r>
      <w:bookmarkEnd w:id="106"/>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3501"/>
        <w:gridCol w:w="3028"/>
      </w:tblGrid>
      <w:tr w:rsidR="00157E2A" w:rsidTr="00845684">
        <w:tc>
          <w:tcPr>
            <w:tcW w:w="2461" w:type="dxa"/>
            <w:shd w:val="clear" w:color="auto" w:fill="1A1D5D"/>
            <w:vAlign w:val="center"/>
          </w:tcPr>
          <w:p w:rsidR="00157E2A" w:rsidRPr="008D01F0" w:rsidRDefault="00157E2A" w:rsidP="00157E2A">
            <w:pPr>
              <w:pStyle w:val="TableHeadings"/>
              <w:rPr>
                <w:b w:val="0"/>
                <w:caps/>
                <w:sz w:val="22"/>
              </w:rPr>
            </w:pPr>
            <w:r w:rsidRPr="008D01F0">
              <w:rPr>
                <w:b w:val="0"/>
              </w:rPr>
              <w:t>Model Inputs</w:t>
            </w:r>
          </w:p>
        </w:tc>
        <w:tc>
          <w:tcPr>
            <w:tcW w:w="3501" w:type="dxa"/>
            <w:shd w:val="clear" w:color="auto" w:fill="1A1D5D"/>
            <w:vAlign w:val="center"/>
          </w:tcPr>
          <w:p w:rsidR="00157E2A" w:rsidRPr="008D01F0" w:rsidRDefault="00157E2A" w:rsidP="00157E2A">
            <w:pPr>
              <w:pStyle w:val="TableHeadings"/>
              <w:rPr>
                <w:b w:val="0"/>
                <w:caps/>
                <w:sz w:val="22"/>
              </w:rPr>
            </w:pPr>
            <w:r w:rsidRPr="008D01F0">
              <w:rPr>
                <w:b w:val="0"/>
              </w:rPr>
              <w:t>Description</w:t>
            </w:r>
          </w:p>
        </w:tc>
        <w:tc>
          <w:tcPr>
            <w:tcW w:w="3028" w:type="dxa"/>
            <w:shd w:val="clear" w:color="auto" w:fill="1A1D5D"/>
            <w:vAlign w:val="center"/>
          </w:tcPr>
          <w:p w:rsidR="00157E2A" w:rsidRPr="008D01F0" w:rsidRDefault="00157E2A" w:rsidP="00157E2A">
            <w:pPr>
              <w:pStyle w:val="TableHeadings"/>
              <w:rPr>
                <w:b w:val="0"/>
                <w:caps/>
                <w:sz w:val="22"/>
              </w:rPr>
            </w:pPr>
            <w:r w:rsidRPr="008D01F0">
              <w:rPr>
                <w:b w:val="0"/>
              </w:rPr>
              <w:t>Key Sources</w:t>
            </w:r>
          </w:p>
        </w:tc>
      </w:tr>
      <w:tr w:rsidR="00157E2A" w:rsidTr="00845684">
        <w:tc>
          <w:tcPr>
            <w:tcW w:w="2461" w:type="dxa"/>
            <w:vAlign w:val="center"/>
          </w:tcPr>
          <w:p w:rsidR="00157E2A" w:rsidRPr="00777662" w:rsidRDefault="00157E2A" w:rsidP="00157E2A">
            <w:pPr>
              <w:pStyle w:val="TableText"/>
              <w:jc w:val="left"/>
            </w:pPr>
            <w:r w:rsidRPr="00777662">
              <w:t>Customer growth forecasts</w:t>
            </w:r>
          </w:p>
        </w:tc>
        <w:tc>
          <w:tcPr>
            <w:tcW w:w="3501" w:type="dxa"/>
            <w:vAlign w:val="center"/>
          </w:tcPr>
          <w:p w:rsidR="00157E2A" w:rsidRPr="00777662" w:rsidRDefault="00157E2A" w:rsidP="00157E2A">
            <w:pPr>
              <w:pStyle w:val="TableText"/>
              <w:jc w:val="left"/>
            </w:pPr>
            <w:r w:rsidRPr="00777662">
              <w:t>Forecasts of new construction in residential and C&amp;I sectors</w:t>
            </w:r>
          </w:p>
        </w:tc>
        <w:tc>
          <w:tcPr>
            <w:tcW w:w="3028" w:type="dxa"/>
            <w:vAlign w:val="center"/>
          </w:tcPr>
          <w:p w:rsidR="00157E2A" w:rsidRDefault="00533432" w:rsidP="00157E2A">
            <w:pPr>
              <w:pStyle w:val="TableText"/>
              <w:jc w:val="left"/>
            </w:pPr>
            <w:r>
              <w:t>Avista</w:t>
            </w:r>
            <w:r w:rsidR="00157E2A">
              <w:t xml:space="preserve"> load forecast</w:t>
            </w:r>
          </w:p>
          <w:p w:rsidR="00157E2A" w:rsidRPr="00777662" w:rsidRDefault="00157E2A" w:rsidP="00157E2A">
            <w:pPr>
              <w:pStyle w:val="TableText"/>
              <w:jc w:val="left"/>
            </w:pPr>
            <w:r w:rsidRPr="00777662">
              <w:t>AEO 201</w:t>
            </w:r>
            <w:r>
              <w:t>3</w:t>
            </w:r>
            <w:r w:rsidRPr="00777662">
              <w:t xml:space="preserve"> </w:t>
            </w:r>
            <w:r>
              <w:t xml:space="preserve">economic </w:t>
            </w:r>
            <w:r w:rsidRPr="00777662">
              <w:t>growth forecast</w:t>
            </w:r>
          </w:p>
        </w:tc>
      </w:tr>
      <w:tr w:rsidR="00157E2A" w:rsidTr="00845684">
        <w:tc>
          <w:tcPr>
            <w:tcW w:w="2461" w:type="dxa"/>
            <w:vAlign w:val="center"/>
          </w:tcPr>
          <w:p w:rsidR="00157E2A" w:rsidRPr="00777662" w:rsidRDefault="00157E2A" w:rsidP="00157E2A">
            <w:pPr>
              <w:pStyle w:val="TableText"/>
              <w:jc w:val="left"/>
            </w:pPr>
            <w:r w:rsidRPr="00777662">
              <w:t xml:space="preserve">Equipment purchase shares for </w:t>
            </w:r>
            <w:r>
              <w:t>baseline projection</w:t>
            </w:r>
          </w:p>
        </w:tc>
        <w:tc>
          <w:tcPr>
            <w:tcW w:w="3501" w:type="dxa"/>
            <w:vAlign w:val="center"/>
          </w:tcPr>
          <w:p w:rsidR="00157E2A" w:rsidRPr="00777662" w:rsidRDefault="00157E2A" w:rsidP="00157E2A">
            <w:pPr>
              <w:pStyle w:val="TableText"/>
              <w:jc w:val="left"/>
            </w:pPr>
            <w:r w:rsidRPr="00777662">
              <w:t>For each equipment/technology, purchase shares for each efficiency level; specified separately for existing equipment replacement and new construction</w:t>
            </w:r>
          </w:p>
        </w:tc>
        <w:tc>
          <w:tcPr>
            <w:tcW w:w="3028" w:type="dxa"/>
            <w:vAlign w:val="center"/>
          </w:tcPr>
          <w:p w:rsidR="00157E2A" w:rsidRPr="00777662" w:rsidRDefault="00157E2A" w:rsidP="00157E2A">
            <w:pPr>
              <w:pStyle w:val="TableText"/>
              <w:jc w:val="left"/>
            </w:pPr>
            <w:r w:rsidRPr="00777662">
              <w:t>Shipments data from AEO</w:t>
            </w:r>
          </w:p>
          <w:p w:rsidR="00157E2A" w:rsidRPr="00777662" w:rsidRDefault="00157E2A" w:rsidP="00157E2A">
            <w:pPr>
              <w:pStyle w:val="TableText"/>
              <w:jc w:val="left"/>
            </w:pPr>
            <w:r w:rsidRPr="00777662">
              <w:t>AEO 201</w:t>
            </w:r>
            <w:r>
              <w:t>3</w:t>
            </w:r>
            <w:r w:rsidRPr="00777662">
              <w:t xml:space="preserve"> regional forecast assumptions</w:t>
            </w:r>
            <w:r w:rsidRPr="00F27AF7">
              <w:rPr>
                <w:rStyle w:val="FootnoteReference"/>
              </w:rPr>
              <w:footnoteReference w:id="6"/>
            </w:r>
          </w:p>
          <w:p w:rsidR="00157E2A" w:rsidRPr="00777662" w:rsidRDefault="00157E2A" w:rsidP="00157E2A">
            <w:pPr>
              <w:pStyle w:val="TableText"/>
              <w:jc w:val="left"/>
            </w:pPr>
            <w:r w:rsidRPr="00777662">
              <w:t>Appliance/efficiency standards analysis</w:t>
            </w:r>
          </w:p>
          <w:p w:rsidR="00157E2A" w:rsidRPr="00777662" w:rsidRDefault="00533432" w:rsidP="00533432">
            <w:pPr>
              <w:pStyle w:val="TableText"/>
              <w:jc w:val="left"/>
            </w:pPr>
            <w:r>
              <w:t>Avista</w:t>
            </w:r>
            <w:r w:rsidR="00157E2A">
              <w:t xml:space="preserve"> </w:t>
            </w:r>
            <w:r w:rsidR="00157E2A" w:rsidRPr="00777662">
              <w:t>program results and evaluation reports</w:t>
            </w:r>
          </w:p>
        </w:tc>
      </w:tr>
      <w:tr w:rsidR="00157E2A" w:rsidTr="00845684">
        <w:tc>
          <w:tcPr>
            <w:tcW w:w="2461" w:type="dxa"/>
            <w:vAlign w:val="center"/>
          </w:tcPr>
          <w:p w:rsidR="00157E2A" w:rsidRPr="00777662" w:rsidRDefault="00157E2A" w:rsidP="00157E2A">
            <w:pPr>
              <w:pStyle w:val="TableText"/>
              <w:jc w:val="left"/>
            </w:pPr>
            <w:r w:rsidRPr="00777662">
              <w:t>Electricity prices</w:t>
            </w:r>
          </w:p>
        </w:tc>
        <w:tc>
          <w:tcPr>
            <w:tcW w:w="3501" w:type="dxa"/>
            <w:vAlign w:val="center"/>
          </w:tcPr>
          <w:p w:rsidR="00157E2A" w:rsidRPr="00777662" w:rsidRDefault="00157E2A" w:rsidP="00157E2A">
            <w:pPr>
              <w:pStyle w:val="TableText"/>
              <w:jc w:val="left"/>
            </w:pPr>
            <w:r w:rsidRPr="00777662">
              <w:t>Forecast of average energy and capacity avoided costs and retail prices</w:t>
            </w:r>
          </w:p>
        </w:tc>
        <w:tc>
          <w:tcPr>
            <w:tcW w:w="3028" w:type="dxa"/>
            <w:vAlign w:val="center"/>
          </w:tcPr>
          <w:p w:rsidR="00157E2A" w:rsidRPr="00777662" w:rsidRDefault="00533432" w:rsidP="00533432">
            <w:pPr>
              <w:pStyle w:val="TableText"/>
              <w:jc w:val="left"/>
            </w:pPr>
            <w:r>
              <w:t>Avista</w:t>
            </w:r>
            <w:r w:rsidR="00157E2A">
              <w:t xml:space="preserve"> forecast</w:t>
            </w:r>
          </w:p>
        </w:tc>
      </w:tr>
      <w:tr w:rsidR="00157E2A" w:rsidTr="00845684">
        <w:tc>
          <w:tcPr>
            <w:tcW w:w="2461" w:type="dxa"/>
            <w:vAlign w:val="center"/>
          </w:tcPr>
          <w:p w:rsidR="00157E2A" w:rsidRPr="00777662" w:rsidRDefault="00157E2A" w:rsidP="00157E2A">
            <w:pPr>
              <w:pStyle w:val="TableText"/>
              <w:jc w:val="left"/>
            </w:pPr>
            <w:r w:rsidRPr="00777662">
              <w:t>Utilization model parameters</w:t>
            </w:r>
          </w:p>
        </w:tc>
        <w:tc>
          <w:tcPr>
            <w:tcW w:w="3501" w:type="dxa"/>
            <w:vAlign w:val="center"/>
          </w:tcPr>
          <w:p w:rsidR="00157E2A" w:rsidRPr="00777662" w:rsidRDefault="00157E2A" w:rsidP="00157E2A">
            <w:pPr>
              <w:pStyle w:val="TableText"/>
              <w:jc w:val="left"/>
            </w:pPr>
            <w:r w:rsidRPr="00777662">
              <w:t>Price elasticities, elasticities for other variables (income, weather)</w:t>
            </w:r>
          </w:p>
        </w:tc>
        <w:tc>
          <w:tcPr>
            <w:tcW w:w="3028" w:type="dxa"/>
            <w:vAlign w:val="center"/>
          </w:tcPr>
          <w:p w:rsidR="00157E2A" w:rsidRPr="00777662" w:rsidRDefault="00157E2A" w:rsidP="00157E2A">
            <w:pPr>
              <w:pStyle w:val="TableText"/>
              <w:jc w:val="left"/>
            </w:pPr>
            <w:r w:rsidRPr="00777662">
              <w:t>EPRI’s REEPS and COMMEND models</w:t>
            </w:r>
          </w:p>
          <w:p w:rsidR="00157E2A" w:rsidRPr="00777662" w:rsidRDefault="00157E2A" w:rsidP="00157E2A">
            <w:pPr>
              <w:pStyle w:val="TableText"/>
              <w:jc w:val="left"/>
            </w:pPr>
            <w:r w:rsidRPr="00777662">
              <w:t>AEO 201</w:t>
            </w:r>
            <w:r>
              <w:t>3</w:t>
            </w:r>
          </w:p>
        </w:tc>
      </w:tr>
    </w:tbl>
    <w:p w:rsidR="001F3DC7" w:rsidRDefault="001F3DC7" w:rsidP="00731B17">
      <w:pPr>
        <w:pStyle w:val="BodyText"/>
      </w:pPr>
    </w:p>
    <w:p w:rsidR="00B22B44" w:rsidRPr="00B519C8" w:rsidRDefault="00B22B44" w:rsidP="00B22B44">
      <w:pPr>
        <w:pStyle w:val="BodyText"/>
      </w:pPr>
      <w:r w:rsidRPr="00B519C8">
        <w:t xml:space="preserve">In addition, we implemented assumptions for known future equipment standards as of December 2013, as shown in </w:t>
      </w:r>
      <w:r w:rsidR="00893E3D">
        <w:rPr>
          <w:noProof/>
        </w:rPr>
        <w:fldChar w:fldCharType="begin"/>
      </w:r>
      <w:r>
        <w:instrText xml:space="preserve"> REF _Ref402251064 \h </w:instrText>
      </w:r>
      <w:r w:rsidR="00893E3D">
        <w:rPr>
          <w:noProof/>
        </w:rPr>
      </w:r>
      <w:r w:rsidR="00893E3D">
        <w:rPr>
          <w:noProof/>
        </w:rPr>
        <w:fldChar w:fldCharType="separate"/>
      </w:r>
      <w:r w:rsidR="00B2652C" w:rsidRPr="00535EB3">
        <w:t xml:space="preserve">Table </w:t>
      </w:r>
      <w:r w:rsidR="00B2652C" w:rsidRPr="00B2652C">
        <w:rPr>
          <w:noProof/>
        </w:rPr>
        <w:t>2</w:t>
      </w:r>
      <w:r w:rsidR="00B2652C" w:rsidRPr="00535EB3">
        <w:t>-</w:t>
      </w:r>
      <w:r w:rsidR="00B2652C" w:rsidRPr="00B2652C">
        <w:rPr>
          <w:noProof/>
        </w:rPr>
        <w:t>6</w:t>
      </w:r>
      <w:r w:rsidR="00893E3D">
        <w:rPr>
          <w:noProof/>
        </w:rPr>
        <w:fldChar w:fldCharType="end"/>
      </w:r>
      <w:r w:rsidRPr="003F7D8B">
        <w:t xml:space="preserve">, </w:t>
      </w:r>
      <w:r w:rsidR="00893E3D">
        <w:rPr>
          <w:noProof/>
        </w:rPr>
        <w:fldChar w:fldCharType="begin"/>
      </w:r>
      <w:r>
        <w:instrText xml:space="preserve"> REF _Ref402251074 \h </w:instrText>
      </w:r>
      <w:r w:rsidR="00893E3D">
        <w:rPr>
          <w:noProof/>
        </w:rPr>
      </w:r>
      <w:r w:rsidR="00893E3D">
        <w:rPr>
          <w:noProof/>
        </w:rPr>
        <w:fldChar w:fldCharType="separate"/>
      </w:r>
      <w:r w:rsidR="00B2652C" w:rsidRPr="00535EB3">
        <w:t xml:space="preserve">Table </w:t>
      </w:r>
      <w:r w:rsidR="00B2652C" w:rsidRPr="00B2652C">
        <w:rPr>
          <w:noProof/>
        </w:rPr>
        <w:t>2</w:t>
      </w:r>
      <w:r w:rsidR="00B2652C" w:rsidRPr="00535EB3">
        <w:t>-</w:t>
      </w:r>
      <w:r w:rsidR="00B2652C" w:rsidRPr="00B2652C">
        <w:rPr>
          <w:noProof/>
        </w:rPr>
        <w:t>7</w:t>
      </w:r>
      <w:r w:rsidR="00893E3D">
        <w:rPr>
          <w:noProof/>
        </w:rPr>
        <w:fldChar w:fldCharType="end"/>
      </w:r>
      <w:r w:rsidRPr="003F7D8B">
        <w:rPr>
          <w:noProof/>
        </w:rPr>
        <w:t xml:space="preserve"> and </w:t>
      </w:r>
      <w:r w:rsidR="00893E3D">
        <w:rPr>
          <w:noProof/>
        </w:rPr>
        <w:fldChar w:fldCharType="begin"/>
      </w:r>
      <w:r>
        <w:rPr>
          <w:noProof/>
        </w:rPr>
        <w:instrText xml:space="preserve"> REF _Ref402251105 \h </w:instrText>
      </w:r>
      <w:r w:rsidR="00893E3D">
        <w:rPr>
          <w:noProof/>
        </w:rPr>
      </w:r>
      <w:r w:rsidR="00893E3D">
        <w:rPr>
          <w:noProof/>
        </w:rPr>
        <w:fldChar w:fldCharType="separate"/>
      </w:r>
      <w:r w:rsidR="00B2652C" w:rsidRPr="00535EB3">
        <w:t xml:space="preserve">Table </w:t>
      </w:r>
      <w:r w:rsidR="00B2652C" w:rsidRPr="00B2652C">
        <w:rPr>
          <w:noProof/>
        </w:rPr>
        <w:t>2</w:t>
      </w:r>
      <w:r w:rsidR="00B2652C" w:rsidRPr="00535EB3">
        <w:t>-</w:t>
      </w:r>
      <w:r w:rsidR="00B2652C" w:rsidRPr="00B2652C">
        <w:rPr>
          <w:noProof/>
        </w:rPr>
        <w:t>8</w:t>
      </w:r>
      <w:r w:rsidR="00893E3D">
        <w:rPr>
          <w:noProof/>
        </w:rPr>
        <w:fldChar w:fldCharType="end"/>
      </w:r>
      <w:r w:rsidRPr="003F7D8B">
        <w:t>.</w:t>
      </w:r>
      <w:r>
        <w:t xml:space="preserve"> The assumptions tables here extend through 2025, after which all standards are assumed to hold steady.</w:t>
      </w:r>
    </w:p>
    <w:p w:rsidR="00B22B44" w:rsidRDefault="00B22B44" w:rsidP="00731B17">
      <w:pPr>
        <w:pStyle w:val="BodyText"/>
      </w:pPr>
    </w:p>
    <w:p w:rsidR="00B22B44" w:rsidRDefault="00B22B44" w:rsidP="00731B17">
      <w:pPr>
        <w:pStyle w:val="BodyText"/>
      </w:pPr>
    </w:p>
    <w:p w:rsidR="00157E2A" w:rsidRDefault="00157E2A" w:rsidP="00731B17">
      <w:pPr>
        <w:pStyle w:val="BodyText"/>
        <w:sectPr w:rsidR="00157E2A" w:rsidSect="00C92294">
          <w:headerReference w:type="first" r:id="rId27"/>
          <w:pgSz w:w="12240" w:h="15840" w:code="1"/>
          <w:pgMar w:top="1152" w:right="1440" w:bottom="1152" w:left="1800" w:header="720" w:footer="720" w:gutter="0"/>
          <w:cols w:space="720"/>
          <w:titlePg/>
          <w:docGrid w:linePitch="231"/>
        </w:sectPr>
      </w:pPr>
    </w:p>
    <w:p w:rsidR="00157E2A" w:rsidRPr="0018065C" w:rsidRDefault="00481DC3" w:rsidP="008D01F0">
      <w:pPr>
        <w:pStyle w:val="FigureorTableTitle"/>
      </w:pPr>
      <w:bookmarkStart w:id="109" w:name="_Ref402251064"/>
      <w:bookmarkStart w:id="110" w:name="_Toc396755824"/>
      <w:bookmarkStart w:id="111" w:name="_Toc424192758"/>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w:instrText>
      </w:r>
      <w:r w:rsidR="00512CD6">
        <w:instrText xml:space="preserve">  "Heading 1,Chap Num" \n  \* MERGEFORMAT </w:instrText>
      </w:r>
      <w:r w:rsidR="00512CD6">
        <w:fldChar w:fldCharType="separate"/>
      </w:r>
      <w:r w:rsidR="00B2652C" w:rsidRPr="00B2652C">
        <w:rPr>
          <w:bCs w:val="0"/>
          <w:iCs w:val="0"/>
          <w:noProof/>
        </w:rPr>
        <w:t>2</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6</w:t>
      </w:r>
      <w:r w:rsidR="00512CD6">
        <w:rPr>
          <w:bCs w:val="0"/>
          <w:iCs w:val="0"/>
          <w:noProof/>
        </w:rPr>
        <w:fldChar w:fldCharType="end"/>
      </w:r>
      <w:bookmarkEnd w:id="109"/>
      <w:r w:rsidR="00157E2A">
        <w:tab/>
      </w:r>
      <w:r w:rsidR="00157E2A" w:rsidRPr="008576B2">
        <w:t xml:space="preserve">Residential </w:t>
      </w:r>
      <w:r w:rsidR="00157E2A">
        <w:t>Electric Equipment Standards</w:t>
      </w:r>
      <w:bookmarkEnd w:id="110"/>
      <w:r w:rsidR="00801E8D">
        <w:rPr>
          <w:rStyle w:val="FootnoteReference"/>
        </w:rPr>
        <w:footnoteReference w:id="7"/>
      </w:r>
      <w:bookmarkEnd w:id="111"/>
      <w:r w:rsidR="00157E2A">
        <w:t xml:space="preserve"> </w:t>
      </w:r>
    </w:p>
    <w:p w:rsidR="00157E2A" w:rsidRDefault="00310204" w:rsidP="00157E2A">
      <w:pPr>
        <w:pStyle w:val="BodyText"/>
      </w:pPr>
      <w:r w:rsidRPr="00310204">
        <w:rPr>
          <w:noProof/>
        </w:rPr>
        <w:drawing>
          <wp:inline distT="0" distB="0" distL="0" distR="0">
            <wp:extent cx="8595360" cy="437401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95360" cy="4374015"/>
                    </a:xfrm>
                    <a:prstGeom prst="rect">
                      <a:avLst/>
                    </a:prstGeom>
                    <a:noFill/>
                    <a:ln>
                      <a:noFill/>
                    </a:ln>
                  </pic:spPr>
                </pic:pic>
              </a:graphicData>
            </a:graphic>
          </wp:inline>
        </w:drawing>
      </w:r>
    </w:p>
    <w:p w:rsidR="00157E2A" w:rsidRDefault="00481DC3" w:rsidP="008D01F0">
      <w:pPr>
        <w:pStyle w:val="FigureorTableTitle"/>
      </w:pPr>
      <w:bookmarkStart w:id="112" w:name="_Ref402251074"/>
      <w:bookmarkStart w:id="113" w:name="_Toc396755825"/>
      <w:bookmarkStart w:id="114" w:name="_Toc424192759"/>
      <w:bookmarkStart w:id="115" w:name="_Toc341181321"/>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2</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7</w:t>
      </w:r>
      <w:r w:rsidR="00512CD6">
        <w:rPr>
          <w:bCs w:val="0"/>
          <w:iCs w:val="0"/>
          <w:noProof/>
        </w:rPr>
        <w:fldChar w:fldCharType="end"/>
      </w:r>
      <w:bookmarkEnd w:id="112"/>
      <w:r w:rsidR="00157E2A">
        <w:tab/>
        <w:t>Commercial</w:t>
      </w:r>
      <w:r w:rsidR="00157E2A" w:rsidRPr="008576B2">
        <w:t xml:space="preserve"> </w:t>
      </w:r>
      <w:r w:rsidR="00157E2A">
        <w:t>Electric Equipment Standards</w:t>
      </w:r>
      <w:bookmarkEnd w:id="113"/>
      <w:r w:rsidR="00801E8D">
        <w:rPr>
          <w:rStyle w:val="FootnoteReference"/>
        </w:rPr>
        <w:footnoteReference w:id="8"/>
      </w:r>
      <w:bookmarkEnd w:id="114"/>
      <w:r w:rsidR="00157E2A">
        <w:t xml:space="preserve"> </w:t>
      </w:r>
      <w:bookmarkEnd w:id="115"/>
    </w:p>
    <w:p w:rsidR="008D01F0" w:rsidRDefault="00310204" w:rsidP="00871EEF">
      <w:pPr>
        <w:pStyle w:val="BodyText"/>
      </w:pPr>
      <w:r w:rsidRPr="00310204">
        <w:rPr>
          <w:noProof/>
        </w:rPr>
        <w:drawing>
          <wp:inline distT="0" distB="0" distL="0" distR="0">
            <wp:extent cx="8595360" cy="47905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95360" cy="4790589"/>
                    </a:xfrm>
                    <a:prstGeom prst="rect">
                      <a:avLst/>
                    </a:prstGeom>
                    <a:noFill/>
                    <a:ln>
                      <a:noFill/>
                    </a:ln>
                  </pic:spPr>
                </pic:pic>
              </a:graphicData>
            </a:graphic>
          </wp:inline>
        </w:drawing>
      </w:r>
      <w:r w:rsidR="008D01F0">
        <w:br w:type="page"/>
      </w:r>
    </w:p>
    <w:p w:rsidR="008D01F0" w:rsidRDefault="00481DC3" w:rsidP="008D01F0">
      <w:pPr>
        <w:pStyle w:val="FigureorTableTitle"/>
      </w:pPr>
      <w:bookmarkStart w:id="116" w:name="_Ref402251105"/>
      <w:bookmarkStart w:id="117" w:name="_Toc424192760"/>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2</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8</w:t>
      </w:r>
      <w:r w:rsidR="00512CD6">
        <w:rPr>
          <w:bCs w:val="0"/>
          <w:iCs w:val="0"/>
          <w:noProof/>
        </w:rPr>
        <w:fldChar w:fldCharType="end"/>
      </w:r>
      <w:bookmarkEnd w:id="116"/>
      <w:r w:rsidR="008D01F0">
        <w:tab/>
        <w:t>Industrial Electric Equipment Standards</w:t>
      </w:r>
      <w:r w:rsidR="00871EEF">
        <w:rPr>
          <w:rStyle w:val="FootnoteReference"/>
        </w:rPr>
        <w:footnoteReference w:id="9"/>
      </w:r>
      <w:bookmarkEnd w:id="117"/>
      <w:r w:rsidR="008D01F0">
        <w:t xml:space="preserve"> </w:t>
      </w:r>
    </w:p>
    <w:p w:rsidR="008D01F0" w:rsidRDefault="001E57DA" w:rsidP="00157E2A">
      <w:pPr>
        <w:pStyle w:val="BodyText"/>
      </w:pPr>
      <w:r w:rsidRPr="001E57DA">
        <w:rPr>
          <w:noProof/>
        </w:rPr>
        <w:drawing>
          <wp:inline distT="0" distB="0" distL="0" distR="0">
            <wp:extent cx="8595360" cy="31620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95360" cy="3162065"/>
                    </a:xfrm>
                    <a:prstGeom prst="rect">
                      <a:avLst/>
                    </a:prstGeom>
                    <a:noFill/>
                    <a:ln>
                      <a:noFill/>
                    </a:ln>
                  </pic:spPr>
                </pic:pic>
              </a:graphicData>
            </a:graphic>
          </wp:inline>
        </w:drawing>
      </w:r>
    </w:p>
    <w:p w:rsidR="00157E2A" w:rsidRDefault="00157E2A" w:rsidP="00731B17">
      <w:pPr>
        <w:pStyle w:val="BodyText"/>
        <w:sectPr w:rsidR="00157E2A" w:rsidSect="00157E2A">
          <w:footerReference w:type="default" r:id="rId31"/>
          <w:headerReference w:type="first" r:id="rId32"/>
          <w:footerReference w:type="first" r:id="rId33"/>
          <w:pgSz w:w="15840" w:h="12240" w:orient="landscape" w:code="1"/>
          <w:pgMar w:top="1440" w:right="1152" w:bottom="1800" w:left="1152" w:header="720" w:footer="720" w:gutter="0"/>
          <w:cols w:space="720"/>
          <w:titlePg/>
          <w:docGrid w:linePitch="272"/>
        </w:sectPr>
      </w:pPr>
    </w:p>
    <w:p w:rsidR="00157E2A" w:rsidRPr="002A7B63" w:rsidRDefault="000645B9" w:rsidP="00157E2A">
      <w:pPr>
        <w:pStyle w:val="Heading4"/>
        <w:tabs>
          <w:tab w:val="left" w:pos="4873"/>
        </w:tabs>
        <w:rPr>
          <w:color w:val="000000"/>
        </w:rPr>
      </w:pPr>
      <w:r>
        <w:rPr>
          <w:color w:val="000000"/>
        </w:rPr>
        <w:lastRenderedPageBreak/>
        <w:t>Conservation</w:t>
      </w:r>
      <w:r w:rsidR="00157E2A" w:rsidRPr="002A7B63">
        <w:rPr>
          <w:color w:val="000000"/>
        </w:rPr>
        <w:t xml:space="preserve"> Measure Data Application</w:t>
      </w:r>
    </w:p>
    <w:p w:rsidR="00157E2A" w:rsidRPr="00815514" w:rsidRDefault="00893E3D" w:rsidP="00157E2A">
      <w:pPr>
        <w:pStyle w:val="BodyText"/>
      </w:pPr>
      <w:r>
        <w:fldChar w:fldCharType="begin"/>
      </w:r>
      <w:r w:rsidR="002D5A87">
        <w:instrText xml:space="preserve"> REF _Ref402251257 \h </w:instrText>
      </w:r>
      <w:r>
        <w:fldChar w:fldCharType="separate"/>
      </w:r>
      <w:r w:rsidR="00B2652C" w:rsidRPr="00535EB3">
        <w:t xml:space="preserve">Table </w:t>
      </w:r>
      <w:r w:rsidR="00B2652C" w:rsidRPr="00B2652C">
        <w:rPr>
          <w:noProof/>
        </w:rPr>
        <w:t>2</w:t>
      </w:r>
      <w:r w:rsidR="00B2652C" w:rsidRPr="00535EB3">
        <w:t>-</w:t>
      </w:r>
      <w:r w:rsidR="00B2652C" w:rsidRPr="00B2652C">
        <w:rPr>
          <w:noProof/>
        </w:rPr>
        <w:t>9</w:t>
      </w:r>
      <w:r>
        <w:fldChar w:fldCharType="end"/>
      </w:r>
      <w:r w:rsidR="00ED6738">
        <w:t xml:space="preserve"> </w:t>
      </w:r>
      <w:r w:rsidR="00157E2A" w:rsidRPr="00815514">
        <w:t xml:space="preserve">details the energy-efficiency data inputs to the LoadMAP model. It describes each input and identifies the key sources used in the </w:t>
      </w:r>
      <w:r w:rsidR="00533432">
        <w:t>Avista</w:t>
      </w:r>
      <w:r w:rsidR="00157E2A" w:rsidRPr="00815514">
        <w:t xml:space="preserve"> analysis.</w:t>
      </w:r>
    </w:p>
    <w:p w:rsidR="00157E2A" w:rsidRPr="0018065C" w:rsidRDefault="002D5A87" w:rsidP="008D01F0">
      <w:pPr>
        <w:pStyle w:val="FigureorTableTitle"/>
      </w:pPr>
      <w:bookmarkStart w:id="118" w:name="_Ref402251257"/>
      <w:bookmarkStart w:id="119" w:name="_Toc341181322"/>
      <w:bookmarkStart w:id="120" w:name="_Toc396755826"/>
      <w:bookmarkStart w:id="121" w:name="_Toc424192761"/>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2</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9</w:t>
      </w:r>
      <w:r w:rsidR="00512CD6">
        <w:rPr>
          <w:bCs w:val="0"/>
          <w:iCs w:val="0"/>
          <w:noProof/>
        </w:rPr>
        <w:fldChar w:fldCharType="end"/>
      </w:r>
      <w:bookmarkEnd w:id="118"/>
      <w:r w:rsidR="00157E2A">
        <w:tab/>
      </w:r>
      <w:r w:rsidR="00157E2A" w:rsidRPr="00B34E68">
        <w:t xml:space="preserve">Data Needs for the </w:t>
      </w:r>
      <w:r w:rsidR="00157E2A">
        <w:t>Measure Characteristics</w:t>
      </w:r>
      <w:r w:rsidR="00157E2A" w:rsidRPr="00B34E68">
        <w:t xml:space="preserve"> in LoadMAP</w:t>
      </w:r>
      <w:bookmarkEnd w:id="119"/>
      <w:bookmarkEnd w:id="120"/>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410"/>
        <w:gridCol w:w="2628"/>
      </w:tblGrid>
      <w:tr w:rsidR="00157E2A" w:rsidTr="00C63F81">
        <w:tc>
          <w:tcPr>
            <w:tcW w:w="2178" w:type="dxa"/>
            <w:shd w:val="clear" w:color="auto" w:fill="1A1D5D"/>
            <w:vAlign w:val="center"/>
          </w:tcPr>
          <w:p w:rsidR="00157E2A" w:rsidRPr="008D01F0" w:rsidRDefault="00157E2A" w:rsidP="00157E2A">
            <w:pPr>
              <w:pStyle w:val="TableHeadings"/>
              <w:keepNext/>
              <w:rPr>
                <w:b w:val="0"/>
                <w:caps/>
                <w:sz w:val="22"/>
              </w:rPr>
            </w:pPr>
            <w:r w:rsidRPr="008D01F0">
              <w:rPr>
                <w:b w:val="0"/>
              </w:rPr>
              <w:t>Model Inputs</w:t>
            </w:r>
          </w:p>
        </w:tc>
        <w:tc>
          <w:tcPr>
            <w:tcW w:w="4410" w:type="dxa"/>
            <w:shd w:val="clear" w:color="auto" w:fill="1A1D5D"/>
            <w:vAlign w:val="center"/>
          </w:tcPr>
          <w:p w:rsidR="00157E2A" w:rsidRPr="008D01F0" w:rsidRDefault="00157E2A" w:rsidP="00157E2A">
            <w:pPr>
              <w:pStyle w:val="TableHeadings"/>
              <w:keepNext/>
              <w:rPr>
                <w:b w:val="0"/>
                <w:caps/>
                <w:sz w:val="22"/>
              </w:rPr>
            </w:pPr>
            <w:r w:rsidRPr="008D01F0">
              <w:rPr>
                <w:b w:val="0"/>
              </w:rPr>
              <w:t>Description</w:t>
            </w:r>
          </w:p>
        </w:tc>
        <w:tc>
          <w:tcPr>
            <w:tcW w:w="2628" w:type="dxa"/>
            <w:shd w:val="clear" w:color="auto" w:fill="1A1D5D"/>
            <w:vAlign w:val="center"/>
          </w:tcPr>
          <w:p w:rsidR="00157E2A" w:rsidRPr="008D01F0" w:rsidRDefault="00157E2A" w:rsidP="00157E2A">
            <w:pPr>
              <w:pStyle w:val="TableHeadings"/>
              <w:keepNext/>
              <w:rPr>
                <w:b w:val="0"/>
                <w:caps/>
                <w:sz w:val="22"/>
              </w:rPr>
            </w:pPr>
            <w:r w:rsidRPr="008D01F0">
              <w:rPr>
                <w:b w:val="0"/>
              </w:rPr>
              <w:t>Key Sources</w:t>
            </w:r>
          </w:p>
        </w:tc>
      </w:tr>
      <w:tr w:rsidR="00157E2A" w:rsidTr="00157E2A">
        <w:tc>
          <w:tcPr>
            <w:tcW w:w="2178" w:type="dxa"/>
            <w:vAlign w:val="center"/>
          </w:tcPr>
          <w:p w:rsidR="00157E2A" w:rsidRPr="00244582" w:rsidRDefault="00157E2A" w:rsidP="00157E2A">
            <w:pPr>
              <w:pStyle w:val="TableText"/>
              <w:jc w:val="left"/>
            </w:pPr>
            <w:r w:rsidRPr="00244582">
              <w:t>Energy Impacts</w:t>
            </w:r>
          </w:p>
        </w:tc>
        <w:tc>
          <w:tcPr>
            <w:tcW w:w="4410" w:type="dxa"/>
            <w:vAlign w:val="center"/>
          </w:tcPr>
          <w:p w:rsidR="00157E2A" w:rsidRPr="00244582" w:rsidRDefault="00157E2A" w:rsidP="00157E2A">
            <w:pPr>
              <w:pStyle w:val="TableText"/>
              <w:jc w:val="left"/>
            </w:pPr>
            <w:r w:rsidRPr="00244582">
              <w:t>The annual reduction in consumption attributable to each specific measure. Savings were developed as a percentage of the energy end use that the measure affects.</w:t>
            </w:r>
          </w:p>
        </w:tc>
        <w:tc>
          <w:tcPr>
            <w:tcW w:w="2628" w:type="dxa"/>
            <w:vAlign w:val="center"/>
          </w:tcPr>
          <w:p w:rsidR="0078356A" w:rsidRDefault="00533432" w:rsidP="00157E2A">
            <w:pPr>
              <w:pStyle w:val="TableText"/>
              <w:ind w:right="144"/>
              <w:jc w:val="left"/>
            </w:pPr>
            <w:r>
              <w:t>Avista</w:t>
            </w:r>
            <w:r w:rsidR="0078356A">
              <w:t xml:space="preserve"> measure data</w:t>
            </w:r>
          </w:p>
          <w:p w:rsidR="0078356A" w:rsidRDefault="003621AF" w:rsidP="00157E2A">
            <w:pPr>
              <w:pStyle w:val="TableText"/>
              <w:ind w:right="144"/>
              <w:jc w:val="left"/>
            </w:pPr>
            <w:r>
              <w:t>NPCC</w:t>
            </w:r>
            <w:r w:rsidR="0078356A">
              <w:t xml:space="preserve"> Sixth Plan conservation workbooks</w:t>
            </w:r>
          </w:p>
          <w:p w:rsidR="00157E2A" w:rsidRDefault="00157E2A" w:rsidP="00157E2A">
            <w:pPr>
              <w:pStyle w:val="TableText"/>
              <w:ind w:right="144"/>
              <w:jc w:val="left"/>
            </w:pPr>
            <w:r w:rsidRPr="00777662">
              <w:t>BEST</w:t>
            </w:r>
          </w:p>
          <w:p w:rsidR="00157E2A" w:rsidRDefault="00C92294" w:rsidP="00157E2A">
            <w:pPr>
              <w:pStyle w:val="TableText"/>
              <w:ind w:right="144"/>
              <w:jc w:val="left"/>
            </w:pPr>
            <w:r>
              <w:t>AEG</w:t>
            </w:r>
            <w:r w:rsidR="00157E2A">
              <w:t xml:space="preserve"> </w:t>
            </w:r>
            <w:r w:rsidR="00157E2A" w:rsidRPr="00777662">
              <w:t>DEEM</w:t>
            </w:r>
          </w:p>
          <w:p w:rsidR="00157E2A" w:rsidRDefault="00157E2A" w:rsidP="00157E2A">
            <w:pPr>
              <w:pStyle w:val="TableText"/>
              <w:ind w:right="144"/>
              <w:jc w:val="left"/>
            </w:pPr>
            <w:r>
              <w:t>AEO 2013</w:t>
            </w:r>
          </w:p>
          <w:p w:rsidR="00157E2A" w:rsidRPr="00205CD0" w:rsidRDefault="00157E2A" w:rsidP="00157E2A">
            <w:pPr>
              <w:pStyle w:val="TableText"/>
              <w:ind w:right="144"/>
              <w:jc w:val="left"/>
            </w:pPr>
            <w:r w:rsidRPr="00777662">
              <w:t>DEER</w:t>
            </w:r>
          </w:p>
          <w:p w:rsidR="00157E2A" w:rsidRPr="00777662" w:rsidRDefault="003621AF" w:rsidP="00157E2A">
            <w:pPr>
              <w:pStyle w:val="TableText"/>
              <w:ind w:right="144"/>
              <w:jc w:val="left"/>
            </w:pPr>
            <w:r>
              <w:t>NPCC</w:t>
            </w:r>
            <w:r w:rsidR="00157E2A" w:rsidRPr="00777662">
              <w:t xml:space="preserve"> workbooks</w:t>
            </w:r>
            <w:r w:rsidR="00157E2A">
              <w:t>, RTF</w:t>
            </w:r>
          </w:p>
          <w:p w:rsidR="00157E2A" w:rsidRDefault="00157E2A" w:rsidP="00157E2A">
            <w:pPr>
              <w:pStyle w:val="TableText"/>
              <w:ind w:right="144"/>
              <w:jc w:val="left"/>
            </w:pPr>
            <w:r w:rsidRPr="00777662">
              <w:t>Other secondary sources</w:t>
            </w:r>
          </w:p>
        </w:tc>
      </w:tr>
      <w:tr w:rsidR="00157E2A" w:rsidTr="00157E2A">
        <w:tc>
          <w:tcPr>
            <w:tcW w:w="2178" w:type="dxa"/>
            <w:vAlign w:val="center"/>
          </w:tcPr>
          <w:p w:rsidR="00157E2A" w:rsidRPr="00244582" w:rsidRDefault="00157E2A" w:rsidP="00157E2A">
            <w:pPr>
              <w:pStyle w:val="TableText"/>
              <w:jc w:val="left"/>
            </w:pPr>
            <w:r w:rsidRPr="00244582">
              <w:t>Peak Demand Impacts</w:t>
            </w:r>
          </w:p>
        </w:tc>
        <w:tc>
          <w:tcPr>
            <w:tcW w:w="4410" w:type="dxa"/>
            <w:vAlign w:val="center"/>
          </w:tcPr>
          <w:p w:rsidR="00157E2A" w:rsidRPr="00244582" w:rsidRDefault="00157E2A" w:rsidP="00157E2A">
            <w:pPr>
              <w:pStyle w:val="TableText"/>
              <w:jc w:val="left"/>
            </w:pPr>
            <w:r w:rsidRPr="00244582">
              <w:t>Savings during the peak demand periods are specified for each</w:t>
            </w:r>
            <w:r>
              <w:t xml:space="preserve"> electric</w:t>
            </w:r>
            <w:r w:rsidRPr="00244582">
              <w:t xml:space="preserve"> measure. These impacts relate to the energy savings and depend on the extent to which each measure is coincident with the system peak.</w:t>
            </w:r>
          </w:p>
        </w:tc>
        <w:tc>
          <w:tcPr>
            <w:tcW w:w="2628" w:type="dxa"/>
            <w:vAlign w:val="center"/>
          </w:tcPr>
          <w:p w:rsidR="0078356A" w:rsidRDefault="00533432" w:rsidP="00157E2A">
            <w:pPr>
              <w:pStyle w:val="TableText"/>
              <w:ind w:right="144"/>
              <w:jc w:val="left"/>
            </w:pPr>
            <w:r>
              <w:t>Avista</w:t>
            </w:r>
            <w:r w:rsidR="0078356A">
              <w:t xml:space="preserve"> measure data</w:t>
            </w:r>
          </w:p>
          <w:p w:rsidR="0078356A" w:rsidRDefault="003621AF" w:rsidP="00157E2A">
            <w:pPr>
              <w:pStyle w:val="TableText"/>
              <w:ind w:right="144"/>
              <w:jc w:val="left"/>
            </w:pPr>
            <w:r>
              <w:t>NPCC</w:t>
            </w:r>
            <w:r w:rsidR="0078356A">
              <w:t xml:space="preserve"> Sixth Plan conservation workbooks</w:t>
            </w:r>
          </w:p>
          <w:p w:rsidR="00157E2A" w:rsidRDefault="00157E2A" w:rsidP="00157E2A">
            <w:pPr>
              <w:pStyle w:val="TableText"/>
              <w:ind w:right="144"/>
              <w:jc w:val="left"/>
            </w:pPr>
            <w:r w:rsidRPr="00777662">
              <w:t>BEST</w:t>
            </w:r>
          </w:p>
          <w:p w:rsidR="00157E2A" w:rsidRDefault="00C92294" w:rsidP="00157E2A">
            <w:pPr>
              <w:pStyle w:val="TableText"/>
              <w:ind w:right="144"/>
              <w:jc w:val="left"/>
            </w:pPr>
            <w:r>
              <w:t>AEG</w:t>
            </w:r>
            <w:r w:rsidR="00157E2A">
              <w:t xml:space="preserve"> </w:t>
            </w:r>
            <w:r w:rsidR="00157E2A" w:rsidRPr="00777662">
              <w:t>DEEM</w:t>
            </w:r>
          </w:p>
          <w:p w:rsidR="00157E2A" w:rsidRDefault="00157E2A" w:rsidP="00157E2A">
            <w:pPr>
              <w:pStyle w:val="TableText"/>
              <w:ind w:right="144"/>
              <w:jc w:val="left"/>
            </w:pPr>
            <w:r w:rsidRPr="00777662">
              <w:t>EnergyShape</w:t>
            </w:r>
          </w:p>
        </w:tc>
      </w:tr>
      <w:tr w:rsidR="00157E2A" w:rsidTr="00157E2A">
        <w:tc>
          <w:tcPr>
            <w:tcW w:w="2178" w:type="dxa"/>
            <w:vAlign w:val="center"/>
          </w:tcPr>
          <w:p w:rsidR="00157E2A" w:rsidRPr="00244582" w:rsidRDefault="00ED6738" w:rsidP="00157E2A">
            <w:pPr>
              <w:pStyle w:val="TableText"/>
              <w:jc w:val="left"/>
            </w:pPr>
            <w:r>
              <w:t xml:space="preserve"> </w:t>
            </w:r>
            <w:r w:rsidR="00157E2A" w:rsidRPr="00244582">
              <w:t>Costs</w:t>
            </w:r>
          </w:p>
        </w:tc>
        <w:tc>
          <w:tcPr>
            <w:tcW w:w="4410" w:type="dxa"/>
            <w:vAlign w:val="center"/>
          </w:tcPr>
          <w:p w:rsidR="00157E2A" w:rsidRPr="00244582" w:rsidRDefault="00157E2A" w:rsidP="00157E2A">
            <w:pPr>
              <w:pStyle w:val="TableText"/>
              <w:jc w:val="left"/>
            </w:pPr>
            <w:r w:rsidRPr="00244582">
              <w:t>Equipment Measures: Includes the full cost of purchasing and installing the equipment on a per-</w:t>
            </w:r>
            <w:r>
              <w:t>household,</w:t>
            </w:r>
            <w:r w:rsidRPr="00244582">
              <w:t xml:space="preserve"> per-square-foot</w:t>
            </w:r>
            <w:r>
              <w:t>, per employee</w:t>
            </w:r>
            <w:r w:rsidRPr="00244582">
              <w:t xml:space="preserve"> </w:t>
            </w:r>
            <w:r w:rsidR="00AB3FD3">
              <w:t xml:space="preserve">or per service point </w:t>
            </w:r>
            <w:r w:rsidRPr="00244582">
              <w:t>basis for the residential</w:t>
            </w:r>
            <w:r>
              <w:t xml:space="preserve">, commercial, </w:t>
            </w:r>
            <w:r w:rsidR="00533432">
              <w:t xml:space="preserve">and </w:t>
            </w:r>
            <w:r>
              <w:t>industrial</w:t>
            </w:r>
            <w:r w:rsidR="00533432">
              <w:t xml:space="preserve"> </w:t>
            </w:r>
            <w:r w:rsidRPr="00244582">
              <w:t>sectors, respectively</w:t>
            </w:r>
            <w:r>
              <w:t>.</w:t>
            </w:r>
          </w:p>
          <w:p w:rsidR="00157E2A" w:rsidRPr="00244582" w:rsidRDefault="00157E2A" w:rsidP="00157E2A">
            <w:pPr>
              <w:pStyle w:val="TableText"/>
              <w:jc w:val="left"/>
            </w:pPr>
            <w:r w:rsidRPr="00244582">
              <w:t>Non-equipment measures: Existing buildings – full installed cost. New Construction - the costs may be either the full cost of the measure, or as appropriate, it may be the incremental cost of upgrading from a standard level to a higher efficiency level.</w:t>
            </w:r>
          </w:p>
        </w:tc>
        <w:tc>
          <w:tcPr>
            <w:tcW w:w="2628" w:type="dxa"/>
            <w:vAlign w:val="center"/>
          </w:tcPr>
          <w:p w:rsidR="0078356A" w:rsidRDefault="00533432" w:rsidP="0078356A">
            <w:pPr>
              <w:pStyle w:val="TableText"/>
              <w:ind w:right="144"/>
              <w:jc w:val="left"/>
            </w:pPr>
            <w:r>
              <w:t>Avista</w:t>
            </w:r>
            <w:r w:rsidR="0078356A">
              <w:t xml:space="preserve"> measure data</w:t>
            </w:r>
          </w:p>
          <w:p w:rsidR="0078356A" w:rsidRDefault="003621AF" w:rsidP="0078356A">
            <w:pPr>
              <w:pStyle w:val="TableText"/>
              <w:ind w:right="144"/>
              <w:jc w:val="left"/>
            </w:pPr>
            <w:r>
              <w:t>NPCC</w:t>
            </w:r>
            <w:r w:rsidR="0078356A">
              <w:t xml:space="preserve"> Sixth Plan conservation workbooks</w:t>
            </w:r>
          </w:p>
          <w:p w:rsidR="0078356A" w:rsidRDefault="0078356A" w:rsidP="00157E2A">
            <w:pPr>
              <w:pStyle w:val="TableText"/>
              <w:ind w:right="144"/>
              <w:jc w:val="left"/>
            </w:pPr>
            <w:r>
              <w:t>RTF deemed measure database</w:t>
            </w:r>
          </w:p>
          <w:p w:rsidR="00157E2A" w:rsidRDefault="00C92294" w:rsidP="00157E2A">
            <w:pPr>
              <w:pStyle w:val="TableText"/>
              <w:ind w:right="144"/>
              <w:jc w:val="left"/>
            </w:pPr>
            <w:r>
              <w:t>AEG</w:t>
            </w:r>
            <w:r w:rsidR="00157E2A">
              <w:t xml:space="preserve"> </w:t>
            </w:r>
            <w:r w:rsidR="00157E2A" w:rsidRPr="00777662">
              <w:t>DEEM</w:t>
            </w:r>
          </w:p>
          <w:p w:rsidR="00157E2A" w:rsidRDefault="00157E2A" w:rsidP="00157E2A">
            <w:pPr>
              <w:pStyle w:val="TableText"/>
              <w:ind w:right="144"/>
              <w:jc w:val="left"/>
            </w:pPr>
            <w:r>
              <w:t>AEO 2013</w:t>
            </w:r>
          </w:p>
          <w:p w:rsidR="00157E2A" w:rsidRPr="00205CD0" w:rsidRDefault="00157E2A" w:rsidP="00157E2A">
            <w:pPr>
              <w:pStyle w:val="TableText"/>
              <w:ind w:right="144"/>
              <w:jc w:val="left"/>
            </w:pPr>
            <w:r w:rsidRPr="00777662">
              <w:t>DEER</w:t>
            </w:r>
          </w:p>
          <w:p w:rsidR="00157E2A" w:rsidRPr="00777662" w:rsidRDefault="00157E2A" w:rsidP="00157E2A">
            <w:pPr>
              <w:pStyle w:val="TableText"/>
              <w:ind w:right="144"/>
              <w:jc w:val="left"/>
            </w:pPr>
            <w:r w:rsidRPr="00777662">
              <w:t>RS Means</w:t>
            </w:r>
          </w:p>
          <w:p w:rsidR="00157E2A" w:rsidRDefault="00157E2A" w:rsidP="00157E2A">
            <w:pPr>
              <w:pStyle w:val="TableText"/>
              <w:ind w:right="144"/>
              <w:jc w:val="left"/>
            </w:pPr>
            <w:r w:rsidRPr="00777662">
              <w:t>Other secondary sources</w:t>
            </w:r>
            <w:r>
              <w:t xml:space="preserve"> </w:t>
            </w:r>
          </w:p>
        </w:tc>
      </w:tr>
      <w:tr w:rsidR="00157E2A" w:rsidTr="00157E2A">
        <w:tc>
          <w:tcPr>
            <w:tcW w:w="2178" w:type="dxa"/>
            <w:vAlign w:val="center"/>
          </w:tcPr>
          <w:p w:rsidR="00157E2A" w:rsidRPr="00244582" w:rsidRDefault="00157E2A" w:rsidP="00157E2A">
            <w:pPr>
              <w:pStyle w:val="TableText"/>
              <w:jc w:val="left"/>
            </w:pPr>
            <w:r w:rsidRPr="00244582">
              <w:t>Measure Lifetimes</w:t>
            </w:r>
          </w:p>
        </w:tc>
        <w:tc>
          <w:tcPr>
            <w:tcW w:w="4410" w:type="dxa"/>
            <w:vAlign w:val="center"/>
          </w:tcPr>
          <w:p w:rsidR="00157E2A" w:rsidRPr="00244582" w:rsidRDefault="00157E2A" w:rsidP="00157E2A">
            <w:pPr>
              <w:pStyle w:val="TableText"/>
              <w:jc w:val="left"/>
            </w:pPr>
            <w:r w:rsidRPr="00244582">
              <w:t>Estimates derived from the technical data and secondary data sources that support the measure demand and energy savings analysis</w:t>
            </w:r>
            <w:r>
              <w:t>.</w:t>
            </w:r>
          </w:p>
        </w:tc>
        <w:tc>
          <w:tcPr>
            <w:tcW w:w="2628" w:type="dxa"/>
            <w:vAlign w:val="center"/>
          </w:tcPr>
          <w:p w:rsidR="0078356A" w:rsidRDefault="00533432" w:rsidP="0078356A">
            <w:pPr>
              <w:pStyle w:val="TableText"/>
              <w:ind w:right="144"/>
              <w:jc w:val="left"/>
            </w:pPr>
            <w:r>
              <w:t>Avista</w:t>
            </w:r>
            <w:r w:rsidR="0078356A">
              <w:t xml:space="preserve"> measure data</w:t>
            </w:r>
          </w:p>
          <w:p w:rsidR="0078356A" w:rsidRDefault="003621AF" w:rsidP="0078356A">
            <w:pPr>
              <w:pStyle w:val="TableText"/>
              <w:ind w:right="144"/>
              <w:jc w:val="left"/>
            </w:pPr>
            <w:r>
              <w:t>NPCC</w:t>
            </w:r>
            <w:r w:rsidR="0078356A">
              <w:t xml:space="preserve"> Sixth Plan conservation workbooks</w:t>
            </w:r>
          </w:p>
          <w:p w:rsidR="0078356A" w:rsidRDefault="0078356A" w:rsidP="0078356A">
            <w:pPr>
              <w:pStyle w:val="TableText"/>
              <w:ind w:right="144"/>
              <w:jc w:val="left"/>
            </w:pPr>
            <w:r>
              <w:t>RTF deemed measure database</w:t>
            </w:r>
          </w:p>
          <w:p w:rsidR="00157E2A" w:rsidRDefault="00C92294" w:rsidP="00157E2A">
            <w:pPr>
              <w:pStyle w:val="TableText"/>
              <w:ind w:right="144"/>
              <w:jc w:val="left"/>
            </w:pPr>
            <w:r>
              <w:t>AEG</w:t>
            </w:r>
            <w:r w:rsidR="00157E2A">
              <w:t xml:space="preserve"> </w:t>
            </w:r>
            <w:r w:rsidR="00157E2A" w:rsidRPr="00777662">
              <w:t>DEEM</w:t>
            </w:r>
          </w:p>
          <w:p w:rsidR="00157E2A" w:rsidRDefault="00157E2A" w:rsidP="00157E2A">
            <w:pPr>
              <w:pStyle w:val="TableText"/>
              <w:ind w:right="144"/>
              <w:jc w:val="left"/>
            </w:pPr>
            <w:r>
              <w:t>AEO 2013</w:t>
            </w:r>
          </w:p>
          <w:p w:rsidR="00157E2A" w:rsidRPr="00205CD0" w:rsidRDefault="00157E2A" w:rsidP="00157E2A">
            <w:pPr>
              <w:pStyle w:val="TableText"/>
              <w:ind w:right="144"/>
              <w:jc w:val="left"/>
            </w:pPr>
            <w:r w:rsidRPr="00777662">
              <w:t>DEER</w:t>
            </w:r>
          </w:p>
          <w:p w:rsidR="00157E2A" w:rsidRDefault="00157E2A" w:rsidP="00157E2A">
            <w:pPr>
              <w:pStyle w:val="TableText"/>
              <w:ind w:right="144"/>
              <w:jc w:val="left"/>
            </w:pPr>
            <w:r w:rsidRPr="00777662">
              <w:t>Other secondary sources</w:t>
            </w:r>
          </w:p>
        </w:tc>
      </w:tr>
      <w:tr w:rsidR="00157E2A" w:rsidTr="00157E2A">
        <w:tc>
          <w:tcPr>
            <w:tcW w:w="2178" w:type="dxa"/>
            <w:vAlign w:val="center"/>
          </w:tcPr>
          <w:p w:rsidR="00157E2A" w:rsidRPr="00244582" w:rsidRDefault="00157E2A" w:rsidP="00157E2A">
            <w:pPr>
              <w:pStyle w:val="TableText"/>
              <w:jc w:val="left"/>
            </w:pPr>
            <w:r w:rsidRPr="00244582">
              <w:t>Applicability</w:t>
            </w:r>
          </w:p>
        </w:tc>
        <w:tc>
          <w:tcPr>
            <w:tcW w:w="4410" w:type="dxa"/>
            <w:vAlign w:val="center"/>
          </w:tcPr>
          <w:p w:rsidR="00157E2A" w:rsidRPr="00244582" w:rsidRDefault="00157E2A" w:rsidP="00533432">
            <w:pPr>
              <w:pStyle w:val="TableText"/>
              <w:jc w:val="left"/>
            </w:pPr>
            <w:r w:rsidRPr="00244582">
              <w:t>Estimate of the percentage of dwellings in the residential sector</w:t>
            </w:r>
            <w:r w:rsidR="00871EEF">
              <w:t xml:space="preserve">, </w:t>
            </w:r>
            <w:r w:rsidRPr="00244582">
              <w:t xml:space="preserve">square feet in the </w:t>
            </w:r>
            <w:r w:rsidR="00871EEF">
              <w:t xml:space="preserve">commercial sector, </w:t>
            </w:r>
            <w:r w:rsidR="00533432">
              <w:t xml:space="preserve">or </w:t>
            </w:r>
            <w:r w:rsidR="00871EEF">
              <w:t>employees in the industrial sector</w:t>
            </w:r>
            <w:r w:rsidRPr="00244582">
              <w:t xml:space="preserve"> where the measure is applicable and where it is technically feasible to implement</w:t>
            </w:r>
            <w:r>
              <w:t>.</w:t>
            </w:r>
          </w:p>
        </w:tc>
        <w:tc>
          <w:tcPr>
            <w:tcW w:w="2628" w:type="dxa"/>
            <w:vAlign w:val="center"/>
          </w:tcPr>
          <w:p w:rsidR="0078356A" w:rsidRDefault="00533432" w:rsidP="0078356A">
            <w:pPr>
              <w:pStyle w:val="TableText"/>
              <w:ind w:right="144"/>
              <w:jc w:val="left"/>
            </w:pPr>
            <w:r>
              <w:t>Avista</w:t>
            </w:r>
            <w:r w:rsidR="0078356A">
              <w:t xml:space="preserve"> measure data</w:t>
            </w:r>
          </w:p>
          <w:p w:rsidR="0078356A" w:rsidRDefault="003621AF" w:rsidP="0078356A">
            <w:pPr>
              <w:pStyle w:val="TableText"/>
              <w:ind w:right="144"/>
              <w:jc w:val="left"/>
            </w:pPr>
            <w:r>
              <w:t>NPCC</w:t>
            </w:r>
            <w:r w:rsidR="0078356A">
              <w:t xml:space="preserve"> Sixth Plan conservation workbooks</w:t>
            </w:r>
          </w:p>
          <w:p w:rsidR="0078356A" w:rsidRDefault="0078356A" w:rsidP="0078356A">
            <w:pPr>
              <w:pStyle w:val="TableText"/>
              <w:ind w:right="144"/>
              <w:jc w:val="left"/>
            </w:pPr>
            <w:r>
              <w:t>RTF deemed measure database</w:t>
            </w:r>
          </w:p>
          <w:p w:rsidR="00157E2A" w:rsidRDefault="00C92294" w:rsidP="00157E2A">
            <w:pPr>
              <w:pStyle w:val="TableText"/>
              <w:ind w:right="144"/>
              <w:jc w:val="left"/>
            </w:pPr>
            <w:r>
              <w:t>AEG</w:t>
            </w:r>
            <w:r w:rsidR="00157E2A">
              <w:t xml:space="preserve"> </w:t>
            </w:r>
            <w:r w:rsidR="00157E2A" w:rsidRPr="00777662">
              <w:t>DEEM</w:t>
            </w:r>
          </w:p>
          <w:p w:rsidR="00157E2A" w:rsidRPr="00205CD0" w:rsidRDefault="00157E2A" w:rsidP="00157E2A">
            <w:pPr>
              <w:pStyle w:val="TableText"/>
              <w:ind w:right="144"/>
              <w:jc w:val="left"/>
            </w:pPr>
            <w:r w:rsidRPr="00777662">
              <w:t>DEER</w:t>
            </w:r>
          </w:p>
          <w:p w:rsidR="00157E2A" w:rsidRDefault="00157E2A" w:rsidP="00157E2A">
            <w:pPr>
              <w:pStyle w:val="TableText"/>
              <w:ind w:right="144"/>
              <w:jc w:val="left"/>
            </w:pPr>
            <w:r w:rsidRPr="00777662">
              <w:t>Other secondary sources</w:t>
            </w:r>
          </w:p>
        </w:tc>
      </w:tr>
      <w:tr w:rsidR="00157E2A" w:rsidTr="00157E2A">
        <w:tc>
          <w:tcPr>
            <w:tcW w:w="2178" w:type="dxa"/>
            <w:vAlign w:val="center"/>
          </w:tcPr>
          <w:p w:rsidR="00157E2A" w:rsidRPr="00244582" w:rsidRDefault="00157E2A" w:rsidP="00157E2A">
            <w:pPr>
              <w:pStyle w:val="TableText"/>
              <w:jc w:val="left"/>
            </w:pPr>
            <w:r w:rsidRPr="00244582">
              <w:t>On Market and Off Market Availability</w:t>
            </w:r>
          </w:p>
        </w:tc>
        <w:tc>
          <w:tcPr>
            <w:tcW w:w="4410" w:type="dxa"/>
            <w:vAlign w:val="center"/>
          </w:tcPr>
          <w:p w:rsidR="00157E2A" w:rsidRPr="00244582" w:rsidRDefault="00157E2A" w:rsidP="00157E2A">
            <w:pPr>
              <w:pStyle w:val="TableText"/>
              <w:jc w:val="left"/>
            </w:pPr>
            <w:r w:rsidRPr="00244582">
              <w:t>Expressed as years for equipment measures to reflect when the equipment technology is available or no longer available in the market</w:t>
            </w:r>
            <w:r>
              <w:t>.</w:t>
            </w:r>
          </w:p>
        </w:tc>
        <w:tc>
          <w:tcPr>
            <w:tcW w:w="2628" w:type="dxa"/>
            <w:vAlign w:val="center"/>
          </w:tcPr>
          <w:p w:rsidR="00157E2A" w:rsidRDefault="00C92294" w:rsidP="00157E2A">
            <w:pPr>
              <w:pStyle w:val="TableText"/>
              <w:ind w:right="144"/>
              <w:jc w:val="left"/>
            </w:pPr>
            <w:r>
              <w:t>AEG</w:t>
            </w:r>
            <w:r w:rsidR="00157E2A" w:rsidRPr="00777662">
              <w:t xml:space="preserve"> appliance standards and building codes analysis</w:t>
            </w:r>
          </w:p>
        </w:tc>
      </w:tr>
    </w:tbl>
    <w:p w:rsidR="00157E2A" w:rsidRDefault="00157E2A" w:rsidP="00157E2A">
      <w:pPr>
        <w:pStyle w:val="BodyText"/>
      </w:pPr>
    </w:p>
    <w:p w:rsidR="00157E2A" w:rsidRPr="002A7B63" w:rsidRDefault="00157E2A" w:rsidP="00157E2A">
      <w:pPr>
        <w:pStyle w:val="Heading4"/>
        <w:rPr>
          <w:color w:val="000000"/>
        </w:rPr>
      </w:pPr>
      <w:r w:rsidRPr="002A7B63">
        <w:rPr>
          <w:color w:val="000000"/>
        </w:rPr>
        <w:lastRenderedPageBreak/>
        <w:t>Data Application for Cost-effectiveness Screening</w:t>
      </w:r>
    </w:p>
    <w:p w:rsidR="00157E2A" w:rsidRDefault="00157E2A" w:rsidP="00157E2A">
      <w:pPr>
        <w:pStyle w:val="BodyText"/>
      </w:pPr>
      <w:r w:rsidRPr="00D83E8B">
        <w:t xml:space="preserve">To perform the cost-effectiveness screening, </w:t>
      </w:r>
      <w:r>
        <w:t xml:space="preserve">a number of economic assumptions were </w:t>
      </w:r>
      <w:r w:rsidRPr="00D83E8B">
        <w:t>needed</w:t>
      </w:r>
      <w:r>
        <w:t xml:space="preserve">. </w:t>
      </w:r>
      <w:r w:rsidRPr="0039719D">
        <w:t xml:space="preserve">All cost and benefit values were </w:t>
      </w:r>
      <w:r>
        <w:t>analyzed as real 201</w:t>
      </w:r>
      <w:r w:rsidR="00845684">
        <w:t>3</w:t>
      </w:r>
      <w:r>
        <w:t xml:space="preserve"> dollars</w:t>
      </w:r>
      <w:r w:rsidRPr="00815514">
        <w:t xml:space="preserve">. </w:t>
      </w:r>
      <w:r w:rsidR="00845684">
        <w:t>We applied a</w:t>
      </w:r>
      <w:r w:rsidRPr="00815514">
        <w:t xml:space="preserve"> discount rate of </w:t>
      </w:r>
      <w:r w:rsidR="00A6496E" w:rsidRPr="00A6496E">
        <w:t>4</w:t>
      </w:r>
      <w:r w:rsidRPr="00A6496E">
        <w:t xml:space="preserve">% in in real </w:t>
      </w:r>
      <w:r w:rsidR="00845684" w:rsidRPr="00A6496E">
        <w:t>dollars</w:t>
      </w:r>
      <w:r w:rsidRPr="00A6496E">
        <w:t xml:space="preserve">. All impacts in this report are presented at the customer meter, but electric energy delivery losses of </w:t>
      </w:r>
      <w:r w:rsidR="006C11FE" w:rsidRPr="00A6496E">
        <w:t>6</w:t>
      </w:r>
      <w:r w:rsidR="00BA6110" w:rsidRPr="00A6496E">
        <w:t>.</w:t>
      </w:r>
      <w:r w:rsidR="00A6496E" w:rsidRPr="00A6496E">
        <w:t>5</w:t>
      </w:r>
      <w:r w:rsidRPr="00A6496E">
        <w:t xml:space="preserve">% were provided by </w:t>
      </w:r>
      <w:r w:rsidR="00533432" w:rsidRPr="00A6496E">
        <w:t>Avista</w:t>
      </w:r>
      <w:r w:rsidRPr="00A6496E">
        <w:t xml:space="preserve"> in order to gross up impacts to the</w:t>
      </w:r>
      <w:r>
        <w:t xml:space="preserve"> generator for economic analysis</w:t>
      </w:r>
      <w:r w:rsidRPr="00815514">
        <w:t>.</w:t>
      </w:r>
      <w:r w:rsidR="00BA6110">
        <w:t xml:space="preserve"> </w:t>
      </w:r>
      <w:r w:rsidR="00BA6110" w:rsidRPr="00A6496E">
        <w:t xml:space="preserve">The avoided costs provided by </w:t>
      </w:r>
      <w:r w:rsidR="00533432" w:rsidRPr="00A6496E">
        <w:t>Avista</w:t>
      </w:r>
      <w:r w:rsidR="00BA6110" w:rsidRPr="00A6496E">
        <w:t xml:space="preserve"> were increased by 10% to account for the </w:t>
      </w:r>
      <w:r w:rsidR="003621AF">
        <w:t xml:space="preserve">Power Act’s </w:t>
      </w:r>
      <w:r w:rsidR="00BA6110" w:rsidRPr="00A6496E">
        <w:t xml:space="preserve">conservation </w:t>
      </w:r>
      <w:r w:rsidR="003621AF">
        <w:t>preference</w:t>
      </w:r>
      <w:r w:rsidR="00BA6110" w:rsidRPr="00A6496E">
        <w:t>.</w:t>
      </w:r>
    </w:p>
    <w:p w:rsidR="00157E2A" w:rsidRPr="002A7B63" w:rsidRDefault="00157E2A" w:rsidP="00157E2A">
      <w:pPr>
        <w:pStyle w:val="Heading4"/>
        <w:rPr>
          <w:color w:val="000000"/>
        </w:rPr>
      </w:pPr>
      <w:r>
        <w:rPr>
          <w:color w:val="000000"/>
        </w:rPr>
        <w:t xml:space="preserve">Achievable </w:t>
      </w:r>
      <w:r w:rsidRPr="002A7B63">
        <w:rPr>
          <w:color w:val="000000"/>
        </w:rPr>
        <w:t>Potential Estimation</w:t>
      </w:r>
    </w:p>
    <w:p w:rsidR="00157E2A" w:rsidRDefault="00157E2A" w:rsidP="00157E2A">
      <w:pPr>
        <w:pStyle w:val="BodyText"/>
      </w:pPr>
      <w:r w:rsidRPr="00D83E8B">
        <w:t xml:space="preserve">To estimate </w:t>
      </w:r>
      <w:r>
        <w:t xml:space="preserve">achievable </w:t>
      </w:r>
      <w:r w:rsidRPr="00D83E8B">
        <w:t xml:space="preserve">potential, </w:t>
      </w:r>
      <w:r w:rsidR="00BA6110">
        <w:t>two</w:t>
      </w:r>
      <w:r w:rsidRPr="00D83E8B">
        <w:t xml:space="preserve"> sets of parameters </w:t>
      </w:r>
      <w:r>
        <w:t xml:space="preserve">are needed to represent customer decision making behavior with respect to energy-efficiency choices. </w:t>
      </w:r>
    </w:p>
    <w:p w:rsidR="00157E2A" w:rsidRPr="00A36355" w:rsidRDefault="00157E2A" w:rsidP="00157E2A">
      <w:pPr>
        <w:pStyle w:val="BulletedList0"/>
      </w:pPr>
      <w:r>
        <w:rPr>
          <w:rStyle w:val="Emphasis"/>
        </w:rPr>
        <w:t>Technical diffusion curves</w:t>
      </w:r>
      <w:r w:rsidRPr="00A36355">
        <w:rPr>
          <w:rStyle w:val="Emphasis"/>
        </w:rPr>
        <w:t xml:space="preserve"> for non-equipment measures</w:t>
      </w:r>
      <w:r w:rsidRPr="00A36355">
        <w:t xml:space="preserve">. </w:t>
      </w:r>
      <w:r>
        <w:t>Equipment measures are installed when existing units fail. Non-equipment measures do not have this natural periodicity, so r</w:t>
      </w:r>
      <w:r w:rsidRPr="00A36355">
        <w:t xml:space="preserve">ather than installing all </w:t>
      </w:r>
      <w:r>
        <w:t xml:space="preserve">available </w:t>
      </w:r>
      <w:r w:rsidRPr="00A36355">
        <w:t xml:space="preserve">non-equipment measures in the first year of the </w:t>
      </w:r>
      <w:r>
        <w:t>projection</w:t>
      </w:r>
      <w:r w:rsidRPr="00A36355">
        <w:t xml:space="preserve"> (instantaneous potential), they are phased in according to adopti</w:t>
      </w:r>
      <w:r>
        <w:t xml:space="preserve">on schedules that generally align with the diffusion of similar equipment measures. </w:t>
      </w:r>
      <w:r w:rsidR="00BA6110" w:rsidRPr="000674AB">
        <w:t xml:space="preserve">The adoption rates for the </w:t>
      </w:r>
      <w:r w:rsidR="006C11FE">
        <w:t>Avista</w:t>
      </w:r>
      <w:r w:rsidR="00BA6110" w:rsidRPr="000674AB">
        <w:t xml:space="preserve"> study were based on ramp rate curves specified in the </w:t>
      </w:r>
      <w:r w:rsidR="003621AF">
        <w:t>NPCC</w:t>
      </w:r>
      <w:r w:rsidR="00BA6110" w:rsidRPr="000674AB">
        <w:t xml:space="preserve"> Sixth Power Plan, but modified to reflect </w:t>
      </w:r>
      <w:r w:rsidR="006C11FE">
        <w:t>Avista</w:t>
      </w:r>
      <w:r w:rsidR="00BA6110" w:rsidRPr="000674AB">
        <w:t xml:space="preserve"> program history. </w:t>
      </w:r>
      <w:r w:rsidRPr="00A36355">
        <w:t xml:space="preserve">These adoption rates are used within LoadMAP to generate the </w:t>
      </w:r>
      <w:r>
        <w:t>T</w:t>
      </w:r>
      <w:r w:rsidRPr="00A36355">
        <w:t xml:space="preserve">echnical and </w:t>
      </w:r>
      <w:r>
        <w:t>E</w:t>
      </w:r>
      <w:r w:rsidRPr="00A36355">
        <w:t>conomic potentials</w:t>
      </w:r>
      <w:r w:rsidR="00873C91">
        <w:t xml:space="preserve"> for non-equipment measures</w:t>
      </w:r>
      <w:r w:rsidRPr="00A36355">
        <w:t>.</w:t>
      </w:r>
      <w:r>
        <w:t xml:space="preserve"> </w:t>
      </w:r>
    </w:p>
    <w:p w:rsidR="00157E2A" w:rsidRDefault="00157E2A" w:rsidP="00515C94">
      <w:pPr>
        <w:pStyle w:val="BulletedList0"/>
      </w:pPr>
      <w:r>
        <w:rPr>
          <w:rStyle w:val="Emphasis"/>
        </w:rPr>
        <w:t>Adoption rates</w:t>
      </w:r>
      <w:r w:rsidRPr="00A36355">
        <w:t xml:space="preserve">. </w:t>
      </w:r>
      <w:r w:rsidR="00EA319C">
        <w:t>C</w:t>
      </w:r>
      <w:r>
        <w:t xml:space="preserve">ustomer adoption rates or take rates </w:t>
      </w:r>
      <w:r w:rsidRPr="00A36355">
        <w:t>are applied to Economic potential to estimate</w:t>
      </w:r>
      <w:r>
        <w:t xml:space="preserve"> Achievable Potential. </w:t>
      </w:r>
      <w:r w:rsidR="00BA6110">
        <w:t xml:space="preserve">These rates were developed by mapping each measure to a ramp rate developed by the Northwest Power and Conservation Council for the Sixth Plan. These rates are then compared with the recent </w:t>
      </w:r>
      <w:r w:rsidR="006C11FE">
        <w:t>Avista</w:t>
      </w:r>
      <w:r w:rsidR="00BA6110">
        <w:t xml:space="preserve"> program results and adjustments were made, if necessary. For example, if the program had been running for several years and had achieved higher results in the previous year, the ramp rate started further along in the curve. </w:t>
      </w:r>
      <w:r>
        <w:t xml:space="preserve">These rates represent customer adoption of economic measures when delivered through a best-practice portfolio of well-operated efficiency programs under a reasonable policy or regulatory framework. Information channels are assumed to be established and efficient for marketing, educating consumers, and coordinating with trade allies and delivery partners. The primary barrier to adoption reflected in this case is customer preferences. </w:t>
      </w:r>
      <w:r w:rsidRPr="00B22B44">
        <w:t>A</w:t>
      </w:r>
      <w:r w:rsidRPr="00EC2CA5">
        <w:t>doption</w:t>
      </w:r>
      <w:r>
        <w:t xml:space="preserve"> rates are presented in </w:t>
      </w:r>
      <w:r w:rsidR="00EA319C" w:rsidRPr="00125362">
        <w:t xml:space="preserve">Appendix </w:t>
      </w:r>
      <w:r w:rsidR="00873C91" w:rsidRPr="00125362">
        <w:t>B</w:t>
      </w:r>
      <w:r w:rsidRPr="00D526E2">
        <w:t>.</w:t>
      </w:r>
      <w:r>
        <w:t xml:space="preserve"> </w:t>
      </w:r>
    </w:p>
    <w:p w:rsidR="00157E2A" w:rsidRDefault="00157E2A" w:rsidP="00731B17">
      <w:pPr>
        <w:pStyle w:val="BodyText"/>
      </w:pPr>
    </w:p>
    <w:p w:rsidR="00157E2A" w:rsidRDefault="00157E2A" w:rsidP="00731B17">
      <w:pPr>
        <w:pStyle w:val="BodyText"/>
      </w:pPr>
    </w:p>
    <w:p w:rsidR="00157E2A" w:rsidRDefault="00157E2A" w:rsidP="00731B17">
      <w:pPr>
        <w:pStyle w:val="BodyText"/>
      </w:pPr>
    </w:p>
    <w:p w:rsidR="00157E2A" w:rsidRDefault="00157E2A" w:rsidP="00731B17">
      <w:pPr>
        <w:pStyle w:val="BodyText"/>
      </w:pPr>
    </w:p>
    <w:p w:rsidR="00157E2A" w:rsidRDefault="00157E2A" w:rsidP="00731B17">
      <w:pPr>
        <w:pStyle w:val="BodyText"/>
      </w:pPr>
    </w:p>
    <w:p w:rsidR="00157E2A" w:rsidRDefault="00157E2A" w:rsidP="00731B17">
      <w:pPr>
        <w:pStyle w:val="BodyText"/>
      </w:pPr>
    </w:p>
    <w:p w:rsidR="00157E2A" w:rsidRDefault="00157E2A" w:rsidP="00731B17">
      <w:pPr>
        <w:pStyle w:val="BodyText"/>
      </w:pPr>
    </w:p>
    <w:p w:rsidR="00157088" w:rsidRDefault="00157088" w:rsidP="00157088"/>
    <w:p w:rsidR="00157088" w:rsidRDefault="00157088" w:rsidP="00157088">
      <w:pPr>
        <w:pStyle w:val="BodyText"/>
        <w:sectPr w:rsidR="00157088" w:rsidSect="00157E2A">
          <w:pgSz w:w="12240" w:h="15840" w:code="1"/>
          <w:pgMar w:top="1152" w:right="1440" w:bottom="1152" w:left="1800" w:header="720" w:footer="720" w:gutter="0"/>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08"/>
        <w:gridCol w:w="7779"/>
      </w:tblGrid>
      <w:tr w:rsidR="00157088" w:rsidRPr="00351A80" w:rsidTr="00606D25">
        <w:trPr>
          <w:cantSplit/>
          <w:trHeight w:hRule="exact" w:val="288"/>
        </w:trPr>
        <w:tc>
          <w:tcPr>
            <w:tcW w:w="1295" w:type="dxa"/>
            <w:shd w:val="clear" w:color="auto" w:fill="auto"/>
            <w:vAlign w:val="center"/>
          </w:tcPr>
          <w:p w:rsidR="00157088" w:rsidRPr="00351A80" w:rsidRDefault="00157088" w:rsidP="00606D25">
            <w:pPr>
              <w:pStyle w:val="Chapter"/>
              <w:framePr w:hSpace="0" w:wrap="auto" w:vAnchor="margin" w:hAnchor="text" w:yAlign="inline"/>
            </w:pPr>
            <w:r>
              <w:lastRenderedPageBreak/>
              <w:t>Section</w:t>
            </w:r>
          </w:p>
        </w:tc>
        <w:tc>
          <w:tcPr>
            <w:tcW w:w="7705" w:type="dxa"/>
            <w:shd w:val="clear" w:color="auto" w:fill="auto"/>
            <w:tcMar>
              <w:left w:w="173" w:type="dxa"/>
            </w:tcMar>
            <w:vAlign w:val="center"/>
          </w:tcPr>
          <w:p w:rsidR="00157088" w:rsidRPr="00351A80" w:rsidRDefault="00157088" w:rsidP="00606D25">
            <w:pPr>
              <w:pStyle w:val="Heading1"/>
            </w:pPr>
          </w:p>
        </w:tc>
      </w:tr>
    </w:tbl>
    <w:p w:rsidR="00157088" w:rsidRDefault="00157088" w:rsidP="00157088">
      <w:pPr>
        <w:pStyle w:val="ChapterTitle"/>
      </w:pPr>
      <w:bookmarkStart w:id="122" w:name="_Toc335647159"/>
      <w:bookmarkStart w:id="123" w:name="_Toc341176223"/>
      <w:bookmarkStart w:id="124" w:name="_Toc401046342"/>
      <w:bookmarkStart w:id="125" w:name="_Toc424192619"/>
      <w:r>
        <w:t>Market Characterization and Market Profiles</w:t>
      </w:r>
      <w:bookmarkEnd w:id="122"/>
      <w:bookmarkEnd w:id="123"/>
      <w:bookmarkEnd w:id="124"/>
      <w:bookmarkEnd w:id="125"/>
    </w:p>
    <w:p w:rsidR="00157088" w:rsidRDefault="00157088" w:rsidP="00157088">
      <w:pPr>
        <w:pStyle w:val="BodyText"/>
      </w:pPr>
      <w:r>
        <w:t xml:space="preserve">In this section, we describe how customers in the </w:t>
      </w:r>
      <w:r w:rsidR="00EB2A2B">
        <w:t>Avista</w:t>
      </w:r>
      <w:r>
        <w:t xml:space="preserve"> service territory use electricity in the base year of the study, 201</w:t>
      </w:r>
      <w:r w:rsidR="00C92294">
        <w:t>3</w:t>
      </w:r>
      <w:r>
        <w:t xml:space="preserve">. It begins with a high-level summary of energy use </w:t>
      </w:r>
      <w:r w:rsidR="00C92294">
        <w:t xml:space="preserve">across all sectors </w:t>
      </w:r>
      <w:r>
        <w:t xml:space="preserve">and then delves into each sector in </w:t>
      </w:r>
      <w:r w:rsidR="00C92294">
        <w:t xml:space="preserve">more </w:t>
      </w:r>
      <w:r>
        <w:t>detail.</w:t>
      </w:r>
    </w:p>
    <w:p w:rsidR="00157088" w:rsidRDefault="00157088" w:rsidP="00157088">
      <w:pPr>
        <w:pStyle w:val="Heading2"/>
      </w:pPr>
      <w:bookmarkStart w:id="126" w:name="_Toc335647160"/>
      <w:bookmarkStart w:id="127" w:name="_Toc341176224"/>
      <w:bookmarkStart w:id="128" w:name="_Toc401046343"/>
      <w:bookmarkStart w:id="129" w:name="_Toc424192620"/>
      <w:r>
        <w:t>Energy Use Summary</w:t>
      </w:r>
      <w:bookmarkEnd w:id="126"/>
      <w:bookmarkEnd w:id="127"/>
      <w:bookmarkEnd w:id="128"/>
      <w:bookmarkEnd w:id="129"/>
    </w:p>
    <w:p w:rsidR="00157088" w:rsidRDefault="00157088" w:rsidP="00157088">
      <w:pPr>
        <w:pStyle w:val="BodyText"/>
      </w:pPr>
      <w:r w:rsidRPr="00DF1C69">
        <w:t>Total electricity use for the residential, commer</w:t>
      </w:r>
      <w:r>
        <w:t>cial</w:t>
      </w:r>
      <w:r w:rsidR="001D6E21">
        <w:t xml:space="preserve">, </w:t>
      </w:r>
      <w:r w:rsidR="00006849">
        <w:t xml:space="preserve">and </w:t>
      </w:r>
      <w:r>
        <w:t>industrial</w:t>
      </w:r>
      <w:r w:rsidR="001D6E21">
        <w:t xml:space="preserve"> </w:t>
      </w:r>
      <w:r>
        <w:t xml:space="preserve">sectors for </w:t>
      </w:r>
      <w:r w:rsidR="00EB2A2B">
        <w:t>Avista</w:t>
      </w:r>
      <w:r>
        <w:t xml:space="preserve"> in 201</w:t>
      </w:r>
      <w:r w:rsidR="00CD3A28">
        <w:t>3</w:t>
      </w:r>
      <w:r w:rsidRPr="00DF1C69">
        <w:t xml:space="preserve"> was </w:t>
      </w:r>
      <w:r w:rsidR="00A6496E">
        <w:t xml:space="preserve">8,081 GWh; </w:t>
      </w:r>
      <w:r w:rsidR="00EB2A2B">
        <w:t>5</w:t>
      </w:r>
      <w:r w:rsidR="00C92294">
        <w:t>,</w:t>
      </w:r>
      <w:r w:rsidR="00EB2A2B">
        <w:t>555</w:t>
      </w:r>
      <w:r>
        <w:t xml:space="preserve"> </w:t>
      </w:r>
      <w:r w:rsidRPr="00DF1C69">
        <w:t>GWh</w:t>
      </w:r>
      <w:r w:rsidR="00EB2A2B">
        <w:t xml:space="preserve"> (W</w:t>
      </w:r>
      <w:r w:rsidR="00006849">
        <w:t>A</w:t>
      </w:r>
      <w:r w:rsidR="00EB2A2B">
        <w:t>) and 2,526 GWh (I</w:t>
      </w:r>
      <w:r w:rsidR="00006849">
        <w:t>D</w:t>
      </w:r>
      <w:r w:rsidR="00EB2A2B">
        <w:t>)</w:t>
      </w:r>
      <w:r w:rsidRPr="00DF1C69">
        <w:t>.</w:t>
      </w:r>
      <w:r w:rsidR="009254C3">
        <w:t xml:space="preserve"> </w:t>
      </w:r>
      <w:r w:rsidR="00006849">
        <w:t>A</w:t>
      </w:r>
      <w:r w:rsidRPr="00DF1C69">
        <w:t xml:space="preserve">s shown </w:t>
      </w:r>
      <w:r w:rsidR="00006849">
        <w:t>i</w:t>
      </w:r>
      <w:r w:rsidR="00FA6129">
        <w:t xml:space="preserve">n the </w:t>
      </w:r>
      <w:r w:rsidR="00BA69DF">
        <w:t>tables</w:t>
      </w:r>
      <w:r w:rsidR="00FA6129">
        <w:t xml:space="preserve"> below</w:t>
      </w:r>
      <w:r w:rsidR="009254C3">
        <w:t xml:space="preserve">, </w:t>
      </w:r>
      <w:r w:rsidR="00FA6129">
        <w:t xml:space="preserve">in both states </w:t>
      </w:r>
      <w:r w:rsidR="00CD3A28">
        <w:t xml:space="preserve">the </w:t>
      </w:r>
      <w:r w:rsidR="001D6E21">
        <w:t>residential</w:t>
      </w:r>
      <w:r w:rsidR="00CD3A28">
        <w:t xml:space="preserve"> sector accounts for </w:t>
      </w:r>
      <w:r w:rsidR="00FA6129">
        <w:t>over 45% of the</w:t>
      </w:r>
      <w:r w:rsidR="00CD3A28">
        <w:t xml:space="preserve"> annual energy use</w:t>
      </w:r>
      <w:r w:rsidR="00FA6129">
        <w:t>, followed by commercial with over 35% of the annual energy use</w:t>
      </w:r>
      <w:r w:rsidR="00CD3A28">
        <w:t xml:space="preserve">. </w:t>
      </w:r>
      <w:r>
        <w:t>In terms of summer peak demand, the total system peak in 201</w:t>
      </w:r>
      <w:r w:rsidR="00710CD5">
        <w:t>3</w:t>
      </w:r>
      <w:r>
        <w:t xml:space="preserve"> was </w:t>
      </w:r>
      <w:r w:rsidR="00170EF2">
        <w:t xml:space="preserve">1,459 MW; </w:t>
      </w:r>
      <w:r w:rsidR="009254C3">
        <w:t>1</w:t>
      </w:r>
      <w:r w:rsidR="00710CD5">
        <w:t>,</w:t>
      </w:r>
      <w:r w:rsidR="009254C3">
        <w:t>017</w:t>
      </w:r>
      <w:r>
        <w:t xml:space="preserve"> MW</w:t>
      </w:r>
      <w:r w:rsidR="00006849">
        <w:t xml:space="preserve"> </w:t>
      </w:r>
      <w:r w:rsidR="00170EF2">
        <w:t>(WA)</w:t>
      </w:r>
      <w:r w:rsidR="0008482C">
        <w:t xml:space="preserve"> and </w:t>
      </w:r>
      <w:r w:rsidR="00170EF2">
        <w:t>442</w:t>
      </w:r>
      <w:r w:rsidR="0008482C">
        <w:t xml:space="preserve"> MW </w:t>
      </w:r>
      <w:r w:rsidR="00170EF2">
        <w:t>(ID</w:t>
      </w:r>
      <w:r w:rsidR="0008482C">
        <w:t>)</w:t>
      </w:r>
      <w:r w:rsidR="00170EF2">
        <w:t>.</w:t>
      </w:r>
      <w:r w:rsidR="00006849">
        <w:t xml:space="preserve"> </w:t>
      </w:r>
      <w:r w:rsidR="00170EF2">
        <w:t xml:space="preserve">The total system peak in the winter was 1,417 MW; 973 MW (WA) </w:t>
      </w:r>
      <w:r w:rsidR="0008482C">
        <w:t>and 444 MW (</w:t>
      </w:r>
      <w:r w:rsidR="00170EF2">
        <w:t>ID</w:t>
      </w:r>
      <w:r w:rsidR="0008482C">
        <w:t>)</w:t>
      </w:r>
      <w:r>
        <w:t xml:space="preserve">. </w:t>
      </w:r>
      <w:r w:rsidR="00FA6129">
        <w:t>In both states, t</w:t>
      </w:r>
      <w:r>
        <w:t xml:space="preserve">he residential sector </w:t>
      </w:r>
      <w:r w:rsidR="001D6E21">
        <w:t xml:space="preserve">contributes </w:t>
      </w:r>
      <w:r w:rsidR="00006849">
        <w:t>over 40</w:t>
      </w:r>
      <w:r w:rsidR="00FA6129">
        <w:t>%</w:t>
      </w:r>
      <w:r w:rsidR="00006849">
        <w:t xml:space="preserve"> </w:t>
      </w:r>
      <w:r>
        <w:t>to peak</w:t>
      </w:r>
      <w:r w:rsidR="00710CD5">
        <w:t xml:space="preserve">. </w:t>
      </w:r>
    </w:p>
    <w:p w:rsidR="00157088" w:rsidRPr="009D100B" w:rsidRDefault="00157088" w:rsidP="008D01F0">
      <w:pPr>
        <w:pStyle w:val="FigureorTableTitle"/>
      </w:pPr>
      <w:bookmarkStart w:id="130" w:name="_Ref343065453"/>
      <w:bookmarkStart w:id="131" w:name="_Toc341180508"/>
      <w:bookmarkStart w:id="132" w:name="_Toc387951589"/>
      <w:bookmarkStart w:id="133" w:name="_Toc424192701"/>
      <w:bookmarkStart w:id="134" w:name="_Ref332119350"/>
      <w:bookmarkStart w:id="135" w:name="_Toc334177683"/>
      <w:r w:rsidRPr="00F75EB3">
        <w:t xml:space="preserve">Figure </w:t>
      </w:r>
      <w:r w:rsidR="00512CD6">
        <w:fldChar w:fldCharType="begin"/>
      </w:r>
      <w:r w:rsidR="00512CD6">
        <w:instrText xml:space="preserve"> STYLEREF  "Heading 1,Chap Num" \n  \*</w:instrText>
      </w:r>
      <w:r w:rsidR="00512CD6">
        <w:instrText xml:space="preserve"> MERGEFORMAT </w:instrText>
      </w:r>
      <w:r w:rsidR="00512CD6">
        <w:fldChar w:fldCharType="separate"/>
      </w:r>
      <w:r w:rsidR="00B2652C">
        <w:rPr>
          <w:noProof/>
        </w:rPr>
        <w:t>3</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1</w:t>
      </w:r>
      <w:r w:rsidR="00512CD6">
        <w:rPr>
          <w:noProof/>
        </w:rPr>
        <w:fldChar w:fldCharType="end"/>
      </w:r>
      <w:bookmarkEnd w:id="130"/>
      <w:r w:rsidRPr="00F75EB3">
        <w:tab/>
      </w:r>
      <w:r>
        <w:rPr>
          <w:color w:val="000000"/>
        </w:rPr>
        <w:t xml:space="preserve">Sector-Level Electricity Use in </w:t>
      </w:r>
      <w:bookmarkEnd w:id="131"/>
      <w:r>
        <w:rPr>
          <w:color w:val="000000"/>
        </w:rPr>
        <w:t>Base Year 201</w:t>
      </w:r>
      <w:r w:rsidR="00B30831">
        <w:rPr>
          <w:color w:val="000000"/>
        </w:rPr>
        <w:t>3</w:t>
      </w:r>
      <w:bookmarkEnd w:id="132"/>
      <w:r w:rsidR="004330A2">
        <w:rPr>
          <w:color w:val="000000"/>
        </w:rPr>
        <w:t>, Washington</w:t>
      </w:r>
      <w:bookmarkEnd w:id="133"/>
    </w:p>
    <w:bookmarkEnd w:id="134"/>
    <w:bookmarkEnd w:id="135"/>
    <w:p w:rsidR="00157088" w:rsidRDefault="001756F7" w:rsidP="001756F7">
      <w:pPr>
        <w:pStyle w:val="BodyText"/>
        <w:ind w:right="-432"/>
        <w:jc w:val="center"/>
      </w:pPr>
      <w:r w:rsidRPr="001756F7">
        <w:rPr>
          <w:noProof/>
        </w:rPr>
        <w:drawing>
          <wp:inline distT="0" distB="0" distL="0" distR="0">
            <wp:extent cx="3852370" cy="3019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9449" cy="3024973"/>
                    </a:xfrm>
                    <a:prstGeom prst="rect">
                      <a:avLst/>
                    </a:prstGeom>
                    <a:noFill/>
                    <a:ln>
                      <a:noFill/>
                    </a:ln>
                  </pic:spPr>
                </pic:pic>
              </a:graphicData>
            </a:graphic>
          </wp:inline>
        </w:drawing>
      </w:r>
    </w:p>
    <w:p w:rsidR="001756F7" w:rsidRDefault="001756F7" w:rsidP="00B22B44">
      <w:pPr>
        <w:pStyle w:val="BodyText"/>
        <w:ind w:right="-432"/>
      </w:pPr>
      <w:r w:rsidRPr="001756F7">
        <w:rPr>
          <w:noProof/>
        </w:rPr>
        <w:lastRenderedPageBreak/>
        <w:drawing>
          <wp:inline distT="0" distB="0" distL="0" distR="0">
            <wp:extent cx="5715000" cy="27548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2754883"/>
                    </a:xfrm>
                    <a:prstGeom prst="rect">
                      <a:avLst/>
                    </a:prstGeom>
                    <a:noFill/>
                    <a:ln>
                      <a:noFill/>
                    </a:ln>
                  </pic:spPr>
                </pic:pic>
              </a:graphicData>
            </a:graphic>
          </wp:inline>
        </w:drawing>
      </w:r>
    </w:p>
    <w:p w:rsidR="00424A9A" w:rsidRPr="0018065C" w:rsidRDefault="002D5A87" w:rsidP="008D01F0">
      <w:pPr>
        <w:pStyle w:val="FigureorTableTitle"/>
      </w:pPr>
      <w:bookmarkStart w:id="136" w:name="_Ref402251295"/>
      <w:bookmarkStart w:id="137" w:name="_Toc424192762"/>
      <w:bookmarkStart w:id="138" w:name="_Toc335647161"/>
      <w:bookmarkStart w:id="139" w:name="_Toc341176225"/>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w:t>
      </w:r>
      <w:r w:rsidR="00512CD6">
        <w:rPr>
          <w:bCs w:val="0"/>
          <w:iCs w:val="0"/>
          <w:noProof/>
        </w:rPr>
        <w:fldChar w:fldCharType="end"/>
      </w:r>
      <w:bookmarkEnd w:id="136"/>
      <w:r w:rsidR="00424A9A">
        <w:tab/>
      </w:r>
      <w:r w:rsidR="004330A2">
        <w:t>Avista</w:t>
      </w:r>
      <w:r w:rsidR="00B30831">
        <w:t xml:space="preserve"> </w:t>
      </w:r>
      <w:r w:rsidR="00424A9A">
        <w:t>Sector Control Totals (201</w:t>
      </w:r>
      <w:r w:rsidR="00B30831">
        <w:t>3</w:t>
      </w:r>
      <w:r w:rsidR="00424A9A">
        <w:t>)</w:t>
      </w:r>
      <w:r w:rsidR="004330A2">
        <w:t>, Washington</w:t>
      </w:r>
      <w:bookmarkEnd w:id="137"/>
    </w:p>
    <w:tbl>
      <w:tblPr>
        <w:tblStyle w:val="EnerNOCReportTable2"/>
        <w:tblW w:w="5000" w:type="pct"/>
        <w:tblInd w:w="0" w:type="dxa"/>
        <w:tblCellMar>
          <w:top w:w="0" w:type="dxa"/>
          <w:left w:w="0" w:type="dxa"/>
          <w:bottom w:w="0" w:type="dxa"/>
          <w:right w:w="0" w:type="dxa"/>
        </w:tblCellMar>
        <w:tblLook w:val="04A0" w:firstRow="1" w:lastRow="0" w:firstColumn="1" w:lastColumn="0" w:noHBand="0" w:noVBand="1"/>
      </w:tblPr>
      <w:tblGrid>
        <w:gridCol w:w="1287"/>
        <w:gridCol w:w="1288"/>
        <w:gridCol w:w="1287"/>
        <w:gridCol w:w="1287"/>
        <w:gridCol w:w="1287"/>
        <w:gridCol w:w="1287"/>
        <w:gridCol w:w="1287"/>
      </w:tblGrid>
      <w:tr w:rsidR="00DF7B1B" w:rsidRPr="003051B0" w:rsidTr="00DF7B1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shd w:val="clear" w:color="auto" w:fill="1A1D5D"/>
            <w:noWrap/>
            <w:tcMar>
              <w:top w:w="0" w:type="nil"/>
              <w:bottom w:w="0" w:type="nil"/>
            </w:tcMar>
            <w:hideMark/>
          </w:tcPr>
          <w:p w:rsidR="00DF7B1B" w:rsidRPr="003051B0" w:rsidRDefault="00DF7B1B" w:rsidP="00B30831">
            <w:pPr>
              <w:pStyle w:val="TableHeadings"/>
              <w:rPr>
                <w:rFonts w:cs="Calibri"/>
                <w:sz w:val="20"/>
              </w:rPr>
            </w:pPr>
            <w:r w:rsidRPr="003051B0">
              <w:rPr>
                <w:rFonts w:cs="Calibri"/>
                <w:sz w:val="20"/>
              </w:rPr>
              <w:t>Sector</w:t>
            </w:r>
          </w:p>
        </w:tc>
        <w:tc>
          <w:tcPr>
            <w:tcW w:w="715" w:type="pct"/>
            <w:shd w:val="clear" w:color="auto" w:fill="1A1D5D"/>
            <w:tcMar>
              <w:top w:w="0" w:type="nil"/>
              <w:bottom w:w="0" w:type="nil"/>
            </w:tcMar>
          </w:tcPr>
          <w:p w:rsidR="00DF7B1B" w:rsidRPr="003051B0" w:rsidRDefault="00DF7B1B" w:rsidP="00B30831">
            <w:pPr>
              <w:pStyle w:val="TableHeadings"/>
              <w:cnfStyle w:val="100000000000" w:firstRow="1" w:lastRow="0" w:firstColumn="0" w:lastColumn="0" w:oddVBand="0" w:evenVBand="0" w:oddHBand="0" w:evenHBand="0" w:firstRowFirstColumn="0" w:firstRowLastColumn="0" w:lastRowFirstColumn="0" w:lastRowLastColumn="0"/>
              <w:rPr>
                <w:rFonts w:cs="Calibri"/>
                <w:sz w:val="20"/>
              </w:rPr>
            </w:pPr>
            <w:r w:rsidRPr="003051B0">
              <w:rPr>
                <w:rFonts w:cs="Calibri"/>
                <w:sz w:val="20"/>
              </w:rPr>
              <w:t xml:space="preserve">Annual Electricity </w:t>
            </w:r>
            <w:r w:rsidRPr="003051B0">
              <w:rPr>
                <w:rFonts w:cs="Calibri"/>
                <w:sz w:val="20"/>
              </w:rPr>
              <w:br/>
              <w:t>Use (GWh)</w:t>
            </w:r>
          </w:p>
        </w:tc>
        <w:tc>
          <w:tcPr>
            <w:tcW w:w="714" w:type="pct"/>
            <w:shd w:val="clear" w:color="auto" w:fill="1A1D5D"/>
          </w:tcPr>
          <w:p w:rsidR="00DF7B1B" w:rsidRPr="003051B0" w:rsidRDefault="00DF7B1B" w:rsidP="004C6B3F">
            <w:pPr>
              <w:pStyle w:val="TableHeadings"/>
              <w:cnfStyle w:val="100000000000" w:firstRow="1" w:lastRow="0" w:firstColumn="0" w:lastColumn="0" w:oddVBand="0" w:evenVBand="0" w:oddHBand="0" w:evenHBand="0" w:firstRowFirstColumn="0" w:firstRowLastColumn="0" w:lastRowFirstColumn="0" w:lastRowLastColumn="0"/>
              <w:rPr>
                <w:rFonts w:cs="Calibri"/>
                <w:sz w:val="20"/>
              </w:rPr>
            </w:pPr>
            <w:r w:rsidRPr="003051B0">
              <w:rPr>
                <w:rFonts w:cs="Calibri"/>
                <w:sz w:val="20"/>
              </w:rPr>
              <w:t xml:space="preserve">% of </w:t>
            </w:r>
            <w:r w:rsidRPr="003051B0">
              <w:rPr>
                <w:rFonts w:cs="Calibri"/>
                <w:sz w:val="20"/>
              </w:rPr>
              <w:br/>
              <w:t>Annual Use</w:t>
            </w:r>
          </w:p>
        </w:tc>
        <w:tc>
          <w:tcPr>
            <w:tcW w:w="714" w:type="pct"/>
            <w:shd w:val="clear" w:color="auto" w:fill="1A1D5D"/>
          </w:tcPr>
          <w:p w:rsidR="00DF7B1B" w:rsidRPr="003051B0" w:rsidRDefault="00DF7B1B" w:rsidP="004C6B3F">
            <w:pPr>
              <w:pStyle w:val="TableHeadings"/>
              <w:cnfStyle w:val="100000000000" w:firstRow="1" w:lastRow="0" w:firstColumn="0" w:lastColumn="0" w:oddVBand="0" w:evenVBand="0" w:oddHBand="0" w:evenHBand="0" w:firstRowFirstColumn="0" w:firstRowLastColumn="0" w:lastRowFirstColumn="0" w:lastRowLastColumn="0"/>
              <w:rPr>
                <w:rFonts w:cs="Calibri"/>
                <w:sz w:val="20"/>
              </w:rPr>
            </w:pPr>
            <w:r w:rsidRPr="003051B0">
              <w:rPr>
                <w:rFonts w:cs="Calibri"/>
                <w:sz w:val="20"/>
              </w:rPr>
              <w:t xml:space="preserve">Summer Peak Demand </w:t>
            </w:r>
            <w:r w:rsidRPr="003051B0">
              <w:rPr>
                <w:rFonts w:cs="Calibri"/>
                <w:sz w:val="20"/>
              </w:rPr>
              <w:br/>
              <w:t>(MW)</w:t>
            </w:r>
          </w:p>
        </w:tc>
        <w:tc>
          <w:tcPr>
            <w:tcW w:w="714" w:type="pct"/>
            <w:shd w:val="clear" w:color="auto" w:fill="1A1D5D"/>
          </w:tcPr>
          <w:p w:rsidR="00DF7B1B" w:rsidRPr="003051B0" w:rsidRDefault="00DF7B1B" w:rsidP="004C6B3F">
            <w:pPr>
              <w:pStyle w:val="TableHeadings"/>
              <w:cnfStyle w:val="100000000000" w:firstRow="1" w:lastRow="0" w:firstColumn="0" w:lastColumn="0" w:oddVBand="0" w:evenVBand="0" w:oddHBand="0" w:evenHBand="0" w:firstRowFirstColumn="0" w:firstRowLastColumn="0" w:lastRowFirstColumn="0" w:lastRowLastColumn="0"/>
              <w:rPr>
                <w:rFonts w:cs="Calibri"/>
                <w:sz w:val="20"/>
              </w:rPr>
            </w:pPr>
            <w:r w:rsidRPr="003051B0">
              <w:rPr>
                <w:rFonts w:cs="Calibri"/>
                <w:sz w:val="20"/>
              </w:rPr>
              <w:t xml:space="preserve">% of </w:t>
            </w:r>
            <w:r w:rsidRPr="003051B0">
              <w:rPr>
                <w:rFonts w:cs="Calibri"/>
                <w:sz w:val="20"/>
              </w:rPr>
              <w:br/>
              <w:t>Summer Peak</w:t>
            </w:r>
          </w:p>
        </w:tc>
        <w:tc>
          <w:tcPr>
            <w:tcW w:w="714" w:type="pct"/>
            <w:shd w:val="clear" w:color="auto" w:fill="1A1D5D"/>
          </w:tcPr>
          <w:p w:rsidR="00DF7B1B" w:rsidRPr="003051B0" w:rsidRDefault="00BE0CBC" w:rsidP="00BE0CBC">
            <w:pPr>
              <w:pStyle w:val="TableHeadings"/>
              <w:cnfStyle w:val="100000000000" w:firstRow="1" w:lastRow="0" w:firstColumn="0" w:lastColumn="0" w:oddVBand="0" w:evenVBand="0" w:oddHBand="0" w:evenHBand="0" w:firstRowFirstColumn="0" w:firstRowLastColumn="0" w:lastRowFirstColumn="0" w:lastRowLastColumn="0"/>
              <w:rPr>
                <w:rFonts w:cs="Calibri"/>
              </w:rPr>
            </w:pPr>
            <w:r>
              <w:rPr>
                <w:rFonts w:cs="Calibri"/>
                <w:sz w:val="20"/>
              </w:rPr>
              <w:t>Winter</w:t>
            </w:r>
            <w:r w:rsidRPr="003051B0">
              <w:rPr>
                <w:rFonts w:cs="Calibri"/>
                <w:sz w:val="20"/>
              </w:rPr>
              <w:t xml:space="preserve"> Peak Demand </w:t>
            </w:r>
            <w:r w:rsidRPr="003051B0">
              <w:rPr>
                <w:rFonts w:cs="Calibri"/>
                <w:sz w:val="20"/>
              </w:rPr>
              <w:br/>
              <w:t>(MW)</w:t>
            </w:r>
          </w:p>
        </w:tc>
        <w:tc>
          <w:tcPr>
            <w:tcW w:w="714" w:type="pct"/>
            <w:shd w:val="clear" w:color="auto" w:fill="1A1D5D"/>
          </w:tcPr>
          <w:p w:rsidR="00DF7B1B" w:rsidRPr="003051B0" w:rsidRDefault="00BE0CBC" w:rsidP="00BE0CBC">
            <w:pPr>
              <w:pStyle w:val="TableHeadings"/>
              <w:cnfStyle w:val="100000000000" w:firstRow="1" w:lastRow="0" w:firstColumn="0" w:lastColumn="0" w:oddVBand="0" w:evenVBand="0" w:oddHBand="0" w:evenHBand="0" w:firstRowFirstColumn="0" w:firstRowLastColumn="0" w:lastRowFirstColumn="0" w:lastRowLastColumn="0"/>
              <w:rPr>
                <w:rFonts w:cs="Calibri"/>
              </w:rPr>
            </w:pPr>
            <w:r w:rsidRPr="003051B0">
              <w:rPr>
                <w:rFonts w:cs="Calibri"/>
                <w:sz w:val="20"/>
              </w:rPr>
              <w:t xml:space="preserve">% of </w:t>
            </w:r>
            <w:r w:rsidRPr="003051B0">
              <w:rPr>
                <w:rFonts w:cs="Calibri"/>
                <w:sz w:val="20"/>
              </w:rPr>
              <w:br/>
            </w:r>
            <w:r>
              <w:rPr>
                <w:rFonts w:cs="Calibri"/>
                <w:sz w:val="20"/>
              </w:rPr>
              <w:t>Winter</w:t>
            </w:r>
            <w:r w:rsidRPr="003051B0">
              <w:rPr>
                <w:rFonts w:cs="Calibri"/>
                <w:sz w:val="20"/>
              </w:rPr>
              <w:t xml:space="preserve"> Peak</w:t>
            </w:r>
          </w:p>
        </w:tc>
      </w:tr>
      <w:tr w:rsidR="00DF7B1B" w:rsidRPr="003051B0" w:rsidTr="00515C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3051B0" w:rsidRDefault="00DF7B1B" w:rsidP="004330A2">
            <w:pPr>
              <w:pStyle w:val="TableText"/>
              <w:ind w:left="144"/>
              <w:jc w:val="left"/>
              <w:rPr>
                <w:rFonts w:cs="Calibri"/>
                <w:sz w:val="20"/>
              </w:rPr>
            </w:pPr>
            <w:r w:rsidRPr="003051B0">
              <w:rPr>
                <w:rFonts w:cs="Calibri"/>
                <w:sz w:val="20"/>
              </w:rPr>
              <w:t>Residential</w:t>
            </w:r>
          </w:p>
        </w:tc>
        <w:tc>
          <w:tcPr>
            <w:tcW w:w="715" w:type="pct"/>
            <w:shd w:val="clear" w:color="auto" w:fill="E5ECF1"/>
            <w:tcMar>
              <w:top w:w="0" w:type="nil"/>
              <w:bottom w:w="0" w:type="nil"/>
              <w:right w:w="0" w:type="dxa"/>
            </w:tcMar>
          </w:tcPr>
          <w:p w:rsidR="00DF7B1B" w:rsidRPr="003051B0"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2,546</w:t>
            </w:r>
          </w:p>
        </w:tc>
        <w:tc>
          <w:tcPr>
            <w:tcW w:w="714" w:type="pct"/>
            <w:shd w:val="clear" w:color="auto" w:fill="E5ECF1"/>
          </w:tcPr>
          <w:p w:rsidR="00DF7B1B" w:rsidRPr="004330A2"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46%</w:t>
            </w:r>
          </w:p>
        </w:tc>
        <w:tc>
          <w:tcPr>
            <w:tcW w:w="714" w:type="pct"/>
            <w:shd w:val="clear" w:color="auto" w:fill="FDF3C9"/>
          </w:tcPr>
          <w:p w:rsidR="00DF7B1B" w:rsidRPr="004330A2"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404</w:t>
            </w:r>
          </w:p>
        </w:tc>
        <w:tc>
          <w:tcPr>
            <w:tcW w:w="714" w:type="pct"/>
            <w:shd w:val="clear" w:color="auto" w:fill="FDF3C9"/>
          </w:tcPr>
          <w:p w:rsidR="00DF7B1B" w:rsidRPr="004330A2" w:rsidRDefault="00DF7B1B"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40%</w:t>
            </w:r>
          </w:p>
        </w:tc>
        <w:tc>
          <w:tcPr>
            <w:tcW w:w="714" w:type="pct"/>
            <w:shd w:val="clear" w:color="auto" w:fill="FFCC99"/>
          </w:tcPr>
          <w:p w:rsidR="00DF7B1B" w:rsidRPr="004330A2" w:rsidRDefault="00F839A8"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Pr>
                <w:rFonts w:ascii="Calibri" w:hAnsi="Calibri" w:cs="Calibri"/>
                <w:szCs w:val="20"/>
              </w:rPr>
              <w:t>438</w:t>
            </w:r>
          </w:p>
        </w:tc>
        <w:tc>
          <w:tcPr>
            <w:tcW w:w="714" w:type="pct"/>
            <w:shd w:val="clear" w:color="auto" w:fill="FFCC99"/>
          </w:tcPr>
          <w:p w:rsidR="00DF7B1B" w:rsidRPr="004330A2" w:rsidRDefault="001756F7"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Pr>
                <w:rFonts w:ascii="Calibri" w:hAnsi="Calibri" w:cs="Calibri"/>
                <w:szCs w:val="20"/>
              </w:rPr>
              <w:t>45%</w:t>
            </w:r>
          </w:p>
        </w:tc>
      </w:tr>
      <w:tr w:rsidR="00DF7B1B" w:rsidRPr="003051B0" w:rsidTr="00515C9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tcPr>
          <w:p w:rsidR="00DF7B1B" w:rsidRPr="003051B0" w:rsidRDefault="00DF7B1B" w:rsidP="004330A2">
            <w:pPr>
              <w:pStyle w:val="TableText"/>
              <w:ind w:left="144"/>
              <w:jc w:val="left"/>
              <w:rPr>
                <w:rFonts w:cs="Calibri"/>
                <w:sz w:val="20"/>
              </w:rPr>
            </w:pPr>
            <w:r w:rsidRPr="003051B0">
              <w:rPr>
                <w:rFonts w:cs="Calibri"/>
                <w:sz w:val="20"/>
              </w:rPr>
              <w:t>Commercial</w:t>
            </w:r>
          </w:p>
        </w:tc>
        <w:tc>
          <w:tcPr>
            <w:tcW w:w="715" w:type="pct"/>
            <w:shd w:val="clear" w:color="auto" w:fill="E5ECF1"/>
            <w:tcMar>
              <w:top w:w="0" w:type="nil"/>
              <w:bottom w:w="0" w:type="nil"/>
              <w:right w:w="0" w:type="dxa"/>
            </w:tcMar>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4330A2">
              <w:rPr>
                <w:rFonts w:ascii="Calibri" w:hAnsi="Calibri" w:cs="Calibri"/>
                <w:sz w:val="20"/>
                <w:szCs w:val="20"/>
              </w:rPr>
              <w:t>2,086</w:t>
            </w:r>
          </w:p>
        </w:tc>
        <w:tc>
          <w:tcPr>
            <w:tcW w:w="714" w:type="pct"/>
            <w:shd w:val="clear" w:color="auto" w:fill="E5ECF1"/>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4330A2">
              <w:rPr>
                <w:rFonts w:ascii="Calibri" w:hAnsi="Calibri" w:cs="Calibri"/>
                <w:sz w:val="20"/>
                <w:szCs w:val="20"/>
              </w:rPr>
              <w:t>38%</w:t>
            </w:r>
          </w:p>
        </w:tc>
        <w:tc>
          <w:tcPr>
            <w:tcW w:w="714" w:type="pct"/>
            <w:shd w:val="clear" w:color="auto" w:fill="FDF3C9"/>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4330A2">
              <w:rPr>
                <w:rFonts w:ascii="Calibri" w:hAnsi="Calibri" w:cs="Calibri"/>
                <w:sz w:val="20"/>
                <w:szCs w:val="20"/>
              </w:rPr>
              <w:t>368</w:t>
            </w:r>
          </w:p>
        </w:tc>
        <w:tc>
          <w:tcPr>
            <w:tcW w:w="714" w:type="pct"/>
            <w:shd w:val="clear" w:color="auto" w:fill="FDF3C9"/>
          </w:tcPr>
          <w:p w:rsidR="00DF7B1B" w:rsidRPr="004330A2" w:rsidRDefault="00DF7B1B"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4330A2">
              <w:rPr>
                <w:rFonts w:ascii="Calibri" w:hAnsi="Calibri" w:cs="Calibri"/>
                <w:sz w:val="20"/>
                <w:szCs w:val="20"/>
              </w:rPr>
              <w:t>36%</w:t>
            </w:r>
          </w:p>
        </w:tc>
        <w:tc>
          <w:tcPr>
            <w:tcW w:w="714" w:type="pct"/>
            <w:shd w:val="clear" w:color="auto" w:fill="FFCC99"/>
          </w:tcPr>
          <w:p w:rsidR="00DF7B1B" w:rsidRPr="004330A2" w:rsidRDefault="001756F7"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Pr>
                <w:rFonts w:ascii="Calibri" w:hAnsi="Calibri" w:cs="Calibri"/>
                <w:szCs w:val="20"/>
              </w:rPr>
              <w:t>333</w:t>
            </w:r>
          </w:p>
        </w:tc>
        <w:tc>
          <w:tcPr>
            <w:tcW w:w="714" w:type="pct"/>
            <w:shd w:val="clear" w:color="auto" w:fill="FFCC99"/>
          </w:tcPr>
          <w:p w:rsidR="00DF7B1B" w:rsidRPr="004330A2" w:rsidRDefault="001756F7" w:rsidP="001756F7">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Pr>
                <w:rFonts w:ascii="Calibri" w:hAnsi="Calibri" w:cs="Calibri"/>
                <w:szCs w:val="20"/>
              </w:rPr>
              <w:t>34%</w:t>
            </w:r>
          </w:p>
        </w:tc>
      </w:tr>
      <w:tr w:rsidR="00DF7B1B" w:rsidRPr="003051B0" w:rsidTr="00515C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3051B0" w:rsidRDefault="00DF7B1B" w:rsidP="004330A2">
            <w:pPr>
              <w:pStyle w:val="TableText"/>
              <w:ind w:left="144"/>
              <w:jc w:val="left"/>
              <w:rPr>
                <w:rFonts w:cs="Calibri"/>
                <w:sz w:val="20"/>
              </w:rPr>
            </w:pPr>
            <w:r w:rsidRPr="003051B0">
              <w:rPr>
                <w:rFonts w:cs="Calibri"/>
                <w:sz w:val="20"/>
              </w:rPr>
              <w:t>Industrial</w:t>
            </w:r>
          </w:p>
        </w:tc>
        <w:tc>
          <w:tcPr>
            <w:tcW w:w="715" w:type="pct"/>
            <w:shd w:val="clear" w:color="auto" w:fill="E5ECF1"/>
            <w:tcMar>
              <w:top w:w="0" w:type="nil"/>
              <w:bottom w:w="0" w:type="nil"/>
              <w:right w:w="0" w:type="dxa"/>
            </w:tcMar>
          </w:tcPr>
          <w:p w:rsidR="00DF7B1B" w:rsidRPr="003051B0"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922</w:t>
            </w:r>
          </w:p>
        </w:tc>
        <w:tc>
          <w:tcPr>
            <w:tcW w:w="714" w:type="pct"/>
            <w:shd w:val="clear" w:color="auto" w:fill="E5ECF1"/>
          </w:tcPr>
          <w:p w:rsidR="00DF7B1B" w:rsidRPr="004330A2"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17%</w:t>
            </w:r>
          </w:p>
        </w:tc>
        <w:tc>
          <w:tcPr>
            <w:tcW w:w="714" w:type="pct"/>
            <w:shd w:val="clear" w:color="auto" w:fill="FDF3C9"/>
          </w:tcPr>
          <w:p w:rsidR="00DF7B1B" w:rsidRPr="004330A2"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245</w:t>
            </w:r>
          </w:p>
        </w:tc>
        <w:tc>
          <w:tcPr>
            <w:tcW w:w="714" w:type="pct"/>
            <w:shd w:val="clear" w:color="auto" w:fill="FDF3C9"/>
          </w:tcPr>
          <w:p w:rsidR="00DF7B1B" w:rsidRPr="004330A2" w:rsidRDefault="00DF7B1B"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24%</w:t>
            </w:r>
          </w:p>
        </w:tc>
        <w:tc>
          <w:tcPr>
            <w:tcW w:w="714" w:type="pct"/>
            <w:shd w:val="clear" w:color="auto" w:fill="FFCC99"/>
          </w:tcPr>
          <w:p w:rsidR="00DF7B1B" w:rsidRPr="004330A2" w:rsidRDefault="001756F7"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Pr>
                <w:rFonts w:ascii="Calibri" w:hAnsi="Calibri" w:cs="Calibri"/>
                <w:szCs w:val="20"/>
              </w:rPr>
              <w:t>202</w:t>
            </w:r>
          </w:p>
        </w:tc>
        <w:tc>
          <w:tcPr>
            <w:tcW w:w="714" w:type="pct"/>
            <w:shd w:val="clear" w:color="auto" w:fill="FFCC99"/>
          </w:tcPr>
          <w:p w:rsidR="00DF7B1B" w:rsidRPr="004330A2" w:rsidRDefault="001756F7"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Pr>
                <w:rFonts w:ascii="Calibri" w:hAnsi="Calibri" w:cs="Calibri"/>
                <w:szCs w:val="20"/>
              </w:rPr>
              <w:t>21%</w:t>
            </w:r>
          </w:p>
        </w:tc>
      </w:tr>
      <w:tr w:rsidR="00DF7B1B" w:rsidRPr="003051B0" w:rsidTr="00515C9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3051B0" w:rsidRDefault="00DF7B1B" w:rsidP="004330A2">
            <w:pPr>
              <w:pStyle w:val="TableText"/>
              <w:ind w:left="144"/>
              <w:jc w:val="left"/>
              <w:rPr>
                <w:rFonts w:cs="Calibri"/>
                <w:b/>
                <w:sz w:val="20"/>
              </w:rPr>
            </w:pPr>
            <w:r w:rsidRPr="003051B0">
              <w:rPr>
                <w:rFonts w:cs="Calibri"/>
                <w:b/>
                <w:sz w:val="20"/>
              </w:rPr>
              <w:t>Total</w:t>
            </w:r>
          </w:p>
        </w:tc>
        <w:tc>
          <w:tcPr>
            <w:tcW w:w="715" w:type="pct"/>
            <w:shd w:val="clear" w:color="auto" w:fill="E5ECF1"/>
            <w:tcMar>
              <w:top w:w="0" w:type="nil"/>
              <w:bottom w:w="0" w:type="nil"/>
              <w:right w:w="0" w:type="dxa"/>
            </w:tcMar>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 w:val="20"/>
                <w:szCs w:val="20"/>
              </w:rPr>
            </w:pPr>
            <w:r w:rsidRPr="004330A2">
              <w:rPr>
                <w:rFonts w:ascii="Calibri" w:hAnsi="Calibri" w:cs="Calibri"/>
                <w:b/>
                <w:sz w:val="20"/>
                <w:szCs w:val="20"/>
              </w:rPr>
              <w:t>5,555</w:t>
            </w:r>
          </w:p>
        </w:tc>
        <w:tc>
          <w:tcPr>
            <w:tcW w:w="714" w:type="pct"/>
            <w:shd w:val="clear" w:color="auto" w:fill="E5ECF1"/>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 w:val="20"/>
                <w:szCs w:val="20"/>
              </w:rPr>
            </w:pPr>
            <w:r w:rsidRPr="004330A2">
              <w:rPr>
                <w:rFonts w:ascii="Calibri" w:hAnsi="Calibri" w:cs="Calibri"/>
                <w:b/>
                <w:sz w:val="20"/>
                <w:szCs w:val="20"/>
              </w:rPr>
              <w:t>100%</w:t>
            </w:r>
          </w:p>
        </w:tc>
        <w:tc>
          <w:tcPr>
            <w:tcW w:w="714" w:type="pct"/>
            <w:shd w:val="clear" w:color="auto" w:fill="FDF3C9"/>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 w:val="20"/>
                <w:szCs w:val="20"/>
              </w:rPr>
            </w:pPr>
            <w:r w:rsidRPr="004330A2">
              <w:rPr>
                <w:rFonts w:ascii="Calibri" w:hAnsi="Calibri" w:cs="Calibri"/>
                <w:b/>
                <w:sz w:val="20"/>
                <w:szCs w:val="20"/>
              </w:rPr>
              <w:t>1,017</w:t>
            </w:r>
          </w:p>
        </w:tc>
        <w:tc>
          <w:tcPr>
            <w:tcW w:w="714" w:type="pct"/>
            <w:shd w:val="clear" w:color="auto" w:fill="FDF3C9"/>
          </w:tcPr>
          <w:p w:rsidR="00DF7B1B" w:rsidRPr="004330A2" w:rsidRDefault="00DF7B1B"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 w:val="20"/>
                <w:szCs w:val="20"/>
              </w:rPr>
            </w:pPr>
            <w:r w:rsidRPr="004330A2">
              <w:rPr>
                <w:rFonts w:ascii="Calibri" w:hAnsi="Calibri" w:cs="Calibri"/>
                <w:b/>
                <w:sz w:val="20"/>
                <w:szCs w:val="20"/>
              </w:rPr>
              <w:t>100%</w:t>
            </w:r>
          </w:p>
        </w:tc>
        <w:tc>
          <w:tcPr>
            <w:tcW w:w="714" w:type="pct"/>
            <w:shd w:val="clear" w:color="auto" w:fill="FFCC99"/>
          </w:tcPr>
          <w:p w:rsidR="00DF7B1B" w:rsidRPr="004330A2" w:rsidRDefault="001756F7"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Cs w:val="20"/>
              </w:rPr>
            </w:pPr>
            <w:r>
              <w:rPr>
                <w:rFonts w:ascii="Calibri" w:hAnsi="Calibri" w:cs="Calibri"/>
                <w:b/>
                <w:szCs w:val="20"/>
              </w:rPr>
              <w:t>973</w:t>
            </w:r>
          </w:p>
        </w:tc>
        <w:tc>
          <w:tcPr>
            <w:tcW w:w="714" w:type="pct"/>
            <w:shd w:val="clear" w:color="auto" w:fill="FFCC99"/>
          </w:tcPr>
          <w:p w:rsidR="00DF7B1B" w:rsidRPr="004330A2" w:rsidRDefault="001756F7"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Cs w:val="20"/>
              </w:rPr>
            </w:pPr>
            <w:r>
              <w:rPr>
                <w:rFonts w:ascii="Calibri" w:hAnsi="Calibri" w:cs="Calibri"/>
                <w:b/>
                <w:szCs w:val="20"/>
              </w:rPr>
              <w:t>100%</w:t>
            </w:r>
          </w:p>
        </w:tc>
      </w:tr>
    </w:tbl>
    <w:p w:rsidR="00157088" w:rsidRPr="009D6856" w:rsidRDefault="00157088" w:rsidP="00157088">
      <w:pPr>
        <w:pStyle w:val="BodyText"/>
      </w:pPr>
      <w:r>
        <w:br w:type="page"/>
      </w:r>
    </w:p>
    <w:p w:rsidR="004330A2" w:rsidRDefault="004330A2" w:rsidP="004330A2">
      <w:pPr>
        <w:pStyle w:val="FigureorTableTitle"/>
        <w:rPr>
          <w:color w:val="000000"/>
        </w:rPr>
      </w:pPr>
      <w:bookmarkStart w:id="140" w:name="_Ref422829239"/>
      <w:bookmarkStart w:id="141" w:name="_Toc424192702"/>
      <w:bookmarkStart w:id="142" w:name="_Toc401046344"/>
      <w:r w:rsidRPr="00F75EB3">
        <w:lastRenderedPageBreak/>
        <w:t xml:space="preserve">Figure </w:t>
      </w:r>
      <w:r w:rsidR="00512CD6">
        <w:fldChar w:fldCharType="begin"/>
      </w:r>
      <w:r w:rsidR="00512CD6">
        <w:instrText xml:space="preserve"> STYLEREF  "Heading 1,Chap Num" \n  \* MERGEFORMAT </w:instrText>
      </w:r>
      <w:r w:rsidR="00512CD6">
        <w:fldChar w:fldCharType="separate"/>
      </w:r>
      <w:r w:rsidR="00B2652C">
        <w:rPr>
          <w:noProof/>
        </w:rPr>
        <w:t>3</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2</w:t>
      </w:r>
      <w:r w:rsidR="00512CD6">
        <w:rPr>
          <w:noProof/>
        </w:rPr>
        <w:fldChar w:fldCharType="end"/>
      </w:r>
      <w:bookmarkEnd w:id="140"/>
      <w:r w:rsidRPr="00F75EB3">
        <w:tab/>
      </w:r>
      <w:r>
        <w:rPr>
          <w:color w:val="000000"/>
        </w:rPr>
        <w:t>Sector-Level Electricity Use in Base Year 2013, Idaho</w:t>
      </w:r>
      <w:bookmarkEnd w:id="141"/>
    </w:p>
    <w:p w:rsidR="004330A2" w:rsidRDefault="001756F7" w:rsidP="001756F7">
      <w:pPr>
        <w:pStyle w:val="BodyText"/>
        <w:jc w:val="center"/>
        <w:rPr>
          <w:color w:val="000000"/>
        </w:rPr>
      </w:pPr>
      <w:r w:rsidRPr="001756F7">
        <w:rPr>
          <w:noProof/>
        </w:rPr>
        <w:drawing>
          <wp:inline distT="0" distB="0" distL="0" distR="0">
            <wp:extent cx="3959962" cy="2905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5834" cy="2916769"/>
                    </a:xfrm>
                    <a:prstGeom prst="rect">
                      <a:avLst/>
                    </a:prstGeom>
                    <a:noFill/>
                    <a:ln>
                      <a:noFill/>
                    </a:ln>
                  </pic:spPr>
                </pic:pic>
              </a:graphicData>
            </a:graphic>
          </wp:inline>
        </w:drawing>
      </w:r>
    </w:p>
    <w:p w:rsidR="001756F7" w:rsidRDefault="001756F7" w:rsidP="00A6496E">
      <w:pPr>
        <w:pStyle w:val="BodyText"/>
        <w:rPr>
          <w:color w:val="000000"/>
        </w:rPr>
      </w:pPr>
      <w:r w:rsidRPr="001756F7">
        <w:rPr>
          <w:noProof/>
        </w:rPr>
        <w:drawing>
          <wp:inline distT="0" distB="0" distL="0" distR="0">
            <wp:extent cx="5715000" cy="2714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2714625"/>
                    </a:xfrm>
                    <a:prstGeom prst="rect">
                      <a:avLst/>
                    </a:prstGeom>
                    <a:noFill/>
                    <a:ln>
                      <a:noFill/>
                    </a:ln>
                  </pic:spPr>
                </pic:pic>
              </a:graphicData>
            </a:graphic>
          </wp:inline>
        </w:drawing>
      </w:r>
    </w:p>
    <w:p w:rsidR="004330A2" w:rsidRPr="0018065C" w:rsidRDefault="004330A2" w:rsidP="004330A2">
      <w:pPr>
        <w:pStyle w:val="FigureorTableTitle"/>
      </w:pPr>
      <w:bookmarkStart w:id="143" w:name="_Toc424192763"/>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2</w:t>
      </w:r>
      <w:r w:rsidR="00512CD6">
        <w:rPr>
          <w:bCs w:val="0"/>
          <w:iCs w:val="0"/>
          <w:noProof/>
        </w:rPr>
        <w:fldChar w:fldCharType="end"/>
      </w:r>
      <w:r>
        <w:tab/>
        <w:t>Avista Sector Control Totals (2013), Idaho</w:t>
      </w:r>
      <w:bookmarkEnd w:id="143"/>
    </w:p>
    <w:tbl>
      <w:tblPr>
        <w:tblStyle w:val="EnerNOCReportTable2"/>
        <w:tblW w:w="5000" w:type="pct"/>
        <w:tblInd w:w="0" w:type="dxa"/>
        <w:tblCellMar>
          <w:top w:w="0" w:type="dxa"/>
          <w:left w:w="0" w:type="dxa"/>
          <w:bottom w:w="0" w:type="dxa"/>
          <w:right w:w="0" w:type="dxa"/>
        </w:tblCellMar>
        <w:tblLook w:val="04A0" w:firstRow="1" w:lastRow="0" w:firstColumn="1" w:lastColumn="0" w:noHBand="0" w:noVBand="1"/>
      </w:tblPr>
      <w:tblGrid>
        <w:gridCol w:w="1287"/>
        <w:gridCol w:w="1288"/>
        <w:gridCol w:w="1287"/>
        <w:gridCol w:w="1287"/>
        <w:gridCol w:w="1287"/>
        <w:gridCol w:w="1287"/>
        <w:gridCol w:w="1287"/>
      </w:tblGrid>
      <w:tr w:rsidR="00DF7B1B" w:rsidRPr="003051B0" w:rsidTr="00DF7B1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shd w:val="clear" w:color="auto" w:fill="1A1D5D"/>
            <w:noWrap/>
            <w:tcMar>
              <w:top w:w="0" w:type="nil"/>
              <w:bottom w:w="0" w:type="nil"/>
            </w:tcMar>
            <w:hideMark/>
          </w:tcPr>
          <w:p w:rsidR="00DF7B1B" w:rsidRPr="003051B0" w:rsidRDefault="00DF7B1B" w:rsidP="004330A2">
            <w:pPr>
              <w:pStyle w:val="TableHeadings"/>
              <w:rPr>
                <w:rFonts w:cs="Calibri"/>
                <w:sz w:val="20"/>
              </w:rPr>
            </w:pPr>
            <w:r w:rsidRPr="003051B0">
              <w:rPr>
                <w:rFonts w:cs="Calibri"/>
                <w:sz w:val="20"/>
              </w:rPr>
              <w:t>Sector</w:t>
            </w:r>
          </w:p>
        </w:tc>
        <w:tc>
          <w:tcPr>
            <w:tcW w:w="715" w:type="pct"/>
            <w:shd w:val="clear" w:color="auto" w:fill="1A1D5D"/>
            <w:tcMar>
              <w:top w:w="0" w:type="nil"/>
              <w:bottom w:w="0" w:type="nil"/>
            </w:tcMar>
          </w:tcPr>
          <w:p w:rsidR="00DF7B1B" w:rsidRPr="003051B0" w:rsidRDefault="00DF7B1B" w:rsidP="004330A2">
            <w:pPr>
              <w:pStyle w:val="TableHeadings"/>
              <w:cnfStyle w:val="100000000000" w:firstRow="1" w:lastRow="0" w:firstColumn="0" w:lastColumn="0" w:oddVBand="0" w:evenVBand="0" w:oddHBand="0" w:evenHBand="0" w:firstRowFirstColumn="0" w:firstRowLastColumn="0" w:lastRowFirstColumn="0" w:lastRowLastColumn="0"/>
              <w:rPr>
                <w:rFonts w:cs="Calibri"/>
                <w:sz w:val="20"/>
              </w:rPr>
            </w:pPr>
            <w:r w:rsidRPr="003051B0">
              <w:rPr>
                <w:rFonts w:cs="Calibri"/>
                <w:sz w:val="20"/>
              </w:rPr>
              <w:t xml:space="preserve">Annual Electricity </w:t>
            </w:r>
            <w:r w:rsidRPr="003051B0">
              <w:rPr>
                <w:rFonts w:cs="Calibri"/>
                <w:sz w:val="20"/>
              </w:rPr>
              <w:br/>
              <w:t>Use (GWh)</w:t>
            </w:r>
          </w:p>
        </w:tc>
        <w:tc>
          <w:tcPr>
            <w:tcW w:w="714" w:type="pct"/>
            <w:shd w:val="clear" w:color="auto" w:fill="1A1D5D"/>
          </w:tcPr>
          <w:p w:rsidR="00DF7B1B" w:rsidRPr="003051B0" w:rsidRDefault="00DF7B1B" w:rsidP="004330A2">
            <w:pPr>
              <w:pStyle w:val="TableHeadings"/>
              <w:cnfStyle w:val="100000000000" w:firstRow="1" w:lastRow="0" w:firstColumn="0" w:lastColumn="0" w:oddVBand="0" w:evenVBand="0" w:oddHBand="0" w:evenHBand="0" w:firstRowFirstColumn="0" w:firstRowLastColumn="0" w:lastRowFirstColumn="0" w:lastRowLastColumn="0"/>
              <w:rPr>
                <w:rFonts w:cs="Calibri"/>
                <w:sz w:val="20"/>
              </w:rPr>
            </w:pPr>
            <w:r w:rsidRPr="003051B0">
              <w:rPr>
                <w:rFonts w:cs="Calibri"/>
                <w:sz w:val="20"/>
              </w:rPr>
              <w:t xml:space="preserve">% of </w:t>
            </w:r>
            <w:r w:rsidRPr="003051B0">
              <w:rPr>
                <w:rFonts w:cs="Calibri"/>
                <w:sz w:val="20"/>
              </w:rPr>
              <w:br/>
              <w:t>Annual Use</w:t>
            </w:r>
          </w:p>
        </w:tc>
        <w:tc>
          <w:tcPr>
            <w:tcW w:w="714" w:type="pct"/>
            <w:shd w:val="clear" w:color="auto" w:fill="1A1D5D"/>
          </w:tcPr>
          <w:p w:rsidR="00DF7B1B" w:rsidRPr="003051B0" w:rsidRDefault="00DF7B1B" w:rsidP="004330A2">
            <w:pPr>
              <w:pStyle w:val="TableHeadings"/>
              <w:cnfStyle w:val="100000000000" w:firstRow="1" w:lastRow="0" w:firstColumn="0" w:lastColumn="0" w:oddVBand="0" w:evenVBand="0" w:oddHBand="0" w:evenHBand="0" w:firstRowFirstColumn="0" w:firstRowLastColumn="0" w:lastRowFirstColumn="0" w:lastRowLastColumn="0"/>
              <w:rPr>
                <w:rFonts w:cs="Calibri"/>
                <w:sz w:val="20"/>
              </w:rPr>
            </w:pPr>
            <w:r w:rsidRPr="003051B0">
              <w:rPr>
                <w:rFonts w:cs="Calibri"/>
                <w:sz w:val="20"/>
              </w:rPr>
              <w:t xml:space="preserve">Summer Peak Demand </w:t>
            </w:r>
            <w:r w:rsidRPr="003051B0">
              <w:rPr>
                <w:rFonts w:cs="Calibri"/>
                <w:sz w:val="20"/>
              </w:rPr>
              <w:br/>
              <w:t>(MW)</w:t>
            </w:r>
          </w:p>
        </w:tc>
        <w:tc>
          <w:tcPr>
            <w:tcW w:w="714" w:type="pct"/>
            <w:shd w:val="clear" w:color="auto" w:fill="1A1D5D"/>
          </w:tcPr>
          <w:p w:rsidR="00DF7B1B" w:rsidRPr="003051B0" w:rsidRDefault="00DF7B1B" w:rsidP="004330A2">
            <w:pPr>
              <w:pStyle w:val="TableHeadings"/>
              <w:cnfStyle w:val="100000000000" w:firstRow="1" w:lastRow="0" w:firstColumn="0" w:lastColumn="0" w:oddVBand="0" w:evenVBand="0" w:oddHBand="0" w:evenHBand="0" w:firstRowFirstColumn="0" w:firstRowLastColumn="0" w:lastRowFirstColumn="0" w:lastRowLastColumn="0"/>
              <w:rPr>
                <w:rFonts w:cs="Calibri"/>
                <w:sz w:val="20"/>
              </w:rPr>
            </w:pPr>
            <w:r w:rsidRPr="003051B0">
              <w:rPr>
                <w:rFonts w:cs="Calibri"/>
                <w:sz w:val="20"/>
              </w:rPr>
              <w:t xml:space="preserve">% of </w:t>
            </w:r>
            <w:r w:rsidRPr="003051B0">
              <w:rPr>
                <w:rFonts w:cs="Calibri"/>
                <w:sz w:val="20"/>
              </w:rPr>
              <w:br/>
              <w:t>Summer Peak</w:t>
            </w:r>
          </w:p>
        </w:tc>
        <w:tc>
          <w:tcPr>
            <w:tcW w:w="714" w:type="pct"/>
            <w:shd w:val="clear" w:color="auto" w:fill="1A1D5D"/>
          </w:tcPr>
          <w:p w:rsidR="00DF7B1B" w:rsidRPr="003051B0" w:rsidRDefault="00BE0CBC" w:rsidP="004330A2">
            <w:pPr>
              <w:pStyle w:val="TableHeadings"/>
              <w:cnfStyle w:val="100000000000" w:firstRow="1" w:lastRow="0" w:firstColumn="0" w:lastColumn="0" w:oddVBand="0" w:evenVBand="0" w:oddHBand="0" w:evenHBand="0" w:firstRowFirstColumn="0" w:firstRowLastColumn="0" w:lastRowFirstColumn="0" w:lastRowLastColumn="0"/>
              <w:rPr>
                <w:rFonts w:cs="Calibri"/>
              </w:rPr>
            </w:pPr>
            <w:r>
              <w:rPr>
                <w:rFonts w:cs="Calibri"/>
                <w:sz w:val="20"/>
              </w:rPr>
              <w:t>Winter</w:t>
            </w:r>
            <w:r w:rsidRPr="003051B0">
              <w:rPr>
                <w:rFonts w:cs="Calibri"/>
                <w:sz w:val="20"/>
              </w:rPr>
              <w:t xml:space="preserve"> Peak Demand </w:t>
            </w:r>
            <w:r w:rsidRPr="003051B0">
              <w:rPr>
                <w:rFonts w:cs="Calibri"/>
                <w:sz w:val="20"/>
              </w:rPr>
              <w:br/>
              <w:t>(MW)</w:t>
            </w:r>
          </w:p>
        </w:tc>
        <w:tc>
          <w:tcPr>
            <w:tcW w:w="714" w:type="pct"/>
            <w:shd w:val="clear" w:color="auto" w:fill="1A1D5D"/>
          </w:tcPr>
          <w:p w:rsidR="00DF7B1B" w:rsidRPr="003051B0" w:rsidRDefault="00BE0CBC" w:rsidP="004330A2">
            <w:pPr>
              <w:pStyle w:val="TableHeadings"/>
              <w:cnfStyle w:val="100000000000" w:firstRow="1" w:lastRow="0" w:firstColumn="0" w:lastColumn="0" w:oddVBand="0" w:evenVBand="0" w:oddHBand="0" w:evenHBand="0" w:firstRowFirstColumn="0" w:firstRowLastColumn="0" w:lastRowFirstColumn="0" w:lastRowLastColumn="0"/>
              <w:rPr>
                <w:rFonts w:cs="Calibri"/>
              </w:rPr>
            </w:pPr>
            <w:r w:rsidRPr="003051B0">
              <w:rPr>
                <w:rFonts w:cs="Calibri"/>
                <w:sz w:val="20"/>
              </w:rPr>
              <w:t xml:space="preserve">% of </w:t>
            </w:r>
            <w:r w:rsidRPr="003051B0">
              <w:rPr>
                <w:rFonts w:cs="Calibri"/>
                <w:sz w:val="20"/>
              </w:rPr>
              <w:br/>
            </w:r>
            <w:r>
              <w:rPr>
                <w:rFonts w:cs="Calibri"/>
                <w:sz w:val="20"/>
              </w:rPr>
              <w:t>Winter</w:t>
            </w:r>
            <w:r w:rsidRPr="003051B0">
              <w:rPr>
                <w:rFonts w:cs="Calibri"/>
                <w:sz w:val="20"/>
              </w:rPr>
              <w:t xml:space="preserve"> Peak</w:t>
            </w:r>
          </w:p>
        </w:tc>
      </w:tr>
      <w:tr w:rsidR="00DF7B1B" w:rsidRPr="003051B0" w:rsidTr="00515C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3051B0" w:rsidRDefault="00DF7B1B" w:rsidP="004330A2">
            <w:pPr>
              <w:pStyle w:val="TableText"/>
              <w:ind w:left="144"/>
              <w:jc w:val="left"/>
              <w:rPr>
                <w:rFonts w:cs="Calibri"/>
                <w:sz w:val="20"/>
              </w:rPr>
            </w:pPr>
            <w:r w:rsidRPr="003051B0">
              <w:rPr>
                <w:rFonts w:cs="Calibri"/>
                <w:sz w:val="20"/>
              </w:rPr>
              <w:t>Residential</w:t>
            </w:r>
          </w:p>
        </w:tc>
        <w:tc>
          <w:tcPr>
            <w:tcW w:w="715" w:type="pct"/>
            <w:shd w:val="clear" w:color="auto" w:fill="E5ECF1"/>
            <w:tcMar>
              <w:top w:w="0" w:type="nil"/>
              <w:bottom w:w="0" w:type="nil"/>
              <w:right w:w="0" w:type="dxa"/>
            </w:tcMar>
          </w:tcPr>
          <w:p w:rsidR="00DF7B1B" w:rsidRPr="003051B0"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1,207</w:t>
            </w:r>
          </w:p>
        </w:tc>
        <w:tc>
          <w:tcPr>
            <w:tcW w:w="714" w:type="pct"/>
            <w:shd w:val="clear" w:color="auto" w:fill="E5ECF1"/>
          </w:tcPr>
          <w:p w:rsidR="00DF7B1B" w:rsidRPr="004330A2"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48%</w:t>
            </w:r>
          </w:p>
        </w:tc>
        <w:tc>
          <w:tcPr>
            <w:tcW w:w="714" w:type="pct"/>
            <w:shd w:val="clear" w:color="auto" w:fill="FDF3C9"/>
          </w:tcPr>
          <w:p w:rsidR="00DF7B1B" w:rsidRPr="004330A2"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184</w:t>
            </w:r>
          </w:p>
        </w:tc>
        <w:tc>
          <w:tcPr>
            <w:tcW w:w="714" w:type="pct"/>
            <w:shd w:val="clear" w:color="auto" w:fill="FDF3C9"/>
          </w:tcPr>
          <w:p w:rsidR="00DF7B1B" w:rsidRPr="004330A2" w:rsidRDefault="00DF7B1B"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42%</w:t>
            </w:r>
          </w:p>
        </w:tc>
        <w:tc>
          <w:tcPr>
            <w:tcW w:w="714" w:type="pct"/>
            <w:shd w:val="clear" w:color="auto" w:fill="FFCC99"/>
          </w:tcPr>
          <w:p w:rsidR="00DF7B1B" w:rsidRPr="004330A2" w:rsidRDefault="001756F7"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Pr>
                <w:rFonts w:ascii="Calibri" w:hAnsi="Calibri" w:cs="Calibri"/>
                <w:szCs w:val="20"/>
              </w:rPr>
              <w:t>217</w:t>
            </w:r>
          </w:p>
        </w:tc>
        <w:tc>
          <w:tcPr>
            <w:tcW w:w="714" w:type="pct"/>
            <w:shd w:val="clear" w:color="auto" w:fill="FFCC99"/>
          </w:tcPr>
          <w:p w:rsidR="00DF7B1B" w:rsidRPr="004330A2" w:rsidRDefault="001756F7"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Pr>
                <w:rFonts w:ascii="Calibri" w:hAnsi="Calibri" w:cs="Calibri"/>
                <w:szCs w:val="20"/>
              </w:rPr>
              <w:t>49%</w:t>
            </w:r>
          </w:p>
        </w:tc>
      </w:tr>
      <w:tr w:rsidR="00DF7B1B" w:rsidRPr="003051B0" w:rsidTr="00515C9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tcPr>
          <w:p w:rsidR="00DF7B1B" w:rsidRPr="003051B0" w:rsidRDefault="00DF7B1B" w:rsidP="004330A2">
            <w:pPr>
              <w:pStyle w:val="TableText"/>
              <w:ind w:left="144"/>
              <w:jc w:val="left"/>
              <w:rPr>
                <w:rFonts w:cs="Calibri"/>
                <w:sz w:val="20"/>
              </w:rPr>
            </w:pPr>
            <w:r w:rsidRPr="003051B0">
              <w:rPr>
                <w:rFonts w:cs="Calibri"/>
                <w:sz w:val="20"/>
              </w:rPr>
              <w:t>Commercial</w:t>
            </w:r>
          </w:p>
        </w:tc>
        <w:tc>
          <w:tcPr>
            <w:tcW w:w="715" w:type="pct"/>
            <w:shd w:val="clear" w:color="auto" w:fill="E5ECF1"/>
            <w:tcMar>
              <w:top w:w="0" w:type="nil"/>
              <w:bottom w:w="0" w:type="nil"/>
              <w:right w:w="0" w:type="dxa"/>
            </w:tcMar>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4330A2">
              <w:rPr>
                <w:rFonts w:ascii="Calibri" w:hAnsi="Calibri" w:cs="Calibri"/>
                <w:sz w:val="20"/>
                <w:szCs w:val="20"/>
              </w:rPr>
              <w:t>976</w:t>
            </w:r>
          </w:p>
        </w:tc>
        <w:tc>
          <w:tcPr>
            <w:tcW w:w="714" w:type="pct"/>
            <w:shd w:val="clear" w:color="auto" w:fill="E5ECF1"/>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4330A2">
              <w:rPr>
                <w:rFonts w:ascii="Calibri" w:hAnsi="Calibri" w:cs="Calibri"/>
                <w:sz w:val="20"/>
                <w:szCs w:val="20"/>
              </w:rPr>
              <w:t>39%</w:t>
            </w:r>
          </w:p>
        </w:tc>
        <w:tc>
          <w:tcPr>
            <w:tcW w:w="714" w:type="pct"/>
            <w:shd w:val="clear" w:color="auto" w:fill="FDF3C9"/>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4330A2">
              <w:rPr>
                <w:rFonts w:ascii="Calibri" w:hAnsi="Calibri" w:cs="Calibri"/>
                <w:sz w:val="20"/>
                <w:szCs w:val="20"/>
              </w:rPr>
              <w:t>167</w:t>
            </w:r>
          </w:p>
        </w:tc>
        <w:tc>
          <w:tcPr>
            <w:tcW w:w="714" w:type="pct"/>
            <w:shd w:val="clear" w:color="auto" w:fill="FDF3C9"/>
          </w:tcPr>
          <w:p w:rsidR="00DF7B1B" w:rsidRPr="004330A2" w:rsidRDefault="00DF7B1B"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4330A2">
              <w:rPr>
                <w:rFonts w:ascii="Calibri" w:hAnsi="Calibri" w:cs="Calibri"/>
                <w:sz w:val="20"/>
                <w:szCs w:val="20"/>
              </w:rPr>
              <w:t>38%</w:t>
            </w:r>
          </w:p>
        </w:tc>
        <w:tc>
          <w:tcPr>
            <w:tcW w:w="714" w:type="pct"/>
            <w:shd w:val="clear" w:color="auto" w:fill="FFCC99"/>
          </w:tcPr>
          <w:p w:rsidR="00DF7B1B" w:rsidRPr="004330A2" w:rsidRDefault="001756F7"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Pr>
                <w:rFonts w:ascii="Calibri" w:hAnsi="Calibri" w:cs="Calibri"/>
                <w:szCs w:val="20"/>
              </w:rPr>
              <w:t>152</w:t>
            </w:r>
          </w:p>
        </w:tc>
        <w:tc>
          <w:tcPr>
            <w:tcW w:w="714" w:type="pct"/>
            <w:shd w:val="clear" w:color="auto" w:fill="FFCC99"/>
          </w:tcPr>
          <w:p w:rsidR="00DF7B1B" w:rsidRPr="004330A2" w:rsidRDefault="001756F7"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Pr>
                <w:rFonts w:ascii="Calibri" w:hAnsi="Calibri" w:cs="Calibri"/>
                <w:szCs w:val="20"/>
              </w:rPr>
              <w:t>34%</w:t>
            </w:r>
          </w:p>
        </w:tc>
      </w:tr>
      <w:tr w:rsidR="00DF7B1B" w:rsidRPr="003051B0" w:rsidTr="00515C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3051B0" w:rsidRDefault="00DF7B1B" w:rsidP="004330A2">
            <w:pPr>
              <w:pStyle w:val="TableText"/>
              <w:ind w:left="144"/>
              <w:jc w:val="left"/>
              <w:rPr>
                <w:rFonts w:cs="Calibri"/>
                <w:sz w:val="20"/>
              </w:rPr>
            </w:pPr>
            <w:r w:rsidRPr="003051B0">
              <w:rPr>
                <w:rFonts w:cs="Calibri"/>
                <w:sz w:val="20"/>
              </w:rPr>
              <w:t>Industrial</w:t>
            </w:r>
          </w:p>
        </w:tc>
        <w:tc>
          <w:tcPr>
            <w:tcW w:w="715" w:type="pct"/>
            <w:shd w:val="clear" w:color="auto" w:fill="E5ECF1"/>
            <w:tcMar>
              <w:top w:w="0" w:type="nil"/>
              <w:bottom w:w="0" w:type="nil"/>
              <w:right w:w="0" w:type="dxa"/>
            </w:tcMar>
          </w:tcPr>
          <w:p w:rsidR="00DF7B1B" w:rsidRPr="003051B0"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343</w:t>
            </w:r>
          </w:p>
        </w:tc>
        <w:tc>
          <w:tcPr>
            <w:tcW w:w="714" w:type="pct"/>
            <w:shd w:val="clear" w:color="auto" w:fill="E5ECF1"/>
          </w:tcPr>
          <w:p w:rsidR="00DF7B1B" w:rsidRPr="004330A2"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14%</w:t>
            </w:r>
          </w:p>
        </w:tc>
        <w:tc>
          <w:tcPr>
            <w:tcW w:w="714" w:type="pct"/>
            <w:shd w:val="clear" w:color="auto" w:fill="FDF3C9"/>
          </w:tcPr>
          <w:p w:rsidR="00DF7B1B" w:rsidRPr="004330A2" w:rsidRDefault="00DF7B1B" w:rsidP="00A6496E">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91</w:t>
            </w:r>
          </w:p>
        </w:tc>
        <w:tc>
          <w:tcPr>
            <w:tcW w:w="714" w:type="pct"/>
            <w:shd w:val="clear" w:color="auto" w:fill="FDF3C9"/>
          </w:tcPr>
          <w:p w:rsidR="00DF7B1B" w:rsidRPr="004330A2" w:rsidRDefault="00DF7B1B"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330A2">
              <w:rPr>
                <w:rFonts w:ascii="Calibri" w:hAnsi="Calibri" w:cs="Calibri"/>
                <w:sz w:val="20"/>
                <w:szCs w:val="20"/>
              </w:rPr>
              <w:t>21%</w:t>
            </w:r>
          </w:p>
        </w:tc>
        <w:tc>
          <w:tcPr>
            <w:tcW w:w="714" w:type="pct"/>
            <w:shd w:val="clear" w:color="auto" w:fill="FFCC99"/>
          </w:tcPr>
          <w:p w:rsidR="00DF7B1B" w:rsidRPr="004330A2" w:rsidRDefault="001756F7"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Pr>
                <w:rFonts w:ascii="Calibri" w:hAnsi="Calibri" w:cs="Calibri"/>
                <w:szCs w:val="20"/>
              </w:rPr>
              <w:t>75</w:t>
            </w:r>
          </w:p>
        </w:tc>
        <w:tc>
          <w:tcPr>
            <w:tcW w:w="714" w:type="pct"/>
            <w:shd w:val="clear" w:color="auto" w:fill="FFCC99"/>
          </w:tcPr>
          <w:p w:rsidR="00DF7B1B" w:rsidRPr="004330A2" w:rsidRDefault="001756F7" w:rsidP="004330A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Pr>
                <w:rFonts w:ascii="Calibri" w:hAnsi="Calibri" w:cs="Calibri"/>
                <w:szCs w:val="20"/>
              </w:rPr>
              <w:t>17%</w:t>
            </w:r>
          </w:p>
        </w:tc>
      </w:tr>
      <w:tr w:rsidR="00DF7B1B" w:rsidRPr="003051B0" w:rsidTr="00515C9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3051B0" w:rsidRDefault="00DF7B1B" w:rsidP="004330A2">
            <w:pPr>
              <w:pStyle w:val="TableText"/>
              <w:ind w:left="144"/>
              <w:jc w:val="left"/>
              <w:rPr>
                <w:rFonts w:cs="Calibri"/>
                <w:b/>
                <w:sz w:val="20"/>
              </w:rPr>
            </w:pPr>
            <w:r w:rsidRPr="003051B0">
              <w:rPr>
                <w:rFonts w:cs="Calibri"/>
                <w:b/>
                <w:sz w:val="20"/>
              </w:rPr>
              <w:t>Total</w:t>
            </w:r>
          </w:p>
        </w:tc>
        <w:tc>
          <w:tcPr>
            <w:tcW w:w="715" w:type="pct"/>
            <w:shd w:val="clear" w:color="auto" w:fill="E5ECF1"/>
            <w:tcMar>
              <w:top w:w="0" w:type="nil"/>
              <w:bottom w:w="0" w:type="nil"/>
              <w:right w:w="0" w:type="dxa"/>
            </w:tcMar>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 w:val="20"/>
                <w:szCs w:val="20"/>
              </w:rPr>
            </w:pPr>
            <w:r w:rsidRPr="004330A2">
              <w:rPr>
                <w:rFonts w:ascii="Calibri" w:hAnsi="Calibri" w:cs="Calibri"/>
                <w:b/>
                <w:sz w:val="20"/>
                <w:szCs w:val="20"/>
              </w:rPr>
              <w:t>2,526</w:t>
            </w:r>
          </w:p>
        </w:tc>
        <w:tc>
          <w:tcPr>
            <w:tcW w:w="714" w:type="pct"/>
            <w:shd w:val="clear" w:color="auto" w:fill="E5ECF1"/>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 w:val="20"/>
                <w:szCs w:val="20"/>
              </w:rPr>
            </w:pPr>
            <w:r w:rsidRPr="004330A2">
              <w:rPr>
                <w:rFonts w:ascii="Calibri" w:hAnsi="Calibri" w:cs="Calibri"/>
                <w:b/>
                <w:sz w:val="20"/>
                <w:szCs w:val="20"/>
              </w:rPr>
              <w:t>100%</w:t>
            </w:r>
          </w:p>
        </w:tc>
        <w:tc>
          <w:tcPr>
            <w:tcW w:w="714" w:type="pct"/>
            <w:shd w:val="clear" w:color="auto" w:fill="FDF3C9"/>
          </w:tcPr>
          <w:p w:rsidR="00DF7B1B" w:rsidRPr="004330A2" w:rsidRDefault="00DF7B1B" w:rsidP="00A6496E">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 w:val="20"/>
                <w:szCs w:val="20"/>
              </w:rPr>
            </w:pPr>
            <w:r w:rsidRPr="004330A2">
              <w:rPr>
                <w:rFonts w:ascii="Calibri" w:hAnsi="Calibri" w:cs="Calibri"/>
                <w:b/>
                <w:sz w:val="20"/>
                <w:szCs w:val="20"/>
              </w:rPr>
              <w:t>442</w:t>
            </w:r>
          </w:p>
        </w:tc>
        <w:tc>
          <w:tcPr>
            <w:tcW w:w="714" w:type="pct"/>
            <w:shd w:val="clear" w:color="auto" w:fill="FDF3C9"/>
          </w:tcPr>
          <w:p w:rsidR="00DF7B1B" w:rsidRPr="004330A2" w:rsidRDefault="00DF7B1B"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 w:val="20"/>
                <w:szCs w:val="20"/>
              </w:rPr>
            </w:pPr>
            <w:r w:rsidRPr="004330A2">
              <w:rPr>
                <w:rFonts w:ascii="Calibri" w:hAnsi="Calibri" w:cs="Calibri"/>
                <w:b/>
                <w:sz w:val="20"/>
                <w:szCs w:val="20"/>
              </w:rPr>
              <w:t>100%</w:t>
            </w:r>
          </w:p>
        </w:tc>
        <w:tc>
          <w:tcPr>
            <w:tcW w:w="714" w:type="pct"/>
            <w:shd w:val="clear" w:color="auto" w:fill="FFCC99"/>
          </w:tcPr>
          <w:p w:rsidR="00DF7B1B" w:rsidRPr="004330A2" w:rsidRDefault="001756F7"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Cs w:val="20"/>
              </w:rPr>
            </w:pPr>
            <w:r>
              <w:rPr>
                <w:rFonts w:ascii="Calibri" w:hAnsi="Calibri" w:cs="Calibri"/>
                <w:b/>
                <w:szCs w:val="20"/>
              </w:rPr>
              <w:t>444</w:t>
            </w:r>
          </w:p>
        </w:tc>
        <w:tc>
          <w:tcPr>
            <w:tcW w:w="714" w:type="pct"/>
            <w:shd w:val="clear" w:color="auto" w:fill="FFCC99"/>
          </w:tcPr>
          <w:p w:rsidR="00DF7B1B" w:rsidRPr="004330A2" w:rsidRDefault="001756F7" w:rsidP="004330A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hAnsi="Calibri" w:cs="Calibri"/>
                <w:b/>
                <w:szCs w:val="20"/>
              </w:rPr>
            </w:pPr>
            <w:r>
              <w:rPr>
                <w:rFonts w:ascii="Calibri" w:hAnsi="Calibri" w:cs="Calibri"/>
                <w:b/>
                <w:szCs w:val="20"/>
              </w:rPr>
              <w:t>100%</w:t>
            </w:r>
          </w:p>
        </w:tc>
      </w:tr>
    </w:tbl>
    <w:p w:rsidR="00157088" w:rsidRDefault="00157088" w:rsidP="00157088">
      <w:pPr>
        <w:pStyle w:val="Heading2"/>
      </w:pPr>
      <w:bookmarkStart w:id="144" w:name="_Toc424192621"/>
      <w:r>
        <w:t>Residential Sector</w:t>
      </w:r>
      <w:bookmarkEnd w:id="138"/>
      <w:bookmarkEnd w:id="139"/>
      <w:bookmarkEnd w:id="142"/>
      <w:bookmarkEnd w:id="144"/>
    </w:p>
    <w:p w:rsidR="00157088" w:rsidRDefault="00157088" w:rsidP="00157088">
      <w:pPr>
        <w:pStyle w:val="BodyText"/>
      </w:pPr>
      <w:r>
        <w:t>The total number of households and electric</w:t>
      </w:r>
      <w:r w:rsidR="004C6B3F">
        <w:t>ity</w:t>
      </w:r>
      <w:r>
        <w:t xml:space="preserve"> sales for the service territory were obtained from </w:t>
      </w:r>
      <w:r w:rsidR="004258DA">
        <w:t>Avista</w:t>
      </w:r>
      <w:r w:rsidR="00376A12">
        <w:t>’s</w:t>
      </w:r>
      <w:r>
        <w:t xml:space="preserve"> customer database. In 201</w:t>
      </w:r>
      <w:r w:rsidR="004C6B3F">
        <w:t>3</w:t>
      </w:r>
      <w:r>
        <w:t xml:space="preserve">, there were </w:t>
      </w:r>
      <w:r w:rsidR="004258DA">
        <w:t>213</w:t>
      </w:r>
      <w:r w:rsidR="00065DD0">
        <w:t>,</w:t>
      </w:r>
      <w:r w:rsidR="004258DA">
        <w:t>640</w:t>
      </w:r>
      <w:r>
        <w:t xml:space="preserve"> households in </w:t>
      </w:r>
      <w:r w:rsidR="004258DA">
        <w:t>the state of Washington</w:t>
      </w:r>
      <w:r>
        <w:t xml:space="preserve"> </w:t>
      </w:r>
      <w:r>
        <w:lastRenderedPageBreak/>
        <w:t xml:space="preserve">that used a total of </w:t>
      </w:r>
      <w:r w:rsidR="004258DA">
        <w:t>2</w:t>
      </w:r>
      <w:r w:rsidR="004C6B3F">
        <w:t>,</w:t>
      </w:r>
      <w:r w:rsidR="004258DA">
        <w:t>546</w:t>
      </w:r>
      <w:r>
        <w:t xml:space="preserve"> GWh with </w:t>
      </w:r>
      <w:r w:rsidR="0008482C">
        <w:t xml:space="preserve">a summer </w:t>
      </w:r>
      <w:r>
        <w:t xml:space="preserve">peak demand of </w:t>
      </w:r>
      <w:r w:rsidR="004258DA">
        <w:t>404</w:t>
      </w:r>
      <w:r>
        <w:t xml:space="preserve"> MW</w:t>
      </w:r>
      <w:r w:rsidR="0008482C">
        <w:t xml:space="preserve"> and a winter peak demand of 438 MW</w:t>
      </w:r>
      <w:r>
        <w:t xml:space="preserve">. </w:t>
      </w:r>
      <w:r w:rsidR="004C6B3F">
        <w:t xml:space="preserve">Average use per customer (or household) at </w:t>
      </w:r>
      <w:r w:rsidR="00065DD0">
        <w:t>11</w:t>
      </w:r>
      <w:r w:rsidR="004C6B3F">
        <w:t>,</w:t>
      </w:r>
      <w:r w:rsidR="00065DD0">
        <w:t>9</w:t>
      </w:r>
      <w:r w:rsidR="004258DA">
        <w:t>19</w:t>
      </w:r>
      <w:r w:rsidR="004C6B3F">
        <w:t xml:space="preserve"> kWh is </w:t>
      </w:r>
      <w:r w:rsidR="00065DD0">
        <w:t>about average</w:t>
      </w:r>
      <w:r w:rsidR="004C6B3F">
        <w:t xml:space="preserve"> compared to other regions of the country. </w:t>
      </w:r>
      <w:r>
        <w:t xml:space="preserve">We allocated these totals into </w:t>
      </w:r>
      <w:r w:rsidR="004258DA">
        <w:t>four</w:t>
      </w:r>
      <w:r w:rsidR="004C6B3F">
        <w:t xml:space="preserve"> </w:t>
      </w:r>
      <w:r>
        <w:t>residential segments and the</w:t>
      </w:r>
      <w:r w:rsidRPr="003863A4">
        <w:t xml:space="preserve"> values</w:t>
      </w:r>
      <w:r>
        <w:t xml:space="preserve"> are</w:t>
      </w:r>
      <w:r w:rsidRPr="003863A4">
        <w:t xml:space="preserve"> </w:t>
      </w:r>
      <w:r>
        <w:t xml:space="preserve">shown in </w:t>
      </w:r>
      <w:r w:rsidR="00893E3D">
        <w:fldChar w:fldCharType="begin"/>
      </w:r>
      <w:r w:rsidR="006907EA">
        <w:instrText xml:space="preserve"> REF _Ref402251332 \h </w:instrText>
      </w:r>
      <w:r w:rsidR="00893E3D">
        <w:fldChar w:fldCharType="separate"/>
      </w:r>
      <w:r w:rsidR="00B2652C" w:rsidRPr="00535EB3">
        <w:t xml:space="preserve">Table </w:t>
      </w:r>
      <w:r w:rsidR="00B2652C" w:rsidRPr="00B2652C">
        <w:rPr>
          <w:noProof/>
        </w:rPr>
        <w:t>3</w:t>
      </w:r>
      <w:r w:rsidR="00B2652C" w:rsidRPr="00535EB3">
        <w:t>-</w:t>
      </w:r>
      <w:r w:rsidR="00B2652C" w:rsidRPr="00B2652C">
        <w:rPr>
          <w:noProof/>
        </w:rPr>
        <w:t>3</w:t>
      </w:r>
      <w:r w:rsidR="00893E3D">
        <w:fldChar w:fldCharType="end"/>
      </w:r>
      <w:r>
        <w:t xml:space="preserve">. </w:t>
      </w:r>
    </w:p>
    <w:p w:rsidR="004258DA" w:rsidRDefault="00893E3D" w:rsidP="00157088">
      <w:pPr>
        <w:pStyle w:val="BodyText"/>
      </w:pPr>
      <w:r>
        <w:fldChar w:fldCharType="begin"/>
      </w:r>
      <w:r w:rsidR="004258DA">
        <w:instrText xml:space="preserve"> REF _Ref422830208 \h </w:instrText>
      </w:r>
      <w:r>
        <w:fldChar w:fldCharType="separate"/>
      </w:r>
      <w:r w:rsidR="00B2652C" w:rsidRPr="00535EB3">
        <w:t xml:space="preserve">Table </w:t>
      </w:r>
      <w:r w:rsidR="00B2652C" w:rsidRPr="00B2652C">
        <w:rPr>
          <w:noProof/>
        </w:rPr>
        <w:t>3</w:t>
      </w:r>
      <w:r w:rsidR="00B2652C" w:rsidRPr="00535EB3">
        <w:t>-</w:t>
      </w:r>
      <w:r w:rsidR="00B2652C" w:rsidRPr="00B2652C">
        <w:rPr>
          <w:noProof/>
        </w:rPr>
        <w:t>4</w:t>
      </w:r>
      <w:r>
        <w:fldChar w:fldCharType="end"/>
      </w:r>
      <w:r w:rsidR="004258DA">
        <w:t xml:space="preserve"> show</w:t>
      </w:r>
      <w:r w:rsidR="004F5D26">
        <w:t>s</w:t>
      </w:r>
      <w:r w:rsidR="004258DA">
        <w:t xml:space="preserve"> the total number of households and electricity sales in the state of Idaho. . In 2013, there were 107,449 households that used a total of 1,2</w:t>
      </w:r>
      <w:r w:rsidR="0008482C">
        <w:t>0</w:t>
      </w:r>
      <w:r w:rsidR="004258DA">
        <w:t xml:space="preserve">7 GWh with </w:t>
      </w:r>
      <w:r w:rsidR="0008482C">
        <w:t xml:space="preserve">summer </w:t>
      </w:r>
      <w:r w:rsidR="004258DA">
        <w:t>peak demand of 184 MW</w:t>
      </w:r>
      <w:r w:rsidR="0008482C">
        <w:t xml:space="preserve"> and winter peak demand of 217 MW</w:t>
      </w:r>
      <w:r w:rsidR="004258DA">
        <w:t>. Average use per customer (or household) was 11,233.</w:t>
      </w:r>
    </w:p>
    <w:p w:rsidR="00157088" w:rsidRPr="0018065C" w:rsidRDefault="006907EA" w:rsidP="008D01F0">
      <w:pPr>
        <w:pStyle w:val="FigureorTableTitle"/>
      </w:pPr>
      <w:bookmarkStart w:id="145" w:name="_Ref402251332"/>
      <w:bookmarkStart w:id="146" w:name="_Toc341181323"/>
      <w:bookmarkStart w:id="147" w:name="_Toc396755827"/>
      <w:bookmarkStart w:id="148" w:name="_Toc424192764"/>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w:instrText>
      </w:r>
      <w:r w:rsidR="00512CD6">
        <w:instrText xml:space="preserve">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3</w:t>
      </w:r>
      <w:r w:rsidR="00512CD6">
        <w:rPr>
          <w:bCs w:val="0"/>
          <w:iCs w:val="0"/>
          <w:noProof/>
        </w:rPr>
        <w:fldChar w:fldCharType="end"/>
      </w:r>
      <w:bookmarkEnd w:id="145"/>
      <w:r w:rsidR="00157088">
        <w:tab/>
        <w:t>Residential Sector Control Totals (</w:t>
      </w:r>
      <w:bookmarkEnd w:id="146"/>
      <w:r w:rsidR="00157088">
        <w:t>201</w:t>
      </w:r>
      <w:r w:rsidR="00710CD5">
        <w:t>3</w:t>
      </w:r>
      <w:r w:rsidR="00157088">
        <w:t>)</w:t>
      </w:r>
      <w:bookmarkEnd w:id="147"/>
      <w:r w:rsidR="002D3C0E">
        <w:t>, Washington</w:t>
      </w:r>
      <w:bookmarkEnd w:id="148"/>
    </w:p>
    <w:tbl>
      <w:tblPr>
        <w:tblStyle w:val="EnerNOCReportTable2"/>
        <w:tblW w:w="5000" w:type="pct"/>
        <w:tblInd w:w="0" w:type="dxa"/>
        <w:tblLayout w:type="fixed"/>
        <w:tblCellMar>
          <w:top w:w="0" w:type="dxa"/>
          <w:left w:w="0" w:type="dxa"/>
          <w:bottom w:w="0" w:type="dxa"/>
          <w:right w:w="0" w:type="dxa"/>
        </w:tblCellMar>
        <w:tblLook w:val="04A0" w:firstRow="1" w:lastRow="0" w:firstColumn="1" w:lastColumn="0" w:noHBand="0" w:noVBand="1"/>
      </w:tblPr>
      <w:tblGrid>
        <w:gridCol w:w="1287"/>
        <w:gridCol w:w="1288"/>
        <w:gridCol w:w="1287"/>
        <w:gridCol w:w="1287"/>
        <w:gridCol w:w="1287"/>
        <w:gridCol w:w="1287"/>
        <w:gridCol w:w="1287"/>
      </w:tblGrid>
      <w:tr w:rsidR="00DF7B1B" w:rsidRPr="00080609" w:rsidTr="00DF7B1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shd w:val="clear" w:color="auto" w:fill="1A1D5D"/>
            <w:noWrap/>
            <w:tcMar>
              <w:top w:w="0" w:type="nil"/>
              <w:bottom w:w="0" w:type="nil"/>
            </w:tcMar>
            <w:hideMark/>
          </w:tcPr>
          <w:p w:rsidR="00DF7B1B" w:rsidRPr="00A223C1" w:rsidRDefault="00DF7B1B" w:rsidP="006D3368">
            <w:pPr>
              <w:pStyle w:val="TableHeadings"/>
              <w:rPr>
                <w:sz w:val="20"/>
              </w:rPr>
            </w:pPr>
            <w:r w:rsidRPr="00A223C1">
              <w:rPr>
                <w:sz w:val="20"/>
              </w:rPr>
              <w:t>Segment</w:t>
            </w:r>
          </w:p>
        </w:tc>
        <w:tc>
          <w:tcPr>
            <w:tcW w:w="715" w:type="pct"/>
            <w:shd w:val="clear" w:color="auto" w:fill="1A1D5D"/>
            <w:noWrap/>
            <w:tcMar>
              <w:top w:w="0" w:type="nil"/>
              <w:bottom w:w="0" w:type="nil"/>
            </w:tcMar>
            <w:hideMark/>
          </w:tcPr>
          <w:p w:rsidR="00DF7B1B" w:rsidRPr="00A223C1" w:rsidRDefault="00DF7B1B" w:rsidP="006D3368">
            <w:pPr>
              <w:pStyle w:val="TableHeadings"/>
              <w:cnfStyle w:val="100000000000" w:firstRow="1" w:lastRow="0" w:firstColumn="0" w:lastColumn="0" w:oddVBand="0" w:evenVBand="0" w:oddHBand="0" w:evenHBand="0" w:firstRowFirstColumn="0" w:firstRowLastColumn="0" w:lastRowFirstColumn="0" w:lastRowLastColumn="0"/>
              <w:rPr>
                <w:sz w:val="20"/>
              </w:rPr>
            </w:pPr>
            <w:r w:rsidRPr="00A223C1">
              <w:rPr>
                <w:sz w:val="20"/>
              </w:rPr>
              <w:t>Number of Customers</w:t>
            </w:r>
          </w:p>
        </w:tc>
        <w:tc>
          <w:tcPr>
            <w:tcW w:w="714" w:type="pct"/>
            <w:shd w:val="clear" w:color="auto" w:fill="1A1D5D"/>
            <w:tcMar>
              <w:top w:w="0" w:type="nil"/>
              <w:bottom w:w="0" w:type="nil"/>
            </w:tcMar>
          </w:tcPr>
          <w:p w:rsidR="00DF7B1B" w:rsidRPr="00A223C1" w:rsidRDefault="00DF7B1B" w:rsidP="00DD6B7A">
            <w:pPr>
              <w:pStyle w:val="TableHeadings"/>
              <w:cnfStyle w:val="100000000000" w:firstRow="1" w:lastRow="0" w:firstColumn="0" w:lastColumn="0" w:oddVBand="0" w:evenVBand="0" w:oddHBand="0" w:evenHBand="0" w:firstRowFirstColumn="0" w:firstRowLastColumn="0" w:lastRowFirstColumn="0" w:lastRowLastColumn="0"/>
              <w:rPr>
                <w:sz w:val="20"/>
              </w:rPr>
            </w:pPr>
            <w:r w:rsidRPr="00A223C1">
              <w:rPr>
                <w:sz w:val="20"/>
              </w:rPr>
              <w:t xml:space="preserve">Electricity Use </w:t>
            </w:r>
            <w:r>
              <w:rPr>
                <w:sz w:val="20"/>
              </w:rPr>
              <w:br/>
            </w:r>
            <w:r w:rsidRPr="00A223C1">
              <w:rPr>
                <w:sz w:val="20"/>
              </w:rPr>
              <w:t>(</w:t>
            </w:r>
            <w:r>
              <w:rPr>
                <w:sz w:val="20"/>
              </w:rPr>
              <w:t>G</w:t>
            </w:r>
            <w:r w:rsidRPr="00A223C1">
              <w:rPr>
                <w:sz w:val="20"/>
              </w:rPr>
              <w:t>Wh)</w:t>
            </w:r>
          </w:p>
        </w:tc>
        <w:tc>
          <w:tcPr>
            <w:tcW w:w="714" w:type="pct"/>
            <w:shd w:val="clear" w:color="auto" w:fill="1A1D5D"/>
          </w:tcPr>
          <w:p w:rsidR="00DF7B1B" w:rsidRPr="00A223C1" w:rsidRDefault="00DF7B1B" w:rsidP="006D3368">
            <w:pPr>
              <w:pStyle w:val="TableHeadings"/>
              <w:cnfStyle w:val="100000000000" w:firstRow="1" w:lastRow="0" w:firstColumn="0" w:lastColumn="0" w:oddVBand="0" w:evenVBand="0" w:oddHBand="0" w:evenHBand="0" w:firstRowFirstColumn="0" w:firstRowLastColumn="0" w:lastRowFirstColumn="0" w:lastRowLastColumn="0"/>
            </w:pPr>
            <w:r w:rsidRPr="00752405">
              <w:rPr>
                <w:sz w:val="20"/>
              </w:rPr>
              <w:t xml:space="preserve">% of Annual </w:t>
            </w:r>
            <w:r>
              <w:rPr>
                <w:sz w:val="20"/>
              </w:rPr>
              <w:br/>
            </w:r>
            <w:r w:rsidRPr="00752405">
              <w:rPr>
                <w:sz w:val="20"/>
              </w:rPr>
              <w:t>Use</w:t>
            </w:r>
          </w:p>
        </w:tc>
        <w:tc>
          <w:tcPr>
            <w:tcW w:w="714" w:type="pct"/>
            <w:shd w:val="clear" w:color="auto" w:fill="1A1D5D"/>
            <w:tcMar>
              <w:top w:w="0" w:type="nil"/>
              <w:bottom w:w="0" w:type="nil"/>
            </w:tcMar>
            <w:hideMark/>
          </w:tcPr>
          <w:p w:rsidR="00DF7B1B" w:rsidRPr="00A223C1" w:rsidRDefault="00DF7B1B" w:rsidP="006D3368">
            <w:pPr>
              <w:pStyle w:val="TableHeadings"/>
              <w:cnfStyle w:val="100000000000" w:firstRow="1" w:lastRow="0" w:firstColumn="0" w:lastColumn="0" w:oddVBand="0" w:evenVBand="0" w:oddHBand="0" w:evenHBand="0" w:firstRowFirstColumn="0" w:firstRowLastColumn="0" w:lastRowFirstColumn="0" w:lastRowLastColumn="0"/>
              <w:rPr>
                <w:sz w:val="20"/>
              </w:rPr>
            </w:pPr>
            <w:r w:rsidRPr="00A223C1">
              <w:rPr>
                <w:sz w:val="20"/>
              </w:rPr>
              <w:t>Annual Use/</w:t>
            </w:r>
            <w:r>
              <w:rPr>
                <w:sz w:val="20"/>
              </w:rPr>
              <w:t>Customer</w:t>
            </w:r>
            <w:r w:rsidRPr="00A223C1">
              <w:rPr>
                <w:sz w:val="20"/>
              </w:rPr>
              <w:t xml:space="preserve"> (kWh/HH)</w:t>
            </w:r>
          </w:p>
        </w:tc>
        <w:tc>
          <w:tcPr>
            <w:tcW w:w="714" w:type="pct"/>
            <w:shd w:val="clear" w:color="auto" w:fill="1A1D5D"/>
          </w:tcPr>
          <w:p w:rsidR="00DF7B1B" w:rsidRPr="00A223C1" w:rsidRDefault="00DF7B1B" w:rsidP="006D3368">
            <w:pPr>
              <w:pStyle w:val="TableHeadings"/>
              <w:cnfStyle w:val="100000000000" w:firstRow="1" w:lastRow="0" w:firstColumn="0" w:lastColumn="0" w:oddVBand="0" w:evenVBand="0" w:oddHBand="0" w:evenHBand="0" w:firstRowFirstColumn="0" w:firstRowLastColumn="0" w:lastRowFirstColumn="0" w:lastRowLastColumn="0"/>
            </w:pPr>
            <w:r w:rsidRPr="0029418A">
              <w:rPr>
                <w:sz w:val="20"/>
              </w:rPr>
              <w:t xml:space="preserve">Summer Peak </w:t>
            </w:r>
            <w:r w:rsidRPr="0029418A">
              <w:rPr>
                <w:sz w:val="20"/>
              </w:rPr>
              <w:br/>
              <w:t>(MW)</w:t>
            </w:r>
          </w:p>
        </w:tc>
        <w:tc>
          <w:tcPr>
            <w:tcW w:w="714" w:type="pct"/>
            <w:shd w:val="clear" w:color="auto" w:fill="1A1D5D"/>
          </w:tcPr>
          <w:p w:rsidR="00DF7B1B" w:rsidRPr="0029418A" w:rsidRDefault="00DF7B1B" w:rsidP="00DF7B1B">
            <w:pPr>
              <w:pStyle w:val="TableHeadings"/>
              <w:cnfStyle w:val="100000000000" w:firstRow="1" w:lastRow="0" w:firstColumn="0" w:lastColumn="0" w:oddVBand="0" w:evenVBand="0" w:oddHBand="0" w:evenHBand="0" w:firstRowFirstColumn="0" w:firstRowLastColumn="0" w:lastRowFirstColumn="0" w:lastRowLastColumn="0"/>
            </w:pPr>
            <w:r>
              <w:rPr>
                <w:sz w:val="20"/>
              </w:rPr>
              <w:t>Winter</w:t>
            </w:r>
            <w:r w:rsidRPr="0029418A">
              <w:rPr>
                <w:sz w:val="20"/>
              </w:rPr>
              <w:t xml:space="preserve"> Peak </w:t>
            </w:r>
            <w:r w:rsidRPr="0029418A">
              <w:rPr>
                <w:sz w:val="20"/>
              </w:rPr>
              <w:br/>
              <w:t>(MW)</w:t>
            </w:r>
          </w:p>
        </w:tc>
      </w:tr>
      <w:tr w:rsidR="00020372" w:rsidRPr="00080609" w:rsidTr="0058441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A223C1" w:rsidRDefault="00DF7B1B" w:rsidP="00DD6B7A">
            <w:pPr>
              <w:pStyle w:val="TableText"/>
              <w:ind w:left="144"/>
              <w:jc w:val="left"/>
              <w:rPr>
                <w:sz w:val="20"/>
              </w:rPr>
            </w:pPr>
            <w:r w:rsidRPr="00A223C1">
              <w:rPr>
                <w:sz w:val="20"/>
              </w:rPr>
              <w:t>Single Family</w:t>
            </w:r>
          </w:p>
        </w:tc>
        <w:tc>
          <w:tcPr>
            <w:tcW w:w="715" w:type="pct"/>
            <w:noWrap/>
            <w:tcMar>
              <w:top w:w="0" w:type="nil"/>
              <w:bottom w:w="0" w:type="nil"/>
              <w:right w:w="0" w:type="dxa"/>
            </w:tcMar>
            <w:hideMark/>
          </w:tcPr>
          <w:p w:rsidR="00DF7B1B" w:rsidRPr="002D3C0E"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129,893</w:t>
            </w:r>
          </w:p>
        </w:tc>
        <w:tc>
          <w:tcPr>
            <w:tcW w:w="714" w:type="pct"/>
            <w:shd w:val="clear" w:color="auto" w:fill="E5ECF1"/>
            <w:tcMar>
              <w:top w:w="0" w:type="nil"/>
              <w:bottom w:w="0" w:type="nil"/>
              <w:right w:w="0" w:type="dxa"/>
            </w:tcMar>
          </w:tcPr>
          <w:p w:rsidR="00DF7B1B" w:rsidRPr="00DD6B7A"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1,783</w:t>
            </w:r>
          </w:p>
        </w:tc>
        <w:tc>
          <w:tcPr>
            <w:tcW w:w="714" w:type="pct"/>
            <w:shd w:val="clear" w:color="auto" w:fill="E5ECF1"/>
          </w:tcPr>
          <w:p w:rsidR="00DF7B1B" w:rsidRPr="004C6B3F"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70%</w:t>
            </w:r>
          </w:p>
        </w:tc>
        <w:tc>
          <w:tcPr>
            <w:tcW w:w="714" w:type="pct"/>
            <w:shd w:val="clear" w:color="auto" w:fill="E5ECF1"/>
            <w:noWrap/>
            <w:tcMar>
              <w:top w:w="0" w:type="nil"/>
              <w:bottom w:w="0" w:type="nil"/>
              <w:right w:w="0" w:type="dxa"/>
            </w:tcMar>
            <w:hideMark/>
          </w:tcPr>
          <w:p w:rsidR="00DF7B1B" w:rsidRPr="00DD6B7A"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13,726</w:t>
            </w:r>
          </w:p>
        </w:tc>
        <w:tc>
          <w:tcPr>
            <w:tcW w:w="714" w:type="pct"/>
            <w:shd w:val="clear" w:color="auto" w:fill="FDF3C9"/>
          </w:tcPr>
          <w:p w:rsidR="00DF7B1B" w:rsidRPr="00752405"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296</w:t>
            </w:r>
          </w:p>
        </w:tc>
        <w:tc>
          <w:tcPr>
            <w:tcW w:w="714" w:type="pct"/>
            <w:shd w:val="clear" w:color="auto" w:fill="FFCC99"/>
          </w:tcPr>
          <w:p w:rsidR="00DF7B1B" w:rsidRPr="00DD6B7A" w:rsidRDefault="000251CE"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Cs w:val="20"/>
              </w:rPr>
            </w:pPr>
            <w:r>
              <w:rPr>
                <w:rFonts w:ascii="Calibri" w:eastAsia="Arial" w:hAnsi="Calibri" w:cs="Calibri"/>
                <w:color w:val="000000" w:themeColor="text1"/>
                <w:kern w:val="24"/>
                <w:szCs w:val="20"/>
              </w:rPr>
              <w:t>304</w:t>
            </w:r>
          </w:p>
        </w:tc>
      </w:tr>
      <w:tr w:rsidR="00020372" w:rsidRPr="00080609" w:rsidTr="0058441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A223C1" w:rsidRDefault="00DF7B1B" w:rsidP="00DD6B7A">
            <w:pPr>
              <w:pStyle w:val="TableText"/>
              <w:ind w:left="144"/>
              <w:jc w:val="left"/>
              <w:rPr>
                <w:sz w:val="20"/>
              </w:rPr>
            </w:pPr>
            <w:r w:rsidRPr="00A223C1">
              <w:rPr>
                <w:sz w:val="20"/>
              </w:rPr>
              <w:t>Multi</w:t>
            </w:r>
            <w:r>
              <w:rPr>
                <w:sz w:val="20"/>
              </w:rPr>
              <w:t>f</w:t>
            </w:r>
            <w:r w:rsidRPr="00A223C1">
              <w:rPr>
                <w:sz w:val="20"/>
              </w:rPr>
              <w:t>amily</w:t>
            </w:r>
          </w:p>
        </w:tc>
        <w:tc>
          <w:tcPr>
            <w:tcW w:w="715" w:type="pct"/>
            <w:noWrap/>
            <w:tcMar>
              <w:top w:w="0" w:type="nil"/>
              <w:bottom w:w="0" w:type="nil"/>
              <w:right w:w="0" w:type="dxa"/>
            </w:tcMar>
            <w:hideMark/>
          </w:tcPr>
          <w:p w:rsidR="00DF7B1B" w:rsidRPr="002D3C0E"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11,964</w:t>
            </w:r>
          </w:p>
        </w:tc>
        <w:tc>
          <w:tcPr>
            <w:tcW w:w="714" w:type="pct"/>
            <w:shd w:val="clear" w:color="auto" w:fill="E5ECF1"/>
            <w:tcMar>
              <w:top w:w="0" w:type="nil"/>
              <w:bottom w:w="0" w:type="nil"/>
              <w:right w:w="0" w:type="dxa"/>
            </w:tcMar>
          </w:tcPr>
          <w:p w:rsidR="00DF7B1B" w:rsidRPr="00DD6B7A"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99</w:t>
            </w:r>
          </w:p>
        </w:tc>
        <w:tc>
          <w:tcPr>
            <w:tcW w:w="714" w:type="pct"/>
            <w:shd w:val="clear" w:color="auto" w:fill="E5ECF1"/>
          </w:tcPr>
          <w:p w:rsidR="00DF7B1B" w:rsidRPr="004C6B3F"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4%</w:t>
            </w:r>
          </w:p>
        </w:tc>
        <w:tc>
          <w:tcPr>
            <w:tcW w:w="714" w:type="pct"/>
            <w:shd w:val="clear" w:color="auto" w:fill="E5ECF1"/>
            <w:noWrap/>
            <w:tcMar>
              <w:top w:w="0" w:type="nil"/>
              <w:bottom w:w="0" w:type="nil"/>
              <w:right w:w="0" w:type="dxa"/>
            </w:tcMar>
            <w:hideMark/>
          </w:tcPr>
          <w:p w:rsidR="00DF7B1B" w:rsidRPr="00DD6B7A"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8,236</w:t>
            </w:r>
          </w:p>
        </w:tc>
        <w:tc>
          <w:tcPr>
            <w:tcW w:w="714" w:type="pct"/>
            <w:shd w:val="clear" w:color="auto" w:fill="FDF3C9"/>
          </w:tcPr>
          <w:p w:rsidR="00DF7B1B" w:rsidRPr="00752405"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13</w:t>
            </w:r>
          </w:p>
        </w:tc>
        <w:tc>
          <w:tcPr>
            <w:tcW w:w="714" w:type="pct"/>
            <w:shd w:val="clear" w:color="auto" w:fill="FFCC99"/>
          </w:tcPr>
          <w:p w:rsidR="00DF7B1B" w:rsidRPr="00DD6B7A" w:rsidRDefault="000251CE"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Cs w:val="20"/>
              </w:rPr>
            </w:pPr>
            <w:r>
              <w:rPr>
                <w:rFonts w:ascii="Calibri" w:eastAsia="Arial" w:hAnsi="Calibri" w:cs="Calibri"/>
                <w:color w:val="000000" w:themeColor="text1"/>
                <w:kern w:val="24"/>
                <w:szCs w:val="20"/>
              </w:rPr>
              <w:t>22</w:t>
            </w:r>
          </w:p>
        </w:tc>
      </w:tr>
      <w:tr w:rsidR="00DF7B1B" w:rsidRPr="00065DD0" w:rsidTr="001941C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tcPr>
          <w:p w:rsidR="00DF7B1B" w:rsidRPr="00065DD0" w:rsidRDefault="00DF7B1B" w:rsidP="00DD6B7A">
            <w:pPr>
              <w:pStyle w:val="TableText"/>
              <w:ind w:left="144"/>
              <w:jc w:val="left"/>
              <w:rPr>
                <w:sz w:val="20"/>
              </w:rPr>
            </w:pPr>
            <w:r w:rsidRPr="00065DD0">
              <w:rPr>
                <w:sz w:val="20"/>
              </w:rPr>
              <w:t>Mobile Home</w:t>
            </w:r>
          </w:p>
        </w:tc>
        <w:tc>
          <w:tcPr>
            <w:tcW w:w="715" w:type="pct"/>
            <w:noWrap/>
            <w:tcMar>
              <w:top w:w="0" w:type="nil"/>
              <w:bottom w:w="0" w:type="nil"/>
              <w:right w:w="0" w:type="dxa"/>
            </w:tcMar>
          </w:tcPr>
          <w:p w:rsidR="00DF7B1B" w:rsidRPr="002D3C0E"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7,691</w:t>
            </w:r>
          </w:p>
        </w:tc>
        <w:tc>
          <w:tcPr>
            <w:tcW w:w="714" w:type="pct"/>
            <w:shd w:val="clear" w:color="auto" w:fill="E5ECF1"/>
            <w:tcMar>
              <w:top w:w="0" w:type="nil"/>
              <w:bottom w:w="0" w:type="nil"/>
              <w:right w:w="0" w:type="dxa"/>
            </w:tcMar>
          </w:tcPr>
          <w:p w:rsidR="00DF7B1B" w:rsidRPr="00DD6B7A"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95</w:t>
            </w:r>
          </w:p>
        </w:tc>
        <w:tc>
          <w:tcPr>
            <w:tcW w:w="714" w:type="pct"/>
            <w:shd w:val="clear" w:color="auto" w:fill="E5ECF1"/>
          </w:tcPr>
          <w:p w:rsidR="00DF7B1B" w:rsidRPr="00065DD0"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4%</w:t>
            </w:r>
          </w:p>
        </w:tc>
        <w:tc>
          <w:tcPr>
            <w:tcW w:w="714" w:type="pct"/>
            <w:shd w:val="clear" w:color="auto" w:fill="E5ECF1"/>
            <w:noWrap/>
            <w:tcMar>
              <w:top w:w="0" w:type="nil"/>
              <w:bottom w:w="0" w:type="nil"/>
              <w:right w:w="0" w:type="dxa"/>
            </w:tcMar>
          </w:tcPr>
          <w:p w:rsidR="00DF7B1B" w:rsidRPr="00DD6B7A"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12,354</w:t>
            </w:r>
          </w:p>
        </w:tc>
        <w:tc>
          <w:tcPr>
            <w:tcW w:w="714" w:type="pct"/>
            <w:shd w:val="clear" w:color="auto" w:fill="FDF3C9"/>
          </w:tcPr>
          <w:p w:rsidR="00DF7B1B" w:rsidRPr="00065DD0"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13</w:t>
            </w:r>
          </w:p>
        </w:tc>
        <w:tc>
          <w:tcPr>
            <w:tcW w:w="714" w:type="pct"/>
            <w:shd w:val="clear" w:color="auto" w:fill="FFCC99"/>
          </w:tcPr>
          <w:p w:rsidR="00DF7B1B" w:rsidRPr="00DD6B7A" w:rsidRDefault="000251CE"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Cs w:val="20"/>
              </w:rPr>
            </w:pPr>
            <w:r>
              <w:rPr>
                <w:rFonts w:ascii="Calibri" w:eastAsia="Arial" w:hAnsi="Calibri" w:cs="Calibri"/>
                <w:color w:val="000000" w:themeColor="text1"/>
                <w:kern w:val="24"/>
                <w:szCs w:val="20"/>
              </w:rPr>
              <w:t>16</w:t>
            </w:r>
          </w:p>
        </w:tc>
      </w:tr>
      <w:tr w:rsidR="00DF7B1B" w:rsidRPr="00080609" w:rsidTr="001941C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tcPr>
          <w:p w:rsidR="00DF7B1B" w:rsidRPr="00DD6B7A" w:rsidRDefault="00DF7B1B" w:rsidP="00DD6B7A">
            <w:pPr>
              <w:pStyle w:val="TableText"/>
              <w:ind w:left="144"/>
              <w:jc w:val="left"/>
            </w:pPr>
            <w:r w:rsidRPr="00DD6B7A">
              <w:t>Low Income</w:t>
            </w:r>
          </w:p>
        </w:tc>
        <w:tc>
          <w:tcPr>
            <w:tcW w:w="715" w:type="pct"/>
            <w:noWrap/>
            <w:tcMar>
              <w:top w:w="0" w:type="nil"/>
              <w:bottom w:w="0" w:type="nil"/>
              <w:right w:w="0" w:type="dxa"/>
            </w:tcMar>
          </w:tcPr>
          <w:p w:rsidR="00DF7B1B" w:rsidRPr="00DD6B7A"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64,092</w:t>
            </w:r>
          </w:p>
        </w:tc>
        <w:tc>
          <w:tcPr>
            <w:tcW w:w="714" w:type="pct"/>
            <w:shd w:val="clear" w:color="auto" w:fill="E5ECF1"/>
            <w:tcMar>
              <w:top w:w="0" w:type="nil"/>
              <w:bottom w:w="0" w:type="nil"/>
              <w:right w:w="0" w:type="dxa"/>
            </w:tcMar>
          </w:tcPr>
          <w:p w:rsidR="00DF7B1B" w:rsidRPr="00DD6B7A"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570</w:t>
            </w:r>
          </w:p>
        </w:tc>
        <w:tc>
          <w:tcPr>
            <w:tcW w:w="714" w:type="pct"/>
            <w:shd w:val="clear" w:color="auto" w:fill="E5ECF1"/>
          </w:tcPr>
          <w:p w:rsidR="00DF7B1B" w:rsidRPr="00DD6B7A"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22%</w:t>
            </w:r>
          </w:p>
        </w:tc>
        <w:tc>
          <w:tcPr>
            <w:tcW w:w="714" w:type="pct"/>
            <w:shd w:val="clear" w:color="auto" w:fill="E5ECF1"/>
            <w:noWrap/>
            <w:tcMar>
              <w:top w:w="0" w:type="nil"/>
              <w:bottom w:w="0" w:type="nil"/>
              <w:right w:w="0" w:type="dxa"/>
            </w:tcMar>
          </w:tcPr>
          <w:p w:rsidR="00DF7B1B" w:rsidRPr="00DD6B7A"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8,892</w:t>
            </w:r>
          </w:p>
        </w:tc>
        <w:tc>
          <w:tcPr>
            <w:tcW w:w="714" w:type="pct"/>
            <w:shd w:val="clear" w:color="auto" w:fill="FDF3C9"/>
          </w:tcPr>
          <w:p w:rsidR="00DF7B1B" w:rsidRPr="00DD6B7A" w:rsidRDefault="00DF7B1B"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DD6B7A">
              <w:rPr>
                <w:rFonts w:ascii="Calibri" w:eastAsia="Arial" w:hAnsi="Calibri" w:cs="Calibri"/>
                <w:color w:val="000000" w:themeColor="text1"/>
                <w:kern w:val="24"/>
                <w:sz w:val="20"/>
                <w:szCs w:val="20"/>
              </w:rPr>
              <w:t>82</w:t>
            </w:r>
          </w:p>
        </w:tc>
        <w:tc>
          <w:tcPr>
            <w:tcW w:w="714" w:type="pct"/>
            <w:shd w:val="clear" w:color="auto" w:fill="FFCC99"/>
          </w:tcPr>
          <w:p w:rsidR="00DF7B1B" w:rsidRPr="00DD6B7A" w:rsidRDefault="000251CE" w:rsidP="00DD6B7A">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Cs w:val="20"/>
              </w:rPr>
            </w:pPr>
            <w:r>
              <w:rPr>
                <w:rFonts w:ascii="Calibri" w:eastAsia="Arial" w:hAnsi="Calibri" w:cs="Calibri"/>
                <w:color w:val="000000" w:themeColor="text1"/>
                <w:kern w:val="24"/>
                <w:szCs w:val="20"/>
              </w:rPr>
              <w:t>96</w:t>
            </w:r>
          </w:p>
        </w:tc>
      </w:tr>
      <w:tr w:rsidR="00020372" w:rsidRPr="00DD6B7A" w:rsidTr="0058441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A223C1" w:rsidRDefault="00DF7B1B" w:rsidP="00DD6B7A">
            <w:pPr>
              <w:pStyle w:val="TableText"/>
              <w:ind w:left="144"/>
              <w:jc w:val="left"/>
              <w:rPr>
                <w:b/>
                <w:sz w:val="20"/>
              </w:rPr>
            </w:pPr>
            <w:r w:rsidRPr="00A223C1">
              <w:rPr>
                <w:b/>
                <w:sz w:val="20"/>
              </w:rPr>
              <w:t>Total</w:t>
            </w:r>
          </w:p>
        </w:tc>
        <w:tc>
          <w:tcPr>
            <w:tcW w:w="715" w:type="pct"/>
            <w:noWrap/>
            <w:tcMar>
              <w:top w:w="0" w:type="nil"/>
              <w:bottom w:w="0" w:type="nil"/>
              <w:right w:w="0" w:type="dxa"/>
            </w:tcMar>
            <w:hideMark/>
          </w:tcPr>
          <w:p w:rsidR="00DF7B1B" w:rsidRPr="00DD6B7A"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DD6B7A">
              <w:rPr>
                <w:rFonts w:ascii="Calibri" w:eastAsia="Arial" w:hAnsi="Calibri" w:cs="Calibri"/>
                <w:b/>
                <w:color w:val="000000" w:themeColor="text1"/>
                <w:kern w:val="24"/>
                <w:sz w:val="20"/>
                <w:szCs w:val="20"/>
              </w:rPr>
              <w:t>213,640</w:t>
            </w:r>
          </w:p>
        </w:tc>
        <w:tc>
          <w:tcPr>
            <w:tcW w:w="714" w:type="pct"/>
            <w:shd w:val="clear" w:color="auto" w:fill="E5ECF1"/>
            <w:tcMar>
              <w:top w:w="0" w:type="nil"/>
              <w:bottom w:w="0" w:type="nil"/>
              <w:right w:w="0" w:type="dxa"/>
            </w:tcMar>
          </w:tcPr>
          <w:p w:rsidR="00DF7B1B" w:rsidRPr="00DD6B7A"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DD6B7A">
              <w:rPr>
                <w:rFonts w:ascii="Calibri" w:eastAsia="Arial" w:hAnsi="Calibri" w:cs="Calibri"/>
                <w:b/>
                <w:color w:val="000000" w:themeColor="text1"/>
                <w:kern w:val="24"/>
                <w:sz w:val="20"/>
                <w:szCs w:val="20"/>
              </w:rPr>
              <w:t>2,546</w:t>
            </w:r>
          </w:p>
        </w:tc>
        <w:tc>
          <w:tcPr>
            <w:tcW w:w="714" w:type="pct"/>
            <w:shd w:val="clear" w:color="auto" w:fill="E5ECF1"/>
          </w:tcPr>
          <w:p w:rsidR="00DF7B1B" w:rsidRPr="00DD6B7A"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DD6B7A">
              <w:rPr>
                <w:rFonts w:ascii="Calibri" w:eastAsia="Arial" w:hAnsi="Calibri" w:cs="Calibri"/>
                <w:b/>
                <w:color w:val="000000" w:themeColor="text1"/>
                <w:kern w:val="24"/>
                <w:sz w:val="20"/>
                <w:szCs w:val="20"/>
              </w:rPr>
              <w:t>100%</w:t>
            </w:r>
          </w:p>
        </w:tc>
        <w:tc>
          <w:tcPr>
            <w:tcW w:w="714" w:type="pct"/>
            <w:shd w:val="clear" w:color="auto" w:fill="E5ECF1"/>
            <w:noWrap/>
            <w:tcMar>
              <w:top w:w="0" w:type="nil"/>
              <w:bottom w:w="0" w:type="nil"/>
              <w:right w:w="0" w:type="dxa"/>
            </w:tcMar>
            <w:hideMark/>
          </w:tcPr>
          <w:p w:rsidR="00DF7B1B" w:rsidRPr="00DD6B7A"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DD6B7A">
              <w:rPr>
                <w:rFonts w:ascii="Calibri" w:eastAsia="Arial" w:hAnsi="Calibri" w:cs="Calibri"/>
                <w:b/>
                <w:color w:val="000000" w:themeColor="text1"/>
                <w:kern w:val="24"/>
                <w:sz w:val="20"/>
                <w:szCs w:val="20"/>
              </w:rPr>
              <w:t>11,919</w:t>
            </w:r>
          </w:p>
        </w:tc>
        <w:tc>
          <w:tcPr>
            <w:tcW w:w="714" w:type="pct"/>
            <w:shd w:val="clear" w:color="auto" w:fill="FDF3C9"/>
          </w:tcPr>
          <w:p w:rsidR="00DF7B1B" w:rsidRPr="00DD6B7A" w:rsidRDefault="00DF7B1B"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DD6B7A">
              <w:rPr>
                <w:rFonts w:ascii="Calibri" w:eastAsia="Arial" w:hAnsi="Calibri" w:cs="Calibri"/>
                <w:b/>
                <w:color w:val="000000" w:themeColor="text1"/>
                <w:kern w:val="24"/>
                <w:sz w:val="20"/>
                <w:szCs w:val="20"/>
              </w:rPr>
              <w:t>404</w:t>
            </w:r>
          </w:p>
        </w:tc>
        <w:tc>
          <w:tcPr>
            <w:tcW w:w="714" w:type="pct"/>
            <w:shd w:val="clear" w:color="auto" w:fill="FFCC99"/>
          </w:tcPr>
          <w:p w:rsidR="00DF7B1B" w:rsidRPr="00DD6B7A" w:rsidRDefault="000251CE" w:rsidP="00DD6B7A">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Cs w:val="20"/>
              </w:rPr>
            </w:pPr>
            <w:r>
              <w:rPr>
                <w:rFonts w:ascii="Calibri" w:eastAsia="Arial" w:hAnsi="Calibri" w:cs="Calibri"/>
                <w:b/>
                <w:color w:val="000000" w:themeColor="text1"/>
                <w:kern w:val="24"/>
                <w:szCs w:val="20"/>
              </w:rPr>
              <w:t>438</w:t>
            </w:r>
          </w:p>
        </w:tc>
      </w:tr>
    </w:tbl>
    <w:p w:rsidR="00DD6B7A" w:rsidRPr="0018065C" w:rsidRDefault="00DD6B7A" w:rsidP="00DD6B7A">
      <w:pPr>
        <w:pStyle w:val="FigureorTableTitle"/>
      </w:pPr>
      <w:bookmarkStart w:id="149" w:name="_Ref422830208"/>
      <w:bookmarkStart w:id="150" w:name="_Toc424192765"/>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4</w:t>
      </w:r>
      <w:r w:rsidR="00512CD6">
        <w:rPr>
          <w:bCs w:val="0"/>
          <w:iCs w:val="0"/>
          <w:noProof/>
        </w:rPr>
        <w:fldChar w:fldCharType="end"/>
      </w:r>
      <w:bookmarkEnd w:id="149"/>
      <w:r>
        <w:tab/>
        <w:t>Residential Sector Control Totals (2013), Idaho</w:t>
      </w:r>
      <w:bookmarkEnd w:id="150"/>
    </w:p>
    <w:tbl>
      <w:tblPr>
        <w:tblStyle w:val="EnerNOCReportTable2"/>
        <w:tblW w:w="5000" w:type="pct"/>
        <w:tblInd w:w="0" w:type="dxa"/>
        <w:tblLayout w:type="fixed"/>
        <w:tblCellMar>
          <w:top w:w="0" w:type="dxa"/>
          <w:left w:w="0" w:type="dxa"/>
          <w:bottom w:w="0" w:type="dxa"/>
          <w:right w:w="0" w:type="dxa"/>
        </w:tblCellMar>
        <w:tblLook w:val="04A0" w:firstRow="1" w:lastRow="0" w:firstColumn="1" w:lastColumn="0" w:noHBand="0" w:noVBand="1"/>
      </w:tblPr>
      <w:tblGrid>
        <w:gridCol w:w="1287"/>
        <w:gridCol w:w="1288"/>
        <w:gridCol w:w="1287"/>
        <w:gridCol w:w="1287"/>
        <w:gridCol w:w="1287"/>
        <w:gridCol w:w="1287"/>
        <w:gridCol w:w="1287"/>
      </w:tblGrid>
      <w:tr w:rsidR="00DF7B1B" w:rsidRPr="00080609" w:rsidTr="00DF7B1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shd w:val="clear" w:color="auto" w:fill="1A1D5D"/>
            <w:noWrap/>
            <w:tcMar>
              <w:top w:w="0" w:type="nil"/>
              <w:bottom w:w="0" w:type="nil"/>
            </w:tcMar>
            <w:hideMark/>
          </w:tcPr>
          <w:p w:rsidR="00DF7B1B" w:rsidRPr="00A223C1" w:rsidRDefault="00DF7B1B" w:rsidP="00732BAB">
            <w:pPr>
              <w:pStyle w:val="TableHeadings"/>
              <w:rPr>
                <w:sz w:val="20"/>
              </w:rPr>
            </w:pPr>
            <w:r w:rsidRPr="00A223C1">
              <w:rPr>
                <w:sz w:val="20"/>
              </w:rPr>
              <w:t>Segment</w:t>
            </w:r>
          </w:p>
        </w:tc>
        <w:tc>
          <w:tcPr>
            <w:tcW w:w="715" w:type="pct"/>
            <w:shd w:val="clear" w:color="auto" w:fill="1A1D5D"/>
            <w:noWrap/>
            <w:tcMar>
              <w:top w:w="0" w:type="nil"/>
              <w:bottom w:w="0" w:type="nil"/>
            </w:tcMar>
            <w:hideMark/>
          </w:tcPr>
          <w:p w:rsidR="00DF7B1B" w:rsidRPr="00A223C1" w:rsidRDefault="00DF7B1B" w:rsidP="00732BAB">
            <w:pPr>
              <w:pStyle w:val="TableHeadings"/>
              <w:cnfStyle w:val="100000000000" w:firstRow="1" w:lastRow="0" w:firstColumn="0" w:lastColumn="0" w:oddVBand="0" w:evenVBand="0" w:oddHBand="0" w:evenHBand="0" w:firstRowFirstColumn="0" w:firstRowLastColumn="0" w:lastRowFirstColumn="0" w:lastRowLastColumn="0"/>
              <w:rPr>
                <w:sz w:val="20"/>
              </w:rPr>
            </w:pPr>
            <w:r w:rsidRPr="00A223C1">
              <w:rPr>
                <w:sz w:val="20"/>
              </w:rPr>
              <w:t>Number of Customers</w:t>
            </w:r>
          </w:p>
        </w:tc>
        <w:tc>
          <w:tcPr>
            <w:tcW w:w="714" w:type="pct"/>
            <w:shd w:val="clear" w:color="auto" w:fill="1A1D5D"/>
            <w:tcMar>
              <w:top w:w="0" w:type="nil"/>
              <w:bottom w:w="0" w:type="nil"/>
            </w:tcMar>
          </w:tcPr>
          <w:p w:rsidR="00DF7B1B" w:rsidRPr="00A223C1" w:rsidRDefault="00DF7B1B" w:rsidP="00732BAB">
            <w:pPr>
              <w:pStyle w:val="TableHeadings"/>
              <w:cnfStyle w:val="100000000000" w:firstRow="1" w:lastRow="0" w:firstColumn="0" w:lastColumn="0" w:oddVBand="0" w:evenVBand="0" w:oddHBand="0" w:evenHBand="0" w:firstRowFirstColumn="0" w:firstRowLastColumn="0" w:lastRowFirstColumn="0" w:lastRowLastColumn="0"/>
              <w:rPr>
                <w:sz w:val="20"/>
              </w:rPr>
            </w:pPr>
            <w:r w:rsidRPr="00A223C1">
              <w:rPr>
                <w:sz w:val="20"/>
              </w:rPr>
              <w:t xml:space="preserve">Electricity Use </w:t>
            </w:r>
            <w:r>
              <w:rPr>
                <w:sz w:val="20"/>
              </w:rPr>
              <w:br/>
            </w:r>
            <w:r w:rsidRPr="00A223C1">
              <w:rPr>
                <w:sz w:val="20"/>
              </w:rPr>
              <w:t>(</w:t>
            </w:r>
            <w:r>
              <w:rPr>
                <w:sz w:val="20"/>
              </w:rPr>
              <w:t>G</w:t>
            </w:r>
            <w:r w:rsidRPr="00A223C1">
              <w:rPr>
                <w:sz w:val="20"/>
              </w:rPr>
              <w:t>Wh)</w:t>
            </w:r>
          </w:p>
        </w:tc>
        <w:tc>
          <w:tcPr>
            <w:tcW w:w="714" w:type="pct"/>
            <w:shd w:val="clear" w:color="auto" w:fill="1A1D5D"/>
          </w:tcPr>
          <w:p w:rsidR="00DF7B1B" w:rsidRPr="00A223C1" w:rsidRDefault="00DF7B1B" w:rsidP="00732BAB">
            <w:pPr>
              <w:pStyle w:val="TableHeadings"/>
              <w:cnfStyle w:val="100000000000" w:firstRow="1" w:lastRow="0" w:firstColumn="0" w:lastColumn="0" w:oddVBand="0" w:evenVBand="0" w:oddHBand="0" w:evenHBand="0" w:firstRowFirstColumn="0" w:firstRowLastColumn="0" w:lastRowFirstColumn="0" w:lastRowLastColumn="0"/>
            </w:pPr>
            <w:r w:rsidRPr="00752405">
              <w:rPr>
                <w:sz w:val="20"/>
              </w:rPr>
              <w:t xml:space="preserve">% of Annual </w:t>
            </w:r>
            <w:r>
              <w:rPr>
                <w:sz w:val="20"/>
              </w:rPr>
              <w:br/>
            </w:r>
            <w:r w:rsidRPr="00752405">
              <w:rPr>
                <w:sz w:val="20"/>
              </w:rPr>
              <w:t>Use</w:t>
            </w:r>
          </w:p>
        </w:tc>
        <w:tc>
          <w:tcPr>
            <w:tcW w:w="714" w:type="pct"/>
            <w:shd w:val="clear" w:color="auto" w:fill="1A1D5D"/>
            <w:tcMar>
              <w:top w:w="0" w:type="nil"/>
              <w:bottom w:w="0" w:type="nil"/>
            </w:tcMar>
            <w:hideMark/>
          </w:tcPr>
          <w:p w:rsidR="00DF7B1B" w:rsidRPr="00A223C1" w:rsidRDefault="00DF7B1B" w:rsidP="00732BAB">
            <w:pPr>
              <w:pStyle w:val="TableHeadings"/>
              <w:cnfStyle w:val="100000000000" w:firstRow="1" w:lastRow="0" w:firstColumn="0" w:lastColumn="0" w:oddVBand="0" w:evenVBand="0" w:oddHBand="0" w:evenHBand="0" w:firstRowFirstColumn="0" w:firstRowLastColumn="0" w:lastRowFirstColumn="0" w:lastRowLastColumn="0"/>
              <w:rPr>
                <w:sz w:val="20"/>
              </w:rPr>
            </w:pPr>
            <w:r w:rsidRPr="00A223C1">
              <w:rPr>
                <w:sz w:val="20"/>
              </w:rPr>
              <w:t>Annual Use/</w:t>
            </w:r>
            <w:r>
              <w:rPr>
                <w:sz w:val="20"/>
              </w:rPr>
              <w:t>Customer</w:t>
            </w:r>
            <w:r w:rsidRPr="00A223C1">
              <w:rPr>
                <w:sz w:val="20"/>
              </w:rPr>
              <w:t xml:space="preserve"> (kWh/HH)</w:t>
            </w:r>
          </w:p>
        </w:tc>
        <w:tc>
          <w:tcPr>
            <w:tcW w:w="714" w:type="pct"/>
            <w:shd w:val="clear" w:color="auto" w:fill="1A1D5D"/>
          </w:tcPr>
          <w:p w:rsidR="00DF7B1B" w:rsidRPr="00A223C1" w:rsidRDefault="00DF7B1B" w:rsidP="00732BAB">
            <w:pPr>
              <w:pStyle w:val="TableHeadings"/>
              <w:cnfStyle w:val="100000000000" w:firstRow="1" w:lastRow="0" w:firstColumn="0" w:lastColumn="0" w:oddVBand="0" w:evenVBand="0" w:oddHBand="0" w:evenHBand="0" w:firstRowFirstColumn="0" w:firstRowLastColumn="0" w:lastRowFirstColumn="0" w:lastRowLastColumn="0"/>
            </w:pPr>
            <w:r w:rsidRPr="0029418A">
              <w:rPr>
                <w:sz w:val="20"/>
              </w:rPr>
              <w:t xml:space="preserve">Summer Peak </w:t>
            </w:r>
            <w:r w:rsidRPr="0029418A">
              <w:rPr>
                <w:sz w:val="20"/>
              </w:rPr>
              <w:br/>
              <w:t>(MW)</w:t>
            </w:r>
          </w:p>
        </w:tc>
        <w:tc>
          <w:tcPr>
            <w:tcW w:w="714" w:type="pct"/>
            <w:shd w:val="clear" w:color="auto" w:fill="1A1D5D"/>
          </w:tcPr>
          <w:p w:rsidR="00DF7B1B" w:rsidRPr="0029418A" w:rsidRDefault="00DF7B1B" w:rsidP="00DF7B1B">
            <w:pPr>
              <w:pStyle w:val="TableHeadings"/>
              <w:cnfStyle w:val="100000000000" w:firstRow="1" w:lastRow="0" w:firstColumn="0" w:lastColumn="0" w:oddVBand="0" w:evenVBand="0" w:oddHBand="0" w:evenHBand="0" w:firstRowFirstColumn="0" w:firstRowLastColumn="0" w:lastRowFirstColumn="0" w:lastRowLastColumn="0"/>
            </w:pPr>
            <w:r>
              <w:rPr>
                <w:sz w:val="20"/>
              </w:rPr>
              <w:t>Winter</w:t>
            </w:r>
            <w:r w:rsidRPr="0029418A">
              <w:rPr>
                <w:sz w:val="20"/>
              </w:rPr>
              <w:t xml:space="preserve"> Peak </w:t>
            </w:r>
            <w:r w:rsidRPr="0029418A">
              <w:rPr>
                <w:sz w:val="20"/>
              </w:rPr>
              <w:br/>
              <w:t>(MW</w:t>
            </w:r>
          </w:p>
        </w:tc>
      </w:tr>
      <w:tr w:rsidR="00020372" w:rsidRPr="00080609" w:rsidTr="0058441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A223C1" w:rsidRDefault="00DF7B1B" w:rsidP="00DD6B7A">
            <w:pPr>
              <w:pStyle w:val="TableText"/>
              <w:ind w:left="144"/>
              <w:jc w:val="left"/>
              <w:rPr>
                <w:sz w:val="20"/>
              </w:rPr>
            </w:pPr>
            <w:r w:rsidRPr="00A223C1">
              <w:rPr>
                <w:sz w:val="20"/>
              </w:rPr>
              <w:t>Single Family</w:t>
            </w:r>
          </w:p>
        </w:tc>
        <w:tc>
          <w:tcPr>
            <w:tcW w:w="715" w:type="pct"/>
            <w:noWrap/>
            <w:tcMar>
              <w:top w:w="0" w:type="nil"/>
              <w:bottom w:w="0" w:type="nil"/>
              <w:right w:w="0" w:type="dxa"/>
            </w:tcMar>
            <w:hideMark/>
          </w:tcPr>
          <w:p w:rsidR="00DF7B1B" w:rsidRPr="002D3C0E"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65,329</w:t>
            </w:r>
          </w:p>
        </w:tc>
        <w:tc>
          <w:tcPr>
            <w:tcW w:w="714" w:type="pct"/>
            <w:shd w:val="clear" w:color="auto" w:fill="E5ECF1"/>
            <w:tcMar>
              <w:top w:w="0" w:type="nil"/>
              <w:bottom w:w="0" w:type="nil"/>
              <w:right w:w="0" w:type="dxa"/>
            </w:tcMar>
          </w:tcPr>
          <w:p w:rsidR="00DF7B1B" w:rsidRPr="00DD6B7A"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843</w:t>
            </w:r>
          </w:p>
        </w:tc>
        <w:tc>
          <w:tcPr>
            <w:tcW w:w="714" w:type="pct"/>
            <w:shd w:val="clear" w:color="auto" w:fill="E5ECF1"/>
          </w:tcPr>
          <w:p w:rsidR="00DF7B1B" w:rsidRPr="004C6B3F"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70%</w:t>
            </w:r>
          </w:p>
        </w:tc>
        <w:tc>
          <w:tcPr>
            <w:tcW w:w="714" w:type="pct"/>
            <w:shd w:val="clear" w:color="auto" w:fill="E5ECF1"/>
            <w:noWrap/>
            <w:tcMar>
              <w:top w:w="0" w:type="nil"/>
              <w:bottom w:w="0" w:type="nil"/>
              <w:right w:w="0" w:type="dxa"/>
            </w:tcMar>
            <w:hideMark/>
          </w:tcPr>
          <w:p w:rsidR="00DF7B1B" w:rsidRPr="00DD6B7A"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12,902</w:t>
            </w:r>
          </w:p>
        </w:tc>
        <w:tc>
          <w:tcPr>
            <w:tcW w:w="714" w:type="pct"/>
            <w:shd w:val="clear" w:color="auto" w:fill="FDF3C9"/>
          </w:tcPr>
          <w:p w:rsidR="00DF7B1B" w:rsidRPr="00752405"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133</w:t>
            </w:r>
          </w:p>
        </w:tc>
        <w:tc>
          <w:tcPr>
            <w:tcW w:w="714" w:type="pct"/>
            <w:shd w:val="clear" w:color="auto" w:fill="FFCC99"/>
          </w:tcPr>
          <w:p w:rsidR="00DF7B1B" w:rsidRPr="00667282" w:rsidRDefault="000251CE"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Cs w:val="20"/>
              </w:rPr>
            </w:pPr>
            <w:r>
              <w:rPr>
                <w:rFonts w:ascii="Calibri" w:eastAsia="Arial" w:hAnsi="Calibri" w:cs="Calibri"/>
                <w:color w:val="000000" w:themeColor="text1"/>
                <w:kern w:val="24"/>
                <w:szCs w:val="20"/>
              </w:rPr>
              <w:t>153</w:t>
            </w:r>
          </w:p>
        </w:tc>
      </w:tr>
      <w:tr w:rsidR="00020372" w:rsidRPr="00080609" w:rsidTr="0058441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A223C1" w:rsidRDefault="00DF7B1B" w:rsidP="00DD6B7A">
            <w:pPr>
              <w:pStyle w:val="TableText"/>
              <w:ind w:left="144"/>
              <w:jc w:val="left"/>
              <w:rPr>
                <w:sz w:val="20"/>
              </w:rPr>
            </w:pPr>
            <w:r w:rsidRPr="00A223C1">
              <w:rPr>
                <w:sz w:val="20"/>
              </w:rPr>
              <w:t>Multi</w:t>
            </w:r>
            <w:r>
              <w:rPr>
                <w:sz w:val="20"/>
              </w:rPr>
              <w:t>f</w:t>
            </w:r>
            <w:r w:rsidRPr="00A223C1">
              <w:rPr>
                <w:sz w:val="20"/>
              </w:rPr>
              <w:t>amily</w:t>
            </w:r>
          </w:p>
        </w:tc>
        <w:tc>
          <w:tcPr>
            <w:tcW w:w="715" w:type="pct"/>
            <w:noWrap/>
            <w:tcMar>
              <w:top w:w="0" w:type="nil"/>
              <w:bottom w:w="0" w:type="nil"/>
              <w:right w:w="0" w:type="dxa"/>
            </w:tcMar>
            <w:hideMark/>
          </w:tcPr>
          <w:p w:rsidR="00DF7B1B" w:rsidRPr="002D3C0E"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5,265</w:t>
            </w:r>
          </w:p>
        </w:tc>
        <w:tc>
          <w:tcPr>
            <w:tcW w:w="714" w:type="pct"/>
            <w:shd w:val="clear" w:color="auto" w:fill="E5ECF1"/>
            <w:tcMar>
              <w:top w:w="0" w:type="nil"/>
              <w:bottom w:w="0" w:type="nil"/>
              <w:right w:w="0" w:type="dxa"/>
            </w:tcMar>
          </w:tcPr>
          <w:p w:rsidR="00DF7B1B" w:rsidRPr="00DD6B7A"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41</w:t>
            </w:r>
          </w:p>
        </w:tc>
        <w:tc>
          <w:tcPr>
            <w:tcW w:w="714" w:type="pct"/>
            <w:shd w:val="clear" w:color="auto" w:fill="E5ECF1"/>
          </w:tcPr>
          <w:p w:rsidR="00DF7B1B" w:rsidRPr="004C6B3F"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3%</w:t>
            </w:r>
          </w:p>
        </w:tc>
        <w:tc>
          <w:tcPr>
            <w:tcW w:w="714" w:type="pct"/>
            <w:shd w:val="clear" w:color="auto" w:fill="E5ECF1"/>
            <w:noWrap/>
            <w:tcMar>
              <w:top w:w="0" w:type="nil"/>
              <w:bottom w:w="0" w:type="nil"/>
              <w:right w:w="0" w:type="dxa"/>
            </w:tcMar>
            <w:hideMark/>
          </w:tcPr>
          <w:p w:rsidR="00DF7B1B" w:rsidRPr="00DD6B7A"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7,733</w:t>
            </w:r>
          </w:p>
        </w:tc>
        <w:tc>
          <w:tcPr>
            <w:tcW w:w="714" w:type="pct"/>
            <w:shd w:val="clear" w:color="auto" w:fill="FDF3C9"/>
          </w:tcPr>
          <w:p w:rsidR="00DF7B1B" w:rsidRPr="00752405"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6</w:t>
            </w:r>
          </w:p>
        </w:tc>
        <w:tc>
          <w:tcPr>
            <w:tcW w:w="714" w:type="pct"/>
            <w:shd w:val="clear" w:color="auto" w:fill="FFCC99"/>
          </w:tcPr>
          <w:p w:rsidR="00DF7B1B" w:rsidRPr="00667282" w:rsidRDefault="000251CE"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Cs w:val="20"/>
              </w:rPr>
            </w:pPr>
            <w:r>
              <w:rPr>
                <w:rFonts w:ascii="Calibri" w:eastAsia="Arial" w:hAnsi="Calibri" w:cs="Calibri"/>
                <w:color w:val="000000" w:themeColor="text1"/>
                <w:kern w:val="24"/>
                <w:szCs w:val="20"/>
              </w:rPr>
              <w:t>9</w:t>
            </w:r>
          </w:p>
        </w:tc>
      </w:tr>
      <w:tr w:rsidR="00DF7B1B" w:rsidRPr="00065DD0" w:rsidTr="001941C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tcPr>
          <w:p w:rsidR="00DF7B1B" w:rsidRPr="00065DD0" w:rsidRDefault="00DF7B1B" w:rsidP="00DD6B7A">
            <w:pPr>
              <w:pStyle w:val="TableText"/>
              <w:ind w:left="144"/>
              <w:jc w:val="left"/>
              <w:rPr>
                <w:sz w:val="20"/>
              </w:rPr>
            </w:pPr>
            <w:r w:rsidRPr="00065DD0">
              <w:rPr>
                <w:sz w:val="20"/>
              </w:rPr>
              <w:t>Mobile Home</w:t>
            </w:r>
          </w:p>
        </w:tc>
        <w:tc>
          <w:tcPr>
            <w:tcW w:w="715" w:type="pct"/>
            <w:noWrap/>
            <w:tcMar>
              <w:top w:w="0" w:type="nil"/>
              <w:bottom w:w="0" w:type="nil"/>
              <w:right w:w="0" w:type="dxa"/>
            </w:tcMar>
          </w:tcPr>
          <w:p w:rsidR="00DF7B1B" w:rsidRPr="002D3C0E"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4,835</w:t>
            </w:r>
          </w:p>
        </w:tc>
        <w:tc>
          <w:tcPr>
            <w:tcW w:w="714" w:type="pct"/>
            <w:shd w:val="clear" w:color="auto" w:fill="E5ECF1"/>
            <w:tcMar>
              <w:top w:w="0" w:type="nil"/>
              <w:bottom w:w="0" w:type="nil"/>
              <w:right w:w="0" w:type="dxa"/>
            </w:tcMar>
          </w:tcPr>
          <w:p w:rsidR="00DF7B1B" w:rsidRPr="00DD6B7A"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56</w:t>
            </w:r>
          </w:p>
        </w:tc>
        <w:tc>
          <w:tcPr>
            <w:tcW w:w="714" w:type="pct"/>
            <w:shd w:val="clear" w:color="auto" w:fill="E5ECF1"/>
          </w:tcPr>
          <w:p w:rsidR="00DF7B1B" w:rsidRPr="00065DD0"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5%</w:t>
            </w:r>
          </w:p>
        </w:tc>
        <w:tc>
          <w:tcPr>
            <w:tcW w:w="714" w:type="pct"/>
            <w:shd w:val="clear" w:color="auto" w:fill="E5ECF1"/>
            <w:noWrap/>
            <w:tcMar>
              <w:top w:w="0" w:type="nil"/>
              <w:bottom w:w="0" w:type="nil"/>
              <w:right w:w="0" w:type="dxa"/>
            </w:tcMar>
          </w:tcPr>
          <w:p w:rsidR="00DF7B1B" w:rsidRPr="00DD6B7A"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11,599</w:t>
            </w:r>
          </w:p>
        </w:tc>
        <w:tc>
          <w:tcPr>
            <w:tcW w:w="714" w:type="pct"/>
            <w:shd w:val="clear" w:color="auto" w:fill="FDF3C9"/>
          </w:tcPr>
          <w:p w:rsidR="00DF7B1B" w:rsidRPr="00065DD0"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8</w:t>
            </w:r>
          </w:p>
        </w:tc>
        <w:tc>
          <w:tcPr>
            <w:tcW w:w="714" w:type="pct"/>
            <w:shd w:val="clear" w:color="auto" w:fill="FFCC99"/>
          </w:tcPr>
          <w:p w:rsidR="00DF7B1B" w:rsidRPr="00667282" w:rsidRDefault="000251CE"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kern w:val="24"/>
                <w:szCs w:val="20"/>
              </w:rPr>
            </w:pPr>
            <w:r>
              <w:rPr>
                <w:rFonts w:ascii="Calibri" w:eastAsia="Arial" w:hAnsi="Calibri" w:cs="Calibri"/>
                <w:color w:val="000000" w:themeColor="text1"/>
                <w:kern w:val="24"/>
                <w:szCs w:val="20"/>
              </w:rPr>
              <w:t>10</w:t>
            </w:r>
          </w:p>
        </w:tc>
      </w:tr>
      <w:tr w:rsidR="00DF7B1B" w:rsidRPr="00080609" w:rsidTr="001941C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tcPr>
          <w:p w:rsidR="00DF7B1B" w:rsidRPr="00DD6B7A" w:rsidRDefault="00DF7B1B" w:rsidP="00DD6B7A">
            <w:pPr>
              <w:pStyle w:val="TableText"/>
              <w:ind w:left="144"/>
              <w:jc w:val="left"/>
            </w:pPr>
            <w:r w:rsidRPr="00DD6B7A">
              <w:t>Low Income</w:t>
            </w:r>
          </w:p>
        </w:tc>
        <w:tc>
          <w:tcPr>
            <w:tcW w:w="715" w:type="pct"/>
            <w:noWrap/>
            <w:tcMar>
              <w:top w:w="0" w:type="nil"/>
              <w:bottom w:w="0" w:type="nil"/>
              <w:right w:w="0" w:type="dxa"/>
            </w:tcMar>
          </w:tcPr>
          <w:p w:rsidR="00DF7B1B" w:rsidRPr="00DD6B7A"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32,020</w:t>
            </w:r>
          </w:p>
        </w:tc>
        <w:tc>
          <w:tcPr>
            <w:tcW w:w="714" w:type="pct"/>
            <w:shd w:val="clear" w:color="auto" w:fill="E5ECF1"/>
            <w:tcMar>
              <w:top w:w="0" w:type="nil"/>
              <w:bottom w:w="0" w:type="nil"/>
              <w:right w:w="0" w:type="dxa"/>
            </w:tcMar>
          </w:tcPr>
          <w:p w:rsidR="00DF7B1B" w:rsidRPr="00DD6B7A"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267</w:t>
            </w:r>
          </w:p>
        </w:tc>
        <w:tc>
          <w:tcPr>
            <w:tcW w:w="714" w:type="pct"/>
            <w:shd w:val="clear" w:color="auto" w:fill="E5ECF1"/>
          </w:tcPr>
          <w:p w:rsidR="00DF7B1B" w:rsidRPr="00DD6B7A"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22%</w:t>
            </w:r>
          </w:p>
        </w:tc>
        <w:tc>
          <w:tcPr>
            <w:tcW w:w="714" w:type="pct"/>
            <w:shd w:val="clear" w:color="auto" w:fill="E5ECF1"/>
            <w:noWrap/>
            <w:tcMar>
              <w:top w:w="0" w:type="nil"/>
              <w:bottom w:w="0" w:type="nil"/>
              <w:right w:w="0" w:type="dxa"/>
            </w:tcMar>
          </w:tcPr>
          <w:p w:rsidR="00DF7B1B" w:rsidRPr="00DD6B7A"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8,349</w:t>
            </w:r>
          </w:p>
        </w:tc>
        <w:tc>
          <w:tcPr>
            <w:tcW w:w="714" w:type="pct"/>
            <w:shd w:val="clear" w:color="auto" w:fill="FDF3C9"/>
          </w:tcPr>
          <w:p w:rsidR="00DF7B1B" w:rsidRPr="00DD6B7A" w:rsidRDefault="00DF7B1B"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 w:val="20"/>
                <w:szCs w:val="20"/>
              </w:rPr>
            </w:pPr>
            <w:r w:rsidRPr="00667282">
              <w:rPr>
                <w:rFonts w:ascii="Calibri" w:eastAsia="Arial" w:hAnsi="Calibri" w:cs="Calibri"/>
                <w:color w:val="000000" w:themeColor="text1"/>
                <w:kern w:val="24"/>
                <w:sz w:val="20"/>
                <w:szCs w:val="20"/>
              </w:rPr>
              <w:t>38</w:t>
            </w:r>
          </w:p>
        </w:tc>
        <w:tc>
          <w:tcPr>
            <w:tcW w:w="714" w:type="pct"/>
            <w:shd w:val="clear" w:color="auto" w:fill="FFCC99"/>
          </w:tcPr>
          <w:p w:rsidR="00DF7B1B" w:rsidRPr="00667282" w:rsidRDefault="000251CE" w:rsidP="00667282">
            <w:pPr>
              <w:pStyle w:val="NormalWeb"/>
              <w:ind w:right="432"/>
              <w:jc w:val="right"/>
              <w:textAlignment w:val="bottom"/>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themeColor="text1"/>
                <w:kern w:val="24"/>
                <w:szCs w:val="20"/>
              </w:rPr>
            </w:pPr>
            <w:r>
              <w:rPr>
                <w:rFonts w:ascii="Calibri" w:eastAsia="Arial" w:hAnsi="Calibri" w:cs="Calibri"/>
                <w:color w:val="000000" w:themeColor="text1"/>
                <w:kern w:val="24"/>
                <w:szCs w:val="20"/>
              </w:rPr>
              <w:t>46</w:t>
            </w:r>
          </w:p>
        </w:tc>
      </w:tr>
      <w:tr w:rsidR="00020372" w:rsidRPr="00DD6B7A" w:rsidTr="0058441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5" w:type="pct"/>
            <w:noWrap/>
            <w:tcMar>
              <w:top w:w="0" w:type="nil"/>
              <w:left w:w="0" w:type="dxa"/>
              <w:bottom w:w="0" w:type="nil"/>
            </w:tcMar>
            <w:hideMark/>
          </w:tcPr>
          <w:p w:rsidR="00DF7B1B" w:rsidRPr="00A223C1" w:rsidRDefault="00DF7B1B" w:rsidP="00DD6B7A">
            <w:pPr>
              <w:pStyle w:val="TableText"/>
              <w:ind w:left="144"/>
              <w:jc w:val="left"/>
              <w:rPr>
                <w:b/>
                <w:sz w:val="20"/>
              </w:rPr>
            </w:pPr>
            <w:r w:rsidRPr="00A223C1">
              <w:rPr>
                <w:b/>
                <w:sz w:val="20"/>
              </w:rPr>
              <w:t>Total</w:t>
            </w:r>
          </w:p>
        </w:tc>
        <w:tc>
          <w:tcPr>
            <w:tcW w:w="715" w:type="pct"/>
            <w:noWrap/>
            <w:tcMar>
              <w:top w:w="0" w:type="nil"/>
              <w:bottom w:w="0" w:type="nil"/>
              <w:right w:w="0" w:type="dxa"/>
            </w:tcMar>
            <w:hideMark/>
          </w:tcPr>
          <w:p w:rsidR="00DF7B1B" w:rsidRPr="00667282"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667282">
              <w:rPr>
                <w:rFonts w:ascii="Calibri" w:eastAsia="Arial" w:hAnsi="Calibri" w:cs="Calibri"/>
                <w:b/>
                <w:color w:val="000000" w:themeColor="text1"/>
                <w:kern w:val="24"/>
                <w:sz w:val="20"/>
                <w:szCs w:val="20"/>
              </w:rPr>
              <w:t>107,449</w:t>
            </w:r>
          </w:p>
        </w:tc>
        <w:tc>
          <w:tcPr>
            <w:tcW w:w="714" w:type="pct"/>
            <w:shd w:val="clear" w:color="auto" w:fill="E5ECF1"/>
            <w:tcMar>
              <w:top w:w="0" w:type="nil"/>
              <w:bottom w:w="0" w:type="nil"/>
              <w:right w:w="0" w:type="dxa"/>
            </w:tcMar>
          </w:tcPr>
          <w:p w:rsidR="00DF7B1B" w:rsidRPr="00667282"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667282">
              <w:rPr>
                <w:rFonts w:ascii="Calibri" w:eastAsia="Arial" w:hAnsi="Calibri" w:cs="Calibri"/>
                <w:b/>
                <w:color w:val="000000" w:themeColor="text1"/>
                <w:kern w:val="24"/>
                <w:sz w:val="20"/>
                <w:szCs w:val="20"/>
              </w:rPr>
              <w:t>1,207</w:t>
            </w:r>
          </w:p>
        </w:tc>
        <w:tc>
          <w:tcPr>
            <w:tcW w:w="714" w:type="pct"/>
            <w:shd w:val="clear" w:color="auto" w:fill="E5ECF1"/>
          </w:tcPr>
          <w:p w:rsidR="00DF7B1B" w:rsidRPr="00667282"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667282">
              <w:rPr>
                <w:rFonts w:ascii="Calibri" w:eastAsia="Arial" w:hAnsi="Calibri" w:cs="Calibri"/>
                <w:b/>
                <w:color w:val="000000" w:themeColor="text1"/>
                <w:kern w:val="24"/>
                <w:sz w:val="20"/>
                <w:szCs w:val="20"/>
              </w:rPr>
              <w:t>100%</w:t>
            </w:r>
          </w:p>
        </w:tc>
        <w:tc>
          <w:tcPr>
            <w:tcW w:w="714" w:type="pct"/>
            <w:shd w:val="clear" w:color="auto" w:fill="E5ECF1"/>
            <w:noWrap/>
            <w:tcMar>
              <w:top w:w="0" w:type="nil"/>
              <w:bottom w:w="0" w:type="nil"/>
              <w:right w:w="0" w:type="dxa"/>
            </w:tcMar>
            <w:hideMark/>
          </w:tcPr>
          <w:p w:rsidR="00DF7B1B" w:rsidRPr="00667282"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667282">
              <w:rPr>
                <w:rFonts w:ascii="Calibri" w:eastAsia="Arial" w:hAnsi="Calibri" w:cs="Calibri"/>
                <w:b/>
                <w:color w:val="000000" w:themeColor="text1"/>
                <w:kern w:val="24"/>
                <w:sz w:val="20"/>
                <w:szCs w:val="20"/>
              </w:rPr>
              <w:t>11,233</w:t>
            </w:r>
          </w:p>
        </w:tc>
        <w:tc>
          <w:tcPr>
            <w:tcW w:w="714" w:type="pct"/>
            <w:shd w:val="clear" w:color="auto" w:fill="FDF3C9"/>
          </w:tcPr>
          <w:p w:rsidR="00DF7B1B" w:rsidRPr="00667282" w:rsidRDefault="00DF7B1B"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 w:val="20"/>
                <w:szCs w:val="20"/>
              </w:rPr>
            </w:pPr>
            <w:r w:rsidRPr="00667282">
              <w:rPr>
                <w:rFonts w:ascii="Calibri" w:eastAsia="Arial" w:hAnsi="Calibri" w:cs="Calibri"/>
                <w:b/>
                <w:color w:val="000000" w:themeColor="text1"/>
                <w:kern w:val="24"/>
                <w:sz w:val="20"/>
                <w:szCs w:val="20"/>
              </w:rPr>
              <w:t>184</w:t>
            </w:r>
          </w:p>
        </w:tc>
        <w:tc>
          <w:tcPr>
            <w:tcW w:w="714" w:type="pct"/>
            <w:shd w:val="clear" w:color="auto" w:fill="FFCC99"/>
          </w:tcPr>
          <w:p w:rsidR="00DF7B1B" w:rsidRPr="00667282" w:rsidRDefault="000251CE" w:rsidP="00667282">
            <w:pPr>
              <w:pStyle w:val="NormalWeb"/>
              <w:ind w:right="432"/>
              <w:jc w:val="right"/>
              <w:textAlignment w:val="bottom"/>
              <w:cnfStyle w:val="000000100000" w:firstRow="0" w:lastRow="0" w:firstColumn="0" w:lastColumn="0" w:oddVBand="0" w:evenVBand="0" w:oddHBand="1" w:evenHBand="0" w:firstRowFirstColumn="0" w:firstRowLastColumn="0" w:lastRowFirstColumn="0" w:lastRowLastColumn="0"/>
              <w:rPr>
                <w:rFonts w:ascii="Calibri" w:eastAsia="Arial" w:hAnsi="Calibri" w:cs="Calibri"/>
                <w:b/>
                <w:color w:val="000000" w:themeColor="text1"/>
                <w:kern w:val="24"/>
                <w:szCs w:val="20"/>
              </w:rPr>
            </w:pPr>
            <w:r>
              <w:rPr>
                <w:rFonts w:ascii="Calibri" w:eastAsia="Arial" w:hAnsi="Calibri" w:cs="Calibri"/>
                <w:b/>
                <w:color w:val="000000" w:themeColor="text1"/>
                <w:kern w:val="24"/>
                <w:szCs w:val="20"/>
              </w:rPr>
              <w:t>217</w:t>
            </w:r>
          </w:p>
        </w:tc>
      </w:tr>
    </w:tbl>
    <w:p w:rsidR="00DD6B7A" w:rsidRDefault="00DD6B7A" w:rsidP="00DD6B7A">
      <w:pPr>
        <w:pStyle w:val="NormalWeb"/>
        <w:ind w:right="432"/>
        <w:jc w:val="right"/>
        <w:textAlignment w:val="bottom"/>
      </w:pPr>
    </w:p>
    <w:p w:rsidR="00157088" w:rsidRDefault="00157088" w:rsidP="00157088">
      <w:pPr>
        <w:pStyle w:val="BodyText"/>
      </w:pPr>
      <w:r w:rsidRPr="00CD1FA8">
        <w:t xml:space="preserve">As we describe in the previous chapter, the market profiles provide the foundation </w:t>
      </w:r>
      <w:r>
        <w:t xml:space="preserve">for development of the baseline projection and the potential estimates. </w:t>
      </w:r>
      <w:r w:rsidRPr="00CD1FA8">
        <w:t xml:space="preserve">The </w:t>
      </w:r>
      <w:r>
        <w:t xml:space="preserve">average </w:t>
      </w:r>
      <w:r w:rsidRPr="00CD1FA8">
        <w:t xml:space="preserve">market profile for the residential sector </w:t>
      </w:r>
      <w:r>
        <w:t xml:space="preserve">is </w:t>
      </w:r>
      <w:r w:rsidRPr="00CD1FA8">
        <w:t>presented in</w:t>
      </w:r>
      <w:r>
        <w:t xml:space="preserve"> </w:t>
      </w:r>
      <w:r w:rsidR="00893E3D">
        <w:fldChar w:fldCharType="begin"/>
      </w:r>
      <w:r w:rsidR="00BB3538">
        <w:instrText xml:space="preserve"> REF _Ref402251434 \h </w:instrText>
      </w:r>
      <w:r w:rsidR="00893E3D">
        <w:fldChar w:fldCharType="separate"/>
      </w:r>
      <w:r w:rsidR="00B2652C" w:rsidRPr="00535EB3">
        <w:t xml:space="preserve">Table </w:t>
      </w:r>
      <w:r w:rsidR="00B2652C" w:rsidRPr="00B2652C">
        <w:rPr>
          <w:noProof/>
        </w:rPr>
        <w:t>3</w:t>
      </w:r>
      <w:r w:rsidR="00B2652C" w:rsidRPr="00535EB3">
        <w:t>-</w:t>
      </w:r>
      <w:r w:rsidR="00B2652C" w:rsidRPr="00B2652C">
        <w:rPr>
          <w:noProof/>
        </w:rPr>
        <w:t>5</w:t>
      </w:r>
      <w:r w:rsidR="00893E3D">
        <w:fldChar w:fldCharType="end"/>
      </w:r>
      <w:r w:rsidR="004F5D26">
        <w:t xml:space="preserve"> (WA) and </w:t>
      </w:r>
      <w:r w:rsidR="00893E3D">
        <w:fldChar w:fldCharType="begin"/>
      </w:r>
      <w:r w:rsidR="004F5D26">
        <w:instrText xml:space="preserve"> REF _Ref422830470 \h </w:instrText>
      </w:r>
      <w:r w:rsidR="00893E3D">
        <w:fldChar w:fldCharType="separate"/>
      </w:r>
      <w:r w:rsidR="00B2652C" w:rsidRPr="00535EB3">
        <w:t xml:space="preserve">Table </w:t>
      </w:r>
      <w:r w:rsidR="00B2652C" w:rsidRPr="00B2652C">
        <w:rPr>
          <w:noProof/>
        </w:rPr>
        <w:t>3</w:t>
      </w:r>
      <w:r w:rsidR="00B2652C" w:rsidRPr="00535EB3">
        <w:t>-</w:t>
      </w:r>
      <w:r w:rsidR="00B2652C" w:rsidRPr="00B2652C">
        <w:rPr>
          <w:noProof/>
        </w:rPr>
        <w:t>6</w:t>
      </w:r>
      <w:r w:rsidR="00893E3D">
        <w:fldChar w:fldCharType="end"/>
      </w:r>
      <w:r w:rsidR="004F5D26">
        <w:t xml:space="preserve"> (ID)</w:t>
      </w:r>
      <w:r>
        <w:t xml:space="preserve">. </w:t>
      </w:r>
      <w:r w:rsidRPr="006A4E7D">
        <w:t>Segment</w:t>
      </w:r>
      <w:r w:rsidR="00A079F7" w:rsidRPr="006A4E7D">
        <w:t>-</w:t>
      </w:r>
      <w:r w:rsidRPr="006A4E7D">
        <w:t xml:space="preserve">specific market profiles are presented in </w:t>
      </w:r>
      <w:r w:rsidR="00EA319C" w:rsidRPr="00125362">
        <w:t>A</w:t>
      </w:r>
      <w:r w:rsidRPr="00125362">
        <w:t>ppendi</w:t>
      </w:r>
      <w:r w:rsidR="00EA319C" w:rsidRPr="00125362">
        <w:t xml:space="preserve">x </w:t>
      </w:r>
      <w:r w:rsidR="006A4E7D" w:rsidRPr="00125362">
        <w:t>A</w:t>
      </w:r>
      <w:r w:rsidRPr="00873C91">
        <w:t>.</w:t>
      </w:r>
      <w:r>
        <w:t xml:space="preserve"> </w:t>
      </w:r>
    </w:p>
    <w:bookmarkStart w:id="151" w:name="_Ref332119597"/>
    <w:bookmarkStart w:id="152" w:name="_Toc334177687"/>
    <w:p w:rsidR="00157088" w:rsidRPr="00393EDE" w:rsidRDefault="00893E3D" w:rsidP="00157088">
      <w:pPr>
        <w:pStyle w:val="BodyText"/>
      </w:pPr>
      <w:r>
        <w:fldChar w:fldCharType="begin"/>
      </w:r>
      <w:r w:rsidR="0037110F">
        <w:instrText xml:space="preserve"> REF _Ref337024740 \h </w:instrText>
      </w:r>
      <w:r>
        <w:fldChar w:fldCharType="separate"/>
      </w:r>
      <w:r w:rsidR="00B2652C" w:rsidRPr="00F75EB3">
        <w:t xml:space="preserve">Figure </w:t>
      </w:r>
      <w:r w:rsidR="00B2652C">
        <w:rPr>
          <w:noProof/>
        </w:rPr>
        <w:t>3</w:t>
      </w:r>
      <w:r w:rsidR="00B2652C" w:rsidRPr="00F75EB3">
        <w:t>-</w:t>
      </w:r>
      <w:r w:rsidR="00B2652C">
        <w:rPr>
          <w:noProof/>
        </w:rPr>
        <w:t>3</w:t>
      </w:r>
      <w:r>
        <w:fldChar w:fldCharType="end"/>
      </w:r>
      <w:r w:rsidR="004F5D26">
        <w:t xml:space="preserve"> (WA) and </w:t>
      </w:r>
      <w:r>
        <w:fldChar w:fldCharType="begin"/>
      </w:r>
      <w:r w:rsidR="004F5D26">
        <w:instrText xml:space="preserve"> REF _Ref422830522 \h </w:instrText>
      </w:r>
      <w:r>
        <w:fldChar w:fldCharType="separate"/>
      </w:r>
      <w:r w:rsidR="00B2652C" w:rsidRPr="00F75EB3">
        <w:t xml:space="preserve">Figure </w:t>
      </w:r>
      <w:r w:rsidR="00B2652C">
        <w:rPr>
          <w:noProof/>
        </w:rPr>
        <w:t>3</w:t>
      </w:r>
      <w:r w:rsidR="00B2652C" w:rsidRPr="00F75EB3">
        <w:t>-</w:t>
      </w:r>
      <w:r w:rsidR="00B2652C">
        <w:rPr>
          <w:noProof/>
        </w:rPr>
        <w:t>4</w:t>
      </w:r>
      <w:r>
        <w:fldChar w:fldCharType="end"/>
      </w:r>
      <w:r w:rsidR="004F5D26">
        <w:t xml:space="preserve"> (ID)</w:t>
      </w:r>
      <w:r w:rsidR="0037110F">
        <w:t xml:space="preserve"> </w:t>
      </w:r>
      <w:r w:rsidR="00157088" w:rsidRPr="008D5569">
        <w:t>sho</w:t>
      </w:r>
      <w:r w:rsidR="00157088">
        <w:t xml:space="preserve">w the distribution of </w:t>
      </w:r>
      <w:r w:rsidR="00A079F7">
        <w:t xml:space="preserve">annual </w:t>
      </w:r>
      <w:r w:rsidR="00157088">
        <w:t xml:space="preserve">electricity use </w:t>
      </w:r>
      <w:r w:rsidR="00157088" w:rsidRPr="008D5569">
        <w:t xml:space="preserve">by end use for all </w:t>
      </w:r>
      <w:r w:rsidR="00A079F7">
        <w:t>customers</w:t>
      </w:r>
      <w:r w:rsidR="00157088" w:rsidRPr="008D5569">
        <w:t xml:space="preserve">. </w:t>
      </w:r>
      <w:r w:rsidR="00065DD0">
        <w:t>Two</w:t>
      </w:r>
      <w:r w:rsidR="00157088" w:rsidRPr="008D5569">
        <w:t xml:space="preserve"> main electricity end uses —appliances</w:t>
      </w:r>
      <w:r w:rsidR="00065DD0">
        <w:t xml:space="preserve"> and</w:t>
      </w:r>
      <w:r w:rsidR="00157088" w:rsidRPr="008D5569">
        <w:t xml:space="preserve"> space heating— account for </w:t>
      </w:r>
      <w:r w:rsidR="00F53DDE">
        <w:t>approximately 50</w:t>
      </w:r>
      <w:r w:rsidR="00157088">
        <w:t>%</w:t>
      </w:r>
      <w:r w:rsidR="00157088" w:rsidRPr="008D5569">
        <w:t xml:space="preserve"> of total use. Appliances include refrigerators, freezers, stoves, clothes washers, clothes dryers, dishwashers, and microwaves. The remainder of the energy falls into the </w:t>
      </w:r>
      <w:r w:rsidR="00065DD0" w:rsidRPr="008D5569">
        <w:t>water heating</w:t>
      </w:r>
      <w:r w:rsidR="00065DD0">
        <w:t>,</w:t>
      </w:r>
      <w:r w:rsidR="00065DD0" w:rsidRPr="008D5569">
        <w:t xml:space="preserve"> lighting,</w:t>
      </w:r>
      <w:r w:rsidR="00065DD0">
        <w:t xml:space="preserve"> cooling, </w:t>
      </w:r>
      <w:r w:rsidR="00157088" w:rsidRPr="008D5569">
        <w:t xml:space="preserve">electronics, and </w:t>
      </w:r>
      <w:r w:rsidR="00157088" w:rsidRPr="00393EDE">
        <w:t xml:space="preserve">the miscellaneous category – which is comprised of furnace fans, pool pumps, and other “plug” loads (all other usage not covered by those listed in </w:t>
      </w:r>
      <w:r>
        <w:rPr>
          <w:highlight w:val="yellow"/>
        </w:rPr>
        <w:fldChar w:fldCharType="begin"/>
      </w:r>
      <w:r w:rsidR="00BB3538">
        <w:instrText xml:space="preserve"> REF _Ref402251434 \h </w:instrText>
      </w:r>
      <w:r>
        <w:rPr>
          <w:highlight w:val="yellow"/>
        </w:rPr>
      </w:r>
      <w:r>
        <w:rPr>
          <w:highlight w:val="yellow"/>
        </w:rPr>
        <w:fldChar w:fldCharType="separate"/>
      </w:r>
      <w:r w:rsidR="00B2652C" w:rsidRPr="00535EB3">
        <w:t xml:space="preserve">Table </w:t>
      </w:r>
      <w:r w:rsidR="00B2652C" w:rsidRPr="00B2652C">
        <w:rPr>
          <w:noProof/>
        </w:rPr>
        <w:t>3</w:t>
      </w:r>
      <w:r w:rsidR="00B2652C" w:rsidRPr="00535EB3">
        <w:t>-</w:t>
      </w:r>
      <w:r w:rsidR="00B2652C" w:rsidRPr="00B2652C">
        <w:rPr>
          <w:noProof/>
        </w:rPr>
        <w:t>5</w:t>
      </w:r>
      <w:r>
        <w:rPr>
          <w:highlight w:val="yellow"/>
        </w:rPr>
        <w:fldChar w:fldCharType="end"/>
      </w:r>
      <w:r w:rsidR="007F2553">
        <w:t xml:space="preserve"> </w:t>
      </w:r>
      <w:r w:rsidR="00F53DDE">
        <w:t xml:space="preserve">and </w:t>
      </w:r>
      <w:r>
        <w:fldChar w:fldCharType="begin"/>
      </w:r>
      <w:r w:rsidR="00F53DDE">
        <w:instrText xml:space="preserve"> REF _Ref422830470 \h </w:instrText>
      </w:r>
      <w:r>
        <w:fldChar w:fldCharType="separate"/>
      </w:r>
      <w:r w:rsidR="00B2652C" w:rsidRPr="00535EB3">
        <w:t xml:space="preserve">Table </w:t>
      </w:r>
      <w:r w:rsidR="00B2652C" w:rsidRPr="00B2652C">
        <w:rPr>
          <w:noProof/>
        </w:rPr>
        <w:t>3</w:t>
      </w:r>
      <w:r w:rsidR="00B2652C" w:rsidRPr="00535EB3">
        <w:t>-</w:t>
      </w:r>
      <w:r w:rsidR="00B2652C" w:rsidRPr="00B2652C">
        <w:rPr>
          <w:noProof/>
        </w:rPr>
        <w:t>6</w:t>
      </w:r>
      <w:r>
        <w:fldChar w:fldCharType="end"/>
      </w:r>
      <w:r w:rsidR="00F53DDE">
        <w:t xml:space="preserve"> </w:t>
      </w:r>
      <w:r w:rsidR="00157088" w:rsidRPr="00393EDE">
        <w:t>such as hair dryers, power tools, coffee makers, etc</w:t>
      </w:r>
      <w:r w:rsidR="00A079F7" w:rsidRPr="00393EDE">
        <w:t>.</w:t>
      </w:r>
      <w:r w:rsidR="00157088" w:rsidRPr="00393EDE">
        <w:t>).</w:t>
      </w:r>
      <w:r w:rsidR="00A079F7" w:rsidRPr="00393EDE">
        <w:t xml:space="preserve"> </w:t>
      </w:r>
    </w:p>
    <w:p w:rsidR="00A079F7" w:rsidRDefault="00D310BF" w:rsidP="00157088">
      <w:pPr>
        <w:pStyle w:val="BodyText"/>
      </w:pPr>
      <w:r>
        <w:t>The charts</w:t>
      </w:r>
      <w:r w:rsidR="004F5D26">
        <w:t xml:space="preserve"> </w:t>
      </w:r>
      <w:r w:rsidR="00A079F7" w:rsidRPr="00393EDE">
        <w:t>also show estimates of peak demand by end use</w:t>
      </w:r>
      <w:r w:rsidR="00393EDE" w:rsidRPr="00393EDE">
        <w:t xml:space="preserve">. </w:t>
      </w:r>
      <w:r w:rsidR="00F53DDE">
        <w:t>Appliances are</w:t>
      </w:r>
      <w:r w:rsidR="00393EDE" w:rsidRPr="00393EDE">
        <w:t xml:space="preserve"> the largest contributor to summer peak demand, followed by </w:t>
      </w:r>
      <w:r>
        <w:t>water heating</w:t>
      </w:r>
      <w:r w:rsidR="00393EDE" w:rsidRPr="00393EDE">
        <w:t xml:space="preserve">. </w:t>
      </w:r>
      <w:r w:rsidR="00932228">
        <w:t>During the winter, heating is the largest contributor to peak demand, followed by appliances.</w:t>
      </w:r>
    </w:p>
    <w:p w:rsidR="00A079F7" w:rsidRPr="00B17E8C" w:rsidRDefault="00893E3D" w:rsidP="00A079F7">
      <w:pPr>
        <w:pStyle w:val="BodyText"/>
        <w:rPr>
          <w:sz w:val="18"/>
          <w:szCs w:val="16"/>
        </w:rPr>
      </w:pPr>
      <w:r>
        <w:fldChar w:fldCharType="begin"/>
      </w:r>
      <w:r w:rsidR="0037110F">
        <w:instrText xml:space="preserve"> REF _Ref337024760 \h </w:instrText>
      </w:r>
      <w:r>
        <w:fldChar w:fldCharType="separate"/>
      </w:r>
      <w:r w:rsidR="00B2652C" w:rsidRPr="00F75EB3">
        <w:t xml:space="preserve">Figure </w:t>
      </w:r>
      <w:r w:rsidR="00B2652C">
        <w:rPr>
          <w:noProof/>
        </w:rPr>
        <w:t>3</w:t>
      </w:r>
      <w:r w:rsidR="00B2652C" w:rsidRPr="00F75EB3">
        <w:t>-</w:t>
      </w:r>
      <w:r w:rsidR="00B2652C">
        <w:rPr>
          <w:noProof/>
        </w:rPr>
        <w:t>5</w:t>
      </w:r>
      <w:r>
        <w:fldChar w:fldCharType="end"/>
      </w:r>
      <w:r w:rsidR="0037110F">
        <w:t xml:space="preserve"> </w:t>
      </w:r>
      <w:r w:rsidR="004F5D26">
        <w:t xml:space="preserve">(WA) and </w:t>
      </w:r>
      <w:r>
        <w:fldChar w:fldCharType="begin"/>
      </w:r>
      <w:r w:rsidR="004F5D26">
        <w:instrText xml:space="preserve"> REF _Ref422830652 \h </w:instrText>
      </w:r>
      <w:r>
        <w:fldChar w:fldCharType="separate"/>
      </w:r>
      <w:r w:rsidR="00B2652C" w:rsidRPr="00F75EB3">
        <w:t xml:space="preserve">Figure </w:t>
      </w:r>
      <w:r w:rsidR="00B2652C">
        <w:rPr>
          <w:noProof/>
        </w:rPr>
        <w:t>3</w:t>
      </w:r>
      <w:r w:rsidR="00B2652C" w:rsidRPr="00F75EB3">
        <w:t>-</w:t>
      </w:r>
      <w:r w:rsidR="00B2652C">
        <w:rPr>
          <w:noProof/>
        </w:rPr>
        <w:t>6</w:t>
      </w:r>
      <w:r>
        <w:fldChar w:fldCharType="end"/>
      </w:r>
      <w:r w:rsidR="004F5D26">
        <w:t xml:space="preserve"> (ID) </w:t>
      </w:r>
      <w:r w:rsidR="00A079F7" w:rsidRPr="002609BB">
        <w:t>present the electricity intensities by end</w:t>
      </w:r>
      <w:r w:rsidR="00A079F7">
        <w:t xml:space="preserve"> </w:t>
      </w:r>
      <w:r w:rsidR="00A079F7" w:rsidRPr="002609BB">
        <w:t>use and housing type</w:t>
      </w:r>
      <w:r w:rsidR="00A079F7">
        <w:t xml:space="preserve">. </w:t>
      </w:r>
      <w:r w:rsidR="00D310BF">
        <w:t>Single family</w:t>
      </w:r>
      <w:r w:rsidR="00A079F7">
        <w:t xml:space="preserve"> homes have the highest use per customer at </w:t>
      </w:r>
      <w:r w:rsidR="00CE04D9">
        <w:t>13</w:t>
      </w:r>
      <w:r w:rsidR="00A079F7">
        <w:t>,</w:t>
      </w:r>
      <w:r w:rsidR="00D310BF">
        <w:t>726</w:t>
      </w:r>
      <w:r w:rsidR="00A079F7">
        <w:t xml:space="preserve"> kWh/year</w:t>
      </w:r>
      <w:r w:rsidR="00D310BF">
        <w:t xml:space="preserve"> (WA) and 12,902 kWh/year (ID)</w:t>
      </w:r>
      <w:r w:rsidR="00A079F7">
        <w:t xml:space="preserve">. </w:t>
      </w:r>
    </w:p>
    <w:p w:rsidR="0029418A" w:rsidRDefault="00157088" w:rsidP="0029418A">
      <w:pPr>
        <w:pStyle w:val="FigureorTableTitle"/>
      </w:pPr>
      <w:bookmarkStart w:id="153" w:name="_Ref337024740"/>
      <w:bookmarkStart w:id="154" w:name="_Toc341180510"/>
      <w:bookmarkStart w:id="155" w:name="_Toc387951590"/>
      <w:bookmarkStart w:id="156" w:name="_Toc424192703"/>
      <w:bookmarkEnd w:id="151"/>
      <w:bookmarkEnd w:id="152"/>
      <w:r w:rsidRPr="00F75EB3">
        <w:lastRenderedPageBreak/>
        <w:t xml:space="preserve">Figure </w:t>
      </w:r>
      <w:r w:rsidR="00512CD6">
        <w:fldChar w:fldCharType="begin"/>
      </w:r>
      <w:r w:rsidR="00512CD6">
        <w:instrText xml:space="preserve"> STYLEREF  "Heading 1,Chap Num" \n  \* MERGEFORMAT </w:instrText>
      </w:r>
      <w:r w:rsidR="00512CD6">
        <w:fldChar w:fldCharType="separate"/>
      </w:r>
      <w:r w:rsidR="00B2652C">
        <w:rPr>
          <w:noProof/>
        </w:rPr>
        <w:t>3</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3</w:t>
      </w:r>
      <w:r w:rsidR="00512CD6">
        <w:rPr>
          <w:noProof/>
        </w:rPr>
        <w:fldChar w:fldCharType="end"/>
      </w:r>
      <w:bookmarkEnd w:id="153"/>
      <w:r w:rsidRPr="00F75EB3">
        <w:tab/>
      </w:r>
      <w:r w:rsidRPr="002609BB">
        <w:t xml:space="preserve">Residential Electricity </w:t>
      </w:r>
      <w:r w:rsidR="0029418A">
        <w:t xml:space="preserve">Use and Summer Peak Demand </w:t>
      </w:r>
      <w:r w:rsidRPr="002609BB">
        <w:t>by End Use (</w:t>
      </w:r>
      <w:r>
        <w:t>201</w:t>
      </w:r>
      <w:r w:rsidR="00A079F7">
        <w:t>3</w:t>
      </w:r>
      <w:r w:rsidRPr="002609BB">
        <w:t>)</w:t>
      </w:r>
      <w:bookmarkEnd w:id="154"/>
      <w:bookmarkEnd w:id="155"/>
      <w:r w:rsidR="00667282">
        <w:t>, Washington</w:t>
      </w:r>
      <w:bookmarkEnd w:id="156"/>
      <w:r w:rsidR="0029418A" w:rsidRPr="002609BB">
        <w:t xml:space="preserve"> </w:t>
      </w:r>
    </w:p>
    <w:p w:rsidR="00391D61" w:rsidRDefault="00391D61" w:rsidP="00391D61">
      <w:pPr>
        <w:pStyle w:val="BodyText"/>
        <w:jc w:val="center"/>
        <w:rPr>
          <w:noProof/>
        </w:rPr>
      </w:pPr>
      <w:r w:rsidRPr="00391D61">
        <w:rPr>
          <w:noProof/>
        </w:rPr>
        <w:drawing>
          <wp:inline distT="0" distB="0" distL="0" distR="0">
            <wp:extent cx="4215367" cy="2752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33262" cy="2764411"/>
                    </a:xfrm>
                    <a:prstGeom prst="rect">
                      <a:avLst/>
                    </a:prstGeom>
                    <a:noFill/>
                    <a:ln>
                      <a:noFill/>
                    </a:ln>
                  </pic:spPr>
                </pic:pic>
              </a:graphicData>
            </a:graphic>
          </wp:inline>
        </w:drawing>
      </w:r>
    </w:p>
    <w:p w:rsidR="0029418A" w:rsidRDefault="00391D61" w:rsidP="00391D61">
      <w:pPr>
        <w:pStyle w:val="BodyText"/>
        <w:jc w:val="center"/>
        <w:rPr>
          <w:noProof/>
        </w:rPr>
      </w:pPr>
      <w:r w:rsidRPr="00391D61">
        <w:rPr>
          <w:noProof/>
        </w:rPr>
        <w:drawing>
          <wp:inline distT="0" distB="0" distL="0" distR="0">
            <wp:extent cx="6714421" cy="27240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35894" cy="2732765"/>
                    </a:xfrm>
                    <a:prstGeom prst="rect">
                      <a:avLst/>
                    </a:prstGeom>
                    <a:noFill/>
                    <a:ln>
                      <a:noFill/>
                    </a:ln>
                  </pic:spPr>
                </pic:pic>
              </a:graphicData>
            </a:graphic>
          </wp:inline>
        </w:drawing>
      </w:r>
    </w:p>
    <w:p w:rsidR="00A63B16" w:rsidRDefault="00A63B16" w:rsidP="00A63B16">
      <w:pPr>
        <w:pStyle w:val="FigureorTableTitle"/>
      </w:pPr>
      <w:bookmarkStart w:id="157" w:name="_Ref422830522"/>
      <w:bookmarkStart w:id="158" w:name="_Toc424192704"/>
      <w:r w:rsidRPr="00F75EB3">
        <w:lastRenderedPageBreak/>
        <w:t xml:space="preserve">Figure </w:t>
      </w:r>
      <w:r w:rsidR="00512CD6">
        <w:fldChar w:fldCharType="begin"/>
      </w:r>
      <w:r w:rsidR="00512CD6">
        <w:instrText xml:space="preserve"> STYLEREF  "Heading 1,Chap Num" \n  \* MERGEFORMAT </w:instrText>
      </w:r>
      <w:r w:rsidR="00512CD6">
        <w:fldChar w:fldCharType="separate"/>
      </w:r>
      <w:r w:rsidR="00B2652C">
        <w:rPr>
          <w:noProof/>
        </w:rPr>
        <w:t>3</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4</w:t>
      </w:r>
      <w:r w:rsidR="00512CD6">
        <w:rPr>
          <w:noProof/>
        </w:rPr>
        <w:fldChar w:fldCharType="end"/>
      </w:r>
      <w:bookmarkEnd w:id="157"/>
      <w:r w:rsidRPr="00F75EB3">
        <w:tab/>
      </w:r>
      <w:r w:rsidRPr="002609BB">
        <w:t xml:space="preserve">Residential Electricity </w:t>
      </w:r>
      <w:r>
        <w:t xml:space="preserve">Use and Summer Peak Demand </w:t>
      </w:r>
      <w:r w:rsidRPr="002609BB">
        <w:t>by End Use (</w:t>
      </w:r>
      <w:r>
        <w:t>2013</w:t>
      </w:r>
      <w:r w:rsidRPr="002609BB">
        <w:t>)</w:t>
      </w:r>
      <w:r>
        <w:t>, Idaho</w:t>
      </w:r>
      <w:bookmarkEnd w:id="158"/>
      <w:r w:rsidRPr="002609BB">
        <w:t xml:space="preserve"> </w:t>
      </w:r>
    </w:p>
    <w:p w:rsidR="00A63B16" w:rsidRDefault="00391D61" w:rsidP="00A63B16">
      <w:pPr>
        <w:pStyle w:val="BodyText"/>
        <w:jc w:val="center"/>
      </w:pPr>
      <w:r w:rsidRPr="00391D61">
        <w:rPr>
          <w:noProof/>
        </w:rPr>
        <w:drawing>
          <wp:inline distT="0" distB="0" distL="0" distR="0">
            <wp:extent cx="4257675" cy="2780353"/>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556" cy="2786806"/>
                    </a:xfrm>
                    <a:prstGeom prst="rect">
                      <a:avLst/>
                    </a:prstGeom>
                    <a:noFill/>
                    <a:ln>
                      <a:noFill/>
                    </a:ln>
                  </pic:spPr>
                </pic:pic>
              </a:graphicData>
            </a:graphic>
          </wp:inline>
        </w:drawing>
      </w:r>
      <w:r w:rsidRPr="00391D61">
        <w:rPr>
          <w:noProof/>
        </w:rPr>
        <w:drawing>
          <wp:inline distT="0" distB="0" distL="0" distR="0">
            <wp:extent cx="6597845" cy="2676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01411" cy="2677972"/>
                    </a:xfrm>
                    <a:prstGeom prst="rect">
                      <a:avLst/>
                    </a:prstGeom>
                    <a:noFill/>
                    <a:ln>
                      <a:noFill/>
                    </a:ln>
                  </pic:spPr>
                </pic:pic>
              </a:graphicData>
            </a:graphic>
          </wp:inline>
        </w:drawing>
      </w:r>
    </w:p>
    <w:p w:rsidR="00A63B16" w:rsidRDefault="00A63B16" w:rsidP="00A63B16">
      <w:pPr>
        <w:pStyle w:val="BodyText"/>
        <w:jc w:val="center"/>
      </w:pPr>
    </w:p>
    <w:p w:rsidR="00A079F7" w:rsidRPr="009D100B" w:rsidRDefault="00A079F7" w:rsidP="008D01F0">
      <w:pPr>
        <w:pStyle w:val="FigureorTableTitle"/>
      </w:pPr>
      <w:bookmarkStart w:id="159" w:name="_Ref337024760"/>
      <w:bookmarkStart w:id="160" w:name="_Ref343188987"/>
      <w:bookmarkStart w:id="161" w:name="_Toc341180511"/>
      <w:bookmarkStart w:id="162" w:name="_Toc387951591"/>
      <w:bookmarkStart w:id="163" w:name="_Toc424192705"/>
      <w:r w:rsidRPr="00F75EB3">
        <w:lastRenderedPageBreak/>
        <w:t xml:space="preserve">Figure </w:t>
      </w:r>
      <w:r w:rsidR="00512CD6">
        <w:fldChar w:fldCharType="begin"/>
      </w:r>
      <w:r w:rsidR="00512CD6">
        <w:instrText xml:space="preserve"> STYLEREF  "Heading 1,Chap Num" \n  \* MERGEFORMAT </w:instrText>
      </w:r>
      <w:r w:rsidR="00512CD6">
        <w:fldChar w:fldCharType="separate"/>
      </w:r>
      <w:r w:rsidR="00B2652C">
        <w:rPr>
          <w:noProof/>
        </w:rPr>
        <w:t>3</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5</w:t>
      </w:r>
      <w:r w:rsidR="00512CD6">
        <w:rPr>
          <w:noProof/>
        </w:rPr>
        <w:fldChar w:fldCharType="end"/>
      </w:r>
      <w:bookmarkEnd w:id="159"/>
      <w:bookmarkEnd w:id="160"/>
      <w:r w:rsidRPr="00F75EB3">
        <w:tab/>
      </w:r>
      <w:r w:rsidRPr="00971B1B">
        <w:t>Residential Intensity by End Use and Segment (</w:t>
      </w:r>
      <w:r w:rsidR="00EA319C">
        <w:t xml:space="preserve">Annual </w:t>
      </w:r>
      <w:r w:rsidRPr="00971B1B">
        <w:t>kWh/</w:t>
      </w:r>
      <w:r w:rsidR="00837C13">
        <w:t>HH</w:t>
      </w:r>
      <w:r w:rsidRPr="00971B1B">
        <w:t xml:space="preserve">, </w:t>
      </w:r>
      <w:r>
        <w:t>2013</w:t>
      </w:r>
      <w:bookmarkEnd w:id="161"/>
      <w:bookmarkEnd w:id="162"/>
      <w:r w:rsidR="00801E8D">
        <w:t>)</w:t>
      </w:r>
      <w:r w:rsidR="00A63B16">
        <w:t>, Washington</w:t>
      </w:r>
      <w:bookmarkEnd w:id="163"/>
    </w:p>
    <w:p w:rsidR="00A079F7" w:rsidRDefault="00AA2B4A" w:rsidP="00A079F7">
      <w:pPr>
        <w:pStyle w:val="BodyText"/>
      </w:pPr>
      <w:r w:rsidRPr="00AA2B4A">
        <w:rPr>
          <w:noProof/>
        </w:rPr>
        <w:drawing>
          <wp:inline distT="0" distB="0" distL="0" distR="0">
            <wp:extent cx="5715000" cy="31097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3109767"/>
                    </a:xfrm>
                    <a:prstGeom prst="rect">
                      <a:avLst/>
                    </a:prstGeom>
                    <a:noFill/>
                    <a:ln>
                      <a:noFill/>
                    </a:ln>
                  </pic:spPr>
                </pic:pic>
              </a:graphicData>
            </a:graphic>
          </wp:inline>
        </w:drawing>
      </w:r>
    </w:p>
    <w:p w:rsidR="00AA2B4A" w:rsidRPr="009D100B" w:rsidRDefault="00AA2B4A" w:rsidP="00AA2B4A">
      <w:pPr>
        <w:pStyle w:val="FigureorTableTitle"/>
      </w:pPr>
      <w:bookmarkStart w:id="164" w:name="_Ref422830652"/>
      <w:bookmarkStart w:id="165" w:name="_Toc424192706"/>
      <w:r w:rsidRPr="00F75EB3">
        <w:t xml:space="preserve">Figure </w:t>
      </w:r>
      <w:r w:rsidR="00512CD6">
        <w:fldChar w:fldCharType="begin"/>
      </w:r>
      <w:r w:rsidR="00512CD6">
        <w:instrText xml:space="preserve"> STYLEREF  "Heading 1,Chap Num" \n  \* MERGEFORMAT </w:instrText>
      </w:r>
      <w:r w:rsidR="00512CD6">
        <w:fldChar w:fldCharType="separate"/>
      </w:r>
      <w:r w:rsidR="00B2652C">
        <w:rPr>
          <w:noProof/>
        </w:rPr>
        <w:t>3</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6</w:t>
      </w:r>
      <w:r w:rsidR="00512CD6">
        <w:rPr>
          <w:noProof/>
        </w:rPr>
        <w:fldChar w:fldCharType="end"/>
      </w:r>
      <w:bookmarkEnd w:id="164"/>
      <w:r w:rsidRPr="00F75EB3">
        <w:tab/>
      </w:r>
      <w:r w:rsidRPr="00971B1B">
        <w:t>Residential Intensity by End Use and Segment (</w:t>
      </w:r>
      <w:r>
        <w:t xml:space="preserve">Annual </w:t>
      </w:r>
      <w:r w:rsidRPr="00971B1B">
        <w:t>kWh/</w:t>
      </w:r>
      <w:r>
        <w:t>HH</w:t>
      </w:r>
      <w:r w:rsidRPr="00971B1B">
        <w:t xml:space="preserve">, </w:t>
      </w:r>
      <w:r>
        <w:t>2013), Idaho</w:t>
      </w:r>
      <w:bookmarkEnd w:id="165"/>
    </w:p>
    <w:p w:rsidR="00AA2B4A" w:rsidRDefault="00AA2B4A" w:rsidP="00A079F7">
      <w:pPr>
        <w:pStyle w:val="BodyText"/>
      </w:pPr>
      <w:r w:rsidRPr="00AA2B4A">
        <w:rPr>
          <w:noProof/>
        </w:rPr>
        <w:drawing>
          <wp:inline distT="0" distB="0" distL="0" distR="0">
            <wp:extent cx="5743575" cy="31253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9854" cy="3128733"/>
                    </a:xfrm>
                    <a:prstGeom prst="rect">
                      <a:avLst/>
                    </a:prstGeom>
                    <a:noFill/>
                    <a:ln>
                      <a:noFill/>
                    </a:ln>
                  </pic:spPr>
                </pic:pic>
              </a:graphicData>
            </a:graphic>
          </wp:inline>
        </w:drawing>
      </w:r>
      <w:r>
        <w:br w:type="page"/>
      </w:r>
    </w:p>
    <w:p w:rsidR="00157088" w:rsidRPr="0018065C" w:rsidRDefault="00BB3538" w:rsidP="00837C13">
      <w:pPr>
        <w:pStyle w:val="FigureorTableTitle"/>
      </w:pPr>
      <w:bookmarkStart w:id="166" w:name="_Ref402251434"/>
      <w:bookmarkStart w:id="167" w:name="_Toc341181324"/>
      <w:bookmarkStart w:id="168" w:name="_Toc396755828"/>
      <w:bookmarkStart w:id="169" w:name="_Toc424192766"/>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5</w:t>
      </w:r>
      <w:r w:rsidR="00512CD6">
        <w:rPr>
          <w:bCs w:val="0"/>
          <w:iCs w:val="0"/>
          <w:noProof/>
        </w:rPr>
        <w:fldChar w:fldCharType="end"/>
      </w:r>
      <w:bookmarkEnd w:id="166"/>
      <w:r w:rsidR="00157088">
        <w:tab/>
        <w:t>Average Market Profile for the Residential Sector</w:t>
      </w:r>
      <w:bookmarkEnd w:id="167"/>
      <w:r w:rsidR="00157088">
        <w:t>, 201</w:t>
      </w:r>
      <w:r w:rsidR="00A079F7">
        <w:t>3</w:t>
      </w:r>
      <w:bookmarkEnd w:id="168"/>
      <w:r w:rsidR="00AA2B4A">
        <w:t>, Washington</w:t>
      </w:r>
      <w:bookmarkEnd w:id="169"/>
    </w:p>
    <w:tbl>
      <w:tblPr>
        <w:tblW w:w="5000" w:type="pct"/>
        <w:tblCellMar>
          <w:left w:w="0" w:type="dxa"/>
          <w:right w:w="0" w:type="dxa"/>
        </w:tblCellMar>
        <w:tblLook w:val="04A0" w:firstRow="1" w:lastRow="0" w:firstColumn="1" w:lastColumn="0" w:noHBand="0" w:noVBand="1"/>
      </w:tblPr>
      <w:tblGrid>
        <w:gridCol w:w="1824"/>
        <w:gridCol w:w="2955"/>
        <w:gridCol w:w="1089"/>
        <w:gridCol w:w="994"/>
        <w:gridCol w:w="1078"/>
        <w:gridCol w:w="1060"/>
      </w:tblGrid>
      <w:tr w:rsidR="00BD1F69" w:rsidRPr="000345F2" w:rsidTr="002E5B78">
        <w:trPr>
          <w:trHeight w:val="288"/>
        </w:trPr>
        <w:tc>
          <w:tcPr>
            <w:tcW w:w="1013" w:type="pct"/>
            <w:vMerge w:val="restart"/>
            <w:tcBorders>
              <w:top w:val="single" w:sz="12" w:space="0" w:color="BFBFBF"/>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szCs w:val="20"/>
              </w:rPr>
            </w:pPr>
            <w:r w:rsidRPr="000345F2">
              <w:rPr>
                <w:rFonts w:ascii="Calibri" w:hAnsi="Calibri" w:cs="Calibri"/>
                <w:b/>
                <w:bCs/>
                <w:szCs w:val="20"/>
              </w:rPr>
              <w:t>End Use</w:t>
            </w:r>
          </w:p>
        </w:tc>
        <w:tc>
          <w:tcPr>
            <w:tcW w:w="1641" w:type="pct"/>
            <w:vMerge w:val="restart"/>
            <w:tcBorders>
              <w:top w:val="single" w:sz="12" w:space="0" w:color="BFBFBF"/>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Technology</w:t>
            </w:r>
          </w:p>
        </w:tc>
        <w:tc>
          <w:tcPr>
            <w:tcW w:w="605" w:type="pct"/>
            <w:vMerge w:val="restart"/>
            <w:tcBorders>
              <w:top w:val="single" w:sz="12" w:space="0" w:color="BFBFBF"/>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Saturation</w:t>
            </w:r>
          </w:p>
        </w:tc>
        <w:tc>
          <w:tcPr>
            <w:tcW w:w="552" w:type="pct"/>
            <w:tcBorders>
              <w:top w:val="single" w:sz="12" w:space="0" w:color="BFBFBF"/>
              <w:left w:val="nil"/>
              <w:bottom w:val="nil"/>
              <w:right w:val="nil"/>
            </w:tcBorders>
            <w:shd w:val="clear" w:color="000000" w:fill="FFFFFF"/>
            <w:vAlign w:val="center"/>
            <w:hideMark/>
          </w:tcPr>
          <w:p w:rsidR="00BD1F69" w:rsidRPr="000345F2" w:rsidRDefault="00BD1F69" w:rsidP="002E5B78">
            <w:pPr>
              <w:jc w:val="center"/>
              <w:rPr>
                <w:rFonts w:ascii="Calibri" w:hAnsi="Calibri" w:cs="Calibri"/>
                <w:b/>
                <w:bCs/>
                <w:szCs w:val="20"/>
              </w:rPr>
            </w:pPr>
            <w:r w:rsidRPr="000345F2">
              <w:rPr>
                <w:rFonts w:ascii="Calibri" w:hAnsi="Calibri" w:cs="Calibri"/>
                <w:b/>
                <w:bCs/>
                <w:szCs w:val="20"/>
              </w:rPr>
              <w:t>UEC</w:t>
            </w:r>
          </w:p>
        </w:tc>
        <w:tc>
          <w:tcPr>
            <w:tcW w:w="599" w:type="pct"/>
            <w:tcBorders>
              <w:top w:val="single" w:sz="12" w:space="0" w:color="BFBFBF"/>
              <w:left w:val="nil"/>
              <w:bottom w:val="nil"/>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Intensity</w:t>
            </w:r>
          </w:p>
        </w:tc>
        <w:tc>
          <w:tcPr>
            <w:tcW w:w="589" w:type="pct"/>
            <w:tcBorders>
              <w:top w:val="single" w:sz="12" w:space="0" w:color="BFBFBF"/>
              <w:left w:val="nil"/>
              <w:bottom w:val="nil"/>
              <w:right w:val="nil"/>
            </w:tcBorders>
            <w:shd w:val="clear" w:color="000000" w:fill="FFFFFF"/>
            <w:vAlign w:val="center"/>
            <w:hideMark/>
          </w:tcPr>
          <w:p w:rsidR="00BD1F69" w:rsidRPr="000345F2" w:rsidRDefault="00BD1F69" w:rsidP="002E5B78">
            <w:pPr>
              <w:jc w:val="center"/>
              <w:rPr>
                <w:rFonts w:ascii="Calibri" w:hAnsi="Calibri" w:cs="Calibri"/>
                <w:b/>
                <w:bCs/>
                <w:szCs w:val="20"/>
              </w:rPr>
            </w:pPr>
            <w:r w:rsidRPr="000345F2">
              <w:rPr>
                <w:rFonts w:ascii="Calibri" w:hAnsi="Calibri" w:cs="Calibri"/>
                <w:b/>
                <w:bCs/>
                <w:szCs w:val="20"/>
              </w:rPr>
              <w:t>Usage</w:t>
            </w:r>
          </w:p>
        </w:tc>
      </w:tr>
      <w:tr w:rsidR="00BD1F69" w:rsidRPr="000345F2" w:rsidTr="002E5B78">
        <w:trPr>
          <w:trHeight w:val="288"/>
        </w:trPr>
        <w:tc>
          <w:tcPr>
            <w:tcW w:w="1013" w:type="pct"/>
            <w:vMerge/>
            <w:tcBorders>
              <w:top w:val="single" w:sz="12" w:space="0" w:color="BFBFBF"/>
              <w:left w:val="nil"/>
              <w:bottom w:val="single" w:sz="12" w:space="0" w:color="BFBFBF"/>
              <w:right w:val="nil"/>
            </w:tcBorders>
            <w:vAlign w:val="center"/>
            <w:hideMark/>
          </w:tcPr>
          <w:p w:rsidR="00BD1F69" w:rsidRPr="000345F2" w:rsidRDefault="00BD1F69" w:rsidP="00BD1F69">
            <w:pPr>
              <w:rPr>
                <w:rFonts w:ascii="Calibri" w:hAnsi="Calibri" w:cs="Calibri"/>
                <w:b/>
                <w:bCs/>
                <w:szCs w:val="20"/>
              </w:rPr>
            </w:pPr>
          </w:p>
        </w:tc>
        <w:tc>
          <w:tcPr>
            <w:tcW w:w="1641" w:type="pct"/>
            <w:vMerge/>
            <w:tcBorders>
              <w:top w:val="single" w:sz="12" w:space="0" w:color="BFBFBF"/>
              <w:left w:val="nil"/>
              <w:bottom w:val="single" w:sz="12" w:space="0" w:color="BFBFBF"/>
              <w:right w:val="nil"/>
            </w:tcBorders>
            <w:vAlign w:val="center"/>
            <w:hideMark/>
          </w:tcPr>
          <w:p w:rsidR="00BD1F69" w:rsidRPr="000345F2" w:rsidRDefault="00BD1F69" w:rsidP="00BD1F69">
            <w:pPr>
              <w:rPr>
                <w:rFonts w:ascii="Calibri" w:hAnsi="Calibri" w:cs="Calibri"/>
                <w:b/>
                <w:bCs/>
                <w:color w:val="000000"/>
                <w:szCs w:val="20"/>
              </w:rPr>
            </w:pPr>
          </w:p>
        </w:tc>
        <w:tc>
          <w:tcPr>
            <w:tcW w:w="605" w:type="pct"/>
            <w:vMerge/>
            <w:tcBorders>
              <w:top w:val="single" w:sz="12" w:space="0" w:color="BFBFBF"/>
              <w:left w:val="nil"/>
              <w:bottom w:val="single" w:sz="12" w:space="0" w:color="BFBFBF"/>
              <w:right w:val="nil"/>
            </w:tcBorders>
            <w:vAlign w:val="center"/>
            <w:hideMark/>
          </w:tcPr>
          <w:p w:rsidR="00BD1F69" w:rsidRPr="000345F2" w:rsidRDefault="00BD1F69" w:rsidP="00BD1F69">
            <w:pPr>
              <w:jc w:val="right"/>
              <w:rPr>
                <w:rFonts w:ascii="Calibri" w:hAnsi="Calibri" w:cs="Calibri"/>
                <w:b/>
                <w:bCs/>
                <w:color w:val="000000"/>
                <w:szCs w:val="20"/>
              </w:rPr>
            </w:pPr>
          </w:p>
        </w:tc>
        <w:tc>
          <w:tcPr>
            <w:tcW w:w="552" w:type="pct"/>
            <w:tcBorders>
              <w:top w:val="nil"/>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(kWh)</w:t>
            </w:r>
          </w:p>
        </w:tc>
        <w:tc>
          <w:tcPr>
            <w:tcW w:w="599" w:type="pct"/>
            <w:tcBorders>
              <w:top w:val="nil"/>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(kWh/HH)</w:t>
            </w:r>
          </w:p>
        </w:tc>
        <w:tc>
          <w:tcPr>
            <w:tcW w:w="589" w:type="pct"/>
            <w:tcBorders>
              <w:top w:val="nil"/>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(GWh)</w:t>
            </w:r>
          </w:p>
        </w:tc>
      </w:tr>
      <w:tr w:rsidR="00BD1F69" w:rsidRPr="00BC384C" w:rsidTr="00BD1F69">
        <w:trPr>
          <w:trHeight w:val="288"/>
        </w:trPr>
        <w:tc>
          <w:tcPr>
            <w:tcW w:w="1013" w:type="pct"/>
            <w:tcBorders>
              <w:top w:val="single" w:sz="4" w:space="0" w:color="BFBFBF"/>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single" w:sz="4" w:space="0" w:color="BFBFBF"/>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Central AC</w:t>
            </w:r>
          </w:p>
        </w:tc>
        <w:tc>
          <w:tcPr>
            <w:tcW w:w="605" w:type="pct"/>
            <w:tcBorders>
              <w:top w:val="single" w:sz="4" w:space="0" w:color="BFBFBF"/>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36.9%</w:t>
            </w:r>
          </w:p>
        </w:tc>
        <w:tc>
          <w:tcPr>
            <w:tcW w:w="552" w:type="pct"/>
            <w:tcBorders>
              <w:top w:val="single" w:sz="4" w:space="0" w:color="BFBFBF"/>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1,249</w:t>
            </w:r>
          </w:p>
        </w:tc>
        <w:tc>
          <w:tcPr>
            <w:tcW w:w="599" w:type="pct"/>
            <w:tcBorders>
              <w:top w:val="single" w:sz="4" w:space="0" w:color="BFBFBF"/>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461</w:t>
            </w:r>
          </w:p>
        </w:tc>
        <w:tc>
          <w:tcPr>
            <w:tcW w:w="589" w:type="pct"/>
            <w:tcBorders>
              <w:top w:val="single" w:sz="4" w:space="0" w:color="BFBFBF"/>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98</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Room AC</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26.4%</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402</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106</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23</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Air-Source Heat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6.5%</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1,268</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82</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17</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Geothermal Heat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0.2%</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1,326</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0</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Evaporative AC</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1.2%</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809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10</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Space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Electric Room Heat</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24.3%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5,302</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1,288</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275</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Space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Electric Furnace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13.4%</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9,021</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1,213</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259</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Space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Air-Source Heat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6.5%</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10,487</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677</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145</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Space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Geothermal Heat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0.2%</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5,564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10</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Heater (&lt;= 55 Gal)</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50.9%</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3,025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1,539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329</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Heater  (55 to 75 Gal)</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6.5%</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3,145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203</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43</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Heater (&gt; 75 Gal)</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0.3%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4,209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12</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3</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Interior Lighting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Screw-in/Hard-wire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955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955</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204</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Interior Lighting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Linear Fluorescent</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114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114</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24</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Interior Lighting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Specialty Lighting</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286</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286</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61</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Exterior Lighting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Screw-in/Hard-wire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289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289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62</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Clothes Washer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91.8%</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95</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20</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Clothes Dryer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49.9%</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738</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368</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79</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Dishwasher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77.1%</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447</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345</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74</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Refrigerator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829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829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177</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Freezer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55.3%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669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370</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79</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Second Refrigerator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20.7%</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1,010</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209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45</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Stove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70.3%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453</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318</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68</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Microwave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94.8%</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139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132</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28</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Personal Computers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64.3%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214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138</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29</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Monitor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78.6%</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91</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71</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15</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Laptops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76.3%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57</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43</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9</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TVs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177.4%</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255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452</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97</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Printer/Fax/Copier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72.6%</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65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47</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10</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Set top Boxes/DVRs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143.9%</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128</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184</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39</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Devices and Gadgets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54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54</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11</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Pool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1.9%</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2,514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49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10</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Pool Heater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0.5%</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4,025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4</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Furnace Fan</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58.7%</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249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146</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31</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Well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9.3%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642</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60</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13</w:t>
            </w:r>
          </w:p>
        </w:tc>
      </w:tr>
      <w:tr w:rsidR="00BD1F69" w:rsidRPr="00BC384C"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AB703E">
              <w:rPr>
                <w:rFonts w:ascii="Calibri" w:hAnsi="Calibri" w:cs="Calibri"/>
                <w:color w:val="C00000"/>
                <w:szCs w:val="20"/>
              </w:rPr>
              <w:t>744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744</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AB703E" w:rsidRDefault="00BD1F69" w:rsidP="00BD1F69">
            <w:pPr>
              <w:ind w:right="288"/>
              <w:jc w:val="right"/>
              <w:rPr>
                <w:rFonts w:ascii="Calibri" w:hAnsi="Calibri" w:cs="Calibri"/>
                <w:szCs w:val="20"/>
              </w:rPr>
            </w:pPr>
            <w:r w:rsidRPr="00AB703E">
              <w:rPr>
                <w:rFonts w:ascii="Calibri" w:hAnsi="Calibri" w:cs="Calibri"/>
                <w:szCs w:val="20"/>
              </w:rPr>
              <w:t>159</w:t>
            </w:r>
          </w:p>
        </w:tc>
      </w:tr>
      <w:tr w:rsidR="00BD1F69" w:rsidRPr="00BC384C" w:rsidTr="00BD1F69">
        <w:trPr>
          <w:trHeight w:val="288"/>
        </w:trPr>
        <w:tc>
          <w:tcPr>
            <w:tcW w:w="2654" w:type="pct"/>
            <w:gridSpan w:val="2"/>
            <w:tcBorders>
              <w:top w:val="single" w:sz="12" w:space="0" w:color="BFBFBF"/>
              <w:left w:val="nil"/>
              <w:bottom w:val="single" w:sz="12" w:space="0" w:color="BFBFBF"/>
              <w:right w:val="nil"/>
            </w:tcBorders>
            <w:shd w:val="clear" w:color="auto" w:fill="FFFFFF" w:themeFill="background1"/>
            <w:noWrap/>
            <w:vAlign w:val="center"/>
            <w:hideMark/>
          </w:tcPr>
          <w:p w:rsidR="00BD1F69" w:rsidRPr="00AB703E" w:rsidRDefault="00BD1F69" w:rsidP="00BD1F69">
            <w:pPr>
              <w:ind w:left="144"/>
              <w:rPr>
                <w:rFonts w:ascii="Calibri" w:hAnsi="Calibri" w:cs="Calibri"/>
                <w:b/>
                <w:bCs/>
                <w:szCs w:val="20"/>
              </w:rPr>
            </w:pPr>
            <w:r w:rsidRPr="00AB703E">
              <w:rPr>
                <w:rFonts w:ascii="Calibri" w:hAnsi="Calibri" w:cs="Calibri"/>
                <w:b/>
                <w:bCs/>
                <w:szCs w:val="20"/>
              </w:rPr>
              <w:t>Total</w:t>
            </w:r>
          </w:p>
        </w:tc>
        <w:tc>
          <w:tcPr>
            <w:tcW w:w="605" w:type="pct"/>
            <w:tcBorders>
              <w:top w:val="single" w:sz="12" w:space="0" w:color="BFBFBF"/>
              <w:left w:val="nil"/>
              <w:bottom w:val="single" w:sz="12" w:space="0" w:color="BFBFBF"/>
              <w:right w:val="nil"/>
            </w:tcBorders>
            <w:shd w:val="clear" w:color="auto" w:fill="FFFFFF" w:themeFill="background1"/>
            <w:noWrap/>
            <w:vAlign w:val="center"/>
            <w:hideMark/>
          </w:tcPr>
          <w:p w:rsidR="00BD1F69" w:rsidRPr="00AB703E" w:rsidRDefault="00BD1F69" w:rsidP="00BD1F69">
            <w:pPr>
              <w:ind w:right="288"/>
              <w:jc w:val="right"/>
              <w:rPr>
                <w:rFonts w:ascii="Calibri" w:hAnsi="Calibri" w:cs="Calibri"/>
                <w:color w:val="C00000"/>
                <w:szCs w:val="20"/>
              </w:rPr>
            </w:pPr>
          </w:p>
        </w:tc>
        <w:tc>
          <w:tcPr>
            <w:tcW w:w="552" w:type="pct"/>
            <w:tcBorders>
              <w:top w:val="single" w:sz="12" w:space="0" w:color="BFBFBF"/>
              <w:left w:val="nil"/>
              <w:bottom w:val="single" w:sz="12" w:space="0" w:color="BFBFBF"/>
              <w:right w:val="nil"/>
            </w:tcBorders>
            <w:shd w:val="clear" w:color="auto" w:fill="auto"/>
            <w:noWrap/>
            <w:vAlign w:val="center"/>
            <w:hideMark/>
          </w:tcPr>
          <w:p w:rsidR="00BD1F69" w:rsidRPr="00AB703E" w:rsidRDefault="00BD1F69" w:rsidP="00BD1F69">
            <w:pPr>
              <w:ind w:right="288"/>
              <w:jc w:val="right"/>
              <w:rPr>
                <w:rFonts w:ascii="Calibri" w:hAnsi="Calibri" w:cs="Calibri"/>
                <w:color w:val="C00000"/>
                <w:szCs w:val="20"/>
              </w:rPr>
            </w:pPr>
          </w:p>
        </w:tc>
        <w:tc>
          <w:tcPr>
            <w:tcW w:w="599" w:type="pct"/>
            <w:tcBorders>
              <w:top w:val="single" w:sz="12" w:space="0" w:color="BFBFBF"/>
              <w:left w:val="nil"/>
              <w:bottom w:val="single" w:sz="12" w:space="0" w:color="BFBFBF"/>
              <w:right w:val="nil"/>
            </w:tcBorders>
            <w:shd w:val="clear" w:color="auto" w:fill="E5ECF1"/>
            <w:noWrap/>
            <w:vAlign w:val="center"/>
            <w:hideMark/>
          </w:tcPr>
          <w:p w:rsidR="00BD1F69" w:rsidRPr="00AB703E" w:rsidRDefault="00BD1F69" w:rsidP="00BD1F69">
            <w:pPr>
              <w:ind w:right="288"/>
              <w:jc w:val="right"/>
              <w:rPr>
                <w:rFonts w:ascii="Calibri" w:hAnsi="Calibri" w:cs="Calibri"/>
                <w:b/>
                <w:bCs/>
                <w:color w:val="000000"/>
                <w:szCs w:val="20"/>
              </w:rPr>
            </w:pPr>
            <w:r w:rsidRPr="00AB703E">
              <w:rPr>
                <w:rFonts w:ascii="Calibri" w:hAnsi="Calibri" w:cs="Calibri"/>
                <w:b/>
                <w:bCs/>
                <w:color w:val="000000"/>
                <w:szCs w:val="20"/>
              </w:rPr>
              <w:t>11,919</w:t>
            </w:r>
          </w:p>
        </w:tc>
        <w:tc>
          <w:tcPr>
            <w:tcW w:w="589" w:type="pct"/>
            <w:tcBorders>
              <w:top w:val="single" w:sz="12" w:space="0" w:color="BFBFBF"/>
              <w:left w:val="nil"/>
              <w:bottom w:val="single" w:sz="12" w:space="0" w:color="BFBFBF"/>
              <w:right w:val="nil"/>
            </w:tcBorders>
            <w:shd w:val="clear" w:color="auto" w:fill="E5ECF1"/>
            <w:noWrap/>
            <w:vAlign w:val="center"/>
            <w:hideMark/>
          </w:tcPr>
          <w:p w:rsidR="00BD1F69" w:rsidRPr="00AB703E" w:rsidRDefault="00BD1F69" w:rsidP="00BD1F69">
            <w:pPr>
              <w:ind w:right="288"/>
              <w:jc w:val="right"/>
              <w:rPr>
                <w:rFonts w:ascii="Calibri" w:hAnsi="Calibri" w:cs="Calibri"/>
                <w:b/>
                <w:bCs/>
                <w:color w:val="000000"/>
                <w:szCs w:val="20"/>
              </w:rPr>
            </w:pPr>
            <w:r w:rsidRPr="00AB703E">
              <w:rPr>
                <w:rFonts w:ascii="Calibri" w:hAnsi="Calibri" w:cs="Calibri"/>
                <w:b/>
                <w:bCs/>
                <w:color w:val="000000"/>
                <w:szCs w:val="20"/>
              </w:rPr>
              <w:t>2,546</w:t>
            </w:r>
          </w:p>
        </w:tc>
      </w:tr>
    </w:tbl>
    <w:p w:rsidR="00E97736" w:rsidRDefault="00E97736" w:rsidP="00EC2CA5">
      <w:pPr>
        <w:pStyle w:val="BodyText"/>
      </w:pPr>
      <w:r>
        <w:br w:type="page"/>
      </w:r>
    </w:p>
    <w:p w:rsidR="00E97736" w:rsidRPr="0018065C" w:rsidRDefault="00E97736" w:rsidP="00E97736">
      <w:pPr>
        <w:pStyle w:val="FigureorTableTitle"/>
      </w:pPr>
      <w:bookmarkStart w:id="170" w:name="_Ref422830470"/>
      <w:bookmarkStart w:id="171" w:name="_Toc424192767"/>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6</w:t>
      </w:r>
      <w:r w:rsidR="00512CD6">
        <w:rPr>
          <w:bCs w:val="0"/>
          <w:iCs w:val="0"/>
          <w:noProof/>
        </w:rPr>
        <w:fldChar w:fldCharType="end"/>
      </w:r>
      <w:bookmarkEnd w:id="170"/>
      <w:r>
        <w:tab/>
        <w:t>Average Market Profile for the Residential Sector, 2013, Idaho</w:t>
      </w:r>
      <w:bookmarkEnd w:id="171"/>
    </w:p>
    <w:tbl>
      <w:tblPr>
        <w:tblW w:w="5000" w:type="pct"/>
        <w:tblCellMar>
          <w:left w:w="0" w:type="dxa"/>
          <w:right w:w="0" w:type="dxa"/>
        </w:tblCellMar>
        <w:tblLook w:val="04A0" w:firstRow="1" w:lastRow="0" w:firstColumn="1" w:lastColumn="0" w:noHBand="0" w:noVBand="1"/>
      </w:tblPr>
      <w:tblGrid>
        <w:gridCol w:w="1824"/>
        <w:gridCol w:w="2955"/>
        <w:gridCol w:w="1089"/>
        <w:gridCol w:w="994"/>
        <w:gridCol w:w="1078"/>
        <w:gridCol w:w="1060"/>
      </w:tblGrid>
      <w:tr w:rsidR="00BD1F69" w:rsidRPr="000345F2" w:rsidTr="002E5B78">
        <w:trPr>
          <w:trHeight w:val="288"/>
        </w:trPr>
        <w:tc>
          <w:tcPr>
            <w:tcW w:w="1013" w:type="pct"/>
            <w:vMerge w:val="restart"/>
            <w:tcBorders>
              <w:top w:val="single" w:sz="12" w:space="0" w:color="BFBFBF"/>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szCs w:val="20"/>
              </w:rPr>
            </w:pPr>
            <w:r w:rsidRPr="000345F2">
              <w:rPr>
                <w:rFonts w:ascii="Calibri" w:hAnsi="Calibri" w:cs="Calibri"/>
                <w:b/>
                <w:bCs/>
                <w:szCs w:val="20"/>
              </w:rPr>
              <w:t>End Use</w:t>
            </w:r>
          </w:p>
        </w:tc>
        <w:tc>
          <w:tcPr>
            <w:tcW w:w="1641" w:type="pct"/>
            <w:vMerge w:val="restart"/>
            <w:tcBorders>
              <w:top w:val="single" w:sz="12" w:space="0" w:color="BFBFBF"/>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Technology</w:t>
            </w:r>
          </w:p>
        </w:tc>
        <w:tc>
          <w:tcPr>
            <w:tcW w:w="605" w:type="pct"/>
            <w:vMerge w:val="restart"/>
            <w:tcBorders>
              <w:top w:val="single" w:sz="12" w:space="0" w:color="BFBFBF"/>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Saturation</w:t>
            </w:r>
          </w:p>
        </w:tc>
        <w:tc>
          <w:tcPr>
            <w:tcW w:w="552" w:type="pct"/>
            <w:tcBorders>
              <w:top w:val="single" w:sz="12" w:space="0" w:color="BFBFBF"/>
              <w:left w:val="nil"/>
              <w:bottom w:val="nil"/>
              <w:right w:val="nil"/>
            </w:tcBorders>
            <w:shd w:val="clear" w:color="000000" w:fill="FFFFFF"/>
            <w:vAlign w:val="center"/>
            <w:hideMark/>
          </w:tcPr>
          <w:p w:rsidR="00BD1F69" w:rsidRPr="000345F2" w:rsidRDefault="00BD1F69" w:rsidP="002E5B78">
            <w:pPr>
              <w:jc w:val="center"/>
              <w:rPr>
                <w:rFonts w:ascii="Calibri" w:hAnsi="Calibri" w:cs="Calibri"/>
                <w:b/>
                <w:bCs/>
                <w:szCs w:val="20"/>
              </w:rPr>
            </w:pPr>
            <w:r w:rsidRPr="000345F2">
              <w:rPr>
                <w:rFonts w:ascii="Calibri" w:hAnsi="Calibri" w:cs="Calibri"/>
                <w:b/>
                <w:bCs/>
                <w:szCs w:val="20"/>
              </w:rPr>
              <w:t>UEC</w:t>
            </w:r>
          </w:p>
        </w:tc>
        <w:tc>
          <w:tcPr>
            <w:tcW w:w="599" w:type="pct"/>
            <w:tcBorders>
              <w:top w:val="single" w:sz="12" w:space="0" w:color="BFBFBF"/>
              <w:left w:val="nil"/>
              <w:bottom w:val="nil"/>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Intensity</w:t>
            </w:r>
          </w:p>
        </w:tc>
        <w:tc>
          <w:tcPr>
            <w:tcW w:w="589" w:type="pct"/>
            <w:tcBorders>
              <w:top w:val="single" w:sz="12" w:space="0" w:color="BFBFBF"/>
              <w:left w:val="nil"/>
              <w:bottom w:val="nil"/>
              <w:right w:val="nil"/>
            </w:tcBorders>
            <w:shd w:val="clear" w:color="000000" w:fill="FFFFFF"/>
            <w:vAlign w:val="center"/>
            <w:hideMark/>
          </w:tcPr>
          <w:p w:rsidR="00BD1F69" w:rsidRPr="000345F2" w:rsidRDefault="00BD1F69" w:rsidP="002E5B78">
            <w:pPr>
              <w:jc w:val="center"/>
              <w:rPr>
                <w:rFonts w:ascii="Calibri" w:hAnsi="Calibri" w:cs="Calibri"/>
                <w:b/>
                <w:bCs/>
                <w:szCs w:val="20"/>
              </w:rPr>
            </w:pPr>
            <w:r w:rsidRPr="000345F2">
              <w:rPr>
                <w:rFonts w:ascii="Calibri" w:hAnsi="Calibri" w:cs="Calibri"/>
                <w:b/>
                <w:bCs/>
                <w:szCs w:val="20"/>
              </w:rPr>
              <w:t>Usage</w:t>
            </w:r>
          </w:p>
        </w:tc>
      </w:tr>
      <w:tr w:rsidR="00BD1F69" w:rsidRPr="000345F2" w:rsidTr="002E5B78">
        <w:trPr>
          <w:trHeight w:val="288"/>
        </w:trPr>
        <w:tc>
          <w:tcPr>
            <w:tcW w:w="1013" w:type="pct"/>
            <w:vMerge/>
            <w:tcBorders>
              <w:top w:val="single" w:sz="12" w:space="0" w:color="BFBFBF"/>
              <w:left w:val="nil"/>
              <w:bottom w:val="single" w:sz="12" w:space="0" w:color="BFBFBF"/>
              <w:right w:val="nil"/>
            </w:tcBorders>
            <w:vAlign w:val="center"/>
            <w:hideMark/>
          </w:tcPr>
          <w:p w:rsidR="00BD1F69" w:rsidRPr="000345F2" w:rsidRDefault="00BD1F69" w:rsidP="002E5B78">
            <w:pPr>
              <w:jc w:val="center"/>
              <w:rPr>
                <w:rFonts w:ascii="Calibri" w:hAnsi="Calibri" w:cs="Calibri"/>
                <w:b/>
                <w:bCs/>
                <w:szCs w:val="20"/>
              </w:rPr>
            </w:pPr>
          </w:p>
        </w:tc>
        <w:tc>
          <w:tcPr>
            <w:tcW w:w="1641" w:type="pct"/>
            <w:vMerge/>
            <w:tcBorders>
              <w:top w:val="single" w:sz="12" w:space="0" w:color="BFBFBF"/>
              <w:left w:val="nil"/>
              <w:bottom w:val="single" w:sz="12" w:space="0" w:color="BFBFBF"/>
              <w:right w:val="nil"/>
            </w:tcBorders>
            <w:vAlign w:val="center"/>
            <w:hideMark/>
          </w:tcPr>
          <w:p w:rsidR="00BD1F69" w:rsidRPr="000345F2" w:rsidRDefault="00BD1F69" w:rsidP="002E5B78">
            <w:pPr>
              <w:jc w:val="center"/>
              <w:rPr>
                <w:rFonts w:ascii="Calibri" w:hAnsi="Calibri" w:cs="Calibri"/>
                <w:b/>
                <w:bCs/>
                <w:color w:val="000000"/>
                <w:szCs w:val="20"/>
              </w:rPr>
            </w:pPr>
          </w:p>
        </w:tc>
        <w:tc>
          <w:tcPr>
            <w:tcW w:w="605" w:type="pct"/>
            <w:vMerge/>
            <w:tcBorders>
              <w:top w:val="single" w:sz="12" w:space="0" w:color="BFBFBF"/>
              <w:left w:val="nil"/>
              <w:bottom w:val="single" w:sz="12" w:space="0" w:color="BFBFBF"/>
              <w:right w:val="nil"/>
            </w:tcBorders>
            <w:vAlign w:val="center"/>
            <w:hideMark/>
          </w:tcPr>
          <w:p w:rsidR="00BD1F69" w:rsidRPr="000345F2" w:rsidRDefault="00BD1F69" w:rsidP="002E5B78">
            <w:pPr>
              <w:jc w:val="center"/>
              <w:rPr>
                <w:rFonts w:ascii="Calibri" w:hAnsi="Calibri" w:cs="Calibri"/>
                <w:b/>
                <w:bCs/>
                <w:color w:val="000000"/>
                <w:szCs w:val="20"/>
              </w:rPr>
            </w:pPr>
          </w:p>
        </w:tc>
        <w:tc>
          <w:tcPr>
            <w:tcW w:w="552" w:type="pct"/>
            <w:tcBorders>
              <w:top w:val="nil"/>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(kWh)</w:t>
            </w:r>
          </w:p>
        </w:tc>
        <w:tc>
          <w:tcPr>
            <w:tcW w:w="599" w:type="pct"/>
            <w:tcBorders>
              <w:top w:val="nil"/>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(kWh/HH)</w:t>
            </w:r>
          </w:p>
        </w:tc>
        <w:tc>
          <w:tcPr>
            <w:tcW w:w="589" w:type="pct"/>
            <w:tcBorders>
              <w:top w:val="nil"/>
              <w:left w:val="nil"/>
              <w:bottom w:val="single" w:sz="12" w:space="0" w:color="BFBFBF"/>
              <w:right w:val="nil"/>
            </w:tcBorders>
            <w:shd w:val="clear" w:color="000000" w:fill="FFFFFF"/>
            <w:vAlign w:val="center"/>
            <w:hideMark/>
          </w:tcPr>
          <w:p w:rsidR="00BD1F69" w:rsidRPr="000345F2" w:rsidRDefault="00BD1F69" w:rsidP="002E5B78">
            <w:pPr>
              <w:jc w:val="center"/>
              <w:rPr>
                <w:rFonts w:ascii="Calibri" w:hAnsi="Calibri" w:cs="Calibri"/>
                <w:b/>
                <w:bCs/>
                <w:color w:val="000000"/>
                <w:szCs w:val="20"/>
              </w:rPr>
            </w:pPr>
            <w:r w:rsidRPr="000345F2">
              <w:rPr>
                <w:rFonts w:ascii="Calibri" w:hAnsi="Calibri" w:cs="Calibri"/>
                <w:b/>
                <w:bCs/>
                <w:color w:val="000000"/>
                <w:szCs w:val="20"/>
              </w:rPr>
              <w:t>(GWh)</w:t>
            </w:r>
          </w:p>
        </w:tc>
      </w:tr>
      <w:tr w:rsidR="00BD1F69" w:rsidRPr="00732BAB" w:rsidTr="00BD1F69">
        <w:trPr>
          <w:trHeight w:val="288"/>
        </w:trPr>
        <w:tc>
          <w:tcPr>
            <w:tcW w:w="1013" w:type="pct"/>
            <w:tcBorders>
              <w:top w:val="single" w:sz="4" w:space="0" w:color="BFBFBF"/>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single" w:sz="4" w:space="0" w:color="BFBFBF"/>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Central AC</w:t>
            </w:r>
          </w:p>
        </w:tc>
        <w:tc>
          <w:tcPr>
            <w:tcW w:w="605" w:type="pct"/>
            <w:tcBorders>
              <w:top w:val="single" w:sz="4" w:space="0" w:color="BFBFBF"/>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33.4%</w:t>
            </w:r>
          </w:p>
        </w:tc>
        <w:tc>
          <w:tcPr>
            <w:tcW w:w="552" w:type="pct"/>
            <w:tcBorders>
              <w:top w:val="single" w:sz="4" w:space="0" w:color="BFBFBF"/>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1,134</w:t>
            </w:r>
          </w:p>
        </w:tc>
        <w:tc>
          <w:tcPr>
            <w:tcW w:w="599" w:type="pct"/>
            <w:tcBorders>
              <w:top w:val="single" w:sz="4" w:space="0" w:color="BFBFBF"/>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379</w:t>
            </w:r>
          </w:p>
        </w:tc>
        <w:tc>
          <w:tcPr>
            <w:tcW w:w="589" w:type="pct"/>
            <w:tcBorders>
              <w:top w:val="single" w:sz="4" w:space="0" w:color="BFBFBF"/>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41</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Room AC</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18.6%</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416</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77</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8</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Air-Source Heat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5.3%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1,282</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68</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7</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Geothermal Heat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0</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0</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0</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Cooling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Evaporative AC</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1.5%</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777</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12</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Space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Electric Room Heat</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24.2%</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6,354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1,540</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165</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Space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Electric Furnace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13.1%</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8,904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1,168</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126</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Space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Air-Source Heat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5.3%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10,465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557</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60</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Space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Geothermal Heat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0</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0</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0</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Heater (&lt;= 55 Gal)</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49.2%</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2,904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1,429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154</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Heater  (55 to 75 Gal)</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6.2%</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3,025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189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20</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Water Heater (&gt; 75 Gal)</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0.3%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3,847</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11</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Interior Lighting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Screw-in/Hard-wire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1,041</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1,041</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112</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Interior Lighting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Linear Fluorescent</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129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129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14</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Interior Lighting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Specialty Lighting</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243</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243</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26</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Exterior Lighting</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Screw-in/Hard-wire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323</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323</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35</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Clothes Washer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85.1%</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99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84</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9</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Clothes Dryer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60.3%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754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454</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49</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Dishwasher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77.6%</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424</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329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35</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Refrigerator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789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789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85</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Freezer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52.3%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643</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337</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36</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Second Refrigerator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21.1%</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945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199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21</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Stove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63.6%</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433</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275</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30</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Appliances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Microwave</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91.2%</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132</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120</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13</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Personal Computers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56.9%</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200</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114</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12</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Monitor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69.6%</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85</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59</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6</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Laptops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79.3%</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53</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42</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5</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TVs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174.6%</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248</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434</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47</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Printer/Fax/Copier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66.7%</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61</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41</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4</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Set top Boxes/DVRs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92.5%</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120</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111</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12</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Electronics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Devices and Gadgets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51</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51</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5</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Pool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1.6%</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2,342</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38</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4</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Pool Heater</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0.4%</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3,750</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15</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2</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Furnace Fan</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59.7%</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239</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142</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15</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Well pump</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12.5%</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598</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75</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8</w:t>
            </w:r>
          </w:p>
        </w:tc>
      </w:tr>
      <w:tr w:rsidR="00BD1F69" w:rsidRPr="00732BAB" w:rsidTr="00BD1F69">
        <w:trPr>
          <w:trHeight w:val="288"/>
        </w:trPr>
        <w:tc>
          <w:tcPr>
            <w:tcW w:w="1013"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1641"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left="144"/>
              <w:rPr>
                <w:rFonts w:ascii="Calibri" w:hAnsi="Calibri" w:cs="Calibri"/>
                <w:color w:val="000000"/>
                <w:szCs w:val="20"/>
              </w:rPr>
            </w:pPr>
            <w:r w:rsidRPr="000345F2">
              <w:rPr>
                <w:rFonts w:ascii="Calibri" w:hAnsi="Calibri" w:cs="Calibri"/>
                <w:color w:val="000000"/>
                <w:szCs w:val="20"/>
              </w:rPr>
              <w:t>Miscellaneous</w:t>
            </w:r>
          </w:p>
        </w:tc>
        <w:tc>
          <w:tcPr>
            <w:tcW w:w="605"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100.0%</w:t>
            </w:r>
          </w:p>
        </w:tc>
        <w:tc>
          <w:tcPr>
            <w:tcW w:w="552" w:type="pct"/>
            <w:tcBorders>
              <w:top w:val="nil"/>
              <w:left w:val="nil"/>
              <w:bottom w:val="single" w:sz="4" w:space="0" w:color="BFBFBF"/>
              <w:right w:val="nil"/>
            </w:tcBorders>
            <w:shd w:val="clear" w:color="000000" w:fill="FFFFFF"/>
            <w:noWrap/>
            <w:vAlign w:val="center"/>
            <w:hideMark/>
          </w:tcPr>
          <w:p w:rsidR="00BD1F69" w:rsidRPr="000345F2" w:rsidRDefault="00BD1F69" w:rsidP="00BD1F69">
            <w:pPr>
              <w:ind w:right="288"/>
              <w:jc w:val="right"/>
              <w:rPr>
                <w:rFonts w:ascii="Calibri" w:hAnsi="Calibri" w:cs="Calibri"/>
                <w:color w:val="C00000"/>
                <w:szCs w:val="20"/>
              </w:rPr>
            </w:pPr>
            <w:r w:rsidRPr="00E97736">
              <w:rPr>
                <w:rFonts w:ascii="Calibri" w:hAnsi="Calibri" w:cs="Calibri"/>
                <w:color w:val="C00000"/>
                <w:szCs w:val="20"/>
              </w:rPr>
              <w:t>356</w:t>
            </w:r>
          </w:p>
        </w:tc>
        <w:tc>
          <w:tcPr>
            <w:tcW w:w="59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356</w:t>
            </w:r>
          </w:p>
        </w:tc>
        <w:tc>
          <w:tcPr>
            <w:tcW w:w="589" w:type="pct"/>
            <w:tcBorders>
              <w:top w:val="nil"/>
              <w:left w:val="nil"/>
              <w:bottom w:val="single" w:sz="4" w:space="0" w:color="BFBFBF"/>
              <w:right w:val="nil"/>
            </w:tcBorders>
            <w:shd w:val="clear" w:color="auto" w:fill="E5EBF1" w:themeFill="accent2" w:themeFillTint="33"/>
            <w:noWrap/>
            <w:vAlign w:val="center"/>
            <w:hideMark/>
          </w:tcPr>
          <w:p w:rsidR="00BD1F69" w:rsidRPr="00E97736" w:rsidRDefault="00BD1F69" w:rsidP="00BD1F69">
            <w:pPr>
              <w:ind w:right="288"/>
              <w:jc w:val="right"/>
              <w:rPr>
                <w:rFonts w:ascii="Calibri" w:hAnsi="Calibri" w:cs="Calibri"/>
                <w:szCs w:val="20"/>
              </w:rPr>
            </w:pPr>
            <w:r w:rsidRPr="00E97736">
              <w:rPr>
                <w:rFonts w:ascii="Calibri" w:hAnsi="Calibri" w:cs="Calibri"/>
                <w:szCs w:val="20"/>
              </w:rPr>
              <w:t>38</w:t>
            </w:r>
          </w:p>
        </w:tc>
      </w:tr>
      <w:tr w:rsidR="00BD1F69" w:rsidRPr="00732BAB" w:rsidTr="00BD1F69">
        <w:trPr>
          <w:trHeight w:val="288"/>
        </w:trPr>
        <w:tc>
          <w:tcPr>
            <w:tcW w:w="2654" w:type="pct"/>
            <w:gridSpan w:val="2"/>
            <w:tcBorders>
              <w:top w:val="single" w:sz="12" w:space="0" w:color="BFBFBF"/>
              <w:left w:val="nil"/>
              <w:bottom w:val="single" w:sz="12" w:space="0" w:color="BFBFBF"/>
              <w:right w:val="nil"/>
            </w:tcBorders>
            <w:shd w:val="clear" w:color="auto" w:fill="FFFFFF" w:themeFill="background1"/>
            <w:noWrap/>
            <w:vAlign w:val="center"/>
            <w:hideMark/>
          </w:tcPr>
          <w:p w:rsidR="00BD1F69" w:rsidRPr="00AB703E" w:rsidRDefault="00BD1F69" w:rsidP="00BD1F69">
            <w:pPr>
              <w:ind w:left="144"/>
              <w:rPr>
                <w:rFonts w:ascii="Calibri" w:hAnsi="Calibri" w:cs="Calibri"/>
                <w:b/>
                <w:bCs/>
                <w:szCs w:val="20"/>
              </w:rPr>
            </w:pPr>
            <w:r w:rsidRPr="00AB703E">
              <w:rPr>
                <w:rFonts w:ascii="Calibri" w:hAnsi="Calibri" w:cs="Calibri"/>
                <w:b/>
                <w:bCs/>
                <w:szCs w:val="20"/>
              </w:rPr>
              <w:t>Total</w:t>
            </w:r>
          </w:p>
        </w:tc>
        <w:tc>
          <w:tcPr>
            <w:tcW w:w="605" w:type="pct"/>
            <w:tcBorders>
              <w:top w:val="single" w:sz="12" w:space="0" w:color="BFBFBF"/>
              <w:left w:val="nil"/>
              <w:bottom w:val="single" w:sz="12" w:space="0" w:color="BFBFBF"/>
              <w:right w:val="nil"/>
            </w:tcBorders>
            <w:shd w:val="clear" w:color="auto" w:fill="FFFFFF" w:themeFill="background1"/>
            <w:noWrap/>
            <w:vAlign w:val="center"/>
            <w:hideMark/>
          </w:tcPr>
          <w:p w:rsidR="00BD1F69" w:rsidRPr="00AB703E" w:rsidRDefault="00BD1F69" w:rsidP="00BD1F69">
            <w:pPr>
              <w:ind w:right="288"/>
              <w:jc w:val="right"/>
              <w:rPr>
                <w:rFonts w:ascii="Calibri" w:hAnsi="Calibri" w:cs="Calibri"/>
                <w:color w:val="C00000"/>
                <w:szCs w:val="20"/>
              </w:rPr>
            </w:pPr>
          </w:p>
        </w:tc>
        <w:tc>
          <w:tcPr>
            <w:tcW w:w="552" w:type="pct"/>
            <w:tcBorders>
              <w:top w:val="single" w:sz="12" w:space="0" w:color="BFBFBF"/>
              <w:left w:val="nil"/>
              <w:bottom w:val="single" w:sz="12" w:space="0" w:color="BFBFBF"/>
              <w:right w:val="nil"/>
            </w:tcBorders>
            <w:shd w:val="clear" w:color="auto" w:fill="auto"/>
            <w:noWrap/>
            <w:vAlign w:val="center"/>
            <w:hideMark/>
          </w:tcPr>
          <w:p w:rsidR="00BD1F69" w:rsidRPr="00AB703E" w:rsidRDefault="00BD1F69" w:rsidP="00BD1F69">
            <w:pPr>
              <w:ind w:right="288"/>
              <w:jc w:val="right"/>
              <w:rPr>
                <w:rFonts w:ascii="Calibri" w:hAnsi="Calibri" w:cs="Calibri"/>
                <w:color w:val="C00000"/>
                <w:szCs w:val="20"/>
              </w:rPr>
            </w:pPr>
          </w:p>
        </w:tc>
        <w:tc>
          <w:tcPr>
            <w:tcW w:w="599" w:type="pct"/>
            <w:tcBorders>
              <w:top w:val="single" w:sz="12" w:space="0" w:color="BFBFBF"/>
              <w:left w:val="nil"/>
              <w:bottom w:val="single" w:sz="12" w:space="0" w:color="BFBFBF"/>
              <w:right w:val="nil"/>
            </w:tcBorders>
            <w:shd w:val="clear" w:color="auto" w:fill="E5ECF1"/>
            <w:noWrap/>
            <w:vAlign w:val="center"/>
            <w:hideMark/>
          </w:tcPr>
          <w:p w:rsidR="00BD1F69" w:rsidRPr="00E97736" w:rsidRDefault="00BD1F69" w:rsidP="00BD1F69">
            <w:pPr>
              <w:ind w:right="288"/>
              <w:jc w:val="right"/>
              <w:rPr>
                <w:rFonts w:ascii="Calibri" w:hAnsi="Calibri" w:cs="Calibri"/>
                <w:b/>
                <w:szCs w:val="20"/>
              </w:rPr>
            </w:pPr>
            <w:r w:rsidRPr="00E97736">
              <w:rPr>
                <w:rFonts w:ascii="Calibri" w:hAnsi="Calibri" w:cs="Calibri"/>
                <w:b/>
                <w:szCs w:val="20"/>
              </w:rPr>
              <w:t>11,233</w:t>
            </w:r>
          </w:p>
        </w:tc>
        <w:tc>
          <w:tcPr>
            <w:tcW w:w="589" w:type="pct"/>
            <w:tcBorders>
              <w:top w:val="single" w:sz="12" w:space="0" w:color="BFBFBF"/>
              <w:left w:val="nil"/>
              <w:bottom w:val="single" w:sz="12" w:space="0" w:color="BFBFBF"/>
              <w:right w:val="nil"/>
            </w:tcBorders>
            <w:shd w:val="clear" w:color="auto" w:fill="E5ECF1"/>
            <w:noWrap/>
            <w:vAlign w:val="center"/>
            <w:hideMark/>
          </w:tcPr>
          <w:p w:rsidR="00BD1F69" w:rsidRPr="00E97736" w:rsidRDefault="00BD1F69" w:rsidP="00BD1F69">
            <w:pPr>
              <w:ind w:right="288"/>
              <w:jc w:val="right"/>
              <w:rPr>
                <w:rFonts w:ascii="Calibri" w:hAnsi="Calibri" w:cs="Calibri"/>
                <w:b/>
                <w:szCs w:val="20"/>
              </w:rPr>
            </w:pPr>
            <w:r w:rsidRPr="00E97736">
              <w:rPr>
                <w:rFonts w:ascii="Calibri" w:hAnsi="Calibri" w:cs="Calibri"/>
                <w:b/>
                <w:szCs w:val="20"/>
              </w:rPr>
              <w:t>1,207</w:t>
            </w:r>
          </w:p>
        </w:tc>
      </w:tr>
    </w:tbl>
    <w:p w:rsidR="00157088" w:rsidRDefault="00157088" w:rsidP="00157088">
      <w:pPr>
        <w:rPr>
          <w:spacing w:val="4"/>
          <w:szCs w:val="18"/>
        </w:rPr>
      </w:pPr>
      <w:r>
        <w:br w:type="page"/>
      </w:r>
    </w:p>
    <w:p w:rsidR="00157088" w:rsidRDefault="00157088" w:rsidP="00157088">
      <w:pPr>
        <w:pStyle w:val="Heading2"/>
      </w:pPr>
      <w:bookmarkStart w:id="172" w:name="_Toc335647162"/>
      <w:bookmarkStart w:id="173" w:name="_Toc341176226"/>
      <w:bookmarkStart w:id="174" w:name="_Toc401046345"/>
      <w:bookmarkStart w:id="175" w:name="_Toc424192622"/>
      <w:r>
        <w:lastRenderedPageBreak/>
        <w:t>Commercial Sector</w:t>
      </w:r>
      <w:bookmarkEnd w:id="172"/>
      <w:bookmarkEnd w:id="173"/>
      <w:bookmarkEnd w:id="174"/>
      <w:bookmarkEnd w:id="175"/>
    </w:p>
    <w:p w:rsidR="00157088" w:rsidRPr="00DE52BB" w:rsidRDefault="00157088" w:rsidP="00157088">
      <w:pPr>
        <w:pStyle w:val="BodyText"/>
      </w:pPr>
      <w:bookmarkStart w:id="176" w:name="_Ref332119757"/>
      <w:bookmarkStart w:id="177" w:name="_Toc334177764"/>
      <w:r>
        <w:t xml:space="preserve">The total electric energy consumed by commercial customers in </w:t>
      </w:r>
      <w:r w:rsidR="002B41DF">
        <w:t>Avista</w:t>
      </w:r>
      <w:r>
        <w:t>’s service area in 201</w:t>
      </w:r>
      <w:r w:rsidR="001C78AD">
        <w:t>3</w:t>
      </w:r>
      <w:r>
        <w:t xml:space="preserve"> was </w:t>
      </w:r>
      <w:r w:rsidR="002B41DF">
        <w:t>2</w:t>
      </w:r>
      <w:r w:rsidR="001C78AD">
        <w:t>,</w:t>
      </w:r>
      <w:r w:rsidR="002B41DF">
        <w:t>086</w:t>
      </w:r>
      <w:r>
        <w:t xml:space="preserve"> GWh</w:t>
      </w:r>
      <w:r w:rsidR="002B41DF">
        <w:t xml:space="preserve"> (WA) and 976 GWh (ID)</w:t>
      </w:r>
      <w:r>
        <w:t xml:space="preserve">. </w:t>
      </w:r>
      <w:r w:rsidR="00932228">
        <w:t>Summer p</w:t>
      </w:r>
      <w:r w:rsidR="0008482C">
        <w:t>eak demand was 368 MW (</w:t>
      </w:r>
      <w:r w:rsidR="00932228">
        <w:t>WA</w:t>
      </w:r>
      <w:r w:rsidR="0008482C">
        <w:t xml:space="preserve">) and </w:t>
      </w:r>
      <w:r w:rsidR="00932228">
        <w:t>167</w:t>
      </w:r>
      <w:r w:rsidR="0008482C">
        <w:t xml:space="preserve"> MW (</w:t>
      </w:r>
      <w:r w:rsidR="00932228">
        <w:t>ID</w:t>
      </w:r>
      <w:r w:rsidR="0008482C">
        <w:t xml:space="preserve">). </w:t>
      </w:r>
      <w:r w:rsidR="00932228">
        <w:t>Winter</w:t>
      </w:r>
      <w:r w:rsidR="0008482C">
        <w:t xml:space="preserve"> peak demand was </w:t>
      </w:r>
      <w:r w:rsidR="00932228">
        <w:t>333</w:t>
      </w:r>
      <w:r w:rsidR="0008482C">
        <w:t xml:space="preserve"> MW (</w:t>
      </w:r>
      <w:r w:rsidR="00932228">
        <w:t>WA</w:t>
      </w:r>
      <w:r w:rsidR="0008482C">
        <w:t>) and 152 MW (</w:t>
      </w:r>
      <w:r w:rsidR="00932228">
        <w:t>ID</w:t>
      </w:r>
      <w:r w:rsidR="0008482C">
        <w:t xml:space="preserve">). </w:t>
      </w:r>
      <w:r w:rsidR="002B41DF">
        <w:t>Avista</w:t>
      </w:r>
      <w:r w:rsidR="00376A12">
        <w:t xml:space="preserve"> </w:t>
      </w:r>
      <w:r w:rsidR="006A4E7D">
        <w:t xml:space="preserve">billing data, </w:t>
      </w:r>
      <w:r w:rsidR="00E43B5C">
        <w:t>CBSA</w:t>
      </w:r>
      <w:r w:rsidR="006A4E7D">
        <w:t xml:space="preserve"> and secondary data were used </w:t>
      </w:r>
      <w:r w:rsidRPr="006A4E7D">
        <w:t xml:space="preserve">to allocate this energy usage to </w:t>
      </w:r>
      <w:r w:rsidR="00E43B5C">
        <w:t>building type</w:t>
      </w:r>
      <w:r w:rsidRPr="006A4E7D">
        <w:t xml:space="preserve"> segments and to develop estimates of energy intensity (annual kWh/square foot).</w:t>
      </w:r>
      <w:r>
        <w:t xml:space="preserve"> Using the electricity use and intensity estimates, we infer floor space which is the unit of analysis in LoadMAP for the commercial sector. </w:t>
      </w:r>
      <w:r w:rsidRPr="003863A4">
        <w:t>The values</w:t>
      </w:r>
      <w:r>
        <w:t xml:space="preserve"> are</w:t>
      </w:r>
      <w:r w:rsidRPr="003863A4">
        <w:t xml:space="preserve"> </w:t>
      </w:r>
      <w:r>
        <w:t xml:space="preserve">shown in </w:t>
      </w:r>
      <w:r w:rsidR="00893E3D">
        <w:fldChar w:fldCharType="begin"/>
      </w:r>
      <w:r w:rsidR="00B604D8">
        <w:instrText xml:space="preserve"> REF _Ref402252176 \h </w:instrText>
      </w:r>
      <w:r w:rsidR="00893E3D">
        <w:fldChar w:fldCharType="separate"/>
      </w:r>
      <w:r w:rsidR="00B2652C" w:rsidRPr="00535EB3">
        <w:t xml:space="preserve">Table </w:t>
      </w:r>
      <w:r w:rsidR="00B2652C" w:rsidRPr="00B2652C">
        <w:rPr>
          <w:noProof/>
        </w:rPr>
        <w:t>3</w:t>
      </w:r>
      <w:r w:rsidR="00B2652C" w:rsidRPr="00535EB3">
        <w:t>-</w:t>
      </w:r>
      <w:r w:rsidR="00B2652C" w:rsidRPr="00B2652C">
        <w:rPr>
          <w:noProof/>
        </w:rPr>
        <w:t>7</w:t>
      </w:r>
      <w:r w:rsidR="00893E3D">
        <w:fldChar w:fldCharType="end"/>
      </w:r>
      <w:r w:rsidR="002B41DF">
        <w:t xml:space="preserve"> (WA) and </w:t>
      </w:r>
      <w:r w:rsidR="00893E3D">
        <w:fldChar w:fldCharType="begin"/>
      </w:r>
      <w:r w:rsidR="002B41DF">
        <w:instrText xml:space="preserve"> REF _Ref422831440 \h </w:instrText>
      </w:r>
      <w:r w:rsidR="00893E3D">
        <w:fldChar w:fldCharType="separate"/>
      </w:r>
      <w:r w:rsidR="00B2652C" w:rsidRPr="00535EB3">
        <w:t xml:space="preserve">Table </w:t>
      </w:r>
      <w:r w:rsidR="00B2652C" w:rsidRPr="00B2652C">
        <w:rPr>
          <w:noProof/>
        </w:rPr>
        <w:t>3</w:t>
      </w:r>
      <w:r w:rsidR="00B2652C" w:rsidRPr="00535EB3">
        <w:t>-</w:t>
      </w:r>
      <w:r w:rsidR="00B2652C" w:rsidRPr="00B2652C">
        <w:rPr>
          <w:noProof/>
        </w:rPr>
        <w:t>8</w:t>
      </w:r>
      <w:r w:rsidR="00893E3D">
        <w:fldChar w:fldCharType="end"/>
      </w:r>
      <w:r w:rsidR="002B41DF">
        <w:t xml:space="preserve"> (ID)</w:t>
      </w:r>
      <w:r>
        <w:t xml:space="preserve">. </w:t>
      </w:r>
    </w:p>
    <w:p w:rsidR="00157088" w:rsidRPr="004269C6" w:rsidRDefault="00BB3538" w:rsidP="00837C13">
      <w:pPr>
        <w:pStyle w:val="FigureorTableTitle"/>
        <w:rPr>
          <w:color w:val="000000"/>
        </w:rPr>
      </w:pPr>
      <w:bookmarkStart w:id="178" w:name="_Ref402252176"/>
      <w:bookmarkStart w:id="179" w:name="_Toc341181327"/>
      <w:bookmarkStart w:id="180" w:name="_Toc396755830"/>
      <w:bookmarkStart w:id="181" w:name="_Toc424192768"/>
      <w:bookmarkEnd w:id="176"/>
      <w:bookmarkEnd w:id="177"/>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w:instrText>
      </w:r>
      <w:r w:rsidR="00512CD6">
        <w:instrText xml:space="preserve">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7</w:t>
      </w:r>
      <w:r w:rsidR="00512CD6">
        <w:rPr>
          <w:bCs w:val="0"/>
          <w:iCs w:val="0"/>
          <w:noProof/>
        </w:rPr>
        <w:fldChar w:fldCharType="end"/>
      </w:r>
      <w:bookmarkEnd w:id="178"/>
      <w:r w:rsidR="00157088">
        <w:tab/>
        <w:t>Commercial Sector Control Totals (201</w:t>
      </w:r>
      <w:r w:rsidR="001C78AD">
        <w:t>3</w:t>
      </w:r>
      <w:r w:rsidR="00157088" w:rsidRPr="002B1B14">
        <w:t>)</w:t>
      </w:r>
      <w:bookmarkEnd w:id="179"/>
      <w:bookmarkEnd w:id="180"/>
      <w:r w:rsidR="00732BAB">
        <w:t>, Washington</w:t>
      </w:r>
      <w:bookmarkEnd w:id="181"/>
    </w:p>
    <w:tbl>
      <w:tblPr>
        <w:tblStyle w:val="EnerNOCReportTable"/>
        <w:tblW w:w="5000" w:type="pct"/>
        <w:tblInd w:w="0" w:type="dxa"/>
        <w:tblCellMar>
          <w:top w:w="0" w:type="dxa"/>
          <w:left w:w="0" w:type="dxa"/>
          <w:bottom w:w="0" w:type="dxa"/>
          <w:right w:w="0" w:type="dxa"/>
        </w:tblCellMar>
        <w:tblLook w:val="04A0" w:firstRow="1" w:lastRow="0" w:firstColumn="1" w:lastColumn="0" w:noHBand="0" w:noVBand="1"/>
      </w:tblPr>
      <w:tblGrid>
        <w:gridCol w:w="2790"/>
        <w:gridCol w:w="1246"/>
        <w:gridCol w:w="1245"/>
        <w:gridCol w:w="1243"/>
        <w:gridCol w:w="1243"/>
        <w:gridCol w:w="1243"/>
      </w:tblGrid>
      <w:tr w:rsidR="008F59CA" w:rsidRPr="002E5B78" w:rsidTr="008F59CA">
        <w:trPr>
          <w:cnfStyle w:val="100000000000" w:firstRow="1" w:lastRow="0" w:firstColumn="0" w:lastColumn="0" w:oddVBand="0" w:evenVBand="0" w:oddHBand="0" w:evenHBand="0" w:firstRowFirstColumn="0" w:firstRowLastColumn="0" w:lastRowFirstColumn="0" w:lastRowLastColumn="0"/>
          <w:trHeight w:val="360"/>
          <w:tblHeader/>
        </w:trPr>
        <w:tc>
          <w:tcPr>
            <w:tcW w:w="1548" w:type="pct"/>
            <w:shd w:val="clear" w:color="auto" w:fill="1A1D5D"/>
            <w:tcMar>
              <w:top w:w="0" w:type="dxa"/>
              <w:bottom w:w="0" w:type="dxa"/>
            </w:tcMar>
          </w:tcPr>
          <w:p w:rsidR="008F59CA" w:rsidRPr="002E5B78" w:rsidRDefault="008F59CA" w:rsidP="00125362">
            <w:pPr>
              <w:pStyle w:val="TableText"/>
              <w:rPr>
                <w:rFonts w:cs="Calibri"/>
              </w:rPr>
            </w:pPr>
            <w:r w:rsidRPr="002E5B78">
              <w:rPr>
                <w:rFonts w:cs="Calibri"/>
                <w:bCs/>
                <w:color w:val="FFFFFF"/>
              </w:rPr>
              <w:t>Segment</w:t>
            </w:r>
          </w:p>
        </w:tc>
        <w:tc>
          <w:tcPr>
            <w:tcW w:w="691" w:type="pct"/>
            <w:shd w:val="clear" w:color="auto" w:fill="1A1D5D"/>
            <w:tcMar>
              <w:top w:w="0" w:type="dxa"/>
              <w:bottom w:w="0" w:type="dxa"/>
            </w:tcMar>
          </w:tcPr>
          <w:p w:rsidR="008F59CA" w:rsidRPr="002E5B78" w:rsidRDefault="008F59CA" w:rsidP="00125362">
            <w:pPr>
              <w:pStyle w:val="TableText"/>
              <w:rPr>
                <w:rFonts w:cs="Calibri"/>
              </w:rPr>
            </w:pPr>
            <w:r w:rsidRPr="002E5B78">
              <w:rPr>
                <w:rFonts w:cs="Calibri"/>
                <w:bCs/>
                <w:color w:val="FFFFFF"/>
              </w:rPr>
              <w:t>Electricity Sales</w:t>
            </w:r>
            <w:r w:rsidRPr="002E5B78">
              <w:rPr>
                <w:rFonts w:cs="Calibri"/>
                <w:bCs/>
                <w:color w:val="FFFFFF"/>
              </w:rPr>
              <w:br/>
              <w:t>(GWh)</w:t>
            </w:r>
          </w:p>
        </w:tc>
        <w:tc>
          <w:tcPr>
            <w:tcW w:w="691" w:type="pct"/>
            <w:shd w:val="clear" w:color="auto" w:fill="1A1D5D"/>
          </w:tcPr>
          <w:p w:rsidR="008F59CA" w:rsidRPr="002E5B78" w:rsidRDefault="008F59CA" w:rsidP="00125362">
            <w:pPr>
              <w:pStyle w:val="TableText"/>
              <w:rPr>
                <w:rFonts w:cs="Calibri"/>
              </w:rPr>
            </w:pPr>
            <w:r w:rsidRPr="002E5B78">
              <w:rPr>
                <w:rFonts w:cs="Calibri"/>
                <w:bCs/>
                <w:color w:val="FFFFFF"/>
              </w:rPr>
              <w:t xml:space="preserve">% of Total </w:t>
            </w:r>
            <w:r w:rsidRPr="002E5B78">
              <w:rPr>
                <w:rFonts w:cs="Calibri"/>
                <w:bCs/>
                <w:color w:val="FFFFFF"/>
              </w:rPr>
              <w:br/>
              <w:t>Usage</w:t>
            </w:r>
          </w:p>
        </w:tc>
        <w:tc>
          <w:tcPr>
            <w:tcW w:w="690" w:type="pct"/>
            <w:shd w:val="clear" w:color="auto" w:fill="1A1D5D"/>
          </w:tcPr>
          <w:p w:rsidR="008F59CA" w:rsidRPr="002E5B78" w:rsidRDefault="008F59CA" w:rsidP="00125362">
            <w:pPr>
              <w:pStyle w:val="TableText"/>
              <w:rPr>
                <w:rFonts w:cs="Calibri"/>
                <w:bCs/>
                <w:color w:val="FFFFFF"/>
              </w:rPr>
            </w:pPr>
            <w:r w:rsidRPr="002E5B78">
              <w:rPr>
                <w:rFonts w:cs="Calibri"/>
                <w:bCs/>
                <w:color w:val="FFFFFF"/>
              </w:rPr>
              <w:t xml:space="preserve">Intensity </w:t>
            </w:r>
            <w:r w:rsidRPr="002E5B78">
              <w:rPr>
                <w:rFonts w:cs="Calibri"/>
                <w:bCs/>
                <w:color w:val="FFFFFF"/>
              </w:rPr>
              <w:br/>
              <w:t>(Annual kWh/SqFt)</w:t>
            </w:r>
          </w:p>
        </w:tc>
        <w:tc>
          <w:tcPr>
            <w:tcW w:w="690" w:type="pct"/>
            <w:shd w:val="clear" w:color="auto" w:fill="1A1D5D"/>
          </w:tcPr>
          <w:p w:rsidR="008F59CA" w:rsidRPr="002E5B78" w:rsidRDefault="008F59CA" w:rsidP="00125362">
            <w:pPr>
              <w:pStyle w:val="TableText"/>
              <w:rPr>
                <w:rFonts w:cs="Calibri"/>
                <w:bCs/>
                <w:color w:val="FFFFFF"/>
              </w:rPr>
            </w:pPr>
            <w:r>
              <w:rPr>
                <w:rFonts w:cs="Calibri"/>
                <w:bCs/>
                <w:color w:val="FFFFFF"/>
              </w:rPr>
              <w:t>Summer Peak (MW)</w:t>
            </w:r>
          </w:p>
        </w:tc>
        <w:tc>
          <w:tcPr>
            <w:tcW w:w="690" w:type="pct"/>
            <w:shd w:val="clear" w:color="auto" w:fill="1A1D5D"/>
          </w:tcPr>
          <w:p w:rsidR="008F59CA" w:rsidRPr="002E5B78" w:rsidRDefault="008F59CA" w:rsidP="00125362">
            <w:pPr>
              <w:pStyle w:val="TableText"/>
              <w:rPr>
                <w:rFonts w:cs="Calibri"/>
                <w:bCs/>
                <w:color w:val="FFFFFF"/>
              </w:rPr>
            </w:pPr>
            <w:r>
              <w:rPr>
                <w:rFonts w:cs="Calibri"/>
                <w:bCs/>
                <w:color w:val="FFFFFF"/>
              </w:rPr>
              <w:t>Winter Peak (MW)</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Small Office</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280</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13%</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15.4</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71</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48</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Large Office</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106</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5%</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17.5</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16</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19</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Restaurant</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70</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3%</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42.4</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11</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11</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Retail</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285</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14%</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13.8</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59</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43</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Grocery</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209</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10%</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47.3</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33</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28</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College</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78</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4%</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13.9</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13</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14</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School</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117</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6%</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9.9</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5</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13</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H</w:t>
            </w:r>
            <w:r>
              <w:rPr>
                <w:rFonts w:ascii="Calibri" w:hAnsi="Calibri" w:cs="Calibri"/>
                <w:color w:val="000000"/>
                <w:szCs w:val="20"/>
              </w:rPr>
              <w:t>ealth</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271</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13%</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29.1</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41</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39</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Lodging</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112</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5%</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16.1</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14</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23</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Warehouse</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103</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5%</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7.5</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12</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17</w:t>
            </w:r>
          </w:p>
        </w:tc>
      </w:tr>
      <w:tr w:rsidR="008F59CA" w:rsidRPr="00E43B5C" w:rsidTr="001941C2">
        <w:trPr>
          <w:trHeight w:val="360"/>
        </w:trPr>
        <w:tc>
          <w:tcPr>
            <w:tcW w:w="1548"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Miscellaneous</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455</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22%</w:t>
            </w:r>
          </w:p>
        </w:tc>
        <w:tc>
          <w:tcPr>
            <w:tcW w:w="690"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13.8</w:t>
            </w:r>
          </w:p>
        </w:tc>
        <w:tc>
          <w:tcPr>
            <w:tcW w:w="690" w:type="pct"/>
            <w:shd w:val="clear" w:color="auto" w:fill="FDF2C8" w:themeFill="accent4" w:themeFillTint="33"/>
          </w:tcPr>
          <w:p w:rsidR="008F59CA" w:rsidRPr="00E40062" w:rsidRDefault="008F59CA" w:rsidP="008F59CA">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93</w:t>
            </w:r>
          </w:p>
        </w:tc>
        <w:tc>
          <w:tcPr>
            <w:tcW w:w="690"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78</w:t>
            </w:r>
          </w:p>
        </w:tc>
      </w:tr>
      <w:tr w:rsidR="008F59CA" w:rsidRPr="00E43B5C" w:rsidTr="001941C2">
        <w:trPr>
          <w:trHeight w:val="360"/>
        </w:trPr>
        <w:tc>
          <w:tcPr>
            <w:tcW w:w="1548" w:type="pct"/>
            <w:tcMar>
              <w:top w:w="0" w:type="dxa"/>
              <w:left w:w="0" w:type="dxa"/>
              <w:bottom w:w="0" w:type="dxa"/>
            </w:tcMar>
          </w:tcPr>
          <w:p w:rsidR="008F59CA" w:rsidRPr="00E40062" w:rsidRDefault="008F59CA" w:rsidP="008F59CA">
            <w:pPr>
              <w:pStyle w:val="NormalWeb"/>
              <w:ind w:left="144"/>
              <w:textAlignment w:val="bottom"/>
              <w:rPr>
                <w:rFonts w:ascii="Calibri" w:hAnsi="Calibri" w:cs="Calibri"/>
                <w:b/>
                <w:szCs w:val="20"/>
              </w:rPr>
            </w:pPr>
            <w:r w:rsidRPr="00E40062">
              <w:rPr>
                <w:rFonts w:ascii="Calibri" w:hAnsi="Calibri" w:cs="Calibri"/>
                <w:b/>
                <w:szCs w:val="20"/>
              </w:rPr>
              <w:t>Total</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b/>
                <w:color w:val="000000"/>
                <w:szCs w:val="20"/>
              </w:rPr>
            </w:pPr>
            <w:r w:rsidRPr="00E40062">
              <w:rPr>
                <w:rFonts w:ascii="Calibri" w:hAnsi="Calibri" w:cs="Calibri"/>
                <w:b/>
                <w:color w:val="000000"/>
                <w:szCs w:val="20"/>
              </w:rPr>
              <w:t>2,086</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b/>
                <w:color w:val="000000"/>
                <w:szCs w:val="20"/>
              </w:rPr>
            </w:pPr>
            <w:r w:rsidRPr="00E40062">
              <w:rPr>
                <w:rFonts w:ascii="Calibri" w:hAnsi="Calibri" w:cs="Calibri"/>
                <w:b/>
                <w:color w:val="000000"/>
                <w:szCs w:val="20"/>
              </w:rPr>
              <w:t>100%</w:t>
            </w:r>
          </w:p>
        </w:tc>
        <w:tc>
          <w:tcPr>
            <w:tcW w:w="690" w:type="pct"/>
          </w:tcPr>
          <w:p w:rsidR="008F59CA" w:rsidRPr="00E40062" w:rsidRDefault="008F59CA" w:rsidP="008F59CA">
            <w:pPr>
              <w:pStyle w:val="NormalWeb"/>
              <w:ind w:right="432"/>
              <w:jc w:val="right"/>
              <w:textAlignment w:val="bottom"/>
              <w:rPr>
                <w:rFonts w:ascii="Calibri" w:hAnsi="Calibri" w:cs="Calibri"/>
                <w:b/>
                <w:color w:val="000000"/>
                <w:szCs w:val="20"/>
              </w:rPr>
            </w:pPr>
            <w:r w:rsidRPr="00E40062">
              <w:rPr>
                <w:rFonts w:ascii="Calibri" w:hAnsi="Calibri" w:cs="Calibri"/>
                <w:b/>
                <w:color w:val="000000"/>
                <w:szCs w:val="20"/>
              </w:rPr>
              <w:t>15.9</w:t>
            </w:r>
          </w:p>
        </w:tc>
        <w:tc>
          <w:tcPr>
            <w:tcW w:w="690" w:type="pct"/>
            <w:shd w:val="clear" w:color="auto" w:fill="FDF2C8" w:themeFill="accent4" w:themeFillTint="33"/>
          </w:tcPr>
          <w:p w:rsidR="008F59CA" w:rsidRPr="008F59CA" w:rsidRDefault="008F59CA" w:rsidP="008F59CA">
            <w:pPr>
              <w:pStyle w:val="NormalWeb"/>
              <w:ind w:right="432"/>
              <w:jc w:val="right"/>
              <w:textAlignment w:val="bottom"/>
              <w:rPr>
                <w:rFonts w:ascii="Calibri" w:hAnsi="Calibri" w:cs="Calibri"/>
                <w:b/>
                <w:color w:val="000000"/>
                <w:szCs w:val="20"/>
              </w:rPr>
            </w:pPr>
            <w:r w:rsidRPr="008F59CA">
              <w:rPr>
                <w:rFonts w:ascii="Calibri" w:hAnsi="Calibri" w:cs="Calibri"/>
                <w:b/>
                <w:color w:val="000000"/>
                <w:szCs w:val="20"/>
              </w:rPr>
              <w:t>368</w:t>
            </w:r>
          </w:p>
        </w:tc>
        <w:tc>
          <w:tcPr>
            <w:tcW w:w="690" w:type="pct"/>
            <w:shd w:val="clear" w:color="auto" w:fill="FFCC99"/>
          </w:tcPr>
          <w:p w:rsidR="008F59CA" w:rsidRPr="008F59CA" w:rsidRDefault="008F59CA" w:rsidP="001941C2">
            <w:pPr>
              <w:pStyle w:val="NormalWeb"/>
              <w:ind w:right="432"/>
              <w:jc w:val="right"/>
              <w:textAlignment w:val="bottom"/>
              <w:rPr>
                <w:rFonts w:ascii="Calibri" w:hAnsi="Calibri" w:cs="Calibri"/>
                <w:b/>
                <w:color w:val="000000"/>
                <w:szCs w:val="20"/>
              </w:rPr>
            </w:pPr>
            <w:r w:rsidRPr="008F59CA">
              <w:rPr>
                <w:rFonts w:ascii="Calibri" w:hAnsi="Calibri" w:cs="Calibri"/>
                <w:b/>
                <w:color w:val="000000"/>
                <w:szCs w:val="20"/>
              </w:rPr>
              <w:t>333</w:t>
            </w:r>
          </w:p>
        </w:tc>
      </w:tr>
    </w:tbl>
    <w:p w:rsidR="00E40062" w:rsidRDefault="00E40062" w:rsidP="00E40062">
      <w:pPr>
        <w:pStyle w:val="FigureorTableTitle"/>
      </w:pPr>
      <w:bookmarkStart w:id="182" w:name="_Ref422831440"/>
      <w:bookmarkStart w:id="183" w:name="_Toc424192769"/>
      <w:bookmarkStart w:id="184" w:name="_Toc341176227"/>
      <w:bookmarkStart w:id="185" w:name="_Ref332119890"/>
      <w:bookmarkStart w:id="186" w:name="_Toc334177693"/>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8</w:t>
      </w:r>
      <w:r w:rsidR="00512CD6">
        <w:rPr>
          <w:bCs w:val="0"/>
          <w:iCs w:val="0"/>
          <w:noProof/>
        </w:rPr>
        <w:fldChar w:fldCharType="end"/>
      </w:r>
      <w:bookmarkEnd w:id="182"/>
      <w:r>
        <w:tab/>
        <w:t>Commercial Sector Control Totals (2013</w:t>
      </w:r>
      <w:r w:rsidRPr="002B1B14">
        <w:t>)</w:t>
      </w:r>
      <w:r>
        <w:t>, Idaho</w:t>
      </w:r>
      <w:bookmarkEnd w:id="183"/>
    </w:p>
    <w:tbl>
      <w:tblPr>
        <w:tblStyle w:val="EnerNOCReportTable"/>
        <w:tblW w:w="4997" w:type="pct"/>
        <w:tblInd w:w="0" w:type="dxa"/>
        <w:tblCellMar>
          <w:top w:w="0" w:type="dxa"/>
          <w:left w:w="0" w:type="dxa"/>
          <w:bottom w:w="0" w:type="dxa"/>
          <w:right w:w="0" w:type="dxa"/>
        </w:tblCellMar>
        <w:tblLook w:val="04A0" w:firstRow="1" w:lastRow="0" w:firstColumn="1" w:lastColumn="0" w:noHBand="0" w:noVBand="1"/>
      </w:tblPr>
      <w:tblGrid>
        <w:gridCol w:w="2791"/>
        <w:gridCol w:w="1244"/>
        <w:gridCol w:w="1244"/>
        <w:gridCol w:w="1244"/>
        <w:gridCol w:w="1241"/>
        <w:gridCol w:w="1241"/>
      </w:tblGrid>
      <w:tr w:rsidR="008F59CA" w:rsidRPr="002E5B78" w:rsidTr="008F59CA">
        <w:trPr>
          <w:cnfStyle w:val="100000000000" w:firstRow="1" w:lastRow="0" w:firstColumn="0" w:lastColumn="0" w:oddVBand="0" w:evenVBand="0" w:oddHBand="0" w:evenHBand="0" w:firstRowFirstColumn="0" w:firstRowLastColumn="0" w:lastRowFirstColumn="0" w:lastRowLastColumn="0"/>
          <w:trHeight w:val="360"/>
          <w:tblHeader/>
        </w:trPr>
        <w:tc>
          <w:tcPr>
            <w:tcW w:w="1549" w:type="pct"/>
            <w:shd w:val="clear" w:color="auto" w:fill="1A1D5D"/>
            <w:tcMar>
              <w:top w:w="0" w:type="dxa"/>
              <w:bottom w:w="0" w:type="dxa"/>
            </w:tcMar>
          </w:tcPr>
          <w:p w:rsidR="008F59CA" w:rsidRPr="002E5B78" w:rsidRDefault="008F59CA" w:rsidP="00D80132">
            <w:pPr>
              <w:pStyle w:val="TableText"/>
              <w:rPr>
                <w:rFonts w:cs="Calibri"/>
              </w:rPr>
            </w:pPr>
            <w:r w:rsidRPr="002E5B78">
              <w:rPr>
                <w:rFonts w:cs="Calibri"/>
                <w:bCs/>
                <w:color w:val="FFFFFF"/>
              </w:rPr>
              <w:t>Segment</w:t>
            </w:r>
          </w:p>
        </w:tc>
        <w:tc>
          <w:tcPr>
            <w:tcW w:w="691" w:type="pct"/>
            <w:shd w:val="clear" w:color="auto" w:fill="1A1D5D"/>
            <w:tcMar>
              <w:top w:w="0" w:type="dxa"/>
              <w:bottom w:w="0" w:type="dxa"/>
            </w:tcMar>
          </w:tcPr>
          <w:p w:rsidR="008F59CA" w:rsidRPr="002E5B78" w:rsidRDefault="008F59CA" w:rsidP="00D80132">
            <w:pPr>
              <w:pStyle w:val="TableText"/>
              <w:rPr>
                <w:rFonts w:cs="Calibri"/>
              </w:rPr>
            </w:pPr>
            <w:r w:rsidRPr="002E5B78">
              <w:rPr>
                <w:rFonts w:cs="Calibri"/>
                <w:bCs/>
                <w:color w:val="FFFFFF"/>
              </w:rPr>
              <w:t>Electricity Sales</w:t>
            </w:r>
            <w:r w:rsidRPr="002E5B78">
              <w:rPr>
                <w:rFonts w:cs="Calibri"/>
                <w:bCs/>
                <w:color w:val="FFFFFF"/>
              </w:rPr>
              <w:br/>
              <w:t>(GWh)</w:t>
            </w:r>
          </w:p>
        </w:tc>
        <w:tc>
          <w:tcPr>
            <w:tcW w:w="691" w:type="pct"/>
            <w:shd w:val="clear" w:color="auto" w:fill="1A1D5D"/>
          </w:tcPr>
          <w:p w:rsidR="008F59CA" w:rsidRPr="002E5B78" w:rsidRDefault="008F59CA" w:rsidP="00D80132">
            <w:pPr>
              <w:pStyle w:val="TableText"/>
              <w:rPr>
                <w:rFonts w:cs="Calibri"/>
              </w:rPr>
            </w:pPr>
            <w:r w:rsidRPr="002E5B78">
              <w:rPr>
                <w:rFonts w:cs="Calibri"/>
                <w:bCs/>
                <w:color w:val="FFFFFF"/>
              </w:rPr>
              <w:t xml:space="preserve">% of Total </w:t>
            </w:r>
            <w:r w:rsidRPr="002E5B78">
              <w:rPr>
                <w:rFonts w:cs="Calibri"/>
                <w:bCs/>
                <w:color w:val="FFFFFF"/>
              </w:rPr>
              <w:br/>
              <w:t>Usage</w:t>
            </w:r>
          </w:p>
        </w:tc>
        <w:tc>
          <w:tcPr>
            <w:tcW w:w="691" w:type="pct"/>
            <w:shd w:val="clear" w:color="auto" w:fill="1A1D5D"/>
          </w:tcPr>
          <w:p w:rsidR="008F59CA" w:rsidRPr="002E5B78" w:rsidRDefault="008F59CA" w:rsidP="00D80132">
            <w:pPr>
              <w:pStyle w:val="TableText"/>
              <w:rPr>
                <w:rFonts w:cs="Calibri"/>
                <w:bCs/>
                <w:color w:val="FFFFFF"/>
              </w:rPr>
            </w:pPr>
            <w:r w:rsidRPr="002E5B78">
              <w:rPr>
                <w:rFonts w:cs="Calibri"/>
                <w:bCs/>
                <w:color w:val="FFFFFF"/>
              </w:rPr>
              <w:t xml:space="preserve">Intensity </w:t>
            </w:r>
            <w:r w:rsidRPr="002E5B78">
              <w:rPr>
                <w:rFonts w:cs="Calibri"/>
                <w:bCs/>
                <w:color w:val="FFFFFF"/>
              </w:rPr>
              <w:br/>
              <w:t>(Annual kWh/SqFt)</w:t>
            </w:r>
          </w:p>
        </w:tc>
        <w:tc>
          <w:tcPr>
            <w:tcW w:w="689" w:type="pct"/>
            <w:shd w:val="clear" w:color="auto" w:fill="1A1D5D"/>
          </w:tcPr>
          <w:p w:rsidR="008F59CA" w:rsidRPr="002E5B78" w:rsidRDefault="008F59CA" w:rsidP="00D80132">
            <w:pPr>
              <w:pStyle w:val="TableText"/>
              <w:rPr>
                <w:rFonts w:cs="Calibri"/>
                <w:bCs/>
                <w:color w:val="FFFFFF"/>
              </w:rPr>
            </w:pPr>
            <w:r>
              <w:rPr>
                <w:rFonts w:cs="Calibri"/>
                <w:bCs/>
                <w:color w:val="FFFFFF"/>
              </w:rPr>
              <w:t>Summer Peak (MW)</w:t>
            </w:r>
          </w:p>
        </w:tc>
        <w:tc>
          <w:tcPr>
            <w:tcW w:w="689" w:type="pct"/>
            <w:shd w:val="clear" w:color="auto" w:fill="1A1D5D"/>
          </w:tcPr>
          <w:p w:rsidR="008F59CA" w:rsidRPr="002E5B78" w:rsidRDefault="008F59CA" w:rsidP="00D80132">
            <w:pPr>
              <w:pStyle w:val="TableText"/>
              <w:rPr>
                <w:rFonts w:cs="Calibri"/>
                <w:bCs/>
                <w:color w:val="FFFFFF"/>
              </w:rPr>
            </w:pPr>
            <w:r>
              <w:rPr>
                <w:rFonts w:cs="Calibri"/>
                <w:bCs/>
                <w:color w:val="FFFFFF"/>
              </w:rPr>
              <w:t>Winter Peak (MW)</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Small Office</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134</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14%</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15.4</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35</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23</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Large Office</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17</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2%</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17.5</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3</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3</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Restaurant</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12</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42.4</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2</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2</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Retail</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168</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17%</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13.8</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35</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25</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Grocery</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92</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9%</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47.3</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14</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12</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College</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73</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7%</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13.9</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12</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13</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School</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109</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11%</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9.9</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4</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12</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H</w:t>
            </w:r>
            <w:r>
              <w:rPr>
                <w:rFonts w:ascii="Calibri" w:hAnsi="Calibri" w:cs="Calibri"/>
                <w:color w:val="000000"/>
                <w:szCs w:val="20"/>
              </w:rPr>
              <w:t>ealth</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106</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11%</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29.1</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16</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15</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Lodging</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49</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5%</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16.1</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6</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10</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Warehouse</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47</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5%</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7.5</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5</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8</w:t>
            </w:r>
          </w:p>
        </w:tc>
      </w:tr>
      <w:tr w:rsidR="008F59CA" w:rsidRPr="00E43B5C" w:rsidTr="001941C2">
        <w:trPr>
          <w:trHeight w:val="360"/>
        </w:trPr>
        <w:tc>
          <w:tcPr>
            <w:tcW w:w="1549" w:type="pct"/>
            <w:tcMar>
              <w:top w:w="0" w:type="dxa"/>
              <w:left w:w="0" w:type="dxa"/>
              <w:bottom w:w="0" w:type="dxa"/>
            </w:tcMar>
          </w:tcPr>
          <w:p w:rsidR="008F59CA" w:rsidRPr="00E43B5C" w:rsidRDefault="008F59CA" w:rsidP="008F59CA">
            <w:pPr>
              <w:pStyle w:val="NormalWeb"/>
              <w:ind w:left="144"/>
              <w:textAlignment w:val="bottom"/>
              <w:rPr>
                <w:rFonts w:ascii="Calibri" w:hAnsi="Calibri" w:cs="Calibri"/>
                <w:szCs w:val="20"/>
              </w:rPr>
            </w:pPr>
            <w:r w:rsidRPr="00E43B5C">
              <w:rPr>
                <w:rFonts w:ascii="Calibri" w:hAnsi="Calibri" w:cs="Calibri"/>
                <w:color w:val="000000"/>
                <w:szCs w:val="20"/>
              </w:rPr>
              <w:t>Miscellaneous</w:t>
            </w:r>
          </w:p>
        </w:tc>
        <w:tc>
          <w:tcPr>
            <w:tcW w:w="691" w:type="pct"/>
            <w:shd w:val="clear" w:color="auto" w:fill="E5ECF1"/>
            <w:tcMar>
              <w:top w:w="0" w:type="dxa"/>
              <w:bottom w:w="0" w:type="dxa"/>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168</w:t>
            </w:r>
          </w:p>
        </w:tc>
        <w:tc>
          <w:tcPr>
            <w:tcW w:w="691" w:type="pct"/>
            <w:shd w:val="clear" w:color="auto" w:fill="E5ECF1"/>
            <w:tcMar>
              <w:right w:w="0" w:type="dxa"/>
            </w:tcMar>
          </w:tcPr>
          <w:p w:rsidR="008F59CA" w:rsidRPr="00E40062"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17%</w:t>
            </w:r>
          </w:p>
        </w:tc>
        <w:tc>
          <w:tcPr>
            <w:tcW w:w="691" w:type="pct"/>
          </w:tcPr>
          <w:p w:rsidR="008F59CA" w:rsidRPr="00E43B5C" w:rsidRDefault="008F59CA" w:rsidP="008F59CA">
            <w:pPr>
              <w:pStyle w:val="NormalWeb"/>
              <w:ind w:right="432"/>
              <w:jc w:val="right"/>
              <w:textAlignment w:val="bottom"/>
              <w:rPr>
                <w:rFonts w:ascii="Calibri" w:hAnsi="Calibri" w:cs="Calibri"/>
                <w:color w:val="000000"/>
                <w:szCs w:val="20"/>
              </w:rPr>
            </w:pPr>
            <w:r w:rsidRPr="00E40062">
              <w:rPr>
                <w:rFonts w:ascii="Calibri" w:hAnsi="Calibri" w:cs="Calibri"/>
                <w:color w:val="000000"/>
                <w:szCs w:val="20"/>
              </w:rPr>
              <w:t>13.8</w:t>
            </w:r>
          </w:p>
        </w:tc>
        <w:tc>
          <w:tcPr>
            <w:tcW w:w="689" w:type="pct"/>
            <w:shd w:val="clear" w:color="auto" w:fill="FDF2C8" w:themeFill="accent4" w:themeFillTint="33"/>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34</w:t>
            </w:r>
          </w:p>
        </w:tc>
        <w:tc>
          <w:tcPr>
            <w:tcW w:w="689" w:type="pct"/>
            <w:shd w:val="clear" w:color="auto" w:fill="FFCC99"/>
          </w:tcPr>
          <w:p w:rsidR="008F59CA" w:rsidRPr="00E40062" w:rsidRDefault="008F59CA" w:rsidP="001941C2">
            <w:pPr>
              <w:pStyle w:val="NormalWeb"/>
              <w:ind w:right="432"/>
              <w:jc w:val="right"/>
              <w:textAlignment w:val="bottom"/>
              <w:rPr>
                <w:rFonts w:ascii="Calibri" w:hAnsi="Calibri" w:cs="Calibri"/>
                <w:color w:val="000000"/>
                <w:szCs w:val="20"/>
              </w:rPr>
            </w:pPr>
            <w:r w:rsidRPr="008F59CA">
              <w:rPr>
                <w:rFonts w:ascii="Calibri" w:hAnsi="Calibri" w:cs="Calibri"/>
                <w:color w:val="000000"/>
                <w:szCs w:val="20"/>
              </w:rPr>
              <w:t>29</w:t>
            </w:r>
          </w:p>
        </w:tc>
      </w:tr>
      <w:tr w:rsidR="008F59CA" w:rsidRPr="00E43B5C" w:rsidTr="001941C2">
        <w:trPr>
          <w:trHeight w:val="360"/>
        </w:trPr>
        <w:tc>
          <w:tcPr>
            <w:tcW w:w="1549" w:type="pct"/>
            <w:tcMar>
              <w:top w:w="0" w:type="dxa"/>
              <w:left w:w="0" w:type="dxa"/>
              <w:bottom w:w="0" w:type="dxa"/>
            </w:tcMar>
          </w:tcPr>
          <w:p w:rsidR="008F59CA" w:rsidRPr="00E40062" w:rsidRDefault="008F59CA" w:rsidP="00E40062">
            <w:pPr>
              <w:pStyle w:val="NormalWeb"/>
              <w:ind w:left="144"/>
              <w:textAlignment w:val="bottom"/>
              <w:rPr>
                <w:rFonts w:ascii="Calibri" w:hAnsi="Calibri" w:cs="Calibri"/>
                <w:b/>
                <w:szCs w:val="20"/>
              </w:rPr>
            </w:pPr>
            <w:r w:rsidRPr="00E40062">
              <w:rPr>
                <w:rFonts w:ascii="Calibri" w:hAnsi="Calibri" w:cs="Calibri"/>
                <w:b/>
                <w:szCs w:val="20"/>
              </w:rPr>
              <w:t>Total</w:t>
            </w:r>
          </w:p>
        </w:tc>
        <w:tc>
          <w:tcPr>
            <w:tcW w:w="691" w:type="pct"/>
            <w:shd w:val="clear" w:color="auto" w:fill="E5ECF1"/>
            <w:tcMar>
              <w:top w:w="0" w:type="dxa"/>
              <w:bottom w:w="0" w:type="dxa"/>
              <w:right w:w="0" w:type="dxa"/>
            </w:tcMar>
          </w:tcPr>
          <w:p w:rsidR="008F59CA" w:rsidRPr="00E40062" w:rsidRDefault="008F59CA" w:rsidP="00E40062">
            <w:pPr>
              <w:pStyle w:val="NormalWeb"/>
              <w:ind w:right="432"/>
              <w:jc w:val="right"/>
              <w:textAlignment w:val="bottom"/>
              <w:rPr>
                <w:rFonts w:ascii="Calibri" w:hAnsi="Calibri" w:cs="Calibri"/>
                <w:b/>
                <w:color w:val="000000"/>
                <w:szCs w:val="20"/>
              </w:rPr>
            </w:pPr>
            <w:r w:rsidRPr="00E40062">
              <w:rPr>
                <w:rFonts w:ascii="Calibri" w:hAnsi="Calibri" w:cs="Calibri"/>
                <w:b/>
                <w:color w:val="000000"/>
                <w:szCs w:val="20"/>
              </w:rPr>
              <w:t>976</w:t>
            </w:r>
          </w:p>
        </w:tc>
        <w:tc>
          <w:tcPr>
            <w:tcW w:w="691" w:type="pct"/>
            <w:shd w:val="clear" w:color="auto" w:fill="E5ECF1"/>
            <w:tcMar>
              <w:right w:w="0" w:type="dxa"/>
            </w:tcMar>
          </w:tcPr>
          <w:p w:rsidR="008F59CA" w:rsidRPr="00E40062" w:rsidRDefault="008F59CA" w:rsidP="00E40062">
            <w:pPr>
              <w:pStyle w:val="NormalWeb"/>
              <w:ind w:right="432"/>
              <w:jc w:val="right"/>
              <w:textAlignment w:val="bottom"/>
              <w:rPr>
                <w:rFonts w:ascii="Calibri" w:hAnsi="Calibri" w:cs="Calibri"/>
                <w:b/>
                <w:color w:val="000000"/>
                <w:szCs w:val="20"/>
              </w:rPr>
            </w:pPr>
            <w:r w:rsidRPr="00E40062">
              <w:rPr>
                <w:rFonts w:ascii="Calibri" w:hAnsi="Calibri" w:cs="Calibri"/>
                <w:b/>
                <w:color w:val="000000"/>
                <w:szCs w:val="20"/>
              </w:rPr>
              <w:t>100%</w:t>
            </w:r>
          </w:p>
        </w:tc>
        <w:tc>
          <w:tcPr>
            <w:tcW w:w="691" w:type="pct"/>
          </w:tcPr>
          <w:p w:rsidR="008F59CA" w:rsidRPr="00E40062" w:rsidRDefault="008F59CA" w:rsidP="00E40062">
            <w:pPr>
              <w:pStyle w:val="NormalWeb"/>
              <w:ind w:right="432"/>
              <w:jc w:val="right"/>
              <w:textAlignment w:val="bottom"/>
              <w:rPr>
                <w:rFonts w:ascii="Calibri" w:hAnsi="Calibri" w:cs="Calibri"/>
                <w:b/>
                <w:color w:val="000000"/>
                <w:szCs w:val="20"/>
              </w:rPr>
            </w:pPr>
            <w:r w:rsidRPr="00E40062">
              <w:rPr>
                <w:rFonts w:ascii="Calibri" w:hAnsi="Calibri" w:cs="Calibri"/>
                <w:b/>
                <w:color w:val="000000"/>
                <w:szCs w:val="20"/>
              </w:rPr>
              <w:t>14.9</w:t>
            </w:r>
          </w:p>
        </w:tc>
        <w:tc>
          <w:tcPr>
            <w:tcW w:w="689" w:type="pct"/>
            <w:shd w:val="clear" w:color="auto" w:fill="FDF2C8" w:themeFill="accent4" w:themeFillTint="33"/>
          </w:tcPr>
          <w:p w:rsidR="008F59CA" w:rsidRPr="008F59CA" w:rsidRDefault="008F59CA" w:rsidP="001941C2">
            <w:pPr>
              <w:pStyle w:val="NormalWeb"/>
              <w:ind w:right="432"/>
              <w:jc w:val="right"/>
              <w:textAlignment w:val="bottom"/>
              <w:rPr>
                <w:rFonts w:ascii="Calibri" w:hAnsi="Calibri" w:cs="Calibri"/>
                <w:b/>
                <w:color w:val="000000"/>
                <w:szCs w:val="20"/>
              </w:rPr>
            </w:pPr>
            <w:r w:rsidRPr="008F59CA">
              <w:rPr>
                <w:rFonts w:ascii="Calibri" w:hAnsi="Calibri" w:cs="Calibri"/>
                <w:b/>
                <w:color w:val="000000"/>
                <w:szCs w:val="20"/>
              </w:rPr>
              <w:t>167</w:t>
            </w:r>
          </w:p>
        </w:tc>
        <w:tc>
          <w:tcPr>
            <w:tcW w:w="689" w:type="pct"/>
            <w:shd w:val="clear" w:color="auto" w:fill="FFCC99"/>
          </w:tcPr>
          <w:p w:rsidR="008F59CA" w:rsidRPr="008F59CA" w:rsidRDefault="008F59CA" w:rsidP="001941C2">
            <w:pPr>
              <w:pStyle w:val="NormalWeb"/>
              <w:ind w:right="432"/>
              <w:jc w:val="right"/>
              <w:textAlignment w:val="bottom"/>
              <w:rPr>
                <w:rFonts w:ascii="Calibri" w:hAnsi="Calibri" w:cs="Calibri"/>
                <w:b/>
                <w:color w:val="000000"/>
                <w:szCs w:val="20"/>
              </w:rPr>
            </w:pPr>
            <w:r w:rsidRPr="008F59CA">
              <w:rPr>
                <w:rFonts w:ascii="Calibri" w:hAnsi="Calibri" w:cs="Calibri"/>
                <w:b/>
                <w:color w:val="000000"/>
                <w:szCs w:val="20"/>
              </w:rPr>
              <w:t>152</w:t>
            </w:r>
          </w:p>
        </w:tc>
      </w:tr>
    </w:tbl>
    <w:p w:rsidR="00EC2CA5" w:rsidRDefault="00EC2CA5" w:rsidP="00157088">
      <w:pPr>
        <w:pStyle w:val="BodyText"/>
      </w:pPr>
    </w:p>
    <w:bookmarkEnd w:id="184"/>
    <w:p w:rsidR="001C78AD" w:rsidRDefault="00893E3D" w:rsidP="00157088">
      <w:pPr>
        <w:pStyle w:val="BodyText"/>
      </w:pPr>
      <w:r>
        <w:fldChar w:fldCharType="begin"/>
      </w:r>
      <w:r w:rsidR="007F2553">
        <w:instrText xml:space="preserve"> REF _Ref337024985 \h </w:instrText>
      </w:r>
      <w:r>
        <w:fldChar w:fldCharType="separate"/>
      </w:r>
      <w:r w:rsidR="00B2652C" w:rsidRPr="00F75EB3">
        <w:t xml:space="preserve">Figure </w:t>
      </w:r>
      <w:r w:rsidR="00B2652C">
        <w:rPr>
          <w:noProof/>
        </w:rPr>
        <w:t>3</w:t>
      </w:r>
      <w:r w:rsidR="00B2652C" w:rsidRPr="00F75EB3">
        <w:t>-</w:t>
      </w:r>
      <w:r w:rsidR="00B2652C">
        <w:rPr>
          <w:noProof/>
        </w:rPr>
        <w:t>7</w:t>
      </w:r>
      <w:r>
        <w:fldChar w:fldCharType="end"/>
      </w:r>
      <w:r w:rsidR="002B41DF">
        <w:t xml:space="preserve"> (WA) and </w:t>
      </w:r>
      <w:r>
        <w:fldChar w:fldCharType="begin"/>
      </w:r>
      <w:r w:rsidR="002B41DF">
        <w:instrText xml:space="preserve"> REF _Ref422831492 \h </w:instrText>
      </w:r>
      <w:r>
        <w:fldChar w:fldCharType="separate"/>
      </w:r>
      <w:r w:rsidR="00B2652C" w:rsidRPr="00F75EB3">
        <w:t xml:space="preserve">Figure </w:t>
      </w:r>
      <w:r w:rsidR="00B2652C">
        <w:rPr>
          <w:noProof/>
        </w:rPr>
        <w:t>3</w:t>
      </w:r>
      <w:r w:rsidR="00B2652C" w:rsidRPr="00F75EB3">
        <w:t>-</w:t>
      </w:r>
      <w:r w:rsidR="00B2652C">
        <w:rPr>
          <w:noProof/>
        </w:rPr>
        <w:t>8</w:t>
      </w:r>
      <w:r>
        <w:fldChar w:fldCharType="end"/>
      </w:r>
      <w:r w:rsidR="002B41DF">
        <w:t xml:space="preserve"> (ID)</w:t>
      </w:r>
      <w:r w:rsidR="007F2553">
        <w:t xml:space="preserve"> </w:t>
      </w:r>
      <w:r w:rsidR="00157088" w:rsidRPr="006A4E7D">
        <w:t xml:space="preserve">show the distribution of </w:t>
      </w:r>
      <w:r w:rsidR="006A4E7D" w:rsidRPr="006A4E7D">
        <w:t xml:space="preserve">annual </w:t>
      </w:r>
      <w:r w:rsidR="00157088" w:rsidRPr="006A4E7D">
        <w:t xml:space="preserve">electricity consumption </w:t>
      </w:r>
      <w:r w:rsidR="006A4E7D" w:rsidRPr="006A4E7D">
        <w:t xml:space="preserve">and peak demand </w:t>
      </w:r>
      <w:r w:rsidR="00157088" w:rsidRPr="006A4E7D">
        <w:t xml:space="preserve">by end use </w:t>
      </w:r>
      <w:r w:rsidR="001C78AD" w:rsidRPr="006A4E7D">
        <w:t xml:space="preserve">across </w:t>
      </w:r>
      <w:r w:rsidR="00157088" w:rsidRPr="006A4E7D">
        <w:t>all commercial building</w:t>
      </w:r>
      <w:r w:rsidR="001C78AD" w:rsidRPr="006A4E7D">
        <w:t>s</w:t>
      </w:r>
      <w:r w:rsidR="00157088" w:rsidRPr="006A4E7D">
        <w:t xml:space="preserve">. Electric usage is dominated by cooling and lighting, which comprise </w:t>
      </w:r>
      <w:r w:rsidR="00CD3C39">
        <w:t>almost 5</w:t>
      </w:r>
      <w:r w:rsidR="001C78AD" w:rsidRPr="006A4E7D">
        <w:t>0</w:t>
      </w:r>
      <w:r w:rsidR="00157088" w:rsidRPr="006A4E7D">
        <w:t xml:space="preserve">% of </w:t>
      </w:r>
      <w:r w:rsidR="001C78AD" w:rsidRPr="006A4E7D">
        <w:t>annual</w:t>
      </w:r>
      <w:r w:rsidR="00157088" w:rsidRPr="006A4E7D">
        <w:t xml:space="preserve"> </w:t>
      </w:r>
      <w:r w:rsidR="001C78AD" w:rsidRPr="006A4E7D">
        <w:t xml:space="preserve">electricity </w:t>
      </w:r>
      <w:r w:rsidR="00157088" w:rsidRPr="006A4E7D">
        <w:t>usage.</w:t>
      </w:r>
      <w:r w:rsidR="006A4E7D" w:rsidRPr="006A4E7D">
        <w:t xml:space="preserve"> </w:t>
      </w:r>
      <w:r w:rsidR="001C78AD" w:rsidRPr="006A4E7D">
        <w:t>Summer peak demand is domin</w:t>
      </w:r>
      <w:r w:rsidR="006A4E7D" w:rsidRPr="006A4E7D">
        <w:t>ated by cooling</w:t>
      </w:r>
      <w:r w:rsidR="00932228">
        <w:t xml:space="preserve"> and winter peak demand is dominated by heating</w:t>
      </w:r>
      <w:r w:rsidR="006A4E7D" w:rsidRPr="006A4E7D">
        <w:t>.</w:t>
      </w:r>
    </w:p>
    <w:p w:rsidR="00125362" w:rsidRDefault="00893E3D" w:rsidP="00125362">
      <w:pPr>
        <w:pStyle w:val="BodyText"/>
      </w:pPr>
      <w:r>
        <w:fldChar w:fldCharType="begin"/>
      </w:r>
      <w:r w:rsidR="00125362">
        <w:instrText xml:space="preserve"> REF _Ref370040934 \h </w:instrText>
      </w:r>
      <w:r>
        <w:fldChar w:fldCharType="separate"/>
      </w:r>
      <w:r w:rsidR="00B2652C" w:rsidRPr="009D100B">
        <w:t xml:space="preserve">Figure </w:t>
      </w:r>
      <w:r w:rsidR="00B2652C">
        <w:rPr>
          <w:noProof/>
        </w:rPr>
        <w:t>3</w:t>
      </w:r>
      <w:r w:rsidR="00B2652C" w:rsidRPr="009D100B">
        <w:t>-</w:t>
      </w:r>
      <w:r w:rsidR="00B2652C">
        <w:rPr>
          <w:noProof/>
        </w:rPr>
        <w:t>9</w:t>
      </w:r>
      <w:r>
        <w:fldChar w:fldCharType="end"/>
      </w:r>
      <w:r w:rsidR="00CD3C39">
        <w:t xml:space="preserve"> (WA) and </w:t>
      </w:r>
      <w:r>
        <w:fldChar w:fldCharType="begin"/>
      </w:r>
      <w:r w:rsidR="00CD3C39">
        <w:instrText xml:space="preserve"> REF _Ref422831675 \h </w:instrText>
      </w:r>
      <w:r>
        <w:fldChar w:fldCharType="separate"/>
      </w:r>
      <w:r w:rsidR="00B2652C" w:rsidRPr="009D100B">
        <w:t xml:space="preserve">Figure </w:t>
      </w:r>
      <w:r w:rsidR="00B2652C">
        <w:rPr>
          <w:noProof/>
        </w:rPr>
        <w:t>3</w:t>
      </w:r>
      <w:r w:rsidR="00B2652C" w:rsidRPr="009D100B">
        <w:t>-</w:t>
      </w:r>
      <w:r w:rsidR="00B2652C">
        <w:rPr>
          <w:noProof/>
        </w:rPr>
        <w:t>10</w:t>
      </w:r>
      <w:r>
        <w:fldChar w:fldCharType="end"/>
      </w:r>
      <w:r w:rsidR="00CD3C39">
        <w:t xml:space="preserve"> (ID)</w:t>
      </w:r>
      <w:r w:rsidR="00125362">
        <w:t xml:space="preserve"> presents the electricity usage in GWh by end use and segment. Small offices, retail, and miscellaneous buildings use the most electricity in the service territory. As far as end uses, cooling and lighting are the major uses across all segments. Office equipment is concentrated more in the larger customers.</w:t>
      </w:r>
    </w:p>
    <w:p w:rsidR="00157088" w:rsidRDefault="00157088" w:rsidP="00837C13">
      <w:pPr>
        <w:pStyle w:val="FigureorTableTitle"/>
      </w:pPr>
      <w:bookmarkStart w:id="187" w:name="_Ref337024985"/>
      <w:bookmarkStart w:id="188" w:name="_Toc341180514"/>
      <w:bookmarkStart w:id="189" w:name="_Toc387951592"/>
      <w:bookmarkStart w:id="190" w:name="_Toc424192707"/>
      <w:r w:rsidRPr="00F75EB3">
        <w:t xml:space="preserve">Figure </w:t>
      </w:r>
      <w:r w:rsidR="00512CD6">
        <w:fldChar w:fldCharType="begin"/>
      </w:r>
      <w:r w:rsidR="00512CD6">
        <w:instrText xml:space="preserve"> STYLEREF  "Heading 1,Chap Num" \n  \* MERGEFORMAT </w:instrText>
      </w:r>
      <w:r w:rsidR="00512CD6">
        <w:fldChar w:fldCharType="separate"/>
      </w:r>
      <w:r w:rsidR="00B2652C">
        <w:rPr>
          <w:noProof/>
        </w:rPr>
        <w:t>3</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7</w:t>
      </w:r>
      <w:r w:rsidR="00512CD6">
        <w:rPr>
          <w:noProof/>
        </w:rPr>
        <w:fldChar w:fldCharType="end"/>
      </w:r>
      <w:bookmarkEnd w:id="187"/>
      <w:r w:rsidRPr="00F75EB3">
        <w:tab/>
      </w:r>
      <w:r>
        <w:t xml:space="preserve">Commercial </w:t>
      </w:r>
      <w:r w:rsidR="001C78AD">
        <w:t xml:space="preserve">Sector </w:t>
      </w:r>
      <w:r>
        <w:t>Electric</w:t>
      </w:r>
      <w:r w:rsidR="001C78AD">
        <w:t>ity Consumption by End Use (2013</w:t>
      </w:r>
      <w:r>
        <w:t>)</w:t>
      </w:r>
      <w:bookmarkEnd w:id="188"/>
      <w:bookmarkEnd w:id="189"/>
      <w:r w:rsidR="008D0076">
        <w:t>, Washington</w:t>
      </w:r>
      <w:bookmarkEnd w:id="190"/>
    </w:p>
    <w:p w:rsidR="00D55A07" w:rsidRDefault="00E40062" w:rsidP="00D55A07">
      <w:pPr>
        <w:pStyle w:val="BodyText"/>
        <w:jc w:val="center"/>
      </w:pPr>
      <w:bookmarkStart w:id="191" w:name="_Ref332119910"/>
      <w:bookmarkStart w:id="192" w:name="_Toc334177694"/>
      <w:bookmarkEnd w:id="185"/>
      <w:bookmarkEnd w:id="186"/>
      <w:r w:rsidRPr="00E40062">
        <w:rPr>
          <w:rStyle w:val="BodyTextChar"/>
          <w:noProof/>
          <w:spacing w:val="0"/>
          <w:szCs w:val="22"/>
        </w:rPr>
        <w:drawing>
          <wp:inline distT="0" distB="0" distL="0" distR="0">
            <wp:extent cx="4781550" cy="3114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91053" cy="3120779"/>
                    </a:xfrm>
                    <a:prstGeom prst="rect">
                      <a:avLst/>
                    </a:prstGeom>
                    <a:noFill/>
                    <a:ln>
                      <a:noFill/>
                    </a:ln>
                  </pic:spPr>
                </pic:pic>
              </a:graphicData>
            </a:graphic>
          </wp:inline>
        </w:drawing>
      </w:r>
    </w:p>
    <w:p w:rsidR="008D0076" w:rsidRDefault="00F46BEB" w:rsidP="00F46BEB">
      <w:pPr>
        <w:pStyle w:val="BodyText"/>
      </w:pPr>
      <w:r w:rsidRPr="00F46BEB">
        <w:rPr>
          <w:noProof/>
        </w:rPr>
        <w:drawing>
          <wp:inline distT="0" distB="0" distL="0" distR="0">
            <wp:extent cx="6921867" cy="3237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67253" cy="3259096"/>
                    </a:xfrm>
                    <a:prstGeom prst="rect">
                      <a:avLst/>
                    </a:prstGeom>
                    <a:noFill/>
                    <a:ln>
                      <a:noFill/>
                    </a:ln>
                  </pic:spPr>
                </pic:pic>
              </a:graphicData>
            </a:graphic>
          </wp:inline>
        </w:drawing>
      </w:r>
      <w:r w:rsidR="008D0076">
        <w:br w:type="page"/>
      </w:r>
    </w:p>
    <w:p w:rsidR="008D0076" w:rsidRDefault="008D0076" w:rsidP="008D0076">
      <w:pPr>
        <w:pStyle w:val="FigureorTableTitle"/>
      </w:pPr>
      <w:bookmarkStart w:id="193" w:name="_Ref422831492"/>
      <w:bookmarkStart w:id="194" w:name="_Toc424192708"/>
      <w:r w:rsidRPr="00F75EB3">
        <w:lastRenderedPageBreak/>
        <w:t xml:space="preserve">Figure </w:t>
      </w:r>
      <w:r w:rsidR="00512CD6">
        <w:fldChar w:fldCharType="begin"/>
      </w:r>
      <w:r w:rsidR="00512CD6">
        <w:instrText xml:space="preserve"> STYLEREF  "Heading 1,Chap Num" \n  \* MERGEFORMAT </w:instrText>
      </w:r>
      <w:r w:rsidR="00512CD6">
        <w:fldChar w:fldCharType="separate"/>
      </w:r>
      <w:r w:rsidR="00B2652C">
        <w:rPr>
          <w:noProof/>
        </w:rPr>
        <w:t>3</w:t>
      </w:r>
      <w:r w:rsidR="00512CD6">
        <w:rPr>
          <w:noProof/>
        </w:rPr>
        <w:fldChar w:fldCharType="end"/>
      </w:r>
      <w:r w:rsidRPr="00F75EB3">
        <w:t>-</w:t>
      </w:r>
      <w:r w:rsidR="00512CD6">
        <w:fldChar w:fldCharType="begin"/>
      </w:r>
      <w:r w:rsidR="00512CD6">
        <w:instrText xml:space="preserve"> SEQ Figure\s 1 \* MERGEFORMAT </w:instrText>
      </w:r>
      <w:r w:rsidR="00512CD6">
        <w:fldChar w:fldCharType="separate"/>
      </w:r>
      <w:r w:rsidR="00B2652C">
        <w:rPr>
          <w:noProof/>
        </w:rPr>
        <w:t>8</w:t>
      </w:r>
      <w:r w:rsidR="00512CD6">
        <w:rPr>
          <w:noProof/>
        </w:rPr>
        <w:fldChar w:fldCharType="end"/>
      </w:r>
      <w:bookmarkEnd w:id="193"/>
      <w:r w:rsidRPr="00F75EB3">
        <w:tab/>
      </w:r>
      <w:r>
        <w:t>Commercial Sector Electricity Consumption by End Use (2013), Idaho</w:t>
      </w:r>
      <w:bookmarkEnd w:id="194"/>
    </w:p>
    <w:p w:rsidR="00F34F85" w:rsidRDefault="008D0076" w:rsidP="002E5B78">
      <w:pPr>
        <w:pStyle w:val="BodyText"/>
        <w:jc w:val="center"/>
        <w:rPr>
          <w:noProof/>
        </w:rPr>
      </w:pPr>
      <w:r w:rsidRPr="008D0076">
        <w:rPr>
          <w:noProof/>
        </w:rPr>
        <w:drawing>
          <wp:inline distT="0" distB="0" distL="0" distR="0">
            <wp:extent cx="4898032" cy="31904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14738" cy="3201344"/>
                    </a:xfrm>
                    <a:prstGeom prst="rect">
                      <a:avLst/>
                    </a:prstGeom>
                    <a:noFill/>
                    <a:ln>
                      <a:noFill/>
                    </a:ln>
                  </pic:spPr>
                </pic:pic>
              </a:graphicData>
            </a:graphic>
          </wp:inline>
        </w:drawing>
      </w:r>
    </w:p>
    <w:p w:rsidR="008D0076" w:rsidRDefault="00F46BEB" w:rsidP="00F46BEB">
      <w:pPr>
        <w:pStyle w:val="BodyText"/>
        <w:rPr>
          <w:noProof/>
        </w:rPr>
      </w:pPr>
      <w:r w:rsidRPr="00F46BEB">
        <w:rPr>
          <w:noProof/>
        </w:rPr>
        <w:drawing>
          <wp:inline distT="0" distB="0" distL="0" distR="0">
            <wp:extent cx="6858000" cy="32079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79822" cy="3218198"/>
                    </a:xfrm>
                    <a:prstGeom prst="rect">
                      <a:avLst/>
                    </a:prstGeom>
                    <a:noFill/>
                    <a:ln>
                      <a:noFill/>
                    </a:ln>
                  </pic:spPr>
                </pic:pic>
              </a:graphicData>
            </a:graphic>
          </wp:inline>
        </w:drawing>
      </w:r>
    </w:p>
    <w:p w:rsidR="00157088" w:rsidRDefault="00157088" w:rsidP="00837C13">
      <w:pPr>
        <w:pStyle w:val="FigureorTableTitle"/>
      </w:pPr>
      <w:bookmarkStart w:id="195" w:name="_Ref337025059"/>
      <w:bookmarkStart w:id="196" w:name="_Ref370040934"/>
      <w:bookmarkStart w:id="197" w:name="_Toc341180516"/>
      <w:bookmarkStart w:id="198" w:name="_Toc387951593"/>
      <w:bookmarkStart w:id="199" w:name="_Toc424192709"/>
      <w:bookmarkEnd w:id="191"/>
      <w:bookmarkEnd w:id="192"/>
      <w:r w:rsidRPr="009D100B">
        <w:lastRenderedPageBreak/>
        <w:t xml:space="preserve">Figure </w:t>
      </w:r>
      <w:r w:rsidR="00512CD6">
        <w:fldChar w:fldCharType="begin"/>
      </w:r>
      <w:r w:rsidR="00512CD6">
        <w:instrText xml:space="preserve"> STYLEREF  "Heading 1,Chap Num" \n  \* MERGEFORMAT </w:instrText>
      </w:r>
      <w:r w:rsidR="00512CD6">
        <w:fldChar w:fldCharType="separate"/>
      </w:r>
      <w:r w:rsidR="00B2652C">
        <w:rPr>
          <w:noProof/>
        </w:rPr>
        <w:t>3</w:t>
      </w:r>
      <w:r w:rsidR="00512CD6">
        <w:rPr>
          <w:noProof/>
        </w:rPr>
        <w:fldChar w:fldCharType="end"/>
      </w:r>
      <w:r w:rsidRPr="009D100B">
        <w:t>-</w:t>
      </w:r>
      <w:r w:rsidR="00512CD6">
        <w:fldChar w:fldCharType="begin"/>
      </w:r>
      <w:r w:rsidR="00512CD6">
        <w:instrText xml:space="preserve"> SEQ Figure\s 1 \* MERGEFORMAT </w:instrText>
      </w:r>
      <w:r w:rsidR="00512CD6">
        <w:fldChar w:fldCharType="separate"/>
      </w:r>
      <w:r w:rsidR="00B2652C">
        <w:rPr>
          <w:noProof/>
        </w:rPr>
        <w:t>9</w:t>
      </w:r>
      <w:r w:rsidR="00512CD6">
        <w:rPr>
          <w:noProof/>
        </w:rPr>
        <w:fldChar w:fldCharType="end"/>
      </w:r>
      <w:bookmarkEnd w:id="195"/>
      <w:bookmarkEnd w:id="196"/>
      <w:r>
        <w:tab/>
      </w:r>
      <w:r w:rsidRPr="00D511B8">
        <w:t xml:space="preserve">Commercial Electricity Usage by End Use Segment (GWh, </w:t>
      </w:r>
      <w:r>
        <w:t>201</w:t>
      </w:r>
      <w:r w:rsidR="00F34F85">
        <w:t>3</w:t>
      </w:r>
      <w:r w:rsidRPr="00D511B8">
        <w:t>)</w:t>
      </w:r>
      <w:bookmarkEnd w:id="197"/>
      <w:bookmarkEnd w:id="198"/>
      <w:r w:rsidR="00456475">
        <w:t>, Washington</w:t>
      </w:r>
      <w:bookmarkEnd w:id="199"/>
    </w:p>
    <w:p w:rsidR="00D75A6A" w:rsidRDefault="00456475" w:rsidP="00E43B5C">
      <w:pPr>
        <w:pStyle w:val="BodyText"/>
      </w:pPr>
      <w:r w:rsidRPr="00456475">
        <w:rPr>
          <w:noProof/>
        </w:rPr>
        <w:drawing>
          <wp:inline distT="0" distB="0" distL="0" distR="0">
            <wp:extent cx="5715000" cy="28802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0" cy="2880287"/>
                    </a:xfrm>
                    <a:prstGeom prst="rect">
                      <a:avLst/>
                    </a:prstGeom>
                    <a:noFill/>
                    <a:ln>
                      <a:noFill/>
                    </a:ln>
                  </pic:spPr>
                </pic:pic>
              </a:graphicData>
            </a:graphic>
          </wp:inline>
        </w:drawing>
      </w:r>
    </w:p>
    <w:p w:rsidR="00456475" w:rsidRDefault="00456475" w:rsidP="00456475">
      <w:pPr>
        <w:pStyle w:val="FigureorTableTitle"/>
      </w:pPr>
      <w:bookmarkStart w:id="200" w:name="_Ref422831675"/>
      <w:bookmarkStart w:id="201" w:name="_Toc424192710"/>
      <w:r w:rsidRPr="009D100B">
        <w:t xml:space="preserve">Figure </w:t>
      </w:r>
      <w:r w:rsidR="00512CD6">
        <w:fldChar w:fldCharType="begin"/>
      </w:r>
      <w:r w:rsidR="00512CD6">
        <w:instrText xml:space="preserve"> STYLEREF  "Heading 1,Chap Num" \n  \* MERGEFORMAT </w:instrText>
      </w:r>
      <w:r w:rsidR="00512CD6">
        <w:fldChar w:fldCharType="separate"/>
      </w:r>
      <w:r w:rsidR="00B2652C">
        <w:rPr>
          <w:noProof/>
        </w:rPr>
        <w:t>3</w:t>
      </w:r>
      <w:r w:rsidR="00512CD6">
        <w:rPr>
          <w:noProof/>
        </w:rPr>
        <w:fldChar w:fldCharType="end"/>
      </w:r>
      <w:r w:rsidRPr="009D100B">
        <w:t>-</w:t>
      </w:r>
      <w:r w:rsidR="00512CD6">
        <w:fldChar w:fldCharType="begin"/>
      </w:r>
      <w:r w:rsidR="00512CD6">
        <w:instrText xml:space="preserve"> SEQ Figure\s 1 \* MERGEFORMAT </w:instrText>
      </w:r>
      <w:r w:rsidR="00512CD6">
        <w:fldChar w:fldCharType="separate"/>
      </w:r>
      <w:r w:rsidR="00B2652C">
        <w:rPr>
          <w:noProof/>
        </w:rPr>
        <w:t>10</w:t>
      </w:r>
      <w:r w:rsidR="00512CD6">
        <w:rPr>
          <w:noProof/>
        </w:rPr>
        <w:fldChar w:fldCharType="end"/>
      </w:r>
      <w:bookmarkEnd w:id="200"/>
      <w:r>
        <w:tab/>
      </w:r>
      <w:r w:rsidRPr="00D511B8">
        <w:t xml:space="preserve">Commercial Electricity Usage by End Use Segment (GWh, </w:t>
      </w:r>
      <w:r>
        <w:t>2013</w:t>
      </w:r>
      <w:r w:rsidRPr="00D511B8">
        <w:t>)</w:t>
      </w:r>
      <w:r>
        <w:t>, Idaho</w:t>
      </w:r>
      <w:bookmarkEnd w:id="201"/>
    </w:p>
    <w:p w:rsidR="00456475" w:rsidRDefault="00456475" w:rsidP="00E43B5C">
      <w:pPr>
        <w:pStyle w:val="BodyText"/>
      </w:pPr>
      <w:r w:rsidRPr="00456475">
        <w:rPr>
          <w:noProof/>
        </w:rPr>
        <w:drawing>
          <wp:inline distT="0" distB="0" distL="0" distR="0">
            <wp:extent cx="5715000" cy="28802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0" cy="2880287"/>
                    </a:xfrm>
                    <a:prstGeom prst="rect">
                      <a:avLst/>
                    </a:prstGeom>
                    <a:noFill/>
                    <a:ln>
                      <a:noFill/>
                    </a:ln>
                  </pic:spPr>
                </pic:pic>
              </a:graphicData>
            </a:graphic>
          </wp:inline>
        </w:drawing>
      </w:r>
    </w:p>
    <w:p w:rsidR="00157088" w:rsidRDefault="00893E3D" w:rsidP="00157088">
      <w:pPr>
        <w:pStyle w:val="BodyText"/>
      </w:pPr>
      <w:r>
        <w:fldChar w:fldCharType="begin"/>
      </w:r>
      <w:r w:rsidR="00B604D8">
        <w:instrText xml:space="preserve"> REF _Ref402252235 \h </w:instrText>
      </w:r>
      <w:r>
        <w:fldChar w:fldCharType="separate"/>
      </w:r>
      <w:r w:rsidR="00B2652C" w:rsidRPr="00535EB3">
        <w:t xml:space="preserve">Table </w:t>
      </w:r>
      <w:r w:rsidR="00B2652C" w:rsidRPr="00B2652C">
        <w:rPr>
          <w:noProof/>
        </w:rPr>
        <w:t>3</w:t>
      </w:r>
      <w:r w:rsidR="00B2652C" w:rsidRPr="00535EB3">
        <w:t>-</w:t>
      </w:r>
      <w:r w:rsidR="00B2652C" w:rsidRPr="00B2652C">
        <w:rPr>
          <w:noProof/>
        </w:rPr>
        <w:t>9</w:t>
      </w:r>
      <w:r>
        <w:fldChar w:fldCharType="end"/>
      </w:r>
      <w:r w:rsidR="00CD3C39">
        <w:t xml:space="preserve"> (WA) and </w:t>
      </w:r>
      <w:r>
        <w:fldChar w:fldCharType="begin"/>
      </w:r>
      <w:r w:rsidR="00CD3C39">
        <w:instrText xml:space="preserve"> REF _Ref422831791 \h </w:instrText>
      </w:r>
      <w:r>
        <w:fldChar w:fldCharType="separate"/>
      </w:r>
      <w:r w:rsidR="00B2652C" w:rsidRPr="00535EB3">
        <w:t xml:space="preserve">Table </w:t>
      </w:r>
      <w:r w:rsidR="00B2652C" w:rsidRPr="00B2652C">
        <w:rPr>
          <w:noProof/>
        </w:rPr>
        <w:t>3</w:t>
      </w:r>
      <w:r w:rsidR="00B2652C" w:rsidRPr="00535EB3">
        <w:t>-</w:t>
      </w:r>
      <w:r w:rsidR="00B2652C" w:rsidRPr="00B2652C">
        <w:rPr>
          <w:noProof/>
        </w:rPr>
        <w:t>10</w:t>
      </w:r>
      <w:r>
        <w:fldChar w:fldCharType="end"/>
      </w:r>
      <w:r w:rsidR="00CD3C39">
        <w:t xml:space="preserve"> (ID)</w:t>
      </w:r>
      <w:r w:rsidR="00157088">
        <w:t xml:space="preserve"> </w:t>
      </w:r>
      <w:r w:rsidR="00157088" w:rsidRPr="00094A77">
        <w:t xml:space="preserve">show the </w:t>
      </w:r>
      <w:r w:rsidR="00157088">
        <w:t xml:space="preserve">average </w:t>
      </w:r>
      <w:r w:rsidR="00157088" w:rsidRPr="00094A77">
        <w:t xml:space="preserve">market profile </w:t>
      </w:r>
      <w:r w:rsidR="00157088">
        <w:t>for electricity of</w:t>
      </w:r>
      <w:r w:rsidR="00157088" w:rsidRPr="00094A77">
        <w:t xml:space="preserve"> the commercial sector as a whole, representing a composite of </w:t>
      </w:r>
      <w:r w:rsidR="00157088">
        <w:t>all segments and buildings</w:t>
      </w:r>
      <w:r w:rsidR="00157088" w:rsidRPr="00CE5199">
        <w:t>.</w:t>
      </w:r>
      <w:r w:rsidR="00157088">
        <w:t xml:space="preserve"> </w:t>
      </w:r>
      <w:r w:rsidR="00157088" w:rsidRPr="002640E5">
        <w:t xml:space="preserve">Market profiles for each </w:t>
      </w:r>
      <w:r w:rsidR="00157088">
        <w:t xml:space="preserve">segment </w:t>
      </w:r>
      <w:r w:rsidR="00157088" w:rsidRPr="002640E5">
        <w:t xml:space="preserve">are presented in </w:t>
      </w:r>
      <w:r w:rsidR="00157088">
        <w:t>the appendix to this volume.</w:t>
      </w:r>
    </w:p>
    <w:p w:rsidR="00157088" w:rsidRDefault="00B604D8" w:rsidP="00837C13">
      <w:pPr>
        <w:pStyle w:val="FigureorTableTitle"/>
        <w:rPr>
          <w:noProof/>
        </w:rPr>
      </w:pPr>
      <w:bookmarkStart w:id="202" w:name="_Ref402252235"/>
      <w:bookmarkStart w:id="203" w:name="_Toc396755832"/>
      <w:bookmarkStart w:id="204" w:name="_Toc424192770"/>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9</w:t>
      </w:r>
      <w:r w:rsidR="00512CD6">
        <w:rPr>
          <w:bCs w:val="0"/>
          <w:iCs w:val="0"/>
          <w:noProof/>
        </w:rPr>
        <w:fldChar w:fldCharType="end"/>
      </w:r>
      <w:bookmarkEnd w:id="202"/>
      <w:r w:rsidR="00157088">
        <w:tab/>
        <w:t xml:space="preserve">Average Electric Market Profile for the </w:t>
      </w:r>
      <w:r w:rsidR="00157088" w:rsidRPr="00B16AB1">
        <w:t>Commercial Sector</w:t>
      </w:r>
      <w:r w:rsidR="00157088">
        <w:t>, 201</w:t>
      </w:r>
      <w:r w:rsidR="00A26CF4">
        <w:t>3</w:t>
      </w:r>
      <w:bookmarkEnd w:id="203"/>
      <w:r w:rsidR="00456475">
        <w:t>, Washington</w:t>
      </w:r>
      <w:bookmarkEnd w:id="204"/>
      <w:r w:rsidR="00157088" w:rsidRPr="00B16AB1">
        <w:t xml:space="preserve"> </w:t>
      </w:r>
    </w:p>
    <w:p w:rsidR="00837C13" w:rsidRDefault="0090270F" w:rsidP="00157088">
      <w:pPr>
        <w:pStyle w:val="BodyText"/>
      </w:pPr>
      <w:r w:rsidRPr="0090270F">
        <w:rPr>
          <w:noProof/>
        </w:rPr>
        <w:drawing>
          <wp:inline distT="0" distB="0" distL="0" distR="0">
            <wp:extent cx="5715000" cy="6549691"/>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837C13" w:rsidRDefault="00837C13">
      <w:pPr>
        <w:rPr>
          <w:spacing w:val="4"/>
          <w:szCs w:val="18"/>
        </w:rPr>
      </w:pPr>
      <w:r>
        <w:br w:type="page"/>
      </w:r>
    </w:p>
    <w:p w:rsidR="0090270F" w:rsidRDefault="0090270F" w:rsidP="0090270F">
      <w:pPr>
        <w:pStyle w:val="FigureorTableTitle"/>
      </w:pPr>
      <w:bookmarkStart w:id="205" w:name="_Ref422831791"/>
      <w:bookmarkStart w:id="206" w:name="_Toc424192771"/>
      <w:bookmarkStart w:id="207" w:name="_Toc335647163"/>
      <w:bookmarkStart w:id="208" w:name="_Toc341176228"/>
      <w:bookmarkStart w:id="209" w:name="_Toc401046346"/>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w:instrText>
      </w:r>
      <w:r w:rsidR="00512CD6">
        <w:instrText xml:space="preserve">MAT </w:instrText>
      </w:r>
      <w:r w:rsidR="00512CD6">
        <w:fldChar w:fldCharType="separate"/>
      </w:r>
      <w:r w:rsidR="00B2652C" w:rsidRPr="00B2652C">
        <w:rPr>
          <w:bCs w:val="0"/>
          <w:iCs w:val="0"/>
          <w:noProof/>
        </w:rPr>
        <w:t>10</w:t>
      </w:r>
      <w:r w:rsidR="00512CD6">
        <w:rPr>
          <w:bCs w:val="0"/>
          <w:iCs w:val="0"/>
          <w:noProof/>
        </w:rPr>
        <w:fldChar w:fldCharType="end"/>
      </w:r>
      <w:bookmarkEnd w:id="205"/>
      <w:r>
        <w:tab/>
        <w:t xml:space="preserve">Average Electric Market Profile for the </w:t>
      </w:r>
      <w:r w:rsidRPr="00B16AB1">
        <w:t>Commercial Sector</w:t>
      </w:r>
      <w:r>
        <w:t>, 2013, Idaho</w:t>
      </w:r>
      <w:bookmarkEnd w:id="206"/>
    </w:p>
    <w:p w:rsidR="00EC2CA5" w:rsidRDefault="0090270F" w:rsidP="001941C2">
      <w:pPr>
        <w:pStyle w:val="BodyText"/>
      </w:pPr>
      <w:r w:rsidRPr="0090270F">
        <w:rPr>
          <w:noProof/>
        </w:rPr>
        <w:drawing>
          <wp:inline distT="0" distB="0" distL="0" distR="0">
            <wp:extent cx="5715000" cy="6549691"/>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r w:rsidRPr="00B16AB1">
        <w:t xml:space="preserve"> </w:t>
      </w:r>
    </w:p>
    <w:p w:rsidR="0090270F" w:rsidRDefault="0090270F" w:rsidP="001941C2">
      <w:pPr>
        <w:pStyle w:val="BodyText"/>
      </w:pPr>
      <w:r>
        <w:br w:type="page"/>
      </w:r>
    </w:p>
    <w:p w:rsidR="00157088" w:rsidRDefault="00157088" w:rsidP="00157088">
      <w:pPr>
        <w:pStyle w:val="Heading2"/>
      </w:pPr>
      <w:bookmarkStart w:id="210" w:name="_Toc424192623"/>
      <w:r>
        <w:lastRenderedPageBreak/>
        <w:t>Industrial Sector</w:t>
      </w:r>
      <w:bookmarkEnd w:id="207"/>
      <w:bookmarkEnd w:id="208"/>
      <w:bookmarkEnd w:id="209"/>
      <w:bookmarkEnd w:id="210"/>
    </w:p>
    <w:p w:rsidR="00157088" w:rsidRDefault="00157088" w:rsidP="00157088">
      <w:bookmarkStart w:id="211" w:name="_Ref332187590"/>
      <w:bookmarkStart w:id="212" w:name="_Toc334177769"/>
      <w:r w:rsidRPr="006A4E7D">
        <w:t>The total electricity used in 201</w:t>
      </w:r>
      <w:r w:rsidR="00A26CF4" w:rsidRPr="006A4E7D">
        <w:t>3</w:t>
      </w:r>
      <w:r w:rsidRPr="006A4E7D">
        <w:t xml:space="preserve"> by </w:t>
      </w:r>
      <w:r w:rsidR="009B3FEA">
        <w:t>Avista</w:t>
      </w:r>
      <w:r w:rsidRPr="006A4E7D">
        <w:t xml:space="preserve">’s industrial customers was </w:t>
      </w:r>
      <w:r w:rsidR="002E5B78">
        <w:t xml:space="preserve">1,265 GWh; </w:t>
      </w:r>
      <w:r w:rsidR="009B3FEA">
        <w:t>922</w:t>
      </w:r>
      <w:r w:rsidRPr="006A4E7D">
        <w:t xml:space="preserve"> GWh</w:t>
      </w:r>
      <w:r w:rsidR="009B3FEA">
        <w:t xml:space="preserve"> (WA) and 343 GWh (ID)</w:t>
      </w:r>
      <w:r w:rsidRPr="006A4E7D">
        <w:t>.</w:t>
      </w:r>
      <w:bookmarkStart w:id="213" w:name="_Ref332187646"/>
      <w:bookmarkStart w:id="214" w:name="_Toc334177698"/>
      <w:bookmarkStart w:id="215" w:name="_Ref326169896"/>
      <w:bookmarkEnd w:id="211"/>
      <w:bookmarkEnd w:id="212"/>
      <w:r w:rsidRPr="006A4E7D">
        <w:t xml:space="preserve"> </w:t>
      </w:r>
      <w:bookmarkEnd w:id="213"/>
      <w:bookmarkEnd w:id="214"/>
      <w:bookmarkEnd w:id="215"/>
      <w:r w:rsidR="00932228">
        <w:t xml:space="preserve">Summer peak demand was </w:t>
      </w:r>
      <w:r w:rsidR="00A132D5">
        <w:t xml:space="preserve">336 MW; </w:t>
      </w:r>
      <w:r w:rsidR="00932228">
        <w:t xml:space="preserve">245 MW (WA) and 91 MW (ID). Winter peak demand was </w:t>
      </w:r>
      <w:r w:rsidR="00A132D5">
        <w:t>27</w:t>
      </w:r>
      <w:r w:rsidR="001941C2">
        <w:t>7</w:t>
      </w:r>
      <w:r w:rsidR="00A132D5">
        <w:t xml:space="preserve"> MW; </w:t>
      </w:r>
      <w:r w:rsidR="00932228">
        <w:t xml:space="preserve">202 MW (WA) and 75 MW (ID). </w:t>
      </w:r>
      <w:r w:rsidR="009B3FEA">
        <w:t>Avista</w:t>
      </w:r>
      <w:r w:rsidR="006A4E7D" w:rsidRPr="006A4E7D">
        <w:t xml:space="preserve"> billing data, load forecast and secondary sources </w:t>
      </w:r>
      <w:r w:rsidRPr="006A4E7D">
        <w:t>were used to develop estimates of energy intensity (annual kWh/employee). Using the electricity use and intensity estimates, we infer the number of employees which is the unit of analysis in LoadMAP for the industrial sector. These are</w:t>
      </w:r>
      <w:r>
        <w:t xml:space="preserve"> shown in </w:t>
      </w:r>
      <w:r w:rsidR="00893E3D">
        <w:fldChar w:fldCharType="begin"/>
      </w:r>
      <w:r w:rsidR="00B604D8">
        <w:instrText xml:space="preserve"> REF _Ref402252278 \h </w:instrText>
      </w:r>
      <w:r w:rsidR="00893E3D">
        <w:fldChar w:fldCharType="separate"/>
      </w:r>
      <w:r w:rsidR="00B2652C" w:rsidRPr="00535EB3">
        <w:t xml:space="preserve">Table </w:t>
      </w:r>
      <w:r w:rsidR="00B2652C" w:rsidRPr="00B2652C">
        <w:rPr>
          <w:noProof/>
        </w:rPr>
        <w:t>3</w:t>
      </w:r>
      <w:r w:rsidR="00B2652C" w:rsidRPr="00535EB3">
        <w:t>-</w:t>
      </w:r>
      <w:r w:rsidR="00B2652C" w:rsidRPr="00B2652C">
        <w:rPr>
          <w:noProof/>
        </w:rPr>
        <w:t>11</w:t>
      </w:r>
      <w:r w:rsidR="00893E3D">
        <w:fldChar w:fldCharType="end"/>
      </w:r>
      <w:r w:rsidRPr="003863A4">
        <w:t>.</w:t>
      </w:r>
      <w:r>
        <w:t xml:space="preserve"> </w:t>
      </w:r>
    </w:p>
    <w:p w:rsidR="00157088" w:rsidRPr="004269C6" w:rsidRDefault="00B604D8" w:rsidP="00837C13">
      <w:pPr>
        <w:pStyle w:val="FigureorTableTitle"/>
        <w:rPr>
          <w:color w:val="000000"/>
        </w:rPr>
      </w:pPr>
      <w:bookmarkStart w:id="216" w:name="_Ref402252278"/>
      <w:bookmarkStart w:id="217" w:name="_Toc396755833"/>
      <w:bookmarkStart w:id="218" w:name="_Toc424192772"/>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11</w:t>
      </w:r>
      <w:r w:rsidR="00512CD6">
        <w:rPr>
          <w:bCs w:val="0"/>
          <w:iCs w:val="0"/>
          <w:noProof/>
        </w:rPr>
        <w:fldChar w:fldCharType="end"/>
      </w:r>
      <w:bookmarkEnd w:id="216"/>
      <w:r w:rsidR="00157088">
        <w:tab/>
        <w:t>Industrial Sector Control Totals (201</w:t>
      </w:r>
      <w:r w:rsidR="00A26CF4">
        <w:t>3</w:t>
      </w:r>
      <w:r w:rsidR="00157088" w:rsidRPr="002B1B14">
        <w:t>)</w:t>
      </w:r>
      <w:bookmarkEnd w:id="217"/>
      <w:bookmarkEnd w:id="218"/>
    </w:p>
    <w:tbl>
      <w:tblPr>
        <w:tblStyle w:val="EnerNOCReportTable"/>
        <w:tblW w:w="5000" w:type="pct"/>
        <w:tblInd w:w="0" w:type="dxa"/>
        <w:tblCellMar>
          <w:top w:w="0" w:type="dxa"/>
          <w:left w:w="0" w:type="dxa"/>
          <w:bottom w:w="0" w:type="dxa"/>
          <w:right w:w="0" w:type="dxa"/>
        </w:tblCellMar>
        <w:tblLook w:val="04A0" w:firstRow="1" w:lastRow="0" w:firstColumn="1" w:lastColumn="0" w:noHBand="0" w:noVBand="1"/>
      </w:tblPr>
      <w:tblGrid>
        <w:gridCol w:w="1806"/>
        <w:gridCol w:w="1804"/>
        <w:gridCol w:w="1800"/>
        <w:gridCol w:w="1800"/>
        <w:gridCol w:w="1800"/>
      </w:tblGrid>
      <w:tr w:rsidR="00F46BEB" w:rsidRPr="002E5B78" w:rsidTr="00F46BEB">
        <w:trPr>
          <w:cnfStyle w:val="100000000000" w:firstRow="1" w:lastRow="0" w:firstColumn="0" w:lastColumn="0" w:oddVBand="0" w:evenVBand="0" w:oddHBand="0" w:evenHBand="0" w:firstRowFirstColumn="0" w:firstRowLastColumn="0" w:lastRowFirstColumn="0" w:lastRowLastColumn="0"/>
          <w:trHeight w:val="360"/>
          <w:tblHeader/>
        </w:trPr>
        <w:tc>
          <w:tcPr>
            <w:tcW w:w="1002" w:type="pct"/>
            <w:shd w:val="clear" w:color="auto" w:fill="1A1D5D"/>
            <w:tcMar>
              <w:top w:w="0" w:type="dxa"/>
              <w:bottom w:w="0" w:type="dxa"/>
            </w:tcMar>
          </w:tcPr>
          <w:p w:rsidR="00F46BEB" w:rsidRPr="002E5B78" w:rsidRDefault="00F46BEB" w:rsidP="00FB0A5E">
            <w:pPr>
              <w:pStyle w:val="TableText"/>
              <w:rPr>
                <w:color w:val="auto"/>
              </w:rPr>
            </w:pPr>
            <w:r w:rsidRPr="002E5B78">
              <w:rPr>
                <w:color w:val="auto"/>
              </w:rPr>
              <w:t>State</w:t>
            </w:r>
          </w:p>
        </w:tc>
        <w:tc>
          <w:tcPr>
            <w:tcW w:w="1001" w:type="pct"/>
            <w:shd w:val="clear" w:color="auto" w:fill="1A1D5D"/>
            <w:tcMar>
              <w:top w:w="0" w:type="dxa"/>
              <w:bottom w:w="0" w:type="dxa"/>
            </w:tcMar>
          </w:tcPr>
          <w:p w:rsidR="00F46BEB" w:rsidRPr="002E5B78" w:rsidRDefault="00F46BEB" w:rsidP="00A26CF4">
            <w:pPr>
              <w:pStyle w:val="TableText"/>
              <w:rPr>
                <w:color w:val="auto"/>
              </w:rPr>
            </w:pPr>
            <w:r w:rsidRPr="002E5B78">
              <w:rPr>
                <w:color w:val="auto"/>
              </w:rPr>
              <w:t>Electricity Sales</w:t>
            </w:r>
          </w:p>
          <w:p w:rsidR="00F46BEB" w:rsidRPr="002E5B78" w:rsidRDefault="00F46BEB" w:rsidP="00A26CF4">
            <w:pPr>
              <w:pStyle w:val="TableText"/>
              <w:rPr>
                <w:color w:val="auto"/>
              </w:rPr>
            </w:pPr>
            <w:r w:rsidRPr="002E5B78">
              <w:rPr>
                <w:color w:val="auto"/>
              </w:rPr>
              <w:t>(GWh)</w:t>
            </w:r>
          </w:p>
        </w:tc>
        <w:tc>
          <w:tcPr>
            <w:tcW w:w="999" w:type="pct"/>
            <w:shd w:val="clear" w:color="auto" w:fill="1A1D5D"/>
            <w:tcMar>
              <w:top w:w="0" w:type="dxa"/>
              <w:bottom w:w="0" w:type="dxa"/>
            </w:tcMar>
          </w:tcPr>
          <w:p w:rsidR="00F46BEB" w:rsidRPr="002E5B78" w:rsidRDefault="00F46BEB" w:rsidP="00A26CF4">
            <w:pPr>
              <w:pStyle w:val="TableText"/>
              <w:rPr>
                <w:color w:val="auto"/>
              </w:rPr>
            </w:pPr>
            <w:r w:rsidRPr="002E5B78">
              <w:rPr>
                <w:color w:val="auto"/>
              </w:rPr>
              <w:t xml:space="preserve">Intensity </w:t>
            </w:r>
            <w:r w:rsidRPr="002E5B78">
              <w:rPr>
                <w:color w:val="auto"/>
              </w:rPr>
              <w:br/>
              <w:t>(Annual kWh/employee)</w:t>
            </w:r>
          </w:p>
        </w:tc>
        <w:tc>
          <w:tcPr>
            <w:tcW w:w="999" w:type="pct"/>
            <w:shd w:val="clear" w:color="auto" w:fill="1A1D5D"/>
          </w:tcPr>
          <w:p w:rsidR="00F46BEB" w:rsidRPr="002E5B78" w:rsidRDefault="00F46BEB" w:rsidP="00A26CF4">
            <w:pPr>
              <w:pStyle w:val="TableText"/>
            </w:pPr>
            <w:r>
              <w:t>Summer Peak (MW)</w:t>
            </w:r>
          </w:p>
        </w:tc>
        <w:tc>
          <w:tcPr>
            <w:tcW w:w="999" w:type="pct"/>
            <w:shd w:val="clear" w:color="auto" w:fill="1A1D5D"/>
          </w:tcPr>
          <w:p w:rsidR="00F46BEB" w:rsidRPr="002E5B78" w:rsidRDefault="00F46BEB" w:rsidP="00A26CF4">
            <w:pPr>
              <w:pStyle w:val="TableText"/>
            </w:pPr>
            <w:r>
              <w:t>Winter Peak (MW)</w:t>
            </w:r>
          </w:p>
        </w:tc>
      </w:tr>
      <w:tr w:rsidR="00F46BEB" w:rsidRPr="00815514" w:rsidTr="001941C2">
        <w:trPr>
          <w:trHeight w:val="360"/>
        </w:trPr>
        <w:tc>
          <w:tcPr>
            <w:tcW w:w="1002" w:type="pct"/>
            <w:tcMar>
              <w:top w:w="0" w:type="dxa"/>
              <w:left w:w="0" w:type="dxa"/>
              <w:bottom w:w="0" w:type="dxa"/>
            </w:tcMar>
          </w:tcPr>
          <w:p w:rsidR="00F46BEB" w:rsidRPr="00FC0B67" w:rsidRDefault="00F46BEB" w:rsidP="001941C2">
            <w:pPr>
              <w:pStyle w:val="NormalWeb"/>
              <w:ind w:left="144"/>
              <w:textAlignment w:val="bottom"/>
              <w:rPr>
                <w:rFonts w:ascii="Arial" w:hAnsi="Arial" w:cs="Arial"/>
                <w:szCs w:val="20"/>
              </w:rPr>
            </w:pPr>
            <w:r>
              <w:rPr>
                <w:rFonts w:ascii="Calibri" w:hAnsi="Calibri" w:cs="Calibri"/>
                <w:color w:val="000000"/>
                <w:sz w:val="22"/>
                <w:szCs w:val="22"/>
              </w:rPr>
              <w:t>Washington</w:t>
            </w:r>
          </w:p>
        </w:tc>
        <w:tc>
          <w:tcPr>
            <w:tcW w:w="1001" w:type="pct"/>
            <w:shd w:val="clear" w:color="auto" w:fill="E5ECF1"/>
            <w:tcMar>
              <w:top w:w="0" w:type="dxa"/>
              <w:bottom w:w="0" w:type="dxa"/>
              <w:right w:w="0" w:type="dxa"/>
            </w:tcMar>
          </w:tcPr>
          <w:p w:rsidR="00F46BEB" w:rsidRPr="001648F8" w:rsidRDefault="00F46BEB" w:rsidP="00EC2CA5">
            <w:pPr>
              <w:pStyle w:val="NormalWeb"/>
              <w:jc w:val="center"/>
              <w:textAlignment w:val="bottom"/>
              <w:rPr>
                <w:rFonts w:ascii="Arial" w:hAnsi="Arial" w:cs="Arial"/>
                <w:szCs w:val="20"/>
              </w:rPr>
            </w:pPr>
            <w:r>
              <w:rPr>
                <w:rFonts w:ascii="Calibri" w:hAnsi="Calibri" w:cs="Calibri"/>
                <w:color w:val="000000"/>
                <w:szCs w:val="20"/>
              </w:rPr>
              <w:t>922</w:t>
            </w:r>
          </w:p>
        </w:tc>
        <w:tc>
          <w:tcPr>
            <w:tcW w:w="999" w:type="pct"/>
            <w:shd w:val="clear" w:color="auto" w:fill="auto"/>
            <w:tcMar>
              <w:top w:w="0" w:type="dxa"/>
              <w:bottom w:w="0" w:type="dxa"/>
              <w:right w:w="0" w:type="dxa"/>
            </w:tcMar>
          </w:tcPr>
          <w:p w:rsidR="00F46BEB" w:rsidRPr="001648F8" w:rsidRDefault="00F46BEB" w:rsidP="00EC2CA5">
            <w:pPr>
              <w:pStyle w:val="NormalWeb"/>
              <w:jc w:val="center"/>
              <w:textAlignment w:val="bottom"/>
              <w:rPr>
                <w:rFonts w:ascii="Calibri" w:hAnsi="Calibri" w:cs="Calibri"/>
                <w:szCs w:val="20"/>
              </w:rPr>
            </w:pPr>
            <w:r>
              <w:rPr>
                <w:rFonts w:ascii="Calibri" w:hAnsi="Calibri" w:cs="Calibri"/>
                <w:color w:val="000000"/>
                <w:szCs w:val="20"/>
              </w:rPr>
              <w:t>56</w:t>
            </w:r>
            <w:r w:rsidRPr="001648F8">
              <w:rPr>
                <w:rFonts w:ascii="Calibri" w:hAnsi="Calibri" w:cs="Calibri"/>
                <w:color w:val="000000"/>
                <w:szCs w:val="20"/>
              </w:rPr>
              <w:t>,</w:t>
            </w:r>
            <w:r>
              <w:rPr>
                <w:rFonts w:ascii="Calibri" w:hAnsi="Calibri" w:cs="Calibri"/>
                <w:color w:val="000000"/>
                <w:szCs w:val="20"/>
              </w:rPr>
              <w:t>846</w:t>
            </w:r>
          </w:p>
        </w:tc>
        <w:tc>
          <w:tcPr>
            <w:tcW w:w="999" w:type="pct"/>
            <w:shd w:val="clear" w:color="auto" w:fill="FDF2C8" w:themeFill="accent4" w:themeFillTint="33"/>
          </w:tcPr>
          <w:p w:rsidR="00F46BEB" w:rsidRDefault="00682722" w:rsidP="00EC2CA5">
            <w:pPr>
              <w:pStyle w:val="NormalWeb"/>
              <w:jc w:val="center"/>
              <w:textAlignment w:val="bottom"/>
              <w:rPr>
                <w:rFonts w:ascii="Calibri" w:hAnsi="Calibri" w:cs="Calibri"/>
                <w:color w:val="000000"/>
                <w:szCs w:val="20"/>
              </w:rPr>
            </w:pPr>
            <w:r>
              <w:rPr>
                <w:rFonts w:ascii="Calibri" w:hAnsi="Calibri" w:cs="Calibri"/>
                <w:color w:val="000000"/>
                <w:szCs w:val="20"/>
              </w:rPr>
              <w:t>245</w:t>
            </w:r>
          </w:p>
        </w:tc>
        <w:tc>
          <w:tcPr>
            <w:tcW w:w="999" w:type="pct"/>
            <w:shd w:val="clear" w:color="auto" w:fill="FFCC99"/>
          </w:tcPr>
          <w:p w:rsidR="00F46BEB" w:rsidRDefault="00682722" w:rsidP="00EC2CA5">
            <w:pPr>
              <w:pStyle w:val="NormalWeb"/>
              <w:jc w:val="center"/>
              <w:textAlignment w:val="bottom"/>
              <w:rPr>
                <w:rFonts w:ascii="Calibri" w:hAnsi="Calibri" w:cs="Calibri"/>
                <w:color w:val="000000"/>
                <w:szCs w:val="20"/>
              </w:rPr>
            </w:pPr>
            <w:r>
              <w:rPr>
                <w:rFonts w:ascii="Calibri" w:hAnsi="Calibri" w:cs="Calibri"/>
                <w:color w:val="000000"/>
                <w:szCs w:val="20"/>
              </w:rPr>
              <w:t>202</w:t>
            </w:r>
          </w:p>
        </w:tc>
      </w:tr>
      <w:tr w:rsidR="00F46BEB" w:rsidRPr="00815514" w:rsidTr="001941C2">
        <w:trPr>
          <w:trHeight w:val="360"/>
        </w:trPr>
        <w:tc>
          <w:tcPr>
            <w:tcW w:w="1002" w:type="pct"/>
            <w:tcMar>
              <w:top w:w="0" w:type="dxa"/>
              <w:left w:w="0" w:type="dxa"/>
              <w:bottom w:w="0" w:type="dxa"/>
            </w:tcMar>
          </w:tcPr>
          <w:p w:rsidR="00F46BEB" w:rsidRPr="00FC0B67" w:rsidRDefault="00F46BEB" w:rsidP="001941C2">
            <w:pPr>
              <w:pStyle w:val="NormalWeb"/>
              <w:ind w:left="144"/>
              <w:textAlignment w:val="bottom"/>
              <w:rPr>
                <w:rFonts w:ascii="Arial" w:hAnsi="Arial" w:cs="Arial"/>
                <w:szCs w:val="20"/>
              </w:rPr>
            </w:pPr>
            <w:r>
              <w:rPr>
                <w:rFonts w:ascii="Calibri" w:hAnsi="Calibri" w:cs="Calibri"/>
                <w:color w:val="000000"/>
                <w:sz w:val="22"/>
                <w:szCs w:val="22"/>
              </w:rPr>
              <w:t>Idaho</w:t>
            </w:r>
          </w:p>
        </w:tc>
        <w:tc>
          <w:tcPr>
            <w:tcW w:w="1001" w:type="pct"/>
            <w:shd w:val="clear" w:color="auto" w:fill="E5ECF1"/>
            <w:tcMar>
              <w:top w:w="0" w:type="dxa"/>
              <w:bottom w:w="0" w:type="dxa"/>
              <w:right w:w="0" w:type="dxa"/>
            </w:tcMar>
          </w:tcPr>
          <w:p w:rsidR="00F46BEB" w:rsidRPr="001648F8" w:rsidRDefault="00F46BEB" w:rsidP="00EC2CA5">
            <w:pPr>
              <w:pStyle w:val="NormalWeb"/>
              <w:jc w:val="center"/>
              <w:textAlignment w:val="bottom"/>
              <w:rPr>
                <w:rFonts w:ascii="Arial" w:hAnsi="Arial" w:cs="Arial"/>
                <w:szCs w:val="20"/>
              </w:rPr>
            </w:pPr>
            <w:r>
              <w:rPr>
                <w:rFonts w:ascii="Calibri" w:hAnsi="Calibri" w:cs="Calibri"/>
                <w:color w:val="000000"/>
                <w:szCs w:val="20"/>
              </w:rPr>
              <w:t>343</w:t>
            </w:r>
          </w:p>
        </w:tc>
        <w:tc>
          <w:tcPr>
            <w:tcW w:w="999" w:type="pct"/>
            <w:shd w:val="clear" w:color="auto" w:fill="auto"/>
            <w:tcMar>
              <w:top w:w="0" w:type="dxa"/>
              <w:bottom w:w="0" w:type="dxa"/>
              <w:right w:w="0" w:type="dxa"/>
            </w:tcMar>
          </w:tcPr>
          <w:p w:rsidR="00F46BEB" w:rsidRPr="001648F8" w:rsidRDefault="00F46BEB" w:rsidP="00EC2CA5">
            <w:pPr>
              <w:pStyle w:val="NormalWeb"/>
              <w:jc w:val="center"/>
              <w:textAlignment w:val="bottom"/>
              <w:rPr>
                <w:rFonts w:ascii="Calibri" w:hAnsi="Calibri" w:cs="Calibri"/>
                <w:szCs w:val="20"/>
              </w:rPr>
            </w:pPr>
            <w:r>
              <w:rPr>
                <w:rFonts w:ascii="Calibri" w:hAnsi="Calibri" w:cs="Calibri"/>
                <w:color w:val="000000"/>
                <w:szCs w:val="20"/>
              </w:rPr>
              <w:t>38,668</w:t>
            </w:r>
          </w:p>
        </w:tc>
        <w:tc>
          <w:tcPr>
            <w:tcW w:w="999" w:type="pct"/>
            <w:shd w:val="clear" w:color="auto" w:fill="FDF2C8" w:themeFill="accent4" w:themeFillTint="33"/>
          </w:tcPr>
          <w:p w:rsidR="00F46BEB" w:rsidRDefault="00682722" w:rsidP="00EC2CA5">
            <w:pPr>
              <w:pStyle w:val="NormalWeb"/>
              <w:jc w:val="center"/>
              <w:textAlignment w:val="bottom"/>
              <w:rPr>
                <w:rFonts w:ascii="Calibri" w:hAnsi="Calibri" w:cs="Calibri"/>
                <w:color w:val="000000"/>
                <w:szCs w:val="20"/>
              </w:rPr>
            </w:pPr>
            <w:r>
              <w:rPr>
                <w:rFonts w:ascii="Calibri" w:hAnsi="Calibri" w:cs="Calibri"/>
                <w:color w:val="000000"/>
                <w:szCs w:val="20"/>
              </w:rPr>
              <w:t>91</w:t>
            </w:r>
          </w:p>
        </w:tc>
        <w:tc>
          <w:tcPr>
            <w:tcW w:w="999" w:type="pct"/>
            <w:shd w:val="clear" w:color="auto" w:fill="FFCC99"/>
          </w:tcPr>
          <w:p w:rsidR="00F46BEB" w:rsidRDefault="00682722" w:rsidP="00EC2CA5">
            <w:pPr>
              <w:pStyle w:val="NormalWeb"/>
              <w:jc w:val="center"/>
              <w:textAlignment w:val="bottom"/>
              <w:rPr>
                <w:rFonts w:ascii="Calibri" w:hAnsi="Calibri" w:cs="Calibri"/>
                <w:color w:val="000000"/>
                <w:szCs w:val="20"/>
              </w:rPr>
            </w:pPr>
            <w:r>
              <w:rPr>
                <w:rFonts w:ascii="Calibri" w:hAnsi="Calibri" w:cs="Calibri"/>
                <w:color w:val="000000"/>
                <w:szCs w:val="20"/>
              </w:rPr>
              <w:t>75</w:t>
            </w:r>
          </w:p>
        </w:tc>
      </w:tr>
    </w:tbl>
    <w:p w:rsidR="00A26CF4" w:rsidRDefault="00A26CF4" w:rsidP="00A26CF4">
      <w:pPr>
        <w:pStyle w:val="BodyText"/>
      </w:pPr>
    </w:p>
    <w:p w:rsidR="003B2D57" w:rsidRDefault="003B2D57">
      <w:pPr>
        <w:rPr>
          <w:spacing w:val="4"/>
          <w:szCs w:val="18"/>
        </w:rPr>
      </w:pPr>
      <w:r>
        <w:br w:type="page"/>
      </w:r>
    </w:p>
    <w:p w:rsidR="00157088" w:rsidRDefault="00893E3D" w:rsidP="00A26CF4">
      <w:pPr>
        <w:pStyle w:val="BodyText"/>
      </w:pPr>
      <w:r>
        <w:lastRenderedPageBreak/>
        <w:fldChar w:fldCharType="begin"/>
      </w:r>
      <w:r w:rsidR="00584417">
        <w:instrText xml:space="preserve"> REF _Ref423596931 \h </w:instrText>
      </w:r>
      <w:r>
        <w:fldChar w:fldCharType="separate"/>
      </w:r>
      <w:r w:rsidR="00B2652C" w:rsidRPr="009D100B">
        <w:t xml:space="preserve">Figure </w:t>
      </w:r>
      <w:r w:rsidR="00B2652C" w:rsidRPr="00B2652C">
        <w:rPr>
          <w:noProof/>
        </w:rPr>
        <w:t>3</w:t>
      </w:r>
      <w:r w:rsidR="00B2652C" w:rsidRPr="009D100B">
        <w:t>-</w:t>
      </w:r>
      <w:r w:rsidR="00B2652C" w:rsidRPr="00B2652C">
        <w:rPr>
          <w:noProof/>
        </w:rPr>
        <w:t>11</w:t>
      </w:r>
      <w:r>
        <w:fldChar w:fldCharType="end"/>
      </w:r>
      <w:r w:rsidR="00584417">
        <w:t xml:space="preserve"> </w:t>
      </w:r>
      <w:r w:rsidR="00157088">
        <w:t xml:space="preserve">shows the distribution of </w:t>
      </w:r>
      <w:r w:rsidR="006A4E7D">
        <w:t xml:space="preserve">annual </w:t>
      </w:r>
      <w:r w:rsidR="00157088">
        <w:t xml:space="preserve">electricity consumption </w:t>
      </w:r>
      <w:r w:rsidR="006A4E7D">
        <w:t xml:space="preserve">and summer </w:t>
      </w:r>
      <w:r w:rsidR="00A132D5">
        <w:t xml:space="preserve">and winter </w:t>
      </w:r>
      <w:r w:rsidR="006A4E7D">
        <w:t xml:space="preserve">peak demand </w:t>
      </w:r>
      <w:r w:rsidR="00157088">
        <w:t xml:space="preserve">by end use for all industrial customers. Motors are </w:t>
      </w:r>
      <w:r w:rsidR="00157088" w:rsidRPr="00917C95">
        <w:t>the largest overall end use for the indu</w:t>
      </w:r>
      <w:r w:rsidR="00157088">
        <w:t xml:space="preserve">strial sector, accounting for </w:t>
      </w:r>
      <w:r w:rsidR="00AC68B6">
        <w:t>54</w:t>
      </w:r>
      <w:r w:rsidR="00157088" w:rsidRPr="00917C95">
        <w:t xml:space="preserve">% of energy use. </w:t>
      </w:r>
      <w:r w:rsidR="00157088">
        <w:t xml:space="preserve">Note that this end use includes a wide range of industrial equipment, such as air compressors and refrigeration compressors, pumps, conveyor motors, and fans. The process end use </w:t>
      </w:r>
      <w:r w:rsidR="00157088" w:rsidRPr="00917C95">
        <w:t>account</w:t>
      </w:r>
      <w:r w:rsidR="00157088">
        <w:t>s</w:t>
      </w:r>
      <w:r w:rsidR="00157088" w:rsidRPr="00917C95">
        <w:t xml:space="preserve"> for </w:t>
      </w:r>
      <w:r w:rsidR="00AC68B6">
        <w:t>27</w:t>
      </w:r>
      <w:r w:rsidR="00157088" w:rsidRPr="00917C95">
        <w:t xml:space="preserve">% of </w:t>
      </w:r>
      <w:r w:rsidR="006A4E7D">
        <w:t xml:space="preserve">annual </w:t>
      </w:r>
      <w:r w:rsidR="00157088" w:rsidRPr="00917C95">
        <w:t>energy use</w:t>
      </w:r>
      <w:r w:rsidR="00157088">
        <w:t>, which includes heating, cooling, refrigeration, and electro-chemical processes. Lighting is the next highest, followed by</w:t>
      </w:r>
      <w:r w:rsidR="00157088" w:rsidRPr="00917C95">
        <w:t xml:space="preserve"> </w:t>
      </w:r>
      <w:r w:rsidR="00AC68B6">
        <w:t>cooling</w:t>
      </w:r>
      <w:r w:rsidR="00157088" w:rsidRPr="00917C95">
        <w:t xml:space="preserve">, </w:t>
      </w:r>
      <w:r w:rsidR="00157088">
        <w:t xml:space="preserve">miscellaneous, </w:t>
      </w:r>
      <w:r w:rsidR="00AC68B6">
        <w:t>heating</w:t>
      </w:r>
      <w:r w:rsidR="00AC4B05">
        <w:t xml:space="preserve"> </w:t>
      </w:r>
      <w:r w:rsidR="00157088">
        <w:t xml:space="preserve">and </w:t>
      </w:r>
      <w:r w:rsidR="00AC4B05">
        <w:t>ventilation</w:t>
      </w:r>
      <w:r w:rsidR="00157088">
        <w:t xml:space="preserve">. </w:t>
      </w:r>
    </w:p>
    <w:p w:rsidR="001648F8" w:rsidRDefault="001648F8" w:rsidP="00125362">
      <w:pPr>
        <w:pStyle w:val="BodyText"/>
      </w:pPr>
      <w:bookmarkStart w:id="219" w:name="_Ref387951721"/>
      <w:bookmarkStart w:id="220" w:name="_Toc387951594"/>
    </w:p>
    <w:p w:rsidR="00157088" w:rsidRDefault="00157088" w:rsidP="00837C13">
      <w:pPr>
        <w:pStyle w:val="FigureorTableTitle"/>
      </w:pPr>
      <w:bookmarkStart w:id="221" w:name="_Ref423596931"/>
      <w:bookmarkStart w:id="222" w:name="_Toc424192711"/>
      <w:r w:rsidRPr="009D100B">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3</w:t>
      </w:r>
      <w:r w:rsidR="00512CD6">
        <w:rPr>
          <w:noProof/>
          <w:szCs w:val="18"/>
        </w:rPr>
        <w:fldChar w:fldCharType="end"/>
      </w:r>
      <w:r w:rsidRPr="009D100B">
        <w:rPr>
          <w:szCs w:val="18"/>
        </w:rPr>
        <w:t>-</w:t>
      </w:r>
      <w:r w:rsidR="00512CD6">
        <w:fldChar w:fldCharType="begin"/>
      </w:r>
      <w:r w:rsidR="00512CD6">
        <w:instrText xml:space="preserve"> SEQ Figure\s 1</w:instrText>
      </w:r>
      <w:r w:rsidR="00512CD6">
        <w:instrText xml:space="preserve"> \* MERGEFORMAT </w:instrText>
      </w:r>
      <w:r w:rsidR="00512CD6">
        <w:fldChar w:fldCharType="separate"/>
      </w:r>
      <w:r w:rsidR="00B2652C" w:rsidRPr="00B2652C">
        <w:rPr>
          <w:noProof/>
          <w:szCs w:val="18"/>
        </w:rPr>
        <w:t>11</w:t>
      </w:r>
      <w:r w:rsidR="00512CD6">
        <w:rPr>
          <w:noProof/>
          <w:szCs w:val="18"/>
        </w:rPr>
        <w:fldChar w:fldCharType="end"/>
      </w:r>
      <w:bookmarkEnd w:id="219"/>
      <w:bookmarkEnd w:id="221"/>
      <w:r w:rsidRPr="009D100B">
        <w:rPr>
          <w:szCs w:val="18"/>
        </w:rPr>
        <w:t xml:space="preserve"> </w:t>
      </w:r>
      <w:r>
        <w:rPr>
          <w:szCs w:val="18"/>
        </w:rPr>
        <w:tab/>
      </w:r>
      <w:r>
        <w:t xml:space="preserve">Industrial </w:t>
      </w:r>
      <w:r w:rsidRPr="00837C13">
        <w:t>Electricity</w:t>
      </w:r>
      <w:r>
        <w:t xml:space="preserve"> </w:t>
      </w:r>
      <w:r w:rsidRPr="00697CAA">
        <w:t>Use by End Use (</w:t>
      </w:r>
      <w:r>
        <w:t>201</w:t>
      </w:r>
      <w:r w:rsidR="00A26CF4">
        <w:t>3</w:t>
      </w:r>
      <w:r>
        <w:t>), All Industries</w:t>
      </w:r>
      <w:bookmarkEnd w:id="220"/>
      <w:r w:rsidR="00AC68B6">
        <w:t>, WA and ID</w:t>
      </w:r>
      <w:bookmarkEnd w:id="222"/>
    </w:p>
    <w:p w:rsidR="00157088" w:rsidRDefault="00FB0A5E" w:rsidP="002E5B78">
      <w:pPr>
        <w:pStyle w:val="BodyText"/>
        <w:jc w:val="center"/>
      </w:pPr>
      <w:r w:rsidRPr="002E5B78">
        <w:rPr>
          <w:noProof/>
        </w:rPr>
        <w:drawing>
          <wp:inline distT="0" distB="0" distL="0" distR="0">
            <wp:extent cx="3905250" cy="29344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14594" cy="2941516"/>
                    </a:xfrm>
                    <a:prstGeom prst="rect">
                      <a:avLst/>
                    </a:prstGeom>
                    <a:noFill/>
                    <a:ln>
                      <a:noFill/>
                    </a:ln>
                  </pic:spPr>
                </pic:pic>
              </a:graphicData>
            </a:graphic>
          </wp:inline>
        </w:drawing>
      </w:r>
      <w:r w:rsidR="00D106C4" w:rsidRPr="00D106C4">
        <w:t xml:space="preserve"> </w:t>
      </w:r>
      <w:r w:rsidR="00D106C4" w:rsidRPr="00D106C4">
        <w:rPr>
          <w:noProof/>
        </w:rPr>
        <w:drawing>
          <wp:inline distT="0" distB="0" distL="0" distR="0">
            <wp:extent cx="6238875" cy="28734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4899" cy="2894681"/>
                    </a:xfrm>
                    <a:prstGeom prst="rect">
                      <a:avLst/>
                    </a:prstGeom>
                    <a:noFill/>
                    <a:ln>
                      <a:noFill/>
                    </a:ln>
                  </pic:spPr>
                </pic:pic>
              </a:graphicData>
            </a:graphic>
          </wp:inline>
        </w:drawing>
      </w:r>
    </w:p>
    <w:p w:rsidR="003B2D57" w:rsidRDefault="003B2D57" w:rsidP="00DD08CA">
      <w:pPr>
        <w:pStyle w:val="BodyText"/>
      </w:pPr>
    </w:p>
    <w:p w:rsidR="003B2D57" w:rsidRDefault="003B2D57">
      <w:pPr>
        <w:rPr>
          <w:spacing w:val="4"/>
          <w:szCs w:val="18"/>
        </w:rPr>
      </w:pPr>
      <w:r>
        <w:br w:type="page"/>
      </w:r>
    </w:p>
    <w:p w:rsidR="00DD08CA" w:rsidRDefault="00893E3D" w:rsidP="00DD08CA">
      <w:pPr>
        <w:pStyle w:val="BodyText"/>
      </w:pPr>
      <w:r>
        <w:lastRenderedPageBreak/>
        <w:fldChar w:fldCharType="begin"/>
      </w:r>
      <w:r w:rsidR="00B604D8">
        <w:instrText xml:space="preserve"> REF _Ref402252310 \h </w:instrText>
      </w:r>
      <w:r>
        <w:fldChar w:fldCharType="separate"/>
      </w:r>
      <w:r w:rsidR="00B2652C" w:rsidRPr="00535EB3">
        <w:t xml:space="preserve">Table </w:t>
      </w:r>
      <w:r w:rsidR="00B2652C" w:rsidRPr="00B2652C">
        <w:rPr>
          <w:noProof/>
        </w:rPr>
        <w:t>3</w:t>
      </w:r>
      <w:r w:rsidR="00B2652C" w:rsidRPr="00535EB3">
        <w:t>-</w:t>
      </w:r>
      <w:r w:rsidR="00B2652C" w:rsidRPr="00B2652C">
        <w:rPr>
          <w:noProof/>
        </w:rPr>
        <w:t>12</w:t>
      </w:r>
      <w:r>
        <w:fldChar w:fldCharType="end"/>
      </w:r>
      <w:r w:rsidR="00AC68B6">
        <w:t xml:space="preserve"> (WA) and </w:t>
      </w:r>
      <w:r>
        <w:fldChar w:fldCharType="begin"/>
      </w:r>
      <w:r w:rsidR="00AC68B6">
        <w:instrText xml:space="preserve"> REF _Ref422832491 \h </w:instrText>
      </w:r>
      <w:r>
        <w:fldChar w:fldCharType="separate"/>
      </w:r>
      <w:r w:rsidR="00B2652C" w:rsidRPr="00535EB3">
        <w:t xml:space="preserve">Table </w:t>
      </w:r>
      <w:r w:rsidR="00B2652C" w:rsidRPr="00B2652C">
        <w:rPr>
          <w:noProof/>
        </w:rPr>
        <w:t>3</w:t>
      </w:r>
      <w:r w:rsidR="00B2652C" w:rsidRPr="00535EB3">
        <w:t>-</w:t>
      </w:r>
      <w:r w:rsidR="00B2652C" w:rsidRPr="00B2652C">
        <w:rPr>
          <w:noProof/>
        </w:rPr>
        <w:t>13</w:t>
      </w:r>
      <w:r>
        <w:fldChar w:fldCharType="end"/>
      </w:r>
      <w:r w:rsidR="00457276">
        <w:t xml:space="preserve"> </w:t>
      </w:r>
      <w:r w:rsidR="00AC68B6">
        <w:t xml:space="preserve">(ID) </w:t>
      </w:r>
      <w:r w:rsidR="00DD08CA">
        <w:t>show the composite market profile</w:t>
      </w:r>
      <w:r w:rsidR="00DD08CA" w:rsidRPr="00917C95">
        <w:t xml:space="preserve"> for the industrial sector.</w:t>
      </w:r>
    </w:p>
    <w:p w:rsidR="00157088" w:rsidRPr="004269C6" w:rsidRDefault="00B604D8" w:rsidP="00837C13">
      <w:pPr>
        <w:pStyle w:val="FigureorTableTitle"/>
        <w:rPr>
          <w:color w:val="000000"/>
        </w:rPr>
      </w:pPr>
      <w:bookmarkStart w:id="223" w:name="_Ref402252310"/>
      <w:bookmarkStart w:id="224" w:name="_Toc341181331"/>
      <w:bookmarkStart w:id="225" w:name="_Toc396755834"/>
      <w:bookmarkStart w:id="226" w:name="_Toc424192773"/>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12</w:t>
      </w:r>
      <w:r w:rsidR="00512CD6">
        <w:rPr>
          <w:bCs w:val="0"/>
          <w:iCs w:val="0"/>
          <w:noProof/>
        </w:rPr>
        <w:fldChar w:fldCharType="end"/>
      </w:r>
      <w:bookmarkEnd w:id="223"/>
      <w:r w:rsidR="00157088">
        <w:tab/>
        <w:t xml:space="preserve">Average Electric Market Profile for the Industrial Sector, </w:t>
      </w:r>
      <w:bookmarkEnd w:id="224"/>
      <w:r w:rsidR="00157088">
        <w:t>201</w:t>
      </w:r>
      <w:bookmarkEnd w:id="225"/>
      <w:r w:rsidR="00222776">
        <w:t>3</w:t>
      </w:r>
      <w:r w:rsidR="00C0774C">
        <w:t>, Washington</w:t>
      </w:r>
      <w:bookmarkEnd w:id="226"/>
      <w:r w:rsidR="00D67AA5">
        <w:t xml:space="preserve"> </w:t>
      </w:r>
    </w:p>
    <w:p w:rsidR="0090787C" w:rsidRDefault="00C0774C" w:rsidP="003E6268">
      <w:pPr>
        <w:pStyle w:val="BodyText"/>
        <w:jc w:val="center"/>
      </w:pPr>
      <w:r w:rsidRPr="00C0774C">
        <w:rPr>
          <w:noProof/>
        </w:rPr>
        <w:drawing>
          <wp:inline distT="0" distB="0" distL="0" distR="0">
            <wp:extent cx="4257675" cy="5540107"/>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6779" cy="5551953"/>
                    </a:xfrm>
                    <a:prstGeom prst="rect">
                      <a:avLst/>
                    </a:prstGeom>
                    <a:noFill/>
                    <a:ln>
                      <a:noFill/>
                    </a:ln>
                  </pic:spPr>
                </pic:pic>
              </a:graphicData>
            </a:graphic>
          </wp:inline>
        </w:drawing>
      </w:r>
    </w:p>
    <w:p w:rsidR="0090787C" w:rsidRDefault="0090787C" w:rsidP="00F46235">
      <w:pPr>
        <w:pStyle w:val="BodyText"/>
      </w:pPr>
      <w:r>
        <w:br w:type="page"/>
      </w:r>
    </w:p>
    <w:p w:rsidR="00C0774C" w:rsidRDefault="00C0774C" w:rsidP="00C0774C">
      <w:pPr>
        <w:pStyle w:val="FigureorTableTitle"/>
      </w:pPr>
      <w:bookmarkStart w:id="227" w:name="_Ref422832491"/>
      <w:bookmarkStart w:id="228" w:name="_Toc424192774"/>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3</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13</w:t>
      </w:r>
      <w:r w:rsidR="00512CD6">
        <w:rPr>
          <w:bCs w:val="0"/>
          <w:iCs w:val="0"/>
          <w:noProof/>
        </w:rPr>
        <w:fldChar w:fldCharType="end"/>
      </w:r>
      <w:bookmarkEnd w:id="227"/>
      <w:r>
        <w:tab/>
        <w:t>Average Electric Market Profile for the Industrial Sector, 2013, Idaho</w:t>
      </w:r>
      <w:bookmarkEnd w:id="228"/>
      <w:r>
        <w:t xml:space="preserve"> </w:t>
      </w:r>
    </w:p>
    <w:p w:rsidR="00C0774C" w:rsidRPr="00EC2CA5" w:rsidRDefault="00C0774C" w:rsidP="003B2D57">
      <w:pPr>
        <w:pStyle w:val="BodyText"/>
        <w:jc w:val="center"/>
        <w:rPr>
          <w:rStyle w:val="BodyTextChar"/>
        </w:rPr>
      </w:pPr>
      <w:r w:rsidRPr="00C0774C">
        <w:rPr>
          <w:noProof/>
        </w:rPr>
        <w:drawing>
          <wp:inline distT="0" distB="0" distL="0" distR="0">
            <wp:extent cx="4260321" cy="554355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7131" cy="5552411"/>
                    </a:xfrm>
                    <a:prstGeom prst="rect">
                      <a:avLst/>
                    </a:prstGeom>
                    <a:noFill/>
                    <a:ln>
                      <a:noFill/>
                    </a:ln>
                  </pic:spPr>
                </pic:pic>
              </a:graphicData>
            </a:graphic>
          </wp:inline>
        </w:drawing>
      </w:r>
    </w:p>
    <w:p w:rsidR="00157088" w:rsidRDefault="00157088" w:rsidP="00157088"/>
    <w:p w:rsidR="00157088" w:rsidRDefault="00157088" w:rsidP="00157088">
      <w:pPr>
        <w:pStyle w:val="BodyText"/>
        <w:sectPr w:rsidR="00157088" w:rsidSect="00157E2A">
          <w:headerReference w:type="first" r:id="rId56"/>
          <w:pgSz w:w="12240" w:h="15840" w:code="1"/>
          <w:pgMar w:top="1152" w:right="1440" w:bottom="1152" w:left="1800" w:header="720" w:footer="720" w:gutter="0"/>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08"/>
        <w:gridCol w:w="7779"/>
      </w:tblGrid>
      <w:tr w:rsidR="00157088" w:rsidRPr="00351A80" w:rsidTr="00606D25">
        <w:trPr>
          <w:cantSplit/>
          <w:trHeight w:hRule="exact" w:val="288"/>
        </w:trPr>
        <w:tc>
          <w:tcPr>
            <w:tcW w:w="1295" w:type="dxa"/>
            <w:shd w:val="clear" w:color="auto" w:fill="auto"/>
            <w:vAlign w:val="center"/>
          </w:tcPr>
          <w:p w:rsidR="00157088" w:rsidRPr="00351A80" w:rsidRDefault="00157088" w:rsidP="00606D25">
            <w:pPr>
              <w:pStyle w:val="Chapter"/>
              <w:framePr w:hSpace="0" w:wrap="auto" w:vAnchor="margin" w:hAnchor="text" w:yAlign="inline"/>
            </w:pPr>
            <w:r>
              <w:lastRenderedPageBreak/>
              <w:t>Section</w:t>
            </w:r>
          </w:p>
        </w:tc>
        <w:tc>
          <w:tcPr>
            <w:tcW w:w="7705" w:type="dxa"/>
            <w:shd w:val="clear" w:color="auto" w:fill="auto"/>
            <w:tcMar>
              <w:left w:w="173" w:type="dxa"/>
            </w:tcMar>
            <w:vAlign w:val="center"/>
          </w:tcPr>
          <w:p w:rsidR="00157088" w:rsidRPr="00351A80" w:rsidRDefault="00157088" w:rsidP="00606D25">
            <w:pPr>
              <w:pStyle w:val="Heading1"/>
            </w:pPr>
          </w:p>
        </w:tc>
      </w:tr>
    </w:tbl>
    <w:p w:rsidR="00157088" w:rsidRDefault="00157088" w:rsidP="00157088">
      <w:pPr>
        <w:pStyle w:val="ChapterTitle"/>
      </w:pPr>
      <w:bookmarkStart w:id="229" w:name="_Toc335647164"/>
      <w:bookmarkStart w:id="230" w:name="_Toc341176229"/>
      <w:bookmarkStart w:id="231" w:name="_Toc401046347"/>
      <w:bookmarkStart w:id="232" w:name="_Toc424192624"/>
      <w:r>
        <w:t>Baseline Projection</w:t>
      </w:r>
      <w:bookmarkEnd w:id="229"/>
      <w:bookmarkEnd w:id="230"/>
      <w:bookmarkEnd w:id="231"/>
      <w:bookmarkEnd w:id="232"/>
    </w:p>
    <w:p w:rsidR="00AA1A97" w:rsidRDefault="00157088" w:rsidP="00157088">
      <w:pPr>
        <w:pStyle w:val="BodyText"/>
      </w:pPr>
      <w:r w:rsidRPr="005C13A0">
        <w:t xml:space="preserve">Prior to developing estimates of energy-efficiency potential, </w:t>
      </w:r>
      <w:r w:rsidR="00AA1A97">
        <w:t xml:space="preserve">we developed </w:t>
      </w:r>
      <w:r w:rsidRPr="005C13A0">
        <w:t xml:space="preserve">a baseline end-use </w:t>
      </w:r>
      <w:r>
        <w:t>projection</w:t>
      </w:r>
      <w:r w:rsidRPr="005C13A0">
        <w:t xml:space="preserve"> to quantify </w:t>
      </w:r>
      <w:r w:rsidRPr="00870094">
        <w:t xml:space="preserve">what the consumption is likely to be in the future </w:t>
      </w:r>
      <w:r w:rsidR="00EC2CA5">
        <w:t xml:space="preserve">and </w:t>
      </w:r>
      <w:r w:rsidRPr="00870094">
        <w:t xml:space="preserve">in absence of </w:t>
      </w:r>
      <w:r w:rsidR="00AA1A97">
        <w:t xml:space="preserve">any </w:t>
      </w:r>
      <w:r w:rsidR="00EC2CA5">
        <w:t>future conservation</w:t>
      </w:r>
      <w:r>
        <w:t xml:space="preserve"> </w:t>
      </w:r>
      <w:r w:rsidRPr="00870094">
        <w:t xml:space="preserve">programs. </w:t>
      </w:r>
      <w:r w:rsidR="00AA1A97">
        <w:t>The savings from past programs are embedded in the forecast, but the baseline projection assumes that those past programs cease to exist in the future. Possible savings from future programs are captured by the potential estimates.</w:t>
      </w:r>
    </w:p>
    <w:p w:rsidR="00157088" w:rsidRDefault="00157088" w:rsidP="00157088">
      <w:pPr>
        <w:pStyle w:val="BodyText"/>
      </w:pPr>
      <w:r>
        <w:t>The baseline projection incorporates assumptions about:</w:t>
      </w:r>
    </w:p>
    <w:p w:rsidR="00157088" w:rsidRDefault="00157088" w:rsidP="00157088">
      <w:pPr>
        <w:pStyle w:val="BulletedList0"/>
      </w:pPr>
      <w:r>
        <w:t>Customer population and economic growth</w:t>
      </w:r>
    </w:p>
    <w:p w:rsidR="00157088" w:rsidRDefault="00157088" w:rsidP="00157088">
      <w:pPr>
        <w:pStyle w:val="BulletedList0"/>
      </w:pPr>
      <w:r>
        <w:t xml:space="preserve">Appliance/equipment standards and building codes already mandated (see </w:t>
      </w:r>
      <w:r w:rsidR="00E16BC9" w:rsidRPr="00F46235">
        <w:t>Section</w:t>
      </w:r>
      <w:r w:rsidRPr="00F46235">
        <w:t xml:space="preserve"> 2</w:t>
      </w:r>
      <w:r>
        <w:t>)</w:t>
      </w:r>
    </w:p>
    <w:p w:rsidR="00157088" w:rsidRDefault="00157088" w:rsidP="00157088">
      <w:pPr>
        <w:pStyle w:val="BulletedList0"/>
      </w:pPr>
      <w:r>
        <w:t>F</w:t>
      </w:r>
      <w:r w:rsidR="00AA1A97">
        <w:t>orecasts of f</w:t>
      </w:r>
      <w:r>
        <w:t>uture electricity prices and other drivers of consumption</w:t>
      </w:r>
    </w:p>
    <w:p w:rsidR="00157088" w:rsidRDefault="00157088" w:rsidP="00157088">
      <w:pPr>
        <w:pStyle w:val="BulletedList0"/>
      </w:pPr>
      <w:r>
        <w:t>Trends in fuel shares and appliance saturations and assumptions about miscellaneous electricity growth</w:t>
      </w:r>
    </w:p>
    <w:p w:rsidR="00144F91" w:rsidRDefault="00157088" w:rsidP="00C449BF">
      <w:pPr>
        <w:pStyle w:val="BodyText"/>
      </w:pPr>
      <w:r>
        <w:t>Although it aligns closely</w:t>
      </w:r>
      <w:r w:rsidR="00EC2CA5">
        <w:t xml:space="preserve"> with it</w:t>
      </w:r>
      <w:r>
        <w:t>, t</w:t>
      </w:r>
      <w:r w:rsidRPr="00870094">
        <w:t xml:space="preserve">he baseline </w:t>
      </w:r>
      <w:r>
        <w:t xml:space="preserve">projection is not </w:t>
      </w:r>
      <w:r w:rsidR="00916761">
        <w:t>Avista</w:t>
      </w:r>
      <w:r>
        <w:t xml:space="preserve">’s official load forecast. Rather it was developed to </w:t>
      </w:r>
      <w:r w:rsidRPr="00870094">
        <w:t xml:space="preserve">serve as the metric against which </w:t>
      </w:r>
      <w:r w:rsidR="00A02899">
        <w:t>conservation</w:t>
      </w:r>
      <w:r w:rsidRPr="00870094">
        <w:t xml:space="preserve"> potentials are measured. </w:t>
      </w:r>
      <w:r>
        <w:t>This chapter presents the baseline projection</w:t>
      </w:r>
      <w:r w:rsidR="00C449BF">
        <w:t xml:space="preserve">s we developed for this study. </w:t>
      </w:r>
      <w:r w:rsidR="009B217D">
        <w:t>Below, we present the baseline projections for each sector</w:t>
      </w:r>
      <w:r w:rsidR="00916761">
        <w:t xml:space="preserve"> and state</w:t>
      </w:r>
      <w:r w:rsidR="009B217D">
        <w:t xml:space="preserve">, which include projections of annual use in GWh and summer </w:t>
      </w:r>
      <w:r w:rsidR="00B30AB1">
        <w:t xml:space="preserve">and winter </w:t>
      </w:r>
      <w:r w:rsidR="009B217D">
        <w:t xml:space="preserve">peak demand in MW. We also present </w:t>
      </w:r>
      <w:r w:rsidR="008E3AB1">
        <w:t xml:space="preserve">a summary </w:t>
      </w:r>
      <w:r w:rsidR="009B217D">
        <w:t>across all sectors.</w:t>
      </w:r>
    </w:p>
    <w:p w:rsidR="00C449BF" w:rsidRPr="00C449BF" w:rsidRDefault="00144F91" w:rsidP="00C449BF">
      <w:pPr>
        <w:pStyle w:val="BodyText"/>
      </w:pPr>
      <w:r>
        <w:t xml:space="preserve">Please note that the base-year for the study is 2013. Annual energy use and peak demand values reflect actual weather in that year. In future years, energy use and peak demand reflect normal weather, as defined by Avista. In the figures below, the shift from actual to normal weather is apparent in the decrease in energy use and peak demand in 2014 for the residential and commercial sectors. This results from the fact that 2013 was hotter </w:t>
      </w:r>
      <w:r w:rsidR="00DE3ED9">
        <w:t xml:space="preserve">during the summer months or cooler during the winter months </w:t>
      </w:r>
      <w:r>
        <w:t>than normal.</w:t>
      </w:r>
      <w:r w:rsidR="009B217D">
        <w:t xml:space="preserve"> </w:t>
      </w:r>
    </w:p>
    <w:p w:rsidR="00157088" w:rsidRDefault="00157088" w:rsidP="008914C7">
      <w:pPr>
        <w:pStyle w:val="Heading2"/>
      </w:pPr>
      <w:bookmarkStart w:id="233" w:name="_Toc285452605"/>
      <w:bookmarkStart w:id="234" w:name="_Toc297120482"/>
      <w:bookmarkStart w:id="235" w:name="_Toc314728408"/>
      <w:bookmarkStart w:id="236" w:name="_Toc333955923"/>
      <w:bookmarkStart w:id="237" w:name="_Toc335647165"/>
      <w:bookmarkStart w:id="238" w:name="_Toc341176230"/>
      <w:bookmarkStart w:id="239" w:name="_Toc401046348"/>
      <w:bookmarkStart w:id="240" w:name="_Toc424192625"/>
      <w:r w:rsidRPr="001F6E43">
        <w:t>Residential Sector</w:t>
      </w:r>
      <w:bookmarkEnd w:id="233"/>
      <w:bookmarkEnd w:id="234"/>
      <w:bookmarkEnd w:id="235"/>
      <w:bookmarkEnd w:id="236"/>
      <w:bookmarkEnd w:id="237"/>
      <w:bookmarkEnd w:id="238"/>
      <w:bookmarkEnd w:id="239"/>
      <w:bookmarkEnd w:id="240"/>
      <w:r w:rsidRPr="001F6E43">
        <w:t xml:space="preserve"> </w:t>
      </w:r>
    </w:p>
    <w:p w:rsidR="009B217D" w:rsidRPr="009B217D" w:rsidRDefault="009B217D" w:rsidP="00BD0E72">
      <w:pPr>
        <w:pStyle w:val="Heading3"/>
      </w:pPr>
      <w:bookmarkStart w:id="241" w:name="_Toc424192626"/>
      <w:r>
        <w:t>Annual Use</w:t>
      </w:r>
      <w:bookmarkEnd w:id="241"/>
    </w:p>
    <w:p w:rsidR="0032475F" w:rsidRDefault="00893E3D" w:rsidP="009B217D">
      <w:pPr>
        <w:pStyle w:val="BodyText"/>
        <w:rPr>
          <w:szCs w:val="20"/>
        </w:rPr>
      </w:pPr>
      <w:r>
        <w:fldChar w:fldCharType="begin"/>
      </w:r>
      <w:r w:rsidR="0032475F">
        <w:instrText xml:space="preserve"> REF _Ref422834542 \h </w:instrText>
      </w:r>
      <w:r>
        <w:fldChar w:fldCharType="separate"/>
      </w:r>
      <w:r w:rsidR="00B2652C" w:rsidRPr="00535EB3">
        <w:t xml:space="preserve">Table </w:t>
      </w:r>
      <w:r w:rsidR="00B2652C" w:rsidRPr="00B2652C">
        <w:rPr>
          <w:noProof/>
        </w:rPr>
        <w:t>4</w:t>
      </w:r>
      <w:r w:rsidR="00B2652C" w:rsidRPr="00535EB3">
        <w:t>-</w:t>
      </w:r>
      <w:r w:rsidR="00B2652C" w:rsidRPr="00B2652C">
        <w:rPr>
          <w:noProof/>
        </w:rPr>
        <w:t>1</w:t>
      </w:r>
      <w:r>
        <w:fldChar w:fldCharType="end"/>
      </w:r>
      <w:r w:rsidR="0032475F">
        <w:t xml:space="preserve"> (WA) and </w:t>
      </w:r>
      <w:r>
        <w:fldChar w:fldCharType="begin"/>
      </w:r>
      <w:r w:rsidR="0032475F">
        <w:instrText xml:space="preserve"> REF _Ref422834573 \h </w:instrText>
      </w:r>
      <w:r>
        <w:fldChar w:fldCharType="separate"/>
      </w:r>
      <w:r w:rsidR="00B2652C" w:rsidRPr="00535EB3">
        <w:t xml:space="preserve">Table </w:t>
      </w:r>
      <w:r w:rsidR="00B2652C" w:rsidRPr="00B2652C">
        <w:rPr>
          <w:noProof/>
        </w:rPr>
        <w:t>4</w:t>
      </w:r>
      <w:r w:rsidR="00B2652C" w:rsidRPr="00535EB3">
        <w:t>-</w:t>
      </w:r>
      <w:r w:rsidR="00B2652C" w:rsidRPr="00B2652C">
        <w:rPr>
          <w:noProof/>
        </w:rPr>
        <w:t>2</w:t>
      </w:r>
      <w:r>
        <w:fldChar w:fldCharType="end"/>
      </w:r>
      <w:r w:rsidR="0032475F">
        <w:t xml:space="preserve"> (ID)</w:t>
      </w:r>
      <w:r w:rsidR="00157088">
        <w:t xml:space="preserve"> </w:t>
      </w:r>
      <w:r w:rsidR="00157088" w:rsidRPr="00002B11">
        <w:t>present the baseline</w:t>
      </w:r>
      <w:r w:rsidR="00157088">
        <w:rPr>
          <w:szCs w:val="20"/>
        </w:rPr>
        <w:t xml:space="preserve"> projection</w:t>
      </w:r>
      <w:r w:rsidR="00157088" w:rsidRPr="003946D2">
        <w:rPr>
          <w:szCs w:val="20"/>
        </w:rPr>
        <w:t xml:space="preserve"> for electricity at the end-use level for the </w:t>
      </w:r>
      <w:r w:rsidR="00157088" w:rsidRPr="00DD08CA">
        <w:rPr>
          <w:szCs w:val="20"/>
        </w:rPr>
        <w:t xml:space="preserve">residential sector as a whole. </w:t>
      </w:r>
      <w:r w:rsidR="007E3620">
        <w:rPr>
          <w:szCs w:val="20"/>
        </w:rPr>
        <w:t>Overall i</w:t>
      </w:r>
      <w:r w:rsidR="00BA69DF">
        <w:rPr>
          <w:szCs w:val="20"/>
        </w:rPr>
        <w:t>n Washington</w:t>
      </w:r>
      <w:r w:rsidR="00157088" w:rsidRPr="00DD08CA">
        <w:rPr>
          <w:szCs w:val="20"/>
        </w:rPr>
        <w:t xml:space="preserve">, residential use increases from </w:t>
      </w:r>
      <w:r w:rsidR="00BA69DF">
        <w:rPr>
          <w:szCs w:val="20"/>
        </w:rPr>
        <w:t>2</w:t>
      </w:r>
      <w:r w:rsidR="00431472">
        <w:rPr>
          <w:szCs w:val="20"/>
        </w:rPr>
        <w:t>,</w:t>
      </w:r>
      <w:r w:rsidR="00BA69DF">
        <w:rPr>
          <w:szCs w:val="20"/>
        </w:rPr>
        <w:t>546</w:t>
      </w:r>
      <w:r w:rsidR="00157088" w:rsidRPr="00DD08CA">
        <w:rPr>
          <w:szCs w:val="20"/>
        </w:rPr>
        <w:t xml:space="preserve"> GWh in 201</w:t>
      </w:r>
      <w:r w:rsidR="00AA1A97" w:rsidRPr="00DD08CA">
        <w:rPr>
          <w:szCs w:val="20"/>
        </w:rPr>
        <w:t>3</w:t>
      </w:r>
      <w:r w:rsidR="00157088" w:rsidRPr="00DD08CA">
        <w:rPr>
          <w:szCs w:val="20"/>
        </w:rPr>
        <w:t xml:space="preserve"> to </w:t>
      </w:r>
      <w:r w:rsidR="00BA69DF">
        <w:rPr>
          <w:szCs w:val="20"/>
        </w:rPr>
        <w:t>2</w:t>
      </w:r>
      <w:r w:rsidR="00431472">
        <w:rPr>
          <w:szCs w:val="20"/>
        </w:rPr>
        <w:t>,</w:t>
      </w:r>
      <w:r w:rsidR="00BA69DF">
        <w:rPr>
          <w:szCs w:val="20"/>
        </w:rPr>
        <w:t>761</w:t>
      </w:r>
      <w:r w:rsidR="00157088" w:rsidRPr="00DD08CA">
        <w:rPr>
          <w:szCs w:val="20"/>
        </w:rPr>
        <w:t xml:space="preserve"> GWh in 203</w:t>
      </w:r>
      <w:r w:rsidR="00BA69DF">
        <w:rPr>
          <w:szCs w:val="20"/>
        </w:rPr>
        <w:t>5</w:t>
      </w:r>
      <w:r w:rsidR="00157088" w:rsidRPr="00DD08CA">
        <w:rPr>
          <w:szCs w:val="20"/>
        </w:rPr>
        <w:t xml:space="preserve">, an increase of </w:t>
      </w:r>
      <w:r w:rsidR="00431472">
        <w:rPr>
          <w:szCs w:val="20"/>
        </w:rPr>
        <w:t>8</w:t>
      </w:r>
      <w:r w:rsidR="00157088" w:rsidRPr="00DD08CA">
        <w:rPr>
          <w:szCs w:val="20"/>
        </w:rPr>
        <w:t xml:space="preserve">%. </w:t>
      </w:r>
      <w:r w:rsidR="00BA69DF">
        <w:rPr>
          <w:szCs w:val="20"/>
        </w:rPr>
        <w:t>Residential use in Idaho increases from 1,207 GWh in 2013 to 1,375 GWh, an increase of 14%</w:t>
      </w:r>
      <w:r w:rsidR="00B26AA6">
        <w:rPr>
          <w:szCs w:val="20"/>
        </w:rPr>
        <w:t>.</w:t>
      </w:r>
      <w:r w:rsidR="00BA69DF" w:rsidRPr="00DD08CA">
        <w:rPr>
          <w:szCs w:val="20"/>
        </w:rPr>
        <w:t xml:space="preserve"> </w:t>
      </w:r>
      <w:r w:rsidR="00157088" w:rsidRPr="00DD08CA">
        <w:rPr>
          <w:szCs w:val="20"/>
        </w:rPr>
        <w:t>This reflects a</w:t>
      </w:r>
      <w:r w:rsidR="00AA1A97" w:rsidRPr="00DD08CA">
        <w:rPr>
          <w:szCs w:val="20"/>
        </w:rPr>
        <w:t xml:space="preserve"> modest</w:t>
      </w:r>
      <w:r w:rsidR="00157088" w:rsidRPr="00DD08CA">
        <w:rPr>
          <w:szCs w:val="20"/>
        </w:rPr>
        <w:t xml:space="preserve"> customer growth forecast</w:t>
      </w:r>
      <w:r w:rsidR="00BA69DF">
        <w:rPr>
          <w:szCs w:val="20"/>
        </w:rPr>
        <w:t xml:space="preserve"> in both states</w:t>
      </w:r>
      <w:r w:rsidR="00157088" w:rsidRPr="00DD08CA">
        <w:rPr>
          <w:szCs w:val="20"/>
        </w:rPr>
        <w:t xml:space="preserve">. </w:t>
      </w:r>
      <w:r>
        <w:rPr>
          <w:szCs w:val="20"/>
        </w:rPr>
        <w:fldChar w:fldCharType="begin"/>
      </w:r>
      <w:r w:rsidR="0032475F">
        <w:rPr>
          <w:szCs w:val="20"/>
        </w:rPr>
        <w:instrText xml:space="preserve"> REF _Ref422834251 \h </w:instrText>
      </w:r>
      <w:r>
        <w:rPr>
          <w:szCs w:val="20"/>
        </w:rPr>
      </w:r>
      <w:r>
        <w:rPr>
          <w:szCs w:val="20"/>
        </w:rPr>
        <w:fldChar w:fldCharType="separate"/>
      </w:r>
      <w:r w:rsidR="00B2652C" w:rsidRPr="001C7B63">
        <w:rPr>
          <w:szCs w:val="20"/>
        </w:rPr>
        <w:t xml:space="preserve">Figure </w:t>
      </w:r>
      <w:r w:rsidR="00B2652C" w:rsidRPr="00B2652C">
        <w:rPr>
          <w:noProof/>
          <w:szCs w:val="20"/>
        </w:rPr>
        <w:t>4</w:t>
      </w:r>
      <w:r w:rsidR="00B2652C" w:rsidRPr="001C7B63">
        <w:rPr>
          <w:szCs w:val="20"/>
        </w:rPr>
        <w:t>-</w:t>
      </w:r>
      <w:r w:rsidR="00B2652C" w:rsidRPr="00B2652C">
        <w:rPr>
          <w:noProof/>
          <w:szCs w:val="20"/>
        </w:rPr>
        <w:t>1</w:t>
      </w:r>
      <w:r>
        <w:rPr>
          <w:szCs w:val="20"/>
        </w:rPr>
        <w:fldChar w:fldCharType="end"/>
      </w:r>
      <w:r w:rsidR="0032475F">
        <w:rPr>
          <w:szCs w:val="20"/>
        </w:rPr>
        <w:t xml:space="preserve"> (WA) and </w:t>
      </w:r>
      <w:r>
        <w:rPr>
          <w:szCs w:val="20"/>
        </w:rPr>
        <w:fldChar w:fldCharType="begin"/>
      </w:r>
      <w:r w:rsidR="0032475F">
        <w:rPr>
          <w:szCs w:val="20"/>
        </w:rPr>
        <w:instrText xml:space="preserve"> REF _Ref422834294 \h </w:instrText>
      </w:r>
      <w:r>
        <w:rPr>
          <w:szCs w:val="20"/>
        </w:rPr>
      </w:r>
      <w:r>
        <w:rPr>
          <w:szCs w:val="20"/>
        </w:rPr>
        <w:fldChar w:fldCharType="separate"/>
      </w:r>
      <w:r w:rsidR="00B2652C" w:rsidRPr="001C7B63">
        <w:rPr>
          <w:szCs w:val="20"/>
        </w:rPr>
        <w:t xml:space="preserve">Figure </w:t>
      </w:r>
      <w:r w:rsidR="00B2652C" w:rsidRPr="00B2652C">
        <w:rPr>
          <w:noProof/>
          <w:szCs w:val="20"/>
        </w:rPr>
        <w:t>4</w:t>
      </w:r>
      <w:r w:rsidR="00B2652C" w:rsidRPr="001C7B63">
        <w:rPr>
          <w:szCs w:val="20"/>
        </w:rPr>
        <w:t>-</w:t>
      </w:r>
      <w:r w:rsidR="00B2652C" w:rsidRPr="00B2652C">
        <w:rPr>
          <w:noProof/>
          <w:szCs w:val="20"/>
        </w:rPr>
        <w:t>3</w:t>
      </w:r>
      <w:r>
        <w:rPr>
          <w:szCs w:val="20"/>
        </w:rPr>
        <w:fldChar w:fldCharType="end"/>
      </w:r>
      <w:r w:rsidR="0032475F">
        <w:rPr>
          <w:szCs w:val="20"/>
        </w:rPr>
        <w:t xml:space="preserve"> (ID) display the </w:t>
      </w:r>
      <w:r w:rsidR="00C74EFB">
        <w:rPr>
          <w:szCs w:val="20"/>
        </w:rPr>
        <w:t xml:space="preserve">graphical representation of the </w:t>
      </w:r>
      <w:r w:rsidR="0032475F">
        <w:rPr>
          <w:szCs w:val="20"/>
        </w:rPr>
        <w:t>baseline projection</w:t>
      </w:r>
      <w:r w:rsidR="007E3620">
        <w:rPr>
          <w:szCs w:val="20"/>
        </w:rPr>
        <w:t>.</w:t>
      </w:r>
    </w:p>
    <w:p w:rsidR="009B217D" w:rsidRPr="00DD08CA" w:rsidRDefault="00893E3D" w:rsidP="009B217D">
      <w:pPr>
        <w:pStyle w:val="BodyText"/>
      </w:pPr>
      <w:r>
        <w:rPr>
          <w:szCs w:val="20"/>
        </w:rPr>
        <w:fldChar w:fldCharType="begin"/>
      </w:r>
      <w:r w:rsidR="0032475F">
        <w:rPr>
          <w:szCs w:val="20"/>
        </w:rPr>
        <w:instrText xml:space="preserve"> REF _Ref422834387 \h </w:instrText>
      </w:r>
      <w:r>
        <w:rPr>
          <w:szCs w:val="20"/>
        </w:rPr>
      </w:r>
      <w:r>
        <w:rPr>
          <w:szCs w:val="20"/>
        </w:rPr>
        <w:fldChar w:fldCharType="separate"/>
      </w:r>
      <w:r w:rsidR="00B2652C" w:rsidRPr="001C7B63">
        <w:rPr>
          <w:szCs w:val="20"/>
        </w:rPr>
        <w:t xml:space="preserve">Figure </w:t>
      </w:r>
      <w:r w:rsidR="00B2652C" w:rsidRPr="00B2652C">
        <w:rPr>
          <w:noProof/>
          <w:szCs w:val="20"/>
        </w:rPr>
        <w:t>4</w:t>
      </w:r>
      <w:r w:rsidR="00B2652C" w:rsidRPr="001C7B63">
        <w:rPr>
          <w:szCs w:val="20"/>
        </w:rPr>
        <w:t>-</w:t>
      </w:r>
      <w:r w:rsidR="00B2652C" w:rsidRPr="00B2652C">
        <w:rPr>
          <w:noProof/>
          <w:szCs w:val="20"/>
        </w:rPr>
        <w:t>2</w:t>
      </w:r>
      <w:r>
        <w:rPr>
          <w:szCs w:val="20"/>
        </w:rPr>
        <w:fldChar w:fldCharType="end"/>
      </w:r>
      <w:r w:rsidR="0032475F">
        <w:rPr>
          <w:szCs w:val="20"/>
        </w:rPr>
        <w:t xml:space="preserve"> </w:t>
      </w:r>
      <w:r w:rsidR="00BA69DF">
        <w:rPr>
          <w:szCs w:val="20"/>
        </w:rPr>
        <w:t xml:space="preserve">(WA) and </w:t>
      </w:r>
      <w:r>
        <w:rPr>
          <w:szCs w:val="20"/>
        </w:rPr>
        <w:fldChar w:fldCharType="begin"/>
      </w:r>
      <w:r w:rsidR="0032475F">
        <w:rPr>
          <w:szCs w:val="20"/>
        </w:rPr>
        <w:instrText xml:space="preserve"> REF _Ref422834205 \h </w:instrText>
      </w:r>
      <w:r>
        <w:rPr>
          <w:szCs w:val="20"/>
        </w:rPr>
      </w:r>
      <w:r>
        <w:rPr>
          <w:szCs w:val="20"/>
        </w:rPr>
        <w:fldChar w:fldCharType="separate"/>
      </w:r>
      <w:r w:rsidR="00B2652C" w:rsidRPr="001C7B63">
        <w:rPr>
          <w:szCs w:val="20"/>
        </w:rPr>
        <w:t xml:space="preserve">Figure </w:t>
      </w:r>
      <w:r w:rsidR="00B2652C" w:rsidRPr="00B2652C">
        <w:rPr>
          <w:noProof/>
          <w:szCs w:val="20"/>
        </w:rPr>
        <w:t>4</w:t>
      </w:r>
      <w:r w:rsidR="00B2652C" w:rsidRPr="001C7B63">
        <w:rPr>
          <w:szCs w:val="20"/>
        </w:rPr>
        <w:t>-</w:t>
      </w:r>
      <w:r w:rsidR="00B2652C" w:rsidRPr="00B2652C">
        <w:rPr>
          <w:noProof/>
          <w:szCs w:val="20"/>
        </w:rPr>
        <w:t>4</w:t>
      </w:r>
      <w:r>
        <w:rPr>
          <w:szCs w:val="20"/>
        </w:rPr>
        <w:fldChar w:fldCharType="end"/>
      </w:r>
      <w:r w:rsidR="0032475F">
        <w:rPr>
          <w:szCs w:val="20"/>
        </w:rPr>
        <w:t xml:space="preserve"> (ID) </w:t>
      </w:r>
      <w:r w:rsidR="009B217D" w:rsidRPr="00DD08CA">
        <w:rPr>
          <w:szCs w:val="20"/>
        </w:rPr>
        <w:t>present the baseline projection of annual electricity use per household. Most noticeable is that lighting use decreases throughout the time period as the lighting standards from EISA come into effect</w:t>
      </w:r>
      <w:r w:rsidR="009B217D" w:rsidRPr="00DD08CA">
        <w:t>.</w:t>
      </w:r>
      <w:r w:rsidR="009F528C">
        <w:t xml:space="preserve"> </w:t>
      </w:r>
      <w:r w:rsidR="009F528C" w:rsidRPr="002E5B78">
        <w:t xml:space="preserve">Usage in the cooling decreases over the forecast due to </w:t>
      </w:r>
      <w:r w:rsidR="002E5B78" w:rsidRPr="002E5B78">
        <w:t>going from actual weather in 2014 to normal weather for the rest of the forecast</w:t>
      </w:r>
      <w:r w:rsidR="009F528C" w:rsidRPr="002E5B78">
        <w:t>.</w:t>
      </w:r>
    </w:p>
    <w:p w:rsidR="00431472" w:rsidRDefault="00431472" w:rsidP="00F46235">
      <w:pPr>
        <w:pStyle w:val="BodyText"/>
      </w:pPr>
      <w:bookmarkStart w:id="242" w:name="_Ref402253288"/>
      <w:bookmarkStart w:id="243" w:name="_Toc341181333"/>
      <w:bookmarkStart w:id="244" w:name="_Toc396755836"/>
      <w:r>
        <w:rPr>
          <w:bCs/>
          <w:iCs/>
        </w:rPr>
        <w:br w:type="page"/>
      </w:r>
    </w:p>
    <w:p w:rsidR="00157088" w:rsidRPr="000E3F5F" w:rsidRDefault="0039017A" w:rsidP="00837C13">
      <w:pPr>
        <w:pStyle w:val="FigureorTableTitle"/>
      </w:pPr>
      <w:bookmarkStart w:id="245" w:name="_Ref422834542"/>
      <w:bookmarkStart w:id="246" w:name="_Toc424192775"/>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w:t>
      </w:r>
      <w:r w:rsidR="00512CD6">
        <w:rPr>
          <w:bCs w:val="0"/>
          <w:iCs w:val="0"/>
          <w:noProof/>
        </w:rPr>
        <w:fldChar w:fldCharType="end"/>
      </w:r>
      <w:bookmarkEnd w:id="242"/>
      <w:bookmarkEnd w:id="245"/>
      <w:r w:rsidR="00157088">
        <w:tab/>
        <w:t xml:space="preserve">Residential Baseline </w:t>
      </w:r>
      <w:r w:rsidR="00144F91">
        <w:t xml:space="preserve">Sales </w:t>
      </w:r>
      <w:r w:rsidR="00157088">
        <w:t>Projection by End Use (GWh)</w:t>
      </w:r>
      <w:bookmarkEnd w:id="243"/>
      <w:bookmarkEnd w:id="244"/>
      <w:r w:rsidR="00DD1E0C">
        <w:t>, Washington</w:t>
      </w:r>
      <w:bookmarkEnd w:id="246"/>
    </w:p>
    <w:tbl>
      <w:tblPr>
        <w:tblStyle w:val="EnerNOCReportTable2"/>
        <w:tblW w:w="5000" w:type="pct"/>
        <w:tblInd w:w="0" w:type="dxa"/>
        <w:tblCellMar>
          <w:top w:w="0" w:type="dxa"/>
          <w:left w:w="0" w:type="dxa"/>
          <w:bottom w:w="0" w:type="dxa"/>
          <w:right w:w="0" w:type="dxa"/>
        </w:tblCellMar>
        <w:tblLook w:val="04A0" w:firstRow="1" w:lastRow="0" w:firstColumn="1" w:lastColumn="0" w:noHBand="0" w:noVBand="1"/>
      </w:tblPr>
      <w:tblGrid>
        <w:gridCol w:w="1797"/>
        <w:gridCol w:w="1031"/>
        <w:gridCol w:w="1031"/>
        <w:gridCol w:w="1031"/>
        <w:gridCol w:w="1031"/>
        <w:gridCol w:w="1031"/>
        <w:gridCol w:w="1031"/>
        <w:gridCol w:w="1027"/>
      </w:tblGrid>
      <w:tr w:rsidR="00157088" w:rsidRPr="00393EDE" w:rsidTr="0043147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shd w:val="clear" w:color="auto" w:fill="1A1D5D"/>
            <w:tcMar>
              <w:top w:w="0" w:type="dxa"/>
              <w:bottom w:w="0" w:type="dxa"/>
            </w:tcMar>
            <w:hideMark/>
          </w:tcPr>
          <w:p w:rsidR="00157088" w:rsidRPr="00393EDE" w:rsidRDefault="00157088" w:rsidP="00AA1A97">
            <w:pPr>
              <w:pStyle w:val="TableHeadings"/>
              <w:rPr>
                <w:rFonts w:cs="Calibri"/>
                <w:caps/>
                <w:sz w:val="20"/>
              </w:rPr>
            </w:pPr>
            <w:r w:rsidRPr="00393EDE">
              <w:rPr>
                <w:rFonts w:cs="Calibri"/>
                <w:sz w:val="20"/>
              </w:rPr>
              <w:t>End Use</w:t>
            </w:r>
          </w:p>
        </w:tc>
        <w:tc>
          <w:tcPr>
            <w:tcW w:w="572" w:type="pct"/>
            <w:shd w:val="clear" w:color="auto" w:fill="1A1D5D"/>
            <w:tcMar>
              <w:top w:w="0" w:type="dxa"/>
              <w:bottom w:w="0" w:type="dxa"/>
            </w:tcMar>
            <w:hideMark/>
          </w:tcPr>
          <w:p w:rsidR="00157088" w:rsidRPr="00393EDE" w:rsidRDefault="00157088" w:rsidP="00AA1A97">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201</w:t>
            </w:r>
            <w:r w:rsidR="00AA1A97" w:rsidRPr="00393EDE">
              <w:rPr>
                <w:rFonts w:ascii="Calibri" w:hAnsi="Calibri" w:cs="Calibri"/>
                <w:b w:val="0"/>
                <w:bCs/>
                <w:sz w:val="20"/>
                <w:szCs w:val="20"/>
              </w:rPr>
              <w:t>3</w:t>
            </w:r>
          </w:p>
        </w:tc>
        <w:tc>
          <w:tcPr>
            <w:tcW w:w="572" w:type="pct"/>
            <w:shd w:val="clear" w:color="auto" w:fill="1A1D5D"/>
            <w:tcMar>
              <w:top w:w="0" w:type="dxa"/>
              <w:bottom w:w="0" w:type="dxa"/>
            </w:tcMar>
            <w:hideMark/>
          </w:tcPr>
          <w:p w:rsidR="00157088" w:rsidRPr="00393EDE" w:rsidRDefault="00157088" w:rsidP="00DD1E0C">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201</w:t>
            </w:r>
            <w:r w:rsidR="00DD1E0C">
              <w:rPr>
                <w:rFonts w:ascii="Calibri" w:hAnsi="Calibri" w:cs="Calibri"/>
                <w:b w:val="0"/>
                <w:bCs/>
                <w:sz w:val="20"/>
                <w:szCs w:val="20"/>
              </w:rPr>
              <w:t>6</w:t>
            </w:r>
          </w:p>
        </w:tc>
        <w:tc>
          <w:tcPr>
            <w:tcW w:w="572" w:type="pct"/>
            <w:shd w:val="clear" w:color="auto" w:fill="1A1D5D"/>
            <w:tcMar>
              <w:top w:w="0" w:type="dxa"/>
              <w:bottom w:w="0" w:type="dxa"/>
            </w:tcMar>
            <w:hideMark/>
          </w:tcPr>
          <w:p w:rsidR="00157088" w:rsidRPr="00393EDE" w:rsidRDefault="00AA1A97" w:rsidP="00DD1E0C">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w:t>
            </w:r>
            <w:r w:rsidR="00431472">
              <w:rPr>
                <w:rFonts w:ascii="Calibri" w:hAnsi="Calibri" w:cs="Calibri"/>
                <w:b w:val="0"/>
                <w:bCs/>
                <w:sz w:val="20"/>
                <w:szCs w:val="20"/>
              </w:rPr>
              <w:t>1</w:t>
            </w:r>
            <w:r w:rsidR="00DD1E0C">
              <w:rPr>
                <w:rFonts w:ascii="Calibri" w:hAnsi="Calibri" w:cs="Calibri"/>
                <w:b w:val="0"/>
                <w:bCs/>
                <w:sz w:val="20"/>
                <w:szCs w:val="20"/>
              </w:rPr>
              <w:t>7</w:t>
            </w:r>
          </w:p>
        </w:tc>
        <w:tc>
          <w:tcPr>
            <w:tcW w:w="572" w:type="pct"/>
            <w:shd w:val="clear" w:color="auto" w:fill="1A1D5D"/>
            <w:tcMar>
              <w:top w:w="0" w:type="dxa"/>
              <w:bottom w:w="0" w:type="dxa"/>
            </w:tcMar>
            <w:hideMark/>
          </w:tcPr>
          <w:p w:rsidR="00157088" w:rsidRPr="00393EDE" w:rsidRDefault="00AA1A97" w:rsidP="00DD1E0C">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202</w:t>
            </w:r>
            <w:r w:rsidR="00DD1E0C">
              <w:rPr>
                <w:rFonts w:ascii="Calibri" w:hAnsi="Calibri" w:cs="Calibri"/>
                <w:b w:val="0"/>
                <w:bCs/>
                <w:sz w:val="20"/>
                <w:szCs w:val="20"/>
              </w:rPr>
              <w:t>0</w:t>
            </w:r>
          </w:p>
        </w:tc>
        <w:tc>
          <w:tcPr>
            <w:tcW w:w="572" w:type="pct"/>
            <w:shd w:val="clear" w:color="auto" w:fill="1A1D5D"/>
            <w:tcMar>
              <w:top w:w="0" w:type="dxa"/>
              <w:bottom w:w="0" w:type="dxa"/>
            </w:tcMar>
          </w:tcPr>
          <w:p w:rsidR="00157088" w:rsidRPr="00393EDE" w:rsidRDefault="00AA1A97" w:rsidP="00DD1E0C">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w:t>
            </w:r>
            <w:r w:rsidR="00431472">
              <w:rPr>
                <w:rFonts w:ascii="Calibri" w:hAnsi="Calibri" w:cs="Calibri"/>
                <w:b w:val="0"/>
                <w:bCs/>
                <w:sz w:val="20"/>
                <w:szCs w:val="20"/>
              </w:rPr>
              <w:t>2</w:t>
            </w:r>
            <w:r w:rsidR="00DD1E0C">
              <w:rPr>
                <w:rFonts w:ascii="Calibri" w:hAnsi="Calibri" w:cs="Calibri"/>
                <w:b w:val="0"/>
                <w:bCs/>
                <w:sz w:val="20"/>
                <w:szCs w:val="20"/>
              </w:rPr>
              <w:t>5</w:t>
            </w:r>
          </w:p>
        </w:tc>
        <w:tc>
          <w:tcPr>
            <w:tcW w:w="572" w:type="pct"/>
            <w:shd w:val="clear" w:color="auto" w:fill="1A1D5D"/>
            <w:tcMar>
              <w:top w:w="0" w:type="dxa"/>
              <w:bottom w:w="0" w:type="dxa"/>
            </w:tcMar>
          </w:tcPr>
          <w:p w:rsidR="00157088" w:rsidRPr="00393EDE" w:rsidRDefault="00157088" w:rsidP="00DD1E0C">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203</w:t>
            </w:r>
            <w:r w:rsidR="00DD1E0C">
              <w:rPr>
                <w:rFonts w:ascii="Calibri" w:hAnsi="Calibri" w:cs="Calibri"/>
                <w:b w:val="0"/>
                <w:bCs/>
                <w:sz w:val="20"/>
                <w:szCs w:val="20"/>
              </w:rPr>
              <w:t>5</w:t>
            </w:r>
          </w:p>
        </w:tc>
        <w:tc>
          <w:tcPr>
            <w:tcW w:w="570" w:type="pct"/>
            <w:shd w:val="clear" w:color="auto" w:fill="1A1D5D"/>
            <w:tcMar>
              <w:top w:w="0" w:type="dxa"/>
              <w:bottom w:w="0" w:type="dxa"/>
            </w:tcMar>
            <w:hideMark/>
          </w:tcPr>
          <w:p w:rsidR="00157088" w:rsidRPr="00393EDE" w:rsidRDefault="00157088" w:rsidP="00DD1E0C">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 Change</w:t>
            </w:r>
            <w:r w:rsidRPr="00393EDE">
              <w:rPr>
                <w:rFonts w:ascii="Calibri" w:hAnsi="Calibri" w:cs="Calibri"/>
                <w:b w:val="0"/>
                <w:bCs/>
                <w:sz w:val="20"/>
                <w:szCs w:val="20"/>
              </w:rPr>
              <w:br/>
              <w:t>('1</w:t>
            </w:r>
            <w:r w:rsidR="00AA1A97" w:rsidRPr="00393EDE">
              <w:rPr>
                <w:rFonts w:ascii="Calibri" w:hAnsi="Calibri" w:cs="Calibri"/>
                <w:b w:val="0"/>
                <w:bCs/>
                <w:sz w:val="20"/>
                <w:szCs w:val="20"/>
              </w:rPr>
              <w:t>3</w:t>
            </w:r>
            <w:r w:rsidRPr="00393EDE">
              <w:rPr>
                <w:rFonts w:ascii="Calibri" w:hAnsi="Calibri" w:cs="Calibri"/>
                <w:b w:val="0"/>
                <w:bCs/>
                <w:sz w:val="20"/>
                <w:szCs w:val="20"/>
              </w:rPr>
              <w:t>-'3</w:t>
            </w:r>
            <w:r w:rsidR="00DD1E0C">
              <w:rPr>
                <w:rFonts w:ascii="Calibri" w:hAnsi="Calibri" w:cs="Calibri"/>
                <w:b w:val="0"/>
                <w:bCs/>
                <w:sz w:val="20"/>
                <w:szCs w:val="20"/>
              </w:rPr>
              <w:t>5</w:t>
            </w:r>
            <w:r w:rsidRPr="00393EDE">
              <w:rPr>
                <w:rFonts w:ascii="Calibri" w:hAnsi="Calibri" w:cs="Calibri"/>
                <w:b w:val="0"/>
                <w:bCs/>
                <w:sz w:val="20"/>
                <w:szCs w:val="20"/>
              </w:rPr>
              <w:t>)</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Cooling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141</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92</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93</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93</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93</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96</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-32%</w:t>
            </w:r>
          </w:p>
        </w:tc>
      </w:tr>
      <w:tr w:rsidR="00DD1E0C" w:rsidRPr="00393EDE"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Heating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681</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702</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706</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713</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722</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743</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9%</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Water Heating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375</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379</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380</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381</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388</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416</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11%</w:t>
            </w:r>
          </w:p>
        </w:tc>
      </w:tr>
      <w:tr w:rsidR="00DD1E0C" w:rsidRPr="00393EDE"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ind w:left="144"/>
              <w:rPr>
                <w:rFonts w:ascii="Calibri" w:hAnsi="Calibri" w:cs="Calibri"/>
                <w:color w:val="000000"/>
                <w:sz w:val="20"/>
                <w:szCs w:val="20"/>
              </w:rPr>
            </w:pPr>
            <w:r w:rsidRPr="00393EDE">
              <w:rPr>
                <w:rFonts w:ascii="Calibri" w:hAnsi="Calibri" w:cs="Calibri"/>
                <w:color w:val="000000"/>
                <w:sz w:val="20"/>
                <w:szCs w:val="20"/>
              </w:rPr>
              <w:t>Interior Lighting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289</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244</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230</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196</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151</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140</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-52%</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ind w:left="144"/>
              <w:rPr>
                <w:rFonts w:ascii="Calibri" w:hAnsi="Calibri" w:cs="Calibri"/>
                <w:color w:val="000000"/>
                <w:sz w:val="20"/>
                <w:szCs w:val="20"/>
              </w:rPr>
            </w:pPr>
            <w:r w:rsidRPr="00393EDE">
              <w:rPr>
                <w:rFonts w:ascii="Calibri" w:hAnsi="Calibri" w:cs="Calibri"/>
                <w:color w:val="000000"/>
                <w:sz w:val="20"/>
                <w:szCs w:val="20"/>
              </w:rPr>
              <w:t>Exterior Lighting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62</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51</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48</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40</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30</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27</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-56%</w:t>
            </w:r>
          </w:p>
        </w:tc>
      </w:tr>
      <w:tr w:rsidR="00DD1E0C" w:rsidRPr="00393EDE"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Appliances</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569</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572</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571</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568</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567</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585</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3%</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Electronics</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211</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226</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229</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239</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262</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331</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57%</w:t>
            </w:r>
          </w:p>
        </w:tc>
      </w:tr>
      <w:tr w:rsidR="00DD1E0C" w:rsidRPr="00393EDE"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Miscellaneous</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218</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238</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245</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267</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311</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423</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94%</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b/>
                <w:bCs/>
                <w:sz w:val="20"/>
              </w:rPr>
            </w:pPr>
            <w:r w:rsidRPr="00393EDE">
              <w:rPr>
                <w:rFonts w:cs="Calibri"/>
                <w:b/>
                <w:bCs/>
                <w:sz w:val="20"/>
              </w:rPr>
              <w:t>Total</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2,546</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2,503</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2,500</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2,498</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2,523</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2,761</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8.4%</w:t>
            </w:r>
          </w:p>
        </w:tc>
      </w:tr>
    </w:tbl>
    <w:p w:rsidR="00DD1E0C" w:rsidRDefault="00DD1E0C" w:rsidP="00DD1E0C">
      <w:pPr>
        <w:pStyle w:val="FigureorTableTitle"/>
      </w:pPr>
      <w:bookmarkStart w:id="247" w:name="_Ref422834573"/>
      <w:bookmarkStart w:id="248" w:name="_Toc424192776"/>
      <w:bookmarkStart w:id="249" w:name="_Ref337025688"/>
      <w:bookmarkStart w:id="250" w:name="_Ref387951748"/>
      <w:bookmarkStart w:id="251" w:name="_Toc341180522"/>
      <w:bookmarkStart w:id="252" w:name="_Toc387951596"/>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2</w:t>
      </w:r>
      <w:r w:rsidR="00512CD6">
        <w:rPr>
          <w:bCs w:val="0"/>
          <w:iCs w:val="0"/>
          <w:noProof/>
        </w:rPr>
        <w:fldChar w:fldCharType="end"/>
      </w:r>
      <w:bookmarkEnd w:id="247"/>
      <w:r>
        <w:tab/>
        <w:t xml:space="preserve">Residential Baseline </w:t>
      </w:r>
      <w:r w:rsidR="00144F91">
        <w:t xml:space="preserve">Sales </w:t>
      </w:r>
      <w:r>
        <w:t>Projection by End Use (GWh), Idaho</w:t>
      </w:r>
      <w:bookmarkEnd w:id="248"/>
    </w:p>
    <w:tbl>
      <w:tblPr>
        <w:tblStyle w:val="EnerNOCReportTable2"/>
        <w:tblW w:w="5000" w:type="pct"/>
        <w:tblInd w:w="0" w:type="dxa"/>
        <w:tblCellMar>
          <w:top w:w="0" w:type="dxa"/>
          <w:left w:w="0" w:type="dxa"/>
          <w:bottom w:w="0" w:type="dxa"/>
          <w:right w:w="0" w:type="dxa"/>
        </w:tblCellMar>
        <w:tblLook w:val="04A0" w:firstRow="1" w:lastRow="0" w:firstColumn="1" w:lastColumn="0" w:noHBand="0" w:noVBand="1"/>
      </w:tblPr>
      <w:tblGrid>
        <w:gridCol w:w="1797"/>
        <w:gridCol w:w="1031"/>
        <w:gridCol w:w="1031"/>
        <w:gridCol w:w="1031"/>
        <w:gridCol w:w="1031"/>
        <w:gridCol w:w="1031"/>
        <w:gridCol w:w="1031"/>
        <w:gridCol w:w="1027"/>
      </w:tblGrid>
      <w:tr w:rsidR="00DD1E0C" w:rsidRPr="00393EDE" w:rsidTr="00D801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shd w:val="clear" w:color="auto" w:fill="1A1D5D"/>
            <w:tcMar>
              <w:top w:w="0" w:type="dxa"/>
              <w:bottom w:w="0" w:type="dxa"/>
            </w:tcMar>
            <w:hideMark/>
          </w:tcPr>
          <w:p w:rsidR="00DD1E0C" w:rsidRPr="00393EDE" w:rsidRDefault="00DD1E0C" w:rsidP="00D80132">
            <w:pPr>
              <w:pStyle w:val="TableHeadings"/>
              <w:rPr>
                <w:rFonts w:cs="Calibri"/>
                <w:caps/>
                <w:sz w:val="20"/>
              </w:rPr>
            </w:pPr>
            <w:r w:rsidRPr="00393EDE">
              <w:rPr>
                <w:rFonts w:cs="Calibri"/>
                <w:sz w:val="20"/>
              </w:rPr>
              <w:t>End Use</w:t>
            </w:r>
          </w:p>
        </w:tc>
        <w:tc>
          <w:tcPr>
            <w:tcW w:w="572" w:type="pct"/>
            <w:shd w:val="clear" w:color="auto" w:fill="1A1D5D"/>
            <w:tcMar>
              <w:top w:w="0" w:type="dxa"/>
              <w:bottom w:w="0" w:type="dxa"/>
            </w:tcMar>
            <w:hideMark/>
          </w:tcPr>
          <w:p w:rsidR="00DD1E0C" w:rsidRPr="00393EDE" w:rsidRDefault="00DD1E0C"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2013</w:t>
            </w:r>
          </w:p>
        </w:tc>
        <w:tc>
          <w:tcPr>
            <w:tcW w:w="572" w:type="pct"/>
            <w:shd w:val="clear" w:color="auto" w:fill="1A1D5D"/>
            <w:tcMar>
              <w:top w:w="0" w:type="dxa"/>
              <w:bottom w:w="0" w:type="dxa"/>
            </w:tcMar>
            <w:hideMark/>
          </w:tcPr>
          <w:p w:rsidR="00DD1E0C" w:rsidRPr="00393EDE" w:rsidRDefault="00DD1E0C"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201</w:t>
            </w:r>
            <w:r>
              <w:rPr>
                <w:rFonts w:ascii="Calibri" w:hAnsi="Calibri" w:cs="Calibri"/>
                <w:b w:val="0"/>
                <w:bCs/>
                <w:sz w:val="20"/>
                <w:szCs w:val="20"/>
              </w:rPr>
              <w:t>6</w:t>
            </w:r>
          </w:p>
        </w:tc>
        <w:tc>
          <w:tcPr>
            <w:tcW w:w="572" w:type="pct"/>
            <w:shd w:val="clear" w:color="auto" w:fill="1A1D5D"/>
            <w:tcMar>
              <w:top w:w="0" w:type="dxa"/>
              <w:bottom w:w="0" w:type="dxa"/>
            </w:tcMar>
            <w:hideMark/>
          </w:tcPr>
          <w:p w:rsidR="00DD1E0C" w:rsidRPr="00393EDE" w:rsidRDefault="00DD1E0C"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w:t>
            </w:r>
            <w:r>
              <w:rPr>
                <w:rFonts w:ascii="Calibri" w:hAnsi="Calibri" w:cs="Calibri"/>
                <w:b w:val="0"/>
                <w:bCs/>
                <w:sz w:val="20"/>
                <w:szCs w:val="20"/>
              </w:rPr>
              <w:t>17</w:t>
            </w:r>
          </w:p>
        </w:tc>
        <w:tc>
          <w:tcPr>
            <w:tcW w:w="572" w:type="pct"/>
            <w:shd w:val="clear" w:color="auto" w:fill="1A1D5D"/>
            <w:tcMar>
              <w:top w:w="0" w:type="dxa"/>
              <w:bottom w:w="0" w:type="dxa"/>
            </w:tcMar>
            <w:hideMark/>
          </w:tcPr>
          <w:p w:rsidR="00DD1E0C" w:rsidRPr="00393EDE" w:rsidRDefault="00DD1E0C"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202</w:t>
            </w:r>
            <w:r>
              <w:rPr>
                <w:rFonts w:ascii="Calibri" w:hAnsi="Calibri" w:cs="Calibri"/>
                <w:b w:val="0"/>
                <w:bCs/>
                <w:sz w:val="20"/>
                <w:szCs w:val="20"/>
              </w:rPr>
              <w:t>0</w:t>
            </w:r>
          </w:p>
        </w:tc>
        <w:tc>
          <w:tcPr>
            <w:tcW w:w="572" w:type="pct"/>
            <w:shd w:val="clear" w:color="auto" w:fill="1A1D5D"/>
            <w:tcMar>
              <w:top w:w="0" w:type="dxa"/>
              <w:bottom w:w="0" w:type="dxa"/>
            </w:tcMar>
          </w:tcPr>
          <w:p w:rsidR="00DD1E0C" w:rsidRPr="00393EDE" w:rsidRDefault="00DD1E0C"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w:t>
            </w:r>
            <w:r>
              <w:rPr>
                <w:rFonts w:ascii="Calibri" w:hAnsi="Calibri" w:cs="Calibri"/>
                <w:b w:val="0"/>
                <w:bCs/>
                <w:sz w:val="20"/>
                <w:szCs w:val="20"/>
              </w:rPr>
              <w:t>25</w:t>
            </w:r>
          </w:p>
        </w:tc>
        <w:tc>
          <w:tcPr>
            <w:tcW w:w="572" w:type="pct"/>
            <w:shd w:val="clear" w:color="auto" w:fill="1A1D5D"/>
            <w:tcMar>
              <w:top w:w="0" w:type="dxa"/>
              <w:bottom w:w="0" w:type="dxa"/>
            </w:tcMar>
          </w:tcPr>
          <w:p w:rsidR="00DD1E0C" w:rsidRPr="00393EDE" w:rsidRDefault="00DD1E0C"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203</w:t>
            </w:r>
            <w:r>
              <w:rPr>
                <w:rFonts w:ascii="Calibri" w:hAnsi="Calibri" w:cs="Calibri"/>
                <w:b w:val="0"/>
                <w:bCs/>
                <w:sz w:val="20"/>
                <w:szCs w:val="20"/>
              </w:rPr>
              <w:t>5</w:t>
            </w:r>
          </w:p>
        </w:tc>
        <w:tc>
          <w:tcPr>
            <w:tcW w:w="570" w:type="pct"/>
            <w:shd w:val="clear" w:color="auto" w:fill="1A1D5D"/>
            <w:tcMar>
              <w:top w:w="0" w:type="dxa"/>
              <w:bottom w:w="0" w:type="dxa"/>
            </w:tcMar>
            <w:hideMark/>
          </w:tcPr>
          <w:p w:rsidR="00DD1E0C" w:rsidRPr="00393EDE" w:rsidRDefault="00DD1E0C"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0"/>
                <w:szCs w:val="20"/>
              </w:rPr>
            </w:pPr>
            <w:r w:rsidRPr="00393EDE">
              <w:rPr>
                <w:rFonts w:ascii="Calibri" w:hAnsi="Calibri" w:cs="Calibri"/>
                <w:b w:val="0"/>
                <w:bCs/>
                <w:sz w:val="20"/>
                <w:szCs w:val="20"/>
              </w:rPr>
              <w:t>% Change</w:t>
            </w:r>
            <w:r w:rsidRPr="00393EDE">
              <w:rPr>
                <w:rFonts w:ascii="Calibri" w:hAnsi="Calibri" w:cs="Calibri"/>
                <w:b w:val="0"/>
                <w:bCs/>
                <w:sz w:val="20"/>
                <w:szCs w:val="20"/>
              </w:rPr>
              <w:br/>
              <w:t>('13-'3</w:t>
            </w:r>
            <w:r>
              <w:rPr>
                <w:rFonts w:ascii="Calibri" w:hAnsi="Calibri" w:cs="Calibri"/>
                <w:b w:val="0"/>
                <w:bCs/>
                <w:sz w:val="20"/>
                <w:szCs w:val="20"/>
              </w:rPr>
              <w:t>5</w:t>
            </w:r>
            <w:r w:rsidRPr="00393EDE">
              <w:rPr>
                <w:rFonts w:ascii="Calibri" w:hAnsi="Calibri" w:cs="Calibri"/>
                <w:b w:val="0"/>
                <w:bCs/>
                <w:sz w:val="20"/>
                <w:szCs w:val="20"/>
              </w:rPr>
              <w:t>)</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Cooling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58</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38</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38</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39</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40</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42</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-26%</w:t>
            </w:r>
          </w:p>
        </w:tc>
      </w:tr>
      <w:tr w:rsidR="00DD1E0C" w:rsidRPr="00393EDE"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Heating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351</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366</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370</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379</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392</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417</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19%</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Water Heating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175</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179</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180</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184</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190</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211</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20%</w:t>
            </w:r>
          </w:p>
        </w:tc>
      </w:tr>
      <w:tr w:rsidR="00DD1E0C" w:rsidRPr="00393EDE"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ind w:left="144"/>
              <w:rPr>
                <w:rFonts w:ascii="Calibri" w:hAnsi="Calibri" w:cs="Calibri"/>
                <w:color w:val="000000"/>
                <w:sz w:val="20"/>
                <w:szCs w:val="20"/>
              </w:rPr>
            </w:pPr>
            <w:r w:rsidRPr="00393EDE">
              <w:rPr>
                <w:rFonts w:ascii="Calibri" w:hAnsi="Calibri" w:cs="Calibri"/>
                <w:color w:val="000000"/>
                <w:sz w:val="20"/>
                <w:szCs w:val="20"/>
              </w:rPr>
              <w:t>Interior Lighting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152</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132</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126</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111</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89</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87</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-43%</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ind w:left="144"/>
              <w:rPr>
                <w:rFonts w:ascii="Calibri" w:hAnsi="Calibri" w:cs="Calibri"/>
                <w:color w:val="000000"/>
                <w:sz w:val="20"/>
                <w:szCs w:val="20"/>
              </w:rPr>
            </w:pPr>
            <w:r w:rsidRPr="00393EDE">
              <w:rPr>
                <w:rFonts w:ascii="Calibri" w:hAnsi="Calibri" w:cs="Calibri"/>
                <w:color w:val="000000"/>
                <w:sz w:val="20"/>
                <w:szCs w:val="20"/>
              </w:rPr>
              <w:t>Exterior Lighting</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35</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29</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28</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24</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18</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17</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-50%</w:t>
            </w:r>
          </w:p>
        </w:tc>
      </w:tr>
      <w:tr w:rsidR="00DD1E0C" w:rsidRPr="00393EDE"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Appliances</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278</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282</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283</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286</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291</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312</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12%</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Electronics</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91</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99</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102</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108</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122</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160</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1E0C">
              <w:rPr>
                <w:rFonts w:ascii="Calibri" w:hAnsi="Calibri" w:cs="Calibri"/>
                <w:sz w:val="20"/>
                <w:szCs w:val="20"/>
              </w:rPr>
              <w:t>75%</w:t>
            </w:r>
          </w:p>
        </w:tc>
      </w:tr>
      <w:tr w:rsidR="00DD1E0C" w:rsidRPr="00393EDE"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sz w:val="20"/>
              </w:rPr>
            </w:pPr>
            <w:r w:rsidRPr="00393EDE">
              <w:rPr>
                <w:rFonts w:cs="Calibri"/>
                <w:sz w:val="20"/>
              </w:rPr>
              <w:t>Miscellaneous</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67</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73</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76</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82</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96</w:t>
            </w:r>
          </w:p>
        </w:tc>
        <w:tc>
          <w:tcPr>
            <w:tcW w:w="572" w:type="pct"/>
            <w:shd w:val="clear" w:color="auto" w:fill="E5ECF1"/>
            <w:tcMar>
              <w:top w:w="0" w:type="dxa"/>
              <w:bottom w:w="0" w:type="dxa"/>
            </w:tcMar>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129</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DD1E0C">
              <w:rPr>
                <w:rFonts w:ascii="Calibri" w:hAnsi="Calibri" w:cs="Calibri"/>
                <w:sz w:val="20"/>
                <w:szCs w:val="20"/>
              </w:rPr>
              <w:t>92%</w:t>
            </w:r>
          </w:p>
        </w:tc>
      </w:tr>
      <w:tr w:rsidR="00DD1E0C" w:rsidRPr="00393EDE"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noWrap/>
            <w:tcMar>
              <w:top w:w="0" w:type="dxa"/>
              <w:bottom w:w="0" w:type="dxa"/>
            </w:tcMar>
            <w:hideMark/>
          </w:tcPr>
          <w:p w:rsidR="00DD1E0C" w:rsidRPr="00393EDE" w:rsidRDefault="00DD1E0C" w:rsidP="00DD1E0C">
            <w:pPr>
              <w:pStyle w:val="TableText"/>
              <w:ind w:left="144"/>
              <w:jc w:val="left"/>
              <w:rPr>
                <w:rFonts w:cs="Calibri"/>
                <w:b/>
                <w:bCs/>
                <w:sz w:val="20"/>
              </w:rPr>
            </w:pPr>
            <w:r w:rsidRPr="00393EDE">
              <w:rPr>
                <w:rFonts w:cs="Calibri"/>
                <w:b/>
                <w:bCs/>
                <w:sz w:val="20"/>
              </w:rPr>
              <w:t>Total</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1,207</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1,199</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1,203</w:t>
            </w:r>
          </w:p>
        </w:tc>
        <w:tc>
          <w:tcPr>
            <w:tcW w:w="572"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1,213</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1,238</w:t>
            </w:r>
          </w:p>
        </w:tc>
        <w:tc>
          <w:tcPr>
            <w:tcW w:w="572" w:type="pct"/>
            <w:shd w:val="clear" w:color="auto" w:fill="E5ECF1"/>
            <w:tcMar>
              <w:top w:w="0" w:type="dxa"/>
              <w:bottom w:w="0" w:type="dxa"/>
            </w:tcMar>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1,375</w:t>
            </w:r>
          </w:p>
        </w:tc>
        <w:tc>
          <w:tcPr>
            <w:tcW w:w="570" w:type="pct"/>
            <w:shd w:val="clear" w:color="auto" w:fill="E5ECF1"/>
            <w:noWrap/>
            <w:tcMar>
              <w:top w:w="0" w:type="dxa"/>
              <w:bottom w:w="0" w:type="dxa"/>
            </w:tcMar>
            <w:hideMark/>
          </w:tcPr>
          <w:p w:rsidR="00DD1E0C" w:rsidRPr="00DD1E0C" w:rsidRDefault="00DD1E0C"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DD1E0C">
              <w:rPr>
                <w:rFonts w:ascii="Calibri" w:hAnsi="Calibri" w:cs="Calibri"/>
                <w:b/>
                <w:sz w:val="20"/>
                <w:szCs w:val="20"/>
              </w:rPr>
              <w:t>13.9%</w:t>
            </w:r>
          </w:p>
        </w:tc>
      </w:tr>
    </w:tbl>
    <w:p w:rsidR="00157088" w:rsidRDefault="00157088" w:rsidP="00837C13">
      <w:pPr>
        <w:pStyle w:val="FigureorTableTitle"/>
        <w:rPr>
          <w:szCs w:val="20"/>
        </w:rPr>
      </w:pPr>
      <w:bookmarkStart w:id="253" w:name="_Ref422834251"/>
      <w:bookmarkStart w:id="254" w:name="_Toc424192712"/>
      <w:r w:rsidRPr="001C7B63">
        <w:rPr>
          <w:szCs w:val="20"/>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20"/>
        </w:rPr>
        <w:t>4</w:t>
      </w:r>
      <w:r w:rsidR="00512CD6">
        <w:rPr>
          <w:noProof/>
          <w:szCs w:val="20"/>
        </w:rPr>
        <w:fldChar w:fldCharType="end"/>
      </w:r>
      <w:r w:rsidRPr="001C7B63">
        <w:rPr>
          <w:szCs w:val="20"/>
        </w:rPr>
        <w:t>-</w:t>
      </w:r>
      <w:r w:rsidR="00512CD6">
        <w:fldChar w:fldCharType="begin"/>
      </w:r>
      <w:r w:rsidR="00512CD6">
        <w:instrText xml:space="preserve"> SEQ Figure\s 1 \* MERGEFORMAT </w:instrText>
      </w:r>
      <w:r w:rsidR="00512CD6">
        <w:fldChar w:fldCharType="separate"/>
      </w:r>
      <w:r w:rsidR="00B2652C" w:rsidRPr="00B2652C">
        <w:rPr>
          <w:noProof/>
          <w:szCs w:val="20"/>
        </w:rPr>
        <w:t>1</w:t>
      </w:r>
      <w:r w:rsidR="00512CD6">
        <w:rPr>
          <w:noProof/>
          <w:szCs w:val="20"/>
        </w:rPr>
        <w:fldChar w:fldCharType="end"/>
      </w:r>
      <w:bookmarkEnd w:id="249"/>
      <w:bookmarkEnd w:id="250"/>
      <w:bookmarkEnd w:id="253"/>
      <w:r w:rsidRPr="001C7B63">
        <w:rPr>
          <w:szCs w:val="20"/>
        </w:rPr>
        <w:tab/>
        <w:t xml:space="preserve">Residential Baseline </w:t>
      </w:r>
      <w:r w:rsidR="00144F91">
        <w:rPr>
          <w:szCs w:val="20"/>
        </w:rPr>
        <w:t xml:space="preserve">Sales </w:t>
      </w:r>
      <w:r w:rsidRPr="001C7B63">
        <w:rPr>
          <w:szCs w:val="20"/>
        </w:rPr>
        <w:t>Projection by End Use</w:t>
      </w:r>
      <w:bookmarkEnd w:id="251"/>
      <w:bookmarkEnd w:id="252"/>
      <w:r w:rsidR="00C449BF" w:rsidRPr="001C7B63">
        <w:rPr>
          <w:szCs w:val="20"/>
        </w:rPr>
        <w:t xml:space="preserve"> (GWh)</w:t>
      </w:r>
      <w:r w:rsidR="00DD1E0C">
        <w:rPr>
          <w:szCs w:val="20"/>
        </w:rPr>
        <w:t>, Washington</w:t>
      </w:r>
      <w:bookmarkEnd w:id="254"/>
    </w:p>
    <w:p w:rsidR="00157088" w:rsidRDefault="00D0122D" w:rsidP="00157088">
      <w:pPr>
        <w:pStyle w:val="BodyText"/>
      </w:pPr>
      <w:r w:rsidRPr="00D0122D">
        <w:rPr>
          <w:noProof/>
        </w:rPr>
        <w:drawing>
          <wp:inline distT="0" distB="0" distL="0" distR="0">
            <wp:extent cx="5715000" cy="2880287"/>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0" cy="2880287"/>
                    </a:xfrm>
                    <a:prstGeom prst="rect">
                      <a:avLst/>
                    </a:prstGeom>
                    <a:noFill/>
                    <a:ln>
                      <a:noFill/>
                    </a:ln>
                  </pic:spPr>
                </pic:pic>
              </a:graphicData>
            </a:graphic>
          </wp:inline>
        </w:drawing>
      </w:r>
    </w:p>
    <w:p w:rsidR="00157088" w:rsidRPr="001C7B63" w:rsidRDefault="00157088" w:rsidP="00837C13">
      <w:pPr>
        <w:pStyle w:val="FigureorTableTitle"/>
        <w:rPr>
          <w:szCs w:val="20"/>
        </w:rPr>
      </w:pPr>
      <w:bookmarkStart w:id="255" w:name="_Ref341184486"/>
      <w:bookmarkStart w:id="256" w:name="_Ref422834387"/>
      <w:bookmarkStart w:id="257" w:name="_Toc341180523"/>
      <w:bookmarkStart w:id="258" w:name="_Toc387951597"/>
      <w:bookmarkStart w:id="259" w:name="_Toc424192713"/>
      <w:r w:rsidRPr="001C7B63">
        <w:rPr>
          <w:szCs w:val="20"/>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20"/>
        </w:rPr>
        <w:t>4</w:t>
      </w:r>
      <w:r w:rsidR="00512CD6">
        <w:rPr>
          <w:noProof/>
          <w:szCs w:val="20"/>
        </w:rPr>
        <w:fldChar w:fldCharType="end"/>
      </w:r>
      <w:r w:rsidRPr="001C7B63">
        <w:rPr>
          <w:szCs w:val="20"/>
        </w:rPr>
        <w:t>-</w:t>
      </w:r>
      <w:r w:rsidR="00512CD6">
        <w:fldChar w:fldCharType="begin"/>
      </w:r>
      <w:r w:rsidR="00512CD6">
        <w:instrText xml:space="preserve"> SEQ Figure\s 1 \* MERGEFORMAT </w:instrText>
      </w:r>
      <w:r w:rsidR="00512CD6">
        <w:fldChar w:fldCharType="separate"/>
      </w:r>
      <w:r w:rsidR="00B2652C" w:rsidRPr="00B2652C">
        <w:rPr>
          <w:noProof/>
          <w:szCs w:val="20"/>
        </w:rPr>
        <w:t>2</w:t>
      </w:r>
      <w:r w:rsidR="00512CD6">
        <w:rPr>
          <w:noProof/>
          <w:szCs w:val="20"/>
        </w:rPr>
        <w:fldChar w:fldCharType="end"/>
      </w:r>
      <w:bookmarkEnd w:id="255"/>
      <w:bookmarkEnd w:id="256"/>
      <w:r>
        <w:tab/>
      </w:r>
      <w:r w:rsidRPr="001C7B63">
        <w:rPr>
          <w:szCs w:val="20"/>
        </w:rPr>
        <w:t xml:space="preserve">Residential </w:t>
      </w:r>
      <w:r w:rsidR="00C449BF" w:rsidRPr="001C7B63">
        <w:rPr>
          <w:szCs w:val="20"/>
        </w:rPr>
        <w:t xml:space="preserve">Baseline </w:t>
      </w:r>
      <w:r w:rsidR="00144F91">
        <w:rPr>
          <w:szCs w:val="20"/>
        </w:rPr>
        <w:t xml:space="preserve">Sales </w:t>
      </w:r>
      <w:r w:rsidR="00C449BF" w:rsidRPr="001C7B63">
        <w:rPr>
          <w:szCs w:val="20"/>
        </w:rPr>
        <w:t xml:space="preserve">Projection by </w:t>
      </w:r>
      <w:r w:rsidRPr="001C7B63">
        <w:rPr>
          <w:szCs w:val="20"/>
        </w:rPr>
        <w:t>End Use</w:t>
      </w:r>
      <w:bookmarkEnd w:id="257"/>
      <w:bookmarkEnd w:id="258"/>
      <w:r w:rsidR="00C449BF" w:rsidRPr="001C7B63">
        <w:rPr>
          <w:szCs w:val="20"/>
        </w:rPr>
        <w:t xml:space="preserve"> – </w:t>
      </w:r>
      <w:r w:rsidR="00393EDE" w:rsidRPr="001C7B63">
        <w:rPr>
          <w:szCs w:val="20"/>
        </w:rPr>
        <w:t xml:space="preserve">Annual </w:t>
      </w:r>
      <w:r w:rsidR="00C449BF" w:rsidRPr="001C7B63">
        <w:rPr>
          <w:szCs w:val="20"/>
        </w:rPr>
        <w:t>Use per Household</w:t>
      </w:r>
      <w:r w:rsidR="00CA586A">
        <w:rPr>
          <w:szCs w:val="20"/>
        </w:rPr>
        <w:t>, Washington</w:t>
      </w:r>
      <w:bookmarkEnd w:id="259"/>
    </w:p>
    <w:p w:rsidR="00157088" w:rsidRDefault="00CA586A" w:rsidP="00FA219D">
      <w:pPr>
        <w:pStyle w:val="BodyText"/>
        <w:tabs>
          <w:tab w:val="left" w:pos="5310"/>
        </w:tabs>
        <w:jc w:val="center"/>
      </w:pPr>
      <w:r w:rsidRPr="00CA586A">
        <w:rPr>
          <w:noProof/>
        </w:rPr>
        <w:drawing>
          <wp:inline distT="0" distB="0" distL="0" distR="0">
            <wp:extent cx="5715000" cy="27300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0" cy="2730096"/>
                    </a:xfrm>
                    <a:prstGeom prst="rect">
                      <a:avLst/>
                    </a:prstGeom>
                    <a:noFill/>
                    <a:ln>
                      <a:noFill/>
                    </a:ln>
                  </pic:spPr>
                </pic:pic>
              </a:graphicData>
            </a:graphic>
          </wp:inline>
        </w:drawing>
      </w:r>
    </w:p>
    <w:p w:rsidR="00144F91" w:rsidRDefault="00144F91" w:rsidP="00CA586A">
      <w:pPr>
        <w:pStyle w:val="BodyText"/>
        <w:tabs>
          <w:tab w:val="left" w:pos="5310"/>
        </w:tabs>
        <w:jc w:val="both"/>
      </w:pPr>
    </w:p>
    <w:p w:rsidR="00144F91" w:rsidRDefault="00144F91" w:rsidP="00CA586A">
      <w:pPr>
        <w:pStyle w:val="BodyText"/>
        <w:tabs>
          <w:tab w:val="left" w:pos="5310"/>
        </w:tabs>
        <w:jc w:val="both"/>
      </w:pPr>
    </w:p>
    <w:p w:rsidR="00EC2CA5" w:rsidRDefault="00EC2CA5" w:rsidP="00EC2CA5">
      <w:pPr>
        <w:pStyle w:val="FigureorTableTitle"/>
        <w:rPr>
          <w:szCs w:val="20"/>
        </w:rPr>
      </w:pPr>
      <w:bookmarkStart w:id="260" w:name="_Ref422834294"/>
      <w:bookmarkStart w:id="261" w:name="_Toc424192714"/>
      <w:bookmarkStart w:id="262" w:name="_Toc333955924"/>
      <w:bookmarkStart w:id="263" w:name="_Toc335647166"/>
      <w:bookmarkStart w:id="264" w:name="_Toc341176231"/>
      <w:r w:rsidRPr="001C7B63">
        <w:rPr>
          <w:szCs w:val="20"/>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20"/>
        </w:rPr>
        <w:t>4</w:t>
      </w:r>
      <w:r w:rsidR="00512CD6">
        <w:rPr>
          <w:noProof/>
          <w:szCs w:val="20"/>
        </w:rPr>
        <w:fldChar w:fldCharType="end"/>
      </w:r>
      <w:r w:rsidRPr="001C7B63">
        <w:rPr>
          <w:szCs w:val="20"/>
        </w:rPr>
        <w:t>-</w:t>
      </w:r>
      <w:r w:rsidR="00512CD6">
        <w:fldChar w:fldCharType="begin"/>
      </w:r>
      <w:r w:rsidR="00512CD6">
        <w:instrText xml:space="preserve"> SEQ Figure\s 1 \* MERGEFORMAT </w:instrText>
      </w:r>
      <w:r w:rsidR="00512CD6">
        <w:fldChar w:fldCharType="separate"/>
      </w:r>
      <w:r w:rsidR="00B2652C" w:rsidRPr="00B2652C">
        <w:rPr>
          <w:noProof/>
          <w:szCs w:val="20"/>
        </w:rPr>
        <w:t>3</w:t>
      </w:r>
      <w:r w:rsidR="00512CD6">
        <w:rPr>
          <w:noProof/>
          <w:szCs w:val="20"/>
        </w:rPr>
        <w:fldChar w:fldCharType="end"/>
      </w:r>
      <w:bookmarkEnd w:id="260"/>
      <w:r w:rsidRPr="001C7B63">
        <w:rPr>
          <w:szCs w:val="20"/>
        </w:rPr>
        <w:tab/>
        <w:t>Residential Baseline Projection by End Use (GWh)</w:t>
      </w:r>
      <w:r>
        <w:rPr>
          <w:szCs w:val="20"/>
        </w:rPr>
        <w:t>, Idaho</w:t>
      </w:r>
      <w:bookmarkEnd w:id="261"/>
    </w:p>
    <w:p w:rsidR="00EC2CA5" w:rsidRDefault="00EC2CA5" w:rsidP="00FA219D">
      <w:pPr>
        <w:pStyle w:val="BodyText"/>
        <w:jc w:val="center"/>
        <w:rPr>
          <w:szCs w:val="20"/>
        </w:rPr>
      </w:pPr>
      <w:r w:rsidRPr="00D0122D">
        <w:rPr>
          <w:noProof/>
        </w:rPr>
        <w:drawing>
          <wp:inline distT="0" distB="0" distL="0" distR="0">
            <wp:extent cx="5715000" cy="288028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0" cy="2880287"/>
                    </a:xfrm>
                    <a:prstGeom prst="rect">
                      <a:avLst/>
                    </a:prstGeom>
                    <a:noFill/>
                    <a:ln>
                      <a:noFill/>
                    </a:ln>
                  </pic:spPr>
                </pic:pic>
              </a:graphicData>
            </a:graphic>
          </wp:inline>
        </w:drawing>
      </w:r>
    </w:p>
    <w:p w:rsidR="00157088" w:rsidRDefault="00157088" w:rsidP="00AA1A97">
      <w:pPr>
        <w:pStyle w:val="BodyText"/>
      </w:pPr>
      <w:r>
        <w:br w:type="page"/>
      </w:r>
    </w:p>
    <w:p w:rsidR="00CA586A" w:rsidRDefault="00CA586A" w:rsidP="00CA586A">
      <w:pPr>
        <w:pStyle w:val="FigureorTableTitle"/>
        <w:rPr>
          <w:szCs w:val="20"/>
        </w:rPr>
      </w:pPr>
      <w:bookmarkStart w:id="265" w:name="_Ref422834205"/>
      <w:bookmarkStart w:id="266" w:name="_Toc424192715"/>
      <w:r w:rsidRPr="001C7B63">
        <w:rPr>
          <w:szCs w:val="20"/>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20"/>
        </w:rPr>
        <w:t>4</w:t>
      </w:r>
      <w:r w:rsidR="00512CD6">
        <w:rPr>
          <w:noProof/>
          <w:szCs w:val="20"/>
        </w:rPr>
        <w:fldChar w:fldCharType="end"/>
      </w:r>
      <w:r w:rsidRPr="001C7B63">
        <w:rPr>
          <w:szCs w:val="20"/>
        </w:rPr>
        <w:t>-</w:t>
      </w:r>
      <w:r w:rsidR="00512CD6">
        <w:fldChar w:fldCharType="begin"/>
      </w:r>
      <w:r w:rsidR="00512CD6">
        <w:instrText xml:space="preserve"> SEQ Figure\s 1 \* MERGEFORMAT </w:instrText>
      </w:r>
      <w:r w:rsidR="00512CD6">
        <w:fldChar w:fldCharType="separate"/>
      </w:r>
      <w:r w:rsidR="00B2652C" w:rsidRPr="00B2652C">
        <w:rPr>
          <w:noProof/>
          <w:szCs w:val="20"/>
        </w:rPr>
        <w:t>4</w:t>
      </w:r>
      <w:r w:rsidR="00512CD6">
        <w:rPr>
          <w:noProof/>
          <w:szCs w:val="20"/>
        </w:rPr>
        <w:fldChar w:fldCharType="end"/>
      </w:r>
      <w:bookmarkEnd w:id="265"/>
      <w:r>
        <w:tab/>
      </w:r>
      <w:r w:rsidRPr="001C7B63">
        <w:rPr>
          <w:szCs w:val="20"/>
        </w:rPr>
        <w:t xml:space="preserve">Residential Baseline </w:t>
      </w:r>
      <w:r w:rsidR="00144F91">
        <w:rPr>
          <w:szCs w:val="20"/>
        </w:rPr>
        <w:t xml:space="preserve">Sales </w:t>
      </w:r>
      <w:r w:rsidRPr="001C7B63">
        <w:rPr>
          <w:szCs w:val="20"/>
        </w:rPr>
        <w:t>Projection by End Use – Annual Use per Household</w:t>
      </w:r>
      <w:r>
        <w:rPr>
          <w:szCs w:val="20"/>
        </w:rPr>
        <w:t>, Idaho</w:t>
      </w:r>
      <w:bookmarkEnd w:id="266"/>
    </w:p>
    <w:p w:rsidR="00CA586A" w:rsidRPr="001C7B63" w:rsidRDefault="00CA586A" w:rsidP="00FA219D">
      <w:pPr>
        <w:pStyle w:val="BodyText"/>
        <w:jc w:val="center"/>
        <w:rPr>
          <w:szCs w:val="20"/>
        </w:rPr>
      </w:pPr>
      <w:r w:rsidRPr="00CA586A">
        <w:rPr>
          <w:noProof/>
        </w:rPr>
        <w:drawing>
          <wp:inline distT="0" distB="0" distL="0" distR="0">
            <wp:extent cx="5715000" cy="27300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5000" cy="2730096"/>
                    </a:xfrm>
                    <a:prstGeom prst="rect">
                      <a:avLst/>
                    </a:prstGeom>
                    <a:noFill/>
                    <a:ln>
                      <a:noFill/>
                    </a:ln>
                  </pic:spPr>
                </pic:pic>
              </a:graphicData>
            </a:graphic>
          </wp:inline>
        </w:drawing>
      </w:r>
    </w:p>
    <w:p w:rsidR="00DD08CA" w:rsidRDefault="00DD08CA" w:rsidP="00BD0E72">
      <w:pPr>
        <w:pStyle w:val="Heading3"/>
      </w:pPr>
      <w:bookmarkStart w:id="267" w:name="_Toc424192627"/>
      <w:r>
        <w:t>Residential Summer Peak Projection</w:t>
      </w:r>
      <w:bookmarkEnd w:id="267"/>
    </w:p>
    <w:p w:rsidR="008E3AB1" w:rsidRDefault="00893E3D" w:rsidP="008E3AB1">
      <w:pPr>
        <w:pStyle w:val="BodyText"/>
      </w:pPr>
      <w:r>
        <w:fldChar w:fldCharType="begin"/>
      </w:r>
      <w:r w:rsidR="001D66AB">
        <w:rPr>
          <w:noProof/>
        </w:rPr>
        <w:instrText xml:space="preserve"> REF _Ref402253446 \h </w:instrText>
      </w:r>
      <w:r>
        <w:fldChar w:fldCharType="separate"/>
      </w:r>
      <w:r w:rsidR="00B2652C" w:rsidRPr="00535EB3">
        <w:t xml:space="preserve">Table </w:t>
      </w:r>
      <w:r w:rsidR="00B2652C" w:rsidRPr="00B2652C">
        <w:rPr>
          <w:noProof/>
        </w:rPr>
        <w:t>4</w:t>
      </w:r>
      <w:r w:rsidR="00B2652C" w:rsidRPr="00535EB3">
        <w:t>-</w:t>
      </w:r>
      <w:r w:rsidR="00B2652C" w:rsidRPr="00B2652C">
        <w:rPr>
          <w:noProof/>
        </w:rPr>
        <w:t>3</w:t>
      </w:r>
      <w:r>
        <w:fldChar w:fldCharType="end"/>
      </w:r>
      <w:r w:rsidR="00DD08CA">
        <w:rPr>
          <w:noProof/>
        </w:rPr>
        <w:t xml:space="preserve"> </w:t>
      </w:r>
      <w:r w:rsidR="00C74EFB">
        <w:rPr>
          <w:noProof/>
        </w:rPr>
        <w:t xml:space="preserve">(WA) and </w:t>
      </w:r>
      <w:r>
        <w:rPr>
          <w:noProof/>
        </w:rPr>
        <w:fldChar w:fldCharType="begin"/>
      </w:r>
      <w:r w:rsidR="00144F91">
        <w:rPr>
          <w:noProof/>
        </w:rPr>
        <w:instrText xml:space="preserve"> REF _Ref423092326 \h </w:instrText>
      </w:r>
      <w:r>
        <w:rPr>
          <w:noProof/>
        </w:rPr>
      </w:r>
      <w:r>
        <w:rPr>
          <w:noProof/>
        </w:rPr>
        <w:fldChar w:fldCharType="separate"/>
      </w:r>
      <w:r w:rsidR="00B2652C" w:rsidRPr="00535EB3">
        <w:t xml:space="preserve">Table </w:t>
      </w:r>
      <w:r w:rsidR="00B2652C" w:rsidRPr="00B2652C">
        <w:rPr>
          <w:noProof/>
        </w:rPr>
        <w:t>4</w:t>
      </w:r>
      <w:r w:rsidR="00B2652C" w:rsidRPr="00535EB3">
        <w:t>-</w:t>
      </w:r>
      <w:r w:rsidR="00B2652C" w:rsidRPr="00B2652C">
        <w:rPr>
          <w:noProof/>
        </w:rPr>
        <w:t>4</w:t>
      </w:r>
      <w:r>
        <w:rPr>
          <w:noProof/>
        </w:rPr>
        <w:fldChar w:fldCharType="end"/>
      </w:r>
      <w:r w:rsidR="00144F91">
        <w:rPr>
          <w:noProof/>
        </w:rPr>
        <w:t xml:space="preserve"> </w:t>
      </w:r>
      <w:r w:rsidR="00C74EFB">
        <w:rPr>
          <w:noProof/>
        </w:rPr>
        <w:t>(ID) p</w:t>
      </w:r>
      <w:r w:rsidR="008E3AB1" w:rsidRPr="00002B11">
        <w:t xml:space="preserve">resent the </w:t>
      </w:r>
      <w:r w:rsidR="008E3AB1">
        <w:t xml:space="preserve">residential </w:t>
      </w:r>
      <w:r w:rsidR="008E3AB1" w:rsidRPr="00002B11">
        <w:t>baseline</w:t>
      </w:r>
      <w:r w:rsidR="008E3AB1">
        <w:rPr>
          <w:szCs w:val="20"/>
        </w:rPr>
        <w:t xml:space="preserve"> projection</w:t>
      </w:r>
      <w:r w:rsidR="008E3AB1" w:rsidRPr="003946D2">
        <w:rPr>
          <w:szCs w:val="20"/>
        </w:rPr>
        <w:t xml:space="preserve"> for </w:t>
      </w:r>
      <w:r w:rsidR="008E3AB1">
        <w:rPr>
          <w:szCs w:val="20"/>
        </w:rPr>
        <w:t>summer peak demand</w:t>
      </w:r>
      <w:r w:rsidR="007E3620">
        <w:rPr>
          <w:szCs w:val="20"/>
        </w:rPr>
        <w:t xml:space="preserve"> at the end-use level. Overall in Washington, </w:t>
      </w:r>
      <w:r w:rsidR="008E3AB1" w:rsidRPr="003946D2">
        <w:rPr>
          <w:szCs w:val="20"/>
        </w:rPr>
        <w:t xml:space="preserve">residential </w:t>
      </w:r>
      <w:r w:rsidR="008E3AB1">
        <w:rPr>
          <w:szCs w:val="20"/>
        </w:rPr>
        <w:t xml:space="preserve">summer peak increases from </w:t>
      </w:r>
      <w:r w:rsidR="007E3620">
        <w:rPr>
          <w:szCs w:val="20"/>
        </w:rPr>
        <w:t>404</w:t>
      </w:r>
      <w:r w:rsidR="008E3AB1">
        <w:rPr>
          <w:szCs w:val="20"/>
        </w:rPr>
        <w:t xml:space="preserve"> MW in 2013 to </w:t>
      </w:r>
      <w:r w:rsidR="007E3620">
        <w:rPr>
          <w:szCs w:val="20"/>
        </w:rPr>
        <w:t>438</w:t>
      </w:r>
      <w:r w:rsidR="008E3AB1">
        <w:rPr>
          <w:szCs w:val="20"/>
        </w:rPr>
        <w:t xml:space="preserve"> MW</w:t>
      </w:r>
      <w:r w:rsidR="008E3AB1" w:rsidRPr="00AA1A97">
        <w:rPr>
          <w:szCs w:val="20"/>
        </w:rPr>
        <w:t xml:space="preserve"> in 203</w:t>
      </w:r>
      <w:r w:rsidR="007E3620">
        <w:rPr>
          <w:szCs w:val="20"/>
        </w:rPr>
        <w:t>5</w:t>
      </w:r>
      <w:r w:rsidR="008E3AB1" w:rsidRPr="00C449BF">
        <w:rPr>
          <w:szCs w:val="20"/>
        </w:rPr>
        <w:t xml:space="preserve">, an increase of </w:t>
      </w:r>
      <w:r w:rsidR="007E3620">
        <w:rPr>
          <w:szCs w:val="20"/>
        </w:rPr>
        <w:t>8</w:t>
      </w:r>
      <w:r w:rsidR="008E3AB1" w:rsidRPr="00C449BF">
        <w:rPr>
          <w:szCs w:val="20"/>
        </w:rPr>
        <w:t>%.</w:t>
      </w:r>
      <w:r w:rsidR="008E3AB1">
        <w:rPr>
          <w:szCs w:val="20"/>
        </w:rPr>
        <w:t xml:space="preserve"> </w:t>
      </w:r>
      <w:r w:rsidR="007E3620">
        <w:rPr>
          <w:szCs w:val="20"/>
        </w:rPr>
        <w:t xml:space="preserve">In Idaho, the residential summer peak increases from 184 MW to 207 MW, an increase of 13%. </w:t>
      </w:r>
      <w:r w:rsidR="004A2E7F">
        <w:rPr>
          <w:szCs w:val="20"/>
        </w:rPr>
        <w:t xml:space="preserve">All end uses except </w:t>
      </w:r>
      <w:r w:rsidR="007E3620">
        <w:rPr>
          <w:szCs w:val="20"/>
        </w:rPr>
        <w:t xml:space="preserve">cooling and </w:t>
      </w:r>
      <w:r w:rsidR="004A2E7F">
        <w:rPr>
          <w:szCs w:val="20"/>
        </w:rPr>
        <w:t>lighting show increases in the baseline peak projections</w:t>
      </w:r>
      <w:r w:rsidR="008E3AB1">
        <w:rPr>
          <w:szCs w:val="20"/>
        </w:rPr>
        <w:t xml:space="preserve">. The summer peak associated with electronics and miscellaneous uses increases substantially, in correspondence with growth in annual energy use. </w:t>
      </w:r>
      <w:r>
        <w:rPr>
          <w:szCs w:val="20"/>
        </w:rPr>
        <w:fldChar w:fldCharType="begin"/>
      </w:r>
      <w:r w:rsidR="00C74EFB">
        <w:rPr>
          <w:szCs w:val="20"/>
        </w:rPr>
        <w:instrText xml:space="preserve"> REF _Ref422835367 \h </w:instrText>
      </w:r>
      <w:r>
        <w:rPr>
          <w:szCs w:val="20"/>
        </w:rPr>
      </w:r>
      <w:r>
        <w:rPr>
          <w:szCs w:val="20"/>
        </w:rPr>
        <w:fldChar w:fldCharType="separate"/>
      </w:r>
      <w:r w:rsidR="00B2652C" w:rsidRPr="001C7B63">
        <w:rPr>
          <w:szCs w:val="20"/>
        </w:rPr>
        <w:t xml:space="preserve">Figure </w:t>
      </w:r>
      <w:r w:rsidR="00B2652C" w:rsidRPr="00B2652C">
        <w:rPr>
          <w:noProof/>
          <w:szCs w:val="20"/>
        </w:rPr>
        <w:t>4</w:t>
      </w:r>
      <w:r w:rsidR="00B2652C" w:rsidRPr="001C7B63">
        <w:rPr>
          <w:szCs w:val="20"/>
        </w:rPr>
        <w:t>-</w:t>
      </w:r>
      <w:r w:rsidR="00B2652C" w:rsidRPr="00B2652C">
        <w:rPr>
          <w:noProof/>
          <w:szCs w:val="20"/>
        </w:rPr>
        <w:t>5</w:t>
      </w:r>
      <w:r>
        <w:rPr>
          <w:szCs w:val="20"/>
        </w:rPr>
        <w:fldChar w:fldCharType="end"/>
      </w:r>
      <w:r w:rsidR="00C74EFB">
        <w:rPr>
          <w:szCs w:val="20"/>
        </w:rPr>
        <w:t xml:space="preserve"> (WA) and </w:t>
      </w:r>
      <w:r>
        <w:rPr>
          <w:szCs w:val="20"/>
        </w:rPr>
        <w:fldChar w:fldCharType="begin"/>
      </w:r>
      <w:r w:rsidR="00C74EFB">
        <w:rPr>
          <w:szCs w:val="20"/>
        </w:rPr>
        <w:instrText xml:space="preserve"> REF _Ref422835379 \h </w:instrText>
      </w:r>
      <w:r>
        <w:rPr>
          <w:szCs w:val="20"/>
        </w:rPr>
      </w:r>
      <w:r>
        <w:rPr>
          <w:szCs w:val="20"/>
        </w:rPr>
        <w:fldChar w:fldCharType="separate"/>
      </w:r>
      <w:r w:rsidR="00B2652C" w:rsidRPr="001C7B63">
        <w:rPr>
          <w:szCs w:val="20"/>
        </w:rPr>
        <w:t xml:space="preserve">Figure </w:t>
      </w:r>
      <w:r w:rsidR="00B2652C" w:rsidRPr="00B2652C">
        <w:rPr>
          <w:noProof/>
          <w:szCs w:val="20"/>
        </w:rPr>
        <w:t>4</w:t>
      </w:r>
      <w:r w:rsidR="00B2652C" w:rsidRPr="001C7B63">
        <w:rPr>
          <w:szCs w:val="20"/>
        </w:rPr>
        <w:t>-</w:t>
      </w:r>
      <w:r w:rsidR="00B2652C" w:rsidRPr="00B2652C">
        <w:rPr>
          <w:noProof/>
          <w:szCs w:val="20"/>
        </w:rPr>
        <w:t>6</w:t>
      </w:r>
      <w:r>
        <w:rPr>
          <w:szCs w:val="20"/>
        </w:rPr>
        <w:fldChar w:fldCharType="end"/>
      </w:r>
      <w:r w:rsidR="00C74EFB">
        <w:rPr>
          <w:szCs w:val="20"/>
        </w:rPr>
        <w:t xml:space="preserve"> (ID) display the graphical representation of the baseline projection for summer peak.</w:t>
      </w:r>
      <w:r w:rsidR="003B2D57">
        <w:rPr>
          <w:szCs w:val="20"/>
        </w:rPr>
        <w:t xml:space="preserve"> </w:t>
      </w:r>
      <w:r w:rsidR="003B2D57">
        <w:t>Usage in residential cooling decreases over the forecast due to going from actual weather in 2014 to weather-normal weather for the forecast.</w:t>
      </w:r>
    </w:p>
    <w:p w:rsidR="008E3AB1" w:rsidRPr="000E3F5F" w:rsidRDefault="001D66AB" w:rsidP="008E3AB1">
      <w:pPr>
        <w:pStyle w:val="FigureorTableTitle"/>
      </w:pPr>
      <w:bookmarkStart w:id="268" w:name="_Ref402253446"/>
      <w:bookmarkStart w:id="269" w:name="_Toc424192777"/>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3</w:t>
      </w:r>
      <w:r w:rsidR="00512CD6">
        <w:rPr>
          <w:bCs w:val="0"/>
          <w:iCs w:val="0"/>
          <w:noProof/>
        </w:rPr>
        <w:fldChar w:fldCharType="end"/>
      </w:r>
      <w:bookmarkEnd w:id="268"/>
      <w:r w:rsidR="008E3AB1">
        <w:tab/>
        <w:t>Residential Summer Peak Baseline Projection by End Use (MW)</w:t>
      </w:r>
      <w:r w:rsidR="00CA586A">
        <w:t>, Washington</w:t>
      </w:r>
      <w:bookmarkEnd w:id="269"/>
    </w:p>
    <w:tbl>
      <w:tblPr>
        <w:tblStyle w:val="EnerNOCReportTable2"/>
        <w:tblW w:w="5000" w:type="pct"/>
        <w:tblInd w:w="0" w:type="dxa"/>
        <w:tblCellMar>
          <w:top w:w="0" w:type="dxa"/>
          <w:left w:w="0" w:type="dxa"/>
          <w:bottom w:w="0" w:type="dxa"/>
          <w:right w:w="0" w:type="dxa"/>
        </w:tblCellMar>
        <w:tblLook w:val="04A0" w:firstRow="1" w:lastRow="0" w:firstColumn="1" w:lastColumn="0" w:noHBand="0" w:noVBand="1"/>
      </w:tblPr>
      <w:tblGrid>
        <w:gridCol w:w="1647"/>
        <w:gridCol w:w="1051"/>
        <w:gridCol w:w="1054"/>
        <w:gridCol w:w="1051"/>
        <w:gridCol w:w="1052"/>
        <w:gridCol w:w="1051"/>
        <w:gridCol w:w="1052"/>
        <w:gridCol w:w="1052"/>
      </w:tblGrid>
      <w:tr w:rsidR="006107C4" w:rsidRPr="00A90EF4" w:rsidTr="006107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shd w:val="clear" w:color="auto" w:fill="1A1D5D"/>
            <w:tcMar>
              <w:top w:w="0" w:type="dxa"/>
              <w:bottom w:w="0" w:type="dxa"/>
            </w:tcMar>
            <w:hideMark/>
          </w:tcPr>
          <w:p w:rsidR="006107C4" w:rsidRPr="00AA1A97" w:rsidRDefault="006107C4" w:rsidP="006107C4">
            <w:pPr>
              <w:pStyle w:val="TableHeadings"/>
              <w:rPr>
                <w:caps/>
                <w:sz w:val="22"/>
              </w:rPr>
            </w:pPr>
            <w:r w:rsidRPr="00AA1A97">
              <w:t>End Use</w:t>
            </w:r>
          </w:p>
        </w:tc>
        <w:tc>
          <w:tcPr>
            <w:tcW w:w="583" w:type="pct"/>
            <w:shd w:val="clear" w:color="auto" w:fill="1A1D5D"/>
            <w:tcMar>
              <w:top w:w="0" w:type="dxa"/>
              <w:bottom w:w="0" w:type="dxa"/>
            </w:tcMar>
            <w:hideMark/>
          </w:tcPr>
          <w:p w:rsidR="006107C4" w:rsidRPr="006107C4" w:rsidRDefault="006107C4" w:rsidP="006107C4">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2013</w:t>
            </w:r>
          </w:p>
        </w:tc>
        <w:tc>
          <w:tcPr>
            <w:tcW w:w="585" w:type="pct"/>
            <w:shd w:val="clear" w:color="auto" w:fill="1A1D5D"/>
            <w:tcMar>
              <w:top w:w="0" w:type="dxa"/>
              <w:bottom w:w="0" w:type="dxa"/>
            </w:tcMar>
            <w:hideMark/>
          </w:tcPr>
          <w:p w:rsidR="006107C4" w:rsidRPr="006107C4" w:rsidRDefault="006107C4" w:rsidP="00CA586A">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w:t>
            </w:r>
            <w:r w:rsidR="00CA586A">
              <w:rPr>
                <w:rFonts w:ascii="Calibri" w:hAnsi="Calibri" w:cs="Calibri"/>
              </w:rPr>
              <w:t>6</w:t>
            </w:r>
          </w:p>
        </w:tc>
        <w:tc>
          <w:tcPr>
            <w:tcW w:w="583" w:type="pct"/>
            <w:shd w:val="clear" w:color="auto" w:fill="1A1D5D"/>
            <w:tcMar>
              <w:top w:w="0" w:type="dxa"/>
              <w:bottom w:w="0" w:type="dxa"/>
            </w:tcMar>
            <w:hideMark/>
          </w:tcPr>
          <w:p w:rsidR="006107C4" w:rsidRPr="006107C4" w:rsidRDefault="006107C4" w:rsidP="00CA586A">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w:t>
            </w:r>
            <w:r w:rsidR="00CA586A">
              <w:rPr>
                <w:rFonts w:ascii="Calibri" w:hAnsi="Calibri" w:cs="Calibri"/>
              </w:rPr>
              <w:t>7</w:t>
            </w:r>
          </w:p>
        </w:tc>
        <w:tc>
          <w:tcPr>
            <w:tcW w:w="584" w:type="pct"/>
            <w:shd w:val="clear" w:color="auto" w:fill="1A1D5D"/>
            <w:tcMar>
              <w:top w:w="0" w:type="dxa"/>
              <w:bottom w:w="0" w:type="dxa"/>
            </w:tcMar>
            <w:hideMark/>
          </w:tcPr>
          <w:p w:rsidR="006107C4" w:rsidRPr="006107C4" w:rsidRDefault="006107C4" w:rsidP="00CA586A">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202</w:t>
            </w:r>
            <w:r w:rsidR="00CA586A">
              <w:rPr>
                <w:rFonts w:ascii="Calibri" w:hAnsi="Calibri" w:cs="Calibri"/>
              </w:rPr>
              <w:t>0</w:t>
            </w:r>
          </w:p>
        </w:tc>
        <w:tc>
          <w:tcPr>
            <w:tcW w:w="583" w:type="pct"/>
            <w:shd w:val="clear" w:color="auto" w:fill="1A1D5D"/>
            <w:tcMar>
              <w:top w:w="0" w:type="dxa"/>
              <w:bottom w:w="0" w:type="dxa"/>
            </w:tcMar>
          </w:tcPr>
          <w:p w:rsidR="006107C4" w:rsidRPr="006107C4" w:rsidRDefault="006107C4" w:rsidP="00CA586A">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202</w:t>
            </w:r>
            <w:r w:rsidR="00CA586A">
              <w:rPr>
                <w:rFonts w:ascii="Calibri" w:hAnsi="Calibri" w:cs="Calibri"/>
              </w:rPr>
              <w:t>5</w:t>
            </w:r>
          </w:p>
        </w:tc>
        <w:tc>
          <w:tcPr>
            <w:tcW w:w="584" w:type="pct"/>
            <w:shd w:val="clear" w:color="auto" w:fill="1A1D5D"/>
            <w:tcMar>
              <w:top w:w="0" w:type="dxa"/>
              <w:bottom w:w="0" w:type="dxa"/>
            </w:tcMar>
          </w:tcPr>
          <w:p w:rsidR="006107C4" w:rsidRPr="006107C4" w:rsidRDefault="006107C4" w:rsidP="00CA586A">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203</w:t>
            </w:r>
            <w:r w:rsidR="00CA586A">
              <w:rPr>
                <w:rFonts w:ascii="Calibri" w:hAnsi="Calibri" w:cs="Calibri"/>
              </w:rPr>
              <w:t>5</w:t>
            </w:r>
          </w:p>
        </w:tc>
        <w:tc>
          <w:tcPr>
            <w:tcW w:w="584" w:type="pct"/>
            <w:shd w:val="clear" w:color="auto" w:fill="1A1D5D"/>
            <w:tcMar>
              <w:top w:w="0" w:type="dxa"/>
              <w:bottom w:w="0" w:type="dxa"/>
            </w:tcMar>
            <w:hideMark/>
          </w:tcPr>
          <w:p w:rsidR="006107C4" w:rsidRPr="00AA1A97" w:rsidRDefault="006107C4" w:rsidP="00CA586A">
            <w:pPr>
              <w:cnfStyle w:val="100000000000" w:firstRow="1" w:lastRow="0" w:firstColumn="0" w:lastColumn="0" w:oddVBand="0" w:evenVBand="0" w:oddHBand="0" w:evenHBand="0" w:firstRowFirstColumn="0" w:firstRowLastColumn="0" w:lastRowFirstColumn="0" w:lastRowLastColumn="0"/>
              <w:rPr>
                <w:rFonts w:ascii="Calibri" w:hAnsi="Calibri"/>
                <w:b w:val="0"/>
                <w:caps/>
                <w:color w:val="808080"/>
                <w:sz w:val="22"/>
                <w:szCs w:val="20"/>
              </w:rPr>
            </w:pPr>
            <w:r w:rsidRPr="00AA1A97">
              <w:rPr>
                <w:rFonts w:ascii="Calibri" w:hAnsi="Calibri"/>
                <w:b w:val="0"/>
                <w:bCs/>
                <w:szCs w:val="20"/>
              </w:rPr>
              <w:t>% Change</w:t>
            </w:r>
            <w:r w:rsidRPr="00AA1A97">
              <w:rPr>
                <w:rFonts w:ascii="Calibri" w:hAnsi="Calibri"/>
                <w:b w:val="0"/>
                <w:bCs/>
                <w:szCs w:val="20"/>
              </w:rPr>
              <w:br/>
              <w:t>('1</w:t>
            </w:r>
            <w:r>
              <w:rPr>
                <w:rFonts w:ascii="Calibri" w:hAnsi="Calibri"/>
                <w:b w:val="0"/>
                <w:bCs/>
                <w:szCs w:val="20"/>
              </w:rPr>
              <w:t>3</w:t>
            </w:r>
            <w:r w:rsidRPr="00AA1A97">
              <w:rPr>
                <w:rFonts w:ascii="Calibri" w:hAnsi="Calibri"/>
                <w:b w:val="0"/>
                <w:bCs/>
                <w:szCs w:val="20"/>
              </w:rPr>
              <w:t>-'3</w:t>
            </w:r>
            <w:r w:rsidR="00CA586A">
              <w:rPr>
                <w:rFonts w:ascii="Calibri" w:hAnsi="Calibri"/>
                <w:b w:val="0"/>
                <w:bCs/>
                <w:szCs w:val="20"/>
              </w:rPr>
              <w:t>5</w:t>
            </w:r>
            <w:r w:rsidRPr="00AA1A97">
              <w:rPr>
                <w:rFonts w:ascii="Calibri" w:hAnsi="Calibri"/>
                <w:b w:val="0"/>
                <w:bCs/>
                <w:szCs w:val="20"/>
              </w:rPr>
              <w:t>)</w:t>
            </w:r>
          </w:p>
        </w:tc>
      </w:tr>
      <w:tr w:rsidR="00CA586A"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CA586A" w:rsidRPr="00273D0F" w:rsidRDefault="00CA586A" w:rsidP="00CA586A">
            <w:pPr>
              <w:pStyle w:val="TableText"/>
              <w:ind w:left="144"/>
              <w:jc w:val="left"/>
            </w:pPr>
            <w:r w:rsidRPr="00273D0F">
              <w:t>Cooling</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46</w:t>
            </w:r>
          </w:p>
        </w:tc>
        <w:tc>
          <w:tcPr>
            <w:tcW w:w="585"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30</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30</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30</w:t>
            </w:r>
          </w:p>
        </w:tc>
        <w:tc>
          <w:tcPr>
            <w:tcW w:w="583"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31</w:t>
            </w:r>
          </w:p>
        </w:tc>
        <w:tc>
          <w:tcPr>
            <w:tcW w:w="584"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32</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-30%</w:t>
            </w:r>
          </w:p>
        </w:tc>
      </w:tr>
      <w:tr w:rsidR="00CA586A" w:rsidRPr="00B106F8"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CA586A" w:rsidRPr="00273D0F" w:rsidRDefault="00CA586A" w:rsidP="00CA586A">
            <w:pPr>
              <w:pStyle w:val="TableText"/>
              <w:ind w:left="144"/>
              <w:jc w:val="left"/>
            </w:pPr>
            <w:r w:rsidRPr="00273D0F">
              <w:t>Heating</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5"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3" w:type="pct"/>
            <w:shd w:val="clear" w:color="auto" w:fill="FDF3C9"/>
            <w:tcMar>
              <w:top w:w="0" w:type="dxa"/>
              <w:bottom w:w="0" w:type="dxa"/>
            </w:tcMar>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4" w:type="pct"/>
            <w:shd w:val="clear" w:color="auto" w:fill="FDF3C9"/>
            <w:tcMar>
              <w:top w:w="0" w:type="dxa"/>
              <w:bottom w:w="0" w:type="dxa"/>
            </w:tcMar>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0%</w:t>
            </w:r>
          </w:p>
        </w:tc>
      </w:tr>
      <w:tr w:rsidR="00CA586A"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CA586A" w:rsidRPr="00273D0F" w:rsidRDefault="00CA586A" w:rsidP="00CA586A">
            <w:pPr>
              <w:pStyle w:val="TableText"/>
              <w:ind w:left="144"/>
              <w:jc w:val="left"/>
            </w:pPr>
            <w:r w:rsidRPr="00273D0F">
              <w:t>Water Heating</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71</w:t>
            </w:r>
          </w:p>
        </w:tc>
        <w:tc>
          <w:tcPr>
            <w:tcW w:w="585"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71</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71</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72</w:t>
            </w:r>
          </w:p>
        </w:tc>
        <w:tc>
          <w:tcPr>
            <w:tcW w:w="583"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73</w:t>
            </w:r>
          </w:p>
        </w:tc>
        <w:tc>
          <w:tcPr>
            <w:tcW w:w="584"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78</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11%</w:t>
            </w:r>
          </w:p>
        </w:tc>
      </w:tr>
      <w:tr w:rsidR="00CA586A" w:rsidRPr="00B106F8"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CA586A" w:rsidRPr="00273D0F" w:rsidRDefault="00CA586A" w:rsidP="00CA586A">
            <w:pPr>
              <w:ind w:left="144"/>
              <w:rPr>
                <w:rFonts w:ascii="Calibri" w:hAnsi="Calibri"/>
                <w:color w:val="000000"/>
                <w:szCs w:val="20"/>
              </w:rPr>
            </w:pPr>
            <w:r w:rsidRPr="00273D0F">
              <w:rPr>
                <w:rFonts w:ascii="Calibri" w:hAnsi="Calibri"/>
                <w:color w:val="000000"/>
                <w:szCs w:val="20"/>
              </w:rPr>
              <w:t>Interior Lighting</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49</w:t>
            </w:r>
          </w:p>
        </w:tc>
        <w:tc>
          <w:tcPr>
            <w:tcW w:w="585"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41</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39</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33</w:t>
            </w:r>
          </w:p>
        </w:tc>
        <w:tc>
          <w:tcPr>
            <w:tcW w:w="583" w:type="pct"/>
            <w:shd w:val="clear" w:color="auto" w:fill="FDF3C9"/>
            <w:tcMar>
              <w:top w:w="0" w:type="dxa"/>
              <w:bottom w:w="0" w:type="dxa"/>
            </w:tcMar>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25</w:t>
            </w:r>
          </w:p>
        </w:tc>
        <w:tc>
          <w:tcPr>
            <w:tcW w:w="584" w:type="pct"/>
            <w:shd w:val="clear" w:color="auto" w:fill="FDF3C9"/>
            <w:tcMar>
              <w:top w:w="0" w:type="dxa"/>
              <w:bottom w:w="0" w:type="dxa"/>
            </w:tcMar>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24</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-52%</w:t>
            </w:r>
          </w:p>
        </w:tc>
      </w:tr>
      <w:tr w:rsidR="00CA586A"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CA586A" w:rsidRPr="00273D0F" w:rsidRDefault="00CA586A" w:rsidP="00CA586A">
            <w:pPr>
              <w:ind w:left="144"/>
              <w:rPr>
                <w:rFonts w:ascii="Calibri" w:hAnsi="Calibri"/>
                <w:color w:val="000000"/>
                <w:szCs w:val="20"/>
              </w:rPr>
            </w:pPr>
            <w:r w:rsidRPr="00273D0F">
              <w:rPr>
                <w:rFonts w:ascii="Calibri" w:hAnsi="Calibri"/>
                <w:color w:val="000000"/>
                <w:szCs w:val="20"/>
              </w:rPr>
              <w:t>Exterior Lighting</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10</w:t>
            </w:r>
          </w:p>
        </w:tc>
        <w:tc>
          <w:tcPr>
            <w:tcW w:w="585"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9</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8</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7</w:t>
            </w:r>
          </w:p>
        </w:tc>
        <w:tc>
          <w:tcPr>
            <w:tcW w:w="583"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5</w:t>
            </w:r>
          </w:p>
        </w:tc>
        <w:tc>
          <w:tcPr>
            <w:tcW w:w="584"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5</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-56%</w:t>
            </w:r>
          </w:p>
        </w:tc>
      </w:tr>
      <w:tr w:rsidR="00CA586A" w:rsidRPr="00B106F8"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CA586A" w:rsidRPr="00273D0F" w:rsidRDefault="00CA586A" w:rsidP="00CA586A">
            <w:pPr>
              <w:pStyle w:val="TableText"/>
              <w:ind w:left="144"/>
              <w:jc w:val="left"/>
            </w:pPr>
            <w:r w:rsidRPr="00273D0F">
              <w:t>Appliances</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141</w:t>
            </w:r>
          </w:p>
        </w:tc>
        <w:tc>
          <w:tcPr>
            <w:tcW w:w="585"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141</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141</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140</w:t>
            </w:r>
          </w:p>
        </w:tc>
        <w:tc>
          <w:tcPr>
            <w:tcW w:w="583" w:type="pct"/>
            <w:shd w:val="clear" w:color="auto" w:fill="FDF3C9"/>
            <w:tcMar>
              <w:top w:w="0" w:type="dxa"/>
              <w:bottom w:w="0" w:type="dxa"/>
            </w:tcMar>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140</w:t>
            </w:r>
          </w:p>
        </w:tc>
        <w:tc>
          <w:tcPr>
            <w:tcW w:w="584" w:type="pct"/>
            <w:shd w:val="clear" w:color="auto" w:fill="FDF3C9"/>
            <w:tcMar>
              <w:top w:w="0" w:type="dxa"/>
              <w:bottom w:w="0" w:type="dxa"/>
            </w:tcMar>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144</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2%</w:t>
            </w:r>
          </w:p>
        </w:tc>
      </w:tr>
      <w:tr w:rsidR="00CA586A"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CA586A" w:rsidRPr="00273D0F" w:rsidRDefault="00CA586A" w:rsidP="00CA586A">
            <w:pPr>
              <w:pStyle w:val="TableText"/>
              <w:ind w:left="144"/>
              <w:jc w:val="left"/>
            </w:pPr>
            <w:r w:rsidRPr="00273D0F">
              <w:t>Electronics</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44</w:t>
            </w:r>
          </w:p>
        </w:tc>
        <w:tc>
          <w:tcPr>
            <w:tcW w:w="585"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47</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48</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50</w:t>
            </w:r>
          </w:p>
        </w:tc>
        <w:tc>
          <w:tcPr>
            <w:tcW w:w="583"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54</w:t>
            </w:r>
          </w:p>
        </w:tc>
        <w:tc>
          <w:tcPr>
            <w:tcW w:w="584"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69</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57%</w:t>
            </w:r>
          </w:p>
        </w:tc>
      </w:tr>
      <w:tr w:rsidR="00CA586A" w:rsidRPr="00B106F8"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CA586A" w:rsidRPr="00273D0F" w:rsidRDefault="00CA586A" w:rsidP="00CA586A">
            <w:pPr>
              <w:pStyle w:val="TableText"/>
              <w:ind w:left="144"/>
              <w:jc w:val="left"/>
            </w:pPr>
            <w:r w:rsidRPr="00273D0F">
              <w:t>Miscellaneous</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44</w:t>
            </w:r>
          </w:p>
        </w:tc>
        <w:tc>
          <w:tcPr>
            <w:tcW w:w="585"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49</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50</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55</w:t>
            </w:r>
          </w:p>
        </w:tc>
        <w:tc>
          <w:tcPr>
            <w:tcW w:w="583" w:type="pct"/>
            <w:shd w:val="clear" w:color="auto" w:fill="FDF3C9"/>
            <w:tcMar>
              <w:top w:w="0" w:type="dxa"/>
              <w:bottom w:w="0" w:type="dxa"/>
            </w:tcMar>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64</w:t>
            </w:r>
          </w:p>
        </w:tc>
        <w:tc>
          <w:tcPr>
            <w:tcW w:w="584" w:type="pct"/>
            <w:shd w:val="clear" w:color="auto" w:fill="FDF3C9"/>
            <w:tcMar>
              <w:top w:w="0" w:type="dxa"/>
              <w:bottom w:w="0" w:type="dxa"/>
            </w:tcMar>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87</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95%</w:t>
            </w:r>
          </w:p>
        </w:tc>
      </w:tr>
      <w:tr w:rsidR="00CA586A"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CA586A" w:rsidRPr="00273D0F" w:rsidRDefault="00CA586A" w:rsidP="00CA586A">
            <w:pPr>
              <w:pStyle w:val="TableText"/>
              <w:ind w:left="144"/>
              <w:jc w:val="left"/>
              <w:rPr>
                <w:b/>
                <w:bCs/>
              </w:rPr>
            </w:pPr>
            <w:r w:rsidRPr="00273D0F">
              <w:rPr>
                <w:b/>
                <w:bCs/>
              </w:rPr>
              <w:t>Total</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404</w:t>
            </w:r>
          </w:p>
        </w:tc>
        <w:tc>
          <w:tcPr>
            <w:tcW w:w="585"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388</w:t>
            </w:r>
          </w:p>
        </w:tc>
        <w:tc>
          <w:tcPr>
            <w:tcW w:w="583"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387</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386</w:t>
            </w:r>
          </w:p>
        </w:tc>
        <w:tc>
          <w:tcPr>
            <w:tcW w:w="583"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392</w:t>
            </w:r>
          </w:p>
        </w:tc>
        <w:tc>
          <w:tcPr>
            <w:tcW w:w="584" w:type="pct"/>
            <w:shd w:val="clear" w:color="auto" w:fill="FDF3C9"/>
            <w:tcMar>
              <w:top w:w="0" w:type="dxa"/>
              <w:bottom w:w="0" w:type="dxa"/>
            </w:tcMar>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438</w:t>
            </w:r>
          </w:p>
        </w:tc>
        <w:tc>
          <w:tcPr>
            <w:tcW w:w="584" w:type="pct"/>
            <w:shd w:val="clear" w:color="auto" w:fill="FDF3C9"/>
            <w:noWrap/>
            <w:tcMar>
              <w:top w:w="0" w:type="dxa"/>
              <w:bottom w:w="0" w:type="dxa"/>
            </w:tcMar>
            <w:hideMark/>
          </w:tcPr>
          <w:p w:rsidR="00CA586A" w:rsidRPr="00BA0367" w:rsidRDefault="00CA586A"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8.3%</w:t>
            </w:r>
          </w:p>
        </w:tc>
      </w:tr>
    </w:tbl>
    <w:p w:rsidR="00144F91" w:rsidRDefault="00144F91" w:rsidP="002E5B78">
      <w:pPr>
        <w:pStyle w:val="BodyText"/>
      </w:pPr>
      <w:bookmarkStart w:id="270" w:name="_Ref422835281"/>
      <w:bookmarkStart w:id="271" w:name="_Ref401400384"/>
    </w:p>
    <w:p w:rsidR="00CB5FF3" w:rsidRDefault="00CB5FF3" w:rsidP="002E5B78">
      <w:pPr>
        <w:pStyle w:val="BodyText"/>
      </w:pPr>
      <w:r>
        <w:br w:type="page"/>
      </w:r>
    </w:p>
    <w:p w:rsidR="00BA0367" w:rsidRDefault="00BA0367" w:rsidP="00BA0367">
      <w:pPr>
        <w:pStyle w:val="FigureorTableTitle"/>
      </w:pPr>
      <w:bookmarkStart w:id="272" w:name="_Ref423092326"/>
      <w:bookmarkStart w:id="273" w:name="_Toc424192778"/>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4</w:t>
      </w:r>
      <w:r w:rsidR="00512CD6">
        <w:rPr>
          <w:bCs w:val="0"/>
          <w:iCs w:val="0"/>
          <w:noProof/>
        </w:rPr>
        <w:fldChar w:fldCharType="end"/>
      </w:r>
      <w:bookmarkEnd w:id="270"/>
      <w:bookmarkEnd w:id="272"/>
      <w:r>
        <w:tab/>
        <w:t>Residential Summer Peak Baseline Projection by End Use (MW), Idaho</w:t>
      </w:r>
      <w:bookmarkEnd w:id="273"/>
    </w:p>
    <w:tbl>
      <w:tblPr>
        <w:tblStyle w:val="EnerNOCReportTable2"/>
        <w:tblW w:w="5000" w:type="pct"/>
        <w:tblInd w:w="0" w:type="dxa"/>
        <w:tblCellMar>
          <w:top w:w="0" w:type="dxa"/>
          <w:left w:w="0" w:type="dxa"/>
          <w:bottom w:w="0" w:type="dxa"/>
          <w:right w:w="0" w:type="dxa"/>
        </w:tblCellMar>
        <w:tblLook w:val="04A0" w:firstRow="1" w:lastRow="0" w:firstColumn="1" w:lastColumn="0" w:noHBand="0" w:noVBand="1"/>
      </w:tblPr>
      <w:tblGrid>
        <w:gridCol w:w="1647"/>
        <w:gridCol w:w="1051"/>
        <w:gridCol w:w="1054"/>
        <w:gridCol w:w="1051"/>
        <w:gridCol w:w="1052"/>
        <w:gridCol w:w="1051"/>
        <w:gridCol w:w="1052"/>
        <w:gridCol w:w="1052"/>
      </w:tblGrid>
      <w:tr w:rsidR="00BA0367" w:rsidRPr="00A90EF4" w:rsidTr="00D801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shd w:val="clear" w:color="auto" w:fill="1A1D5D"/>
            <w:tcMar>
              <w:top w:w="0" w:type="dxa"/>
              <w:bottom w:w="0" w:type="dxa"/>
            </w:tcMar>
            <w:hideMark/>
          </w:tcPr>
          <w:p w:rsidR="00BA0367" w:rsidRPr="00AA1A97" w:rsidRDefault="00BA0367" w:rsidP="00D80132">
            <w:pPr>
              <w:pStyle w:val="TableHeadings"/>
              <w:rPr>
                <w:caps/>
                <w:sz w:val="22"/>
              </w:rPr>
            </w:pPr>
            <w:r w:rsidRPr="00AA1A97">
              <w:t>End Use</w:t>
            </w:r>
          </w:p>
        </w:tc>
        <w:tc>
          <w:tcPr>
            <w:tcW w:w="583" w:type="pct"/>
            <w:shd w:val="clear" w:color="auto" w:fill="1A1D5D"/>
            <w:tcMar>
              <w:top w:w="0" w:type="dxa"/>
              <w:bottom w:w="0" w:type="dxa"/>
            </w:tcMar>
            <w:hideMark/>
          </w:tcPr>
          <w:p w:rsidR="00BA0367" w:rsidRPr="006107C4" w:rsidRDefault="00BA0367"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2013</w:t>
            </w:r>
          </w:p>
        </w:tc>
        <w:tc>
          <w:tcPr>
            <w:tcW w:w="585" w:type="pct"/>
            <w:shd w:val="clear" w:color="auto" w:fill="1A1D5D"/>
            <w:tcMar>
              <w:top w:w="0" w:type="dxa"/>
              <w:bottom w:w="0" w:type="dxa"/>
            </w:tcMar>
            <w:hideMark/>
          </w:tcPr>
          <w:p w:rsidR="00BA0367" w:rsidRPr="006107C4" w:rsidRDefault="00BA0367"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w:t>
            </w:r>
            <w:r>
              <w:rPr>
                <w:rFonts w:ascii="Calibri" w:hAnsi="Calibri" w:cs="Calibri"/>
              </w:rPr>
              <w:t>6</w:t>
            </w:r>
          </w:p>
        </w:tc>
        <w:tc>
          <w:tcPr>
            <w:tcW w:w="583" w:type="pct"/>
            <w:shd w:val="clear" w:color="auto" w:fill="1A1D5D"/>
            <w:tcMar>
              <w:top w:w="0" w:type="dxa"/>
              <w:bottom w:w="0" w:type="dxa"/>
            </w:tcMar>
            <w:hideMark/>
          </w:tcPr>
          <w:p w:rsidR="00BA0367" w:rsidRPr="006107C4" w:rsidRDefault="00BA0367"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w:t>
            </w:r>
            <w:r>
              <w:rPr>
                <w:rFonts w:ascii="Calibri" w:hAnsi="Calibri" w:cs="Calibri"/>
              </w:rPr>
              <w:t>7</w:t>
            </w:r>
          </w:p>
        </w:tc>
        <w:tc>
          <w:tcPr>
            <w:tcW w:w="584" w:type="pct"/>
            <w:shd w:val="clear" w:color="auto" w:fill="1A1D5D"/>
            <w:tcMar>
              <w:top w:w="0" w:type="dxa"/>
              <w:bottom w:w="0" w:type="dxa"/>
            </w:tcMar>
            <w:hideMark/>
          </w:tcPr>
          <w:p w:rsidR="00BA0367" w:rsidRPr="006107C4" w:rsidRDefault="00BA0367"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202</w:t>
            </w:r>
            <w:r>
              <w:rPr>
                <w:rFonts w:ascii="Calibri" w:hAnsi="Calibri" w:cs="Calibri"/>
              </w:rPr>
              <w:t>0</w:t>
            </w:r>
          </w:p>
        </w:tc>
        <w:tc>
          <w:tcPr>
            <w:tcW w:w="583" w:type="pct"/>
            <w:shd w:val="clear" w:color="auto" w:fill="1A1D5D"/>
            <w:tcMar>
              <w:top w:w="0" w:type="dxa"/>
              <w:bottom w:w="0" w:type="dxa"/>
            </w:tcMar>
          </w:tcPr>
          <w:p w:rsidR="00BA0367" w:rsidRPr="006107C4" w:rsidRDefault="00BA0367"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202</w:t>
            </w:r>
            <w:r>
              <w:rPr>
                <w:rFonts w:ascii="Calibri" w:hAnsi="Calibri" w:cs="Calibri"/>
              </w:rPr>
              <w:t>5</w:t>
            </w:r>
          </w:p>
        </w:tc>
        <w:tc>
          <w:tcPr>
            <w:tcW w:w="584" w:type="pct"/>
            <w:shd w:val="clear" w:color="auto" w:fill="1A1D5D"/>
            <w:tcMar>
              <w:top w:w="0" w:type="dxa"/>
              <w:bottom w:w="0" w:type="dxa"/>
            </w:tcMar>
          </w:tcPr>
          <w:p w:rsidR="00BA0367" w:rsidRPr="006107C4" w:rsidRDefault="00BA0367" w:rsidP="00D80132">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203</w:t>
            </w:r>
            <w:r>
              <w:rPr>
                <w:rFonts w:ascii="Calibri" w:hAnsi="Calibri" w:cs="Calibri"/>
              </w:rPr>
              <w:t>5</w:t>
            </w:r>
          </w:p>
        </w:tc>
        <w:tc>
          <w:tcPr>
            <w:tcW w:w="584" w:type="pct"/>
            <w:shd w:val="clear" w:color="auto" w:fill="1A1D5D"/>
            <w:tcMar>
              <w:top w:w="0" w:type="dxa"/>
              <w:bottom w:w="0" w:type="dxa"/>
            </w:tcMar>
            <w:hideMark/>
          </w:tcPr>
          <w:p w:rsidR="00BA0367" w:rsidRPr="00AA1A97" w:rsidRDefault="00BA0367" w:rsidP="00D80132">
            <w:pPr>
              <w:cnfStyle w:val="100000000000" w:firstRow="1" w:lastRow="0" w:firstColumn="0" w:lastColumn="0" w:oddVBand="0" w:evenVBand="0" w:oddHBand="0" w:evenHBand="0" w:firstRowFirstColumn="0" w:firstRowLastColumn="0" w:lastRowFirstColumn="0" w:lastRowLastColumn="0"/>
              <w:rPr>
                <w:rFonts w:ascii="Calibri" w:hAnsi="Calibri"/>
                <w:b w:val="0"/>
                <w:caps/>
                <w:color w:val="808080"/>
                <w:sz w:val="22"/>
                <w:szCs w:val="20"/>
              </w:rPr>
            </w:pPr>
            <w:r w:rsidRPr="00AA1A97">
              <w:rPr>
                <w:rFonts w:ascii="Calibri" w:hAnsi="Calibri"/>
                <w:b w:val="0"/>
                <w:bCs/>
                <w:szCs w:val="20"/>
              </w:rPr>
              <w:t>% Change</w:t>
            </w:r>
            <w:r w:rsidRPr="00AA1A97">
              <w:rPr>
                <w:rFonts w:ascii="Calibri" w:hAnsi="Calibri"/>
                <w:b w:val="0"/>
                <w:bCs/>
                <w:szCs w:val="20"/>
              </w:rPr>
              <w:br/>
              <w:t>('1</w:t>
            </w:r>
            <w:r>
              <w:rPr>
                <w:rFonts w:ascii="Calibri" w:hAnsi="Calibri"/>
                <w:b w:val="0"/>
                <w:bCs/>
                <w:szCs w:val="20"/>
              </w:rPr>
              <w:t>3</w:t>
            </w:r>
            <w:r w:rsidRPr="00AA1A97">
              <w:rPr>
                <w:rFonts w:ascii="Calibri" w:hAnsi="Calibri"/>
                <w:b w:val="0"/>
                <w:bCs/>
                <w:szCs w:val="20"/>
              </w:rPr>
              <w:t>-'3</w:t>
            </w:r>
            <w:r>
              <w:rPr>
                <w:rFonts w:ascii="Calibri" w:hAnsi="Calibri"/>
                <w:b w:val="0"/>
                <w:bCs/>
                <w:szCs w:val="20"/>
              </w:rPr>
              <w:t>5</w:t>
            </w:r>
            <w:r w:rsidRPr="00AA1A97">
              <w:rPr>
                <w:rFonts w:ascii="Calibri" w:hAnsi="Calibri"/>
                <w:b w:val="0"/>
                <w:bCs/>
                <w:szCs w:val="20"/>
              </w:rPr>
              <w:t>)</w:t>
            </w:r>
          </w:p>
        </w:tc>
      </w:tr>
      <w:tr w:rsidR="00BA0367"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BA0367" w:rsidRPr="00273D0F" w:rsidRDefault="00BA0367" w:rsidP="00BA0367">
            <w:pPr>
              <w:pStyle w:val="TableText"/>
              <w:ind w:left="144"/>
              <w:jc w:val="left"/>
            </w:pPr>
            <w:r w:rsidRPr="00273D0F">
              <w:t>Cooling</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19</w:t>
            </w:r>
          </w:p>
        </w:tc>
        <w:tc>
          <w:tcPr>
            <w:tcW w:w="585"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13</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13</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13</w:t>
            </w:r>
          </w:p>
        </w:tc>
        <w:tc>
          <w:tcPr>
            <w:tcW w:w="583"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13</w:t>
            </w:r>
          </w:p>
        </w:tc>
        <w:tc>
          <w:tcPr>
            <w:tcW w:w="584"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14</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-24%</w:t>
            </w:r>
          </w:p>
        </w:tc>
      </w:tr>
      <w:tr w:rsidR="00BA0367" w:rsidRPr="00B106F8"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BA0367" w:rsidRPr="00273D0F" w:rsidRDefault="00BA0367" w:rsidP="00BA0367">
            <w:pPr>
              <w:pStyle w:val="TableText"/>
              <w:ind w:left="144"/>
              <w:jc w:val="left"/>
            </w:pPr>
            <w:r w:rsidRPr="00273D0F">
              <w:t>Heating</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5"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3" w:type="pct"/>
            <w:shd w:val="clear" w:color="auto" w:fill="FDF3C9"/>
            <w:tcMar>
              <w:top w:w="0" w:type="dxa"/>
              <w:bottom w:w="0" w:type="dxa"/>
            </w:tcMar>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4" w:type="pct"/>
            <w:shd w:val="clear" w:color="auto" w:fill="FDF3C9"/>
            <w:tcMar>
              <w:top w:w="0" w:type="dxa"/>
              <w:bottom w:w="0" w:type="dxa"/>
            </w:tcMar>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0%</w:t>
            </w:r>
          </w:p>
        </w:tc>
      </w:tr>
      <w:tr w:rsidR="00BA0367"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BA0367" w:rsidRPr="00273D0F" w:rsidRDefault="00BA0367" w:rsidP="00BA0367">
            <w:pPr>
              <w:pStyle w:val="TableText"/>
              <w:ind w:left="144"/>
              <w:jc w:val="left"/>
            </w:pPr>
            <w:r w:rsidRPr="00273D0F">
              <w:t>Water Heating</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33</w:t>
            </w:r>
          </w:p>
        </w:tc>
        <w:tc>
          <w:tcPr>
            <w:tcW w:w="585"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34</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34</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35</w:t>
            </w:r>
          </w:p>
        </w:tc>
        <w:tc>
          <w:tcPr>
            <w:tcW w:w="583"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36</w:t>
            </w:r>
          </w:p>
        </w:tc>
        <w:tc>
          <w:tcPr>
            <w:tcW w:w="584"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40</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20%</w:t>
            </w:r>
          </w:p>
        </w:tc>
      </w:tr>
      <w:tr w:rsidR="00BA0367" w:rsidRPr="00B106F8"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BA0367" w:rsidRPr="00273D0F" w:rsidRDefault="00BA0367" w:rsidP="00BA0367">
            <w:pPr>
              <w:ind w:left="144"/>
              <w:rPr>
                <w:rFonts w:ascii="Calibri" w:hAnsi="Calibri"/>
                <w:color w:val="000000"/>
                <w:szCs w:val="20"/>
              </w:rPr>
            </w:pPr>
            <w:r w:rsidRPr="00273D0F">
              <w:rPr>
                <w:rFonts w:ascii="Calibri" w:hAnsi="Calibri"/>
                <w:color w:val="000000"/>
                <w:szCs w:val="20"/>
              </w:rPr>
              <w:t>Interior Lighting</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25</w:t>
            </w:r>
          </w:p>
        </w:tc>
        <w:tc>
          <w:tcPr>
            <w:tcW w:w="585"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22</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21</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19</w:t>
            </w:r>
          </w:p>
        </w:tc>
        <w:tc>
          <w:tcPr>
            <w:tcW w:w="583" w:type="pct"/>
            <w:shd w:val="clear" w:color="auto" w:fill="FDF3C9"/>
            <w:tcMar>
              <w:top w:w="0" w:type="dxa"/>
              <w:bottom w:w="0" w:type="dxa"/>
            </w:tcMar>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15</w:t>
            </w:r>
          </w:p>
        </w:tc>
        <w:tc>
          <w:tcPr>
            <w:tcW w:w="584" w:type="pct"/>
            <w:shd w:val="clear" w:color="auto" w:fill="FDF3C9"/>
            <w:tcMar>
              <w:top w:w="0" w:type="dxa"/>
              <w:bottom w:w="0" w:type="dxa"/>
            </w:tcMar>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15</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-43%</w:t>
            </w:r>
          </w:p>
        </w:tc>
      </w:tr>
      <w:tr w:rsidR="00BA0367"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BA0367" w:rsidRPr="00273D0F" w:rsidRDefault="00BA0367" w:rsidP="00BA0367">
            <w:pPr>
              <w:ind w:left="144"/>
              <w:rPr>
                <w:rFonts w:ascii="Calibri" w:hAnsi="Calibri"/>
                <w:color w:val="000000"/>
                <w:szCs w:val="20"/>
              </w:rPr>
            </w:pPr>
            <w:r w:rsidRPr="00273D0F">
              <w:rPr>
                <w:rFonts w:ascii="Calibri" w:hAnsi="Calibri"/>
                <w:color w:val="000000"/>
                <w:szCs w:val="20"/>
              </w:rPr>
              <w:t>Exterior Lighting</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6</w:t>
            </w:r>
          </w:p>
        </w:tc>
        <w:tc>
          <w:tcPr>
            <w:tcW w:w="585"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5</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5</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4</w:t>
            </w:r>
          </w:p>
        </w:tc>
        <w:tc>
          <w:tcPr>
            <w:tcW w:w="583"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w:t>
            </w:r>
          </w:p>
        </w:tc>
        <w:tc>
          <w:tcPr>
            <w:tcW w:w="584"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-50%</w:t>
            </w:r>
          </w:p>
        </w:tc>
      </w:tr>
      <w:tr w:rsidR="00BA0367" w:rsidRPr="00B106F8"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BA0367" w:rsidRPr="00273D0F" w:rsidRDefault="00BA0367" w:rsidP="00BA0367">
            <w:pPr>
              <w:pStyle w:val="TableText"/>
              <w:ind w:left="144"/>
              <w:jc w:val="left"/>
            </w:pPr>
            <w:r w:rsidRPr="00273D0F">
              <w:t>Appliances</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68</w:t>
            </w:r>
          </w:p>
        </w:tc>
        <w:tc>
          <w:tcPr>
            <w:tcW w:w="585"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69</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69</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69</w:t>
            </w:r>
          </w:p>
        </w:tc>
        <w:tc>
          <w:tcPr>
            <w:tcW w:w="583" w:type="pct"/>
            <w:shd w:val="clear" w:color="auto" w:fill="FDF3C9"/>
            <w:tcMar>
              <w:top w:w="0" w:type="dxa"/>
              <w:bottom w:w="0" w:type="dxa"/>
            </w:tcMar>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71</w:t>
            </w:r>
          </w:p>
        </w:tc>
        <w:tc>
          <w:tcPr>
            <w:tcW w:w="584" w:type="pct"/>
            <w:shd w:val="clear" w:color="auto" w:fill="FDF3C9"/>
            <w:tcMar>
              <w:top w:w="0" w:type="dxa"/>
              <w:bottom w:w="0" w:type="dxa"/>
            </w:tcMar>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75</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11%</w:t>
            </w:r>
          </w:p>
        </w:tc>
      </w:tr>
      <w:tr w:rsidR="00BA0367"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BA0367" w:rsidRPr="00273D0F" w:rsidRDefault="00BA0367" w:rsidP="00BA0367">
            <w:pPr>
              <w:pStyle w:val="TableText"/>
              <w:ind w:left="144"/>
              <w:jc w:val="left"/>
            </w:pPr>
            <w:r w:rsidRPr="00273D0F">
              <w:t>Electronics</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19</w:t>
            </w:r>
          </w:p>
        </w:tc>
        <w:tc>
          <w:tcPr>
            <w:tcW w:w="585"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21</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21</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23</w:t>
            </w:r>
          </w:p>
        </w:tc>
        <w:tc>
          <w:tcPr>
            <w:tcW w:w="583"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26</w:t>
            </w:r>
          </w:p>
        </w:tc>
        <w:tc>
          <w:tcPr>
            <w:tcW w:w="584"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34</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BA0367">
              <w:rPr>
                <w:rFonts w:ascii="Calibri" w:hAnsi="Calibri" w:cs="Calibri"/>
                <w:szCs w:val="18"/>
              </w:rPr>
              <w:t>75%</w:t>
            </w:r>
          </w:p>
        </w:tc>
      </w:tr>
      <w:tr w:rsidR="00BA0367" w:rsidRPr="00B106F8" w:rsidTr="002E5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BA0367" w:rsidRPr="00273D0F" w:rsidRDefault="00BA0367" w:rsidP="00BA0367">
            <w:pPr>
              <w:pStyle w:val="TableText"/>
              <w:ind w:left="144"/>
              <w:jc w:val="left"/>
            </w:pPr>
            <w:r w:rsidRPr="00273D0F">
              <w:t>Miscellaneous</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14</w:t>
            </w:r>
          </w:p>
        </w:tc>
        <w:tc>
          <w:tcPr>
            <w:tcW w:w="585"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15</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16</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17</w:t>
            </w:r>
          </w:p>
        </w:tc>
        <w:tc>
          <w:tcPr>
            <w:tcW w:w="583" w:type="pct"/>
            <w:shd w:val="clear" w:color="auto" w:fill="FDF3C9"/>
            <w:tcMar>
              <w:top w:w="0" w:type="dxa"/>
              <w:bottom w:w="0" w:type="dxa"/>
            </w:tcMar>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20</w:t>
            </w:r>
          </w:p>
        </w:tc>
        <w:tc>
          <w:tcPr>
            <w:tcW w:w="584" w:type="pct"/>
            <w:shd w:val="clear" w:color="auto" w:fill="FDF3C9"/>
            <w:tcMar>
              <w:top w:w="0" w:type="dxa"/>
              <w:bottom w:w="0" w:type="dxa"/>
            </w:tcMar>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27</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BA0367">
              <w:rPr>
                <w:rFonts w:ascii="Calibri" w:hAnsi="Calibri" w:cs="Calibri"/>
                <w:szCs w:val="18"/>
              </w:rPr>
              <w:t>93%</w:t>
            </w:r>
          </w:p>
        </w:tc>
      </w:tr>
      <w:tr w:rsidR="00BA0367" w:rsidRPr="00B106F8" w:rsidTr="002E5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BA0367" w:rsidRPr="00273D0F" w:rsidRDefault="00BA0367" w:rsidP="00BA0367">
            <w:pPr>
              <w:pStyle w:val="TableText"/>
              <w:ind w:left="144"/>
              <w:jc w:val="left"/>
              <w:rPr>
                <w:b/>
                <w:bCs/>
              </w:rPr>
            </w:pPr>
            <w:r w:rsidRPr="00273D0F">
              <w:rPr>
                <w:b/>
                <w:bCs/>
              </w:rPr>
              <w:t>Total</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184</w:t>
            </w:r>
          </w:p>
        </w:tc>
        <w:tc>
          <w:tcPr>
            <w:tcW w:w="585"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178</w:t>
            </w:r>
          </w:p>
        </w:tc>
        <w:tc>
          <w:tcPr>
            <w:tcW w:w="583"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179</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180</w:t>
            </w:r>
          </w:p>
        </w:tc>
        <w:tc>
          <w:tcPr>
            <w:tcW w:w="583"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183</w:t>
            </w:r>
          </w:p>
        </w:tc>
        <w:tc>
          <w:tcPr>
            <w:tcW w:w="584" w:type="pct"/>
            <w:shd w:val="clear" w:color="auto" w:fill="FDF3C9"/>
            <w:tcMar>
              <w:top w:w="0" w:type="dxa"/>
              <w:bottom w:w="0" w:type="dxa"/>
            </w:tcMar>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207</w:t>
            </w:r>
          </w:p>
        </w:tc>
        <w:tc>
          <w:tcPr>
            <w:tcW w:w="584" w:type="pct"/>
            <w:shd w:val="clear" w:color="auto" w:fill="FDF3C9"/>
            <w:noWrap/>
            <w:tcMar>
              <w:top w:w="0" w:type="dxa"/>
              <w:bottom w:w="0" w:type="dxa"/>
            </w:tcMar>
            <w:hideMark/>
          </w:tcPr>
          <w:p w:rsidR="00BA0367" w:rsidRPr="00BA0367" w:rsidRDefault="00BA0367" w:rsidP="002E5B78">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BA0367">
              <w:rPr>
                <w:rFonts w:ascii="Calibri" w:hAnsi="Calibri" w:cs="Calibri"/>
                <w:b/>
                <w:szCs w:val="18"/>
              </w:rPr>
              <w:t>12.6%</w:t>
            </w:r>
          </w:p>
        </w:tc>
      </w:tr>
    </w:tbl>
    <w:p w:rsidR="008E3AB1" w:rsidRPr="00E07587" w:rsidRDefault="008E3AB1" w:rsidP="008E3AB1">
      <w:pPr>
        <w:pStyle w:val="FigureorTableTitle"/>
        <w:rPr>
          <w:sz w:val="18"/>
          <w:szCs w:val="18"/>
        </w:rPr>
      </w:pPr>
      <w:bookmarkStart w:id="274" w:name="_Ref422835367"/>
      <w:bookmarkStart w:id="275" w:name="_Toc424192716"/>
      <w:r w:rsidRPr="001C7B63">
        <w:rPr>
          <w:szCs w:val="20"/>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20"/>
        </w:rPr>
        <w:t>4</w:t>
      </w:r>
      <w:r w:rsidR="00512CD6">
        <w:rPr>
          <w:noProof/>
          <w:szCs w:val="20"/>
        </w:rPr>
        <w:fldChar w:fldCharType="end"/>
      </w:r>
      <w:r w:rsidRPr="001C7B63">
        <w:rPr>
          <w:szCs w:val="20"/>
        </w:rPr>
        <w:t>-</w:t>
      </w:r>
      <w:r w:rsidR="00512CD6">
        <w:fldChar w:fldCharType="begin"/>
      </w:r>
      <w:r w:rsidR="00512CD6">
        <w:instrText xml:space="preserve"> SEQ Figure\s 1 \* MERGEFORMAT </w:instrText>
      </w:r>
      <w:r w:rsidR="00512CD6">
        <w:fldChar w:fldCharType="separate"/>
      </w:r>
      <w:r w:rsidR="00B2652C" w:rsidRPr="00B2652C">
        <w:rPr>
          <w:noProof/>
          <w:szCs w:val="20"/>
        </w:rPr>
        <w:t>5</w:t>
      </w:r>
      <w:r w:rsidR="00512CD6">
        <w:rPr>
          <w:noProof/>
          <w:szCs w:val="20"/>
        </w:rPr>
        <w:fldChar w:fldCharType="end"/>
      </w:r>
      <w:bookmarkEnd w:id="271"/>
      <w:bookmarkEnd w:id="274"/>
      <w:r>
        <w:tab/>
      </w:r>
      <w:r w:rsidRPr="008115B5">
        <w:t>Residential</w:t>
      </w:r>
      <w:r w:rsidRPr="00E07587">
        <w:rPr>
          <w:sz w:val="18"/>
          <w:szCs w:val="18"/>
        </w:rPr>
        <w:t xml:space="preserve"> </w:t>
      </w:r>
      <w:r>
        <w:rPr>
          <w:sz w:val="18"/>
          <w:szCs w:val="18"/>
        </w:rPr>
        <w:t>Summer Peak Baseline Projection</w:t>
      </w:r>
      <w:r w:rsidRPr="00E07587">
        <w:rPr>
          <w:sz w:val="18"/>
          <w:szCs w:val="18"/>
        </w:rPr>
        <w:t xml:space="preserve"> by End Use</w:t>
      </w:r>
      <w:r>
        <w:rPr>
          <w:sz w:val="18"/>
          <w:szCs w:val="18"/>
        </w:rPr>
        <w:t xml:space="preserve"> (MW)</w:t>
      </w:r>
      <w:r w:rsidR="00D80132">
        <w:rPr>
          <w:sz w:val="18"/>
          <w:szCs w:val="18"/>
        </w:rPr>
        <w:t>, Washington</w:t>
      </w:r>
      <w:bookmarkEnd w:id="275"/>
    </w:p>
    <w:p w:rsidR="008E3AB1" w:rsidRDefault="00D80132" w:rsidP="008E3AB1">
      <w:pPr>
        <w:pStyle w:val="BodyText"/>
      </w:pPr>
      <w:r w:rsidRPr="00D80132">
        <w:rPr>
          <w:noProof/>
        </w:rPr>
        <w:drawing>
          <wp:inline distT="0" distB="0" distL="0" distR="0">
            <wp:extent cx="5715000" cy="2774101"/>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0" cy="2774101"/>
                    </a:xfrm>
                    <a:prstGeom prst="rect">
                      <a:avLst/>
                    </a:prstGeom>
                    <a:noFill/>
                    <a:ln>
                      <a:noFill/>
                    </a:ln>
                  </pic:spPr>
                </pic:pic>
              </a:graphicData>
            </a:graphic>
          </wp:inline>
        </w:drawing>
      </w:r>
    </w:p>
    <w:p w:rsidR="00EA3DB2" w:rsidRPr="00E07587" w:rsidRDefault="00EA3DB2" w:rsidP="00EA3DB2">
      <w:pPr>
        <w:pStyle w:val="FigureorTableTitle"/>
        <w:rPr>
          <w:sz w:val="18"/>
          <w:szCs w:val="18"/>
        </w:rPr>
      </w:pPr>
      <w:bookmarkStart w:id="276" w:name="_Ref422835379"/>
      <w:bookmarkStart w:id="277" w:name="_Toc424192717"/>
      <w:r w:rsidRPr="001C7B63">
        <w:rPr>
          <w:szCs w:val="20"/>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20"/>
        </w:rPr>
        <w:t>4</w:t>
      </w:r>
      <w:r w:rsidR="00512CD6">
        <w:rPr>
          <w:noProof/>
          <w:szCs w:val="20"/>
        </w:rPr>
        <w:fldChar w:fldCharType="end"/>
      </w:r>
      <w:r w:rsidRPr="001C7B63">
        <w:rPr>
          <w:szCs w:val="20"/>
        </w:rPr>
        <w:t>-</w:t>
      </w:r>
      <w:r w:rsidR="00512CD6">
        <w:fldChar w:fldCharType="begin"/>
      </w:r>
      <w:r w:rsidR="00512CD6">
        <w:instrText xml:space="preserve"> SEQ Figure\s 1 \* MERGEFORMAT </w:instrText>
      </w:r>
      <w:r w:rsidR="00512CD6">
        <w:fldChar w:fldCharType="separate"/>
      </w:r>
      <w:r w:rsidR="00B2652C" w:rsidRPr="00B2652C">
        <w:rPr>
          <w:noProof/>
          <w:szCs w:val="20"/>
        </w:rPr>
        <w:t>6</w:t>
      </w:r>
      <w:r w:rsidR="00512CD6">
        <w:rPr>
          <w:noProof/>
          <w:szCs w:val="20"/>
        </w:rPr>
        <w:fldChar w:fldCharType="end"/>
      </w:r>
      <w:bookmarkEnd w:id="276"/>
      <w:r>
        <w:tab/>
      </w:r>
      <w:r w:rsidRPr="008115B5">
        <w:t>Residential</w:t>
      </w:r>
      <w:r w:rsidRPr="00E07587">
        <w:rPr>
          <w:sz w:val="18"/>
          <w:szCs w:val="18"/>
        </w:rPr>
        <w:t xml:space="preserve"> </w:t>
      </w:r>
      <w:r>
        <w:rPr>
          <w:sz w:val="18"/>
          <w:szCs w:val="18"/>
        </w:rPr>
        <w:t>Summer Peak Baseline Projection</w:t>
      </w:r>
      <w:r w:rsidRPr="00E07587">
        <w:rPr>
          <w:sz w:val="18"/>
          <w:szCs w:val="18"/>
        </w:rPr>
        <w:t xml:space="preserve"> by End Use</w:t>
      </w:r>
      <w:r>
        <w:rPr>
          <w:sz w:val="18"/>
          <w:szCs w:val="18"/>
        </w:rPr>
        <w:t xml:space="preserve"> (MW), Idaho</w:t>
      </w:r>
      <w:bookmarkEnd w:id="277"/>
    </w:p>
    <w:p w:rsidR="00EA3DB2" w:rsidRDefault="00EA3DB2" w:rsidP="008E3AB1">
      <w:pPr>
        <w:pStyle w:val="BodyText"/>
      </w:pPr>
      <w:r w:rsidRPr="00EA3DB2">
        <w:rPr>
          <w:noProof/>
        </w:rPr>
        <w:drawing>
          <wp:inline distT="0" distB="0" distL="0" distR="0">
            <wp:extent cx="5715000" cy="2774101"/>
            <wp:effectExtent l="0" t="0" r="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15000" cy="2774101"/>
                    </a:xfrm>
                    <a:prstGeom prst="rect">
                      <a:avLst/>
                    </a:prstGeom>
                    <a:noFill/>
                    <a:ln>
                      <a:noFill/>
                    </a:ln>
                  </pic:spPr>
                </pic:pic>
              </a:graphicData>
            </a:graphic>
          </wp:inline>
        </w:drawing>
      </w:r>
    </w:p>
    <w:p w:rsidR="008F0AD1" w:rsidRDefault="008F0AD1" w:rsidP="008F0AD1">
      <w:pPr>
        <w:pStyle w:val="Heading3"/>
      </w:pPr>
      <w:bookmarkStart w:id="278" w:name="_Toc424192628"/>
      <w:bookmarkStart w:id="279" w:name="_Toc401046349"/>
      <w:r>
        <w:lastRenderedPageBreak/>
        <w:t>Residential Winter Peak Projection</w:t>
      </w:r>
      <w:bookmarkEnd w:id="278"/>
    </w:p>
    <w:p w:rsidR="00D106C4" w:rsidRDefault="00893E3D" w:rsidP="00D106C4">
      <w:pPr>
        <w:pStyle w:val="BodyText"/>
      </w:pPr>
      <w:r>
        <w:fldChar w:fldCharType="begin"/>
      </w:r>
      <w:r w:rsidR="00C91023">
        <w:instrText xml:space="preserve"> REF _Ref423511252 \h </w:instrText>
      </w:r>
      <w:r>
        <w:fldChar w:fldCharType="separate"/>
      </w:r>
      <w:r w:rsidR="00B2652C" w:rsidRPr="00535EB3">
        <w:t xml:space="preserve">Table </w:t>
      </w:r>
      <w:r w:rsidR="00B2652C" w:rsidRPr="00B2652C">
        <w:rPr>
          <w:noProof/>
        </w:rPr>
        <w:t>4</w:t>
      </w:r>
      <w:r w:rsidR="00B2652C" w:rsidRPr="00535EB3">
        <w:t>-</w:t>
      </w:r>
      <w:r w:rsidR="00B2652C" w:rsidRPr="00B2652C">
        <w:rPr>
          <w:noProof/>
        </w:rPr>
        <w:t>5</w:t>
      </w:r>
      <w:r>
        <w:fldChar w:fldCharType="end"/>
      </w:r>
      <w:r w:rsidR="00D106C4" w:rsidRPr="00BB077C">
        <w:rPr>
          <w:noProof/>
        </w:rPr>
        <w:t xml:space="preserve"> (WA) and </w:t>
      </w:r>
      <w:r>
        <w:rPr>
          <w:noProof/>
        </w:rPr>
        <w:fldChar w:fldCharType="begin"/>
      </w:r>
      <w:r w:rsidR="00C91023">
        <w:rPr>
          <w:noProof/>
        </w:rPr>
        <w:instrText xml:space="preserve"> REF _Ref423511265 \h </w:instrText>
      </w:r>
      <w:r>
        <w:rPr>
          <w:noProof/>
        </w:rPr>
      </w:r>
      <w:r>
        <w:rPr>
          <w:noProof/>
        </w:rPr>
        <w:fldChar w:fldCharType="separate"/>
      </w:r>
      <w:r w:rsidR="00B2652C" w:rsidRPr="00535EB3">
        <w:t xml:space="preserve">Table </w:t>
      </w:r>
      <w:r w:rsidR="00B2652C" w:rsidRPr="00B2652C">
        <w:rPr>
          <w:noProof/>
        </w:rPr>
        <w:t>4</w:t>
      </w:r>
      <w:r w:rsidR="00B2652C" w:rsidRPr="00535EB3">
        <w:t>-</w:t>
      </w:r>
      <w:r w:rsidR="00B2652C" w:rsidRPr="00B2652C">
        <w:rPr>
          <w:noProof/>
        </w:rPr>
        <w:t>6</w:t>
      </w:r>
      <w:r>
        <w:rPr>
          <w:noProof/>
        </w:rPr>
        <w:fldChar w:fldCharType="end"/>
      </w:r>
      <w:r w:rsidR="00D106C4" w:rsidRPr="00BB077C">
        <w:rPr>
          <w:noProof/>
        </w:rPr>
        <w:t xml:space="preserve"> (ID) p</w:t>
      </w:r>
      <w:r w:rsidR="00D106C4" w:rsidRPr="00BB077C">
        <w:t>resent the residential baseline</w:t>
      </w:r>
      <w:r w:rsidR="00D106C4" w:rsidRPr="00BB077C">
        <w:rPr>
          <w:szCs w:val="20"/>
        </w:rPr>
        <w:t xml:space="preserve"> projection for </w:t>
      </w:r>
      <w:r w:rsidR="00C91023">
        <w:rPr>
          <w:szCs w:val="20"/>
        </w:rPr>
        <w:t>winter</w:t>
      </w:r>
      <w:r w:rsidR="00D106C4" w:rsidRPr="00BB077C">
        <w:rPr>
          <w:szCs w:val="20"/>
        </w:rPr>
        <w:t xml:space="preserve"> peak demand at the end-use level. Overall in Washington, residential </w:t>
      </w:r>
      <w:r w:rsidR="00C91023">
        <w:rPr>
          <w:szCs w:val="20"/>
        </w:rPr>
        <w:t>winter</w:t>
      </w:r>
      <w:r w:rsidR="00D106C4" w:rsidRPr="00BB077C">
        <w:rPr>
          <w:szCs w:val="20"/>
        </w:rPr>
        <w:t xml:space="preserve"> peak increases from </w:t>
      </w:r>
      <w:r w:rsidR="00C91023">
        <w:rPr>
          <w:szCs w:val="20"/>
        </w:rPr>
        <w:t>438</w:t>
      </w:r>
      <w:r w:rsidR="00C91023" w:rsidRPr="00BB077C">
        <w:rPr>
          <w:szCs w:val="20"/>
        </w:rPr>
        <w:t xml:space="preserve"> </w:t>
      </w:r>
      <w:r w:rsidR="00D106C4" w:rsidRPr="00BB077C">
        <w:rPr>
          <w:szCs w:val="20"/>
        </w:rPr>
        <w:t xml:space="preserve">MW in 2013 to </w:t>
      </w:r>
      <w:r w:rsidR="00C91023">
        <w:rPr>
          <w:szCs w:val="20"/>
        </w:rPr>
        <w:t>440</w:t>
      </w:r>
      <w:r w:rsidR="00D106C4" w:rsidRPr="00BB077C">
        <w:rPr>
          <w:szCs w:val="20"/>
        </w:rPr>
        <w:t xml:space="preserve"> MW in 2035, an increase of </w:t>
      </w:r>
      <w:r w:rsidR="00C91023">
        <w:rPr>
          <w:szCs w:val="20"/>
        </w:rPr>
        <w:t>0.4</w:t>
      </w:r>
      <w:r w:rsidR="00D106C4" w:rsidRPr="00BB077C">
        <w:rPr>
          <w:szCs w:val="20"/>
        </w:rPr>
        <w:t xml:space="preserve">%. In Idaho, the residential </w:t>
      </w:r>
      <w:r w:rsidR="00C91023">
        <w:rPr>
          <w:szCs w:val="20"/>
        </w:rPr>
        <w:t>winter</w:t>
      </w:r>
      <w:r w:rsidR="00D106C4" w:rsidRPr="00BB077C">
        <w:rPr>
          <w:szCs w:val="20"/>
        </w:rPr>
        <w:t xml:space="preserve"> peak increases from </w:t>
      </w:r>
      <w:r w:rsidR="00C91023">
        <w:rPr>
          <w:szCs w:val="20"/>
        </w:rPr>
        <w:t>217</w:t>
      </w:r>
      <w:r w:rsidR="00D106C4" w:rsidRPr="00BB077C">
        <w:rPr>
          <w:szCs w:val="20"/>
        </w:rPr>
        <w:t xml:space="preserve"> MW to </w:t>
      </w:r>
      <w:r w:rsidR="00C91023">
        <w:rPr>
          <w:szCs w:val="20"/>
        </w:rPr>
        <w:t>233</w:t>
      </w:r>
      <w:r w:rsidR="00D106C4" w:rsidRPr="00BB077C">
        <w:rPr>
          <w:szCs w:val="20"/>
        </w:rPr>
        <w:t xml:space="preserve"> MW, an increase of </w:t>
      </w:r>
      <w:r w:rsidR="00C91023">
        <w:rPr>
          <w:szCs w:val="20"/>
        </w:rPr>
        <w:t>8</w:t>
      </w:r>
      <w:r w:rsidR="00D106C4" w:rsidRPr="00BB077C">
        <w:rPr>
          <w:szCs w:val="20"/>
        </w:rPr>
        <w:t xml:space="preserve">%. All end uses except lighting show increases in the baseline peak projections. The </w:t>
      </w:r>
      <w:r w:rsidR="00C91023">
        <w:rPr>
          <w:szCs w:val="20"/>
        </w:rPr>
        <w:t>winter</w:t>
      </w:r>
      <w:r w:rsidR="00D106C4" w:rsidRPr="00BB077C">
        <w:rPr>
          <w:szCs w:val="20"/>
        </w:rPr>
        <w:t xml:space="preserve"> peak associated with electronics and miscellaneous uses increases substantially, in correspondence with growth in annual energy use. </w:t>
      </w:r>
      <w:r>
        <w:rPr>
          <w:szCs w:val="20"/>
        </w:rPr>
        <w:fldChar w:fldCharType="begin"/>
      </w:r>
      <w:r w:rsidR="00C91023">
        <w:rPr>
          <w:szCs w:val="20"/>
        </w:rPr>
        <w:instrText xml:space="preserve"> REF _Ref423511490 \h </w:instrText>
      </w:r>
      <w:r>
        <w:rPr>
          <w:szCs w:val="20"/>
        </w:rPr>
      </w:r>
      <w:r>
        <w:rPr>
          <w:szCs w:val="20"/>
        </w:rPr>
        <w:fldChar w:fldCharType="separate"/>
      </w:r>
      <w:r w:rsidR="00B2652C" w:rsidRPr="001C7B63">
        <w:rPr>
          <w:szCs w:val="20"/>
        </w:rPr>
        <w:t xml:space="preserve">Figure </w:t>
      </w:r>
      <w:r w:rsidR="00B2652C" w:rsidRPr="00B2652C">
        <w:rPr>
          <w:noProof/>
          <w:szCs w:val="20"/>
        </w:rPr>
        <w:t>4</w:t>
      </w:r>
      <w:r w:rsidR="00B2652C" w:rsidRPr="001C7B63">
        <w:rPr>
          <w:szCs w:val="20"/>
        </w:rPr>
        <w:t>-</w:t>
      </w:r>
      <w:r w:rsidR="00B2652C" w:rsidRPr="00B2652C">
        <w:rPr>
          <w:noProof/>
          <w:szCs w:val="20"/>
        </w:rPr>
        <w:t>7</w:t>
      </w:r>
      <w:r>
        <w:rPr>
          <w:szCs w:val="20"/>
        </w:rPr>
        <w:fldChar w:fldCharType="end"/>
      </w:r>
      <w:r w:rsidRPr="00BB077C">
        <w:rPr>
          <w:szCs w:val="20"/>
        </w:rPr>
        <w:fldChar w:fldCharType="begin"/>
      </w:r>
      <w:r w:rsidR="00D106C4" w:rsidRPr="00BB077C">
        <w:rPr>
          <w:szCs w:val="20"/>
        </w:rPr>
        <w:instrText xml:space="preserve"> REF _Ref422835367 \h  \* MERGEFORMAT </w:instrText>
      </w:r>
      <w:r w:rsidRPr="00BB077C">
        <w:rPr>
          <w:szCs w:val="20"/>
        </w:rPr>
      </w:r>
      <w:r w:rsidR="00B2652C">
        <w:rPr>
          <w:szCs w:val="20"/>
        </w:rPr>
        <w:fldChar w:fldCharType="separate"/>
      </w:r>
      <w:r w:rsidR="00B2652C" w:rsidRPr="001C7B63">
        <w:rPr>
          <w:szCs w:val="20"/>
        </w:rPr>
        <w:t xml:space="preserve">Figure </w:t>
      </w:r>
      <w:r w:rsidR="00B2652C" w:rsidRPr="00B2652C">
        <w:rPr>
          <w:noProof/>
          <w:szCs w:val="20"/>
        </w:rPr>
        <w:t>4</w:t>
      </w:r>
      <w:r w:rsidR="00B2652C" w:rsidRPr="001C7B63">
        <w:rPr>
          <w:noProof/>
          <w:szCs w:val="20"/>
        </w:rPr>
        <w:t>-</w:t>
      </w:r>
      <w:r w:rsidR="00B2652C" w:rsidRPr="00B2652C">
        <w:rPr>
          <w:noProof/>
          <w:szCs w:val="20"/>
        </w:rPr>
        <w:t>5</w:t>
      </w:r>
      <w:r w:rsidRPr="00BB077C">
        <w:rPr>
          <w:szCs w:val="20"/>
        </w:rPr>
        <w:fldChar w:fldCharType="end"/>
      </w:r>
      <w:r w:rsidR="00D106C4" w:rsidRPr="00BB077C">
        <w:rPr>
          <w:szCs w:val="20"/>
        </w:rPr>
        <w:t xml:space="preserve"> (WA) and </w:t>
      </w:r>
      <w:r>
        <w:rPr>
          <w:szCs w:val="20"/>
        </w:rPr>
        <w:fldChar w:fldCharType="begin"/>
      </w:r>
      <w:r w:rsidR="00C91023">
        <w:rPr>
          <w:szCs w:val="20"/>
        </w:rPr>
        <w:instrText xml:space="preserve"> REF _Ref423511529 \h </w:instrText>
      </w:r>
      <w:r>
        <w:rPr>
          <w:szCs w:val="20"/>
        </w:rPr>
      </w:r>
      <w:r>
        <w:rPr>
          <w:szCs w:val="20"/>
        </w:rPr>
        <w:fldChar w:fldCharType="separate"/>
      </w:r>
      <w:r w:rsidR="00B2652C" w:rsidRPr="001C7B63">
        <w:rPr>
          <w:szCs w:val="20"/>
        </w:rPr>
        <w:t xml:space="preserve">Figure </w:t>
      </w:r>
      <w:r w:rsidR="00B2652C" w:rsidRPr="00B2652C">
        <w:rPr>
          <w:noProof/>
          <w:szCs w:val="20"/>
        </w:rPr>
        <w:t>4</w:t>
      </w:r>
      <w:r w:rsidR="00B2652C" w:rsidRPr="001C7B63">
        <w:rPr>
          <w:szCs w:val="20"/>
        </w:rPr>
        <w:t>-</w:t>
      </w:r>
      <w:r w:rsidR="00B2652C" w:rsidRPr="00B2652C">
        <w:rPr>
          <w:noProof/>
          <w:szCs w:val="20"/>
        </w:rPr>
        <w:t>8</w:t>
      </w:r>
      <w:r>
        <w:rPr>
          <w:szCs w:val="20"/>
        </w:rPr>
        <w:fldChar w:fldCharType="end"/>
      </w:r>
      <w:r w:rsidRPr="00BB077C">
        <w:rPr>
          <w:szCs w:val="20"/>
        </w:rPr>
        <w:fldChar w:fldCharType="begin"/>
      </w:r>
      <w:r w:rsidR="00D106C4" w:rsidRPr="00BB077C">
        <w:rPr>
          <w:szCs w:val="20"/>
        </w:rPr>
        <w:instrText xml:space="preserve"> REF _Ref422835379 \h  \* MERGEFORMAT </w:instrText>
      </w:r>
      <w:r w:rsidRPr="00BB077C">
        <w:rPr>
          <w:szCs w:val="20"/>
        </w:rPr>
      </w:r>
      <w:r w:rsidR="00B2652C">
        <w:rPr>
          <w:szCs w:val="20"/>
        </w:rPr>
        <w:fldChar w:fldCharType="separate"/>
      </w:r>
      <w:r w:rsidR="00B2652C" w:rsidRPr="001C7B63">
        <w:rPr>
          <w:szCs w:val="20"/>
        </w:rPr>
        <w:t xml:space="preserve">Figure </w:t>
      </w:r>
      <w:r w:rsidR="00B2652C" w:rsidRPr="00B2652C">
        <w:rPr>
          <w:noProof/>
          <w:szCs w:val="20"/>
        </w:rPr>
        <w:t>4</w:t>
      </w:r>
      <w:r w:rsidR="00B2652C" w:rsidRPr="001C7B63">
        <w:rPr>
          <w:noProof/>
          <w:szCs w:val="20"/>
        </w:rPr>
        <w:t>-</w:t>
      </w:r>
      <w:r w:rsidR="00B2652C" w:rsidRPr="00B2652C">
        <w:rPr>
          <w:noProof/>
          <w:szCs w:val="20"/>
        </w:rPr>
        <w:t>6</w:t>
      </w:r>
      <w:r w:rsidRPr="00BB077C">
        <w:rPr>
          <w:szCs w:val="20"/>
        </w:rPr>
        <w:fldChar w:fldCharType="end"/>
      </w:r>
      <w:r w:rsidR="00D106C4" w:rsidRPr="00BB077C">
        <w:rPr>
          <w:szCs w:val="20"/>
        </w:rPr>
        <w:t xml:space="preserve"> (ID) display the graphical representation of the baseline projection for </w:t>
      </w:r>
      <w:r w:rsidR="00C91023">
        <w:rPr>
          <w:szCs w:val="20"/>
        </w:rPr>
        <w:t>winter</w:t>
      </w:r>
      <w:r w:rsidR="00D106C4" w:rsidRPr="00BB077C">
        <w:rPr>
          <w:szCs w:val="20"/>
        </w:rPr>
        <w:t xml:space="preserve"> peak.</w:t>
      </w:r>
    </w:p>
    <w:p w:rsidR="00D106C4" w:rsidRPr="000E3F5F" w:rsidRDefault="00D106C4" w:rsidP="00D106C4">
      <w:pPr>
        <w:pStyle w:val="FigureorTableTitle"/>
      </w:pPr>
      <w:bookmarkStart w:id="280" w:name="_Ref423511252"/>
      <w:bookmarkStart w:id="281" w:name="_Toc424192779"/>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5</w:t>
      </w:r>
      <w:r w:rsidR="00512CD6">
        <w:rPr>
          <w:bCs w:val="0"/>
          <w:iCs w:val="0"/>
          <w:noProof/>
        </w:rPr>
        <w:fldChar w:fldCharType="end"/>
      </w:r>
      <w:bookmarkEnd w:id="280"/>
      <w:r>
        <w:tab/>
        <w:t>Residential Winter Peak Baseline Projection by End Use (MW), Washington</w:t>
      </w:r>
      <w:bookmarkEnd w:id="281"/>
    </w:p>
    <w:tbl>
      <w:tblPr>
        <w:tblStyle w:val="EnerNOCReportTable2"/>
        <w:tblW w:w="5000" w:type="pct"/>
        <w:tblInd w:w="0" w:type="dxa"/>
        <w:tblCellMar>
          <w:top w:w="0" w:type="dxa"/>
          <w:left w:w="0" w:type="dxa"/>
          <w:bottom w:w="0" w:type="dxa"/>
          <w:right w:w="0" w:type="dxa"/>
        </w:tblCellMar>
        <w:tblLook w:val="04A0" w:firstRow="1" w:lastRow="0" w:firstColumn="1" w:lastColumn="0" w:noHBand="0" w:noVBand="1"/>
      </w:tblPr>
      <w:tblGrid>
        <w:gridCol w:w="1647"/>
        <w:gridCol w:w="1051"/>
        <w:gridCol w:w="1054"/>
        <w:gridCol w:w="1051"/>
        <w:gridCol w:w="1052"/>
        <w:gridCol w:w="1051"/>
        <w:gridCol w:w="1052"/>
        <w:gridCol w:w="1052"/>
      </w:tblGrid>
      <w:tr w:rsidR="00D106C4" w:rsidRPr="00A90EF4" w:rsidTr="0007233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shd w:val="clear" w:color="auto" w:fill="1A1D5D"/>
            <w:tcMar>
              <w:top w:w="0" w:type="dxa"/>
              <w:bottom w:w="0" w:type="dxa"/>
            </w:tcMar>
            <w:hideMark/>
          </w:tcPr>
          <w:p w:rsidR="00D106C4" w:rsidRPr="00AA1A97" w:rsidRDefault="00D106C4" w:rsidP="00072331">
            <w:pPr>
              <w:pStyle w:val="TableHeadings"/>
              <w:rPr>
                <w:caps/>
                <w:sz w:val="22"/>
              </w:rPr>
            </w:pPr>
            <w:r w:rsidRPr="00AA1A97">
              <w:t>End Use</w:t>
            </w:r>
          </w:p>
        </w:tc>
        <w:tc>
          <w:tcPr>
            <w:tcW w:w="583" w:type="pct"/>
            <w:shd w:val="clear" w:color="auto" w:fill="1A1D5D"/>
            <w:tcMar>
              <w:top w:w="0" w:type="dxa"/>
              <w:bottom w:w="0" w:type="dxa"/>
            </w:tcMar>
            <w:hideMark/>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2013</w:t>
            </w:r>
          </w:p>
        </w:tc>
        <w:tc>
          <w:tcPr>
            <w:tcW w:w="585" w:type="pct"/>
            <w:shd w:val="clear" w:color="auto" w:fill="1A1D5D"/>
            <w:tcMar>
              <w:top w:w="0" w:type="dxa"/>
              <w:bottom w:w="0" w:type="dxa"/>
            </w:tcMar>
            <w:hideMark/>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w:t>
            </w:r>
            <w:r>
              <w:rPr>
                <w:rFonts w:ascii="Calibri" w:hAnsi="Calibri" w:cs="Calibri"/>
              </w:rPr>
              <w:t>6</w:t>
            </w:r>
          </w:p>
        </w:tc>
        <w:tc>
          <w:tcPr>
            <w:tcW w:w="583" w:type="pct"/>
            <w:shd w:val="clear" w:color="auto" w:fill="1A1D5D"/>
            <w:tcMar>
              <w:top w:w="0" w:type="dxa"/>
              <w:bottom w:w="0" w:type="dxa"/>
            </w:tcMar>
            <w:hideMark/>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w:t>
            </w:r>
            <w:r>
              <w:rPr>
                <w:rFonts w:ascii="Calibri" w:hAnsi="Calibri" w:cs="Calibri"/>
              </w:rPr>
              <w:t>7</w:t>
            </w:r>
          </w:p>
        </w:tc>
        <w:tc>
          <w:tcPr>
            <w:tcW w:w="584" w:type="pct"/>
            <w:shd w:val="clear" w:color="auto" w:fill="1A1D5D"/>
            <w:tcMar>
              <w:top w:w="0" w:type="dxa"/>
              <w:bottom w:w="0" w:type="dxa"/>
            </w:tcMar>
            <w:hideMark/>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202</w:t>
            </w:r>
            <w:r>
              <w:rPr>
                <w:rFonts w:ascii="Calibri" w:hAnsi="Calibri" w:cs="Calibri"/>
              </w:rPr>
              <w:t>0</w:t>
            </w:r>
          </w:p>
        </w:tc>
        <w:tc>
          <w:tcPr>
            <w:tcW w:w="583" w:type="pct"/>
            <w:shd w:val="clear" w:color="auto" w:fill="1A1D5D"/>
            <w:tcMar>
              <w:top w:w="0" w:type="dxa"/>
              <w:bottom w:w="0" w:type="dxa"/>
            </w:tcMar>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202</w:t>
            </w:r>
            <w:r>
              <w:rPr>
                <w:rFonts w:ascii="Calibri" w:hAnsi="Calibri" w:cs="Calibri"/>
              </w:rPr>
              <w:t>5</w:t>
            </w:r>
          </w:p>
        </w:tc>
        <w:tc>
          <w:tcPr>
            <w:tcW w:w="584" w:type="pct"/>
            <w:shd w:val="clear" w:color="auto" w:fill="1A1D5D"/>
            <w:tcMar>
              <w:top w:w="0" w:type="dxa"/>
              <w:bottom w:w="0" w:type="dxa"/>
            </w:tcMar>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203</w:t>
            </w:r>
            <w:r>
              <w:rPr>
                <w:rFonts w:ascii="Calibri" w:hAnsi="Calibri" w:cs="Calibri"/>
              </w:rPr>
              <w:t>5</w:t>
            </w:r>
          </w:p>
        </w:tc>
        <w:tc>
          <w:tcPr>
            <w:tcW w:w="584" w:type="pct"/>
            <w:shd w:val="clear" w:color="auto" w:fill="1A1D5D"/>
            <w:tcMar>
              <w:top w:w="0" w:type="dxa"/>
              <w:bottom w:w="0" w:type="dxa"/>
            </w:tcMar>
            <w:hideMark/>
          </w:tcPr>
          <w:p w:rsidR="00D106C4" w:rsidRPr="00AA1A97"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b w:val="0"/>
                <w:caps/>
                <w:color w:val="808080"/>
                <w:sz w:val="22"/>
                <w:szCs w:val="20"/>
              </w:rPr>
            </w:pPr>
            <w:r w:rsidRPr="00AA1A97">
              <w:rPr>
                <w:rFonts w:ascii="Calibri" w:hAnsi="Calibri"/>
                <w:b w:val="0"/>
                <w:bCs/>
                <w:szCs w:val="20"/>
              </w:rPr>
              <w:t>% Change</w:t>
            </w:r>
            <w:r w:rsidRPr="00AA1A97">
              <w:rPr>
                <w:rFonts w:ascii="Calibri" w:hAnsi="Calibri"/>
                <w:b w:val="0"/>
                <w:bCs/>
                <w:szCs w:val="20"/>
              </w:rPr>
              <w:br/>
              <w:t>('1</w:t>
            </w:r>
            <w:r>
              <w:rPr>
                <w:rFonts w:ascii="Calibri" w:hAnsi="Calibri"/>
                <w:b w:val="0"/>
                <w:bCs/>
                <w:szCs w:val="20"/>
              </w:rPr>
              <w:t>3</w:t>
            </w:r>
            <w:r w:rsidRPr="00AA1A97">
              <w:rPr>
                <w:rFonts w:ascii="Calibri" w:hAnsi="Calibri"/>
                <w:b w:val="0"/>
                <w:bCs/>
                <w:szCs w:val="20"/>
              </w:rPr>
              <w:t>-'3</w:t>
            </w:r>
            <w:r>
              <w:rPr>
                <w:rFonts w:ascii="Calibri" w:hAnsi="Calibri"/>
                <w:b w:val="0"/>
                <w:bCs/>
                <w:szCs w:val="20"/>
              </w:rPr>
              <w:t>5</w:t>
            </w:r>
            <w:r w:rsidRPr="00AA1A97">
              <w:rPr>
                <w:rFonts w:ascii="Calibri" w:hAnsi="Calibri"/>
                <w:b w:val="0"/>
                <w:bCs/>
                <w:szCs w:val="20"/>
              </w:rPr>
              <w:t>)</w:t>
            </w:r>
          </w:p>
        </w:tc>
      </w:tr>
      <w:tr w:rsidR="008F0AD1" w:rsidRPr="00B106F8" w:rsidTr="005844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Cooling</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5"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3" w:type="pct"/>
            <w:shd w:val="clear" w:color="auto" w:fill="FFCC99"/>
            <w:tcMar>
              <w:top w:w="0" w:type="dxa"/>
              <w:bottom w:w="0" w:type="dxa"/>
            </w:tcMar>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4" w:type="pct"/>
            <w:shd w:val="clear" w:color="auto" w:fill="FFCC99"/>
            <w:tcMar>
              <w:top w:w="0" w:type="dxa"/>
              <w:bottom w:w="0" w:type="dxa"/>
            </w:tcMar>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0%</w:t>
            </w:r>
          </w:p>
        </w:tc>
      </w:tr>
      <w:tr w:rsidR="008F0AD1" w:rsidRPr="00B106F8" w:rsidTr="0058441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Heating</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156</w:t>
            </w:r>
          </w:p>
        </w:tc>
        <w:tc>
          <w:tcPr>
            <w:tcW w:w="585"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161</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162</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164</w:t>
            </w:r>
          </w:p>
        </w:tc>
        <w:tc>
          <w:tcPr>
            <w:tcW w:w="583" w:type="pct"/>
            <w:shd w:val="clear" w:color="auto" w:fill="FFCC99"/>
            <w:tcMar>
              <w:top w:w="0" w:type="dxa"/>
              <w:bottom w:w="0" w:type="dxa"/>
            </w:tcMar>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165</w:t>
            </w:r>
          </w:p>
        </w:tc>
        <w:tc>
          <w:tcPr>
            <w:tcW w:w="584" w:type="pct"/>
            <w:shd w:val="clear" w:color="auto" w:fill="FFCC99"/>
            <w:tcMar>
              <w:top w:w="0" w:type="dxa"/>
              <w:bottom w:w="0" w:type="dxa"/>
            </w:tcMar>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170</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9%</w:t>
            </w:r>
          </w:p>
        </w:tc>
      </w:tr>
      <w:tr w:rsidR="008F0AD1" w:rsidRPr="00B106F8" w:rsidTr="005844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Water Heating</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66</w:t>
            </w:r>
          </w:p>
        </w:tc>
        <w:tc>
          <w:tcPr>
            <w:tcW w:w="585"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67</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67</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68</w:t>
            </w:r>
          </w:p>
        </w:tc>
        <w:tc>
          <w:tcPr>
            <w:tcW w:w="583" w:type="pct"/>
            <w:shd w:val="clear" w:color="auto" w:fill="FFCC99"/>
            <w:tcMar>
              <w:top w:w="0" w:type="dxa"/>
              <w:bottom w:w="0" w:type="dxa"/>
            </w:tcMar>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69</w:t>
            </w:r>
          </w:p>
        </w:tc>
        <w:tc>
          <w:tcPr>
            <w:tcW w:w="584" w:type="pct"/>
            <w:shd w:val="clear" w:color="auto" w:fill="FFCC99"/>
            <w:tcMar>
              <w:top w:w="0" w:type="dxa"/>
              <w:bottom w:w="0" w:type="dxa"/>
            </w:tcMar>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74</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11%</w:t>
            </w:r>
          </w:p>
        </w:tc>
      </w:tr>
      <w:tr w:rsidR="008F0AD1" w:rsidRPr="00B106F8" w:rsidTr="0058441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ind w:left="144"/>
              <w:rPr>
                <w:rFonts w:ascii="Calibri" w:hAnsi="Calibri"/>
                <w:color w:val="000000"/>
                <w:szCs w:val="20"/>
              </w:rPr>
            </w:pPr>
            <w:r w:rsidRPr="00273D0F">
              <w:rPr>
                <w:rFonts w:ascii="Calibri" w:hAnsi="Calibri"/>
                <w:color w:val="000000"/>
                <w:szCs w:val="20"/>
              </w:rPr>
              <w:t>Interior Lighting</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77</w:t>
            </w:r>
          </w:p>
        </w:tc>
        <w:tc>
          <w:tcPr>
            <w:tcW w:w="585"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65</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61</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52</w:t>
            </w:r>
          </w:p>
        </w:tc>
        <w:tc>
          <w:tcPr>
            <w:tcW w:w="583" w:type="pct"/>
            <w:shd w:val="clear" w:color="auto" w:fill="FFCC99"/>
            <w:tcMar>
              <w:top w:w="0" w:type="dxa"/>
              <w:bottom w:w="0" w:type="dxa"/>
            </w:tcMar>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40</w:t>
            </w:r>
          </w:p>
        </w:tc>
        <w:tc>
          <w:tcPr>
            <w:tcW w:w="584" w:type="pct"/>
            <w:shd w:val="clear" w:color="auto" w:fill="FFCC99"/>
            <w:tcMar>
              <w:top w:w="0" w:type="dxa"/>
              <w:bottom w:w="0" w:type="dxa"/>
            </w:tcMar>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37</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-52%</w:t>
            </w:r>
          </w:p>
        </w:tc>
      </w:tr>
      <w:tr w:rsidR="008F0AD1" w:rsidRPr="00B106F8" w:rsidTr="005844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ind w:left="144"/>
              <w:rPr>
                <w:rFonts w:ascii="Calibri" w:hAnsi="Calibri"/>
                <w:color w:val="000000"/>
                <w:szCs w:val="20"/>
              </w:rPr>
            </w:pPr>
            <w:r w:rsidRPr="00273D0F">
              <w:rPr>
                <w:rFonts w:ascii="Calibri" w:hAnsi="Calibri"/>
                <w:color w:val="000000"/>
                <w:szCs w:val="20"/>
              </w:rPr>
              <w:t>Exterior Lighting</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16</w:t>
            </w:r>
          </w:p>
        </w:tc>
        <w:tc>
          <w:tcPr>
            <w:tcW w:w="585"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14</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13</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11</w:t>
            </w:r>
          </w:p>
        </w:tc>
        <w:tc>
          <w:tcPr>
            <w:tcW w:w="583" w:type="pct"/>
            <w:shd w:val="clear" w:color="auto" w:fill="FFCC99"/>
            <w:tcMar>
              <w:top w:w="0" w:type="dxa"/>
              <w:bottom w:w="0" w:type="dxa"/>
            </w:tcMar>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8</w:t>
            </w:r>
          </w:p>
        </w:tc>
        <w:tc>
          <w:tcPr>
            <w:tcW w:w="584" w:type="pct"/>
            <w:shd w:val="clear" w:color="auto" w:fill="FFCC99"/>
            <w:tcMar>
              <w:top w:w="0" w:type="dxa"/>
              <w:bottom w:w="0" w:type="dxa"/>
            </w:tcMar>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7</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-56%</w:t>
            </w:r>
          </w:p>
        </w:tc>
      </w:tr>
      <w:tr w:rsidR="008F0AD1" w:rsidRPr="00B106F8" w:rsidTr="0058441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Appliances</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89</w:t>
            </w:r>
          </w:p>
        </w:tc>
        <w:tc>
          <w:tcPr>
            <w:tcW w:w="585"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90</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90</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89</w:t>
            </w:r>
          </w:p>
        </w:tc>
        <w:tc>
          <w:tcPr>
            <w:tcW w:w="583" w:type="pct"/>
            <w:shd w:val="clear" w:color="auto" w:fill="FFCC99"/>
            <w:tcMar>
              <w:top w:w="0" w:type="dxa"/>
              <w:bottom w:w="0" w:type="dxa"/>
            </w:tcMar>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90</w:t>
            </w:r>
          </w:p>
        </w:tc>
        <w:tc>
          <w:tcPr>
            <w:tcW w:w="584" w:type="pct"/>
            <w:shd w:val="clear" w:color="auto" w:fill="FFCC99"/>
            <w:tcMar>
              <w:top w:w="0" w:type="dxa"/>
              <w:bottom w:w="0" w:type="dxa"/>
            </w:tcMar>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94</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5%</w:t>
            </w:r>
          </w:p>
        </w:tc>
      </w:tr>
      <w:tr w:rsidR="008F0AD1" w:rsidRPr="00B106F8" w:rsidTr="005844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Electronics</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17</w:t>
            </w:r>
          </w:p>
        </w:tc>
        <w:tc>
          <w:tcPr>
            <w:tcW w:w="585"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18</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18</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19</w:t>
            </w:r>
          </w:p>
        </w:tc>
        <w:tc>
          <w:tcPr>
            <w:tcW w:w="583" w:type="pct"/>
            <w:shd w:val="clear" w:color="auto" w:fill="FFCC99"/>
            <w:tcMar>
              <w:top w:w="0" w:type="dxa"/>
              <w:bottom w:w="0" w:type="dxa"/>
            </w:tcMar>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21</w:t>
            </w:r>
          </w:p>
        </w:tc>
        <w:tc>
          <w:tcPr>
            <w:tcW w:w="584" w:type="pct"/>
            <w:shd w:val="clear" w:color="auto" w:fill="FFCC99"/>
            <w:tcMar>
              <w:top w:w="0" w:type="dxa"/>
              <w:bottom w:w="0" w:type="dxa"/>
            </w:tcMar>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26</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56%</w:t>
            </w:r>
          </w:p>
        </w:tc>
      </w:tr>
      <w:tr w:rsidR="008F0AD1" w:rsidRPr="00B106F8" w:rsidTr="0058441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Miscellaneous</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16</w:t>
            </w:r>
          </w:p>
        </w:tc>
        <w:tc>
          <w:tcPr>
            <w:tcW w:w="585"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18</w:t>
            </w:r>
          </w:p>
        </w:tc>
        <w:tc>
          <w:tcPr>
            <w:tcW w:w="583"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18</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20</w:t>
            </w:r>
          </w:p>
        </w:tc>
        <w:tc>
          <w:tcPr>
            <w:tcW w:w="583" w:type="pct"/>
            <w:shd w:val="clear" w:color="auto" w:fill="FFCC99"/>
            <w:tcMar>
              <w:top w:w="0" w:type="dxa"/>
              <w:bottom w:w="0" w:type="dxa"/>
            </w:tcMar>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23</w:t>
            </w:r>
          </w:p>
        </w:tc>
        <w:tc>
          <w:tcPr>
            <w:tcW w:w="584" w:type="pct"/>
            <w:shd w:val="clear" w:color="auto" w:fill="FFCC99"/>
            <w:tcMar>
              <w:top w:w="0" w:type="dxa"/>
              <w:bottom w:w="0" w:type="dxa"/>
            </w:tcMar>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32</w:t>
            </w:r>
          </w:p>
        </w:tc>
        <w:tc>
          <w:tcPr>
            <w:tcW w:w="584" w:type="pct"/>
            <w:shd w:val="clear" w:color="auto" w:fill="FFCC99"/>
            <w:noWrap/>
            <w:tcMar>
              <w:top w:w="0" w:type="dxa"/>
              <w:bottom w:w="0" w:type="dxa"/>
            </w:tcMar>
            <w:hideMark/>
          </w:tcPr>
          <w:p w:rsidR="008F0AD1" w:rsidRPr="00BA0367" w:rsidRDefault="008F0AD1" w:rsidP="008F0AD1">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96%</w:t>
            </w:r>
          </w:p>
        </w:tc>
      </w:tr>
      <w:tr w:rsidR="008F0AD1" w:rsidRPr="00B106F8" w:rsidTr="005844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rPr>
                <w:b/>
                <w:bCs/>
              </w:rPr>
            </w:pPr>
            <w:r w:rsidRPr="00273D0F">
              <w:rPr>
                <w:b/>
                <w:bCs/>
              </w:rPr>
              <w:t>Total</w:t>
            </w:r>
          </w:p>
        </w:tc>
        <w:tc>
          <w:tcPr>
            <w:tcW w:w="583" w:type="pct"/>
            <w:shd w:val="clear" w:color="auto" w:fill="FFCC99"/>
            <w:noWrap/>
            <w:tcMar>
              <w:top w:w="0" w:type="dxa"/>
              <w:bottom w:w="0" w:type="dxa"/>
            </w:tcMar>
            <w:hideMark/>
          </w:tcPr>
          <w:p w:rsidR="008F0AD1" w:rsidRPr="008F0AD1"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438</w:t>
            </w:r>
          </w:p>
        </w:tc>
        <w:tc>
          <w:tcPr>
            <w:tcW w:w="585" w:type="pct"/>
            <w:shd w:val="clear" w:color="auto" w:fill="FFCC99"/>
            <w:noWrap/>
            <w:tcMar>
              <w:top w:w="0" w:type="dxa"/>
              <w:bottom w:w="0" w:type="dxa"/>
            </w:tcMar>
            <w:hideMark/>
          </w:tcPr>
          <w:p w:rsidR="008F0AD1" w:rsidRPr="008F0AD1"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432</w:t>
            </w:r>
          </w:p>
        </w:tc>
        <w:tc>
          <w:tcPr>
            <w:tcW w:w="583" w:type="pct"/>
            <w:shd w:val="clear" w:color="auto" w:fill="FFCC99"/>
            <w:noWrap/>
            <w:tcMar>
              <w:top w:w="0" w:type="dxa"/>
              <w:bottom w:w="0" w:type="dxa"/>
            </w:tcMar>
            <w:hideMark/>
          </w:tcPr>
          <w:p w:rsidR="008F0AD1" w:rsidRPr="008F0AD1"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429</w:t>
            </w:r>
          </w:p>
        </w:tc>
        <w:tc>
          <w:tcPr>
            <w:tcW w:w="584" w:type="pct"/>
            <w:shd w:val="clear" w:color="auto" w:fill="FFCC99"/>
            <w:noWrap/>
            <w:tcMar>
              <w:top w:w="0" w:type="dxa"/>
              <w:bottom w:w="0" w:type="dxa"/>
            </w:tcMar>
            <w:hideMark/>
          </w:tcPr>
          <w:p w:rsidR="008F0AD1" w:rsidRPr="008F0AD1"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422</w:t>
            </w:r>
          </w:p>
        </w:tc>
        <w:tc>
          <w:tcPr>
            <w:tcW w:w="583" w:type="pct"/>
            <w:shd w:val="clear" w:color="auto" w:fill="FFCC99"/>
            <w:tcMar>
              <w:top w:w="0" w:type="dxa"/>
              <w:bottom w:w="0" w:type="dxa"/>
            </w:tcMar>
          </w:tcPr>
          <w:p w:rsidR="008F0AD1" w:rsidRPr="008F0AD1"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416</w:t>
            </w:r>
          </w:p>
        </w:tc>
        <w:tc>
          <w:tcPr>
            <w:tcW w:w="584" w:type="pct"/>
            <w:shd w:val="clear" w:color="auto" w:fill="FFCC99"/>
            <w:tcMar>
              <w:top w:w="0" w:type="dxa"/>
              <w:bottom w:w="0" w:type="dxa"/>
            </w:tcMar>
          </w:tcPr>
          <w:p w:rsidR="008F0AD1" w:rsidRPr="008F0AD1"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440</w:t>
            </w:r>
          </w:p>
        </w:tc>
        <w:tc>
          <w:tcPr>
            <w:tcW w:w="584" w:type="pct"/>
            <w:shd w:val="clear" w:color="auto" w:fill="FFCC99"/>
            <w:noWrap/>
            <w:tcMar>
              <w:top w:w="0" w:type="dxa"/>
              <w:bottom w:w="0" w:type="dxa"/>
            </w:tcMar>
            <w:hideMark/>
          </w:tcPr>
          <w:p w:rsidR="008F0AD1" w:rsidRPr="008F0AD1" w:rsidRDefault="008F0AD1" w:rsidP="008F0AD1">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0.4%</w:t>
            </w:r>
          </w:p>
        </w:tc>
      </w:tr>
    </w:tbl>
    <w:p w:rsidR="00D106C4" w:rsidRDefault="00D106C4" w:rsidP="00D106C4">
      <w:pPr>
        <w:pStyle w:val="FigureorTableTitle"/>
      </w:pPr>
      <w:bookmarkStart w:id="282" w:name="_Ref423511265"/>
      <w:bookmarkStart w:id="283" w:name="_Toc424192780"/>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6</w:t>
      </w:r>
      <w:r w:rsidR="00512CD6">
        <w:rPr>
          <w:bCs w:val="0"/>
          <w:iCs w:val="0"/>
          <w:noProof/>
        </w:rPr>
        <w:fldChar w:fldCharType="end"/>
      </w:r>
      <w:bookmarkEnd w:id="282"/>
      <w:r>
        <w:tab/>
        <w:t>Residential Winter Peak Baseline Projection by End Use (MW), Idaho</w:t>
      </w:r>
      <w:bookmarkEnd w:id="283"/>
    </w:p>
    <w:tbl>
      <w:tblPr>
        <w:tblStyle w:val="EnerNOCReportTable2"/>
        <w:tblW w:w="5000" w:type="pct"/>
        <w:tblInd w:w="0" w:type="dxa"/>
        <w:tblCellMar>
          <w:top w:w="0" w:type="dxa"/>
          <w:left w:w="0" w:type="dxa"/>
          <w:bottom w:w="0" w:type="dxa"/>
          <w:right w:w="0" w:type="dxa"/>
        </w:tblCellMar>
        <w:tblLook w:val="04A0" w:firstRow="1" w:lastRow="0" w:firstColumn="1" w:lastColumn="0" w:noHBand="0" w:noVBand="1"/>
      </w:tblPr>
      <w:tblGrid>
        <w:gridCol w:w="1647"/>
        <w:gridCol w:w="1051"/>
        <w:gridCol w:w="1054"/>
        <w:gridCol w:w="1051"/>
        <w:gridCol w:w="1052"/>
        <w:gridCol w:w="1051"/>
        <w:gridCol w:w="1052"/>
        <w:gridCol w:w="1052"/>
      </w:tblGrid>
      <w:tr w:rsidR="00D106C4" w:rsidRPr="00A90EF4" w:rsidTr="0007233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shd w:val="clear" w:color="auto" w:fill="1A1D5D"/>
            <w:tcMar>
              <w:top w:w="0" w:type="dxa"/>
              <w:bottom w:w="0" w:type="dxa"/>
            </w:tcMar>
            <w:hideMark/>
          </w:tcPr>
          <w:p w:rsidR="00D106C4" w:rsidRPr="00AA1A97" w:rsidRDefault="00D106C4" w:rsidP="00072331">
            <w:pPr>
              <w:pStyle w:val="TableHeadings"/>
              <w:rPr>
                <w:caps/>
                <w:sz w:val="22"/>
              </w:rPr>
            </w:pPr>
            <w:r w:rsidRPr="00AA1A97">
              <w:t>End Use</w:t>
            </w:r>
          </w:p>
        </w:tc>
        <w:tc>
          <w:tcPr>
            <w:tcW w:w="583" w:type="pct"/>
            <w:shd w:val="clear" w:color="auto" w:fill="1A1D5D"/>
            <w:tcMar>
              <w:top w:w="0" w:type="dxa"/>
              <w:bottom w:w="0" w:type="dxa"/>
            </w:tcMar>
            <w:hideMark/>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2013</w:t>
            </w:r>
          </w:p>
        </w:tc>
        <w:tc>
          <w:tcPr>
            <w:tcW w:w="585" w:type="pct"/>
            <w:shd w:val="clear" w:color="auto" w:fill="1A1D5D"/>
            <w:tcMar>
              <w:top w:w="0" w:type="dxa"/>
              <w:bottom w:w="0" w:type="dxa"/>
            </w:tcMar>
            <w:hideMark/>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w:t>
            </w:r>
            <w:r>
              <w:rPr>
                <w:rFonts w:ascii="Calibri" w:hAnsi="Calibri" w:cs="Calibri"/>
              </w:rPr>
              <w:t>6</w:t>
            </w:r>
          </w:p>
        </w:tc>
        <w:tc>
          <w:tcPr>
            <w:tcW w:w="583" w:type="pct"/>
            <w:shd w:val="clear" w:color="auto" w:fill="1A1D5D"/>
            <w:tcMar>
              <w:top w:w="0" w:type="dxa"/>
              <w:bottom w:w="0" w:type="dxa"/>
            </w:tcMar>
            <w:hideMark/>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201</w:t>
            </w:r>
            <w:r>
              <w:rPr>
                <w:rFonts w:ascii="Calibri" w:hAnsi="Calibri" w:cs="Calibri"/>
              </w:rPr>
              <w:t>7</w:t>
            </w:r>
          </w:p>
        </w:tc>
        <w:tc>
          <w:tcPr>
            <w:tcW w:w="584" w:type="pct"/>
            <w:shd w:val="clear" w:color="auto" w:fill="1A1D5D"/>
            <w:tcMar>
              <w:top w:w="0" w:type="dxa"/>
              <w:bottom w:w="0" w:type="dxa"/>
            </w:tcMar>
            <w:hideMark/>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202</w:t>
            </w:r>
            <w:r>
              <w:rPr>
                <w:rFonts w:ascii="Calibri" w:hAnsi="Calibri" w:cs="Calibri"/>
              </w:rPr>
              <w:t>0</w:t>
            </w:r>
          </w:p>
        </w:tc>
        <w:tc>
          <w:tcPr>
            <w:tcW w:w="583" w:type="pct"/>
            <w:shd w:val="clear" w:color="auto" w:fill="1A1D5D"/>
            <w:tcMar>
              <w:top w:w="0" w:type="dxa"/>
              <w:bottom w:w="0" w:type="dxa"/>
            </w:tcMar>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202</w:t>
            </w:r>
            <w:r>
              <w:rPr>
                <w:rFonts w:ascii="Calibri" w:hAnsi="Calibri" w:cs="Calibri"/>
              </w:rPr>
              <w:t>5</w:t>
            </w:r>
          </w:p>
        </w:tc>
        <w:tc>
          <w:tcPr>
            <w:tcW w:w="584" w:type="pct"/>
            <w:shd w:val="clear" w:color="auto" w:fill="1A1D5D"/>
            <w:tcMar>
              <w:top w:w="0" w:type="dxa"/>
              <w:bottom w:w="0" w:type="dxa"/>
            </w:tcMar>
          </w:tcPr>
          <w:p w:rsidR="00D106C4" w:rsidRPr="006107C4"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cs="Calibri"/>
                <w:b w:val="0"/>
                <w:caps/>
                <w:color w:val="808080"/>
                <w:sz w:val="22"/>
                <w:szCs w:val="20"/>
              </w:rPr>
            </w:pPr>
            <w:r w:rsidRPr="006107C4">
              <w:rPr>
                <w:rFonts w:ascii="Calibri" w:hAnsi="Calibri" w:cs="Calibri"/>
              </w:rPr>
              <w:t>203</w:t>
            </w:r>
            <w:r>
              <w:rPr>
                <w:rFonts w:ascii="Calibri" w:hAnsi="Calibri" w:cs="Calibri"/>
              </w:rPr>
              <w:t>5</w:t>
            </w:r>
          </w:p>
        </w:tc>
        <w:tc>
          <w:tcPr>
            <w:tcW w:w="584" w:type="pct"/>
            <w:shd w:val="clear" w:color="auto" w:fill="1A1D5D"/>
            <w:tcMar>
              <w:top w:w="0" w:type="dxa"/>
              <w:bottom w:w="0" w:type="dxa"/>
            </w:tcMar>
            <w:hideMark/>
          </w:tcPr>
          <w:p w:rsidR="00D106C4" w:rsidRPr="00AA1A97" w:rsidRDefault="00D106C4" w:rsidP="00072331">
            <w:pPr>
              <w:cnfStyle w:val="100000000000" w:firstRow="1" w:lastRow="0" w:firstColumn="0" w:lastColumn="0" w:oddVBand="0" w:evenVBand="0" w:oddHBand="0" w:evenHBand="0" w:firstRowFirstColumn="0" w:firstRowLastColumn="0" w:lastRowFirstColumn="0" w:lastRowLastColumn="0"/>
              <w:rPr>
                <w:rFonts w:ascii="Calibri" w:hAnsi="Calibri"/>
                <w:b w:val="0"/>
                <w:caps/>
                <w:color w:val="808080"/>
                <w:sz w:val="22"/>
                <w:szCs w:val="20"/>
              </w:rPr>
            </w:pPr>
            <w:r w:rsidRPr="00AA1A97">
              <w:rPr>
                <w:rFonts w:ascii="Calibri" w:hAnsi="Calibri"/>
                <w:b w:val="0"/>
                <w:bCs/>
                <w:szCs w:val="20"/>
              </w:rPr>
              <w:t>% Change</w:t>
            </w:r>
            <w:r w:rsidRPr="00AA1A97">
              <w:rPr>
                <w:rFonts w:ascii="Calibri" w:hAnsi="Calibri"/>
                <w:b w:val="0"/>
                <w:bCs/>
                <w:szCs w:val="20"/>
              </w:rPr>
              <w:br/>
              <w:t>('1</w:t>
            </w:r>
            <w:r>
              <w:rPr>
                <w:rFonts w:ascii="Calibri" w:hAnsi="Calibri"/>
                <w:b w:val="0"/>
                <w:bCs/>
                <w:szCs w:val="20"/>
              </w:rPr>
              <w:t>3</w:t>
            </w:r>
            <w:r w:rsidRPr="00AA1A97">
              <w:rPr>
                <w:rFonts w:ascii="Calibri" w:hAnsi="Calibri"/>
                <w:b w:val="0"/>
                <w:bCs/>
                <w:szCs w:val="20"/>
              </w:rPr>
              <w:t>-'3</w:t>
            </w:r>
            <w:r>
              <w:rPr>
                <w:rFonts w:ascii="Calibri" w:hAnsi="Calibri"/>
                <w:b w:val="0"/>
                <w:bCs/>
                <w:szCs w:val="20"/>
              </w:rPr>
              <w:t>5</w:t>
            </w:r>
            <w:r w:rsidRPr="00AA1A97">
              <w:rPr>
                <w:rFonts w:ascii="Calibri" w:hAnsi="Calibri"/>
                <w:b w:val="0"/>
                <w:bCs/>
                <w:szCs w:val="20"/>
              </w:rPr>
              <w:t>)</w:t>
            </w:r>
          </w:p>
        </w:tc>
      </w:tr>
      <w:tr w:rsidR="008F0AD1" w:rsidRPr="00B106F8" w:rsidTr="003B2D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Cooling</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5"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3" w:type="pct"/>
            <w:shd w:val="clear" w:color="auto" w:fill="FFCC99"/>
            <w:tcMar>
              <w:top w:w="0" w:type="dxa"/>
              <w:bottom w:w="0" w:type="dxa"/>
            </w:tcMar>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4" w:type="pct"/>
            <w:shd w:val="clear" w:color="auto" w:fill="FFCC99"/>
            <w:tcMar>
              <w:top w:w="0" w:type="dxa"/>
              <w:bottom w:w="0" w:type="dxa"/>
            </w:tcMar>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0%</w:t>
            </w:r>
          </w:p>
        </w:tc>
      </w:tr>
      <w:tr w:rsidR="008F0AD1" w:rsidRPr="00B106F8" w:rsidTr="003B2D5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Heating</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80</w:t>
            </w:r>
          </w:p>
        </w:tc>
        <w:tc>
          <w:tcPr>
            <w:tcW w:w="585"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84</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85</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87</w:t>
            </w:r>
          </w:p>
        </w:tc>
        <w:tc>
          <w:tcPr>
            <w:tcW w:w="583" w:type="pct"/>
            <w:shd w:val="clear" w:color="auto" w:fill="FFCC99"/>
            <w:tcMar>
              <w:top w:w="0" w:type="dxa"/>
              <w:bottom w:w="0" w:type="dxa"/>
            </w:tcMar>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90</w:t>
            </w:r>
          </w:p>
        </w:tc>
        <w:tc>
          <w:tcPr>
            <w:tcW w:w="584" w:type="pct"/>
            <w:shd w:val="clear" w:color="auto" w:fill="FFCC99"/>
            <w:tcMar>
              <w:top w:w="0" w:type="dxa"/>
              <w:bottom w:w="0" w:type="dxa"/>
            </w:tcMar>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96</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19%</w:t>
            </w:r>
          </w:p>
        </w:tc>
      </w:tr>
      <w:tr w:rsidR="008F0AD1" w:rsidRPr="00B106F8" w:rsidTr="003B2D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Water Heating</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31</w:t>
            </w:r>
          </w:p>
        </w:tc>
        <w:tc>
          <w:tcPr>
            <w:tcW w:w="585"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32</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32</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33</w:t>
            </w:r>
          </w:p>
        </w:tc>
        <w:tc>
          <w:tcPr>
            <w:tcW w:w="583" w:type="pct"/>
            <w:shd w:val="clear" w:color="auto" w:fill="FFCC99"/>
            <w:tcMar>
              <w:top w:w="0" w:type="dxa"/>
              <w:bottom w:w="0" w:type="dxa"/>
            </w:tcMar>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34</w:t>
            </w:r>
          </w:p>
        </w:tc>
        <w:tc>
          <w:tcPr>
            <w:tcW w:w="584" w:type="pct"/>
            <w:shd w:val="clear" w:color="auto" w:fill="FFCC99"/>
            <w:tcMar>
              <w:top w:w="0" w:type="dxa"/>
              <w:bottom w:w="0" w:type="dxa"/>
            </w:tcMar>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37</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20%</w:t>
            </w:r>
          </w:p>
        </w:tc>
      </w:tr>
      <w:tr w:rsidR="008F0AD1" w:rsidRPr="00B106F8" w:rsidTr="003B2D5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ind w:left="144"/>
              <w:rPr>
                <w:rFonts w:ascii="Calibri" w:hAnsi="Calibri"/>
                <w:color w:val="000000"/>
                <w:szCs w:val="20"/>
              </w:rPr>
            </w:pPr>
            <w:r w:rsidRPr="00273D0F">
              <w:rPr>
                <w:rFonts w:ascii="Calibri" w:hAnsi="Calibri"/>
                <w:color w:val="000000"/>
                <w:szCs w:val="20"/>
              </w:rPr>
              <w:t>Interior Lighting</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40</w:t>
            </w:r>
          </w:p>
        </w:tc>
        <w:tc>
          <w:tcPr>
            <w:tcW w:w="585"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35</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34</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30</w:t>
            </w:r>
          </w:p>
        </w:tc>
        <w:tc>
          <w:tcPr>
            <w:tcW w:w="583" w:type="pct"/>
            <w:shd w:val="clear" w:color="auto" w:fill="FFCC99"/>
            <w:tcMar>
              <w:top w:w="0" w:type="dxa"/>
              <w:bottom w:w="0" w:type="dxa"/>
            </w:tcMar>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24</w:t>
            </w:r>
          </w:p>
        </w:tc>
        <w:tc>
          <w:tcPr>
            <w:tcW w:w="584" w:type="pct"/>
            <w:shd w:val="clear" w:color="auto" w:fill="FFCC99"/>
            <w:tcMar>
              <w:top w:w="0" w:type="dxa"/>
              <w:bottom w:w="0" w:type="dxa"/>
            </w:tcMar>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23</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-43%</w:t>
            </w:r>
          </w:p>
        </w:tc>
      </w:tr>
      <w:tr w:rsidR="008F0AD1" w:rsidRPr="00B106F8" w:rsidTr="003B2D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ind w:left="144"/>
              <w:rPr>
                <w:rFonts w:ascii="Calibri" w:hAnsi="Calibri"/>
                <w:color w:val="000000"/>
                <w:szCs w:val="20"/>
              </w:rPr>
            </w:pPr>
            <w:r w:rsidRPr="00273D0F">
              <w:rPr>
                <w:rFonts w:ascii="Calibri" w:hAnsi="Calibri"/>
                <w:color w:val="000000"/>
                <w:szCs w:val="20"/>
              </w:rPr>
              <w:t>Exterior Lighting</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9</w:t>
            </w:r>
          </w:p>
        </w:tc>
        <w:tc>
          <w:tcPr>
            <w:tcW w:w="585"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8</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7</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6</w:t>
            </w:r>
          </w:p>
        </w:tc>
        <w:tc>
          <w:tcPr>
            <w:tcW w:w="583" w:type="pct"/>
            <w:shd w:val="clear" w:color="auto" w:fill="FFCC99"/>
            <w:tcMar>
              <w:top w:w="0" w:type="dxa"/>
              <w:bottom w:w="0" w:type="dxa"/>
            </w:tcMar>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5</w:t>
            </w:r>
          </w:p>
        </w:tc>
        <w:tc>
          <w:tcPr>
            <w:tcW w:w="584" w:type="pct"/>
            <w:shd w:val="clear" w:color="auto" w:fill="FFCC99"/>
            <w:tcMar>
              <w:top w:w="0" w:type="dxa"/>
              <w:bottom w:w="0" w:type="dxa"/>
            </w:tcMar>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5</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-50%</w:t>
            </w:r>
          </w:p>
        </w:tc>
      </w:tr>
      <w:tr w:rsidR="008F0AD1" w:rsidRPr="00B106F8" w:rsidTr="003B2D5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Appliances</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43</w:t>
            </w:r>
          </w:p>
        </w:tc>
        <w:tc>
          <w:tcPr>
            <w:tcW w:w="585"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44</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44</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45</w:t>
            </w:r>
          </w:p>
        </w:tc>
        <w:tc>
          <w:tcPr>
            <w:tcW w:w="583" w:type="pct"/>
            <w:shd w:val="clear" w:color="auto" w:fill="FFCC99"/>
            <w:tcMar>
              <w:top w:w="0" w:type="dxa"/>
              <w:bottom w:w="0" w:type="dxa"/>
            </w:tcMar>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46</w:t>
            </w:r>
          </w:p>
        </w:tc>
        <w:tc>
          <w:tcPr>
            <w:tcW w:w="584" w:type="pct"/>
            <w:shd w:val="clear" w:color="auto" w:fill="FFCC99"/>
            <w:tcMar>
              <w:top w:w="0" w:type="dxa"/>
              <w:bottom w:w="0" w:type="dxa"/>
            </w:tcMar>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49</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14%</w:t>
            </w:r>
          </w:p>
        </w:tc>
      </w:tr>
      <w:tr w:rsidR="008F0AD1" w:rsidRPr="00B106F8" w:rsidTr="003B2D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Electronics</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8</w:t>
            </w:r>
          </w:p>
        </w:tc>
        <w:tc>
          <w:tcPr>
            <w:tcW w:w="585"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8</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8</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9</w:t>
            </w:r>
          </w:p>
        </w:tc>
        <w:tc>
          <w:tcPr>
            <w:tcW w:w="583" w:type="pct"/>
            <w:shd w:val="clear" w:color="auto" w:fill="FFCC99"/>
            <w:tcMar>
              <w:top w:w="0" w:type="dxa"/>
              <w:bottom w:w="0" w:type="dxa"/>
            </w:tcMar>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10</w:t>
            </w:r>
          </w:p>
        </w:tc>
        <w:tc>
          <w:tcPr>
            <w:tcW w:w="584" w:type="pct"/>
            <w:shd w:val="clear" w:color="auto" w:fill="FFCC99"/>
            <w:tcMar>
              <w:top w:w="0" w:type="dxa"/>
              <w:bottom w:w="0" w:type="dxa"/>
            </w:tcMar>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13</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8F0AD1">
              <w:rPr>
                <w:rFonts w:ascii="Calibri" w:hAnsi="Calibri" w:cs="Calibri"/>
                <w:szCs w:val="18"/>
              </w:rPr>
              <w:t>75%</w:t>
            </w:r>
          </w:p>
        </w:tc>
      </w:tr>
      <w:tr w:rsidR="008F0AD1" w:rsidRPr="00B106F8" w:rsidTr="003B2D5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pPr>
            <w:r w:rsidRPr="00273D0F">
              <w:t>Miscellaneous</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5</w:t>
            </w:r>
          </w:p>
        </w:tc>
        <w:tc>
          <w:tcPr>
            <w:tcW w:w="585"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6</w:t>
            </w:r>
          </w:p>
        </w:tc>
        <w:tc>
          <w:tcPr>
            <w:tcW w:w="583"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6</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6</w:t>
            </w:r>
          </w:p>
        </w:tc>
        <w:tc>
          <w:tcPr>
            <w:tcW w:w="583" w:type="pct"/>
            <w:shd w:val="clear" w:color="auto" w:fill="FFCC99"/>
            <w:tcMar>
              <w:top w:w="0" w:type="dxa"/>
              <w:bottom w:w="0" w:type="dxa"/>
            </w:tcMar>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8</w:t>
            </w:r>
          </w:p>
        </w:tc>
        <w:tc>
          <w:tcPr>
            <w:tcW w:w="584" w:type="pct"/>
            <w:shd w:val="clear" w:color="auto" w:fill="FFCC99"/>
            <w:tcMar>
              <w:top w:w="0" w:type="dxa"/>
              <w:bottom w:w="0" w:type="dxa"/>
            </w:tcMar>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10</w:t>
            </w:r>
          </w:p>
        </w:tc>
        <w:tc>
          <w:tcPr>
            <w:tcW w:w="584" w:type="pct"/>
            <w:shd w:val="clear" w:color="auto" w:fill="FFCC99"/>
            <w:noWrap/>
            <w:tcMar>
              <w:top w:w="0" w:type="dxa"/>
              <w:bottom w:w="0" w:type="dxa"/>
            </w:tcMar>
            <w:hideMark/>
          </w:tcPr>
          <w:p w:rsidR="008F0AD1" w:rsidRPr="00BA0367" w:rsidRDefault="008F0AD1" w:rsidP="003B2D57">
            <w:pPr>
              <w:ind w:right="288"/>
              <w:jc w:val="right"/>
              <w:cnfStyle w:val="000000010000" w:firstRow="0" w:lastRow="0" w:firstColumn="0" w:lastColumn="0" w:oddVBand="0" w:evenVBand="0" w:oddHBand="0" w:evenHBand="1" w:firstRowFirstColumn="0" w:firstRowLastColumn="0" w:lastRowFirstColumn="0" w:lastRowLastColumn="0"/>
              <w:rPr>
                <w:rFonts w:ascii="Calibri" w:hAnsi="Calibri" w:cs="Calibri"/>
                <w:szCs w:val="18"/>
              </w:rPr>
            </w:pPr>
            <w:r w:rsidRPr="008F0AD1">
              <w:rPr>
                <w:rFonts w:ascii="Calibri" w:hAnsi="Calibri" w:cs="Calibri"/>
                <w:szCs w:val="18"/>
              </w:rPr>
              <w:t>97%</w:t>
            </w:r>
          </w:p>
        </w:tc>
      </w:tr>
      <w:tr w:rsidR="008F0AD1" w:rsidRPr="00B106F8" w:rsidTr="003B2D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4" w:type="pct"/>
            <w:noWrap/>
            <w:tcMar>
              <w:top w:w="0" w:type="dxa"/>
              <w:bottom w:w="0" w:type="dxa"/>
            </w:tcMar>
            <w:hideMark/>
          </w:tcPr>
          <w:p w:rsidR="008F0AD1" w:rsidRPr="00273D0F" w:rsidRDefault="008F0AD1" w:rsidP="008F0AD1">
            <w:pPr>
              <w:pStyle w:val="TableText"/>
              <w:ind w:left="144"/>
              <w:jc w:val="left"/>
              <w:rPr>
                <w:b/>
                <w:bCs/>
              </w:rPr>
            </w:pPr>
            <w:r w:rsidRPr="00273D0F">
              <w:rPr>
                <w:b/>
                <w:bCs/>
              </w:rPr>
              <w:t>Total</w:t>
            </w:r>
          </w:p>
        </w:tc>
        <w:tc>
          <w:tcPr>
            <w:tcW w:w="583" w:type="pct"/>
            <w:shd w:val="clear" w:color="auto" w:fill="FFCC99"/>
            <w:noWrap/>
            <w:tcMar>
              <w:top w:w="0" w:type="dxa"/>
              <w:bottom w:w="0" w:type="dxa"/>
            </w:tcMar>
            <w:hideMark/>
          </w:tcPr>
          <w:p w:rsidR="008F0AD1" w:rsidRPr="008F0AD1"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217</w:t>
            </w:r>
          </w:p>
        </w:tc>
        <w:tc>
          <w:tcPr>
            <w:tcW w:w="585" w:type="pct"/>
            <w:shd w:val="clear" w:color="auto" w:fill="FFCC99"/>
            <w:noWrap/>
            <w:tcMar>
              <w:top w:w="0" w:type="dxa"/>
              <w:bottom w:w="0" w:type="dxa"/>
            </w:tcMar>
            <w:hideMark/>
          </w:tcPr>
          <w:p w:rsidR="008F0AD1" w:rsidRPr="008F0AD1"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216</w:t>
            </w:r>
          </w:p>
        </w:tc>
        <w:tc>
          <w:tcPr>
            <w:tcW w:w="583" w:type="pct"/>
            <w:shd w:val="clear" w:color="auto" w:fill="FFCC99"/>
            <w:noWrap/>
            <w:tcMar>
              <w:top w:w="0" w:type="dxa"/>
              <w:bottom w:w="0" w:type="dxa"/>
            </w:tcMar>
            <w:hideMark/>
          </w:tcPr>
          <w:p w:rsidR="008F0AD1" w:rsidRPr="008F0AD1"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216</w:t>
            </w:r>
          </w:p>
        </w:tc>
        <w:tc>
          <w:tcPr>
            <w:tcW w:w="584" w:type="pct"/>
            <w:shd w:val="clear" w:color="auto" w:fill="FFCC99"/>
            <w:noWrap/>
            <w:tcMar>
              <w:top w:w="0" w:type="dxa"/>
              <w:bottom w:w="0" w:type="dxa"/>
            </w:tcMar>
            <w:hideMark/>
          </w:tcPr>
          <w:p w:rsidR="008F0AD1" w:rsidRPr="008F0AD1"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215</w:t>
            </w:r>
          </w:p>
        </w:tc>
        <w:tc>
          <w:tcPr>
            <w:tcW w:w="583" w:type="pct"/>
            <w:shd w:val="clear" w:color="auto" w:fill="FFCC99"/>
            <w:tcMar>
              <w:top w:w="0" w:type="dxa"/>
              <w:bottom w:w="0" w:type="dxa"/>
            </w:tcMar>
          </w:tcPr>
          <w:p w:rsidR="008F0AD1" w:rsidRPr="008F0AD1"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215</w:t>
            </w:r>
          </w:p>
        </w:tc>
        <w:tc>
          <w:tcPr>
            <w:tcW w:w="584" w:type="pct"/>
            <w:shd w:val="clear" w:color="auto" w:fill="FFCC99"/>
            <w:tcMar>
              <w:top w:w="0" w:type="dxa"/>
              <w:bottom w:w="0" w:type="dxa"/>
            </w:tcMar>
          </w:tcPr>
          <w:p w:rsidR="008F0AD1" w:rsidRPr="008F0AD1"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233</w:t>
            </w:r>
          </w:p>
        </w:tc>
        <w:tc>
          <w:tcPr>
            <w:tcW w:w="584" w:type="pct"/>
            <w:shd w:val="clear" w:color="auto" w:fill="FFCC99"/>
            <w:noWrap/>
            <w:tcMar>
              <w:top w:w="0" w:type="dxa"/>
              <w:bottom w:w="0" w:type="dxa"/>
            </w:tcMar>
            <w:hideMark/>
          </w:tcPr>
          <w:p w:rsidR="008F0AD1" w:rsidRPr="008F0AD1" w:rsidRDefault="008F0AD1" w:rsidP="003B2D57">
            <w:pPr>
              <w:ind w:right="288"/>
              <w:jc w:val="right"/>
              <w:cnfStyle w:val="000000100000" w:firstRow="0" w:lastRow="0" w:firstColumn="0" w:lastColumn="0" w:oddVBand="0" w:evenVBand="0" w:oddHBand="1" w:evenHBand="0" w:firstRowFirstColumn="0" w:firstRowLastColumn="0" w:lastRowFirstColumn="0" w:lastRowLastColumn="0"/>
              <w:rPr>
                <w:rFonts w:ascii="Calibri" w:hAnsi="Calibri" w:cs="Calibri"/>
                <w:b/>
                <w:szCs w:val="18"/>
              </w:rPr>
            </w:pPr>
            <w:r w:rsidRPr="008F0AD1">
              <w:rPr>
                <w:rFonts w:ascii="Calibri" w:hAnsi="Calibri" w:cs="Calibri"/>
                <w:b/>
                <w:szCs w:val="18"/>
              </w:rPr>
              <w:t>7.6%</w:t>
            </w:r>
          </w:p>
        </w:tc>
      </w:tr>
    </w:tbl>
    <w:p w:rsidR="00D106C4" w:rsidRDefault="00D106C4" w:rsidP="00D106C4">
      <w:pPr>
        <w:pStyle w:val="FigureorTableTitle"/>
        <w:rPr>
          <w:sz w:val="18"/>
          <w:szCs w:val="18"/>
        </w:rPr>
      </w:pPr>
      <w:bookmarkStart w:id="284" w:name="_Ref423511490"/>
      <w:bookmarkStart w:id="285" w:name="_Toc424192718"/>
      <w:r w:rsidRPr="001C7B63">
        <w:rPr>
          <w:szCs w:val="20"/>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20"/>
        </w:rPr>
        <w:t>4</w:t>
      </w:r>
      <w:r w:rsidR="00512CD6">
        <w:rPr>
          <w:noProof/>
          <w:szCs w:val="20"/>
        </w:rPr>
        <w:fldChar w:fldCharType="end"/>
      </w:r>
      <w:r w:rsidRPr="001C7B63">
        <w:rPr>
          <w:szCs w:val="20"/>
        </w:rPr>
        <w:t>-</w:t>
      </w:r>
      <w:r w:rsidR="00512CD6">
        <w:fldChar w:fldCharType="begin"/>
      </w:r>
      <w:r w:rsidR="00512CD6">
        <w:instrText xml:space="preserve"> SEQ Figure\s 1 \* MERGEFORMAT </w:instrText>
      </w:r>
      <w:r w:rsidR="00512CD6">
        <w:fldChar w:fldCharType="separate"/>
      </w:r>
      <w:r w:rsidR="00B2652C" w:rsidRPr="00B2652C">
        <w:rPr>
          <w:noProof/>
          <w:szCs w:val="20"/>
        </w:rPr>
        <w:t>7</w:t>
      </w:r>
      <w:r w:rsidR="00512CD6">
        <w:rPr>
          <w:noProof/>
          <w:szCs w:val="20"/>
        </w:rPr>
        <w:fldChar w:fldCharType="end"/>
      </w:r>
      <w:bookmarkEnd w:id="284"/>
      <w:r>
        <w:tab/>
      </w:r>
      <w:r w:rsidRPr="008115B5">
        <w:t>Residential</w:t>
      </w:r>
      <w:r w:rsidRPr="00E07587">
        <w:rPr>
          <w:sz w:val="18"/>
          <w:szCs w:val="18"/>
        </w:rPr>
        <w:t xml:space="preserve"> </w:t>
      </w:r>
      <w:r>
        <w:rPr>
          <w:sz w:val="18"/>
          <w:szCs w:val="18"/>
        </w:rPr>
        <w:t>Winter Peak Baseline Projection</w:t>
      </w:r>
      <w:r w:rsidRPr="00E07587">
        <w:rPr>
          <w:sz w:val="18"/>
          <w:szCs w:val="18"/>
        </w:rPr>
        <w:t xml:space="preserve"> by End Use</w:t>
      </w:r>
      <w:r>
        <w:rPr>
          <w:sz w:val="18"/>
          <w:szCs w:val="18"/>
        </w:rPr>
        <w:t xml:space="preserve"> (MW), Washington</w:t>
      </w:r>
      <w:bookmarkEnd w:id="285"/>
    </w:p>
    <w:p w:rsidR="00D106C4" w:rsidRDefault="008F0AD1" w:rsidP="00D106C4">
      <w:pPr>
        <w:pStyle w:val="BodyText"/>
      </w:pPr>
      <w:r w:rsidRPr="008F0AD1">
        <w:rPr>
          <w:noProof/>
        </w:rPr>
        <w:drawing>
          <wp:inline distT="0" distB="0" distL="0" distR="0">
            <wp:extent cx="5715000" cy="2774101"/>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2774101"/>
                    </a:xfrm>
                    <a:prstGeom prst="rect">
                      <a:avLst/>
                    </a:prstGeom>
                    <a:noFill/>
                    <a:ln>
                      <a:noFill/>
                    </a:ln>
                  </pic:spPr>
                </pic:pic>
              </a:graphicData>
            </a:graphic>
          </wp:inline>
        </w:drawing>
      </w:r>
    </w:p>
    <w:p w:rsidR="00D106C4" w:rsidRDefault="00D106C4" w:rsidP="00D106C4">
      <w:pPr>
        <w:pStyle w:val="FigureorTableTitle"/>
        <w:rPr>
          <w:sz w:val="18"/>
          <w:szCs w:val="18"/>
        </w:rPr>
      </w:pPr>
      <w:bookmarkStart w:id="286" w:name="_Ref423511529"/>
      <w:bookmarkStart w:id="287" w:name="_Toc424192719"/>
      <w:r w:rsidRPr="001C7B63">
        <w:rPr>
          <w:szCs w:val="20"/>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20"/>
        </w:rPr>
        <w:t>4</w:t>
      </w:r>
      <w:r w:rsidR="00512CD6">
        <w:rPr>
          <w:noProof/>
          <w:szCs w:val="20"/>
        </w:rPr>
        <w:fldChar w:fldCharType="end"/>
      </w:r>
      <w:r w:rsidRPr="001C7B63">
        <w:rPr>
          <w:szCs w:val="20"/>
        </w:rPr>
        <w:t>-</w:t>
      </w:r>
      <w:r w:rsidR="00512CD6">
        <w:fldChar w:fldCharType="begin"/>
      </w:r>
      <w:r w:rsidR="00512CD6">
        <w:instrText xml:space="preserve"> SEQ Figure\s 1 \* MERGEFORMAT </w:instrText>
      </w:r>
      <w:r w:rsidR="00512CD6">
        <w:fldChar w:fldCharType="separate"/>
      </w:r>
      <w:r w:rsidR="00B2652C" w:rsidRPr="00B2652C">
        <w:rPr>
          <w:noProof/>
          <w:szCs w:val="20"/>
        </w:rPr>
        <w:t>8</w:t>
      </w:r>
      <w:r w:rsidR="00512CD6">
        <w:rPr>
          <w:noProof/>
          <w:szCs w:val="20"/>
        </w:rPr>
        <w:fldChar w:fldCharType="end"/>
      </w:r>
      <w:bookmarkEnd w:id="286"/>
      <w:r>
        <w:tab/>
      </w:r>
      <w:r w:rsidRPr="008115B5">
        <w:t>Residential</w:t>
      </w:r>
      <w:r w:rsidRPr="00E07587">
        <w:rPr>
          <w:sz w:val="18"/>
          <w:szCs w:val="18"/>
        </w:rPr>
        <w:t xml:space="preserve"> </w:t>
      </w:r>
      <w:r>
        <w:rPr>
          <w:sz w:val="18"/>
          <w:szCs w:val="18"/>
        </w:rPr>
        <w:t>Winter Peak Baseline Projection</w:t>
      </w:r>
      <w:r w:rsidRPr="00E07587">
        <w:rPr>
          <w:sz w:val="18"/>
          <w:szCs w:val="18"/>
        </w:rPr>
        <w:t xml:space="preserve"> by End Use</w:t>
      </w:r>
      <w:r>
        <w:rPr>
          <w:sz w:val="18"/>
          <w:szCs w:val="18"/>
        </w:rPr>
        <w:t xml:space="preserve"> (MW), Idaho</w:t>
      </w:r>
      <w:bookmarkEnd w:id="287"/>
    </w:p>
    <w:p w:rsidR="00D106C4" w:rsidRPr="00E07587" w:rsidRDefault="008F0AD1" w:rsidP="00D106C4">
      <w:pPr>
        <w:pStyle w:val="BodyText"/>
      </w:pPr>
      <w:r w:rsidRPr="008F0AD1">
        <w:rPr>
          <w:noProof/>
        </w:rPr>
        <w:drawing>
          <wp:inline distT="0" distB="0" distL="0" distR="0">
            <wp:extent cx="5715000" cy="27736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15000" cy="2773680"/>
                    </a:xfrm>
                    <a:prstGeom prst="rect">
                      <a:avLst/>
                    </a:prstGeom>
                    <a:noFill/>
                    <a:ln>
                      <a:noFill/>
                    </a:ln>
                  </pic:spPr>
                </pic:pic>
              </a:graphicData>
            </a:graphic>
          </wp:inline>
        </w:drawing>
      </w:r>
    </w:p>
    <w:p w:rsidR="00157088" w:rsidRDefault="00157088" w:rsidP="008914C7">
      <w:pPr>
        <w:pStyle w:val="Heading2"/>
      </w:pPr>
      <w:bookmarkStart w:id="288" w:name="_Toc424192629"/>
      <w:r>
        <w:t>Commercial Sector</w:t>
      </w:r>
      <w:bookmarkEnd w:id="262"/>
      <w:bookmarkEnd w:id="263"/>
      <w:bookmarkEnd w:id="264"/>
      <w:bookmarkEnd w:id="279"/>
      <w:r w:rsidR="00126804">
        <w:t xml:space="preserve"> Baseline Projections</w:t>
      </w:r>
      <w:bookmarkEnd w:id="288"/>
    </w:p>
    <w:p w:rsidR="00126804" w:rsidRPr="00126804" w:rsidRDefault="00126804" w:rsidP="00BD0E72">
      <w:pPr>
        <w:pStyle w:val="Heading3"/>
      </w:pPr>
      <w:bookmarkStart w:id="289" w:name="_Toc424192630"/>
      <w:r>
        <w:t>Annual Use</w:t>
      </w:r>
      <w:bookmarkEnd w:id="289"/>
    </w:p>
    <w:p w:rsidR="00157088" w:rsidRDefault="004B24D2" w:rsidP="00157088">
      <w:pPr>
        <w:pStyle w:val="BodyText"/>
      </w:pPr>
      <w:r>
        <w:t>In Washington, a</w:t>
      </w:r>
      <w:r w:rsidR="00126804">
        <w:t>nnual e</w:t>
      </w:r>
      <w:r w:rsidR="00157088" w:rsidRPr="000013C4">
        <w:t>lectricity us</w:t>
      </w:r>
      <w:r w:rsidR="00157088" w:rsidRPr="00206535">
        <w:t>e in the commerc</w:t>
      </w:r>
      <w:r w:rsidR="00157088">
        <w:t xml:space="preserve">ial sector grows </w:t>
      </w:r>
      <w:r w:rsidR="00157088" w:rsidRPr="00206535">
        <w:t>during the</w:t>
      </w:r>
      <w:r w:rsidR="00157088">
        <w:t xml:space="preserve"> overall</w:t>
      </w:r>
      <w:r w:rsidR="00157088" w:rsidRPr="00206535">
        <w:t xml:space="preserve"> for</w:t>
      </w:r>
      <w:r w:rsidR="00157088">
        <w:t xml:space="preserve">ecast horizon, starting at </w:t>
      </w:r>
      <w:r>
        <w:t>2</w:t>
      </w:r>
      <w:r w:rsidR="00157088">
        <w:t>,</w:t>
      </w:r>
      <w:r>
        <w:t>086</w:t>
      </w:r>
      <w:r w:rsidR="00157088">
        <w:t xml:space="preserve"> GWh in 201</w:t>
      </w:r>
      <w:r w:rsidR="00AA1A97">
        <w:t>3</w:t>
      </w:r>
      <w:r w:rsidR="00157088">
        <w:t xml:space="preserve">, and increasing to </w:t>
      </w:r>
      <w:r>
        <w:t>2</w:t>
      </w:r>
      <w:r w:rsidR="001B1F7B">
        <w:t>,</w:t>
      </w:r>
      <w:r>
        <w:t>282</w:t>
      </w:r>
      <w:r w:rsidR="00157088">
        <w:t xml:space="preserve"> in 203</w:t>
      </w:r>
      <w:r>
        <w:t>5</w:t>
      </w:r>
      <w:r w:rsidR="009F528C">
        <w:t>, an increase of 9%</w:t>
      </w:r>
      <w:r w:rsidR="00157088" w:rsidRPr="00206535">
        <w:t xml:space="preserve">. </w:t>
      </w:r>
      <w:r>
        <w:t xml:space="preserve">In Idaho, annual electricity use grows from 976 GWh in 2013 to 1,063 GWh in 2035, an increase of 9%. The tables and </w:t>
      </w:r>
      <w:r w:rsidR="00F15265">
        <w:t>graphs</w:t>
      </w:r>
      <w:r>
        <w:t xml:space="preserve"> below </w:t>
      </w:r>
      <w:r w:rsidR="00157088" w:rsidRPr="00126804">
        <w:t>present the baseline projection at the end-use level for the commercial sector as a whole. Usage in lighting is declining throughout the forecast, due largely to the phasing in of codes and standards such as the EISA 2007 lighti</w:t>
      </w:r>
      <w:r w:rsidR="0090787C">
        <w:t>ng standards</w:t>
      </w:r>
      <w:r w:rsidR="00157088" w:rsidRPr="00126804">
        <w:t>.</w:t>
      </w:r>
      <w:r w:rsidR="00157088">
        <w:t xml:space="preserve"> </w:t>
      </w:r>
      <w:r w:rsidR="00F34F85">
        <w:t xml:space="preserve">Usage in commercial cooling </w:t>
      </w:r>
      <w:r>
        <w:t>decreases</w:t>
      </w:r>
      <w:r w:rsidR="00F34F85">
        <w:t xml:space="preserve"> over the forecast due </w:t>
      </w:r>
      <w:r w:rsidR="009F528C">
        <w:t>to</w:t>
      </w:r>
      <w:r w:rsidR="00F34F85">
        <w:t xml:space="preserve"> </w:t>
      </w:r>
      <w:r w:rsidR="002E5B78">
        <w:t>going from actual weather in 2014 to weather-normal weather for the forecast.</w:t>
      </w:r>
      <w:r w:rsidR="00F34F85">
        <w:t xml:space="preserve"> </w:t>
      </w:r>
    </w:p>
    <w:p w:rsidR="00157088" w:rsidRPr="000E3F5F" w:rsidRDefault="001635E5" w:rsidP="00837C13">
      <w:pPr>
        <w:pStyle w:val="FigureorTableTitle"/>
      </w:pPr>
      <w:bookmarkStart w:id="290" w:name="_Ref402253577"/>
      <w:bookmarkStart w:id="291" w:name="_Toc341181335"/>
      <w:bookmarkStart w:id="292" w:name="_Toc396755838"/>
      <w:bookmarkStart w:id="293" w:name="_Toc424192781"/>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7</w:t>
      </w:r>
      <w:r w:rsidR="00512CD6">
        <w:rPr>
          <w:bCs w:val="0"/>
          <w:iCs w:val="0"/>
          <w:noProof/>
        </w:rPr>
        <w:fldChar w:fldCharType="end"/>
      </w:r>
      <w:bookmarkEnd w:id="290"/>
      <w:r w:rsidR="00157088">
        <w:tab/>
        <w:t xml:space="preserve">Commercial Baseline </w:t>
      </w:r>
      <w:r w:rsidR="00144F91">
        <w:t xml:space="preserve">Sales </w:t>
      </w:r>
      <w:r w:rsidR="00157088">
        <w:t>Projection by End Use (GWh)</w:t>
      </w:r>
      <w:bookmarkEnd w:id="291"/>
      <w:bookmarkEnd w:id="292"/>
      <w:r w:rsidR="00A33346">
        <w:t>, Washington</w:t>
      </w:r>
      <w:bookmarkEnd w:id="293"/>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048"/>
        <w:gridCol w:w="908"/>
        <w:gridCol w:w="998"/>
        <w:gridCol w:w="1000"/>
        <w:gridCol w:w="998"/>
        <w:gridCol w:w="998"/>
        <w:gridCol w:w="1000"/>
        <w:gridCol w:w="1060"/>
      </w:tblGrid>
      <w:tr w:rsidR="00AA1A97" w:rsidRPr="00564E06" w:rsidTr="0090787C">
        <w:trPr>
          <w:trHeight w:val="144"/>
        </w:trPr>
        <w:tc>
          <w:tcPr>
            <w:tcW w:w="1136" w:type="pct"/>
            <w:shd w:val="clear" w:color="auto" w:fill="1A1D5D"/>
            <w:tcMar>
              <w:top w:w="29" w:type="dxa"/>
              <w:bottom w:w="29" w:type="dxa"/>
            </w:tcMar>
            <w:vAlign w:val="center"/>
          </w:tcPr>
          <w:p w:rsidR="00AA1A97" w:rsidRPr="00837C13" w:rsidRDefault="00AA1A97" w:rsidP="0090787C">
            <w:pPr>
              <w:pStyle w:val="TableHeadings"/>
              <w:spacing w:before="100" w:beforeAutospacing="1" w:after="100" w:afterAutospacing="1"/>
              <w:rPr>
                <w:b w:val="0"/>
              </w:rPr>
            </w:pPr>
            <w:r w:rsidRPr="00837C13">
              <w:rPr>
                <w:b w:val="0"/>
              </w:rPr>
              <w:t>End Use</w:t>
            </w:r>
          </w:p>
        </w:tc>
        <w:tc>
          <w:tcPr>
            <w:tcW w:w="504" w:type="pct"/>
            <w:shd w:val="clear" w:color="auto" w:fill="1A1D5D"/>
            <w:tcMar>
              <w:top w:w="29" w:type="dxa"/>
              <w:bottom w:w="29" w:type="dxa"/>
            </w:tcMar>
            <w:vAlign w:val="center"/>
          </w:tcPr>
          <w:p w:rsidR="00AA1A97" w:rsidRPr="00837C13" w:rsidRDefault="00AA1A97" w:rsidP="0090787C">
            <w:pPr>
              <w:spacing w:before="100" w:beforeAutospacing="1" w:after="100" w:afterAutospacing="1"/>
              <w:jc w:val="center"/>
              <w:rPr>
                <w:rFonts w:ascii="Calibri" w:hAnsi="Calibri"/>
                <w:szCs w:val="20"/>
              </w:rPr>
            </w:pPr>
            <w:r w:rsidRPr="00837C13">
              <w:rPr>
                <w:rFonts w:ascii="Calibri" w:hAnsi="Calibri"/>
                <w:bCs/>
                <w:szCs w:val="20"/>
              </w:rPr>
              <w:t>2013</w:t>
            </w:r>
          </w:p>
        </w:tc>
        <w:tc>
          <w:tcPr>
            <w:tcW w:w="554" w:type="pct"/>
            <w:shd w:val="clear" w:color="auto" w:fill="1A1D5D"/>
            <w:tcMar>
              <w:top w:w="29" w:type="dxa"/>
              <w:bottom w:w="29" w:type="dxa"/>
            </w:tcMar>
            <w:vAlign w:val="center"/>
          </w:tcPr>
          <w:p w:rsidR="00AA1A97" w:rsidRPr="00837C13" w:rsidRDefault="00AA1A97" w:rsidP="00A33346">
            <w:pPr>
              <w:spacing w:before="100" w:beforeAutospacing="1" w:after="100" w:afterAutospacing="1"/>
              <w:jc w:val="center"/>
              <w:rPr>
                <w:rFonts w:ascii="Calibri" w:hAnsi="Calibri"/>
                <w:szCs w:val="20"/>
              </w:rPr>
            </w:pPr>
            <w:r w:rsidRPr="00837C13">
              <w:rPr>
                <w:rFonts w:ascii="Calibri" w:hAnsi="Calibri"/>
                <w:bCs/>
                <w:szCs w:val="20"/>
              </w:rPr>
              <w:t>201</w:t>
            </w:r>
            <w:r w:rsidR="00A33346">
              <w:rPr>
                <w:rFonts w:ascii="Calibri" w:hAnsi="Calibri"/>
                <w:bCs/>
                <w:szCs w:val="20"/>
              </w:rPr>
              <w:t>6</w:t>
            </w:r>
          </w:p>
        </w:tc>
        <w:tc>
          <w:tcPr>
            <w:tcW w:w="555" w:type="pct"/>
            <w:shd w:val="clear" w:color="auto" w:fill="1A1D5D"/>
            <w:tcMar>
              <w:top w:w="29" w:type="dxa"/>
              <w:bottom w:w="29" w:type="dxa"/>
            </w:tcMar>
            <w:vAlign w:val="center"/>
          </w:tcPr>
          <w:p w:rsidR="00AA1A97" w:rsidRPr="00837C13" w:rsidRDefault="00AA1A97" w:rsidP="00A33346">
            <w:pPr>
              <w:spacing w:before="100" w:beforeAutospacing="1" w:after="100" w:afterAutospacing="1"/>
              <w:jc w:val="center"/>
              <w:rPr>
                <w:rFonts w:ascii="Calibri" w:hAnsi="Calibri"/>
                <w:szCs w:val="20"/>
              </w:rPr>
            </w:pPr>
            <w:r w:rsidRPr="00837C13">
              <w:rPr>
                <w:rFonts w:ascii="Calibri" w:hAnsi="Calibri"/>
                <w:bCs/>
                <w:szCs w:val="20"/>
              </w:rPr>
              <w:t>2</w:t>
            </w:r>
            <w:r w:rsidR="0090787C">
              <w:rPr>
                <w:rFonts w:ascii="Calibri" w:hAnsi="Calibri"/>
                <w:bCs/>
                <w:szCs w:val="20"/>
              </w:rPr>
              <w:t>01</w:t>
            </w:r>
            <w:r w:rsidR="00A33346">
              <w:rPr>
                <w:rFonts w:ascii="Calibri" w:hAnsi="Calibri"/>
                <w:bCs/>
                <w:szCs w:val="20"/>
              </w:rPr>
              <w:t>7</w:t>
            </w:r>
          </w:p>
        </w:tc>
        <w:tc>
          <w:tcPr>
            <w:tcW w:w="554" w:type="pct"/>
            <w:shd w:val="clear" w:color="auto" w:fill="1A1D5D"/>
            <w:tcMar>
              <w:top w:w="29" w:type="dxa"/>
              <w:bottom w:w="29" w:type="dxa"/>
            </w:tcMar>
            <w:vAlign w:val="center"/>
          </w:tcPr>
          <w:p w:rsidR="00AA1A97" w:rsidRPr="00837C13" w:rsidRDefault="0090787C" w:rsidP="00A33346">
            <w:pPr>
              <w:spacing w:before="100" w:beforeAutospacing="1" w:after="100" w:afterAutospacing="1"/>
              <w:jc w:val="center"/>
              <w:rPr>
                <w:rFonts w:ascii="Calibri" w:hAnsi="Calibri"/>
                <w:szCs w:val="20"/>
              </w:rPr>
            </w:pPr>
            <w:r>
              <w:rPr>
                <w:rFonts w:ascii="Calibri" w:hAnsi="Calibri"/>
                <w:bCs/>
                <w:szCs w:val="20"/>
              </w:rPr>
              <w:t>202</w:t>
            </w:r>
            <w:r w:rsidR="00A33346">
              <w:rPr>
                <w:rFonts w:ascii="Calibri" w:hAnsi="Calibri"/>
                <w:bCs/>
                <w:szCs w:val="20"/>
              </w:rPr>
              <w:t>0</w:t>
            </w:r>
          </w:p>
        </w:tc>
        <w:tc>
          <w:tcPr>
            <w:tcW w:w="554" w:type="pct"/>
            <w:shd w:val="clear" w:color="auto" w:fill="1A1D5D"/>
            <w:tcMar>
              <w:top w:w="29" w:type="dxa"/>
              <w:bottom w:w="29" w:type="dxa"/>
            </w:tcMar>
            <w:vAlign w:val="center"/>
          </w:tcPr>
          <w:p w:rsidR="00AA1A97" w:rsidRPr="00837C13" w:rsidRDefault="0090787C" w:rsidP="00A33346">
            <w:pPr>
              <w:spacing w:before="100" w:beforeAutospacing="1" w:after="100" w:afterAutospacing="1"/>
              <w:jc w:val="center"/>
              <w:rPr>
                <w:rFonts w:ascii="Calibri" w:hAnsi="Calibri"/>
                <w:szCs w:val="20"/>
              </w:rPr>
            </w:pPr>
            <w:r>
              <w:rPr>
                <w:rFonts w:ascii="Calibri" w:hAnsi="Calibri"/>
                <w:bCs/>
                <w:szCs w:val="20"/>
              </w:rPr>
              <w:t>202</w:t>
            </w:r>
            <w:r w:rsidR="00A33346">
              <w:rPr>
                <w:rFonts w:ascii="Calibri" w:hAnsi="Calibri"/>
                <w:bCs/>
                <w:szCs w:val="20"/>
              </w:rPr>
              <w:t>5</w:t>
            </w:r>
          </w:p>
        </w:tc>
        <w:tc>
          <w:tcPr>
            <w:tcW w:w="555" w:type="pct"/>
            <w:shd w:val="clear" w:color="auto" w:fill="1A1D5D"/>
            <w:vAlign w:val="center"/>
          </w:tcPr>
          <w:p w:rsidR="00AA1A97" w:rsidRPr="00837C13" w:rsidRDefault="0090787C" w:rsidP="00A33346">
            <w:pPr>
              <w:spacing w:before="100" w:beforeAutospacing="1" w:after="100" w:afterAutospacing="1"/>
              <w:jc w:val="center"/>
              <w:rPr>
                <w:rFonts w:ascii="Calibri" w:hAnsi="Calibri"/>
                <w:szCs w:val="20"/>
              </w:rPr>
            </w:pPr>
            <w:r>
              <w:rPr>
                <w:rFonts w:ascii="Calibri" w:hAnsi="Calibri"/>
                <w:bCs/>
                <w:szCs w:val="20"/>
              </w:rPr>
              <w:t>203</w:t>
            </w:r>
            <w:r w:rsidR="00A33346">
              <w:rPr>
                <w:rFonts w:ascii="Calibri" w:hAnsi="Calibri"/>
                <w:bCs/>
                <w:szCs w:val="20"/>
              </w:rPr>
              <w:t>5</w:t>
            </w:r>
          </w:p>
        </w:tc>
        <w:tc>
          <w:tcPr>
            <w:tcW w:w="588" w:type="pct"/>
            <w:shd w:val="clear" w:color="auto" w:fill="1A1D5D"/>
            <w:vAlign w:val="center"/>
          </w:tcPr>
          <w:p w:rsidR="00AA1A97" w:rsidRPr="00837C13" w:rsidRDefault="00AA1A97" w:rsidP="00A33346">
            <w:pPr>
              <w:spacing w:before="100" w:beforeAutospacing="1" w:after="100" w:afterAutospacing="1"/>
              <w:jc w:val="center"/>
              <w:rPr>
                <w:rFonts w:ascii="Calibri" w:hAnsi="Calibri"/>
                <w:bCs/>
                <w:color w:val="FFFFFF"/>
                <w:szCs w:val="20"/>
              </w:rPr>
            </w:pPr>
            <w:r w:rsidRPr="00837C13">
              <w:rPr>
                <w:rFonts w:ascii="Calibri" w:hAnsi="Calibri"/>
                <w:bCs/>
                <w:szCs w:val="20"/>
              </w:rPr>
              <w:t>% Change</w:t>
            </w:r>
            <w:r w:rsidRPr="00837C13">
              <w:rPr>
                <w:rFonts w:ascii="Calibri" w:hAnsi="Calibri"/>
                <w:bCs/>
                <w:szCs w:val="20"/>
              </w:rPr>
              <w:br/>
            </w:r>
            <w:r w:rsidRPr="00837C13">
              <w:rPr>
                <w:rFonts w:ascii="Calibri" w:hAnsi="Calibri"/>
                <w:bCs/>
                <w:szCs w:val="20"/>
              </w:rPr>
              <w:lastRenderedPageBreak/>
              <w:t>('13-'3</w:t>
            </w:r>
            <w:r w:rsidR="00A33346">
              <w:rPr>
                <w:rFonts w:ascii="Calibri" w:hAnsi="Calibri"/>
                <w:bCs/>
                <w:szCs w:val="20"/>
              </w:rPr>
              <w:t>5</w:t>
            </w:r>
            <w:r w:rsidRPr="00837C13">
              <w:rPr>
                <w:rFonts w:ascii="Calibri" w:hAnsi="Calibri"/>
                <w:bCs/>
                <w:szCs w:val="20"/>
              </w:rPr>
              <w:t>)</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lastRenderedPageBreak/>
              <w:t>Cooling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334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282</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282</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285</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287</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293</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-12.3%</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Heating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243</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248</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250</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255</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263</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277</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14.3%</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Ventilation</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209</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211</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212</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215</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217</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224</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6.9%</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Water Heating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118</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119</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119</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121</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125</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132</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11.9%</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Interior Lighting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474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462</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460</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455</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452</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475</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0.1%</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Exterior Lighting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160</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146</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143</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133</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122</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121</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-24.6%</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Refrigeration</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175</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186</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191</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204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227</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276</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57.6%</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Food Preparation</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80</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83</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84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88</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94</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115</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44.9%</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Office Equipment</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144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136</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132</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134</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145</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0.4%</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Miscellaneous</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149</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153</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155</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166</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184</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224</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51.0%</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b/>
                <w:bCs/>
                <w:color w:val="000000"/>
                <w:szCs w:val="20"/>
              </w:rPr>
            </w:pPr>
            <w:r w:rsidRPr="0090787C">
              <w:rPr>
                <w:rFonts w:ascii="Calibri" w:hAnsi="Calibri" w:cs="Calibri"/>
                <w:b/>
                <w:bCs/>
                <w:color w:val="000000"/>
                <w:szCs w:val="20"/>
              </w:rPr>
              <w:t>Total</w:t>
            </w:r>
          </w:p>
        </w:tc>
        <w:tc>
          <w:tcPr>
            <w:tcW w:w="504"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2,086</w:t>
            </w:r>
          </w:p>
        </w:tc>
        <w:tc>
          <w:tcPr>
            <w:tcW w:w="554"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2,027</w:t>
            </w:r>
          </w:p>
        </w:tc>
        <w:tc>
          <w:tcPr>
            <w:tcW w:w="555"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2,031</w:t>
            </w:r>
          </w:p>
        </w:tc>
        <w:tc>
          <w:tcPr>
            <w:tcW w:w="554"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2,053</w:t>
            </w:r>
          </w:p>
        </w:tc>
        <w:tc>
          <w:tcPr>
            <w:tcW w:w="554"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2,106</w:t>
            </w:r>
          </w:p>
        </w:tc>
        <w:tc>
          <w:tcPr>
            <w:tcW w:w="555" w:type="pct"/>
            <w:shd w:val="clear" w:color="auto" w:fill="E5ECF1"/>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2,282</w:t>
            </w:r>
          </w:p>
        </w:tc>
        <w:tc>
          <w:tcPr>
            <w:tcW w:w="588" w:type="pct"/>
            <w:shd w:val="clear" w:color="auto" w:fill="E5ECF1"/>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9.4%</w:t>
            </w:r>
          </w:p>
        </w:tc>
      </w:tr>
    </w:tbl>
    <w:p w:rsidR="00A33346" w:rsidRPr="000E3F5F" w:rsidRDefault="00A33346" w:rsidP="00A33346">
      <w:pPr>
        <w:pStyle w:val="FigureorTableTitle"/>
      </w:pPr>
      <w:bookmarkStart w:id="294" w:name="_Toc424192782"/>
      <w:bookmarkStart w:id="295" w:name="_Ref337025875"/>
      <w:bookmarkStart w:id="296" w:name="_Toc341180524"/>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8</w:t>
      </w:r>
      <w:r w:rsidR="00512CD6">
        <w:rPr>
          <w:bCs w:val="0"/>
          <w:iCs w:val="0"/>
          <w:noProof/>
        </w:rPr>
        <w:fldChar w:fldCharType="end"/>
      </w:r>
      <w:r>
        <w:tab/>
        <w:t xml:space="preserve">Commercial Baseline </w:t>
      </w:r>
      <w:r w:rsidR="00144F91">
        <w:t xml:space="preserve">Sales </w:t>
      </w:r>
      <w:r>
        <w:t>Projection by End Use (GWh), Idaho</w:t>
      </w:r>
      <w:bookmarkEnd w:id="294"/>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048"/>
        <w:gridCol w:w="908"/>
        <w:gridCol w:w="998"/>
        <w:gridCol w:w="1000"/>
        <w:gridCol w:w="998"/>
        <w:gridCol w:w="998"/>
        <w:gridCol w:w="1000"/>
        <w:gridCol w:w="1060"/>
      </w:tblGrid>
      <w:tr w:rsidR="00A33346" w:rsidRPr="00564E06" w:rsidTr="00F71296">
        <w:trPr>
          <w:trHeight w:val="144"/>
        </w:trPr>
        <w:tc>
          <w:tcPr>
            <w:tcW w:w="1136" w:type="pct"/>
            <w:shd w:val="clear" w:color="auto" w:fill="1A1D5D"/>
            <w:tcMar>
              <w:top w:w="29" w:type="dxa"/>
              <w:bottom w:w="29" w:type="dxa"/>
            </w:tcMar>
            <w:vAlign w:val="center"/>
          </w:tcPr>
          <w:p w:rsidR="00A33346" w:rsidRPr="00837C13" w:rsidRDefault="00A33346" w:rsidP="00F71296">
            <w:pPr>
              <w:pStyle w:val="TableHeadings"/>
              <w:spacing w:before="100" w:beforeAutospacing="1" w:after="100" w:afterAutospacing="1"/>
              <w:rPr>
                <w:b w:val="0"/>
              </w:rPr>
            </w:pPr>
            <w:r w:rsidRPr="00837C13">
              <w:rPr>
                <w:b w:val="0"/>
              </w:rPr>
              <w:t>End Use</w:t>
            </w:r>
          </w:p>
        </w:tc>
        <w:tc>
          <w:tcPr>
            <w:tcW w:w="504" w:type="pct"/>
            <w:shd w:val="clear" w:color="auto" w:fill="1A1D5D"/>
            <w:tcMar>
              <w:top w:w="29" w:type="dxa"/>
              <w:bottom w:w="29" w:type="dxa"/>
            </w:tcMar>
            <w:vAlign w:val="center"/>
          </w:tcPr>
          <w:p w:rsidR="00A33346" w:rsidRPr="00837C13" w:rsidRDefault="00A33346" w:rsidP="00F71296">
            <w:pPr>
              <w:spacing w:before="100" w:beforeAutospacing="1" w:after="100" w:afterAutospacing="1"/>
              <w:jc w:val="center"/>
              <w:rPr>
                <w:rFonts w:ascii="Calibri" w:hAnsi="Calibri"/>
                <w:szCs w:val="20"/>
              </w:rPr>
            </w:pPr>
            <w:r w:rsidRPr="00837C13">
              <w:rPr>
                <w:rFonts w:ascii="Calibri" w:hAnsi="Calibri"/>
                <w:bCs/>
                <w:szCs w:val="20"/>
              </w:rPr>
              <w:t>2013</w:t>
            </w:r>
          </w:p>
        </w:tc>
        <w:tc>
          <w:tcPr>
            <w:tcW w:w="554" w:type="pct"/>
            <w:shd w:val="clear" w:color="auto" w:fill="1A1D5D"/>
            <w:tcMar>
              <w:top w:w="29" w:type="dxa"/>
              <w:bottom w:w="29" w:type="dxa"/>
            </w:tcMar>
            <w:vAlign w:val="center"/>
          </w:tcPr>
          <w:p w:rsidR="00A33346" w:rsidRPr="00837C13" w:rsidRDefault="00A33346" w:rsidP="00F71296">
            <w:pPr>
              <w:spacing w:before="100" w:beforeAutospacing="1" w:after="100" w:afterAutospacing="1"/>
              <w:jc w:val="center"/>
              <w:rPr>
                <w:rFonts w:ascii="Calibri" w:hAnsi="Calibri"/>
                <w:szCs w:val="20"/>
              </w:rPr>
            </w:pPr>
            <w:r w:rsidRPr="00837C13">
              <w:rPr>
                <w:rFonts w:ascii="Calibri" w:hAnsi="Calibri"/>
                <w:bCs/>
                <w:szCs w:val="20"/>
              </w:rPr>
              <w:t>201</w:t>
            </w:r>
            <w:r>
              <w:rPr>
                <w:rFonts w:ascii="Calibri" w:hAnsi="Calibri"/>
                <w:bCs/>
                <w:szCs w:val="20"/>
              </w:rPr>
              <w:t>6</w:t>
            </w:r>
          </w:p>
        </w:tc>
        <w:tc>
          <w:tcPr>
            <w:tcW w:w="555" w:type="pct"/>
            <w:shd w:val="clear" w:color="auto" w:fill="1A1D5D"/>
            <w:tcMar>
              <w:top w:w="29" w:type="dxa"/>
              <w:bottom w:w="29" w:type="dxa"/>
            </w:tcMar>
            <w:vAlign w:val="center"/>
          </w:tcPr>
          <w:p w:rsidR="00A33346" w:rsidRPr="00837C13" w:rsidRDefault="00A33346" w:rsidP="00F71296">
            <w:pPr>
              <w:spacing w:before="100" w:beforeAutospacing="1" w:after="100" w:afterAutospacing="1"/>
              <w:jc w:val="center"/>
              <w:rPr>
                <w:rFonts w:ascii="Calibri" w:hAnsi="Calibri"/>
                <w:szCs w:val="20"/>
              </w:rPr>
            </w:pPr>
            <w:r w:rsidRPr="00837C13">
              <w:rPr>
                <w:rFonts w:ascii="Calibri" w:hAnsi="Calibri"/>
                <w:bCs/>
                <w:szCs w:val="20"/>
              </w:rPr>
              <w:t>2</w:t>
            </w:r>
            <w:r>
              <w:rPr>
                <w:rFonts w:ascii="Calibri" w:hAnsi="Calibri"/>
                <w:bCs/>
                <w:szCs w:val="20"/>
              </w:rPr>
              <w:t>017</w:t>
            </w:r>
          </w:p>
        </w:tc>
        <w:tc>
          <w:tcPr>
            <w:tcW w:w="554" w:type="pct"/>
            <w:shd w:val="clear" w:color="auto" w:fill="1A1D5D"/>
            <w:tcMar>
              <w:top w:w="29" w:type="dxa"/>
              <w:bottom w:w="29" w:type="dxa"/>
            </w:tcMar>
            <w:vAlign w:val="center"/>
          </w:tcPr>
          <w:p w:rsidR="00A33346" w:rsidRPr="00837C13" w:rsidRDefault="00A33346" w:rsidP="00F71296">
            <w:pPr>
              <w:spacing w:before="100" w:beforeAutospacing="1" w:after="100" w:afterAutospacing="1"/>
              <w:jc w:val="center"/>
              <w:rPr>
                <w:rFonts w:ascii="Calibri" w:hAnsi="Calibri"/>
                <w:szCs w:val="20"/>
              </w:rPr>
            </w:pPr>
            <w:r>
              <w:rPr>
                <w:rFonts w:ascii="Calibri" w:hAnsi="Calibri"/>
                <w:bCs/>
                <w:szCs w:val="20"/>
              </w:rPr>
              <w:t>2020</w:t>
            </w:r>
          </w:p>
        </w:tc>
        <w:tc>
          <w:tcPr>
            <w:tcW w:w="554" w:type="pct"/>
            <w:shd w:val="clear" w:color="auto" w:fill="1A1D5D"/>
            <w:tcMar>
              <w:top w:w="29" w:type="dxa"/>
              <w:bottom w:w="29" w:type="dxa"/>
            </w:tcMar>
            <w:vAlign w:val="center"/>
          </w:tcPr>
          <w:p w:rsidR="00A33346" w:rsidRPr="00837C13" w:rsidRDefault="00A33346" w:rsidP="00F71296">
            <w:pPr>
              <w:spacing w:before="100" w:beforeAutospacing="1" w:after="100" w:afterAutospacing="1"/>
              <w:jc w:val="center"/>
              <w:rPr>
                <w:rFonts w:ascii="Calibri" w:hAnsi="Calibri"/>
                <w:szCs w:val="20"/>
              </w:rPr>
            </w:pPr>
            <w:r>
              <w:rPr>
                <w:rFonts w:ascii="Calibri" w:hAnsi="Calibri"/>
                <w:bCs/>
                <w:szCs w:val="20"/>
              </w:rPr>
              <w:t>2025</w:t>
            </w:r>
          </w:p>
        </w:tc>
        <w:tc>
          <w:tcPr>
            <w:tcW w:w="555" w:type="pct"/>
            <w:shd w:val="clear" w:color="auto" w:fill="1A1D5D"/>
            <w:vAlign w:val="center"/>
          </w:tcPr>
          <w:p w:rsidR="00A33346" w:rsidRPr="00837C13" w:rsidRDefault="00A33346" w:rsidP="00F71296">
            <w:pPr>
              <w:spacing w:before="100" w:beforeAutospacing="1" w:after="100" w:afterAutospacing="1"/>
              <w:jc w:val="center"/>
              <w:rPr>
                <w:rFonts w:ascii="Calibri" w:hAnsi="Calibri"/>
                <w:szCs w:val="20"/>
              </w:rPr>
            </w:pPr>
            <w:r>
              <w:rPr>
                <w:rFonts w:ascii="Calibri" w:hAnsi="Calibri"/>
                <w:bCs/>
                <w:szCs w:val="20"/>
              </w:rPr>
              <w:t>2035</w:t>
            </w:r>
          </w:p>
        </w:tc>
        <w:tc>
          <w:tcPr>
            <w:tcW w:w="588" w:type="pct"/>
            <w:shd w:val="clear" w:color="auto" w:fill="1A1D5D"/>
            <w:vAlign w:val="center"/>
          </w:tcPr>
          <w:p w:rsidR="00A33346" w:rsidRPr="00837C13" w:rsidRDefault="00A33346" w:rsidP="00F71296">
            <w:pPr>
              <w:spacing w:before="100" w:beforeAutospacing="1" w:after="100" w:afterAutospacing="1"/>
              <w:jc w:val="center"/>
              <w:rPr>
                <w:rFonts w:ascii="Calibri" w:hAnsi="Calibri"/>
                <w:bCs/>
                <w:color w:val="FFFFFF"/>
                <w:szCs w:val="20"/>
              </w:rPr>
            </w:pPr>
            <w:r w:rsidRPr="00837C13">
              <w:rPr>
                <w:rFonts w:ascii="Calibri" w:hAnsi="Calibri"/>
                <w:bCs/>
                <w:szCs w:val="20"/>
              </w:rPr>
              <w:t>% Change</w:t>
            </w:r>
            <w:r w:rsidRPr="00837C13">
              <w:rPr>
                <w:rFonts w:ascii="Calibri" w:hAnsi="Calibri"/>
                <w:bCs/>
                <w:szCs w:val="20"/>
              </w:rPr>
              <w:br/>
              <w:t>('13-'3</w:t>
            </w:r>
            <w:r>
              <w:rPr>
                <w:rFonts w:ascii="Calibri" w:hAnsi="Calibri"/>
                <w:bCs/>
                <w:szCs w:val="20"/>
              </w:rPr>
              <w:t>5</w:t>
            </w:r>
            <w:r w:rsidRPr="00837C13">
              <w:rPr>
                <w:rFonts w:ascii="Calibri" w:hAnsi="Calibri"/>
                <w:bCs/>
                <w:szCs w:val="20"/>
              </w:rPr>
              <w:t>)</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Cooling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156</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131</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131</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132</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133</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135</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-13.3%</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Heating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116</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119</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119</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122</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125</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130</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12.1%</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Ventilation</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96</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96</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97</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98</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98</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101</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5.5%</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Water Heating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53</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53</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56</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59</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10.1%</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Interior Lighting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229</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223</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222</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219</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217</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226</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-1.4%</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Exterior Lighting</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83</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77</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75</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71</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66</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66</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-20.7%</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Refrigeration</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77</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82</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84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90</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100</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123</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61.1%</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Food Preparation</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34</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36</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37</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39</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42</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52</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50.8%</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Office Equipment</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66</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63</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62</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61</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62</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68</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2.1%</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color w:val="000000"/>
                <w:szCs w:val="20"/>
              </w:rPr>
            </w:pPr>
            <w:r w:rsidRPr="0090787C">
              <w:rPr>
                <w:rFonts w:ascii="Calibri" w:hAnsi="Calibri" w:cs="Calibri"/>
                <w:color w:val="000000"/>
                <w:szCs w:val="20"/>
              </w:rPr>
              <w:t>Miscellaneous</w:t>
            </w:r>
          </w:p>
        </w:tc>
        <w:tc>
          <w:tcPr>
            <w:tcW w:w="50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65</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68</w:t>
            </w:r>
          </w:p>
        </w:tc>
        <w:tc>
          <w:tcPr>
            <w:tcW w:w="555"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70</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75</w:t>
            </w:r>
          </w:p>
        </w:tc>
        <w:tc>
          <w:tcPr>
            <w:tcW w:w="554" w:type="pct"/>
            <w:shd w:val="clear" w:color="auto" w:fill="E5ECF1"/>
            <w:tcMar>
              <w:top w:w="29" w:type="dxa"/>
              <w:bottom w:w="29" w:type="dxa"/>
            </w:tcMar>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84</w:t>
            </w:r>
          </w:p>
        </w:tc>
        <w:tc>
          <w:tcPr>
            <w:tcW w:w="555"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104</w:t>
            </w:r>
          </w:p>
        </w:tc>
        <w:tc>
          <w:tcPr>
            <w:tcW w:w="588" w:type="pct"/>
            <w:shd w:val="clear" w:color="auto" w:fill="E5ECF1"/>
            <w:vAlign w:val="center"/>
          </w:tcPr>
          <w:p w:rsidR="00A33346" w:rsidRPr="0090787C" w:rsidRDefault="00A33346" w:rsidP="001A0079">
            <w:pPr>
              <w:spacing w:before="100" w:beforeAutospacing="1" w:after="100" w:afterAutospacing="1"/>
              <w:ind w:right="288"/>
              <w:jc w:val="right"/>
              <w:rPr>
                <w:rFonts w:ascii="Calibri" w:hAnsi="Calibri" w:cs="Calibri"/>
                <w:color w:val="000000"/>
                <w:szCs w:val="20"/>
              </w:rPr>
            </w:pPr>
            <w:r w:rsidRPr="00A33346">
              <w:rPr>
                <w:rFonts w:ascii="Calibri" w:hAnsi="Calibri" w:cs="Calibri"/>
                <w:color w:val="000000"/>
                <w:szCs w:val="20"/>
              </w:rPr>
              <w:t>59.1%</w:t>
            </w:r>
          </w:p>
        </w:tc>
      </w:tr>
      <w:tr w:rsidR="00A33346" w:rsidRPr="00564E06" w:rsidTr="001A0079">
        <w:trPr>
          <w:trHeight w:val="144"/>
        </w:trPr>
        <w:tc>
          <w:tcPr>
            <w:tcW w:w="1136" w:type="pct"/>
            <w:tcMar>
              <w:top w:w="29" w:type="dxa"/>
              <w:bottom w:w="29" w:type="dxa"/>
            </w:tcMar>
            <w:vAlign w:val="center"/>
          </w:tcPr>
          <w:p w:rsidR="00A33346" w:rsidRPr="0090787C" w:rsidRDefault="00A33346" w:rsidP="00A33346">
            <w:pPr>
              <w:spacing w:before="100" w:beforeAutospacing="1" w:after="100" w:afterAutospacing="1"/>
              <w:ind w:left="144"/>
              <w:rPr>
                <w:rFonts w:ascii="Calibri" w:hAnsi="Calibri" w:cs="Calibri"/>
                <w:b/>
                <w:bCs/>
                <w:color w:val="000000"/>
                <w:szCs w:val="20"/>
              </w:rPr>
            </w:pPr>
            <w:r w:rsidRPr="0090787C">
              <w:rPr>
                <w:rFonts w:ascii="Calibri" w:hAnsi="Calibri" w:cs="Calibri"/>
                <w:b/>
                <w:bCs/>
                <w:color w:val="000000"/>
                <w:szCs w:val="20"/>
              </w:rPr>
              <w:t>Total</w:t>
            </w:r>
          </w:p>
        </w:tc>
        <w:tc>
          <w:tcPr>
            <w:tcW w:w="504"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976</w:t>
            </w:r>
          </w:p>
        </w:tc>
        <w:tc>
          <w:tcPr>
            <w:tcW w:w="554"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949</w:t>
            </w:r>
          </w:p>
        </w:tc>
        <w:tc>
          <w:tcPr>
            <w:tcW w:w="555"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950</w:t>
            </w:r>
          </w:p>
        </w:tc>
        <w:tc>
          <w:tcPr>
            <w:tcW w:w="554"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960</w:t>
            </w:r>
          </w:p>
        </w:tc>
        <w:tc>
          <w:tcPr>
            <w:tcW w:w="554" w:type="pct"/>
            <w:shd w:val="clear" w:color="auto" w:fill="E5ECF1"/>
            <w:tcMar>
              <w:top w:w="29" w:type="dxa"/>
              <w:bottom w:w="29" w:type="dxa"/>
            </w:tcMar>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983</w:t>
            </w:r>
          </w:p>
        </w:tc>
        <w:tc>
          <w:tcPr>
            <w:tcW w:w="555" w:type="pct"/>
            <w:shd w:val="clear" w:color="auto" w:fill="E5ECF1"/>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1,063</w:t>
            </w:r>
          </w:p>
        </w:tc>
        <w:tc>
          <w:tcPr>
            <w:tcW w:w="588" w:type="pct"/>
            <w:shd w:val="clear" w:color="auto" w:fill="E5ECF1"/>
            <w:vAlign w:val="center"/>
          </w:tcPr>
          <w:p w:rsidR="00A33346" w:rsidRPr="00A33346" w:rsidRDefault="00A33346" w:rsidP="001A0079">
            <w:pPr>
              <w:spacing w:before="100" w:beforeAutospacing="1" w:after="100" w:afterAutospacing="1"/>
              <w:ind w:right="288"/>
              <w:jc w:val="right"/>
              <w:rPr>
                <w:rFonts w:ascii="Calibri" w:hAnsi="Calibri" w:cs="Calibri"/>
                <w:b/>
                <w:color w:val="000000"/>
                <w:szCs w:val="20"/>
              </w:rPr>
            </w:pPr>
            <w:r w:rsidRPr="00A33346">
              <w:rPr>
                <w:rFonts w:ascii="Calibri" w:hAnsi="Calibri" w:cs="Calibri"/>
                <w:b/>
                <w:color w:val="000000"/>
                <w:szCs w:val="20"/>
              </w:rPr>
              <w:t>9.0%</w:t>
            </w:r>
          </w:p>
        </w:tc>
      </w:tr>
    </w:tbl>
    <w:p w:rsidR="00157088" w:rsidRDefault="00157088" w:rsidP="00157088">
      <w:pPr>
        <w:pStyle w:val="BodyText"/>
      </w:pPr>
    </w:p>
    <w:p w:rsidR="00157088" w:rsidRDefault="00157088" w:rsidP="00837C13">
      <w:pPr>
        <w:pStyle w:val="FigureorTableTitle"/>
      </w:pPr>
      <w:bookmarkStart w:id="297" w:name="_Ref369684810"/>
      <w:bookmarkStart w:id="298" w:name="_Toc387951598"/>
      <w:bookmarkStart w:id="299" w:name="_Toc424192720"/>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9</w:t>
      </w:r>
      <w:r w:rsidR="00512CD6">
        <w:rPr>
          <w:noProof/>
          <w:szCs w:val="18"/>
        </w:rPr>
        <w:fldChar w:fldCharType="end"/>
      </w:r>
      <w:bookmarkEnd w:id="295"/>
      <w:bookmarkEnd w:id="297"/>
      <w:r>
        <w:tab/>
        <w:t>Commercial Baseline Projection by End Use</w:t>
      </w:r>
      <w:bookmarkEnd w:id="296"/>
      <w:bookmarkEnd w:id="298"/>
      <w:r w:rsidR="000A7571">
        <w:t>, Washington</w:t>
      </w:r>
      <w:bookmarkEnd w:id="299"/>
    </w:p>
    <w:p w:rsidR="004F5D22" w:rsidRDefault="004F5D22" w:rsidP="000700B6">
      <w:pPr>
        <w:pStyle w:val="BodyText"/>
      </w:pPr>
      <w:r w:rsidRPr="004F5D22">
        <w:rPr>
          <w:noProof/>
        </w:rPr>
        <w:drawing>
          <wp:inline distT="0" distB="0" distL="0" distR="0">
            <wp:extent cx="5715000" cy="2884888"/>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4F5D22" w:rsidRDefault="004F5D22" w:rsidP="004F5D22">
      <w:pPr>
        <w:pStyle w:val="FigureorTableTitle"/>
      </w:pPr>
      <w:bookmarkStart w:id="300" w:name="_Toc424192721"/>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10</w:t>
      </w:r>
      <w:r w:rsidR="00512CD6">
        <w:rPr>
          <w:noProof/>
          <w:szCs w:val="18"/>
        </w:rPr>
        <w:fldChar w:fldCharType="end"/>
      </w:r>
      <w:r>
        <w:tab/>
        <w:t>Commercial Baseline Projection by End Use, Idaho</w:t>
      </w:r>
      <w:bookmarkEnd w:id="300"/>
    </w:p>
    <w:p w:rsidR="008E3AB1" w:rsidRDefault="004F5D22" w:rsidP="000700B6">
      <w:pPr>
        <w:pStyle w:val="BodyText"/>
      </w:pPr>
      <w:r w:rsidRPr="004F5D22">
        <w:rPr>
          <w:noProof/>
        </w:rPr>
        <w:drawing>
          <wp:inline distT="0" distB="0" distL="0" distR="0">
            <wp:extent cx="5715000" cy="2884888"/>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r w:rsidR="008E3AB1">
        <w:br w:type="page"/>
      </w:r>
    </w:p>
    <w:p w:rsidR="00955F32" w:rsidRPr="00955F32" w:rsidRDefault="00955F32" w:rsidP="00BD0E72">
      <w:pPr>
        <w:pStyle w:val="Heading3"/>
      </w:pPr>
      <w:bookmarkStart w:id="301" w:name="_Toc424192631"/>
      <w:bookmarkStart w:id="302" w:name="_Toc333955925"/>
      <w:bookmarkStart w:id="303" w:name="_Toc335647167"/>
      <w:bookmarkStart w:id="304" w:name="_Toc341176232"/>
      <w:bookmarkStart w:id="305" w:name="_Toc401046350"/>
      <w:r w:rsidRPr="00955F32">
        <w:lastRenderedPageBreak/>
        <w:t>Commercial Summer Peak Demand Projection</w:t>
      </w:r>
      <w:bookmarkEnd w:id="301"/>
    </w:p>
    <w:p w:rsidR="008E3AB1" w:rsidRDefault="00F15265" w:rsidP="008E3AB1">
      <w:pPr>
        <w:pStyle w:val="BodyText"/>
      </w:pPr>
      <w:r>
        <w:t>The tables and charts below</w:t>
      </w:r>
      <w:r w:rsidR="00955F32" w:rsidRPr="00955F32">
        <w:t xml:space="preserve"> present the </w:t>
      </w:r>
      <w:r w:rsidR="00955F32">
        <w:t xml:space="preserve">summer peak </w:t>
      </w:r>
      <w:r w:rsidR="00955F32" w:rsidRPr="00955F32">
        <w:t xml:space="preserve">baseline projection at the end-use level for the commercial sector as a whole. </w:t>
      </w:r>
      <w:r>
        <w:t>In Washington, s</w:t>
      </w:r>
      <w:r w:rsidR="00955F32">
        <w:t xml:space="preserve">ummer peak demand </w:t>
      </w:r>
      <w:r w:rsidR="00484103">
        <w:t>increases</w:t>
      </w:r>
      <w:r w:rsidR="00955F32">
        <w:t xml:space="preserve"> </w:t>
      </w:r>
      <w:r w:rsidR="008E3AB1" w:rsidRPr="00955F32">
        <w:t xml:space="preserve">during the overall forecast horizon, starting at </w:t>
      </w:r>
      <w:r>
        <w:t>368</w:t>
      </w:r>
      <w:r w:rsidR="000700B6">
        <w:t xml:space="preserve"> MW</w:t>
      </w:r>
      <w:r w:rsidR="008E3AB1" w:rsidRPr="00955F32">
        <w:t xml:space="preserve"> in 2013 and </w:t>
      </w:r>
      <w:r w:rsidR="00484103">
        <w:t xml:space="preserve">increasing by </w:t>
      </w:r>
      <w:r>
        <w:t>4</w:t>
      </w:r>
      <w:r w:rsidR="00484103">
        <w:t xml:space="preserve">% </w:t>
      </w:r>
      <w:r w:rsidR="00955F32">
        <w:t xml:space="preserve">to </w:t>
      </w:r>
      <w:r>
        <w:t>383 MW</w:t>
      </w:r>
      <w:r w:rsidR="00955F32">
        <w:t xml:space="preserve"> in 203</w:t>
      </w:r>
      <w:r>
        <w:t>5</w:t>
      </w:r>
      <w:r w:rsidR="00955F32">
        <w:t xml:space="preserve">. </w:t>
      </w:r>
      <w:r>
        <w:t xml:space="preserve">In Idaho, the summer peak demand is 167 MW in 2013 and 173 MW in 2035, an increase of 4%. </w:t>
      </w:r>
    </w:p>
    <w:p w:rsidR="008E3AB1" w:rsidRPr="000E3F5F" w:rsidRDefault="0060217C" w:rsidP="008E3AB1">
      <w:pPr>
        <w:pStyle w:val="FigureorTableTitle"/>
      </w:pPr>
      <w:bookmarkStart w:id="306" w:name="_Ref402253679"/>
      <w:bookmarkStart w:id="307" w:name="_Toc424192783"/>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9</w:t>
      </w:r>
      <w:r w:rsidR="00512CD6">
        <w:rPr>
          <w:bCs w:val="0"/>
          <w:iCs w:val="0"/>
          <w:noProof/>
        </w:rPr>
        <w:fldChar w:fldCharType="end"/>
      </w:r>
      <w:bookmarkEnd w:id="306"/>
      <w:r w:rsidR="008E3AB1">
        <w:tab/>
        <w:t>Commercial Summer Peak Baseline Projection by End Use (MW)</w:t>
      </w:r>
      <w:r w:rsidR="0089529D">
        <w:t>, Washington</w:t>
      </w:r>
      <w:bookmarkEnd w:id="307"/>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115" w:type="dxa"/>
        </w:tblCellMar>
        <w:tblLook w:val="04A0" w:firstRow="1" w:lastRow="0" w:firstColumn="1" w:lastColumn="0" w:noHBand="0" w:noVBand="1"/>
      </w:tblPr>
      <w:tblGrid>
        <w:gridCol w:w="2073"/>
        <w:gridCol w:w="920"/>
        <w:gridCol w:w="1010"/>
        <w:gridCol w:w="1012"/>
        <w:gridCol w:w="1010"/>
        <w:gridCol w:w="1010"/>
        <w:gridCol w:w="1012"/>
        <w:gridCol w:w="1073"/>
      </w:tblGrid>
      <w:tr w:rsidR="008E3AB1" w:rsidRPr="00564E06" w:rsidTr="00DD08CA">
        <w:trPr>
          <w:trHeight w:val="144"/>
        </w:trPr>
        <w:tc>
          <w:tcPr>
            <w:tcW w:w="1136" w:type="pct"/>
            <w:shd w:val="clear" w:color="auto" w:fill="1A1D5D"/>
            <w:tcMar>
              <w:top w:w="29" w:type="dxa"/>
              <w:bottom w:w="29" w:type="dxa"/>
            </w:tcMar>
            <w:vAlign w:val="center"/>
          </w:tcPr>
          <w:p w:rsidR="008E3AB1" w:rsidRPr="001E1315" w:rsidRDefault="008E3AB1" w:rsidP="00103A85">
            <w:pPr>
              <w:pStyle w:val="TableHeadings"/>
              <w:rPr>
                <w:b w:val="0"/>
              </w:rPr>
            </w:pPr>
            <w:r w:rsidRPr="001E1315">
              <w:rPr>
                <w:b w:val="0"/>
              </w:rPr>
              <w:t>End Use</w:t>
            </w:r>
          </w:p>
        </w:tc>
        <w:tc>
          <w:tcPr>
            <w:tcW w:w="504" w:type="pct"/>
            <w:shd w:val="clear" w:color="auto" w:fill="1A1D5D"/>
            <w:tcMar>
              <w:top w:w="29" w:type="dxa"/>
              <w:bottom w:w="29" w:type="dxa"/>
            </w:tcMar>
            <w:vAlign w:val="center"/>
          </w:tcPr>
          <w:p w:rsidR="008E3AB1" w:rsidRPr="001E1315" w:rsidRDefault="008E3AB1" w:rsidP="00103A85">
            <w:pPr>
              <w:jc w:val="center"/>
              <w:rPr>
                <w:rFonts w:ascii="Calibri" w:hAnsi="Calibri"/>
                <w:szCs w:val="20"/>
              </w:rPr>
            </w:pPr>
            <w:r w:rsidRPr="001E1315">
              <w:rPr>
                <w:rFonts w:ascii="Calibri" w:hAnsi="Calibri"/>
                <w:bCs/>
                <w:szCs w:val="20"/>
              </w:rPr>
              <w:t>2013</w:t>
            </w:r>
          </w:p>
        </w:tc>
        <w:tc>
          <w:tcPr>
            <w:tcW w:w="554" w:type="pct"/>
            <w:shd w:val="clear" w:color="auto" w:fill="1A1D5D"/>
            <w:tcMar>
              <w:top w:w="29" w:type="dxa"/>
              <w:bottom w:w="29" w:type="dxa"/>
            </w:tcMar>
            <w:vAlign w:val="center"/>
          </w:tcPr>
          <w:p w:rsidR="008E3AB1" w:rsidRPr="001E1315" w:rsidRDefault="008E3AB1" w:rsidP="00D0122D">
            <w:pPr>
              <w:jc w:val="center"/>
              <w:rPr>
                <w:rFonts w:ascii="Calibri" w:hAnsi="Calibri"/>
                <w:szCs w:val="20"/>
              </w:rPr>
            </w:pPr>
            <w:r w:rsidRPr="001E1315">
              <w:rPr>
                <w:rFonts w:ascii="Calibri" w:hAnsi="Calibri"/>
                <w:bCs/>
                <w:szCs w:val="20"/>
              </w:rPr>
              <w:t>201</w:t>
            </w:r>
            <w:r w:rsidR="00D0122D">
              <w:rPr>
                <w:rFonts w:ascii="Calibri" w:hAnsi="Calibri"/>
                <w:bCs/>
                <w:szCs w:val="20"/>
              </w:rPr>
              <w:t>6</w:t>
            </w:r>
          </w:p>
        </w:tc>
        <w:tc>
          <w:tcPr>
            <w:tcW w:w="555" w:type="pct"/>
            <w:shd w:val="clear" w:color="auto" w:fill="1A1D5D"/>
            <w:tcMar>
              <w:top w:w="29" w:type="dxa"/>
              <w:bottom w:w="29" w:type="dxa"/>
            </w:tcMar>
            <w:vAlign w:val="center"/>
          </w:tcPr>
          <w:p w:rsidR="008E3AB1" w:rsidRPr="001E1315" w:rsidRDefault="008E3AB1" w:rsidP="00D0122D">
            <w:pPr>
              <w:jc w:val="center"/>
              <w:rPr>
                <w:rFonts w:ascii="Calibri" w:hAnsi="Calibri"/>
                <w:szCs w:val="20"/>
              </w:rPr>
            </w:pPr>
            <w:r w:rsidRPr="001E1315">
              <w:rPr>
                <w:rFonts w:ascii="Calibri" w:hAnsi="Calibri"/>
                <w:bCs/>
                <w:szCs w:val="20"/>
              </w:rPr>
              <w:t>20</w:t>
            </w:r>
            <w:r w:rsidR="00484103">
              <w:rPr>
                <w:rFonts w:ascii="Calibri" w:hAnsi="Calibri"/>
                <w:bCs/>
                <w:szCs w:val="20"/>
              </w:rPr>
              <w:t>1</w:t>
            </w:r>
            <w:r w:rsidR="00D0122D">
              <w:rPr>
                <w:rFonts w:ascii="Calibri" w:hAnsi="Calibri"/>
                <w:bCs/>
                <w:szCs w:val="20"/>
              </w:rPr>
              <w:t>7</w:t>
            </w:r>
          </w:p>
        </w:tc>
        <w:tc>
          <w:tcPr>
            <w:tcW w:w="554" w:type="pct"/>
            <w:shd w:val="clear" w:color="auto" w:fill="1A1D5D"/>
            <w:tcMar>
              <w:top w:w="29" w:type="dxa"/>
              <w:bottom w:w="29" w:type="dxa"/>
            </w:tcMar>
            <w:vAlign w:val="center"/>
          </w:tcPr>
          <w:p w:rsidR="008E3AB1" w:rsidRPr="001E1315" w:rsidRDefault="00484103" w:rsidP="00D0122D">
            <w:pPr>
              <w:jc w:val="center"/>
              <w:rPr>
                <w:rFonts w:ascii="Calibri" w:hAnsi="Calibri"/>
                <w:szCs w:val="20"/>
              </w:rPr>
            </w:pPr>
            <w:r>
              <w:rPr>
                <w:rFonts w:ascii="Calibri" w:hAnsi="Calibri"/>
                <w:bCs/>
                <w:szCs w:val="20"/>
              </w:rPr>
              <w:t>202</w:t>
            </w:r>
            <w:r w:rsidR="00D0122D">
              <w:rPr>
                <w:rFonts w:ascii="Calibri" w:hAnsi="Calibri"/>
                <w:bCs/>
                <w:szCs w:val="20"/>
              </w:rPr>
              <w:t>0</w:t>
            </w:r>
          </w:p>
        </w:tc>
        <w:tc>
          <w:tcPr>
            <w:tcW w:w="554" w:type="pct"/>
            <w:shd w:val="clear" w:color="auto" w:fill="1A1D5D"/>
            <w:tcMar>
              <w:top w:w="29" w:type="dxa"/>
              <w:bottom w:w="29" w:type="dxa"/>
            </w:tcMar>
            <w:vAlign w:val="center"/>
          </w:tcPr>
          <w:p w:rsidR="008E3AB1" w:rsidRPr="001E1315" w:rsidRDefault="00484103" w:rsidP="00D0122D">
            <w:pPr>
              <w:jc w:val="center"/>
              <w:rPr>
                <w:rFonts w:ascii="Calibri" w:hAnsi="Calibri"/>
                <w:szCs w:val="20"/>
              </w:rPr>
            </w:pPr>
            <w:r>
              <w:rPr>
                <w:rFonts w:ascii="Calibri" w:hAnsi="Calibri"/>
                <w:bCs/>
                <w:szCs w:val="20"/>
              </w:rPr>
              <w:t>202</w:t>
            </w:r>
            <w:r w:rsidR="00D0122D">
              <w:rPr>
                <w:rFonts w:ascii="Calibri" w:hAnsi="Calibri"/>
                <w:bCs/>
                <w:szCs w:val="20"/>
              </w:rPr>
              <w:t>5</w:t>
            </w:r>
          </w:p>
        </w:tc>
        <w:tc>
          <w:tcPr>
            <w:tcW w:w="555" w:type="pct"/>
            <w:shd w:val="clear" w:color="auto" w:fill="1A1D5D"/>
            <w:vAlign w:val="center"/>
          </w:tcPr>
          <w:p w:rsidR="008E3AB1" w:rsidRPr="001E1315" w:rsidRDefault="00484103" w:rsidP="00D0122D">
            <w:pPr>
              <w:jc w:val="center"/>
              <w:rPr>
                <w:rFonts w:ascii="Calibri" w:hAnsi="Calibri"/>
                <w:szCs w:val="20"/>
              </w:rPr>
            </w:pPr>
            <w:r>
              <w:rPr>
                <w:rFonts w:ascii="Calibri" w:hAnsi="Calibri"/>
                <w:bCs/>
                <w:szCs w:val="20"/>
              </w:rPr>
              <w:t>203</w:t>
            </w:r>
            <w:r w:rsidR="00D0122D">
              <w:rPr>
                <w:rFonts w:ascii="Calibri" w:hAnsi="Calibri"/>
                <w:bCs/>
                <w:szCs w:val="20"/>
              </w:rPr>
              <w:t>5</w:t>
            </w:r>
          </w:p>
        </w:tc>
        <w:tc>
          <w:tcPr>
            <w:tcW w:w="588" w:type="pct"/>
            <w:shd w:val="clear" w:color="auto" w:fill="1A1D5D"/>
            <w:vAlign w:val="center"/>
          </w:tcPr>
          <w:p w:rsidR="008E3AB1" w:rsidRPr="001E1315" w:rsidRDefault="008E3AB1" w:rsidP="00D0122D">
            <w:pPr>
              <w:jc w:val="center"/>
              <w:rPr>
                <w:rFonts w:ascii="Calibri" w:hAnsi="Calibri"/>
                <w:bCs/>
                <w:color w:val="FFFFFF"/>
                <w:szCs w:val="20"/>
              </w:rPr>
            </w:pPr>
            <w:r w:rsidRPr="001E1315">
              <w:rPr>
                <w:rFonts w:ascii="Calibri" w:hAnsi="Calibri"/>
                <w:bCs/>
                <w:szCs w:val="20"/>
              </w:rPr>
              <w:t>% Change</w:t>
            </w:r>
            <w:r w:rsidRPr="001E1315">
              <w:rPr>
                <w:rFonts w:ascii="Calibri" w:hAnsi="Calibri"/>
                <w:bCs/>
                <w:szCs w:val="20"/>
              </w:rPr>
              <w:br/>
              <w:t>('13-'3</w:t>
            </w:r>
            <w:r w:rsidR="00D0122D">
              <w:rPr>
                <w:rFonts w:ascii="Calibri" w:hAnsi="Calibri"/>
                <w:bCs/>
                <w:szCs w:val="20"/>
              </w:rPr>
              <w:t>5</w:t>
            </w:r>
            <w:r w:rsidRPr="001E1315">
              <w:rPr>
                <w:rFonts w:ascii="Calibri" w:hAnsi="Calibri"/>
                <w:bCs/>
                <w:szCs w:val="20"/>
              </w:rPr>
              <w:t>)</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Cooling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162</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137</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137</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138</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139</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143</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-12.2%</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Heating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17.5%</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Ventilation</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26</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27</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27</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27</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27</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28</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7.0%</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Water Heating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18</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18</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18</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18</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19</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20</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13.4%</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Interior Lighting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74</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73</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72</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72</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71</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75</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0.7%</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Ext. Lighting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9</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-24.6%</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Refrigeration</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27</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28</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29</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31</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35</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42</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57.7%</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Food Prep</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11</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11</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11</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13</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16</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49.6%</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Office Equip</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19</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18</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17</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17</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17</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19</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1.4%</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Miscellaneous</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22</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22</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23</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24</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27</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33</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51.6%</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b/>
                <w:bCs/>
                <w:color w:val="000000"/>
                <w:szCs w:val="20"/>
              </w:rPr>
            </w:pPr>
            <w:r w:rsidRPr="00273D0F">
              <w:rPr>
                <w:rFonts w:ascii="Calibri" w:hAnsi="Calibri" w:cs="Calibri"/>
                <w:b/>
                <w:bCs/>
                <w:color w:val="000000"/>
                <w:szCs w:val="20"/>
              </w:rPr>
              <w:t>Total</w:t>
            </w:r>
          </w:p>
        </w:tc>
        <w:tc>
          <w:tcPr>
            <w:tcW w:w="504"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368</w:t>
            </w:r>
          </w:p>
        </w:tc>
        <w:tc>
          <w:tcPr>
            <w:tcW w:w="554"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342</w:t>
            </w:r>
          </w:p>
        </w:tc>
        <w:tc>
          <w:tcPr>
            <w:tcW w:w="555"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343</w:t>
            </w:r>
          </w:p>
        </w:tc>
        <w:tc>
          <w:tcPr>
            <w:tcW w:w="554"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347</w:t>
            </w:r>
          </w:p>
        </w:tc>
        <w:tc>
          <w:tcPr>
            <w:tcW w:w="554"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356</w:t>
            </w:r>
          </w:p>
        </w:tc>
        <w:tc>
          <w:tcPr>
            <w:tcW w:w="555" w:type="pct"/>
            <w:shd w:val="clear" w:color="auto" w:fill="FDF3C9"/>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383</w:t>
            </w:r>
          </w:p>
        </w:tc>
        <w:tc>
          <w:tcPr>
            <w:tcW w:w="588" w:type="pct"/>
            <w:shd w:val="clear" w:color="auto" w:fill="FDF3C9"/>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4.1%</w:t>
            </w:r>
          </w:p>
        </w:tc>
      </w:tr>
    </w:tbl>
    <w:p w:rsidR="008E3AB1" w:rsidRDefault="008E3AB1" w:rsidP="008E3AB1">
      <w:pPr>
        <w:pStyle w:val="BodyText"/>
      </w:pPr>
    </w:p>
    <w:p w:rsidR="0089529D" w:rsidRDefault="0089529D" w:rsidP="0089529D">
      <w:pPr>
        <w:pStyle w:val="FigureorTableTitle"/>
      </w:pPr>
      <w:bookmarkStart w:id="308" w:name="_Toc424192784"/>
      <w:bookmarkStart w:id="309" w:name="_Ref401400453"/>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10</w:t>
      </w:r>
      <w:r w:rsidR="00512CD6">
        <w:rPr>
          <w:bCs w:val="0"/>
          <w:iCs w:val="0"/>
          <w:noProof/>
        </w:rPr>
        <w:fldChar w:fldCharType="end"/>
      </w:r>
      <w:r>
        <w:tab/>
        <w:t>Commercial Summer Peak Baseline Projection by End Use (MW), Idaho</w:t>
      </w:r>
      <w:bookmarkEnd w:id="308"/>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115" w:type="dxa"/>
        </w:tblCellMar>
        <w:tblLook w:val="04A0" w:firstRow="1" w:lastRow="0" w:firstColumn="1" w:lastColumn="0" w:noHBand="0" w:noVBand="1"/>
      </w:tblPr>
      <w:tblGrid>
        <w:gridCol w:w="2073"/>
        <w:gridCol w:w="920"/>
        <w:gridCol w:w="1010"/>
        <w:gridCol w:w="1012"/>
        <w:gridCol w:w="1010"/>
        <w:gridCol w:w="1010"/>
        <w:gridCol w:w="1012"/>
        <w:gridCol w:w="1073"/>
      </w:tblGrid>
      <w:tr w:rsidR="0089529D" w:rsidRPr="00564E06" w:rsidTr="00F71296">
        <w:trPr>
          <w:trHeight w:val="144"/>
        </w:trPr>
        <w:tc>
          <w:tcPr>
            <w:tcW w:w="1136" w:type="pct"/>
            <w:shd w:val="clear" w:color="auto" w:fill="1A1D5D"/>
            <w:tcMar>
              <w:top w:w="29" w:type="dxa"/>
              <w:bottom w:w="29" w:type="dxa"/>
            </w:tcMar>
            <w:vAlign w:val="center"/>
          </w:tcPr>
          <w:p w:rsidR="0089529D" w:rsidRPr="001E1315" w:rsidRDefault="0089529D" w:rsidP="00F71296">
            <w:pPr>
              <w:pStyle w:val="TableHeadings"/>
              <w:rPr>
                <w:b w:val="0"/>
              </w:rPr>
            </w:pPr>
            <w:r w:rsidRPr="001E1315">
              <w:rPr>
                <w:b w:val="0"/>
              </w:rPr>
              <w:t>End Use</w:t>
            </w:r>
          </w:p>
        </w:tc>
        <w:tc>
          <w:tcPr>
            <w:tcW w:w="504" w:type="pct"/>
            <w:shd w:val="clear" w:color="auto" w:fill="1A1D5D"/>
            <w:tcMar>
              <w:top w:w="29" w:type="dxa"/>
              <w:bottom w:w="29" w:type="dxa"/>
            </w:tcMar>
            <w:vAlign w:val="center"/>
          </w:tcPr>
          <w:p w:rsidR="0089529D" w:rsidRPr="001E1315" w:rsidRDefault="0089529D" w:rsidP="00F71296">
            <w:pPr>
              <w:jc w:val="center"/>
              <w:rPr>
                <w:rFonts w:ascii="Calibri" w:hAnsi="Calibri"/>
                <w:szCs w:val="20"/>
              </w:rPr>
            </w:pPr>
            <w:r w:rsidRPr="001E1315">
              <w:rPr>
                <w:rFonts w:ascii="Calibri" w:hAnsi="Calibri"/>
                <w:bCs/>
                <w:szCs w:val="20"/>
              </w:rPr>
              <w:t>2013</w:t>
            </w:r>
          </w:p>
        </w:tc>
        <w:tc>
          <w:tcPr>
            <w:tcW w:w="554" w:type="pct"/>
            <w:shd w:val="clear" w:color="auto" w:fill="1A1D5D"/>
            <w:tcMar>
              <w:top w:w="29" w:type="dxa"/>
              <w:bottom w:w="29" w:type="dxa"/>
            </w:tcMar>
            <w:vAlign w:val="center"/>
          </w:tcPr>
          <w:p w:rsidR="0089529D" w:rsidRPr="001E1315" w:rsidRDefault="0089529D" w:rsidP="00F71296">
            <w:pPr>
              <w:jc w:val="center"/>
              <w:rPr>
                <w:rFonts w:ascii="Calibri" w:hAnsi="Calibri"/>
                <w:szCs w:val="20"/>
              </w:rPr>
            </w:pPr>
            <w:r w:rsidRPr="001E1315">
              <w:rPr>
                <w:rFonts w:ascii="Calibri" w:hAnsi="Calibri"/>
                <w:bCs/>
                <w:szCs w:val="20"/>
              </w:rPr>
              <w:t>201</w:t>
            </w:r>
            <w:r>
              <w:rPr>
                <w:rFonts w:ascii="Calibri" w:hAnsi="Calibri"/>
                <w:bCs/>
                <w:szCs w:val="20"/>
              </w:rPr>
              <w:t>6</w:t>
            </w:r>
          </w:p>
        </w:tc>
        <w:tc>
          <w:tcPr>
            <w:tcW w:w="555" w:type="pct"/>
            <w:shd w:val="clear" w:color="auto" w:fill="1A1D5D"/>
            <w:tcMar>
              <w:top w:w="29" w:type="dxa"/>
              <w:bottom w:w="29" w:type="dxa"/>
            </w:tcMar>
            <w:vAlign w:val="center"/>
          </w:tcPr>
          <w:p w:rsidR="0089529D" w:rsidRPr="001E1315" w:rsidRDefault="0089529D" w:rsidP="00F71296">
            <w:pPr>
              <w:jc w:val="center"/>
              <w:rPr>
                <w:rFonts w:ascii="Calibri" w:hAnsi="Calibri"/>
                <w:szCs w:val="20"/>
              </w:rPr>
            </w:pPr>
            <w:r w:rsidRPr="001E1315">
              <w:rPr>
                <w:rFonts w:ascii="Calibri" w:hAnsi="Calibri"/>
                <w:bCs/>
                <w:szCs w:val="20"/>
              </w:rPr>
              <w:t>20</w:t>
            </w:r>
            <w:r>
              <w:rPr>
                <w:rFonts w:ascii="Calibri" w:hAnsi="Calibri"/>
                <w:bCs/>
                <w:szCs w:val="20"/>
              </w:rPr>
              <w:t>17</w:t>
            </w:r>
          </w:p>
        </w:tc>
        <w:tc>
          <w:tcPr>
            <w:tcW w:w="554" w:type="pct"/>
            <w:shd w:val="clear" w:color="auto" w:fill="1A1D5D"/>
            <w:tcMar>
              <w:top w:w="29" w:type="dxa"/>
              <w:bottom w:w="29" w:type="dxa"/>
            </w:tcMar>
            <w:vAlign w:val="center"/>
          </w:tcPr>
          <w:p w:rsidR="0089529D" w:rsidRPr="001E1315" w:rsidRDefault="0089529D" w:rsidP="00F71296">
            <w:pPr>
              <w:jc w:val="center"/>
              <w:rPr>
                <w:rFonts w:ascii="Calibri" w:hAnsi="Calibri"/>
                <w:szCs w:val="20"/>
              </w:rPr>
            </w:pPr>
            <w:r>
              <w:rPr>
                <w:rFonts w:ascii="Calibri" w:hAnsi="Calibri"/>
                <w:bCs/>
                <w:szCs w:val="20"/>
              </w:rPr>
              <w:t>2020</w:t>
            </w:r>
          </w:p>
        </w:tc>
        <w:tc>
          <w:tcPr>
            <w:tcW w:w="554" w:type="pct"/>
            <w:shd w:val="clear" w:color="auto" w:fill="1A1D5D"/>
            <w:tcMar>
              <w:top w:w="29" w:type="dxa"/>
              <w:bottom w:w="29" w:type="dxa"/>
            </w:tcMar>
            <w:vAlign w:val="center"/>
          </w:tcPr>
          <w:p w:rsidR="0089529D" w:rsidRPr="001E1315" w:rsidRDefault="0089529D" w:rsidP="00F71296">
            <w:pPr>
              <w:jc w:val="center"/>
              <w:rPr>
                <w:rFonts w:ascii="Calibri" w:hAnsi="Calibri"/>
                <w:szCs w:val="20"/>
              </w:rPr>
            </w:pPr>
            <w:r>
              <w:rPr>
                <w:rFonts w:ascii="Calibri" w:hAnsi="Calibri"/>
                <w:bCs/>
                <w:szCs w:val="20"/>
              </w:rPr>
              <w:t>2025</w:t>
            </w:r>
          </w:p>
        </w:tc>
        <w:tc>
          <w:tcPr>
            <w:tcW w:w="555" w:type="pct"/>
            <w:shd w:val="clear" w:color="auto" w:fill="1A1D5D"/>
            <w:vAlign w:val="center"/>
          </w:tcPr>
          <w:p w:rsidR="0089529D" w:rsidRPr="001E1315" w:rsidRDefault="0089529D" w:rsidP="00F71296">
            <w:pPr>
              <w:jc w:val="center"/>
              <w:rPr>
                <w:rFonts w:ascii="Calibri" w:hAnsi="Calibri"/>
                <w:szCs w:val="20"/>
              </w:rPr>
            </w:pPr>
            <w:r>
              <w:rPr>
                <w:rFonts w:ascii="Calibri" w:hAnsi="Calibri"/>
                <w:bCs/>
                <w:szCs w:val="20"/>
              </w:rPr>
              <w:t>2035</w:t>
            </w:r>
          </w:p>
        </w:tc>
        <w:tc>
          <w:tcPr>
            <w:tcW w:w="588" w:type="pct"/>
            <w:shd w:val="clear" w:color="auto" w:fill="1A1D5D"/>
            <w:vAlign w:val="center"/>
          </w:tcPr>
          <w:p w:rsidR="0089529D" w:rsidRPr="001E1315" w:rsidRDefault="0089529D" w:rsidP="00F71296">
            <w:pPr>
              <w:jc w:val="center"/>
              <w:rPr>
                <w:rFonts w:ascii="Calibri" w:hAnsi="Calibri"/>
                <w:bCs/>
                <w:color w:val="FFFFFF"/>
                <w:szCs w:val="20"/>
              </w:rPr>
            </w:pPr>
            <w:r w:rsidRPr="001E1315">
              <w:rPr>
                <w:rFonts w:ascii="Calibri" w:hAnsi="Calibri"/>
                <w:bCs/>
                <w:szCs w:val="20"/>
              </w:rPr>
              <w:t>% Change</w:t>
            </w:r>
            <w:r w:rsidRPr="001E1315">
              <w:rPr>
                <w:rFonts w:ascii="Calibri" w:hAnsi="Calibri"/>
                <w:bCs/>
                <w:szCs w:val="20"/>
              </w:rPr>
              <w:br/>
              <w:t>('13-'3</w:t>
            </w:r>
            <w:r>
              <w:rPr>
                <w:rFonts w:ascii="Calibri" w:hAnsi="Calibri"/>
                <w:bCs/>
                <w:szCs w:val="20"/>
              </w:rPr>
              <w:t>5</w:t>
            </w:r>
            <w:r w:rsidRPr="001E1315">
              <w:rPr>
                <w:rFonts w:ascii="Calibri" w:hAnsi="Calibri"/>
                <w:bCs/>
                <w:szCs w:val="20"/>
              </w:rPr>
              <w:t>)</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Cooling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75</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63</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63</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64</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64</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65</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-12.9%</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Heating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17.5%</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Ventilation</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13</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5.5%</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Water Heating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12.1%</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Interior Lighting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35</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34</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34</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34</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33</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35</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-0.3%</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Ext. Lighting</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5</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4</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4</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4</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4</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4</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-20.7%</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Refrigeration</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11</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13</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14</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15</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19</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62.1%</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Food Prep</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4</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4</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5</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5</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5</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62.9%</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Office Equip</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7</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8</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2.6%</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color w:val="000000"/>
                <w:szCs w:val="20"/>
              </w:rPr>
            </w:pPr>
            <w:r w:rsidRPr="00273D0F">
              <w:rPr>
                <w:rFonts w:ascii="Calibri" w:hAnsi="Calibri" w:cs="Calibri"/>
                <w:color w:val="000000"/>
                <w:szCs w:val="20"/>
              </w:rPr>
              <w:t>Miscellaneous</w:t>
            </w:r>
          </w:p>
        </w:tc>
        <w:tc>
          <w:tcPr>
            <w:tcW w:w="50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9</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10</w:t>
            </w:r>
          </w:p>
        </w:tc>
        <w:tc>
          <w:tcPr>
            <w:tcW w:w="555"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10</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10</w:t>
            </w:r>
          </w:p>
        </w:tc>
        <w:tc>
          <w:tcPr>
            <w:tcW w:w="554" w:type="pct"/>
            <w:shd w:val="clear" w:color="auto" w:fill="FDF3C9"/>
            <w:tcMar>
              <w:top w:w="29" w:type="dxa"/>
              <w:bottom w:w="29" w:type="dxa"/>
            </w:tcMar>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12</w:t>
            </w:r>
          </w:p>
        </w:tc>
        <w:tc>
          <w:tcPr>
            <w:tcW w:w="555"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15</w:t>
            </w:r>
          </w:p>
        </w:tc>
        <w:tc>
          <w:tcPr>
            <w:tcW w:w="588" w:type="pct"/>
            <w:shd w:val="clear" w:color="auto" w:fill="FDF3C9"/>
            <w:vAlign w:val="center"/>
          </w:tcPr>
          <w:p w:rsidR="0089529D" w:rsidRPr="00484103" w:rsidRDefault="0089529D" w:rsidP="001A0079">
            <w:pPr>
              <w:ind w:right="144"/>
              <w:jc w:val="right"/>
              <w:rPr>
                <w:rFonts w:ascii="Calibri" w:hAnsi="Calibri" w:cs="Calibri"/>
                <w:color w:val="000000"/>
                <w:szCs w:val="20"/>
              </w:rPr>
            </w:pPr>
            <w:r w:rsidRPr="0089529D">
              <w:rPr>
                <w:rFonts w:ascii="Calibri" w:hAnsi="Calibri" w:cs="Calibri"/>
                <w:color w:val="000000"/>
                <w:szCs w:val="20"/>
              </w:rPr>
              <w:t>60.7%</w:t>
            </w:r>
          </w:p>
        </w:tc>
      </w:tr>
      <w:tr w:rsidR="0089529D" w:rsidRPr="00564E06" w:rsidTr="001A0079">
        <w:trPr>
          <w:trHeight w:val="144"/>
        </w:trPr>
        <w:tc>
          <w:tcPr>
            <w:tcW w:w="1136" w:type="pct"/>
            <w:tcMar>
              <w:top w:w="29" w:type="dxa"/>
              <w:bottom w:w="29" w:type="dxa"/>
            </w:tcMar>
            <w:vAlign w:val="center"/>
          </w:tcPr>
          <w:p w:rsidR="0089529D" w:rsidRPr="00273D0F" w:rsidRDefault="0089529D" w:rsidP="0089529D">
            <w:pPr>
              <w:ind w:left="144"/>
              <w:rPr>
                <w:rFonts w:ascii="Calibri" w:hAnsi="Calibri" w:cs="Calibri"/>
                <w:b/>
                <w:bCs/>
                <w:color w:val="000000"/>
                <w:szCs w:val="20"/>
              </w:rPr>
            </w:pPr>
            <w:r w:rsidRPr="00273D0F">
              <w:rPr>
                <w:rFonts w:ascii="Calibri" w:hAnsi="Calibri" w:cs="Calibri"/>
                <w:b/>
                <w:bCs/>
                <w:color w:val="000000"/>
                <w:szCs w:val="20"/>
              </w:rPr>
              <w:t>Total</w:t>
            </w:r>
          </w:p>
        </w:tc>
        <w:tc>
          <w:tcPr>
            <w:tcW w:w="504"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167</w:t>
            </w:r>
          </w:p>
        </w:tc>
        <w:tc>
          <w:tcPr>
            <w:tcW w:w="554"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155</w:t>
            </w:r>
          </w:p>
        </w:tc>
        <w:tc>
          <w:tcPr>
            <w:tcW w:w="555"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156</w:t>
            </w:r>
          </w:p>
        </w:tc>
        <w:tc>
          <w:tcPr>
            <w:tcW w:w="554"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157</w:t>
            </w:r>
          </w:p>
        </w:tc>
        <w:tc>
          <w:tcPr>
            <w:tcW w:w="554" w:type="pct"/>
            <w:shd w:val="clear" w:color="auto" w:fill="FDF3C9"/>
            <w:tcMar>
              <w:top w:w="29" w:type="dxa"/>
              <w:bottom w:w="29" w:type="dxa"/>
            </w:tcMar>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161</w:t>
            </w:r>
          </w:p>
        </w:tc>
        <w:tc>
          <w:tcPr>
            <w:tcW w:w="555" w:type="pct"/>
            <w:shd w:val="clear" w:color="auto" w:fill="FDF3C9"/>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173</w:t>
            </w:r>
          </w:p>
        </w:tc>
        <w:tc>
          <w:tcPr>
            <w:tcW w:w="588" w:type="pct"/>
            <w:shd w:val="clear" w:color="auto" w:fill="FDF3C9"/>
            <w:vAlign w:val="center"/>
          </w:tcPr>
          <w:p w:rsidR="0089529D" w:rsidRPr="0089529D" w:rsidRDefault="0089529D" w:rsidP="001A0079">
            <w:pPr>
              <w:ind w:right="144"/>
              <w:jc w:val="right"/>
              <w:rPr>
                <w:rFonts w:ascii="Calibri" w:hAnsi="Calibri" w:cs="Calibri"/>
                <w:b/>
                <w:color w:val="000000"/>
                <w:szCs w:val="20"/>
              </w:rPr>
            </w:pPr>
            <w:r w:rsidRPr="0089529D">
              <w:rPr>
                <w:rFonts w:ascii="Calibri" w:hAnsi="Calibri" w:cs="Calibri"/>
                <w:b/>
                <w:color w:val="000000"/>
                <w:szCs w:val="20"/>
              </w:rPr>
              <w:t>3.8%</w:t>
            </w:r>
          </w:p>
        </w:tc>
      </w:tr>
    </w:tbl>
    <w:p w:rsidR="008E3AB1" w:rsidRDefault="008E3AB1" w:rsidP="008E3AB1">
      <w:pPr>
        <w:pStyle w:val="FigureorTableTitle"/>
      </w:pPr>
      <w:bookmarkStart w:id="310" w:name="_Toc424192722"/>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11</w:t>
      </w:r>
      <w:r w:rsidR="00512CD6">
        <w:rPr>
          <w:noProof/>
          <w:szCs w:val="18"/>
        </w:rPr>
        <w:fldChar w:fldCharType="end"/>
      </w:r>
      <w:bookmarkEnd w:id="309"/>
      <w:r>
        <w:tab/>
        <w:t>Commercial Summer Peak Baseline Projection by End Use (MW)</w:t>
      </w:r>
      <w:r w:rsidR="0089529D">
        <w:t>, Washington</w:t>
      </w:r>
      <w:bookmarkEnd w:id="310"/>
    </w:p>
    <w:p w:rsidR="008E3AB1" w:rsidRDefault="0089529D" w:rsidP="008E3AB1">
      <w:pPr>
        <w:pStyle w:val="BodyText"/>
      </w:pPr>
      <w:r w:rsidRPr="0089529D">
        <w:rPr>
          <w:noProof/>
        </w:rPr>
        <w:drawing>
          <wp:inline distT="0" distB="0" distL="0" distR="0">
            <wp:extent cx="5715000" cy="2884888"/>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89529D" w:rsidRDefault="0089529D" w:rsidP="0089529D">
      <w:pPr>
        <w:pStyle w:val="FigureorTableTitle"/>
      </w:pPr>
      <w:bookmarkStart w:id="311" w:name="_Toc424192723"/>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12</w:t>
      </w:r>
      <w:r w:rsidR="00512CD6">
        <w:rPr>
          <w:noProof/>
          <w:szCs w:val="18"/>
        </w:rPr>
        <w:fldChar w:fldCharType="end"/>
      </w:r>
      <w:r>
        <w:tab/>
        <w:t>Commercial Summer Peak Baseline Projection by End Use (MW), Idaho</w:t>
      </w:r>
      <w:bookmarkEnd w:id="311"/>
    </w:p>
    <w:p w:rsidR="008E3AB1" w:rsidRDefault="0089529D" w:rsidP="008E3AB1">
      <w:pPr>
        <w:rPr>
          <w:spacing w:val="4"/>
          <w:szCs w:val="18"/>
        </w:rPr>
      </w:pPr>
      <w:r w:rsidRPr="0089529D">
        <w:rPr>
          <w:noProof/>
        </w:rPr>
        <w:drawing>
          <wp:inline distT="0" distB="0" distL="0" distR="0">
            <wp:extent cx="5715000" cy="288488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A5711B" w:rsidRDefault="00A5711B" w:rsidP="001522E3">
      <w:pPr>
        <w:pStyle w:val="BodyText"/>
      </w:pPr>
      <w:r>
        <w:br w:type="page"/>
      </w:r>
    </w:p>
    <w:p w:rsidR="008F0AD1" w:rsidRPr="00955F32" w:rsidRDefault="008F0AD1" w:rsidP="008F0AD1">
      <w:pPr>
        <w:pStyle w:val="Heading3"/>
      </w:pPr>
      <w:bookmarkStart w:id="312" w:name="_Toc424192632"/>
      <w:r w:rsidRPr="00955F32">
        <w:lastRenderedPageBreak/>
        <w:t xml:space="preserve">Commercial </w:t>
      </w:r>
      <w:r>
        <w:t>Winter</w:t>
      </w:r>
      <w:r w:rsidRPr="00955F32">
        <w:t xml:space="preserve"> Peak Demand Projection</w:t>
      </w:r>
      <w:bookmarkEnd w:id="312"/>
    </w:p>
    <w:p w:rsidR="008F0AD1" w:rsidRDefault="008F0AD1" w:rsidP="008F0AD1">
      <w:pPr>
        <w:pStyle w:val="BodyText"/>
      </w:pPr>
      <w:r w:rsidRPr="001522E3">
        <w:t xml:space="preserve">The tables and charts below present the </w:t>
      </w:r>
      <w:r w:rsidR="001D0B61">
        <w:t>winter</w:t>
      </w:r>
      <w:r w:rsidRPr="001522E3">
        <w:t xml:space="preserve"> peak baseline projection at the end-use level for the commercial sector as a whole. In Washington, </w:t>
      </w:r>
      <w:r w:rsidR="001D0B61">
        <w:t>winter</w:t>
      </w:r>
      <w:r w:rsidRPr="001522E3">
        <w:t xml:space="preserve"> peak demand increases during the overall forecast horizon, starting at </w:t>
      </w:r>
      <w:r w:rsidR="001D0B61">
        <w:t>333</w:t>
      </w:r>
      <w:r w:rsidRPr="001522E3">
        <w:t xml:space="preserve"> MW in 2013 and increasing by </w:t>
      </w:r>
      <w:r w:rsidR="001D0B61">
        <w:t>1</w:t>
      </w:r>
      <w:r w:rsidRPr="001522E3">
        <w:t xml:space="preserve">4% to </w:t>
      </w:r>
      <w:r w:rsidR="001D0B61">
        <w:t>380</w:t>
      </w:r>
      <w:r w:rsidRPr="001522E3">
        <w:t xml:space="preserve"> MW in 2035. In Idaho, the </w:t>
      </w:r>
      <w:r w:rsidR="001D0B61">
        <w:t>winter</w:t>
      </w:r>
      <w:r w:rsidRPr="001522E3">
        <w:t xml:space="preserve"> peak demand is </w:t>
      </w:r>
      <w:r w:rsidR="001D0B61">
        <w:t>152</w:t>
      </w:r>
      <w:r w:rsidRPr="001522E3">
        <w:t xml:space="preserve"> MW in 2013 and 173 MW in 2035, an increase of </w:t>
      </w:r>
      <w:r w:rsidR="001D0B61">
        <w:t>1</w:t>
      </w:r>
      <w:r w:rsidRPr="001522E3">
        <w:t>4%.</w:t>
      </w:r>
      <w:r>
        <w:t xml:space="preserve"> </w:t>
      </w:r>
    </w:p>
    <w:p w:rsidR="008F0AD1" w:rsidRPr="000E3F5F" w:rsidRDefault="008F0AD1" w:rsidP="008F0AD1">
      <w:pPr>
        <w:pStyle w:val="FigureorTableTitle"/>
      </w:pPr>
      <w:bookmarkStart w:id="313" w:name="_Toc424192785"/>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11</w:t>
      </w:r>
      <w:r w:rsidR="00512CD6">
        <w:rPr>
          <w:bCs w:val="0"/>
          <w:iCs w:val="0"/>
          <w:noProof/>
        </w:rPr>
        <w:fldChar w:fldCharType="end"/>
      </w:r>
      <w:r>
        <w:tab/>
        <w:t xml:space="preserve">Commercial </w:t>
      </w:r>
      <w:r w:rsidR="00A5711B">
        <w:t>Winter</w:t>
      </w:r>
      <w:r>
        <w:t xml:space="preserve"> Peak Baseline Projection by End Use (MW), Washington</w:t>
      </w:r>
      <w:bookmarkEnd w:id="313"/>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115" w:type="dxa"/>
        </w:tblCellMar>
        <w:tblLook w:val="04A0" w:firstRow="1" w:lastRow="0" w:firstColumn="1" w:lastColumn="0" w:noHBand="0" w:noVBand="1"/>
      </w:tblPr>
      <w:tblGrid>
        <w:gridCol w:w="2073"/>
        <w:gridCol w:w="920"/>
        <w:gridCol w:w="1010"/>
        <w:gridCol w:w="1012"/>
        <w:gridCol w:w="1010"/>
        <w:gridCol w:w="1010"/>
        <w:gridCol w:w="1012"/>
        <w:gridCol w:w="1073"/>
      </w:tblGrid>
      <w:tr w:rsidR="008F0AD1" w:rsidRPr="00564E06" w:rsidTr="00072331">
        <w:trPr>
          <w:trHeight w:val="144"/>
        </w:trPr>
        <w:tc>
          <w:tcPr>
            <w:tcW w:w="1136" w:type="pct"/>
            <w:shd w:val="clear" w:color="auto" w:fill="1A1D5D"/>
            <w:tcMar>
              <w:top w:w="29" w:type="dxa"/>
              <w:bottom w:w="29" w:type="dxa"/>
            </w:tcMar>
            <w:vAlign w:val="center"/>
          </w:tcPr>
          <w:p w:rsidR="008F0AD1" w:rsidRPr="001E1315" w:rsidRDefault="008F0AD1" w:rsidP="00072331">
            <w:pPr>
              <w:pStyle w:val="TableHeadings"/>
              <w:rPr>
                <w:b w:val="0"/>
              </w:rPr>
            </w:pPr>
            <w:r w:rsidRPr="001E1315">
              <w:rPr>
                <w:b w:val="0"/>
              </w:rPr>
              <w:t>End Use</w:t>
            </w:r>
          </w:p>
        </w:tc>
        <w:tc>
          <w:tcPr>
            <w:tcW w:w="504"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sidRPr="001E1315">
              <w:rPr>
                <w:rFonts w:ascii="Calibri" w:hAnsi="Calibri"/>
                <w:bCs/>
                <w:szCs w:val="20"/>
              </w:rPr>
              <w:t>2013</w:t>
            </w:r>
          </w:p>
        </w:tc>
        <w:tc>
          <w:tcPr>
            <w:tcW w:w="554"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sidRPr="001E1315">
              <w:rPr>
                <w:rFonts w:ascii="Calibri" w:hAnsi="Calibri"/>
                <w:bCs/>
                <w:szCs w:val="20"/>
              </w:rPr>
              <w:t>201</w:t>
            </w:r>
            <w:r>
              <w:rPr>
                <w:rFonts w:ascii="Calibri" w:hAnsi="Calibri"/>
                <w:bCs/>
                <w:szCs w:val="20"/>
              </w:rPr>
              <w:t>6</w:t>
            </w:r>
          </w:p>
        </w:tc>
        <w:tc>
          <w:tcPr>
            <w:tcW w:w="555"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sidRPr="001E1315">
              <w:rPr>
                <w:rFonts w:ascii="Calibri" w:hAnsi="Calibri"/>
                <w:bCs/>
                <w:szCs w:val="20"/>
              </w:rPr>
              <w:t>20</w:t>
            </w:r>
            <w:r>
              <w:rPr>
                <w:rFonts w:ascii="Calibri" w:hAnsi="Calibri"/>
                <w:bCs/>
                <w:szCs w:val="20"/>
              </w:rPr>
              <w:t>17</w:t>
            </w:r>
          </w:p>
        </w:tc>
        <w:tc>
          <w:tcPr>
            <w:tcW w:w="554"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Pr>
                <w:rFonts w:ascii="Calibri" w:hAnsi="Calibri"/>
                <w:bCs/>
                <w:szCs w:val="20"/>
              </w:rPr>
              <w:t>2020</w:t>
            </w:r>
          </w:p>
        </w:tc>
        <w:tc>
          <w:tcPr>
            <w:tcW w:w="554"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Pr>
                <w:rFonts w:ascii="Calibri" w:hAnsi="Calibri"/>
                <w:bCs/>
                <w:szCs w:val="20"/>
              </w:rPr>
              <w:t>2025</w:t>
            </w:r>
          </w:p>
        </w:tc>
        <w:tc>
          <w:tcPr>
            <w:tcW w:w="555" w:type="pct"/>
            <w:shd w:val="clear" w:color="auto" w:fill="1A1D5D"/>
            <w:vAlign w:val="center"/>
          </w:tcPr>
          <w:p w:rsidR="008F0AD1" w:rsidRPr="001E1315" w:rsidRDefault="008F0AD1" w:rsidP="00072331">
            <w:pPr>
              <w:jc w:val="center"/>
              <w:rPr>
                <w:rFonts w:ascii="Calibri" w:hAnsi="Calibri"/>
                <w:szCs w:val="20"/>
              </w:rPr>
            </w:pPr>
            <w:r>
              <w:rPr>
                <w:rFonts w:ascii="Calibri" w:hAnsi="Calibri"/>
                <w:bCs/>
                <w:szCs w:val="20"/>
              </w:rPr>
              <w:t>2035</w:t>
            </w:r>
          </w:p>
        </w:tc>
        <w:tc>
          <w:tcPr>
            <w:tcW w:w="588" w:type="pct"/>
            <w:shd w:val="clear" w:color="auto" w:fill="1A1D5D"/>
            <w:vAlign w:val="center"/>
          </w:tcPr>
          <w:p w:rsidR="008F0AD1" w:rsidRPr="001E1315" w:rsidRDefault="008F0AD1" w:rsidP="00072331">
            <w:pPr>
              <w:jc w:val="center"/>
              <w:rPr>
                <w:rFonts w:ascii="Calibri" w:hAnsi="Calibri"/>
                <w:bCs/>
                <w:color w:val="FFFFFF"/>
                <w:szCs w:val="20"/>
              </w:rPr>
            </w:pPr>
            <w:r w:rsidRPr="001E1315">
              <w:rPr>
                <w:rFonts w:ascii="Calibri" w:hAnsi="Calibri"/>
                <w:bCs/>
                <w:szCs w:val="20"/>
              </w:rPr>
              <w:t>% Change</w:t>
            </w:r>
            <w:r w:rsidRPr="001E1315">
              <w:rPr>
                <w:rFonts w:ascii="Calibri" w:hAnsi="Calibri"/>
                <w:bCs/>
                <w:szCs w:val="20"/>
              </w:rPr>
              <w:br/>
              <w:t>('13-'3</w:t>
            </w:r>
            <w:r>
              <w:rPr>
                <w:rFonts w:ascii="Calibri" w:hAnsi="Calibri"/>
                <w:bCs/>
                <w:szCs w:val="20"/>
              </w:rPr>
              <w:t>5</w:t>
            </w:r>
            <w:r w:rsidRPr="001E1315">
              <w:rPr>
                <w:rFonts w:ascii="Calibri" w:hAnsi="Calibri"/>
                <w:bCs/>
                <w:szCs w:val="20"/>
              </w:rPr>
              <w:t>)</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Cooling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-11.4%</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Heating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92</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93</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95</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98</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103</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14.8%</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Ventilation</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31</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31</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31</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31</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32</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6.9%</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Water Heating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26</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27</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27</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27</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28</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30</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13.0%</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Interior Lighting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86</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84</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84</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83</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82</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86</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0.4%</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Ext. Lighting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7</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-24.6%</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Refrigeration</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22</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23</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24</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26</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28</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35</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57.2%</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Food Prep</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12</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13</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13</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14</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15</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18</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49.2%</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Office Equip</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21</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20</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20</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22</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1.3%</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Miscellaneous</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25</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26</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26</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28</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31</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38</w:t>
            </w:r>
          </w:p>
        </w:tc>
        <w:tc>
          <w:tcPr>
            <w:tcW w:w="588"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51.5%</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b/>
                <w:bCs/>
                <w:color w:val="000000"/>
                <w:szCs w:val="20"/>
              </w:rPr>
            </w:pPr>
            <w:r w:rsidRPr="00273D0F">
              <w:rPr>
                <w:rFonts w:ascii="Calibri" w:hAnsi="Calibri" w:cs="Calibri"/>
                <w:b/>
                <w:bCs/>
                <w:color w:val="000000"/>
                <w:szCs w:val="20"/>
              </w:rPr>
              <w:t>Total</w:t>
            </w:r>
          </w:p>
        </w:tc>
        <w:tc>
          <w:tcPr>
            <w:tcW w:w="504"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333</w:t>
            </w:r>
          </w:p>
        </w:tc>
        <w:tc>
          <w:tcPr>
            <w:tcW w:w="554"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332</w:t>
            </w:r>
          </w:p>
        </w:tc>
        <w:tc>
          <w:tcPr>
            <w:tcW w:w="555"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334</w:t>
            </w:r>
          </w:p>
        </w:tc>
        <w:tc>
          <w:tcPr>
            <w:tcW w:w="554"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339</w:t>
            </w:r>
          </w:p>
        </w:tc>
        <w:tc>
          <w:tcPr>
            <w:tcW w:w="554"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350</w:t>
            </w:r>
          </w:p>
        </w:tc>
        <w:tc>
          <w:tcPr>
            <w:tcW w:w="555" w:type="pct"/>
            <w:shd w:val="clear" w:color="auto" w:fill="FFCC99"/>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380</w:t>
            </w:r>
          </w:p>
        </w:tc>
        <w:tc>
          <w:tcPr>
            <w:tcW w:w="588" w:type="pct"/>
            <w:shd w:val="clear" w:color="auto" w:fill="FFCC99"/>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14.2%</w:t>
            </w:r>
          </w:p>
        </w:tc>
      </w:tr>
    </w:tbl>
    <w:p w:rsidR="008E3AB1" w:rsidRDefault="008E3AB1" w:rsidP="00C449BF">
      <w:pPr>
        <w:pStyle w:val="BodyText"/>
      </w:pPr>
    </w:p>
    <w:p w:rsidR="008F0AD1" w:rsidRDefault="008F0AD1" w:rsidP="008F0AD1">
      <w:pPr>
        <w:pStyle w:val="FigureorTableTitle"/>
      </w:pPr>
      <w:bookmarkStart w:id="314" w:name="_Toc424192786"/>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12</w:t>
      </w:r>
      <w:r w:rsidR="00512CD6">
        <w:rPr>
          <w:bCs w:val="0"/>
          <w:iCs w:val="0"/>
          <w:noProof/>
        </w:rPr>
        <w:fldChar w:fldCharType="end"/>
      </w:r>
      <w:r>
        <w:tab/>
        <w:t xml:space="preserve">Commercial </w:t>
      </w:r>
      <w:r w:rsidR="00A5711B">
        <w:t>Winter</w:t>
      </w:r>
      <w:r>
        <w:t xml:space="preserve"> Peak Baseline Projection by End Use (MW), Idaho</w:t>
      </w:r>
      <w:bookmarkEnd w:id="314"/>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115" w:type="dxa"/>
        </w:tblCellMar>
        <w:tblLook w:val="04A0" w:firstRow="1" w:lastRow="0" w:firstColumn="1" w:lastColumn="0" w:noHBand="0" w:noVBand="1"/>
      </w:tblPr>
      <w:tblGrid>
        <w:gridCol w:w="2073"/>
        <w:gridCol w:w="920"/>
        <w:gridCol w:w="1010"/>
        <w:gridCol w:w="1012"/>
        <w:gridCol w:w="1010"/>
        <w:gridCol w:w="1010"/>
        <w:gridCol w:w="1012"/>
        <w:gridCol w:w="1073"/>
      </w:tblGrid>
      <w:tr w:rsidR="008F0AD1" w:rsidRPr="00564E06" w:rsidTr="00072331">
        <w:trPr>
          <w:trHeight w:val="144"/>
        </w:trPr>
        <w:tc>
          <w:tcPr>
            <w:tcW w:w="1136" w:type="pct"/>
            <w:shd w:val="clear" w:color="auto" w:fill="1A1D5D"/>
            <w:tcMar>
              <w:top w:w="29" w:type="dxa"/>
              <w:bottom w:w="29" w:type="dxa"/>
            </w:tcMar>
            <w:vAlign w:val="center"/>
          </w:tcPr>
          <w:p w:rsidR="008F0AD1" w:rsidRPr="001E1315" w:rsidRDefault="008F0AD1" w:rsidP="00072331">
            <w:pPr>
              <w:pStyle w:val="TableHeadings"/>
              <w:rPr>
                <w:b w:val="0"/>
              </w:rPr>
            </w:pPr>
            <w:r w:rsidRPr="001E1315">
              <w:rPr>
                <w:b w:val="0"/>
              </w:rPr>
              <w:t>End Use</w:t>
            </w:r>
          </w:p>
        </w:tc>
        <w:tc>
          <w:tcPr>
            <w:tcW w:w="504"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sidRPr="001E1315">
              <w:rPr>
                <w:rFonts w:ascii="Calibri" w:hAnsi="Calibri"/>
                <w:bCs/>
                <w:szCs w:val="20"/>
              </w:rPr>
              <w:t>2013</w:t>
            </w:r>
          </w:p>
        </w:tc>
        <w:tc>
          <w:tcPr>
            <w:tcW w:w="554"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sidRPr="001E1315">
              <w:rPr>
                <w:rFonts w:ascii="Calibri" w:hAnsi="Calibri"/>
                <w:bCs/>
                <w:szCs w:val="20"/>
              </w:rPr>
              <w:t>201</w:t>
            </w:r>
            <w:r>
              <w:rPr>
                <w:rFonts w:ascii="Calibri" w:hAnsi="Calibri"/>
                <w:bCs/>
                <w:szCs w:val="20"/>
              </w:rPr>
              <w:t>6</w:t>
            </w:r>
          </w:p>
        </w:tc>
        <w:tc>
          <w:tcPr>
            <w:tcW w:w="555"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sidRPr="001E1315">
              <w:rPr>
                <w:rFonts w:ascii="Calibri" w:hAnsi="Calibri"/>
                <w:bCs/>
                <w:szCs w:val="20"/>
              </w:rPr>
              <w:t>20</w:t>
            </w:r>
            <w:r>
              <w:rPr>
                <w:rFonts w:ascii="Calibri" w:hAnsi="Calibri"/>
                <w:bCs/>
                <w:szCs w:val="20"/>
              </w:rPr>
              <w:t>17</w:t>
            </w:r>
          </w:p>
        </w:tc>
        <w:tc>
          <w:tcPr>
            <w:tcW w:w="554"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Pr>
                <w:rFonts w:ascii="Calibri" w:hAnsi="Calibri"/>
                <w:bCs/>
                <w:szCs w:val="20"/>
              </w:rPr>
              <w:t>2020</w:t>
            </w:r>
          </w:p>
        </w:tc>
        <w:tc>
          <w:tcPr>
            <w:tcW w:w="554" w:type="pct"/>
            <w:shd w:val="clear" w:color="auto" w:fill="1A1D5D"/>
            <w:tcMar>
              <w:top w:w="29" w:type="dxa"/>
              <w:bottom w:w="29" w:type="dxa"/>
            </w:tcMar>
            <w:vAlign w:val="center"/>
          </w:tcPr>
          <w:p w:rsidR="008F0AD1" w:rsidRPr="001E1315" w:rsidRDefault="008F0AD1" w:rsidP="00072331">
            <w:pPr>
              <w:jc w:val="center"/>
              <w:rPr>
                <w:rFonts w:ascii="Calibri" w:hAnsi="Calibri"/>
                <w:szCs w:val="20"/>
              </w:rPr>
            </w:pPr>
            <w:r>
              <w:rPr>
                <w:rFonts w:ascii="Calibri" w:hAnsi="Calibri"/>
                <w:bCs/>
                <w:szCs w:val="20"/>
              </w:rPr>
              <w:t>2025</w:t>
            </w:r>
          </w:p>
        </w:tc>
        <w:tc>
          <w:tcPr>
            <w:tcW w:w="555" w:type="pct"/>
            <w:shd w:val="clear" w:color="auto" w:fill="1A1D5D"/>
            <w:vAlign w:val="center"/>
          </w:tcPr>
          <w:p w:rsidR="008F0AD1" w:rsidRPr="001E1315" w:rsidRDefault="008F0AD1" w:rsidP="00072331">
            <w:pPr>
              <w:jc w:val="center"/>
              <w:rPr>
                <w:rFonts w:ascii="Calibri" w:hAnsi="Calibri"/>
                <w:szCs w:val="20"/>
              </w:rPr>
            </w:pPr>
            <w:r>
              <w:rPr>
                <w:rFonts w:ascii="Calibri" w:hAnsi="Calibri"/>
                <w:bCs/>
                <w:szCs w:val="20"/>
              </w:rPr>
              <w:t>2035</w:t>
            </w:r>
          </w:p>
        </w:tc>
        <w:tc>
          <w:tcPr>
            <w:tcW w:w="588" w:type="pct"/>
            <w:shd w:val="clear" w:color="auto" w:fill="1A1D5D"/>
            <w:vAlign w:val="center"/>
          </w:tcPr>
          <w:p w:rsidR="008F0AD1" w:rsidRPr="001E1315" w:rsidRDefault="008F0AD1" w:rsidP="00072331">
            <w:pPr>
              <w:jc w:val="center"/>
              <w:rPr>
                <w:rFonts w:ascii="Calibri" w:hAnsi="Calibri"/>
                <w:bCs/>
                <w:color w:val="FFFFFF"/>
                <w:szCs w:val="20"/>
              </w:rPr>
            </w:pPr>
            <w:r w:rsidRPr="001E1315">
              <w:rPr>
                <w:rFonts w:ascii="Calibri" w:hAnsi="Calibri"/>
                <w:bCs/>
                <w:szCs w:val="20"/>
              </w:rPr>
              <w:t>% Change</w:t>
            </w:r>
            <w:r w:rsidRPr="001E1315">
              <w:rPr>
                <w:rFonts w:ascii="Calibri" w:hAnsi="Calibri"/>
                <w:bCs/>
                <w:szCs w:val="20"/>
              </w:rPr>
              <w:br/>
              <w:t>('13-'3</w:t>
            </w:r>
            <w:r>
              <w:rPr>
                <w:rFonts w:ascii="Calibri" w:hAnsi="Calibri"/>
                <w:bCs/>
                <w:szCs w:val="20"/>
              </w:rPr>
              <w:t>5</w:t>
            </w:r>
            <w:r w:rsidRPr="001E1315">
              <w:rPr>
                <w:rFonts w:ascii="Calibri" w:hAnsi="Calibri"/>
                <w:bCs/>
                <w:szCs w:val="20"/>
              </w:rPr>
              <w:t>)</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Cooling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-11.7%</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Heating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42</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43</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43</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44</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45</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48</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13.0%</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Ventilation</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14</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14</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14</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14</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14</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15</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5.5%</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Water Heating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11</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11</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11</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12</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12</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13</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11.4%</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Interior Lighting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41</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40</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39</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41</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-0.9%</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Ext. Lighting</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5</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5</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5</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4</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-20.7%</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Refrigeration</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10</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10</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11</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13</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15</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60.8%</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Food Prep</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5</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5</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5</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6</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6</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8</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61.7%</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Office Equip</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9</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10</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2.3%</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color w:val="000000"/>
                <w:szCs w:val="20"/>
              </w:rPr>
            </w:pPr>
            <w:r w:rsidRPr="00273D0F">
              <w:rPr>
                <w:rFonts w:ascii="Calibri" w:hAnsi="Calibri" w:cs="Calibri"/>
                <w:color w:val="000000"/>
                <w:szCs w:val="20"/>
              </w:rPr>
              <w:t>Miscellaneous</w:t>
            </w:r>
          </w:p>
        </w:tc>
        <w:tc>
          <w:tcPr>
            <w:tcW w:w="50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11</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11</w:t>
            </w:r>
          </w:p>
        </w:tc>
        <w:tc>
          <w:tcPr>
            <w:tcW w:w="555"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12</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12</w:t>
            </w:r>
          </w:p>
        </w:tc>
        <w:tc>
          <w:tcPr>
            <w:tcW w:w="554" w:type="pct"/>
            <w:shd w:val="clear" w:color="auto" w:fill="FFCC99"/>
            <w:tcMar>
              <w:top w:w="29" w:type="dxa"/>
              <w:bottom w:w="29" w:type="dxa"/>
            </w:tcMar>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14</w:t>
            </w:r>
          </w:p>
        </w:tc>
        <w:tc>
          <w:tcPr>
            <w:tcW w:w="555" w:type="pct"/>
            <w:shd w:val="clear" w:color="auto" w:fill="FFCC99"/>
            <w:vAlign w:val="center"/>
          </w:tcPr>
          <w:p w:rsidR="00A5711B" w:rsidRPr="00484103" w:rsidRDefault="00A5711B" w:rsidP="001522E3">
            <w:pPr>
              <w:ind w:right="144"/>
              <w:jc w:val="right"/>
              <w:rPr>
                <w:rFonts w:ascii="Calibri" w:hAnsi="Calibri" w:cs="Calibri"/>
                <w:color w:val="000000"/>
                <w:szCs w:val="20"/>
              </w:rPr>
            </w:pPr>
            <w:r w:rsidRPr="00A5711B">
              <w:rPr>
                <w:rFonts w:ascii="Calibri" w:hAnsi="Calibri" w:cs="Calibri"/>
                <w:color w:val="000000"/>
                <w:szCs w:val="20"/>
              </w:rPr>
              <w:t>17</w:t>
            </w:r>
          </w:p>
        </w:tc>
        <w:tc>
          <w:tcPr>
            <w:tcW w:w="588" w:type="pct"/>
            <w:shd w:val="clear" w:color="auto" w:fill="FFCC99"/>
            <w:vAlign w:val="center"/>
          </w:tcPr>
          <w:p w:rsidR="00A5711B" w:rsidRPr="00484103" w:rsidRDefault="00A5711B" w:rsidP="00A5711B">
            <w:pPr>
              <w:ind w:right="144"/>
              <w:jc w:val="right"/>
              <w:rPr>
                <w:rFonts w:ascii="Calibri" w:hAnsi="Calibri" w:cs="Calibri"/>
                <w:color w:val="000000"/>
                <w:szCs w:val="20"/>
              </w:rPr>
            </w:pPr>
            <w:r w:rsidRPr="00A5711B">
              <w:rPr>
                <w:rFonts w:ascii="Calibri" w:hAnsi="Calibri" w:cs="Calibri"/>
                <w:color w:val="000000"/>
                <w:szCs w:val="20"/>
              </w:rPr>
              <w:t>60.0%</w:t>
            </w:r>
          </w:p>
        </w:tc>
      </w:tr>
      <w:tr w:rsidR="00A5711B" w:rsidRPr="00564E06" w:rsidTr="001522E3">
        <w:trPr>
          <w:trHeight w:val="144"/>
        </w:trPr>
        <w:tc>
          <w:tcPr>
            <w:tcW w:w="1136" w:type="pct"/>
            <w:tcMar>
              <w:top w:w="29" w:type="dxa"/>
              <w:bottom w:w="29" w:type="dxa"/>
            </w:tcMar>
            <w:vAlign w:val="center"/>
          </w:tcPr>
          <w:p w:rsidR="00A5711B" w:rsidRPr="00273D0F" w:rsidRDefault="00A5711B" w:rsidP="00A5711B">
            <w:pPr>
              <w:ind w:left="144"/>
              <w:rPr>
                <w:rFonts w:ascii="Calibri" w:hAnsi="Calibri" w:cs="Calibri"/>
                <w:b/>
                <w:bCs/>
                <w:color w:val="000000"/>
                <w:szCs w:val="20"/>
              </w:rPr>
            </w:pPr>
            <w:r w:rsidRPr="00273D0F">
              <w:rPr>
                <w:rFonts w:ascii="Calibri" w:hAnsi="Calibri" w:cs="Calibri"/>
                <w:b/>
                <w:bCs/>
                <w:color w:val="000000"/>
                <w:szCs w:val="20"/>
              </w:rPr>
              <w:t>Total</w:t>
            </w:r>
          </w:p>
        </w:tc>
        <w:tc>
          <w:tcPr>
            <w:tcW w:w="504"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152</w:t>
            </w:r>
          </w:p>
        </w:tc>
        <w:tc>
          <w:tcPr>
            <w:tcW w:w="554"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152</w:t>
            </w:r>
          </w:p>
        </w:tc>
        <w:tc>
          <w:tcPr>
            <w:tcW w:w="555"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153</w:t>
            </w:r>
          </w:p>
        </w:tc>
        <w:tc>
          <w:tcPr>
            <w:tcW w:w="554"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155</w:t>
            </w:r>
          </w:p>
        </w:tc>
        <w:tc>
          <w:tcPr>
            <w:tcW w:w="554" w:type="pct"/>
            <w:shd w:val="clear" w:color="auto" w:fill="FFCC99"/>
            <w:tcMar>
              <w:top w:w="29" w:type="dxa"/>
              <w:bottom w:w="29" w:type="dxa"/>
            </w:tcMar>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160</w:t>
            </w:r>
          </w:p>
        </w:tc>
        <w:tc>
          <w:tcPr>
            <w:tcW w:w="555" w:type="pct"/>
            <w:shd w:val="clear" w:color="auto" w:fill="FFCC99"/>
            <w:vAlign w:val="center"/>
          </w:tcPr>
          <w:p w:rsidR="00A5711B" w:rsidRPr="00A5711B" w:rsidRDefault="00A5711B" w:rsidP="001522E3">
            <w:pPr>
              <w:ind w:right="144"/>
              <w:jc w:val="right"/>
              <w:rPr>
                <w:rFonts w:ascii="Calibri" w:hAnsi="Calibri" w:cs="Calibri"/>
                <w:b/>
                <w:color w:val="000000"/>
                <w:szCs w:val="20"/>
              </w:rPr>
            </w:pPr>
            <w:r w:rsidRPr="00A5711B">
              <w:rPr>
                <w:rFonts w:ascii="Calibri" w:hAnsi="Calibri" w:cs="Calibri"/>
                <w:b/>
                <w:color w:val="000000"/>
                <w:szCs w:val="20"/>
              </w:rPr>
              <w:t>173</w:t>
            </w:r>
          </w:p>
        </w:tc>
        <w:tc>
          <w:tcPr>
            <w:tcW w:w="588" w:type="pct"/>
            <w:shd w:val="clear" w:color="auto" w:fill="FFCC99"/>
            <w:vAlign w:val="center"/>
          </w:tcPr>
          <w:p w:rsidR="00A5711B" w:rsidRPr="00A5711B" w:rsidRDefault="00A5711B" w:rsidP="00A5711B">
            <w:pPr>
              <w:ind w:right="144"/>
              <w:jc w:val="right"/>
              <w:rPr>
                <w:rFonts w:ascii="Calibri" w:hAnsi="Calibri" w:cs="Calibri"/>
                <w:b/>
                <w:color w:val="000000"/>
                <w:szCs w:val="20"/>
              </w:rPr>
            </w:pPr>
            <w:r w:rsidRPr="00A5711B">
              <w:rPr>
                <w:rFonts w:ascii="Calibri" w:hAnsi="Calibri" w:cs="Calibri"/>
                <w:b/>
                <w:color w:val="000000"/>
                <w:szCs w:val="20"/>
              </w:rPr>
              <w:t>13.9%</w:t>
            </w:r>
          </w:p>
        </w:tc>
      </w:tr>
    </w:tbl>
    <w:p w:rsidR="008F0AD1" w:rsidRDefault="008F0AD1" w:rsidP="008F0AD1">
      <w:pPr>
        <w:pStyle w:val="FigureorTableTitle"/>
      </w:pPr>
      <w:bookmarkStart w:id="315" w:name="_Toc424192724"/>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13</w:t>
      </w:r>
      <w:r w:rsidR="00512CD6">
        <w:rPr>
          <w:noProof/>
          <w:szCs w:val="18"/>
        </w:rPr>
        <w:fldChar w:fldCharType="end"/>
      </w:r>
      <w:r>
        <w:tab/>
        <w:t xml:space="preserve">Commercial </w:t>
      </w:r>
      <w:r w:rsidR="00A5711B">
        <w:t>Winter</w:t>
      </w:r>
      <w:r>
        <w:t xml:space="preserve"> Peak Baseline Projection by End Use (MW), Washington</w:t>
      </w:r>
      <w:bookmarkEnd w:id="315"/>
    </w:p>
    <w:p w:rsidR="00A5711B" w:rsidRDefault="00A5711B" w:rsidP="00A5711B">
      <w:pPr>
        <w:pStyle w:val="BodyText"/>
      </w:pPr>
      <w:r w:rsidRPr="00A5711B">
        <w:rPr>
          <w:noProof/>
        </w:rPr>
        <w:drawing>
          <wp:inline distT="0" distB="0" distL="0" distR="0">
            <wp:extent cx="5715000" cy="28848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A5711B" w:rsidRDefault="00A5711B" w:rsidP="00A5711B">
      <w:pPr>
        <w:pStyle w:val="FigureorTableTitle"/>
      </w:pPr>
      <w:bookmarkStart w:id="316" w:name="_Toc424192725"/>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14</w:t>
      </w:r>
      <w:r w:rsidR="00512CD6">
        <w:rPr>
          <w:noProof/>
          <w:szCs w:val="18"/>
        </w:rPr>
        <w:fldChar w:fldCharType="end"/>
      </w:r>
      <w:r>
        <w:tab/>
        <w:t>Commercial Winter Peak Baseline Projection by End Use (MW), Idaho</w:t>
      </w:r>
      <w:bookmarkEnd w:id="316"/>
    </w:p>
    <w:p w:rsidR="008F0AD1" w:rsidRDefault="00A5711B" w:rsidP="00C449BF">
      <w:pPr>
        <w:pStyle w:val="BodyText"/>
      </w:pPr>
      <w:r w:rsidRPr="00A5711B">
        <w:rPr>
          <w:noProof/>
        </w:rPr>
        <w:drawing>
          <wp:inline distT="0" distB="0" distL="0" distR="0">
            <wp:extent cx="5715000" cy="2884888"/>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C449BF" w:rsidRDefault="00C449BF">
      <w:pPr>
        <w:rPr>
          <w:spacing w:val="4"/>
          <w:szCs w:val="18"/>
        </w:rPr>
      </w:pPr>
      <w:r>
        <w:br w:type="page"/>
      </w:r>
    </w:p>
    <w:p w:rsidR="00157088" w:rsidRDefault="00157088" w:rsidP="008914C7">
      <w:pPr>
        <w:pStyle w:val="Heading2"/>
      </w:pPr>
      <w:bookmarkStart w:id="317" w:name="_Toc424192633"/>
      <w:r>
        <w:lastRenderedPageBreak/>
        <w:t>Industrial Sector</w:t>
      </w:r>
      <w:bookmarkEnd w:id="302"/>
      <w:bookmarkEnd w:id="303"/>
      <w:bookmarkEnd w:id="304"/>
      <w:bookmarkEnd w:id="305"/>
      <w:r w:rsidR="00955F32">
        <w:t xml:space="preserve"> Baseline Projections</w:t>
      </w:r>
      <w:bookmarkEnd w:id="317"/>
    </w:p>
    <w:p w:rsidR="00955F32" w:rsidRPr="00955F32" w:rsidRDefault="00955F32" w:rsidP="00BD0E72">
      <w:pPr>
        <w:pStyle w:val="Heading3"/>
      </w:pPr>
      <w:bookmarkStart w:id="318" w:name="_Toc424192634"/>
      <w:r>
        <w:t>Annual Use</w:t>
      </w:r>
      <w:bookmarkEnd w:id="318"/>
    </w:p>
    <w:p w:rsidR="00157088" w:rsidRPr="00E512F1" w:rsidRDefault="001E1315" w:rsidP="00157088">
      <w:pPr>
        <w:pStyle w:val="BodyText"/>
      </w:pPr>
      <w:r>
        <w:t xml:space="preserve">Annual industrial use </w:t>
      </w:r>
      <w:r w:rsidR="00977340">
        <w:t>increases</w:t>
      </w:r>
      <w:r>
        <w:t xml:space="preserve"> </w:t>
      </w:r>
      <w:r w:rsidR="00977340">
        <w:t xml:space="preserve">almost 25% </w:t>
      </w:r>
      <w:r>
        <w:t>through the forecast horizon</w:t>
      </w:r>
      <w:r w:rsidR="00144F91">
        <w:t>,</w:t>
      </w:r>
      <w:r w:rsidR="001A0079">
        <w:t xml:space="preserve"> driven primarily by expected </w:t>
      </w:r>
      <w:r w:rsidR="00144F91">
        <w:t xml:space="preserve">customer </w:t>
      </w:r>
      <w:r w:rsidR="001A0079">
        <w:t>growth</w:t>
      </w:r>
      <w:r>
        <w:t xml:space="preserve">. </w:t>
      </w:r>
      <w:r w:rsidR="00977340">
        <w:t xml:space="preserve">The tables and graphs below </w:t>
      </w:r>
      <w:r w:rsidR="00157088" w:rsidRPr="00E512F1">
        <w:t xml:space="preserve">present the </w:t>
      </w:r>
      <w:r w:rsidR="00157088">
        <w:t>projection</w:t>
      </w:r>
      <w:r w:rsidR="00157088" w:rsidRPr="00E512F1">
        <w:t xml:space="preserve"> at the end-use level</w:t>
      </w:r>
      <w:r w:rsidR="00873C91">
        <w:t>.</w:t>
      </w:r>
      <w:r w:rsidR="00157088" w:rsidRPr="00E512F1">
        <w:t xml:space="preserve"> Overall</w:t>
      </w:r>
      <w:r w:rsidR="00977340">
        <w:t xml:space="preserve"> in Washington</w:t>
      </w:r>
      <w:r w:rsidR="00157088" w:rsidRPr="00E512F1">
        <w:t xml:space="preserve">, industrial annual electricity use increases from </w:t>
      </w:r>
      <w:r w:rsidR="00977340">
        <w:t>922</w:t>
      </w:r>
      <w:r w:rsidR="00157088" w:rsidRPr="00E512F1">
        <w:t xml:space="preserve"> GWh in </w:t>
      </w:r>
      <w:r w:rsidR="00157088">
        <w:t>201</w:t>
      </w:r>
      <w:r w:rsidR="00C449BF">
        <w:t>3</w:t>
      </w:r>
      <w:r w:rsidR="00157088" w:rsidRPr="00E512F1">
        <w:t xml:space="preserve"> to </w:t>
      </w:r>
      <w:r w:rsidR="00977340">
        <w:t>1</w:t>
      </w:r>
      <w:r w:rsidR="00513762">
        <w:t>,</w:t>
      </w:r>
      <w:r w:rsidR="00977340">
        <w:t>149</w:t>
      </w:r>
      <w:r w:rsidR="00157088">
        <w:t xml:space="preserve"> </w:t>
      </w:r>
      <w:r w:rsidR="00157088" w:rsidRPr="00E512F1">
        <w:t xml:space="preserve">GWh in </w:t>
      </w:r>
      <w:r w:rsidR="00157088">
        <w:t>203</w:t>
      </w:r>
      <w:r w:rsidR="00977340">
        <w:t>5</w:t>
      </w:r>
      <w:r w:rsidR="00157088" w:rsidRPr="00E512F1">
        <w:t xml:space="preserve">. </w:t>
      </w:r>
      <w:r w:rsidR="001259EB">
        <w:t xml:space="preserve">In Idaho, annual electricity use increases from 343 GWh in 2013 to 426 GWh in 2035. </w:t>
      </w:r>
      <w:r w:rsidR="00157088" w:rsidRPr="00E512F1">
        <w:t xml:space="preserve">This comprises an overall increase of </w:t>
      </w:r>
      <w:r w:rsidR="001259EB">
        <w:t>25</w:t>
      </w:r>
      <w:r w:rsidR="00C449BF">
        <w:t xml:space="preserve">% over the </w:t>
      </w:r>
      <w:r w:rsidR="00513762">
        <w:t>2</w:t>
      </w:r>
      <w:r w:rsidR="001259EB">
        <w:t>3</w:t>
      </w:r>
      <w:r w:rsidR="00C449BF">
        <w:t>-year period</w:t>
      </w:r>
      <w:r w:rsidR="001259EB">
        <w:t xml:space="preserve"> in both states</w:t>
      </w:r>
      <w:r w:rsidR="00157088">
        <w:t xml:space="preserve">.  </w:t>
      </w:r>
    </w:p>
    <w:p w:rsidR="00157088" w:rsidRPr="000E3F5F" w:rsidRDefault="000721A2" w:rsidP="00837C13">
      <w:pPr>
        <w:pStyle w:val="FigureorTableTitle"/>
      </w:pPr>
      <w:bookmarkStart w:id="319" w:name="_Ref402253713"/>
      <w:bookmarkStart w:id="320" w:name="_Toc341181337"/>
      <w:bookmarkStart w:id="321" w:name="_Toc396755840"/>
      <w:bookmarkStart w:id="322" w:name="_Toc424192787"/>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13</w:t>
      </w:r>
      <w:r w:rsidR="00512CD6">
        <w:rPr>
          <w:bCs w:val="0"/>
          <w:iCs w:val="0"/>
          <w:noProof/>
        </w:rPr>
        <w:fldChar w:fldCharType="end"/>
      </w:r>
      <w:bookmarkEnd w:id="319"/>
      <w:r w:rsidR="00157088">
        <w:tab/>
        <w:t xml:space="preserve">Industrial </w:t>
      </w:r>
      <w:r w:rsidR="00C449BF">
        <w:t>Baseline Projection</w:t>
      </w:r>
      <w:r w:rsidR="00157088">
        <w:t xml:space="preserve"> by End Use (GWh)</w:t>
      </w:r>
      <w:bookmarkEnd w:id="320"/>
      <w:bookmarkEnd w:id="321"/>
      <w:r w:rsidR="00F71296">
        <w:t>, Washington</w:t>
      </w:r>
      <w:bookmarkEnd w:id="322"/>
    </w:p>
    <w:tbl>
      <w:tblPr>
        <w:tblW w:w="5000" w:type="pct"/>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018"/>
        <w:gridCol w:w="997"/>
        <w:gridCol w:w="997"/>
        <w:gridCol w:w="997"/>
        <w:gridCol w:w="996"/>
        <w:gridCol w:w="997"/>
        <w:gridCol w:w="997"/>
        <w:gridCol w:w="1011"/>
      </w:tblGrid>
      <w:tr w:rsidR="00C449BF" w:rsidRPr="001E1315" w:rsidTr="00C63F81">
        <w:trPr>
          <w:trHeight w:val="216"/>
        </w:trPr>
        <w:tc>
          <w:tcPr>
            <w:tcW w:w="2013" w:type="dxa"/>
            <w:shd w:val="clear" w:color="auto" w:fill="1A1D5D"/>
            <w:tcMar>
              <w:top w:w="29" w:type="dxa"/>
              <w:bottom w:w="29" w:type="dxa"/>
            </w:tcMar>
            <w:vAlign w:val="center"/>
          </w:tcPr>
          <w:p w:rsidR="00C449BF" w:rsidRPr="001E1315" w:rsidRDefault="00C449BF" w:rsidP="00C449BF">
            <w:pPr>
              <w:pStyle w:val="TableHeadings"/>
              <w:rPr>
                <w:rFonts w:cs="Calibri"/>
              </w:rPr>
            </w:pPr>
            <w:r w:rsidRPr="001E1315">
              <w:rPr>
                <w:rFonts w:cs="Calibri"/>
                <w:b w:val="0"/>
              </w:rPr>
              <w:t>End Use</w:t>
            </w:r>
          </w:p>
        </w:tc>
        <w:tc>
          <w:tcPr>
            <w:tcW w:w="994" w:type="dxa"/>
            <w:shd w:val="clear" w:color="auto" w:fill="1A1D5D"/>
            <w:tcMar>
              <w:top w:w="29" w:type="dxa"/>
              <w:bottom w:w="29" w:type="dxa"/>
            </w:tcMar>
            <w:vAlign w:val="center"/>
          </w:tcPr>
          <w:p w:rsidR="00C449BF" w:rsidRPr="001E1315" w:rsidRDefault="00C449BF" w:rsidP="00C449BF">
            <w:pPr>
              <w:jc w:val="center"/>
              <w:rPr>
                <w:rFonts w:ascii="Calibri" w:hAnsi="Calibri" w:cs="Calibri"/>
                <w:b/>
                <w:bCs/>
                <w:color w:val="FFFFFF"/>
                <w:szCs w:val="20"/>
              </w:rPr>
            </w:pPr>
            <w:r w:rsidRPr="001E1315">
              <w:rPr>
                <w:rFonts w:ascii="Calibri" w:hAnsi="Calibri" w:cs="Calibri"/>
                <w:bCs/>
                <w:szCs w:val="20"/>
              </w:rPr>
              <w:t>201</w:t>
            </w:r>
            <w:r w:rsidRPr="001E1315">
              <w:rPr>
                <w:rFonts w:ascii="Calibri" w:hAnsi="Calibri" w:cs="Calibri"/>
                <w:b/>
                <w:bCs/>
                <w:szCs w:val="20"/>
              </w:rPr>
              <w:t>3</w:t>
            </w:r>
          </w:p>
        </w:tc>
        <w:tc>
          <w:tcPr>
            <w:tcW w:w="995" w:type="dxa"/>
            <w:shd w:val="clear" w:color="auto" w:fill="1A1D5D"/>
            <w:tcMar>
              <w:top w:w="29" w:type="dxa"/>
              <w:bottom w:w="29" w:type="dxa"/>
            </w:tcMar>
            <w:vAlign w:val="center"/>
          </w:tcPr>
          <w:p w:rsidR="00C449BF" w:rsidRPr="001E1315" w:rsidRDefault="00C449BF" w:rsidP="00F71296">
            <w:pPr>
              <w:jc w:val="center"/>
              <w:rPr>
                <w:rFonts w:ascii="Calibri" w:hAnsi="Calibri" w:cs="Calibri"/>
                <w:b/>
                <w:bCs/>
                <w:color w:val="FFFFFF"/>
                <w:szCs w:val="20"/>
              </w:rPr>
            </w:pPr>
            <w:r w:rsidRPr="001E1315">
              <w:rPr>
                <w:rFonts w:ascii="Calibri" w:hAnsi="Calibri" w:cs="Calibri"/>
                <w:bCs/>
                <w:szCs w:val="20"/>
              </w:rPr>
              <w:t>201</w:t>
            </w:r>
            <w:r w:rsidR="00F71296">
              <w:rPr>
                <w:rFonts w:ascii="Calibri" w:hAnsi="Calibri" w:cs="Calibri"/>
                <w:bCs/>
                <w:szCs w:val="20"/>
              </w:rPr>
              <w:t>6</w:t>
            </w:r>
          </w:p>
        </w:tc>
        <w:tc>
          <w:tcPr>
            <w:tcW w:w="995" w:type="dxa"/>
            <w:shd w:val="clear" w:color="auto" w:fill="1A1D5D"/>
            <w:tcMar>
              <w:top w:w="29" w:type="dxa"/>
              <w:bottom w:w="29" w:type="dxa"/>
            </w:tcMar>
            <w:vAlign w:val="center"/>
          </w:tcPr>
          <w:p w:rsidR="00C449BF" w:rsidRPr="001E1315" w:rsidRDefault="00C449BF" w:rsidP="00F71296">
            <w:pPr>
              <w:jc w:val="center"/>
              <w:rPr>
                <w:rFonts w:ascii="Calibri" w:hAnsi="Calibri" w:cs="Calibri"/>
                <w:bCs/>
                <w:color w:val="FFFFFF"/>
                <w:szCs w:val="20"/>
              </w:rPr>
            </w:pPr>
            <w:r w:rsidRPr="001E1315">
              <w:rPr>
                <w:rFonts w:ascii="Calibri" w:hAnsi="Calibri" w:cs="Calibri"/>
                <w:bCs/>
                <w:szCs w:val="20"/>
              </w:rPr>
              <w:t>20</w:t>
            </w:r>
            <w:r w:rsidR="001648F8">
              <w:rPr>
                <w:rFonts w:ascii="Calibri" w:hAnsi="Calibri" w:cs="Calibri"/>
                <w:bCs/>
                <w:szCs w:val="20"/>
              </w:rPr>
              <w:t>1</w:t>
            </w:r>
            <w:r w:rsidR="00F71296">
              <w:rPr>
                <w:rFonts w:ascii="Calibri" w:hAnsi="Calibri" w:cs="Calibri"/>
                <w:bCs/>
                <w:szCs w:val="20"/>
              </w:rPr>
              <w:t>7</w:t>
            </w:r>
          </w:p>
        </w:tc>
        <w:tc>
          <w:tcPr>
            <w:tcW w:w="994" w:type="dxa"/>
            <w:shd w:val="clear" w:color="auto" w:fill="1A1D5D"/>
            <w:tcMar>
              <w:top w:w="29" w:type="dxa"/>
              <w:bottom w:w="29" w:type="dxa"/>
            </w:tcMar>
            <w:vAlign w:val="center"/>
          </w:tcPr>
          <w:p w:rsidR="00C449BF" w:rsidRPr="001E1315" w:rsidRDefault="001648F8" w:rsidP="00F71296">
            <w:pPr>
              <w:jc w:val="center"/>
              <w:rPr>
                <w:rFonts w:ascii="Calibri" w:hAnsi="Calibri" w:cs="Calibri"/>
                <w:bCs/>
                <w:color w:val="FFFFFF"/>
                <w:szCs w:val="20"/>
              </w:rPr>
            </w:pPr>
            <w:r>
              <w:rPr>
                <w:rFonts w:ascii="Calibri" w:hAnsi="Calibri" w:cs="Calibri"/>
                <w:bCs/>
                <w:szCs w:val="20"/>
              </w:rPr>
              <w:t>202</w:t>
            </w:r>
            <w:r w:rsidR="00F71296">
              <w:rPr>
                <w:rFonts w:ascii="Calibri" w:hAnsi="Calibri" w:cs="Calibri"/>
                <w:bCs/>
                <w:szCs w:val="20"/>
              </w:rPr>
              <w:t>0</w:t>
            </w:r>
          </w:p>
        </w:tc>
        <w:tc>
          <w:tcPr>
            <w:tcW w:w="995" w:type="dxa"/>
            <w:shd w:val="clear" w:color="auto" w:fill="1A1D5D"/>
            <w:tcMar>
              <w:top w:w="29" w:type="dxa"/>
              <w:bottom w:w="29" w:type="dxa"/>
            </w:tcMar>
            <w:vAlign w:val="center"/>
          </w:tcPr>
          <w:p w:rsidR="00C449BF" w:rsidRPr="001E1315" w:rsidRDefault="001648F8" w:rsidP="00F71296">
            <w:pPr>
              <w:jc w:val="center"/>
              <w:rPr>
                <w:rFonts w:ascii="Calibri" w:hAnsi="Calibri" w:cs="Calibri"/>
                <w:bCs/>
                <w:color w:val="FFFFFF"/>
                <w:szCs w:val="20"/>
              </w:rPr>
            </w:pPr>
            <w:r>
              <w:rPr>
                <w:rFonts w:ascii="Calibri" w:hAnsi="Calibri" w:cs="Calibri"/>
                <w:bCs/>
                <w:szCs w:val="20"/>
              </w:rPr>
              <w:t>202</w:t>
            </w:r>
            <w:r w:rsidR="00F71296">
              <w:rPr>
                <w:rFonts w:ascii="Calibri" w:hAnsi="Calibri" w:cs="Calibri"/>
                <w:bCs/>
                <w:szCs w:val="20"/>
              </w:rPr>
              <w:t>5</w:t>
            </w:r>
          </w:p>
        </w:tc>
        <w:tc>
          <w:tcPr>
            <w:tcW w:w="995" w:type="dxa"/>
            <w:shd w:val="clear" w:color="auto" w:fill="1A1D5D"/>
            <w:vAlign w:val="center"/>
          </w:tcPr>
          <w:p w:rsidR="00C449BF" w:rsidRPr="001E1315" w:rsidRDefault="001648F8" w:rsidP="00F71296">
            <w:pPr>
              <w:jc w:val="center"/>
              <w:rPr>
                <w:rFonts w:ascii="Calibri" w:hAnsi="Calibri" w:cs="Calibri"/>
                <w:b/>
                <w:bCs/>
                <w:color w:val="FFFFFF"/>
                <w:szCs w:val="20"/>
              </w:rPr>
            </w:pPr>
            <w:r>
              <w:rPr>
                <w:rFonts w:ascii="Calibri" w:hAnsi="Calibri" w:cs="Calibri"/>
                <w:bCs/>
                <w:szCs w:val="20"/>
              </w:rPr>
              <w:t>203</w:t>
            </w:r>
            <w:r w:rsidR="00F71296">
              <w:rPr>
                <w:rFonts w:ascii="Calibri" w:hAnsi="Calibri" w:cs="Calibri"/>
                <w:bCs/>
                <w:szCs w:val="20"/>
              </w:rPr>
              <w:t>5</w:t>
            </w:r>
          </w:p>
        </w:tc>
        <w:tc>
          <w:tcPr>
            <w:tcW w:w="1009" w:type="dxa"/>
            <w:shd w:val="clear" w:color="auto" w:fill="1A1D5D"/>
            <w:vAlign w:val="center"/>
          </w:tcPr>
          <w:p w:rsidR="00C449BF" w:rsidRPr="001E1315" w:rsidRDefault="00C449BF" w:rsidP="00F71296">
            <w:pPr>
              <w:jc w:val="center"/>
              <w:rPr>
                <w:rFonts w:ascii="Calibri" w:hAnsi="Calibri" w:cs="Calibri"/>
                <w:b/>
                <w:bCs/>
                <w:color w:val="FFFFFF"/>
                <w:szCs w:val="20"/>
              </w:rPr>
            </w:pPr>
            <w:r w:rsidRPr="001E1315">
              <w:rPr>
                <w:rFonts w:ascii="Calibri" w:hAnsi="Calibri" w:cs="Calibri"/>
                <w:bCs/>
                <w:szCs w:val="20"/>
              </w:rPr>
              <w:t>% Change</w:t>
            </w:r>
            <w:r w:rsidRPr="001E1315">
              <w:rPr>
                <w:rFonts w:ascii="Calibri" w:hAnsi="Calibri" w:cs="Calibri"/>
                <w:bCs/>
                <w:szCs w:val="20"/>
              </w:rPr>
              <w:br/>
              <w:t>('1</w:t>
            </w:r>
            <w:r w:rsidRPr="001E1315">
              <w:rPr>
                <w:rFonts w:ascii="Calibri" w:hAnsi="Calibri" w:cs="Calibri"/>
                <w:b/>
                <w:bCs/>
                <w:szCs w:val="20"/>
              </w:rPr>
              <w:t>3</w:t>
            </w:r>
            <w:r w:rsidRPr="001E1315">
              <w:rPr>
                <w:rFonts w:ascii="Calibri" w:hAnsi="Calibri" w:cs="Calibri"/>
                <w:bCs/>
                <w:szCs w:val="20"/>
              </w:rPr>
              <w:t>-'3</w:t>
            </w:r>
            <w:r w:rsidR="00F71296">
              <w:rPr>
                <w:rFonts w:ascii="Calibri" w:hAnsi="Calibri" w:cs="Calibri"/>
                <w:bCs/>
                <w:szCs w:val="20"/>
              </w:rPr>
              <w:t>5</w:t>
            </w:r>
            <w:r w:rsidRPr="001E1315">
              <w:rPr>
                <w:rFonts w:ascii="Calibri" w:hAnsi="Calibri" w:cs="Calibri"/>
                <w:bCs/>
                <w:szCs w:val="20"/>
              </w:rPr>
              <w:t>)</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Cooling</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46</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41</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41</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41</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42</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44</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Heating</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20</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21</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22</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22</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23</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24</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23%</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Ventilation</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19</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20</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20</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19</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18</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16</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-18%</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Interior Lighting</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49</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52</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52</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52</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53</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57</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16%</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Exterior Lighting</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10</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10</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10</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10</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10</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10</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-1%</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Process</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492</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534</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540</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555</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578</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626</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27%</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Motors</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251</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272</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275</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282</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294</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319</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27%</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Miscellaneous</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36</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40</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40</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42</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46</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53</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F71296">
              <w:rPr>
                <w:rFonts w:ascii="Calibri" w:hAnsi="Calibri" w:cs="Calibri"/>
                <w:color w:val="000000"/>
                <w:szCs w:val="20"/>
              </w:rPr>
              <w:t>48%</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b/>
                <w:bCs/>
                <w:color w:val="000000"/>
                <w:szCs w:val="20"/>
              </w:rPr>
            </w:pPr>
            <w:r w:rsidRPr="001E1315">
              <w:rPr>
                <w:rFonts w:ascii="Calibri" w:hAnsi="Calibri" w:cs="Calibri"/>
                <w:b/>
                <w:bCs/>
                <w:color w:val="000000"/>
                <w:szCs w:val="20"/>
              </w:rPr>
              <w:t>Total</w:t>
            </w:r>
          </w:p>
        </w:tc>
        <w:tc>
          <w:tcPr>
            <w:tcW w:w="994" w:type="dxa"/>
            <w:shd w:val="clear" w:color="auto" w:fill="E5ECF1"/>
            <w:tcMar>
              <w:top w:w="29" w:type="dxa"/>
              <w:bottom w:w="29" w:type="dxa"/>
            </w:tcMar>
            <w:vAlign w:val="center"/>
          </w:tcPr>
          <w:p w:rsidR="00F71296" w:rsidRPr="00F71296" w:rsidRDefault="00F71296" w:rsidP="001A0079">
            <w:pPr>
              <w:ind w:right="288"/>
              <w:jc w:val="right"/>
              <w:rPr>
                <w:rFonts w:ascii="Calibri" w:hAnsi="Calibri" w:cs="Calibri"/>
                <w:b/>
                <w:color w:val="000000"/>
                <w:szCs w:val="20"/>
              </w:rPr>
            </w:pPr>
            <w:r w:rsidRPr="00F71296">
              <w:rPr>
                <w:rFonts w:ascii="Calibri" w:hAnsi="Calibri" w:cs="Calibri"/>
                <w:b/>
                <w:color w:val="000000"/>
                <w:szCs w:val="20"/>
              </w:rPr>
              <w:t>922</w:t>
            </w:r>
          </w:p>
        </w:tc>
        <w:tc>
          <w:tcPr>
            <w:tcW w:w="995" w:type="dxa"/>
            <w:shd w:val="clear" w:color="auto" w:fill="E5ECF1"/>
            <w:tcMar>
              <w:top w:w="29" w:type="dxa"/>
              <w:bottom w:w="29" w:type="dxa"/>
            </w:tcMar>
            <w:vAlign w:val="center"/>
          </w:tcPr>
          <w:p w:rsidR="00F71296" w:rsidRPr="00F71296" w:rsidRDefault="00F71296" w:rsidP="001A0079">
            <w:pPr>
              <w:ind w:right="288"/>
              <w:jc w:val="right"/>
              <w:rPr>
                <w:rFonts w:ascii="Calibri" w:hAnsi="Calibri" w:cs="Calibri"/>
                <w:b/>
                <w:color w:val="000000"/>
                <w:szCs w:val="20"/>
              </w:rPr>
            </w:pPr>
            <w:r w:rsidRPr="00F71296">
              <w:rPr>
                <w:rFonts w:ascii="Calibri" w:hAnsi="Calibri" w:cs="Calibri"/>
                <w:b/>
                <w:color w:val="000000"/>
                <w:szCs w:val="20"/>
              </w:rPr>
              <w:t>989</w:t>
            </w:r>
          </w:p>
        </w:tc>
        <w:tc>
          <w:tcPr>
            <w:tcW w:w="995" w:type="dxa"/>
            <w:shd w:val="clear" w:color="auto" w:fill="E5ECF1"/>
            <w:tcMar>
              <w:top w:w="29" w:type="dxa"/>
              <w:bottom w:w="29" w:type="dxa"/>
            </w:tcMar>
            <w:vAlign w:val="center"/>
          </w:tcPr>
          <w:p w:rsidR="00F71296" w:rsidRPr="00F71296" w:rsidRDefault="00F71296" w:rsidP="001A0079">
            <w:pPr>
              <w:ind w:right="288"/>
              <w:jc w:val="right"/>
              <w:rPr>
                <w:rFonts w:ascii="Calibri" w:hAnsi="Calibri" w:cs="Calibri"/>
                <w:b/>
                <w:color w:val="000000"/>
                <w:szCs w:val="20"/>
              </w:rPr>
            </w:pPr>
            <w:r w:rsidRPr="00F71296">
              <w:rPr>
                <w:rFonts w:ascii="Calibri" w:hAnsi="Calibri" w:cs="Calibri"/>
                <w:b/>
                <w:color w:val="000000"/>
                <w:szCs w:val="20"/>
              </w:rPr>
              <w:t>999</w:t>
            </w:r>
          </w:p>
        </w:tc>
        <w:tc>
          <w:tcPr>
            <w:tcW w:w="994" w:type="dxa"/>
            <w:shd w:val="clear" w:color="auto" w:fill="E5ECF1"/>
            <w:tcMar>
              <w:top w:w="29" w:type="dxa"/>
              <w:bottom w:w="29" w:type="dxa"/>
            </w:tcMar>
            <w:vAlign w:val="center"/>
          </w:tcPr>
          <w:p w:rsidR="00F71296" w:rsidRPr="00F71296" w:rsidRDefault="00F71296" w:rsidP="001A0079">
            <w:pPr>
              <w:ind w:right="288"/>
              <w:jc w:val="right"/>
              <w:rPr>
                <w:rFonts w:ascii="Calibri" w:hAnsi="Calibri" w:cs="Calibri"/>
                <w:b/>
                <w:color w:val="000000"/>
                <w:szCs w:val="20"/>
              </w:rPr>
            </w:pPr>
            <w:r w:rsidRPr="00F71296">
              <w:rPr>
                <w:rFonts w:ascii="Calibri" w:hAnsi="Calibri" w:cs="Calibri"/>
                <w:b/>
                <w:color w:val="000000"/>
                <w:szCs w:val="20"/>
              </w:rPr>
              <w:t>1,024</w:t>
            </w:r>
          </w:p>
        </w:tc>
        <w:tc>
          <w:tcPr>
            <w:tcW w:w="995" w:type="dxa"/>
            <w:shd w:val="clear" w:color="auto" w:fill="E5ECF1"/>
            <w:tcMar>
              <w:top w:w="29" w:type="dxa"/>
              <w:bottom w:w="29" w:type="dxa"/>
            </w:tcMar>
            <w:vAlign w:val="center"/>
          </w:tcPr>
          <w:p w:rsidR="00F71296" w:rsidRPr="00F71296" w:rsidRDefault="00F71296" w:rsidP="001A0079">
            <w:pPr>
              <w:ind w:right="288"/>
              <w:jc w:val="right"/>
              <w:rPr>
                <w:rFonts w:ascii="Calibri" w:hAnsi="Calibri" w:cs="Calibri"/>
                <w:b/>
                <w:color w:val="000000"/>
                <w:szCs w:val="20"/>
              </w:rPr>
            </w:pPr>
            <w:r w:rsidRPr="00F71296">
              <w:rPr>
                <w:rFonts w:ascii="Calibri" w:hAnsi="Calibri" w:cs="Calibri"/>
                <w:b/>
                <w:color w:val="000000"/>
                <w:szCs w:val="20"/>
              </w:rPr>
              <w:t>1,064</w:t>
            </w:r>
          </w:p>
        </w:tc>
        <w:tc>
          <w:tcPr>
            <w:tcW w:w="995" w:type="dxa"/>
            <w:shd w:val="clear" w:color="auto" w:fill="E5ECF1"/>
            <w:vAlign w:val="center"/>
          </w:tcPr>
          <w:p w:rsidR="00F71296" w:rsidRPr="00F71296" w:rsidRDefault="00F71296" w:rsidP="001A0079">
            <w:pPr>
              <w:ind w:right="288"/>
              <w:jc w:val="right"/>
              <w:rPr>
                <w:rFonts w:ascii="Calibri" w:hAnsi="Calibri" w:cs="Calibri"/>
                <w:b/>
                <w:color w:val="000000"/>
                <w:szCs w:val="20"/>
              </w:rPr>
            </w:pPr>
            <w:r w:rsidRPr="00F71296">
              <w:rPr>
                <w:rFonts w:ascii="Calibri" w:hAnsi="Calibri" w:cs="Calibri"/>
                <w:b/>
                <w:color w:val="000000"/>
                <w:szCs w:val="20"/>
              </w:rPr>
              <w:t>1,149</w:t>
            </w:r>
          </w:p>
        </w:tc>
        <w:tc>
          <w:tcPr>
            <w:tcW w:w="1009" w:type="dxa"/>
            <w:shd w:val="clear" w:color="auto" w:fill="E5ECF1"/>
            <w:vAlign w:val="center"/>
          </w:tcPr>
          <w:p w:rsidR="00F71296" w:rsidRPr="00F71296" w:rsidRDefault="00F71296" w:rsidP="00144F91">
            <w:pPr>
              <w:ind w:right="288"/>
              <w:jc w:val="right"/>
              <w:rPr>
                <w:rFonts w:ascii="Calibri" w:hAnsi="Calibri" w:cs="Calibri"/>
                <w:b/>
                <w:color w:val="000000"/>
                <w:szCs w:val="20"/>
              </w:rPr>
            </w:pPr>
            <w:r w:rsidRPr="00F71296">
              <w:rPr>
                <w:rFonts w:ascii="Calibri" w:hAnsi="Calibri" w:cs="Calibri"/>
                <w:b/>
                <w:color w:val="000000"/>
                <w:szCs w:val="20"/>
              </w:rPr>
              <w:t>24.5%</w:t>
            </w:r>
          </w:p>
        </w:tc>
      </w:tr>
    </w:tbl>
    <w:p w:rsidR="00157088" w:rsidRDefault="00157088" w:rsidP="00157088">
      <w:pPr>
        <w:pStyle w:val="BodyText"/>
      </w:pPr>
      <w:bookmarkStart w:id="323" w:name="_Ref337025987"/>
    </w:p>
    <w:p w:rsidR="00157088" w:rsidRDefault="00157088" w:rsidP="00157088">
      <w:pPr>
        <w:pStyle w:val="BodyText"/>
      </w:pPr>
      <w:bookmarkStart w:id="324" w:name="_Toc333955926"/>
      <w:bookmarkStart w:id="325" w:name="_Toc335647168"/>
      <w:bookmarkStart w:id="326" w:name="_Toc341176233"/>
      <w:bookmarkEnd w:id="323"/>
    </w:p>
    <w:p w:rsidR="00F71296" w:rsidRDefault="00F71296" w:rsidP="00F71296">
      <w:pPr>
        <w:pStyle w:val="FigureorTableTitle"/>
      </w:pPr>
      <w:bookmarkStart w:id="327" w:name="_Toc424192788"/>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14</w:t>
      </w:r>
      <w:r w:rsidR="00512CD6">
        <w:rPr>
          <w:bCs w:val="0"/>
          <w:iCs w:val="0"/>
          <w:noProof/>
        </w:rPr>
        <w:fldChar w:fldCharType="end"/>
      </w:r>
      <w:r>
        <w:tab/>
        <w:t xml:space="preserve">Industrial Baseline Projection by End Use (GWh), </w:t>
      </w:r>
      <w:r w:rsidR="00A961A3">
        <w:t>Idaho</w:t>
      </w:r>
      <w:bookmarkEnd w:id="327"/>
    </w:p>
    <w:tbl>
      <w:tblPr>
        <w:tblW w:w="5000" w:type="pct"/>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018"/>
        <w:gridCol w:w="997"/>
        <w:gridCol w:w="997"/>
        <w:gridCol w:w="997"/>
        <w:gridCol w:w="996"/>
        <w:gridCol w:w="997"/>
        <w:gridCol w:w="997"/>
        <w:gridCol w:w="1011"/>
      </w:tblGrid>
      <w:tr w:rsidR="00F71296" w:rsidRPr="001E1315" w:rsidTr="00F71296">
        <w:trPr>
          <w:trHeight w:val="216"/>
        </w:trPr>
        <w:tc>
          <w:tcPr>
            <w:tcW w:w="2013" w:type="dxa"/>
            <w:shd w:val="clear" w:color="auto" w:fill="1A1D5D"/>
            <w:tcMar>
              <w:top w:w="29" w:type="dxa"/>
              <w:bottom w:w="29" w:type="dxa"/>
            </w:tcMar>
            <w:vAlign w:val="center"/>
          </w:tcPr>
          <w:p w:rsidR="00F71296" w:rsidRPr="001E1315" w:rsidRDefault="00F71296" w:rsidP="00F71296">
            <w:pPr>
              <w:pStyle w:val="TableHeadings"/>
              <w:rPr>
                <w:rFonts w:cs="Calibri"/>
              </w:rPr>
            </w:pPr>
            <w:r w:rsidRPr="001E1315">
              <w:rPr>
                <w:rFonts w:cs="Calibri"/>
                <w:b w:val="0"/>
              </w:rPr>
              <w:t>End Use</w:t>
            </w:r>
          </w:p>
        </w:tc>
        <w:tc>
          <w:tcPr>
            <w:tcW w:w="994" w:type="dxa"/>
            <w:shd w:val="clear" w:color="auto" w:fill="1A1D5D"/>
            <w:tcMar>
              <w:top w:w="29" w:type="dxa"/>
              <w:bottom w:w="29" w:type="dxa"/>
            </w:tcMar>
            <w:vAlign w:val="center"/>
          </w:tcPr>
          <w:p w:rsidR="00F71296" w:rsidRPr="001E1315" w:rsidRDefault="00F71296" w:rsidP="00F71296">
            <w:pPr>
              <w:jc w:val="center"/>
              <w:rPr>
                <w:rFonts w:ascii="Calibri" w:hAnsi="Calibri" w:cs="Calibri"/>
                <w:b/>
                <w:bCs/>
                <w:color w:val="FFFFFF"/>
                <w:szCs w:val="20"/>
              </w:rPr>
            </w:pPr>
            <w:r w:rsidRPr="001E1315">
              <w:rPr>
                <w:rFonts w:ascii="Calibri" w:hAnsi="Calibri" w:cs="Calibri"/>
                <w:bCs/>
                <w:szCs w:val="20"/>
              </w:rPr>
              <w:t>201</w:t>
            </w:r>
            <w:r w:rsidRPr="001E1315">
              <w:rPr>
                <w:rFonts w:ascii="Calibri" w:hAnsi="Calibri" w:cs="Calibri"/>
                <w:b/>
                <w:bCs/>
                <w:szCs w:val="20"/>
              </w:rPr>
              <w:t>3</w:t>
            </w:r>
          </w:p>
        </w:tc>
        <w:tc>
          <w:tcPr>
            <w:tcW w:w="995" w:type="dxa"/>
            <w:shd w:val="clear" w:color="auto" w:fill="1A1D5D"/>
            <w:tcMar>
              <w:top w:w="29" w:type="dxa"/>
              <w:bottom w:w="29" w:type="dxa"/>
            </w:tcMar>
            <w:vAlign w:val="center"/>
          </w:tcPr>
          <w:p w:rsidR="00F71296" w:rsidRPr="001E1315" w:rsidRDefault="00F71296" w:rsidP="00F71296">
            <w:pPr>
              <w:jc w:val="center"/>
              <w:rPr>
                <w:rFonts w:ascii="Calibri" w:hAnsi="Calibri" w:cs="Calibri"/>
                <w:b/>
                <w:bCs/>
                <w:color w:val="FFFFFF"/>
                <w:szCs w:val="20"/>
              </w:rPr>
            </w:pPr>
            <w:r w:rsidRPr="001E1315">
              <w:rPr>
                <w:rFonts w:ascii="Calibri" w:hAnsi="Calibri" w:cs="Calibri"/>
                <w:bCs/>
                <w:szCs w:val="20"/>
              </w:rPr>
              <w:t>201</w:t>
            </w:r>
            <w:r>
              <w:rPr>
                <w:rFonts w:ascii="Calibri" w:hAnsi="Calibri" w:cs="Calibri"/>
                <w:bCs/>
                <w:szCs w:val="20"/>
              </w:rPr>
              <w:t>6</w:t>
            </w:r>
          </w:p>
        </w:tc>
        <w:tc>
          <w:tcPr>
            <w:tcW w:w="995" w:type="dxa"/>
            <w:shd w:val="clear" w:color="auto" w:fill="1A1D5D"/>
            <w:tcMar>
              <w:top w:w="29" w:type="dxa"/>
              <w:bottom w:w="29" w:type="dxa"/>
            </w:tcMar>
            <w:vAlign w:val="center"/>
          </w:tcPr>
          <w:p w:rsidR="00F71296" w:rsidRPr="001E1315" w:rsidRDefault="00F71296" w:rsidP="00F71296">
            <w:pPr>
              <w:jc w:val="center"/>
              <w:rPr>
                <w:rFonts w:ascii="Calibri" w:hAnsi="Calibri" w:cs="Calibri"/>
                <w:bCs/>
                <w:color w:val="FFFFFF"/>
                <w:szCs w:val="20"/>
              </w:rPr>
            </w:pPr>
            <w:r w:rsidRPr="001E1315">
              <w:rPr>
                <w:rFonts w:ascii="Calibri" w:hAnsi="Calibri" w:cs="Calibri"/>
                <w:bCs/>
                <w:szCs w:val="20"/>
              </w:rPr>
              <w:t>20</w:t>
            </w:r>
            <w:r>
              <w:rPr>
                <w:rFonts w:ascii="Calibri" w:hAnsi="Calibri" w:cs="Calibri"/>
                <w:bCs/>
                <w:szCs w:val="20"/>
              </w:rPr>
              <w:t>17</w:t>
            </w:r>
          </w:p>
        </w:tc>
        <w:tc>
          <w:tcPr>
            <w:tcW w:w="994" w:type="dxa"/>
            <w:shd w:val="clear" w:color="auto" w:fill="1A1D5D"/>
            <w:tcMar>
              <w:top w:w="29" w:type="dxa"/>
              <w:bottom w:w="29" w:type="dxa"/>
            </w:tcMar>
            <w:vAlign w:val="center"/>
          </w:tcPr>
          <w:p w:rsidR="00F71296" w:rsidRPr="001E1315" w:rsidRDefault="00F71296" w:rsidP="00F71296">
            <w:pPr>
              <w:jc w:val="center"/>
              <w:rPr>
                <w:rFonts w:ascii="Calibri" w:hAnsi="Calibri" w:cs="Calibri"/>
                <w:bCs/>
                <w:color w:val="FFFFFF"/>
                <w:szCs w:val="20"/>
              </w:rPr>
            </w:pPr>
            <w:r>
              <w:rPr>
                <w:rFonts w:ascii="Calibri" w:hAnsi="Calibri" w:cs="Calibri"/>
                <w:bCs/>
                <w:szCs w:val="20"/>
              </w:rPr>
              <w:t>2020</w:t>
            </w:r>
          </w:p>
        </w:tc>
        <w:tc>
          <w:tcPr>
            <w:tcW w:w="995" w:type="dxa"/>
            <w:shd w:val="clear" w:color="auto" w:fill="1A1D5D"/>
            <w:tcMar>
              <w:top w:w="29" w:type="dxa"/>
              <w:bottom w:w="29" w:type="dxa"/>
            </w:tcMar>
            <w:vAlign w:val="center"/>
          </w:tcPr>
          <w:p w:rsidR="00F71296" w:rsidRPr="001E1315" w:rsidRDefault="00F71296" w:rsidP="00F71296">
            <w:pPr>
              <w:jc w:val="center"/>
              <w:rPr>
                <w:rFonts w:ascii="Calibri" w:hAnsi="Calibri" w:cs="Calibri"/>
                <w:bCs/>
                <w:color w:val="FFFFFF"/>
                <w:szCs w:val="20"/>
              </w:rPr>
            </w:pPr>
            <w:r>
              <w:rPr>
                <w:rFonts w:ascii="Calibri" w:hAnsi="Calibri" w:cs="Calibri"/>
                <w:bCs/>
                <w:szCs w:val="20"/>
              </w:rPr>
              <w:t>2025</w:t>
            </w:r>
          </w:p>
        </w:tc>
        <w:tc>
          <w:tcPr>
            <w:tcW w:w="995" w:type="dxa"/>
            <w:shd w:val="clear" w:color="auto" w:fill="1A1D5D"/>
            <w:vAlign w:val="center"/>
          </w:tcPr>
          <w:p w:rsidR="00F71296" w:rsidRPr="001E1315" w:rsidRDefault="00F71296" w:rsidP="00F71296">
            <w:pPr>
              <w:jc w:val="center"/>
              <w:rPr>
                <w:rFonts w:ascii="Calibri" w:hAnsi="Calibri" w:cs="Calibri"/>
                <w:b/>
                <w:bCs/>
                <w:color w:val="FFFFFF"/>
                <w:szCs w:val="20"/>
              </w:rPr>
            </w:pPr>
            <w:r>
              <w:rPr>
                <w:rFonts w:ascii="Calibri" w:hAnsi="Calibri" w:cs="Calibri"/>
                <w:bCs/>
                <w:szCs w:val="20"/>
              </w:rPr>
              <w:t>2035</w:t>
            </w:r>
          </w:p>
        </w:tc>
        <w:tc>
          <w:tcPr>
            <w:tcW w:w="1009" w:type="dxa"/>
            <w:shd w:val="clear" w:color="auto" w:fill="1A1D5D"/>
            <w:vAlign w:val="center"/>
          </w:tcPr>
          <w:p w:rsidR="00F71296" w:rsidRPr="001E1315" w:rsidRDefault="00F71296" w:rsidP="00F71296">
            <w:pPr>
              <w:jc w:val="center"/>
              <w:rPr>
                <w:rFonts w:ascii="Calibri" w:hAnsi="Calibri" w:cs="Calibri"/>
                <w:b/>
                <w:bCs/>
                <w:color w:val="FFFFFF"/>
                <w:szCs w:val="20"/>
              </w:rPr>
            </w:pPr>
            <w:r w:rsidRPr="001E1315">
              <w:rPr>
                <w:rFonts w:ascii="Calibri" w:hAnsi="Calibri" w:cs="Calibri"/>
                <w:bCs/>
                <w:szCs w:val="20"/>
              </w:rPr>
              <w:t>% Change</w:t>
            </w:r>
            <w:r w:rsidRPr="001E1315">
              <w:rPr>
                <w:rFonts w:ascii="Calibri" w:hAnsi="Calibri" w:cs="Calibri"/>
                <w:bCs/>
                <w:szCs w:val="20"/>
              </w:rPr>
              <w:br/>
              <w:t>('1</w:t>
            </w:r>
            <w:r w:rsidRPr="001E1315">
              <w:rPr>
                <w:rFonts w:ascii="Calibri" w:hAnsi="Calibri" w:cs="Calibri"/>
                <w:b/>
                <w:bCs/>
                <w:szCs w:val="20"/>
              </w:rPr>
              <w:t>3</w:t>
            </w:r>
            <w:r w:rsidRPr="001E1315">
              <w:rPr>
                <w:rFonts w:ascii="Calibri" w:hAnsi="Calibri" w:cs="Calibri"/>
                <w:bCs/>
                <w:szCs w:val="20"/>
              </w:rPr>
              <w:t>-'3</w:t>
            </w:r>
            <w:r>
              <w:rPr>
                <w:rFonts w:ascii="Calibri" w:hAnsi="Calibri" w:cs="Calibri"/>
                <w:bCs/>
                <w:szCs w:val="20"/>
              </w:rPr>
              <w:t>5</w:t>
            </w:r>
            <w:r w:rsidRPr="001E1315">
              <w:rPr>
                <w:rFonts w:ascii="Calibri" w:hAnsi="Calibri" w:cs="Calibri"/>
                <w:bCs/>
                <w:szCs w:val="20"/>
              </w:rPr>
              <w:t>)</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Cooling</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17</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15</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15</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15</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16</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16</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-5%</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Heating</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7</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8</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8</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8</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8</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9</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23%</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Ventilation</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7</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7</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7</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7</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7</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6</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-18%</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Interior Lighting</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18</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19</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19</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19</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20</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21</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15%</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Exterior Lighting</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4</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4</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4</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4</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4</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4</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Process</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183</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198</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200</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206</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215</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232</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27%</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Motors</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93</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101</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102</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105</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109</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118</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27%</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color w:val="000000"/>
                <w:szCs w:val="20"/>
              </w:rPr>
            </w:pPr>
            <w:r w:rsidRPr="001E1315">
              <w:rPr>
                <w:rFonts w:ascii="Calibri" w:hAnsi="Calibri" w:cs="Calibri"/>
                <w:color w:val="000000"/>
                <w:szCs w:val="20"/>
              </w:rPr>
              <w:t>Miscellaneous</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13</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15</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15</w:t>
            </w:r>
          </w:p>
        </w:tc>
        <w:tc>
          <w:tcPr>
            <w:tcW w:w="994"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16</w:t>
            </w:r>
          </w:p>
        </w:tc>
        <w:tc>
          <w:tcPr>
            <w:tcW w:w="995" w:type="dxa"/>
            <w:shd w:val="clear" w:color="auto" w:fill="E5ECF1"/>
            <w:tcMar>
              <w:top w:w="29" w:type="dxa"/>
              <w:bottom w:w="29" w:type="dxa"/>
            </w:tcMar>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17</w:t>
            </w:r>
          </w:p>
        </w:tc>
        <w:tc>
          <w:tcPr>
            <w:tcW w:w="995"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20</w:t>
            </w:r>
          </w:p>
        </w:tc>
        <w:tc>
          <w:tcPr>
            <w:tcW w:w="1009" w:type="dxa"/>
            <w:shd w:val="clear" w:color="auto" w:fill="E5ECF1"/>
            <w:vAlign w:val="center"/>
          </w:tcPr>
          <w:p w:rsidR="00F71296" w:rsidRPr="001648F8" w:rsidRDefault="00F71296" w:rsidP="001A0079">
            <w:pPr>
              <w:ind w:right="288"/>
              <w:jc w:val="right"/>
              <w:rPr>
                <w:rFonts w:ascii="Calibri" w:hAnsi="Calibri" w:cs="Calibri"/>
                <w:color w:val="000000"/>
                <w:szCs w:val="20"/>
              </w:rPr>
            </w:pPr>
            <w:r w:rsidRPr="00A961A3">
              <w:rPr>
                <w:rFonts w:ascii="Calibri" w:hAnsi="Calibri" w:cs="Calibri"/>
                <w:color w:val="000000"/>
                <w:szCs w:val="20"/>
              </w:rPr>
              <w:t>48%</w:t>
            </w:r>
          </w:p>
        </w:tc>
      </w:tr>
      <w:tr w:rsidR="00F71296" w:rsidRPr="001E1315" w:rsidTr="001A0079">
        <w:trPr>
          <w:trHeight w:val="216"/>
        </w:trPr>
        <w:tc>
          <w:tcPr>
            <w:tcW w:w="2013" w:type="dxa"/>
            <w:tcMar>
              <w:top w:w="29" w:type="dxa"/>
              <w:bottom w:w="29" w:type="dxa"/>
            </w:tcMar>
            <w:vAlign w:val="bottom"/>
          </w:tcPr>
          <w:p w:rsidR="00F71296" w:rsidRPr="001E1315" w:rsidRDefault="00F71296" w:rsidP="00F71296">
            <w:pPr>
              <w:ind w:left="144"/>
              <w:rPr>
                <w:rFonts w:ascii="Calibri" w:hAnsi="Calibri" w:cs="Calibri"/>
                <w:b/>
                <w:bCs/>
                <w:color w:val="000000"/>
                <w:szCs w:val="20"/>
              </w:rPr>
            </w:pPr>
            <w:r w:rsidRPr="001E1315">
              <w:rPr>
                <w:rFonts w:ascii="Calibri" w:hAnsi="Calibri" w:cs="Calibri"/>
                <w:b/>
                <w:bCs/>
                <w:color w:val="000000"/>
                <w:szCs w:val="20"/>
              </w:rPr>
              <w:t>Total</w:t>
            </w:r>
          </w:p>
        </w:tc>
        <w:tc>
          <w:tcPr>
            <w:tcW w:w="994" w:type="dxa"/>
            <w:shd w:val="clear" w:color="auto" w:fill="E5ECF1"/>
            <w:tcMar>
              <w:top w:w="29" w:type="dxa"/>
              <w:bottom w:w="29" w:type="dxa"/>
            </w:tcMar>
            <w:vAlign w:val="center"/>
          </w:tcPr>
          <w:p w:rsidR="00F71296" w:rsidRPr="00A961A3" w:rsidRDefault="00F71296" w:rsidP="001A0079">
            <w:pPr>
              <w:ind w:right="288"/>
              <w:jc w:val="right"/>
              <w:rPr>
                <w:rFonts w:ascii="Calibri" w:hAnsi="Calibri" w:cs="Calibri"/>
                <w:b/>
                <w:color w:val="000000"/>
                <w:szCs w:val="20"/>
              </w:rPr>
            </w:pPr>
            <w:r w:rsidRPr="00A961A3">
              <w:rPr>
                <w:rFonts w:ascii="Calibri" w:hAnsi="Calibri" w:cs="Calibri"/>
                <w:b/>
                <w:color w:val="000000"/>
                <w:szCs w:val="20"/>
              </w:rPr>
              <w:t>343</w:t>
            </w:r>
          </w:p>
        </w:tc>
        <w:tc>
          <w:tcPr>
            <w:tcW w:w="995" w:type="dxa"/>
            <w:shd w:val="clear" w:color="auto" w:fill="E5ECF1"/>
            <w:tcMar>
              <w:top w:w="29" w:type="dxa"/>
              <w:bottom w:w="29" w:type="dxa"/>
            </w:tcMar>
            <w:vAlign w:val="center"/>
          </w:tcPr>
          <w:p w:rsidR="00F71296" w:rsidRPr="00A961A3" w:rsidRDefault="00F71296" w:rsidP="001A0079">
            <w:pPr>
              <w:ind w:right="288"/>
              <w:jc w:val="right"/>
              <w:rPr>
                <w:rFonts w:ascii="Calibri" w:hAnsi="Calibri" w:cs="Calibri"/>
                <w:b/>
                <w:color w:val="000000"/>
                <w:szCs w:val="20"/>
              </w:rPr>
            </w:pPr>
            <w:r w:rsidRPr="00A961A3">
              <w:rPr>
                <w:rFonts w:ascii="Calibri" w:hAnsi="Calibri" w:cs="Calibri"/>
                <w:b/>
                <w:color w:val="000000"/>
                <w:szCs w:val="20"/>
              </w:rPr>
              <w:t>367</w:t>
            </w:r>
          </w:p>
        </w:tc>
        <w:tc>
          <w:tcPr>
            <w:tcW w:w="995" w:type="dxa"/>
            <w:shd w:val="clear" w:color="auto" w:fill="E5ECF1"/>
            <w:tcMar>
              <w:top w:w="29" w:type="dxa"/>
              <w:bottom w:w="29" w:type="dxa"/>
            </w:tcMar>
            <w:vAlign w:val="center"/>
          </w:tcPr>
          <w:p w:rsidR="00F71296" w:rsidRPr="00A961A3" w:rsidRDefault="00F71296" w:rsidP="001A0079">
            <w:pPr>
              <w:ind w:right="288"/>
              <w:jc w:val="right"/>
              <w:rPr>
                <w:rFonts w:ascii="Calibri" w:hAnsi="Calibri" w:cs="Calibri"/>
                <w:b/>
                <w:color w:val="000000"/>
                <w:szCs w:val="20"/>
              </w:rPr>
            </w:pPr>
            <w:r w:rsidRPr="00A961A3">
              <w:rPr>
                <w:rFonts w:ascii="Calibri" w:hAnsi="Calibri" w:cs="Calibri"/>
                <w:b/>
                <w:color w:val="000000"/>
                <w:szCs w:val="20"/>
              </w:rPr>
              <w:t>371</w:t>
            </w:r>
          </w:p>
        </w:tc>
        <w:tc>
          <w:tcPr>
            <w:tcW w:w="994" w:type="dxa"/>
            <w:shd w:val="clear" w:color="auto" w:fill="E5ECF1"/>
            <w:tcMar>
              <w:top w:w="29" w:type="dxa"/>
              <w:bottom w:w="29" w:type="dxa"/>
            </w:tcMar>
            <w:vAlign w:val="center"/>
          </w:tcPr>
          <w:p w:rsidR="00F71296" w:rsidRPr="00A961A3" w:rsidRDefault="00F71296" w:rsidP="001A0079">
            <w:pPr>
              <w:ind w:right="288"/>
              <w:jc w:val="right"/>
              <w:rPr>
                <w:rFonts w:ascii="Calibri" w:hAnsi="Calibri" w:cs="Calibri"/>
                <w:b/>
                <w:color w:val="000000"/>
                <w:szCs w:val="20"/>
              </w:rPr>
            </w:pPr>
            <w:r w:rsidRPr="00A961A3">
              <w:rPr>
                <w:rFonts w:ascii="Calibri" w:hAnsi="Calibri" w:cs="Calibri"/>
                <w:b/>
                <w:color w:val="000000"/>
                <w:szCs w:val="20"/>
              </w:rPr>
              <w:t>380</w:t>
            </w:r>
          </w:p>
        </w:tc>
        <w:tc>
          <w:tcPr>
            <w:tcW w:w="995" w:type="dxa"/>
            <w:shd w:val="clear" w:color="auto" w:fill="E5ECF1"/>
            <w:tcMar>
              <w:top w:w="29" w:type="dxa"/>
              <w:bottom w:w="29" w:type="dxa"/>
            </w:tcMar>
            <w:vAlign w:val="center"/>
          </w:tcPr>
          <w:p w:rsidR="00F71296" w:rsidRPr="00A961A3" w:rsidRDefault="00F71296" w:rsidP="001A0079">
            <w:pPr>
              <w:ind w:right="288"/>
              <w:jc w:val="right"/>
              <w:rPr>
                <w:rFonts w:ascii="Calibri" w:hAnsi="Calibri" w:cs="Calibri"/>
                <w:b/>
                <w:color w:val="000000"/>
                <w:szCs w:val="20"/>
              </w:rPr>
            </w:pPr>
            <w:r w:rsidRPr="00A961A3">
              <w:rPr>
                <w:rFonts w:ascii="Calibri" w:hAnsi="Calibri" w:cs="Calibri"/>
                <w:b/>
                <w:color w:val="000000"/>
                <w:szCs w:val="20"/>
              </w:rPr>
              <w:t>395</w:t>
            </w:r>
          </w:p>
        </w:tc>
        <w:tc>
          <w:tcPr>
            <w:tcW w:w="995" w:type="dxa"/>
            <w:shd w:val="clear" w:color="auto" w:fill="E5ECF1"/>
            <w:vAlign w:val="center"/>
          </w:tcPr>
          <w:p w:rsidR="00F71296" w:rsidRPr="00A961A3" w:rsidRDefault="00F71296" w:rsidP="001A0079">
            <w:pPr>
              <w:ind w:right="288"/>
              <w:jc w:val="right"/>
              <w:rPr>
                <w:rFonts w:ascii="Calibri" w:hAnsi="Calibri" w:cs="Calibri"/>
                <w:b/>
                <w:color w:val="000000"/>
                <w:szCs w:val="20"/>
              </w:rPr>
            </w:pPr>
            <w:r w:rsidRPr="00A961A3">
              <w:rPr>
                <w:rFonts w:ascii="Calibri" w:hAnsi="Calibri" w:cs="Calibri"/>
                <w:b/>
                <w:color w:val="000000"/>
                <w:szCs w:val="20"/>
              </w:rPr>
              <w:t>426</w:t>
            </w:r>
          </w:p>
        </w:tc>
        <w:tc>
          <w:tcPr>
            <w:tcW w:w="1009" w:type="dxa"/>
            <w:shd w:val="clear" w:color="auto" w:fill="E5ECF1"/>
            <w:vAlign w:val="center"/>
          </w:tcPr>
          <w:p w:rsidR="00F71296" w:rsidRPr="00A961A3" w:rsidRDefault="00F71296" w:rsidP="00144F91">
            <w:pPr>
              <w:ind w:right="288"/>
              <w:jc w:val="right"/>
              <w:rPr>
                <w:rFonts w:ascii="Calibri" w:hAnsi="Calibri" w:cs="Calibri"/>
                <w:b/>
                <w:color w:val="000000"/>
                <w:szCs w:val="20"/>
              </w:rPr>
            </w:pPr>
            <w:r w:rsidRPr="00A961A3">
              <w:rPr>
                <w:rFonts w:ascii="Calibri" w:hAnsi="Calibri" w:cs="Calibri"/>
                <w:b/>
                <w:color w:val="000000"/>
                <w:szCs w:val="20"/>
              </w:rPr>
              <w:t>24.3%</w:t>
            </w:r>
          </w:p>
        </w:tc>
      </w:tr>
    </w:tbl>
    <w:p w:rsidR="00311BCC" w:rsidRDefault="00311BCC" w:rsidP="00A961A3">
      <w:pPr>
        <w:pStyle w:val="FigureorTableTitle"/>
      </w:pPr>
      <w:bookmarkStart w:id="328" w:name="_Toc424192726"/>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15</w:t>
      </w:r>
      <w:r w:rsidR="00512CD6">
        <w:rPr>
          <w:noProof/>
          <w:szCs w:val="18"/>
        </w:rPr>
        <w:fldChar w:fldCharType="end"/>
      </w:r>
      <w:r>
        <w:tab/>
        <w:t>Industrial Baseline Projection by End Use (GWh), Washington</w:t>
      </w:r>
      <w:bookmarkEnd w:id="328"/>
    </w:p>
    <w:p w:rsidR="00311BCC" w:rsidRDefault="00311BCC" w:rsidP="001A0079">
      <w:pPr>
        <w:pStyle w:val="BodyText"/>
      </w:pPr>
      <w:r w:rsidRPr="00311BCC">
        <w:rPr>
          <w:noProof/>
        </w:rPr>
        <w:drawing>
          <wp:inline distT="0" distB="0" distL="0" distR="0">
            <wp:extent cx="5715000" cy="2884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A961A3" w:rsidRPr="00E07587" w:rsidRDefault="00A961A3" w:rsidP="00A961A3">
      <w:pPr>
        <w:pStyle w:val="FigureorTableTitle"/>
      </w:pPr>
      <w:bookmarkStart w:id="329" w:name="_Toc424192727"/>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16</w:t>
      </w:r>
      <w:r w:rsidR="00512CD6">
        <w:rPr>
          <w:noProof/>
          <w:szCs w:val="18"/>
        </w:rPr>
        <w:fldChar w:fldCharType="end"/>
      </w:r>
      <w:r>
        <w:tab/>
        <w:t>Industrial Baseline Projection by End Use (GWh), Idaho</w:t>
      </w:r>
      <w:bookmarkEnd w:id="329"/>
    </w:p>
    <w:p w:rsidR="00F71296" w:rsidRPr="000E3F5F" w:rsidRDefault="00A961A3" w:rsidP="001A0079">
      <w:pPr>
        <w:pStyle w:val="BodyText"/>
      </w:pPr>
      <w:r w:rsidRPr="00A961A3">
        <w:rPr>
          <w:noProof/>
        </w:rPr>
        <w:drawing>
          <wp:inline distT="0" distB="0" distL="0" distR="0">
            <wp:extent cx="5715000" cy="2884888"/>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C27786" w:rsidRDefault="00C27786">
      <w:pPr>
        <w:rPr>
          <w:spacing w:val="4"/>
          <w:szCs w:val="18"/>
        </w:rPr>
      </w:pPr>
      <w:r>
        <w:br w:type="page"/>
      </w:r>
    </w:p>
    <w:p w:rsidR="001E1315" w:rsidRPr="001E1315" w:rsidRDefault="001E1315" w:rsidP="00BD0E72">
      <w:pPr>
        <w:pStyle w:val="Heading3"/>
      </w:pPr>
      <w:bookmarkStart w:id="330" w:name="_Toc424192635"/>
      <w:r w:rsidRPr="001E1315">
        <w:lastRenderedPageBreak/>
        <w:t>Industrial Summer Peak Demand Projection</w:t>
      </w:r>
      <w:bookmarkEnd w:id="330"/>
    </w:p>
    <w:p w:rsidR="00C27786" w:rsidRPr="00E512F1" w:rsidRDefault="001259EB" w:rsidP="00C27786">
      <w:pPr>
        <w:pStyle w:val="BodyText"/>
      </w:pPr>
      <w:r>
        <w:t>The tables and graphs below</w:t>
      </w:r>
      <w:r w:rsidR="00C27786" w:rsidRPr="001E1315">
        <w:t xml:space="preserve"> present the </w:t>
      </w:r>
      <w:r w:rsidR="001E1315">
        <w:t xml:space="preserve">projection of summer peak demand for the </w:t>
      </w:r>
      <w:r w:rsidR="00C27786" w:rsidRPr="001E1315">
        <w:t xml:space="preserve">industrial sector. </w:t>
      </w:r>
      <w:r w:rsidR="001E1315">
        <w:t xml:space="preserve">This projection looks similar to the energy forecast largely because the industrial sector has a high load factor. </w:t>
      </w:r>
    </w:p>
    <w:p w:rsidR="00C27786" w:rsidRPr="000E3F5F" w:rsidRDefault="000721A2" w:rsidP="00C27786">
      <w:pPr>
        <w:pStyle w:val="FigureorTableTitle"/>
      </w:pPr>
      <w:bookmarkStart w:id="331" w:name="_Ref402253747"/>
      <w:bookmarkStart w:id="332" w:name="_Toc424192789"/>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15</w:t>
      </w:r>
      <w:r w:rsidR="00512CD6">
        <w:rPr>
          <w:bCs w:val="0"/>
          <w:iCs w:val="0"/>
          <w:noProof/>
        </w:rPr>
        <w:fldChar w:fldCharType="end"/>
      </w:r>
      <w:bookmarkEnd w:id="331"/>
      <w:r w:rsidR="00C27786">
        <w:tab/>
        <w:t>Industrial Summer Peak Baseline Projection by End Use (MW)</w:t>
      </w:r>
      <w:r w:rsidR="00C55B34">
        <w:t>, Washington</w:t>
      </w:r>
      <w:bookmarkEnd w:id="332"/>
    </w:p>
    <w:tbl>
      <w:tblPr>
        <w:tblW w:w="5000" w:type="pct"/>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018"/>
        <w:gridCol w:w="997"/>
        <w:gridCol w:w="997"/>
        <w:gridCol w:w="997"/>
        <w:gridCol w:w="996"/>
        <w:gridCol w:w="997"/>
        <w:gridCol w:w="997"/>
        <w:gridCol w:w="1011"/>
      </w:tblGrid>
      <w:tr w:rsidR="00C27786" w:rsidRPr="006B2AF6" w:rsidTr="00103A85">
        <w:trPr>
          <w:trHeight w:val="216"/>
        </w:trPr>
        <w:tc>
          <w:tcPr>
            <w:tcW w:w="2013" w:type="dxa"/>
            <w:shd w:val="clear" w:color="auto" w:fill="1A1D5D"/>
            <w:tcMar>
              <w:top w:w="29" w:type="dxa"/>
              <w:bottom w:w="29" w:type="dxa"/>
            </w:tcMar>
            <w:vAlign w:val="center"/>
          </w:tcPr>
          <w:p w:rsidR="00C27786" w:rsidRPr="001E1315" w:rsidRDefault="00C27786" w:rsidP="00103A85">
            <w:pPr>
              <w:pStyle w:val="TableHeadings"/>
              <w:rPr>
                <w:b w:val="0"/>
              </w:rPr>
            </w:pPr>
            <w:r w:rsidRPr="001E1315">
              <w:rPr>
                <w:b w:val="0"/>
              </w:rPr>
              <w:t>End Use</w:t>
            </w:r>
          </w:p>
        </w:tc>
        <w:tc>
          <w:tcPr>
            <w:tcW w:w="994" w:type="dxa"/>
            <w:shd w:val="clear" w:color="auto" w:fill="1A1D5D"/>
            <w:tcMar>
              <w:top w:w="29" w:type="dxa"/>
              <w:bottom w:w="29" w:type="dxa"/>
            </w:tcMar>
            <w:vAlign w:val="center"/>
          </w:tcPr>
          <w:p w:rsidR="00C27786" w:rsidRPr="001E1315" w:rsidRDefault="00C27786" w:rsidP="00103A85">
            <w:pPr>
              <w:jc w:val="center"/>
              <w:rPr>
                <w:rFonts w:ascii="Calibri" w:hAnsi="Calibri"/>
                <w:bCs/>
                <w:color w:val="FFFFFF"/>
                <w:szCs w:val="20"/>
              </w:rPr>
            </w:pPr>
            <w:r w:rsidRPr="001E1315">
              <w:rPr>
                <w:rFonts w:ascii="Calibri" w:hAnsi="Calibri"/>
                <w:bCs/>
                <w:szCs w:val="20"/>
              </w:rPr>
              <w:t>2013</w:t>
            </w:r>
          </w:p>
        </w:tc>
        <w:tc>
          <w:tcPr>
            <w:tcW w:w="995" w:type="dxa"/>
            <w:shd w:val="clear" w:color="auto" w:fill="1A1D5D"/>
            <w:tcMar>
              <w:top w:w="29" w:type="dxa"/>
              <w:bottom w:w="29" w:type="dxa"/>
            </w:tcMar>
            <w:vAlign w:val="center"/>
          </w:tcPr>
          <w:p w:rsidR="00C27786" w:rsidRPr="001E1315" w:rsidRDefault="00C27786" w:rsidP="00C55B34">
            <w:pPr>
              <w:jc w:val="center"/>
              <w:rPr>
                <w:rFonts w:ascii="Calibri" w:hAnsi="Calibri"/>
                <w:bCs/>
                <w:color w:val="FFFFFF"/>
                <w:szCs w:val="20"/>
              </w:rPr>
            </w:pPr>
            <w:r w:rsidRPr="001E1315">
              <w:rPr>
                <w:rFonts w:ascii="Calibri" w:hAnsi="Calibri"/>
                <w:bCs/>
                <w:szCs w:val="20"/>
              </w:rPr>
              <w:t>201</w:t>
            </w:r>
            <w:r w:rsidR="00C55B34">
              <w:rPr>
                <w:rFonts w:ascii="Calibri" w:hAnsi="Calibri"/>
                <w:bCs/>
                <w:szCs w:val="20"/>
              </w:rPr>
              <w:t>6</w:t>
            </w:r>
          </w:p>
        </w:tc>
        <w:tc>
          <w:tcPr>
            <w:tcW w:w="995" w:type="dxa"/>
            <w:shd w:val="clear" w:color="auto" w:fill="1A1D5D"/>
            <w:tcMar>
              <w:top w:w="29" w:type="dxa"/>
              <w:bottom w:w="29" w:type="dxa"/>
            </w:tcMar>
            <w:vAlign w:val="center"/>
          </w:tcPr>
          <w:p w:rsidR="00C27786" w:rsidRPr="001E1315" w:rsidRDefault="00C27786" w:rsidP="00C55B34">
            <w:pPr>
              <w:jc w:val="center"/>
              <w:rPr>
                <w:rFonts w:ascii="Calibri" w:hAnsi="Calibri"/>
                <w:bCs/>
                <w:color w:val="FFFFFF"/>
                <w:szCs w:val="20"/>
              </w:rPr>
            </w:pPr>
            <w:r w:rsidRPr="001E1315">
              <w:rPr>
                <w:rFonts w:ascii="Calibri" w:hAnsi="Calibri"/>
                <w:bCs/>
                <w:szCs w:val="20"/>
              </w:rPr>
              <w:t>20</w:t>
            </w:r>
            <w:r w:rsidR="00513762">
              <w:rPr>
                <w:rFonts w:ascii="Calibri" w:hAnsi="Calibri"/>
                <w:bCs/>
                <w:szCs w:val="20"/>
              </w:rPr>
              <w:t>1</w:t>
            </w:r>
            <w:r w:rsidR="00C55B34">
              <w:rPr>
                <w:rFonts w:ascii="Calibri" w:hAnsi="Calibri"/>
                <w:bCs/>
                <w:szCs w:val="20"/>
              </w:rPr>
              <w:t>7</w:t>
            </w:r>
          </w:p>
        </w:tc>
        <w:tc>
          <w:tcPr>
            <w:tcW w:w="994" w:type="dxa"/>
            <w:shd w:val="clear" w:color="auto" w:fill="1A1D5D"/>
            <w:tcMar>
              <w:top w:w="29" w:type="dxa"/>
              <w:bottom w:w="29" w:type="dxa"/>
            </w:tcMar>
            <w:vAlign w:val="center"/>
          </w:tcPr>
          <w:p w:rsidR="00C27786" w:rsidRPr="001E1315" w:rsidRDefault="00513762" w:rsidP="00C55B34">
            <w:pPr>
              <w:jc w:val="center"/>
              <w:rPr>
                <w:rFonts w:ascii="Calibri" w:hAnsi="Calibri"/>
                <w:bCs/>
                <w:color w:val="FFFFFF"/>
                <w:szCs w:val="20"/>
              </w:rPr>
            </w:pPr>
            <w:r>
              <w:rPr>
                <w:rFonts w:ascii="Calibri" w:hAnsi="Calibri"/>
                <w:bCs/>
                <w:szCs w:val="20"/>
              </w:rPr>
              <w:t>202</w:t>
            </w:r>
            <w:r w:rsidR="00C55B34">
              <w:rPr>
                <w:rFonts w:ascii="Calibri" w:hAnsi="Calibri"/>
                <w:bCs/>
                <w:szCs w:val="20"/>
              </w:rPr>
              <w:t>0</w:t>
            </w:r>
          </w:p>
        </w:tc>
        <w:tc>
          <w:tcPr>
            <w:tcW w:w="995" w:type="dxa"/>
            <w:shd w:val="clear" w:color="auto" w:fill="1A1D5D"/>
            <w:tcMar>
              <w:top w:w="29" w:type="dxa"/>
              <w:bottom w:w="29" w:type="dxa"/>
            </w:tcMar>
            <w:vAlign w:val="center"/>
          </w:tcPr>
          <w:p w:rsidR="00C27786" w:rsidRPr="001E1315" w:rsidRDefault="00513762" w:rsidP="00C55B34">
            <w:pPr>
              <w:jc w:val="center"/>
              <w:rPr>
                <w:rFonts w:ascii="Calibri" w:hAnsi="Calibri"/>
                <w:bCs/>
                <w:color w:val="FFFFFF"/>
                <w:szCs w:val="20"/>
              </w:rPr>
            </w:pPr>
            <w:r>
              <w:rPr>
                <w:rFonts w:ascii="Calibri" w:hAnsi="Calibri"/>
                <w:bCs/>
                <w:szCs w:val="20"/>
              </w:rPr>
              <w:t>202</w:t>
            </w:r>
            <w:r w:rsidR="00C55B34">
              <w:rPr>
                <w:rFonts w:ascii="Calibri" w:hAnsi="Calibri"/>
                <w:bCs/>
                <w:szCs w:val="20"/>
              </w:rPr>
              <w:t>5</w:t>
            </w:r>
          </w:p>
        </w:tc>
        <w:tc>
          <w:tcPr>
            <w:tcW w:w="995" w:type="dxa"/>
            <w:shd w:val="clear" w:color="auto" w:fill="1A1D5D"/>
            <w:vAlign w:val="center"/>
          </w:tcPr>
          <w:p w:rsidR="00C27786" w:rsidRPr="001E1315" w:rsidRDefault="00513762" w:rsidP="00C55B34">
            <w:pPr>
              <w:jc w:val="center"/>
              <w:rPr>
                <w:rFonts w:ascii="Calibri" w:hAnsi="Calibri"/>
                <w:bCs/>
                <w:color w:val="FFFFFF"/>
                <w:szCs w:val="20"/>
              </w:rPr>
            </w:pPr>
            <w:r>
              <w:rPr>
                <w:rFonts w:ascii="Calibri" w:hAnsi="Calibri"/>
                <w:bCs/>
                <w:szCs w:val="20"/>
              </w:rPr>
              <w:t>203</w:t>
            </w:r>
            <w:r w:rsidR="00C55B34">
              <w:rPr>
                <w:rFonts w:ascii="Calibri" w:hAnsi="Calibri"/>
                <w:bCs/>
                <w:szCs w:val="20"/>
              </w:rPr>
              <w:t>5</w:t>
            </w:r>
          </w:p>
        </w:tc>
        <w:tc>
          <w:tcPr>
            <w:tcW w:w="1009" w:type="dxa"/>
            <w:shd w:val="clear" w:color="auto" w:fill="1A1D5D"/>
            <w:vAlign w:val="center"/>
          </w:tcPr>
          <w:p w:rsidR="00C27786" w:rsidRPr="001E1315" w:rsidRDefault="00513762" w:rsidP="00C55B34">
            <w:pPr>
              <w:jc w:val="center"/>
              <w:rPr>
                <w:rFonts w:ascii="Calibri" w:hAnsi="Calibri"/>
                <w:bCs/>
                <w:color w:val="FFFFFF"/>
                <w:szCs w:val="20"/>
              </w:rPr>
            </w:pPr>
            <w:r>
              <w:rPr>
                <w:rFonts w:ascii="Calibri" w:hAnsi="Calibri"/>
                <w:bCs/>
                <w:szCs w:val="20"/>
              </w:rPr>
              <w:t>% Change</w:t>
            </w:r>
            <w:r>
              <w:rPr>
                <w:rFonts w:ascii="Calibri" w:hAnsi="Calibri"/>
                <w:bCs/>
                <w:szCs w:val="20"/>
              </w:rPr>
              <w:br/>
              <w:t>('13-'3</w:t>
            </w:r>
            <w:r w:rsidR="00C55B34">
              <w:rPr>
                <w:rFonts w:ascii="Calibri" w:hAnsi="Calibri"/>
                <w:bCs/>
                <w:szCs w:val="20"/>
              </w:rPr>
              <w:t>5</w:t>
            </w:r>
            <w:r w:rsidR="00C27786" w:rsidRPr="001E1315">
              <w:rPr>
                <w:rFonts w:ascii="Calibri" w:hAnsi="Calibri"/>
                <w:bCs/>
                <w:szCs w:val="20"/>
              </w:rPr>
              <w:t>)</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Cooling</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Heating</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Ventilation</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4</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4</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4</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4</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3</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3</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-18%</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Interior Lighting</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13</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14</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14</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14</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14</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15</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16%</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Exterior Lighting</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Process</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144</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156</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158</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162</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169</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183</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27%</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Motors</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73</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79</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80</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83</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86</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93</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27%</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Miscellaneous</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10</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12</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12</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12</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13</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15</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48%</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b/>
                <w:bCs/>
                <w:color w:val="000000"/>
                <w:szCs w:val="20"/>
              </w:rPr>
            </w:pPr>
            <w:r w:rsidRPr="00273D0F">
              <w:rPr>
                <w:rFonts w:ascii="Calibri" w:hAnsi="Calibri"/>
                <w:b/>
                <w:bCs/>
                <w:color w:val="000000"/>
                <w:szCs w:val="20"/>
              </w:rPr>
              <w:t>Total</w:t>
            </w:r>
          </w:p>
        </w:tc>
        <w:tc>
          <w:tcPr>
            <w:tcW w:w="994" w:type="dxa"/>
            <w:shd w:val="clear" w:color="auto" w:fill="FDF2C8" w:themeFill="accent4" w:themeFillTint="33"/>
            <w:tcMar>
              <w:top w:w="29" w:type="dxa"/>
              <w:bottom w:w="29" w:type="dxa"/>
            </w:tcMar>
            <w:vAlign w:val="center"/>
          </w:tcPr>
          <w:p w:rsidR="00C55B34" w:rsidRPr="00144F91" w:rsidRDefault="00C55B34" w:rsidP="001A0079">
            <w:pPr>
              <w:ind w:right="144"/>
              <w:jc w:val="right"/>
              <w:rPr>
                <w:rFonts w:ascii="Calibri" w:hAnsi="Calibri" w:cs="Calibri"/>
                <w:b/>
                <w:color w:val="000000"/>
                <w:szCs w:val="20"/>
              </w:rPr>
            </w:pPr>
            <w:r w:rsidRPr="00144F91">
              <w:rPr>
                <w:rFonts w:ascii="Calibri" w:hAnsi="Calibri" w:cs="Calibri"/>
                <w:b/>
                <w:color w:val="000000"/>
                <w:szCs w:val="20"/>
              </w:rPr>
              <w:t>245</w:t>
            </w:r>
          </w:p>
        </w:tc>
        <w:tc>
          <w:tcPr>
            <w:tcW w:w="995" w:type="dxa"/>
            <w:shd w:val="clear" w:color="auto" w:fill="FDF2C8" w:themeFill="accent4" w:themeFillTint="33"/>
            <w:tcMar>
              <w:top w:w="29" w:type="dxa"/>
              <w:bottom w:w="29" w:type="dxa"/>
            </w:tcMar>
            <w:vAlign w:val="center"/>
          </w:tcPr>
          <w:p w:rsidR="00C55B34" w:rsidRPr="00144F91" w:rsidRDefault="00C55B34" w:rsidP="001A0079">
            <w:pPr>
              <w:ind w:right="144"/>
              <w:jc w:val="right"/>
              <w:rPr>
                <w:rFonts w:ascii="Calibri" w:hAnsi="Calibri" w:cs="Calibri"/>
                <w:b/>
                <w:color w:val="000000"/>
                <w:szCs w:val="20"/>
              </w:rPr>
            </w:pPr>
            <w:r w:rsidRPr="00144F91">
              <w:rPr>
                <w:rFonts w:ascii="Calibri" w:hAnsi="Calibri" w:cs="Calibri"/>
                <w:b/>
                <w:color w:val="000000"/>
                <w:szCs w:val="20"/>
              </w:rPr>
              <w:t>265</w:t>
            </w:r>
          </w:p>
        </w:tc>
        <w:tc>
          <w:tcPr>
            <w:tcW w:w="995" w:type="dxa"/>
            <w:shd w:val="clear" w:color="auto" w:fill="FDF2C8" w:themeFill="accent4" w:themeFillTint="33"/>
            <w:tcMar>
              <w:top w:w="29" w:type="dxa"/>
              <w:bottom w:w="29" w:type="dxa"/>
            </w:tcMar>
            <w:vAlign w:val="center"/>
          </w:tcPr>
          <w:p w:rsidR="00C55B34" w:rsidRPr="00144F91" w:rsidRDefault="00C55B34" w:rsidP="001A0079">
            <w:pPr>
              <w:ind w:right="144"/>
              <w:jc w:val="right"/>
              <w:rPr>
                <w:rFonts w:ascii="Calibri" w:hAnsi="Calibri" w:cs="Calibri"/>
                <w:b/>
                <w:color w:val="000000"/>
                <w:szCs w:val="20"/>
              </w:rPr>
            </w:pPr>
            <w:r w:rsidRPr="00144F91">
              <w:rPr>
                <w:rFonts w:ascii="Calibri" w:hAnsi="Calibri" w:cs="Calibri"/>
                <w:b/>
                <w:color w:val="000000"/>
                <w:szCs w:val="20"/>
              </w:rPr>
              <w:t>268</w:t>
            </w:r>
          </w:p>
        </w:tc>
        <w:tc>
          <w:tcPr>
            <w:tcW w:w="994" w:type="dxa"/>
            <w:shd w:val="clear" w:color="auto" w:fill="FDF2C8" w:themeFill="accent4" w:themeFillTint="33"/>
            <w:tcMar>
              <w:top w:w="29" w:type="dxa"/>
              <w:bottom w:w="29" w:type="dxa"/>
            </w:tcMar>
            <w:vAlign w:val="center"/>
          </w:tcPr>
          <w:p w:rsidR="00C55B34" w:rsidRPr="00144F91" w:rsidRDefault="00C55B34" w:rsidP="001A0079">
            <w:pPr>
              <w:ind w:right="144"/>
              <w:jc w:val="right"/>
              <w:rPr>
                <w:rFonts w:ascii="Calibri" w:hAnsi="Calibri" w:cs="Calibri"/>
                <w:b/>
                <w:color w:val="000000"/>
                <w:szCs w:val="20"/>
              </w:rPr>
            </w:pPr>
            <w:r w:rsidRPr="00144F91">
              <w:rPr>
                <w:rFonts w:ascii="Calibri" w:hAnsi="Calibri" w:cs="Calibri"/>
                <w:b/>
                <w:color w:val="000000"/>
                <w:szCs w:val="20"/>
              </w:rPr>
              <w:t>275</w:t>
            </w:r>
          </w:p>
        </w:tc>
        <w:tc>
          <w:tcPr>
            <w:tcW w:w="995" w:type="dxa"/>
            <w:shd w:val="clear" w:color="auto" w:fill="FDF2C8" w:themeFill="accent4" w:themeFillTint="33"/>
            <w:tcMar>
              <w:top w:w="29" w:type="dxa"/>
              <w:bottom w:w="29" w:type="dxa"/>
            </w:tcMar>
            <w:vAlign w:val="center"/>
          </w:tcPr>
          <w:p w:rsidR="00C55B34" w:rsidRPr="00144F91" w:rsidRDefault="00C55B34" w:rsidP="001A0079">
            <w:pPr>
              <w:ind w:right="144"/>
              <w:jc w:val="right"/>
              <w:rPr>
                <w:rFonts w:ascii="Calibri" w:hAnsi="Calibri" w:cs="Calibri"/>
                <w:b/>
                <w:color w:val="000000"/>
                <w:szCs w:val="20"/>
              </w:rPr>
            </w:pPr>
            <w:r w:rsidRPr="00144F91">
              <w:rPr>
                <w:rFonts w:ascii="Calibri" w:hAnsi="Calibri" w:cs="Calibri"/>
                <w:b/>
                <w:color w:val="000000"/>
                <w:szCs w:val="20"/>
              </w:rPr>
              <w:t>287</w:t>
            </w:r>
          </w:p>
        </w:tc>
        <w:tc>
          <w:tcPr>
            <w:tcW w:w="995" w:type="dxa"/>
            <w:shd w:val="clear" w:color="auto" w:fill="FDF2C8" w:themeFill="accent4" w:themeFillTint="33"/>
            <w:vAlign w:val="center"/>
          </w:tcPr>
          <w:p w:rsidR="00C55B34" w:rsidRPr="00144F91" w:rsidRDefault="00C55B34" w:rsidP="001A0079">
            <w:pPr>
              <w:ind w:right="144"/>
              <w:jc w:val="right"/>
              <w:rPr>
                <w:rFonts w:ascii="Calibri" w:hAnsi="Calibri" w:cs="Calibri"/>
                <w:b/>
                <w:color w:val="000000"/>
                <w:szCs w:val="20"/>
              </w:rPr>
            </w:pPr>
            <w:r w:rsidRPr="00144F91">
              <w:rPr>
                <w:rFonts w:ascii="Calibri" w:hAnsi="Calibri" w:cs="Calibri"/>
                <w:b/>
                <w:color w:val="000000"/>
                <w:szCs w:val="20"/>
              </w:rPr>
              <w:t>311</w:t>
            </w:r>
          </w:p>
        </w:tc>
        <w:tc>
          <w:tcPr>
            <w:tcW w:w="1009" w:type="dxa"/>
            <w:shd w:val="clear" w:color="auto" w:fill="FDF2C8" w:themeFill="accent4" w:themeFillTint="33"/>
            <w:vAlign w:val="center"/>
          </w:tcPr>
          <w:p w:rsidR="00C55B34" w:rsidRPr="00144F91" w:rsidRDefault="00C55B34" w:rsidP="00144F91">
            <w:pPr>
              <w:ind w:right="144"/>
              <w:jc w:val="right"/>
              <w:rPr>
                <w:rFonts w:ascii="Calibri" w:hAnsi="Calibri" w:cs="Calibri"/>
                <w:b/>
                <w:color w:val="000000"/>
                <w:szCs w:val="20"/>
              </w:rPr>
            </w:pPr>
            <w:r w:rsidRPr="00144F91">
              <w:rPr>
                <w:rFonts w:ascii="Calibri" w:hAnsi="Calibri" w:cs="Calibri"/>
                <w:b/>
                <w:color w:val="000000"/>
                <w:szCs w:val="20"/>
              </w:rPr>
              <w:t>26.</w:t>
            </w:r>
            <w:r w:rsidR="00144F91" w:rsidRPr="00144F91">
              <w:rPr>
                <w:rFonts w:ascii="Calibri" w:hAnsi="Calibri" w:cs="Calibri"/>
                <w:b/>
                <w:color w:val="000000"/>
                <w:szCs w:val="20"/>
              </w:rPr>
              <w:t>8</w:t>
            </w:r>
            <w:r w:rsidRPr="00144F91">
              <w:rPr>
                <w:rFonts w:ascii="Calibri" w:hAnsi="Calibri" w:cs="Calibri"/>
                <w:b/>
                <w:color w:val="000000"/>
                <w:szCs w:val="20"/>
              </w:rPr>
              <w:t>%</w:t>
            </w:r>
          </w:p>
        </w:tc>
      </w:tr>
    </w:tbl>
    <w:p w:rsidR="00C27786" w:rsidRDefault="00C27786" w:rsidP="00C27786">
      <w:pPr>
        <w:pStyle w:val="BodyText"/>
      </w:pPr>
    </w:p>
    <w:p w:rsidR="00C55B34" w:rsidRDefault="00C55B34" w:rsidP="00C55B34">
      <w:pPr>
        <w:pStyle w:val="FigureorTableTitle"/>
      </w:pPr>
      <w:bookmarkStart w:id="333" w:name="_Toc424192790"/>
      <w:bookmarkStart w:id="334" w:name="_Ref401400465"/>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16</w:t>
      </w:r>
      <w:r w:rsidR="00512CD6">
        <w:rPr>
          <w:bCs w:val="0"/>
          <w:iCs w:val="0"/>
          <w:noProof/>
        </w:rPr>
        <w:fldChar w:fldCharType="end"/>
      </w:r>
      <w:r>
        <w:tab/>
        <w:t>Industrial Summer Peak Baseline Projection by End Use (MW), Idaho</w:t>
      </w:r>
      <w:bookmarkEnd w:id="333"/>
    </w:p>
    <w:tbl>
      <w:tblPr>
        <w:tblW w:w="5000" w:type="pct"/>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018"/>
        <w:gridCol w:w="997"/>
        <w:gridCol w:w="997"/>
        <w:gridCol w:w="997"/>
        <w:gridCol w:w="996"/>
        <w:gridCol w:w="997"/>
        <w:gridCol w:w="997"/>
        <w:gridCol w:w="1011"/>
      </w:tblGrid>
      <w:tr w:rsidR="00C55B34" w:rsidRPr="006B2AF6" w:rsidTr="00B81D05">
        <w:trPr>
          <w:trHeight w:val="216"/>
        </w:trPr>
        <w:tc>
          <w:tcPr>
            <w:tcW w:w="2013" w:type="dxa"/>
            <w:shd w:val="clear" w:color="auto" w:fill="1A1D5D"/>
            <w:tcMar>
              <w:top w:w="29" w:type="dxa"/>
              <w:bottom w:w="29" w:type="dxa"/>
            </w:tcMar>
            <w:vAlign w:val="center"/>
          </w:tcPr>
          <w:p w:rsidR="00C55B34" w:rsidRPr="001E1315" w:rsidRDefault="00C55B34" w:rsidP="00B81D05">
            <w:pPr>
              <w:pStyle w:val="TableHeadings"/>
              <w:rPr>
                <w:b w:val="0"/>
              </w:rPr>
            </w:pPr>
            <w:r w:rsidRPr="001E1315">
              <w:rPr>
                <w:b w:val="0"/>
              </w:rPr>
              <w:t>End Use</w:t>
            </w:r>
          </w:p>
        </w:tc>
        <w:tc>
          <w:tcPr>
            <w:tcW w:w="994" w:type="dxa"/>
            <w:shd w:val="clear" w:color="auto" w:fill="1A1D5D"/>
            <w:tcMar>
              <w:top w:w="29" w:type="dxa"/>
              <w:bottom w:w="29" w:type="dxa"/>
            </w:tcMar>
            <w:vAlign w:val="center"/>
          </w:tcPr>
          <w:p w:rsidR="00C55B34" w:rsidRPr="001E1315" w:rsidRDefault="00C55B34" w:rsidP="00B81D05">
            <w:pPr>
              <w:jc w:val="center"/>
              <w:rPr>
                <w:rFonts w:ascii="Calibri" w:hAnsi="Calibri"/>
                <w:bCs/>
                <w:color w:val="FFFFFF"/>
                <w:szCs w:val="20"/>
              </w:rPr>
            </w:pPr>
            <w:r w:rsidRPr="001E1315">
              <w:rPr>
                <w:rFonts w:ascii="Calibri" w:hAnsi="Calibri"/>
                <w:bCs/>
                <w:szCs w:val="20"/>
              </w:rPr>
              <w:t>2013</w:t>
            </w:r>
          </w:p>
        </w:tc>
        <w:tc>
          <w:tcPr>
            <w:tcW w:w="995" w:type="dxa"/>
            <w:shd w:val="clear" w:color="auto" w:fill="1A1D5D"/>
            <w:tcMar>
              <w:top w:w="29" w:type="dxa"/>
              <w:bottom w:w="29" w:type="dxa"/>
            </w:tcMar>
            <w:vAlign w:val="center"/>
          </w:tcPr>
          <w:p w:rsidR="00C55B34" w:rsidRPr="001E1315" w:rsidRDefault="00C55B34" w:rsidP="00B81D05">
            <w:pPr>
              <w:jc w:val="center"/>
              <w:rPr>
                <w:rFonts w:ascii="Calibri" w:hAnsi="Calibri"/>
                <w:bCs/>
                <w:color w:val="FFFFFF"/>
                <w:szCs w:val="20"/>
              </w:rPr>
            </w:pPr>
            <w:r w:rsidRPr="001E1315">
              <w:rPr>
                <w:rFonts w:ascii="Calibri" w:hAnsi="Calibri"/>
                <w:bCs/>
                <w:szCs w:val="20"/>
              </w:rPr>
              <w:t>201</w:t>
            </w:r>
            <w:r>
              <w:rPr>
                <w:rFonts w:ascii="Calibri" w:hAnsi="Calibri"/>
                <w:bCs/>
                <w:szCs w:val="20"/>
              </w:rPr>
              <w:t>6</w:t>
            </w:r>
          </w:p>
        </w:tc>
        <w:tc>
          <w:tcPr>
            <w:tcW w:w="995" w:type="dxa"/>
            <w:shd w:val="clear" w:color="auto" w:fill="1A1D5D"/>
            <w:tcMar>
              <w:top w:w="29" w:type="dxa"/>
              <w:bottom w:w="29" w:type="dxa"/>
            </w:tcMar>
            <w:vAlign w:val="center"/>
          </w:tcPr>
          <w:p w:rsidR="00C55B34" w:rsidRPr="001E1315" w:rsidRDefault="00C55B34" w:rsidP="00B81D05">
            <w:pPr>
              <w:jc w:val="center"/>
              <w:rPr>
                <w:rFonts w:ascii="Calibri" w:hAnsi="Calibri"/>
                <w:bCs/>
                <w:color w:val="FFFFFF"/>
                <w:szCs w:val="20"/>
              </w:rPr>
            </w:pPr>
            <w:r w:rsidRPr="001E1315">
              <w:rPr>
                <w:rFonts w:ascii="Calibri" w:hAnsi="Calibri"/>
                <w:bCs/>
                <w:szCs w:val="20"/>
              </w:rPr>
              <w:t>20</w:t>
            </w:r>
            <w:r>
              <w:rPr>
                <w:rFonts w:ascii="Calibri" w:hAnsi="Calibri"/>
                <w:bCs/>
                <w:szCs w:val="20"/>
              </w:rPr>
              <w:t>17</w:t>
            </w:r>
          </w:p>
        </w:tc>
        <w:tc>
          <w:tcPr>
            <w:tcW w:w="994" w:type="dxa"/>
            <w:shd w:val="clear" w:color="auto" w:fill="1A1D5D"/>
            <w:tcMar>
              <w:top w:w="29" w:type="dxa"/>
              <w:bottom w:w="29" w:type="dxa"/>
            </w:tcMar>
            <w:vAlign w:val="center"/>
          </w:tcPr>
          <w:p w:rsidR="00C55B34" w:rsidRPr="001E1315" w:rsidRDefault="00C55B34" w:rsidP="00B81D05">
            <w:pPr>
              <w:jc w:val="center"/>
              <w:rPr>
                <w:rFonts w:ascii="Calibri" w:hAnsi="Calibri"/>
                <w:bCs/>
                <w:color w:val="FFFFFF"/>
                <w:szCs w:val="20"/>
              </w:rPr>
            </w:pPr>
            <w:r>
              <w:rPr>
                <w:rFonts w:ascii="Calibri" w:hAnsi="Calibri"/>
                <w:bCs/>
                <w:szCs w:val="20"/>
              </w:rPr>
              <w:t>2020</w:t>
            </w:r>
          </w:p>
        </w:tc>
        <w:tc>
          <w:tcPr>
            <w:tcW w:w="995" w:type="dxa"/>
            <w:shd w:val="clear" w:color="auto" w:fill="1A1D5D"/>
            <w:tcMar>
              <w:top w:w="29" w:type="dxa"/>
              <w:bottom w:w="29" w:type="dxa"/>
            </w:tcMar>
            <w:vAlign w:val="center"/>
          </w:tcPr>
          <w:p w:rsidR="00C55B34" w:rsidRPr="001E1315" w:rsidRDefault="00C55B34" w:rsidP="00B81D05">
            <w:pPr>
              <w:jc w:val="center"/>
              <w:rPr>
                <w:rFonts w:ascii="Calibri" w:hAnsi="Calibri"/>
                <w:bCs/>
                <w:color w:val="FFFFFF"/>
                <w:szCs w:val="20"/>
              </w:rPr>
            </w:pPr>
            <w:r>
              <w:rPr>
                <w:rFonts w:ascii="Calibri" w:hAnsi="Calibri"/>
                <w:bCs/>
                <w:szCs w:val="20"/>
              </w:rPr>
              <w:t>2025</w:t>
            </w:r>
          </w:p>
        </w:tc>
        <w:tc>
          <w:tcPr>
            <w:tcW w:w="995" w:type="dxa"/>
            <w:shd w:val="clear" w:color="auto" w:fill="1A1D5D"/>
            <w:vAlign w:val="center"/>
          </w:tcPr>
          <w:p w:rsidR="00C55B34" w:rsidRPr="001E1315" w:rsidRDefault="00C55B34" w:rsidP="00B81D05">
            <w:pPr>
              <w:jc w:val="center"/>
              <w:rPr>
                <w:rFonts w:ascii="Calibri" w:hAnsi="Calibri"/>
                <w:bCs/>
                <w:color w:val="FFFFFF"/>
                <w:szCs w:val="20"/>
              </w:rPr>
            </w:pPr>
            <w:r>
              <w:rPr>
                <w:rFonts w:ascii="Calibri" w:hAnsi="Calibri"/>
                <w:bCs/>
                <w:szCs w:val="20"/>
              </w:rPr>
              <w:t>2035</w:t>
            </w:r>
          </w:p>
        </w:tc>
        <w:tc>
          <w:tcPr>
            <w:tcW w:w="1009" w:type="dxa"/>
            <w:shd w:val="clear" w:color="auto" w:fill="1A1D5D"/>
            <w:vAlign w:val="center"/>
          </w:tcPr>
          <w:p w:rsidR="00C55B34" w:rsidRPr="001E1315" w:rsidRDefault="00C55B34" w:rsidP="00B81D05">
            <w:pPr>
              <w:jc w:val="center"/>
              <w:rPr>
                <w:rFonts w:ascii="Calibri" w:hAnsi="Calibri"/>
                <w:bCs/>
                <w:color w:val="FFFFFF"/>
                <w:szCs w:val="20"/>
              </w:rPr>
            </w:pPr>
            <w:r>
              <w:rPr>
                <w:rFonts w:ascii="Calibri" w:hAnsi="Calibri"/>
                <w:bCs/>
                <w:szCs w:val="20"/>
              </w:rPr>
              <w:t>% Change</w:t>
            </w:r>
            <w:r>
              <w:rPr>
                <w:rFonts w:ascii="Calibri" w:hAnsi="Calibri"/>
                <w:bCs/>
                <w:szCs w:val="20"/>
              </w:rPr>
              <w:br/>
              <w:t>('13-'35</w:t>
            </w:r>
            <w:r w:rsidRPr="001E1315">
              <w:rPr>
                <w:rFonts w:ascii="Calibri" w:hAnsi="Calibri"/>
                <w:bCs/>
                <w:szCs w:val="20"/>
              </w:rPr>
              <w:t>)</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Cooling</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Heating</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Ventilation</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-18%</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Interior Lighting</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6</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15%</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Exterior Lighting</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0</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-1%</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Process</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54</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58</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59</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60</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63</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68</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27%</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Motors</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27</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30</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30</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31</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32</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35</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27%</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color w:val="000000"/>
                <w:szCs w:val="20"/>
              </w:rPr>
            </w:pPr>
            <w:r w:rsidRPr="00273D0F">
              <w:rPr>
                <w:rFonts w:ascii="Calibri" w:hAnsi="Calibri"/>
                <w:color w:val="000000"/>
                <w:szCs w:val="20"/>
              </w:rPr>
              <w:t>Miscellaneous</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4</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4</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4</w:t>
            </w:r>
          </w:p>
        </w:tc>
        <w:tc>
          <w:tcPr>
            <w:tcW w:w="994"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w:t>
            </w:r>
          </w:p>
        </w:tc>
        <w:tc>
          <w:tcPr>
            <w:tcW w:w="995" w:type="dxa"/>
            <w:shd w:val="clear" w:color="auto" w:fill="FDF2C8" w:themeFill="accent4" w:themeFillTint="33"/>
            <w:tcMar>
              <w:top w:w="29" w:type="dxa"/>
              <w:bottom w:w="29" w:type="dxa"/>
            </w:tcMar>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5</w:t>
            </w:r>
          </w:p>
        </w:tc>
        <w:tc>
          <w:tcPr>
            <w:tcW w:w="995"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6</w:t>
            </w:r>
          </w:p>
        </w:tc>
        <w:tc>
          <w:tcPr>
            <w:tcW w:w="1009" w:type="dxa"/>
            <w:shd w:val="clear" w:color="auto" w:fill="FDF2C8" w:themeFill="accent4" w:themeFillTint="33"/>
            <w:vAlign w:val="center"/>
          </w:tcPr>
          <w:p w:rsidR="00C55B34" w:rsidRPr="00513762" w:rsidRDefault="00C55B34" w:rsidP="001A0079">
            <w:pPr>
              <w:ind w:right="144"/>
              <w:jc w:val="right"/>
              <w:rPr>
                <w:rFonts w:ascii="Calibri" w:hAnsi="Calibri" w:cs="Calibri"/>
                <w:color w:val="000000"/>
                <w:szCs w:val="20"/>
              </w:rPr>
            </w:pPr>
            <w:r w:rsidRPr="00C55B34">
              <w:rPr>
                <w:rFonts w:ascii="Calibri" w:hAnsi="Calibri" w:cs="Calibri"/>
                <w:color w:val="000000"/>
                <w:szCs w:val="20"/>
              </w:rPr>
              <w:t>48%</w:t>
            </w:r>
          </w:p>
        </w:tc>
      </w:tr>
      <w:tr w:rsidR="00C55B34" w:rsidRPr="006B2AF6" w:rsidTr="001A0079">
        <w:trPr>
          <w:trHeight w:val="216"/>
        </w:trPr>
        <w:tc>
          <w:tcPr>
            <w:tcW w:w="2013" w:type="dxa"/>
            <w:tcMar>
              <w:top w:w="29" w:type="dxa"/>
              <w:bottom w:w="29" w:type="dxa"/>
            </w:tcMar>
            <w:vAlign w:val="bottom"/>
          </w:tcPr>
          <w:p w:rsidR="00C55B34" w:rsidRPr="00273D0F" w:rsidRDefault="00C55B34" w:rsidP="00C55B34">
            <w:pPr>
              <w:ind w:left="144"/>
              <w:rPr>
                <w:rFonts w:ascii="Calibri" w:hAnsi="Calibri"/>
                <w:b/>
                <w:bCs/>
                <w:color w:val="000000"/>
                <w:szCs w:val="20"/>
              </w:rPr>
            </w:pPr>
            <w:r w:rsidRPr="00273D0F">
              <w:rPr>
                <w:rFonts w:ascii="Calibri" w:hAnsi="Calibri"/>
                <w:b/>
                <w:bCs/>
                <w:color w:val="000000"/>
                <w:szCs w:val="20"/>
              </w:rPr>
              <w:t>Total</w:t>
            </w:r>
          </w:p>
        </w:tc>
        <w:tc>
          <w:tcPr>
            <w:tcW w:w="994" w:type="dxa"/>
            <w:shd w:val="clear" w:color="auto" w:fill="FDF2C8" w:themeFill="accent4" w:themeFillTint="33"/>
            <w:tcMar>
              <w:top w:w="29" w:type="dxa"/>
              <w:bottom w:w="29" w:type="dxa"/>
            </w:tcMar>
            <w:vAlign w:val="center"/>
          </w:tcPr>
          <w:p w:rsidR="00C55B34" w:rsidRPr="00C55B34" w:rsidRDefault="00C55B34" w:rsidP="001A0079">
            <w:pPr>
              <w:ind w:right="144"/>
              <w:jc w:val="right"/>
              <w:rPr>
                <w:rFonts w:ascii="Calibri" w:hAnsi="Calibri" w:cs="Calibri"/>
                <w:b/>
                <w:color w:val="000000"/>
                <w:szCs w:val="20"/>
              </w:rPr>
            </w:pPr>
            <w:r w:rsidRPr="00C55B34">
              <w:rPr>
                <w:rFonts w:ascii="Calibri" w:hAnsi="Calibri" w:cs="Calibri"/>
                <w:b/>
                <w:color w:val="000000"/>
                <w:szCs w:val="20"/>
              </w:rPr>
              <w:t>91</w:t>
            </w:r>
          </w:p>
        </w:tc>
        <w:tc>
          <w:tcPr>
            <w:tcW w:w="995" w:type="dxa"/>
            <w:shd w:val="clear" w:color="auto" w:fill="FDF2C8" w:themeFill="accent4" w:themeFillTint="33"/>
            <w:tcMar>
              <w:top w:w="29" w:type="dxa"/>
              <w:bottom w:w="29" w:type="dxa"/>
            </w:tcMar>
            <w:vAlign w:val="center"/>
          </w:tcPr>
          <w:p w:rsidR="00C55B34" w:rsidRPr="00C55B34" w:rsidRDefault="00C55B34" w:rsidP="001A0079">
            <w:pPr>
              <w:ind w:right="144"/>
              <w:jc w:val="right"/>
              <w:rPr>
                <w:rFonts w:ascii="Calibri" w:hAnsi="Calibri" w:cs="Calibri"/>
                <w:b/>
                <w:color w:val="000000"/>
                <w:szCs w:val="20"/>
              </w:rPr>
            </w:pPr>
            <w:r w:rsidRPr="00C55B34">
              <w:rPr>
                <w:rFonts w:ascii="Calibri" w:hAnsi="Calibri" w:cs="Calibri"/>
                <w:b/>
                <w:color w:val="000000"/>
                <w:szCs w:val="20"/>
              </w:rPr>
              <w:t>99</w:t>
            </w:r>
          </w:p>
        </w:tc>
        <w:tc>
          <w:tcPr>
            <w:tcW w:w="995" w:type="dxa"/>
            <w:shd w:val="clear" w:color="auto" w:fill="FDF2C8" w:themeFill="accent4" w:themeFillTint="33"/>
            <w:tcMar>
              <w:top w:w="29" w:type="dxa"/>
              <w:bottom w:w="29" w:type="dxa"/>
            </w:tcMar>
            <w:vAlign w:val="center"/>
          </w:tcPr>
          <w:p w:rsidR="00C55B34" w:rsidRPr="00C55B34" w:rsidRDefault="00C55B34" w:rsidP="001A0079">
            <w:pPr>
              <w:ind w:right="144"/>
              <w:jc w:val="right"/>
              <w:rPr>
                <w:rFonts w:ascii="Calibri" w:hAnsi="Calibri" w:cs="Calibri"/>
                <w:b/>
                <w:color w:val="000000"/>
                <w:szCs w:val="20"/>
              </w:rPr>
            </w:pPr>
            <w:r w:rsidRPr="00C55B34">
              <w:rPr>
                <w:rFonts w:ascii="Calibri" w:hAnsi="Calibri" w:cs="Calibri"/>
                <w:b/>
                <w:color w:val="000000"/>
                <w:szCs w:val="20"/>
              </w:rPr>
              <w:t>100</w:t>
            </w:r>
          </w:p>
        </w:tc>
        <w:tc>
          <w:tcPr>
            <w:tcW w:w="994" w:type="dxa"/>
            <w:shd w:val="clear" w:color="auto" w:fill="FDF2C8" w:themeFill="accent4" w:themeFillTint="33"/>
            <w:tcMar>
              <w:top w:w="29" w:type="dxa"/>
              <w:bottom w:w="29" w:type="dxa"/>
            </w:tcMar>
            <w:vAlign w:val="center"/>
          </w:tcPr>
          <w:p w:rsidR="00C55B34" w:rsidRPr="00C55B34" w:rsidRDefault="00C55B34" w:rsidP="001A0079">
            <w:pPr>
              <w:ind w:right="144"/>
              <w:jc w:val="right"/>
              <w:rPr>
                <w:rFonts w:ascii="Calibri" w:hAnsi="Calibri" w:cs="Calibri"/>
                <w:b/>
                <w:color w:val="000000"/>
                <w:szCs w:val="20"/>
              </w:rPr>
            </w:pPr>
            <w:r w:rsidRPr="00C55B34">
              <w:rPr>
                <w:rFonts w:ascii="Calibri" w:hAnsi="Calibri" w:cs="Calibri"/>
                <w:b/>
                <w:color w:val="000000"/>
                <w:szCs w:val="20"/>
              </w:rPr>
              <w:t>102</w:t>
            </w:r>
          </w:p>
        </w:tc>
        <w:tc>
          <w:tcPr>
            <w:tcW w:w="995" w:type="dxa"/>
            <w:shd w:val="clear" w:color="auto" w:fill="FDF2C8" w:themeFill="accent4" w:themeFillTint="33"/>
            <w:tcMar>
              <w:top w:w="29" w:type="dxa"/>
              <w:bottom w:w="29" w:type="dxa"/>
            </w:tcMar>
            <w:vAlign w:val="center"/>
          </w:tcPr>
          <w:p w:rsidR="00C55B34" w:rsidRPr="00C55B34" w:rsidRDefault="00C55B34" w:rsidP="001A0079">
            <w:pPr>
              <w:ind w:right="144"/>
              <w:jc w:val="right"/>
              <w:rPr>
                <w:rFonts w:ascii="Calibri" w:hAnsi="Calibri" w:cs="Calibri"/>
                <w:b/>
                <w:color w:val="000000"/>
                <w:szCs w:val="20"/>
              </w:rPr>
            </w:pPr>
            <w:r w:rsidRPr="00C55B34">
              <w:rPr>
                <w:rFonts w:ascii="Calibri" w:hAnsi="Calibri" w:cs="Calibri"/>
                <w:b/>
                <w:color w:val="000000"/>
                <w:szCs w:val="20"/>
              </w:rPr>
              <w:t>106</w:t>
            </w:r>
          </w:p>
        </w:tc>
        <w:tc>
          <w:tcPr>
            <w:tcW w:w="995" w:type="dxa"/>
            <w:shd w:val="clear" w:color="auto" w:fill="FDF2C8" w:themeFill="accent4" w:themeFillTint="33"/>
            <w:vAlign w:val="center"/>
          </w:tcPr>
          <w:p w:rsidR="00C55B34" w:rsidRPr="00C55B34" w:rsidRDefault="00C55B34" w:rsidP="001A0079">
            <w:pPr>
              <w:ind w:right="144"/>
              <w:jc w:val="right"/>
              <w:rPr>
                <w:rFonts w:ascii="Calibri" w:hAnsi="Calibri" w:cs="Calibri"/>
                <w:b/>
                <w:color w:val="000000"/>
                <w:szCs w:val="20"/>
              </w:rPr>
            </w:pPr>
            <w:r w:rsidRPr="00C55B34">
              <w:rPr>
                <w:rFonts w:ascii="Calibri" w:hAnsi="Calibri" w:cs="Calibri"/>
                <w:b/>
                <w:color w:val="000000"/>
                <w:szCs w:val="20"/>
              </w:rPr>
              <w:t>115</w:t>
            </w:r>
          </w:p>
        </w:tc>
        <w:tc>
          <w:tcPr>
            <w:tcW w:w="1009" w:type="dxa"/>
            <w:shd w:val="clear" w:color="auto" w:fill="FDF2C8" w:themeFill="accent4" w:themeFillTint="33"/>
            <w:vAlign w:val="center"/>
          </w:tcPr>
          <w:p w:rsidR="00C55B34" w:rsidRPr="00C55B34" w:rsidRDefault="00C55B34" w:rsidP="00144F91">
            <w:pPr>
              <w:ind w:right="144"/>
              <w:jc w:val="right"/>
              <w:rPr>
                <w:rFonts w:ascii="Calibri" w:hAnsi="Calibri" w:cs="Calibri"/>
                <w:b/>
                <w:color w:val="000000"/>
                <w:szCs w:val="20"/>
              </w:rPr>
            </w:pPr>
            <w:r w:rsidRPr="00C55B34">
              <w:rPr>
                <w:rFonts w:ascii="Calibri" w:hAnsi="Calibri" w:cs="Calibri"/>
                <w:b/>
                <w:color w:val="000000"/>
                <w:szCs w:val="20"/>
              </w:rPr>
              <w:t>26.6%</w:t>
            </w:r>
          </w:p>
        </w:tc>
      </w:tr>
    </w:tbl>
    <w:p w:rsidR="00C27786" w:rsidRPr="00E07587" w:rsidRDefault="00C27786" w:rsidP="00C27786">
      <w:pPr>
        <w:pStyle w:val="FigureorTableTitle"/>
      </w:pPr>
      <w:bookmarkStart w:id="335" w:name="_Toc424192728"/>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17</w:t>
      </w:r>
      <w:r w:rsidR="00512CD6">
        <w:rPr>
          <w:noProof/>
          <w:szCs w:val="18"/>
        </w:rPr>
        <w:fldChar w:fldCharType="end"/>
      </w:r>
      <w:bookmarkEnd w:id="334"/>
      <w:r>
        <w:tab/>
        <w:t>Industrial Summer Peak Baseline Projection by End Use (MW)</w:t>
      </w:r>
      <w:r w:rsidR="00C55B34">
        <w:t>, Washington</w:t>
      </w:r>
      <w:bookmarkEnd w:id="335"/>
    </w:p>
    <w:p w:rsidR="00C27786" w:rsidRDefault="00C55B34" w:rsidP="00C27786">
      <w:pPr>
        <w:pStyle w:val="BodyText"/>
      </w:pPr>
      <w:r w:rsidRPr="00C55B34">
        <w:rPr>
          <w:noProof/>
        </w:rPr>
        <w:drawing>
          <wp:inline distT="0" distB="0" distL="0" distR="0">
            <wp:extent cx="5715000" cy="2884888"/>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C55B34" w:rsidRPr="00E07587" w:rsidRDefault="00C55B34" w:rsidP="00C55B34">
      <w:pPr>
        <w:pStyle w:val="FigureorTableTitle"/>
      </w:pPr>
      <w:bookmarkStart w:id="336" w:name="_Toc424192729"/>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18</w:t>
      </w:r>
      <w:r w:rsidR="00512CD6">
        <w:rPr>
          <w:noProof/>
          <w:szCs w:val="18"/>
        </w:rPr>
        <w:fldChar w:fldCharType="end"/>
      </w:r>
      <w:r>
        <w:tab/>
        <w:t>Industrial Summer Peak Baseline Projection by End Use (MW), Idaho</w:t>
      </w:r>
      <w:bookmarkEnd w:id="336"/>
    </w:p>
    <w:p w:rsidR="00C27786" w:rsidRDefault="00C55B34" w:rsidP="00C449BF">
      <w:pPr>
        <w:pStyle w:val="BodyText"/>
      </w:pPr>
      <w:r w:rsidRPr="00C55B34">
        <w:rPr>
          <w:noProof/>
        </w:rPr>
        <w:drawing>
          <wp:inline distT="0" distB="0" distL="0" distR="0">
            <wp:extent cx="5715000" cy="2884888"/>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A5711B" w:rsidRDefault="00A5711B" w:rsidP="00A5711B">
      <w:pPr>
        <w:pStyle w:val="Heading3"/>
      </w:pPr>
      <w:r>
        <w:br w:type="page"/>
      </w:r>
    </w:p>
    <w:p w:rsidR="00A5711B" w:rsidRPr="001E1315" w:rsidRDefault="00A5711B" w:rsidP="00A5711B">
      <w:pPr>
        <w:pStyle w:val="Heading3"/>
      </w:pPr>
      <w:bookmarkStart w:id="337" w:name="_Toc424192636"/>
      <w:r w:rsidRPr="001E1315">
        <w:lastRenderedPageBreak/>
        <w:t xml:space="preserve">Industrial </w:t>
      </w:r>
      <w:r>
        <w:t>Winter</w:t>
      </w:r>
      <w:r w:rsidRPr="001E1315">
        <w:t xml:space="preserve"> Peak Demand Projection</w:t>
      </w:r>
      <w:bookmarkEnd w:id="337"/>
    </w:p>
    <w:p w:rsidR="00A5711B" w:rsidRPr="00E512F1" w:rsidRDefault="00A5711B" w:rsidP="00A5711B">
      <w:pPr>
        <w:pStyle w:val="BodyText"/>
      </w:pPr>
      <w:r w:rsidRPr="001522E3">
        <w:t xml:space="preserve">The tables and graphs below present the projection of </w:t>
      </w:r>
      <w:r w:rsidR="001D0B61">
        <w:t>winter</w:t>
      </w:r>
      <w:r w:rsidRPr="001522E3">
        <w:t xml:space="preserve"> peak demand for the industrial sector. This projection looks similar to the energy forecast largely because the industrial sector has a high load factor.</w:t>
      </w:r>
      <w:r>
        <w:t xml:space="preserve"> </w:t>
      </w:r>
    </w:p>
    <w:p w:rsidR="00944F70" w:rsidRPr="000E3F5F" w:rsidRDefault="00944F70" w:rsidP="00944F70">
      <w:pPr>
        <w:pStyle w:val="FigureorTableTitle"/>
      </w:pPr>
      <w:bookmarkStart w:id="338" w:name="_Toc424192791"/>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17</w:t>
      </w:r>
      <w:r w:rsidR="00512CD6">
        <w:rPr>
          <w:bCs w:val="0"/>
          <w:iCs w:val="0"/>
          <w:noProof/>
        </w:rPr>
        <w:fldChar w:fldCharType="end"/>
      </w:r>
      <w:r>
        <w:tab/>
        <w:t>Industrial Winter Peak Baseline Projection by End Use (MW), Washington</w:t>
      </w:r>
      <w:bookmarkEnd w:id="338"/>
    </w:p>
    <w:tbl>
      <w:tblPr>
        <w:tblW w:w="5000" w:type="pct"/>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018"/>
        <w:gridCol w:w="997"/>
        <w:gridCol w:w="997"/>
        <w:gridCol w:w="997"/>
        <w:gridCol w:w="996"/>
        <w:gridCol w:w="997"/>
        <w:gridCol w:w="997"/>
        <w:gridCol w:w="1011"/>
      </w:tblGrid>
      <w:tr w:rsidR="00944F70" w:rsidRPr="006B2AF6" w:rsidTr="00072331">
        <w:trPr>
          <w:trHeight w:val="216"/>
        </w:trPr>
        <w:tc>
          <w:tcPr>
            <w:tcW w:w="2013" w:type="dxa"/>
            <w:shd w:val="clear" w:color="auto" w:fill="1A1D5D"/>
            <w:tcMar>
              <w:top w:w="29" w:type="dxa"/>
              <w:bottom w:w="29" w:type="dxa"/>
            </w:tcMar>
            <w:vAlign w:val="center"/>
          </w:tcPr>
          <w:p w:rsidR="00944F70" w:rsidRPr="001E1315" w:rsidRDefault="00944F70" w:rsidP="00072331">
            <w:pPr>
              <w:pStyle w:val="TableHeadings"/>
              <w:rPr>
                <w:b w:val="0"/>
              </w:rPr>
            </w:pPr>
            <w:r w:rsidRPr="001E1315">
              <w:rPr>
                <w:b w:val="0"/>
              </w:rPr>
              <w:t>End Use</w:t>
            </w:r>
          </w:p>
        </w:tc>
        <w:tc>
          <w:tcPr>
            <w:tcW w:w="994"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sidRPr="001E1315">
              <w:rPr>
                <w:rFonts w:ascii="Calibri" w:hAnsi="Calibri"/>
                <w:bCs/>
                <w:szCs w:val="20"/>
              </w:rPr>
              <w:t>2013</w:t>
            </w:r>
          </w:p>
        </w:tc>
        <w:tc>
          <w:tcPr>
            <w:tcW w:w="995"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sidRPr="001E1315">
              <w:rPr>
                <w:rFonts w:ascii="Calibri" w:hAnsi="Calibri"/>
                <w:bCs/>
                <w:szCs w:val="20"/>
              </w:rPr>
              <w:t>201</w:t>
            </w:r>
            <w:r>
              <w:rPr>
                <w:rFonts w:ascii="Calibri" w:hAnsi="Calibri"/>
                <w:bCs/>
                <w:szCs w:val="20"/>
              </w:rPr>
              <w:t>6</w:t>
            </w:r>
          </w:p>
        </w:tc>
        <w:tc>
          <w:tcPr>
            <w:tcW w:w="995"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sidRPr="001E1315">
              <w:rPr>
                <w:rFonts w:ascii="Calibri" w:hAnsi="Calibri"/>
                <w:bCs/>
                <w:szCs w:val="20"/>
              </w:rPr>
              <w:t>20</w:t>
            </w:r>
            <w:r>
              <w:rPr>
                <w:rFonts w:ascii="Calibri" w:hAnsi="Calibri"/>
                <w:bCs/>
                <w:szCs w:val="20"/>
              </w:rPr>
              <w:t>17</w:t>
            </w:r>
          </w:p>
        </w:tc>
        <w:tc>
          <w:tcPr>
            <w:tcW w:w="994"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Pr>
                <w:rFonts w:ascii="Calibri" w:hAnsi="Calibri"/>
                <w:bCs/>
                <w:szCs w:val="20"/>
              </w:rPr>
              <w:t>2020</w:t>
            </w:r>
          </w:p>
        </w:tc>
        <w:tc>
          <w:tcPr>
            <w:tcW w:w="995"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Pr>
                <w:rFonts w:ascii="Calibri" w:hAnsi="Calibri"/>
                <w:bCs/>
                <w:szCs w:val="20"/>
              </w:rPr>
              <w:t>2025</w:t>
            </w:r>
          </w:p>
        </w:tc>
        <w:tc>
          <w:tcPr>
            <w:tcW w:w="995" w:type="dxa"/>
            <w:shd w:val="clear" w:color="auto" w:fill="1A1D5D"/>
            <w:vAlign w:val="center"/>
          </w:tcPr>
          <w:p w:rsidR="00944F70" w:rsidRPr="001E1315" w:rsidRDefault="00944F70" w:rsidP="00072331">
            <w:pPr>
              <w:jc w:val="center"/>
              <w:rPr>
                <w:rFonts w:ascii="Calibri" w:hAnsi="Calibri"/>
                <w:bCs/>
                <w:color w:val="FFFFFF"/>
                <w:szCs w:val="20"/>
              </w:rPr>
            </w:pPr>
            <w:r>
              <w:rPr>
                <w:rFonts w:ascii="Calibri" w:hAnsi="Calibri"/>
                <w:bCs/>
                <w:szCs w:val="20"/>
              </w:rPr>
              <w:t>2035</w:t>
            </w:r>
          </w:p>
        </w:tc>
        <w:tc>
          <w:tcPr>
            <w:tcW w:w="1009" w:type="dxa"/>
            <w:shd w:val="clear" w:color="auto" w:fill="1A1D5D"/>
            <w:vAlign w:val="center"/>
          </w:tcPr>
          <w:p w:rsidR="00944F70" w:rsidRPr="001E1315" w:rsidRDefault="00944F70" w:rsidP="00072331">
            <w:pPr>
              <w:jc w:val="center"/>
              <w:rPr>
                <w:rFonts w:ascii="Calibri" w:hAnsi="Calibri"/>
                <w:bCs/>
                <w:color w:val="FFFFFF"/>
                <w:szCs w:val="20"/>
              </w:rPr>
            </w:pPr>
            <w:r>
              <w:rPr>
                <w:rFonts w:ascii="Calibri" w:hAnsi="Calibri"/>
                <w:bCs/>
                <w:szCs w:val="20"/>
              </w:rPr>
              <w:t>% Change</w:t>
            </w:r>
            <w:r>
              <w:rPr>
                <w:rFonts w:ascii="Calibri" w:hAnsi="Calibri"/>
                <w:bCs/>
                <w:szCs w:val="20"/>
              </w:rPr>
              <w:br/>
              <w:t>('13-'35</w:t>
            </w:r>
            <w:r w:rsidRPr="001E1315">
              <w:rPr>
                <w:rFonts w:ascii="Calibri" w:hAnsi="Calibri"/>
                <w:bCs/>
                <w:szCs w:val="20"/>
              </w:rPr>
              <w:t>)</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Cooling</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0%</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Heating</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8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9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9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9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9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10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23%</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Ventilation</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2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-18%</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Interior Lighting</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10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11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11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11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11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12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16%</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Exterior Lighting</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-1%</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Process</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114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124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125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128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134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145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27%</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Motors</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58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63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64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65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68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74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27%</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Miscellaneous</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8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9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9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10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11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12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48%</w:t>
            </w:r>
          </w:p>
        </w:tc>
      </w:tr>
      <w:tr w:rsidR="00072331" w:rsidRPr="00072331"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b/>
                <w:bCs/>
                <w:color w:val="000000"/>
                <w:szCs w:val="20"/>
              </w:rPr>
            </w:pPr>
            <w:r w:rsidRPr="00273D0F">
              <w:rPr>
                <w:rFonts w:ascii="Calibri" w:hAnsi="Calibri"/>
                <w:b/>
                <w:bCs/>
                <w:color w:val="000000"/>
                <w:szCs w:val="20"/>
              </w:rPr>
              <w:t>Total</w:t>
            </w:r>
          </w:p>
        </w:tc>
        <w:tc>
          <w:tcPr>
            <w:tcW w:w="994"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202 </w:t>
            </w:r>
          </w:p>
        </w:tc>
        <w:tc>
          <w:tcPr>
            <w:tcW w:w="995"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219 </w:t>
            </w:r>
          </w:p>
        </w:tc>
        <w:tc>
          <w:tcPr>
            <w:tcW w:w="995"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221 </w:t>
            </w:r>
          </w:p>
        </w:tc>
        <w:tc>
          <w:tcPr>
            <w:tcW w:w="994"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227 </w:t>
            </w:r>
          </w:p>
        </w:tc>
        <w:tc>
          <w:tcPr>
            <w:tcW w:w="995"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236 </w:t>
            </w:r>
          </w:p>
        </w:tc>
        <w:tc>
          <w:tcPr>
            <w:tcW w:w="995" w:type="dxa"/>
            <w:shd w:val="clear" w:color="auto" w:fill="FFCC99"/>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256 </w:t>
            </w:r>
          </w:p>
        </w:tc>
        <w:tc>
          <w:tcPr>
            <w:tcW w:w="1009" w:type="dxa"/>
            <w:shd w:val="clear" w:color="auto" w:fill="FFCC99"/>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26.63%</w:t>
            </w:r>
          </w:p>
        </w:tc>
      </w:tr>
    </w:tbl>
    <w:p w:rsidR="00A5711B" w:rsidRDefault="00A5711B" w:rsidP="00F46235">
      <w:pPr>
        <w:pStyle w:val="BodyText"/>
      </w:pPr>
    </w:p>
    <w:p w:rsidR="00944F70" w:rsidRDefault="00944F70" w:rsidP="00944F70">
      <w:pPr>
        <w:pStyle w:val="FigureorTableTitle"/>
      </w:pPr>
      <w:bookmarkStart w:id="339" w:name="_Toc424192792"/>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18</w:t>
      </w:r>
      <w:r w:rsidR="00512CD6">
        <w:rPr>
          <w:bCs w:val="0"/>
          <w:iCs w:val="0"/>
          <w:noProof/>
        </w:rPr>
        <w:fldChar w:fldCharType="end"/>
      </w:r>
      <w:r>
        <w:tab/>
        <w:t>Industrial Winter Peak Baseline Projection by End Use (MW), Idaho</w:t>
      </w:r>
      <w:bookmarkEnd w:id="339"/>
    </w:p>
    <w:tbl>
      <w:tblPr>
        <w:tblW w:w="5000" w:type="pct"/>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018"/>
        <w:gridCol w:w="997"/>
        <w:gridCol w:w="997"/>
        <w:gridCol w:w="997"/>
        <w:gridCol w:w="996"/>
        <w:gridCol w:w="997"/>
        <w:gridCol w:w="997"/>
        <w:gridCol w:w="1011"/>
      </w:tblGrid>
      <w:tr w:rsidR="00944F70" w:rsidRPr="006B2AF6" w:rsidTr="00072331">
        <w:trPr>
          <w:trHeight w:val="216"/>
        </w:trPr>
        <w:tc>
          <w:tcPr>
            <w:tcW w:w="2013" w:type="dxa"/>
            <w:shd w:val="clear" w:color="auto" w:fill="1A1D5D"/>
            <w:tcMar>
              <w:top w:w="29" w:type="dxa"/>
              <w:bottom w:w="29" w:type="dxa"/>
            </w:tcMar>
            <w:vAlign w:val="center"/>
          </w:tcPr>
          <w:p w:rsidR="00944F70" w:rsidRPr="001E1315" w:rsidRDefault="00944F70" w:rsidP="00072331">
            <w:pPr>
              <w:pStyle w:val="TableHeadings"/>
              <w:rPr>
                <w:b w:val="0"/>
              </w:rPr>
            </w:pPr>
            <w:r w:rsidRPr="001E1315">
              <w:rPr>
                <w:b w:val="0"/>
              </w:rPr>
              <w:t>End Use</w:t>
            </w:r>
          </w:p>
        </w:tc>
        <w:tc>
          <w:tcPr>
            <w:tcW w:w="994"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sidRPr="001E1315">
              <w:rPr>
                <w:rFonts w:ascii="Calibri" w:hAnsi="Calibri"/>
                <w:bCs/>
                <w:szCs w:val="20"/>
              </w:rPr>
              <w:t>2013</w:t>
            </w:r>
          </w:p>
        </w:tc>
        <w:tc>
          <w:tcPr>
            <w:tcW w:w="995"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sidRPr="001E1315">
              <w:rPr>
                <w:rFonts w:ascii="Calibri" w:hAnsi="Calibri"/>
                <w:bCs/>
                <w:szCs w:val="20"/>
              </w:rPr>
              <w:t>201</w:t>
            </w:r>
            <w:r>
              <w:rPr>
                <w:rFonts w:ascii="Calibri" w:hAnsi="Calibri"/>
                <w:bCs/>
                <w:szCs w:val="20"/>
              </w:rPr>
              <w:t>6</w:t>
            </w:r>
          </w:p>
        </w:tc>
        <w:tc>
          <w:tcPr>
            <w:tcW w:w="995"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sidRPr="001E1315">
              <w:rPr>
                <w:rFonts w:ascii="Calibri" w:hAnsi="Calibri"/>
                <w:bCs/>
                <w:szCs w:val="20"/>
              </w:rPr>
              <w:t>20</w:t>
            </w:r>
            <w:r>
              <w:rPr>
                <w:rFonts w:ascii="Calibri" w:hAnsi="Calibri"/>
                <w:bCs/>
                <w:szCs w:val="20"/>
              </w:rPr>
              <w:t>17</w:t>
            </w:r>
          </w:p>
        </w:tc>
        <w:tc>
          <w:tcPr>
            <w:tcW w:w="994"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Pr>
                <w:rFonts w:ascii="Calibri" w:hAnsi="Calibri"/>
                <w:bCs/>
                <w:szCs w:val="20"/>
              </w:rPr>
              <w:t>2020</w:t>
            </w:r>
          </w:p>
        </w:tc>
        <w:tc>
          <w:tcPr>
            <w:tcW w:w="995" w:type="dxa"/>
            <w:shd w:val="clear" w:color="auto" w:fill="1A1D5D"/>
            <w:tcMar>
              <w:top w:w="29" w:type="dxa"/>
              <w:bottom w:w="29" w:type="dxa"/>
            </w:tcMar>
            <w:vAlign w:val="center"/>
          </w:tcPr>
          <w:p w:rsidR="00944F70" w:rsidRPr="001E1315" w:rsidRDefault="00944F70" w:rsidP="00072331">
            <w:pPr>
              <w:jc w:val="center"/>
              <w:rPr>
                <w:rFonts w:ascii="Calibri" w:hAnsi="Calibri"/>
                <w:bCs/>
                <w:color w:val="FFFFFF"/>
                <w:szCs w:val="20"/>
              </w:rPr>
            </w:pPr>
            <w:r>
              <w:rPr>
                <w:rFonts w:ascii="Calibri" w:hAnsi="Calibri"/>
                <w:bCs/>
                <w:szCs w:val="20"/>
              </w:rPr>
              <w:t>2025</w:t>
            </w:r>
          </w:p>
        </w:tc>
        <w:tc>
          <w:tcPr>
            <w:tcW w:w="995" w:type="dxa"/>
            <w:shd w:val="clear" w:color="auto" w:fill="1A1D5D"/>
            <w:vAlign w:val="center"/>
          </w:tcPr>
          <w:p w:rsidR="00944F70" w:rsidRPr="001E1315" w:rsidRDefault="00944F70" w:rsidP="00072331">
            <w:pPr>
              <w:jc w:val="center"/>
              <w:rPr>
                <w:rFonts w:ascii="Calibri" w:hAnsi="Calibri"/>
                <w:bCs/>
                <w:color w:val="FFFFFF"/>
                <w:szCs w:val="20"/>
              </w:rPr>
            </w:pPr>
            <w:r>
              <w:rPr>
                <w:rFonts w:ascii="Calibri" w:hAnsi="Calibri"/>
                <w:bCs/>
                <w:szCs w:val="20"/>
              </w:rPr>
              <w:t>2035</w:t>
            </w:r>
          </w:p>
        </w:tc>
        <w:tc>
          <w:tcPr>
            <w:tcW w:w="1009" w:type="dxa"/>
            <w:shd w:val="clear" w:color="auto" w:fill="1A1D5D"/>
            <w:vAlign w:val="center"/>
          </w:tcPr>
          <w:p w:rsidR="00944F70" w:rsidRPr="001E1315" w:rsidRDefault="00944F70" w:rsidP="00072331">
            <w:pPr>
              <w:jc w:val="center"/>
              <w:rPr>
                <w:rFonts w:ascii="Calibri" w:hAnsi="Calibri"/>
                <w:bCs/>
                <w:color w:val="FFFFFF"/>
                <w:szCs w:val="20"/>
              </w:rPr>
            </w:pPr>
            <w:r>
              <w:rPr>
                <w:rFonts w:ascii="Calibri" w:hAnsi="Calibri"/>
                <w:bCs/>
                <w:szCs w:val="20"/>
              </w:rPr>
              <w:t>% Change</w:t>
            </w:r>
            <w:r>
              <w:rPr>
                <w:rFonts w:ascii="Calibri" w:hAnsi="Calibri"/>
                <w:bCs/>
                <w:szCs w:val="20"/>
              </w:rPr>
              <w:br/>
              <w:t>('13-'35</w:t>
            </w:r>
            <w:r w:rsidRPr="001E1315">
              <w:rPr>
                <w:rFonts w:ascii="Calibri" w:hAnsi="Calibri"/>
                <w:bCs/>
                <w:szCs w:val="20"/>
              </w:rPr>
              <w:t>)</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Cooling</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0%</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Heating</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23%</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Ventilation</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1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-18%</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Interior Lighting</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15%</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Exterior Lighting</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0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0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0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0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0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0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-1%</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Process</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42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46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46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48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50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54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27%</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Motors</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22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23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24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24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25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27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27%</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color w:val="000000"/>
                <w:szCs w:val="20"/>
              </w:rPr>
            </w:pPr>
            <w:r w:rsidRPr="00273D0F">
              <w:rPr>
                <w:rFonts w:ascii="Calibri" w:hAnsi="Calibri"/>
                <w:color w:val="000000"/>
                <w:szCs w:val="20"/>
              </w:rPr>
              <w:t>Miscellaneous</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3 </w:t>
            </w:r>
          </w:p>
        </w:tc>
        <w:tc>
          <w:tcPr>
            <w:tcW w:w="994"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 </w:t>
            </w:r>
          </w:p>
        </w:tc>
        <w:tc>
          <w:tcPr>
            <w:tcW w:w="995" w:type="dxa"/>
            <w:shd w:val="clear" w:color="auto" w:fill="FFCC99"/>
            <w:tcMar>
              <w:top w:w="29" w:type="dxa"/>
              <w:bottom w:w="29" w:type="dxa"/>
            </w:tcMar>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4 </w:t>
            </w:r>
          </w:p>
        </w:tc>
        <w:tc>
          <w:tcPr>
            <w:tcW w:w="995"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 xml:space="preserve"> 5 </w:t>
            </w:r>
          </w:p>
        </w:tc>
        <w:tc>
          <w:tcPr>
            <w:tcW w:w="1009" w:type="dxa"/>
            <w:shd w:val="clear" w:color="auto" w:fill="FFCC99"/>
            <w:vAlign w:val="center"/>
          </w:tcPr>
          <w:p w:rsidR="00072331" w:rsidRPr="00513762" w:rsidRDefault="00072331" w:rsidP="00072331">
            <w:pPr>
              <w:ind w:right="144"/>
              <w:jc w:val="right"/>
              <w:rPr>
                <w:rFonts w:ascii="Calibri" w:hAnsi="Calibri" w:cs="Calibri"/>
                <w:color w:val="000000"/>
                <w:szCs w:val="20"/>
              </w:rPr>
            </w:pPr>
            <w:r w:rsidRPr="00072331">
              <w:rPr>
                <w:rFonts w:ascii="Calibri" w:hAnsi="Calibri" w:cs="Calibri"/>
                <w:color w:val="000000"/>
                <w:szCs w:val="20"/>
              </w:rPr>
              <w:t>48%</w:t>
            </w:r>
          </w:p>
        </w:tc>
      </w:tr>
      <w:tr w:rsidR="00072331" w:rsidRPr="006B2AF6" w:rsidTr="00584417">
        <w:trPr>
          <w:trHeight w:val="216"/>
        </w:trPr>
        <w:tc>
          <w:tcPr>
            <w:tcW w:w="2013" w:type="dxa"/>
            <w:tcMar>
              <w:top w:w="29" w:type="dxa"/>
              <w:bottom w:w="29" w:type="dxa"/>
            </w:tcMar>
            <w:vAlign w:val="bottom"/>
          </w:tcPr>
          <w:p w:rsidR="00072331" w:rsidRPr="00273D0F" w:rsidRDefault="00072331" w:rsidP="00072331">
            <w:pPr>
              <w:ind w:left="144"/>
              <w:rPr>
                <w:rFonts w:ascii="Calibri" w:hAnsi="Calibri"/>
                <w:b/>
                <w:bCs/>
                <w:color w:val="000000"/>
                <w:szCs w:val="20"/>
              </w:rPr>
            </w:pPr>
            <w:r w:rsidRPr="00273D0F">
              <w:rPr>
                <w:rFonts w:ascii="Calibri" w:hAnsi="Calibri"/>
                <w:b/>
                <w:bCs/>
                <w:color w:val="000000"/>
                <w:szCs w:val="20"/>
              </w:rPr>
              <w:t>Total</w:t>
            </w:r>
          </w:p>
        </w:tc>
        <w:tc>
          <w:tcPr>
            <w:tcW w:w="994"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75 </w:t>
            </w:r>
          </w:p>
        </w:tc>
        <w:tc>
          <w:tcPr>
            <w:tcW w:w="995"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81 </w:t>
            </w:r>
          </w:p>
        </w:tc>
        <w:tc>
          <w:tcPr>
            <w:tcW w:w="995"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82 </w:t>
            </w:r>
          </w:p>
        </w:tc>
        <w:tc>
          <w:tcPr>
            <w:tcW w:w="994"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84 </w:t>
            </w:r>
          </w:p>
        </w:tc>
        <w:tc>
          <w:tcPr>
            <w:tcW w:w="995" w:type="dxa"/>
            <w:shd w:val="clear" w:color="auto" w:fill="FFCC99"/>
            <w:tcMar>
              <w:top w:w="29" w:type="dxa"/>
              <w:bottom w:w="29" w:type="dxa"/>
            </w:tcMar>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88 </w:t>
            </w:r>
          </w:p>
        </w:tc>
        <w:tc>
          <w:tcPr>
            <w:tcW w:w="995" w:type="dxa"/>
            <w:shd w:val="clear" w:color="auto" w:fill="FFCC99"/>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 xml:space="preserve"> 95 </w:t>
            </w:r>
          </w:p>
        </w:tc>
        <w:tc>
          <w:tcPr>
            <w:tcW w:w="1009" w:type="dxa"/>
            <w:shd w:val="clear" w:color="auto" w:fill="FFCC99"/>
            <w:vAlign w:val="center"/>
          </w:tcPr>
          <w:p w:rsidR="00072331" w:rsidRPr="00072331" w:rsidRDefault="00072331" w:rsidP="00072331">
            <w:pPr>
              <w:ind w:right="144"/>
              <w:jc w:val="right"/>
              <w:rPr>
                <w:rFonts w:ascii="Calibri" w:hAnsi="Calibri" w:cs="Calibri"/>
                <w:b/>
                <w:color w:val="000000"/>
                <w:szCs w:val="20"/>
              </w:rPr>
            </w:pPr>
            <w:r w:rsidRPr="00072331">
              <w:rPr>
                <w:rFonts w:ascii="Calibri" w:hAnsi="Calibri" w:cs="Calibri"/>
                <w:b/>
                <w:color w:val="000000"/>
                <w:szCs w:val="20"/>
              </w:rPr>
              <w:t>26.42%</w:t>
            </w:r>
          </w:p>
        </w:tc>
      </w:tr>
    </w:tbl>
    <w:p w:rsidR="00944F70" w:rsidRDefault="00944F70" w:rsidP="00F46235">
      <w:pPr>
        <w:pStyle w:val="BodyText"/>
      </w:pPr>
    </w:p>
    <w:p w:rsidR="00944F70" w:rsidRPr="00E07587" w:rsidRDefault="00944F70" w:rsidP="00944F70">
      <w:pPr>
        <w:pStyle w:val="FigureorTableTitle"/>
      </w:pPr>
      <w:bookmarkStart w:id="340" w:name="_Toc424192730"/>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19</w:t>
      </w:r>
      <w:r w:rsidR="00512CD6">
        <w:rPr>
          <w:noProof/>
          <w:szCs w:val="18"/>
        </w:rPr>
        <w:fldChar w:fldCharType="end"/>
      </w:r>
      <w:r>
        <w:tab/>
        <w:t>Industrial Winter Peak Baseline Projection by End Use (MW), Washington</w:t>
      </w:r>
      <w:bookmarkEnd w:id="340"/>
    </w:p>
    <w:p w:rsidR="00944F70" w:rsidRDefault="00072331" w:rsidP="00F46235">
      <w:pPr>
        <w:pStyle w:val="BodyText"/>
      </w:pPr>
      <w:r w:rsidRPr="00072331">
        <w:rPr>
          <w:noProof/>
        </w:rPr>
        <w:drawing>
          <wp:inline distT="0" distB="0" distL="0" distR="0">
            <wp:extent cx="5715000" cy="2884888"/>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944F70" w:rsidRPr="00E07587" w:rsidRDefault="00944F70" w:rsidP="00944F70">
      <w:pPr>
        <w:pStyle w:val="FigureorTableTitle"/>
      </w:pPr>
      <w:bookmarkStart w:id="341" w:name="_Toc424192731"/>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20</w:t>
      </w:r>
      <w:r w:rsidR="00512CD6">
        <w:rPr>
          <w:noProof/>
          <w:szCs w:val="18"/>
        </w:rPr>
        <w:fldChar w:fldCharType="end"/>
      </w:r>
      <w:r>
        <w:tab/>
        <w:t>Industrial Winter Peak Baseline Projection by End Use (MW), Idaho</w:t>
      </w:r>
      <w:bookmarkEnd w:id="341"/>
    </w:p>
    <w:p w:rsidR="00944F70" w:rsidRDefault="00072331" w:rsidP="00F46235">
      <w:pPr>
        <w:pStyle w:val="BodyText"/>
      </w:pPr>
      <w:r w:rsidRPr="00072331">
        <w:rPr>
          <w:noProof/>
        </w:rPr>
        <w:drawing>
          <wp:inline distT="0" distB="0" distL="0" distR="0">
            <wp:extent cx="5715000" cy="2884888"/>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5000" cy="2884888"/>
                    </a:xfrm>
                    <a:prstGeom prst="rect">
                      <a:avLst/>
                    </a:prstGeom>
                    <a:noFill/>
                    <a:ln>
                      <a:noFill/>
                    </a:ln>
                  </pic:spPr>
                </pic:pic>
              </a:graphicData>
            </a:graphic>
          </wp:inline>
        </w:drawing>
      </w:r>
    </w:p>
    <w:p w:rsidR="00513762" w:rsidRDefault="00513762" w:rsidP="00F46235">
      <w:pPr>
        <w:pStyle w:val="BodyText"/>
      </w:pPr>
      <w:r>
        <w:br w:type="page"/>
      </w:r>
    </w:p>
    <w:p w:rsidR="00157088" w:rsidRDefault="00C449BF" w:rsidP="008914C7">
      <w:pPr>
        <w:pStyle w:val="Heading2"/>
      </w:pPr>
      <w:bookmarkStart w:id="342" w:name="_Toc424192637"/>
      <w:bookmarkEnd w:id="324"/>
      <w:bookmarkEnd w:id="325"/>
      <w:bookmarkEnd w:id="326"/>
      <w:r>
        <w:lastRenderedPageBreak/>
        <w:t xml:space="preserve">Summary </w:t>
      </w:r>
      <w:r w:rsidR="00837C13">
        <w:t>of Baseline Projection</w:t>
      </w:r>
      <w:r w:rsidR="001E1315">
        <w:t>s</w:t>
      </w:r>
      <w:r w:rsidR="00837C13">
        <w:t xml:space="preserve"> across</w:t>
      </w:r>
      <w:r>
        <w:t xml:space="preserve"> Sectors</w:t>
      </w:r>
      <w:r w:rsidR="00D67AA5">
        <w:t xml:space="preserve"> and States</w:t>
      </w:r>
      <w:bookmarkEnd w:id="342"/>
    </w:p>
    <w:p w:rsidR="001E1315" w:rsidRPr="00BD0E72" w:rsidRDefault="001E1315" w:rsidP="00BD0E72">
      <w:pPr>
        <w:pStyle w:val="Heading3"/>
      </w:pPr>
      <w:bookmarkStart w:id="343" w:name="_Toc424192638"/>
      <w:r w:rsidRPr="00BD0E72">
        <w:t>Annua</w:t>
      </w:r>
      <w:r w:rsidRPr="00BD0E72">
        <w:rPr>
          <w:rStyle w:val="Heading3Char"/>
          <w:b/>
        </w:rPr>
        <w:t>l</w:t>
      </w:r>
      <w:r w:rsidRPr="00BD0E72">
        <w:t xml:space="preserve"> Use</w:t>
      </w:r>
      <w:bookmarkEnd w:id="343"/>
    </w:p>
    <w:p w:rsidR="00157088" w:rsidRPr="004F1749" w:rsidRDefault="00893E3D" w:rsidP="00157088">
      <w:pPr>
        <w:pStyle w:val="BodyText"/>
      </w:pPr>
      <w:r>
        <w:fldChar w:fldCharType="begin"/>
      </w:r>
      <w:r w:rsidR="000721A2">
        <w:instrText xml:space="preserve"> REF _Ref402253775 \h </w:instrText>
      </w:r>
      <w:r>
        <w:fldChar w:fldCharType="separate"/>
      </w:r>
      <w:r w:rsidR="00B2652C" w:rsidRPr="00535EB3">
        <w:t xml:space="preserve">Table </w:t>
      </w:r>
      <w:r w:rsidR="00B2652C" w:rsidRPr="00B2652C">
        <w:rPr>
          <w:noProof/>
        </w:rPr>
        <w:t>4</w:t>
      </w:r>
      <w:r w:rsidR="00B2652C" w:rsidRPr="00535EB3">
        <w:t>-</w:t>
      </w:r>
      <w:r w:rsidR="00B2652C" w:rsidRPr="00B2652C">
        <w:rPr>
          <w:noProof/>
        </w:rPr>
        <w:t>19</w:t>
      </w:r>
      <w:r>
        <w:fldChar w:fldCharType="end"/>
      </w:r>
      <w:r w:rsidR="00157088">
        <w:t xml:space="preserve"> and </w:t>
      </w:r>
      <w:r>
        <w:fldChar w:fldCharType="begin"/>
      </w:r>
      <w:r w:rsidR="00611679">
        <w:instrText xml:space="preserve"> REF _Ref401482549 \h </w:instrText>
      </w:r>
      <w:r>
        <w:fldChar w:fldCharType="separate"/>
      </w:r>
      <w:r w:rsidR="00B2652C" w:rsidRPr="00E07587">
        <w:t xml:space="preserve">Figure </w:t>
      </w:r>
      <w:r w:rsidR="00B2652C" w:rsidRPr="00B2652C">
        <w:rPr>
          <w:noProof/>
        </w:rPr>
        <w:t>4</w:t>
      </w:r>
      <w:r w:rsidR="00B2652C" w:rsidRPr="00E07587">
        <w:t>-</w:t>
      </w:r>
      <w:r w:rsidR="00B2652C" w:rsidRPr="00B2652C">
        <w:rPr>
          <w:noProof/>
        </w:rPr>
        <w:t>21</w:t>
      </w:r>
      <w:r>
        <w:fldChar w:fldCharType="end"/>
      </w:r>
      <w:r w:rsidR="00611679">
        <w:t xml:space="preserve"> </w:t>
      </w:r>
      <w:r w:rsidR="00157088" w:rsidRPr="004F1749">
        <w:t xml:space="preserve">provide a summary of the </w:t>
      </w:r>
      <w:r w:rsidR="00157088">
        <w:t>baseline projection</w:t>
      </w:r>
      <w:r w:rsidR="00157088" w:rsidRPr="004F1749">
        <w:t xml:space="preserve"> </w:t>
      </w:r>
      <w:r w:rsidR="00157088">
        <w:t xml:space="preserve">for </w:t>
      </w:r>
      <w:r w:rsidR="001E1315">
        <w:t>annual use</w:t>
      </w:r>
      <w:r w:rsidR="00157088">
        <w:t xml:space="preserve"> </w:t>
      </w:r>
      <w:r w:rsidR="00157088" w:rsidRPr="004F1749">
        <w:t xml:space="preserve">by sector for </w:t>
      </w:r>
      <w:r w:rsidR="00157088">
        <w:t xml:space="preserve">the entire </w:t>
      </w:r>
      <w:r w:rsidR="00FC633D">
        <w:t>Avista</w:t>
      </w:r>
      <w:r w:rsidR="00157088">
        <w:t xml:space="preserve"> service territory</w:t>
      </w:r>
      <w:r w:rsidR="00157088" w:rsidRPr="009320F3">
        <w:t>. Overall, the</w:t>
      </w:r>
      <w:r w:rsidR="00F46235">
        <w:t xml:space="preserve"> projection</w:t>
      </w:r>
      <w:r w:rsidR="00157088" w:rsidRPr="009320F3">
        <w:t xml:space="preserve"> shows </w:t>
      </w:r>
      <w:r w:rsidR="005639C3">
        <w:t>strong</w:t>
      </w:r>
      <w:r w:rsidR="001E1315">
        <w:t xml:space="preserve"> </w:t>
      </w:r>
      <w:r w:rsidR="00157088">
        <w:t>growth in</w:t>
      </w:r>
      <w:r w:rsidR="00157088" w:rsidRPr="009320F3">
        <w:t xml:space="preserve"> </w:t>
      </w:r>
      <w:r w:rsidR="00157088">
        <w:t>electricity use, driven primarily by</w:t>
      </w:r>
      <w:r w:rsidR="00157088" w:rsidRPr="009320F3">
        <w:t xml:space="preserve"> </w:t>
      </w:r>
      <w:r w:rsidR="00157088">
        <w:t>customer growth forecasts</w:t>
      </w:r>
      <w:r w:rsidR="00157088" w:rsidRPr="009320F3">
        <w:t>.</w:t>
      </w:r>
      <w:r w:rsidR="00157088">
        <w:t xml:space="preserve"> </w:t>
      </w:r>
    </w:p>
    <w:p w:rsidR="00157088" w:rsidRDefault="000721A2" w:rsidP="00837C13">
      <w:pPr>
        <w:pStyle w:val="FigureorTableTitle"/>
      </w:pPr>
      <w:bookmarkStart w:id="344" w:name="_Ref402253775"/>
      <w:bookmarkStart w:id="345" w:name="_Toc341181338"/>
      <w:bookmarkStart w:id="346" w:name="_Toc396755841"/>
      <w:bookmarkStart w:id="347" w:name="_Toc424192793"/>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19</w:t>
      </w:r>
      <w:r w:rsidR="00512CD6">
        <w:rPr>
          <w:bCs w:val="0"/>
          <w:iCs w:val="0"/>
          <w:noProof/>
        </w:rPr>
        <w:fldChar w:fldCharType="end"/>
      </w:r>
      <w:bookmarkEnd w:id="344"/>
      <w:r w:rsidR="00157088">
        <w:tab/>
        <w:t xml:space="preserve">Baseline Projection </w:t>
      </w:r>
      <w:r w:rsidR="00C449BF">
        <w:t xml:space="preserve">Summary </w:t>
      </w:r>
      <w:r w:rsidR="00157088">
        <w:t>(GWh)</w:t>
      </w:r>
      <w:bookmarkEnd w:id="345"/>
      <w:bookmarkEnd w:id="346"/>
      <w:r w:rsidR="00F44FF1">
        <w:t>, WA and ID Combined</w:t>
      </w:r>
      <w:bookmarkEnd w:id="347"/>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1914"/>
        <w:gridCol w:w="1047"/>
        <w:gridCol w:w="1047"/>
        <w:gridCol w:w="1047"/>
        <w:gridCol w:w="1047"/>
        <w:gridCol w:w="1047"/>
        <w:gridCol w:w="1047"/>
        <w:gridCol w:w="1034"/>
      </w:tblGrid>
      <w:tr w:rsidR="00F44FF1" w:rsidRPr="00E06404" w:rsidTr="001A0079">
        <w:tc>
          <w:tcPr>
            <w:tcW w:w="1037" w:type="pct"/>
            <w:shd w:val="clear" w:color="auto" w:fill="1A1D5D"/>
            <w:tcMar>
              <w:top w:w="29" w:type="dxa"/>
              <w:bottom w:w="29" w:type="dxa"/>
            </w:tcMar>
            <w:vAlign w:val="center"/>
          </w:tcPr>
          <w:p w:rsidR="00F44FF1" w:rsidRPr="001E1315" w:rsidRDefault="00F44FF1" w:rsidP="001A0079">
            <w:pPr>
              <w:rPr>
                <w:rFonts w:ascii="Calibri" w:hAnsi="Calibri" w:cs="Calibri"/>
                <w:bCs/>
                <w:color w:val="FFFFFF"/>
                <w:szCs w:val="20"/>
              </w:rPr>
            </w:pPr>
            <w:r w:rsidRPr="001E1315">
              <w:rPr>
                <w:rFonts w:ascii="Calibri" w:hAnsi="Calibri" w:cs="Calibri"/>
                <w:bCs/>
                <w:color w:val="FFFFFF"/>
                <w:szCs w:val="20"/>
              </w:rPr>
              <w:t>Sector</w:t>
            </w:r>
          </w:p>
        </w:tc>
        <w:tc>
          <w:tcPr>
            <w:tcW w:w="567" w:type="pct"/>
            <w:shd w:val="clear" w:color="auto" w:fill="1A1D5D"/>
            <w:tcMar>
              <w:top w:w="29" w:type="dxa"/>
              <w:bottom w:w="29" w:type="dxa"/>
            </w:tcMar>
            <w:vAlign w:val="center"/>
          </w:tcPr>
          <w:p w:rsidR="00F44FF1" w:rsidRPr="001E1315" w:rsidRDefault="00F44FF1" w:rsidP="00534D78">
            <w:pPr>
              <w:jc w:val="center"/>
              <w:rPr>
                <w:rFonts w:ascii="Calibri" w:hAnsi="Calibri" w:cs="Calibri"/>
                <w:bCs/>
                <w:color w:val="FFFFFF"/>
                <w:szCs w:val="20"/>
              </w:rPr>
            </w:pPr>
            <w:r w:rsidRPr="001E1315">
              <w:rPr>
                <w:rFonts w:ascii="Calibri" w:hAnsi="Calibri"/>
                <w:bCs/>
                <w:szCs w:val="20"/>
              </w:rPr>
              <w:t>2013</w:t>
            </w:r>
          </w:p>
        </w:tc>
        <w:tc>
          <w:tcPr>
            <w:tcW w:w="567" w:type="pct"/>
            <w:shd w:val="clear" w:color="auto" w:fill="1A1D5D"/>
            <w:vAlign w:val="center"/>
          </w:tcPr>
          <w:p w:rsidR="00F44FF1" w:rsidRPr="001E1315" w:rsidRDefault="00F44FF1" w:rsidP="00534D78">
            <w:pPr>
              <w:jc w:val="center"/>
              <w:rPr>
                <w:rFonts w:ascii="Calibri" w:hAnsi="Calibri" w:cs="Calibri"/>
                <w:bCs/>
                <w:color w:val="FFFFFF"/>
                <w:szCs w:val="20"/>
              </w:rPr>
            </w:pPr>
            <w:r w:rsidRPr="001E1315">
              <w:rPr>
                <w:rFonts w:ascii="Calibri" w:hAnsi="Calibri"/>
                <w:bCs/>
                <w:szCs w:val="20"/>
              </w:rPr>
              <w:t>201</w:t>
            </w:r>
            <w:r>
              <w:rPr>
                <w:rFonts w:ascii="Calibri" w:hAnsi="Calibri"/>
                <w:bCs/>
                <w:szCs w:val="20"/>
              </w:rPr>
              <w:t>6</w:t>
            </w:r>
          </w:p>
        </w:tc>
        <w:tc>
          <w:tcPr>
            <w:tcW w:w="567" w:type="pct"/>
            <w:shd w:val="clear" w:color="auto" w:fill="1A1D5D"/>
            <w:tcMar>
              <w:top w:w="29" w:type="dxa"/>
              <w:bottom w:w="29" w:type="dxa"/>
            </w:tcMar>
            <w:vAlign w:val="center"/>
          </w:tcPr>
          <w:p w:rsidR="00F44FF1" w:rsidRPr="001E1315" w:rsidRDefault="00F44FF1" w:rsidP="00534D78">
            <w:pPr>
              <w:jc w:val="center"/>
              <w:rPr>
                <w:rFonts w:ascii="Calibri" w:hAnsi="Calibri" w:cs="Calibri"/>
                <w:bCs/>
                <w:color w:val="FFFFFF"/>
                <w:szCs w:val="20"/>
              </w:rPr>
            </w:pPr>
            <w:r w:rsidRPr="001E1315">
              <w:rPr>
                <w:rFonts w:ascii="Calibri" w:hAnsi="Calibri"/>
                <w:bCs/>
                <w:szCs w:val="20"/>
              </w:rPr>
              <w:t>20</w:t>
            </w:r>
            <w:r>
              <w:rPr>
                <w:rFonts w:ascii="Calibri" w:hAnsi="Calibri"/>
                <w:bCs/>
                <w:szCs w:val="20"/>
              </w:rPr>
              <w:t>17</w:t>
            </w:r>
          </w:p>
        </w:tc>
        <w:tc>
          <w:tcPr>
            <w:tcW w:w="567" w:type="pct"/>
            <w:shd w:val="clear" w:color="auto" w:fill="1A1D5D"/>
            <w:tcMar>
              <w:top w:w="29" w:type="dxa"/>
              <w:bottom w:w="29" w:type="dxa"/>
            </w:tcMar>
            <w:vAlign w:val="center"/>
          </w:tcPr>
          <w:p w:rsidR="00F44FF1" w:rsidRPr="001E1315" w:rsidRDefault="00F44FF1" w:rsidP="00534D78">
            <w:pPr>
              <w:jc w:val="center"/>
              <w:rPr>
                <w:rFonts w:ascii="Calibri" w:hAnsi="Calibri" w:cs="Calibri"/>
                <w:bCs/>
                <w:color w:val="FFFFFF"/>
                <w:szCs w:val="20"/>
              </w:rPr>
            </w:pPr>
            <w:r>
              <w:rPr>
                <w:rFonts w:ascii="Calibri" w:hAnsi="Calibri"/>
                <w:bCs/>
                <w:szCs w:val="20"/>
              </w:rPr>
              <w:t>2020</w:t>
            </w:r>
          </w:p>
        </w:tc>
        <w:tc>
          <w:tcPr>
            <w:tcW w:w="567" w:type="pct"/>
            <w:shd w:val="clear" w:color="auto" w:fill="1A1D5D"/>
            <w:tcMar>
              <w:top w:w="29" w:type="dxa"/>
              <w:bottom w:w="29" w:type="dxa"/>
            </w:tcMar>
            <w:vAlign w:val="center"/>
          </w:tcPr>
          <w:p w:rsidR="00F44FF1" w:rsidRPr="001E1315" w:rsidRDefault="00F44FF1" w:rsidP="00534D78">
            <w:pPr>
              <w:jc w:val="center"/>
              <w:rPr>
                <w:rFonts w:ascii="Calibri" w:hAnsi="Calibri" w:cs="Calibri"/>
                <w:bCs/>
                <w:color w:val="FFFFFF"/>
                <w:szCs w:val="20"/>
              </w:rPr>
            </w:pPr>
            <w:r>
              <w:rPr>
                <w:rFonts w:ascii="Calibri" w:hAnsi="Calibri"/>
                <w:bCs/>
                <w:szCs w:val="20"/>
              </w:rPr>
              <w:t>2025</w:t>
            </w:r>
          </w:p>
        </w:tc>
        <w:tc>
          <w:tcPr>
            <w:tcW w:w="567" w:type="pct"/>
            <w:shd w:val="clear" w:color="auto" w:fill="1A1D5D"/>
            <w:vAlign w:val="center"/>
          </w:tcPr>
          <w:p w:rsidR="00F44FF1" w:rsidRPr="001E1315" w:rsidRDefault="00F44FF1" w:rsidP="00534D78">
            <w:pPr>
              <w:jc w:val="center"/>
              <w:rPr>
                <w:rFonts w:ascii="Calibri" w:hAnsi="Calibri" w:cs="Calibri"/>
                <w:bCs/>
                <w:color w:val="FFFFFF"/>
                <w:szCs w:val="20"/>
              </w:rPr>
            </w:pPr>
            <w:r>
              <w:rPr>
                <w:rFonts w:ascii="Calibri" w:hAnsi="Calibri"/>
                <w:bCs/>
                <w:szCs w:val="20"/>
              </w:rPr>
              <w:t>2035</w:t>
            </w:r>
          </w:p>
        </w:tc>
        <w:tc>
          <w:tcPr>
            <w:tcW w:w="560" w:type="pct"/>
            <w:shd w:val="clear" w:color="auto" w:fill="1A1D5D"/>
            <w:tcMar>
              <w:top w:w="29" w:type="dxa"/>
              <w:bottom w:w="29" w:type="dxa"/>
            </w:tcMar>
            <w:vAlign w:val="center"/>
          </w:tcPr>
          <w:p w:rsidR="00F44FF1" w:rsidRPr="001E1315" w:rsidRDefault="00F44FF1" w:rsidP="001A0079">
            <w:pPr>
              <w:jc w:val="right"/>
              <w:rPr>
                <w:rFonts w:ascii="Calibri" w:hAnsi="Calibri"/>
                <w:bCs/>
                <w:color w:val="FFFFFF"/>
                <w:szCs w:val="20"/>
              </w:rPr>
            </w:pPr>
            <w:r w:rsidRPr="001E1315">
              <w:rPr>
                <w:rFonts w:ascii="Calibri" w:hAnsi="Calibri"/>
                <w:bCs/>
                <w:szCs w:val="20"/>
              </w:rPr>
              <w:t>% Change</w:t>
            </w:r>
            <w:r w:rsidRPr="001E1315">
              <w:rPr>
                <w:rFonts w:ascii="Calibri" w:hAnsi="Calibri"/>
                <w:bCs/>
                <w:szCs w:val="20"/>
              </w:rPr>
              <w:br/>
              <w:t>('13-'3</w:t>
            </w:r>
            <w:r>
              <w:rPr>
                <w:rFonts w:ascii="Calibri" w:hAnsi="Calibri"/>
                <w:bCs/>
                <w:szCs w:val="20"/>
              </w:rPr>
              <w:t>5</w:t>
            </w:r>
            <w:r w:rsidRPr="001E1315">
              <w:rPr>
                <w:rFonts w:ascii="Calibri" w:hAnsi="Calibri"/>
                <w:bCs/>
                <w:szCs w:val="20"/>
              </w:rPr>
              <w:t>)</w:t>
            </w:r>
          </w:p>
        </w:tc>
      </w:tr>
      <w:tr w:rsidR="00F44FF1" w:rsidRPr="00E06404" w:rsidTr="001A0079">
        <w:tc>
          <w:tcPr>
            <w:tcW w:w="1037" w:type="pct"/>
            <w:tcMar>
              <w:top w:w="29" w:type="dxa"/>
              <w:bottom w:w="29" w:type="dxa"/>
            </w:tcMar>
            <w:vAlign w:val="center"/>
          </w:tcPr>
          <w:p w:rsidR="00F44FF1" w:rsidRPr="00E06404" w:rsidRDefault="00F44FF1" w:rsidP="001A0079">
            <w:pPr>
              <w:rPr>
                <w:rFonts w:ascii="Calibri" w:hAnsi="Calibri" w:cs="Calibri"/>
                <w:color w:val="000000"/>
                <w:szCs w:val="20"/>
              </w:rPr>
            </w:pPr>
            <w:r w:rsidRPr="00E06404">
              <w:rPr>
                <w:rFonts w:ascii="Calibri" w:hAnsi="Calibri" w:cs="Calibri"/>
                <w:color w:val="000000"/>
                <w:szCs w:val="20"/>
              </w:rPr>
              <w:t>Residential</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3,753</w:t>
            </w:r>
          </w:p>
        </w:tc>
        <w:tc>
          <w:tcPr>
            <w:tcW w:w="567" w:type="pct"/>
            <w:shd w:val="clear" w:color="auto" w:fill="E5ECF1"/>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3,703</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3,703</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3,711</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3,761</w:t>
            </w:r>
          </w:p>
        </w:tc>
        <w:tc>
          <w:tcPr>
            <w:tcW w:w="567" w:type="pct"/>
            <w:shd w:val="clear" w:color="auto" w:fill="E5ECF1"/>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4,136</w:t>
            </w:r>
          </w:p>
        </w:tc>
        <w:tc>
          <w:tcPr>
            <w:tcW w:w="560"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10.2%</w:t>
            </w:r>
          </w:p>
        </w:tc>
      </w:tr>
      <w:tr w:rsidR="00F44FF1" w:rsidRPr="00E06404" w:rsidTr="001A0079">
        <w:tc>
          <w:tcPr>
            <w:tcW w:w="1037" w:type="pct"/>
            <w:tcMar>
              <w:top w:w="29" w:type="dxa"/>
              <w:bottom w:w="29" w:type="dxa"/>
            </w:tcMar>
            <w:vAlign w:val="center"/>
          </w:tcPr>
          <w:p w:rsidR="00F44FF1" w:rsidRPr="00E06404" w:rsidRDefault="00F44FF1" w:rsidP="001A0079">
            <w:pPr>
              <w:rPr>
                <w:rFonts w:ascii="Calibri" w:hAnsi="Calibri" w:cs="Calibri"/>
                <w:color w:val="000000"/>
                <w:szCs w:val="20"/>
              </w:rPr>
            </w:pPr>
            <w:r w:rsidRPr="00E06404">
              <w:rPr>
                <w:rFonts w:ascii="Calibri" w:hAnsi="Calibri" w:cs="Calibri"/>
                <w:color w:val="000000"/>
                <w:szCs w:val="20"/>
              </w:rPr>
              <w:t>Commercial</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3,062</w:t>
            </w:r>
          </w:p>
        </w:tc>
        <w:tc>
          <w:tcPr>
            <w:tcW w:w="567" w:type="pct"/>
            <w:shd w:val="clear" w:color="auto" w:fill="E5ECF1"/>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2,976</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2,981</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3,013</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3,089</w:t>
            </w:r>
          </w:p>
        </w:tc>
        <w:tc>
          <w:tcPr>
            <w:tcW w:w="567" w:type="pct"/>
            <w:shd w:val="clear" w:color="auto" w:fill="E5ECF1"/>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3,346</w:t>
            </w:r>
          </w:p>
        </w:tc>
        <w:tc>
          <w:tcPr>
            <w:tcW w:w="560"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9.3%</w:t>
            </w:r>
          </w:p>
        </w:tc>
      </w:tr>
      <w:tr w:rsidR="00F44FF1" w:rsidRPr="00E06404" w:rsidTr="001A0079">
        <w:tc>
          <w:tcPr>
            <w:tcW w:w="1037" w:type="pct"/>
            <w:tcMar>
              <w:top w:w="29" w:type="dxa"/>
              <w:bottom w:w="29" w:type="dxa"/>
            </w:tcMar>
            <w:vAlign w:val="center"/>
          </w:tcPr>
          <w:p w:rsidR="00F44FF1" w:rsidRPr="00E06404" w:rsidRDefault="00F44FF1" w:rsidP="001A0079">
            <w:pPr>
              <w:rPr>
                <w:rFonts w:ascii="Calibri" w:hAnsi="Calibri" w:cs="Calibri"/>
                <w:color w:val="000000"/>
                <w:szCs w:val="20"/>
              </w:rPr>
            </w:pPr>
            <w:r w:rsidRPr="00E06404">
              <w:rPr>
                <w:rFonts w:ascii="Calibri" w:hAnsi="Calibri" w:cs="Calibri"/>
                <w:color w:val="000000"/>
                <w:szCs w:val="20"/>
              </w:rPr>
              <w:t>Industrial</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1,265</w:t>
            </w:r>
          </w:p>
        </w:tc>
        <w:tc>
          <w:tcPr>
            <w:tcW w:w="567" w:type="pct"/>
            <w:shd w:val="clear" w:color="auto" w:fill="E5ECF1"/>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1,356</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1,370</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1,404</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1,458</w:t>
            </w:r>
          </w:p>
        </w:tc>
        <w:tc>
          <w:tcPr>
            <w:tcW w:w="567" w:type="pct"/>
            <w:shd w:val="clear" w:color="auto" w:fill="E5ECF1"/>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1,575</w:t>
            </w:r>
          </w:p>
        </w:tc>
        <w:tc>
          <w:tcPr>
            <w:tcW w:w="560" w:type="pct"/>
            <w:shd w:val="clear" w:color="auto" w:fill="E5ECF1"/>
            <w:tcMar>
              <w:top w:w="29" w:type="dxa"/>
              <w:bottom w:w="29" w:type="dxa"/>
            </w:tcMar>
            <w:vAlign w:val="center"/>
          </w:tcPr>
          <w:p w:rsidR="00F44FF1" w:rsidRPr="00F44FF1" w:rsidRDefault="00F44FF1" w:rsidP="001A0079">
            <w:pPr>
              <w:ind w:right="144"/>
              <w:jc w:val="right"/>
              <w:rPr>
                <w:rFonts w:ascii="Calibri" w:hAnsi="Calibri"/>
                <w:color w:val="000000"/>
                <w:szCs w:val="22"/>
              </w:rPr>
            </w:pPr>
            <w:r w:rsidRPr="00F44FF1">
              <w:rPr>
                <w:rFonts w:ascii="Calibri" w:hAnsi="Calibri"/>
                <w:color w:val="000000"/>
                <w:szCs w:val="22"/>
              </w:rPr>
              <w:t>24.5%</w:t>
            </w:r>
          </w:p>
        </w:tc>
      </w:tr>
      <w:tr w:rsidR="00F44FF1" w:rsidRPr="00E06404" w:rsidTr="001A0079">
        <w:trPr>
          <w:trHeight w:val="274"/>
        </w:trPr>
        <w:tc>
          <w:tcPr>
            <w:tcW w:w="1037" w:type="pct"/>
            <w:tcMar>
              <w:top w:w="29" w:type="dxa"/>
              <w:bottom w:w="29" w:type="dxa"/>
            </w:tcMar>
            <w:vAlign w:val="center"/>
          </w:tcPr>
          <w:p w:rsidR="00F44FF1" w:rsidRPr="00E06404" w:rsidRDefault="00F44FF1" w:rsidP="001A0079">
            <w:pPr>
              <w:rPr>
                <w:rFonts w:ascii="Calibri" w:hAnsi="Calibri" w:cs="Calibri"/>
                <w:b/>
                <w:bCs/>
                <w:color w:val="000000"/>
                <w:szCs w:val="20"/>
              </w:rPr>
            </w:pPr>
            <w:r w:rsidRPr="00E06404">
              <w:rPr>
                <w:rFonts w:ascii="Calibri" w:hAnsi="Calibri" w:cs="Calibri"/>
                <w:b/>
                <w:bCs/>
                <w:color w:val="000000"/>
                <w:szCs w:val="20"/>
              </w:rPr>
              <w:t>Total</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b/>
                <w:color w:val="000000"/>
                <w:szCs w:val="22"/>
              </w:rPr>
            </w:pPr>
            <w:r w:rsidRPr="00F44FF1">
              <w:rPr>
                <w:rFonts w:ascii="Calibri" w:hAnsi="Calibri"/>
                <w:b/>
                <w:color w:val="000000"/>
                <w:szCs w:val="22"/>
              </w:rPr>
              <w:t>8,081</w:t>
            </w:r>
          </w:p>
        </w:tc>
        <w:tc>
          <w:tcPr>
            <w:tcW w:w="567" w:type="pct"/>
            <w:shd w:val="clear" w:color="auto" w:fill="E5ECF1"/>
            <w:vAlign w:val="center"/>
          </w:tcPr>
          <w:p w:rsidR="00F44FF1" w:rsidRPr="00F44FF1" w:rsidRDefault="00F44FF1" w:rsidP="001A0079">
            <w:pPr>
              <w:ind w:right="144"/>
              <w:jc w:val="right"/>
              <w:rPr>
                <w:rFonts w:ascii="Calibri" w:hAnsi="Calibri"/>
                <w:b/>
                <w:color w:val="000000"/>
                <w:szCs w:val="22"/>
              </w:rPr>
            </w:pPr>
            <w:r w:rsidRPr="00F44FF1">
              <w:rPr>
                <w:rFonts w:ascii="Calibri" w:hAnsi="Calibri"/>
                <w:b/>
                <w:color w:val="000000"/>
                <w:szCs w:val="22"/>
              </w:rPr>
              <w:t>8,035</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b/>
                <w:color w:val="000000"/>
                <w:szCs w:val="22"/>
              </w:rPr>
            </w:pPr>
            <w:r w:rsidRPr="00F44FF1">
              <w:rPr>
                <w:rFonts w:ascii="Calibri" w:hAnsi="Calibri"/>
                <w:b/>
                <w:color w:val="000000"/>
                <w:szCs w:val="22"/>
              </w:rPr>
              <w:t>8,054</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b/>
                <w:color w:val="000000"/>
                <w:szCs w:val="22"/>
              </w:rPr>
            </w:pPr>
            <w:r w:rsidRPr="00F44FF1">
              <w:rPr>
                <w:rFonts w:ascii="Calibri" w:hAnsi="Calibri"/>
                <w:b/>
                <w:color w:val="000000"/>
                <w:szCs w:val="22"/>
              </w:rPr>
              <w:t>8,128</w:t>
            </w:r>
          </w:p>
        </w:tc>
        <w:tc>
          <w:tcPr>
            <w:tcW w:w="567" w:type="pct"/>
            <w:shd w:val="clear" w:color="auto" w:fill="E5ECF1"/>
            <w:tcMar>
              <w:top w:w="29" w:type="dxa"/>
              <w:bottom w:w="29" w:type="dxa"/>
            </w:tcMar>
            <w:vAlign w:val="center"/>
          </w:tcPr>
          <w:p w:rsidR="00F44FF1" w:rsidRPr="00F44FF1" w:rsidRDefault="00F44FF1" w:rsidP="001A0079">
            <w:pPr>
              <w:ind w:right="144"/>
              <w:jc w:val="right"/>
              <w:rPr>
                <w:rFonts w:ascii="Calibri" w:hAnsi="Calibri"/>
                <w:b/>
                <w:color w:val="000000"/>
                <w:szCs w:val="22"/>
              </w:rPr>
            </w:pPr>
            <w:r w:rsidRPr="00F44FF1">
              <w:rPr>
                <w:rFonts w:ascii="Calibri" w:hAnsi="Calibri"/>
                <w:b/>
                <w:color w:val="000000"/>
                <w:szCs w:val="22"/>
              </w:rPr>
              <w:t>8,308</w:t>
            </w:r>
          </w:p>
        </w:tc>
        <w:tc>
          <w:tcPr>
            <w:tcW w:w="567" w:type="pct"/>
            <w:shd w:val="clear" w:color="auto" w:fill="E5ECF1"/>
            <w:vAlign w:val="center"/>
          </w:tcPr>
          <w:p w:rsidR="00F44FF1" w:rsidRPr="00F44FF1" w:rsidRDefault="00F44FF1" w:rsidP="001A0079">
            <w:pPr>
              <w:ind w:right="144"/>
              <w:jc w:val="right"/>
              <w:rPr>
                <w:rFonts w:ascii="Calibri" w:hAnsi="Calibri"/>
                <w:b/>
                <w:color w:val="000000"/>
                <w:szCs w:val="22"/>
              </w:rPr>
            </w:pPr>
            <w:r w:rsidRPr="00F44FF1">
              <w:rPr>
                <w:rFonts w:ascii="Calibri" w:hAnsi="Calibri"/>
                <w:b/>
                <w:color w:val="000000"/>
                <w:szCs w:val="22"/>
              </w:rPr>
              <w:t>9,057</w:t>
            </w:r>
          </w:p>
        </w:tc>
        <w:tc>
          <w:tcPr>
            <w:tcW w:w="560" w:type="pct"/>
            <w:shd w:val="clear" w:color="auto" w:fill="E5ECF1"/>
            <w:tcMar>
              <w:top w:w="29" w:type="dxa"/>
              <w:bottom w:w="29" w:type="dxa"/>
            </w:tcMar>
            <w:vAlign w:val="center"/>
          </w:tcPr>
          <w:p w:rsidR="00F44FF1" w:rsidRPr="00F44FF1" w:rsidRDefault="00F44FF1" w:rsidP="001A0079">
            <w:pPr>
              <w:ind w:right="144"/>
              <w:jc w:val="right"/>
              <w:rPr>
                <w:rFonts w:ascii="Calibri" w:hAnsi="Calibri"/>
                <w:b/>
                <w:color w:val="000000"/>
                <w:szCs w:val="22"/>
              </w:rPr>
            </w:pPr>
            <w:r w:rsidRPr="00F44FF1">
              <w:rPr>
                <w:rFonts w:ascii="Calibri" w:hAnsi="Calibri"/>
                <w:b/>
                <w:color w:val="000000"/>
                <w:szCs w:val="22"/>
              </w:rPr>
              <w:t>12.1%</w:t>
            </w:r>
          </w:p>
        </w:tc>
      </w:tr>
    </w:tbl>
    <w:p w:rsidR="00D910EB" w:rsidRDefault="00D910EB" w:rsidP="00D910EB">
      <w:pPr>
        <w:pStyle w:val="BodyText"/>
      </w:pPr>
      <w:bookmarkStart w:id="348" w:name="_Ref343189312"/>
      <w:bookmarkStart w:id="349" w:name="_Ref387951817"/>
      <w:bookmarkStart w:id="350" w:name="_Toc387951600"/>
    </w:p>
    <w:p w:rsidR="00157088" w:rsidRDefault="00157088" w:rsidP="00837C13">
      <w:pPr>
        <w:pStyle w:val="FigureorTableTitle"/>
      </w:pPr>
      <w:bookmarkStart w:id="351" w:name="_Ref401482549"/>
      <w:bookmarkStart w:id="352" w:name="_Toc424192732"/>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21</w:t>
      </w:r>
      <w:r w:rsidR="00512CD6">
        <w:rPr>
          <w:noProof/>
          <w:szCs w:val="18"/>
        </w:rPr>
        <w:fldChar w:fldCharType="end"/>
      </w:r>
      <w:bookmarkEnd w:id="348"/>
      <w:bookmarkEnd w:id="349"/>
      <w:bookmarkEnd w:id="351"/>
      <w:r>
        <w:rPr>
          <w:szCs w:val="18"/>
        </w:rPr>
        <w:tab/>
      </w:r>
      <w:r>
        <w:t>Baseline Projection Summary (GWh)</w:t>
      </w:r>
      <w:bookmarkEnd w:id="350"/>
      <w:r w:rsidR="00D67AA5">
        <w:t>, WA and ID Combined</w:t>
      </w:r>
      <w:bookmarkEnd w:id="352"/>
    </w:p>
    <w:p w:rsidR="00C449BF" w:rsidRDefault="002E1393" w:rsidP="002E1393">
      <w:pPr>
        <w:pStyle w:val="BodyText"/>
        <w:jc w:val="center"/>
      </w:pPr>
      <w:r w:rsidRPr="002E1393">
        <w:rPr>
          <w:noProof/>
        </w:rPr>
        <w:drawing>
          <wp:inline distT="0" distB="0" distL="0" distR="0">
            <wp:extent cx="6085840" cy="3418782"/>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925" t="822" r="596" b="912"/>
                    <a:stretch/>
                  </pic:blipFill>
                  <pic:spPr bwMode="auto">
                    <a:xfrm>
                      <a:off x="0" y="0"/>
                      <a:ext cx="6092259" cy="3422388"/>
                    </a:xfrm>
                    <a:prstGeom prst="rect">
                      <a:avLst/>
                    </a:prstGeom>
                    <a:noFill/>
                    <a:ln>
                      <a:noFill/>
                    </a:ln>
                    <a:extLst>
                      <a:ext uri="{53640926-AAD7-44D8-BBD7-CCE9431645EC}">
                        <a14:shadowObscured xmlns:a14="http://schemas.microsoft.com/office/drawing/2010/main"/>
                      </a:ext>
                    </a:extLst>
                  </pic:spPr>
                </pic:pic>
              </a:graphicData>
            </a:graphic>
          </wp:inline>
        </w:drawing>
      </w:r>
    </w:p>
    <w:p w:rsidR="001E1315" w:rsidRDefault="001E1315" w:rsidP="002E1393">
      <w:pPr>
        <w:rPr>
          <w:spacing w:val="4"/>
          <w:szCs w:val="18"/>
        </w:rPr>
      </w:pPr>
      <w:r>
        <w:br w:type="page"/>
      </w:r>
    </w:p>
    <w:p w:rsidR="001E1315" w:rsidRDefault="001E1315" w:rsidP="00BD0E72">
      <w:pPr>
        <w:pStyle w:val="Heading3"/>
      </w:pPr>
      <w:bookmarkStart w:id="353" w:name="_Toc424192639"/>
      <w:r>
        <w:lastRenderedPageBreak/>
        <w:t>Summer Peak Demand Projection</w:t>
      </w:r>
      <w:bookmarkEnd w:id="353"/>
    </w:p>
    <w:p w:rsidR="00C449BF" w:rsidRPr="004F1749" w:rsidRDefault="00893E3D" w:rsidP="00C449BF">
      <w:pPr>
        <w:pStyle w:val="BodyText"/>
      </w:pPr>
      <w:r>
        <w:fldChar w:fldCharType="begin"/>
      </w:r>
      <w:r w:rsidR="00273F88">
        <w:instrText xml:space="preserve"> REF _Ref402253803 \h </w:instrText>
      </w:r>
      <w:r>
        <w:fldChar w:fldCharType="separate"/>
      </w:r>
      <w:r w:rsidR="00B2652C" w:rsidRPr="00535EB3">
        <w:t xml:space="preserve">Table </w:t>
      </w:r>
      <w:r w:rsidR="00B2652C" w:rsidRPr="00B2652C">
        <w:rPr>
          <w:noProof/>
        </w:rPr>
        <w:t>4</w:t>
      </w:r>
      <w:r w:rsidR="00B2652C" w:rsidRPr="00535EB3">
        <w:t>-</w:t>
      </w:r>
      <w:r w:rsidR="00B2652C" w:rsidRPr="00B2652C">
        <w:rPr>
          <w:noProof/>
        </w:rPr>
        <w:t>20</w:t>
      </w:r>
      <w:r>
        <w:fldChar w:fldCharType="end"/>
      </w:r>
      <w:r w:rsidR="00D910EB" w:rsidRPr="008914C7">
        <w:t xml:space="preserve"> and </w:t>
      </w:r>
      <w:r>
        <w:fldChar w:fldCharType="begin"/>
      </w:r>
      <w:r w:rsidR="00E35832">
        <w:instrText xml:space="preserve"> REF _Ref401400418 \h </w:instrText>
      </w:r>
      <w:r>
        <w:fldChar w:fldCharType="separate"/>
      </w:r>
      <w:r w:rsidR="00B2652C" w:rsidRPr="00E07587">
        <w:t xml:space="preserve">Figure </w:t>
      </w:r>
      <w:r w:rsidR="00B2652C" w:rsidRPr="00B2652C">
        <w:rPr>
          <w:noProof/>
        </w:rPr>
        <w:t>4</w:t>
      </w:r>
      <w:r w:rsidR="00B2652C" w:rsidRPr="00E07587">
        <w:t>-</w:t>
      </w:r>
      <w:r w:rsidR="00B2652C" w:rsidRPr="00B2652C">
        <w:rPr>
          <w:noProof/>
        </w:rPr>
        <w:t>22</w:t>
      </w:r>
      <w:r>
        <w:fldChar w:fldCharType="end"/>
      </w:r>
      <w:r w:rsidR="00D910EB" w:rsidRPr="008914C7">
        <w:t xml:space="preserve"> </w:t>
      </w:r>
      <w:r w:rsidR="00C449BF" w:rsidRPr="008914C7">
        <w:t xml:space="preserve">provide a summary of the baseline projection for </w:t>
      </w:r>
      <w:r w:rsidR="001E1315" w:rsidRPr="008914C7">
        <w:t>summer peak demand. Overall,</w:t>
      </w:r>
      <w:r w:rsidR="008914C7" w:rsidRPr="008914C7">
        <w:t xml:space="preserve"> the </w:t>
      </w:r>
      <w:r w:rsidR="00F46235">
        <w:t>projection</w:t>
      </w:r>
      <w:r w:rsidR="008914C7" w:rsidRPr="008914C7">
        <w:t xml:space="preserve"> </w:t>
      </w:r>
      <w:r w:rsidR="00BB37F4">
        <w:t>shows steady growth</w:t>
      </w:r>
      <w:r w:rsidR="008914C7" w:rsidRPr="008914C7">
        <w:t xml:space="preserve">. </w:t>
      </w:r>
    </w:p>
    <w:p w:rsidR="00C449BF" w:rsidRDefault="00273F88" w:rsidP="008115B5">
      <w:pPr>
        <w:pStyle w:val="FigureorTableTitle"/>
      </w:pPr>
      <w:bookmarkStart w:id="354" w:name="_Ref402253803"/>
      <w:bookmarkStart w:id="355" w:name="_Ref401400365"/>
      <w:bookmarkStart w:id="356" w:name="_Toc424192794"/>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w:instrText>
      </w:r>
      <w:r w:rsidR="00512CD6">
        <w:instrText xml:space="preserve">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20</w:t>
      </w:r>
      <w:r w:rsidR="00512CD6">
        <w:rPr>
          <w:bCs w:val="0"/>
          <w:iCs w:val="0"/>
          <w:noProof/>
        </w:rPr>
        <w:fldChar w:fldCharType="end"/>
      </w:r>
      <w:bookmarkEnd w:id="354"/>
      <w:r w:rsidR="00C449BF">
        <w:tab/>
        <w:t>Baseline Summer Peak Projection Summary (MW)</w:t>
      </w:r>
      <w:bookmarkEnd w:id="355"/>
      <w:r w:rsidR="00F44FF1">
        <w:t>, WA and ID Combined</w:t>
      </w:r>
      <w:bookmarkEnd w:id="356"/>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1868"/>
        <w:gridCol w:w="1020"/>
        <w:gridCol w:w="1020"/>
        <w:gridCol w:w="1020"/>
        <w:gridCol w:w="1020"/>
        <w:gridCol w:w="1020"/>
        <w:gridCol w:w="1020"/>
        <w:gridCol w:w="1022"/>
      </w:tblGrid>
      <w:tr w:rsidR="00C449BF" w:rsidRPr="00E06404" w:rsidTr="001A0079">
        <w:tc>
          <w:tcPr>
            <w:tcW w:w="1036" w:type="pct"/>
            <w:shd w:val="clear" w:color="auto" w:fill="1A1D5D"/>
            <w:tcMar>
              <w:top w:w="29" w:type="dxa"/>
              <w:bottom w:w="29" w:type="dxa"/>
            </w:tcMar>
            <w:vAlign w:val="center"/>
          </w:tcPr>
          <w:p w:rsidR="00C449BF" w:rsidRPr="001E1315" w:rsidRDefault="00C449BF" w:rsidP="00D910EB">
            <w:pPr>
              <w:jc w:val="center"/>
              <w:rPr>
                <w:rFonts w:ascii="Calibri" w:hAnsi="Calibri" w:cs="Calibri"/>
                <w:bCs/>
                <w:color w:val="FFFFFF"/>
                <w:szCs w:val="20"/>
              </w:rPr>
            </w:pPr>
            <w:r w:rsidRPr="001E1315">
              <w:rPr>
                <w:rFonts w:ascii="Calibri" w:hAnsi="Calibri" w:cs="Calibri"/>
                <w:bCs/>
                <w:color w:val="FFFFFF"/>
                <w:szCs w:val="20"/>
              </w:rPr>
              <w:t>Sector</w:t>
            </w:r>
          </w:p>
        </w:tc>
        <w:tc>
          <w:tcPr>
            <w:tcW w:w="566" w:type="pct"/>
            <w:shd w:val="clear" w:color="auto" w:fill="1A1D5D"/>
            <w:tcMar>
              <w:top w:w="29" w:type="dxa"/>
              <w:bottom w:w="29" w:type="dxa"/>
            </w:tcMar>
            <w:vAlign w:val="center"/>
          </w:tcPr>
          <w:p w:rsidR="00C449BF" w:rsidRPr="001E1315" w:rsidRDefault="00C449BF" w:rsidP="00D910EB">
            <w:pPr>
              <w:jc w:val="center"/>
              <w:rPr>
                <w:rFonts w:ascii="Calibri" w:hAnsi="Calibri" w:cs="Calibri"/>
                <w:bCs/>
                <w:color w:val="FFFFFF"/>
                <w:szCs w:val="20"/>
              </w:rPr>
            </w:pPr>
            <w:r w:rsidRPr="001E1315">
              <w:rPr>
                <w:rFonts w:ascii="Calibri" w:hAnsi="Calibri"/>
                <w:bCs/>
                <w:szCs w:val="20"/>
              </w:rPr>
              <w:t>2013</w:t>
            </w:r>
          </w:p>
        </w:tc>
        <w:tc>
          <w:tcPr>
            <w:tcW w:w="566" w:type="pct"/>
            <w:shd w:val="clear" w:color="auto" w:fill="1A1D5D"/>
            <w:vAlign w:val="center"/>
          </w:tcPr>
          <w:p w:rsidR="00C449BF" w:rsidRPr="001E1315" w:rsidRDefault="00C449BF" w:rsidP="00F44FF1">
            <w:pPr>
              <w:jc w:val="center"/>
              <w:rPr>
                <w:rFonts w:ascii="Calibri" w:hAnsi="Calibri" w:cs="Calibri"/>
                <w:bCs/>
                <w:color w:val="FFFFFF"/>
                <w:szCs w:val="20"/>
              </w:rPr>
            </w:pPr>
            <w:r w:rsidRPr="001E1315">
              <w:rPr>
                <w:rFonts w:ascii="Calibri" w:hAnsi="Calibri"/>
                <w:bCs/>
                <w:szCs w:val="20"/>
              </w:rPr>
              <w:t>201</w:t>
            </w:r>
            <w:r w:rsidR="00F44FF1">
              <w:rPr>
                <w:rFonts w:ascii="Calibri" w:hAnsi="Calibri"/>
                <w:bCs/>
                <w:szCs w:val="20"/>
              </w:rPr>
              <w:t>6</w:t>
            </w:r>
          </w:p>
        </w:tc>
        <w:tc>
          <w:tcPr>
            <w:tcW w:w="566" w:type="pct"/>
            <w:shd w:val="clear" w:color="auto" w:fill="1A1D5D"/>
            <w:tcMar>
              <w:top w:w="29" w:type="dxa"/>
              <w:bottom w:w="29" w:type="dxa"/>
            </w:tcMar>
            <w:vAlign w:val="center"/>
          </w:tcPr>
          <w:p w:rsidR="00C449BF" w:rsidRPr="001E1315" w:rsidRDefault="008858ED" w:rsidP="00F44FF1">
            <w:pPr>
              <w:jc w:val="center"/>
              <w:rPr>
                <w:rFonts w:ascii="Calibri" w:hAnsi="Calibri" w:cs="Calibri"/>
                <w:bCs/>
                <w:color w:val="FFFFFF"/>
                <w:szCs w:val="20"/>
              </w:rPr>
            </w:pPr>
            <w:r>
              <w:rPr>
                <w:rFonts w:ascii="Calibri" w:hAnsi="Calibri"/>
                <w:bCs/>
                <w:szCs w:val="20"/>
              </w:rPr>
              <w:t>201</w:t>
            </w:r>
            <w:r w:rsidR="00F44FF1">
              <w:rPr>
                <w:rFonts w:ascii="Calibri" w:hAnsi="Calibri"/>
                <w:bCs/>
                <w:szCs w:val="20"/>
              </w:rPr>
              <w:t>7</w:t>
            </w:r>
          </w:p>
        </w:tc>
        <w:tc>
          <w:tcPr>
            <w:tcW w:w="566" w:type="pct"/>
            <w:shd w:val="clear" w:color="auto" w:fill="1A1D5D"/>
            <w:tcMar>
              <w:top w:w="29" w:type="dxa"/>
              <w:bottom w:w="29" w:type="dxa"/>
            </w:tcMar>
            <w:vAlign w:val="center"/>
          </w:tcPr>
          <w:p w:rsidR="00C449BF" w:rsidRPr="001E1315" w:rsidRDefault="00C449BF" w:rsidP="00F44FF1">
            <w:pPr>
              <w:jc w:val="center"/>
              <w:rPr>
                <w:rFonts w:ascii="Calibri" w:hAnsi="Calibri" w:cs="Calibri"/>
                <w:bCs/>
                <w:color w:val="FFFFFF"/>
                <w:szCs w:val="20"/>
              </w:rPr>
            </w:pPr>
            <w:r w:rsidRPr="001E1315">
              <w:rPr>
                <w:rFonts w:ascii="Calibri" w:hAnsi="Calibri"/>
                <w:bCs/>
                <w:szCs w:val="20"/>
              </w:rPr>
              <w:t>202</w:t>
            </w:r>
            <w:r w:rsidR="00F44FF1">
              <w:rPr>
                <w:rFonts w:ascii="Calibri" w:hAnsi="Calibri"/>
                <w:bCs/>
                <w:szCs w:val="20"/>
              </w:rPr>
              <w:t>0</w:t>
            </w:r>
          </w:p>
        </w:tc>
        <w:tc>
          <w:tcPr>
            <w:tcW w:w="566" w:type="pct"/>
            <w:shd w:val="clear" w:color="auto" w:fill="1A1D5D"/>
            <w:tcMar>
              <w:top w:w="29" w:type="dxa"/>
              <w:bottom w:w="29" w:type="dxa"/>
            </w:tcMar>
            <w:vAlign w:val="center"/>
          </w:tcPr>
          <w:p w:rsidR="00C449BF" w:rsidRPr="001E1315" w:rsidRDefault="00C449BF" w:rsidP="00F44FF1">
            <w:pPr>
              <w:jc w:val="center"/>
              <w:rPr>
                <w:rFonts w:ascii="Calibri" w:hAnsi="Calibri" w:cs="Calibri"/>
                <w:bCs/>
                <w:color w:val="FFFFFF"/>
                <w:szCs w:val="20"/>
              </w:rPr>
            </w:pPr>
            <w:r w:rsidRPr="001E1315">
              <w:rPr>
                <w:rFonts w:ascii="Calibri" w:hAnsi="Calibri"/>
                <w:bCs/>
                <w:szCs w:val="20"/>
              </w:rPr>
              <w:t>20</w:t>
            </w:r>
            <w:r w:rsidR="008858ED">
              <w:rPr>
                <w:rFonts w:ascii="Calibri" w:hAnsi="Calibri"/>
                <w:bCs/>
                <w:szCs w:val="20"/>
              </w:rPr>
              <w:t>2</w:t>
            </w:r>
            <w:r w:rsidR="00F44FF1">
              <w:rPr>
                <w:rFonts w:ascii="Calibri" w:hAnsi="Calibri"/>
                <w:bCs/>
                <w:szCs w:val="20"/>
              </w:rPr>
              <w:t>5</w:t>
            </w:r>
          </w:p>
        </w:tc>
        <w:tc>
          <w:tcPr>
            <w:tcW w:w="566" w:type="pct"/>
            <w:shd w:val="clear" w:color="auto" w:fill="1A1D5D"/>
            <w:vAlign w:val="center"/>
          </w:tcPr>
          <w:p w:rsidR="00C449BF" w:rsidRPr="001E1315" w:rsidRDefault="008858ED" w:rsidP="00F44FF1">
            <w:pPr>
              <w:jc w:val="center"/>
              <w:rPr>
                <w:rFonts w:ascii="Calibri" w:hAnsi="Calibri" w:cs="Calibri"/>
                <w:bCs/>
                <w:color w:val="FFFFFF"/>
                <w:szCs w:val="20"/>
              </w:rPr>
            </w:pPr>
            <w:r>
              <w:rPr>
                <w:rFonts w:ascii="Calibri" w:hAnsi="Calibri"/>
                <w:bCs/>
                <w:szCs w:val="20"/>
              </w:rPr>
              <w:t>203</w:t>
            </w:r>
            <w:r w:rsidR="00F44FF1">
              <w:rPr>
                <w:rFonts w:ascii="Calibri" w:hAnsi="Calibri"/>
                <w:bCs/>
                <w:szCs w:val="20"/>
              </w:rPr>
              <w:t>5</w:t>
            </w:r>
          </w:p>
        </w:tc>
        <w:tc>
          <w:tcPr>
            <w:tcW w:w="567" w:type="pct"/>
            <w:shd w:val="clear" w:color="auto" w:fill="1A1D5D"/>
            <w:tcMar>
              <w:top w:w="29" w:type="dxa"/>
              <w:bottom w:w="29" w:type="dxa"/>
            </w:tcMar>
            <w:vAlign w:val="center"/>
          </w:tcPr>
          <w:p w:rsidR="00C449BF" w:rsidRPr="001E1315" w:rsidRDefault="00C449BF" w:rsidP="00F44FF1">
            <w:pPr>
              <w:jc w:val="center"/>
              <w:rPr>
                <w:rFonts w:ascii="Calibri" w:hAnsi="Calibri"/>
                <w:bCs/>
                <w:color w:val="FFFFFF"/>
                <w:szCs w:val="20"/>
              </w:rPr>
            </w:pPr>
            <w:r w:rsidRPr="001E1315">
              <w:rPr>
                <w:rFonts w:ascii="Calibri" w:hAnsi="Calibri"/>
                <w:bCs/>
                <w:szCs w:val="20"/>
              </w:rPr>
              <w:t>% Change</w:t>
            </w:r>
            <w:r w:rsidRPr="001E1315">
              <w:rPr>
                <w:rFonts w:ascii="Calibri" w:hAnsi="Calibri"/>
                <w:bCs/>
                <w:szCs w:val="20"/>
              </w:rPr>
              <w:br/>
              <w:t>('13-'3</w:t>
            </w:r>
            <w:r w:rsidR="00F44FF1">
              <w:rPr>
                <w:rFonts w:ascii="Calibri" w:hAnsi="Calibri"/>
                <w:bCs/>
                <w:szCs w:val="20"/>
              </w:rPr>
              <w:t>5</w:t>
            </w:r>
            <w:r w:rsidRPr="001E1315">
              <w:rPr>
                <w:rFonts w:ascii="Calibri" w:hAnsi="Calibri"/>
                <w:bCs/>
                <w:szCs w:val="20"/>
              </w:rPr>
              <w:t>)</w:t>
            </w:r>
          </w:p>
        </w:tc>
      </w:tr>
      <w:tr w:rsidR="00F44FF1" w:rsidRPr="00E06404" w:rsidTr="001A0079">
        <w:tc>
          <w:tcPr>
            <w:tcW w:w="1036" w:type="pct"/>
            <w:tcMar>
              <w:top w:w="29" w:type="dxa"/>
              <w:bottom w:w="29" w:type="dxa"/>
            </w:tcMar>
            <w:vAlign w:val="center"/>
          </w:tcPr>
          <w:p w:rsidR="00F44FF1" w:rsidRPr="00E06404" w:rsidRDefault="00F44FF1" w:rsidP="00F44FF1">
            <w:pPr>
              <w:ind w:left="144"/>
              <w:rPr>
                <w:rFonts w:ascii="Calibri" w:hAnsi="Calibri" w:cs="Calibri"/>
                <w:color w:val="000000"/>
                <w:szCs w:val="20"/>
              </w:rPr>
            </w:pPr>
            <w:r w:rsidRPr="00E06404">
              <w:rPr>
                <w:rFonts w:ascii="Calibri" w:hAnsi="Calibri" w:cs="Calibri"/>
                <w:color w:val="000000"/>
                <w:szCs w:val="20"/>
              </w:rPr>
              <w:t>Residential</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588</w:t>
            </w:r>
          </w:p>
        </w:tc>
        <w:tc>
          <w:tcPr>
            <w:tcW w:w="566" w:type="pct"/>
            <w:shd w:val="clear" w:color="auto" w:fill="FDF3C9"/>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566</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566</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566</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575</w:t>
            </w:r>
          </w:p>
        </w:tc>
        <w:tc>
          <w:tcPr>
            <w:tcW w:w="566" w:type="pct"/>
            <w:shd w:val="clear" w:color="auto" w:fill="FDF3C9"/>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645</w:t>
            </w:r>
          </w:p>
        </w:tc>
        <w:tc>
          <w:tcPr>
            <w:tcW w:w="567" w:type="pct"/>
            <w:shd w:val="clear" w:color="auto" w:fill="FDF3C9"/>
            <w:tcMar>
              <w:top w:w="29" w:type="dxa"/>
              <w:bottom w:w="29" w:type="dxa"/>
            </w:tcMar>
            <w:vAlign w:val="center"/>
          </w:tcPr>
          <w:p w:rsidR="00F44FF1" w:rsidRPr="008858ED"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9.6%</w:t>
            </w:r>
          </w:p>
        </w:tc>
      </w:tr>
      <w:tr w:rsidR="00F44FF1" w:rsidRPr="00E06404" w:rsidTr="001A0079">
        <w:tc>
          <w:tcPr>
            <w:tcW w:w="1036" w:type="pct"/>
            <w:tcMar>
              <w:top w:w="29" w:type="dxa"/>
              <w:bottom w:w="29" w:type="dxa"/>
            </w:tcMar>
            <w:vAlign w:val="center"/>
          </w:tcPr>
          <w:p w:rsidR="00F44FF1" w:rsidRPr="00E06404" w:rsidRDefault="00F44FF1" w:rsidP="00F44FF1">
            <w:pPr>
              <w:ind w:left="144"/>
              <w:rPr>
                <w:rFonts w:ascii="Calibri" w:hAnsi="Calibri" w:cs="Calibri"/>
                <w:color w:val="000000"/>
                <w:szCs w:val="20"/>
              </w:rPr>
            </w:pPr>
            <w:r w:rsidRPr="00E06404">
              <w:rPr>
                <w:rFonts w:ascii="Calibri" w:hAnsi="Calibri" w:cs="Calibri"/>
                <w:color w:val="000000"/>
                <w:szCs w:val="20"/>
              </w:rPr>
              <w:t>Commercial</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535</w:t>
            </w:r>
          </w:p>
        </w:tc>
        <w:tc>
          <w:tcPr>
            <w:tcW w:w="566" w:type="pct"/>
            <w:shd w:val="clear" w:color="auto" w:fill="FDF3C9"/>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497</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498</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505</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517</w:t>
            </w:r>
          </w:p>
        </w:tc>
        <w:tc>
          <w:tcPr>
            <w:tcW w:w="566" w:type="pct"/>
            <w:shd w:val="clear" w:color="auto" w:fill="FDF3C9"/>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556</w:t>
            </w:r>
          </w:p>
        </w:tc>
        <w:tc>
          <w:tcPr>
            <w:tcW w:w="567" w:type="pct"/>
            <w:shd w:val="clear" w:color="auto" w:fill="FDF3C9"/>
            <w:tcMar>
              <w:top w:w="29" w:type="dxa"/>
              <w:bottom w:w="29" w:type="dxa"/>
            </w:tcMar>
            <w:vAlign w:val="center"/>
          </w:tcPr>
          <w:p w:rsidR="00F44FF1" w:rsidRPr="006C4C99"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4.0%</w:t>
            </w:r>
          </w:p>
        </w:tc>
      </w:tr>
      <w:tr w:rsidR="00F44FF1" w:rsidRPr="00E06404" w:rsidTr="001A0079">
        <w:tc>
          <w:tcPr>
            <w:tcW w:w="1036" w:type="pct"/>
            <w:tcMar>
              <w:top w:w="29" w:type="dxa"/>
              <w:bottom w:w="29" w:type="dxa"/>
            </w:tcMar>
            <w:vAlign w:val="center"/>
          </w:tcPr>
          <w:p w:rsidR="00F44FF1" w:rsidRPr="00E06404" w:rsidRDefault="00F44FF1" w:rsidP="00F44FF1">
            <w:pPr>
              <w:ind w:left="144"/>
              <w:rPr>
                <w:rFonts w:ascii="Calibri" w:hAnsi="Calibri" w:cs="Calibri"/>
                <w:color w:val="000000"/>
                <w:szCs w:val="20"/>
              </w:rPr>
            </w:pPr>
            <w:r w:rsidRPr="00E06404">
              <w:rPr>
                <w:rFonts w:ascii="Calibri" w:hAnsi="Calibri" w:cs="Calibri"/>
                <w:color w:val="000000"/>
                <w:szCs w:val="20"/>
              </w:rPr>
              <w:t>Industrial</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336</w:t>
            </w:r>
          </w:p>
        </w:tc>
        <w:tc>
          <w:tcPr>
            <w:tcW w:w="566" w:type="pct"/>
            <w:shd w:val="clear" w:color="auto" w:fill="FDF3C9"/>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364</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368</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378</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393</w:t>
            </w:r>
          </w:p>
        </w:tc>
        <w:tc>
          <w:tcPr>
            <w:tcW w:w="566" w:type="pct"/>
            <w:shd w:val="clear" w:color="auto" w:fill="FDF3C9"/>
            <w:vAlign w:val="center"/>
          </w:tcPr>
          <w:p w:rsidR="00F44FF1" w:rsidRPr="00F44FF1"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426</w:t>
            </w:r>
          </w:p>
        </w:tc>
        <w:tc>
          <w:tcPr>
            <w:tcW w:w="567" w:type="pct"/>
            <w:shd w:val="clear" w:color="auto" w:fill="FDF3C9"/>
            <w:tcMar>
              <w:top w:w="29" w:type="dxa"/>
              <w:bottom w:w="29" w:type="dxa"/>
            </w:tcMar>
            <w:vAlign w:val="center"/>
          </w:tcPr>
          <w:p w:rsidR="00F44FF1" w:rsidRPr="00513762" w:rsidRDefault="00F44FF1" w:rsidP="001A0079">
            <w:pPr>
              <w:ind w:right="288"/>
              <w:jc w:val="right"/>
              <w:rPr>
                <w:rFonts w:ascii="Calibri" w:hAnsi="Calibri" w:cs="Calibri"/>
                <w:bCs/>
                <w:color w:val="000000"/>
                <w:szCs w:val="20"/>
              </w:rPr>
            </w:pPr>
            <w:r w:rsidRPr="00F44FF1">
              <w:rPr>
                <w:rFonts w:ascii="Calibri" w:hAnsi="Calibri" w:cs="Calibri"/>
                <w:bCs/>
                <w:color w:val="000000"/>
                <w:szCs w:val="20"/>
              </w:rPr>
              <w:t>26.7%</w:t>
            </w:r>
          </w:p>
        </w:tc>
      </w:tr>
      <w:tr w:rsidR="00F44FF1" w:rsidRPr="00E06404" w:rsidTr="001A0079">
        <w:trPr>
          <w:trHeight w:val="274"/>
        </w:trPr>
        <w:tc>
          <w:tcPr>
            <w:tcW w:w="1036" w:type="pct"/>
            <w:tcMar>
              <w:top w:w="29" w:type="dxa"/>
              <w:bottom w:w="29" w:type="dxa"/>
            </w:tcMar>
            <w:vAlign w:val="center"/>
          </w:tcPr>
          <w:p w:rsidR="00F44FF1" w:rsidRPr="00E06404" w:rsidRDefault="00F44FF1" w:rsidP="00F44FF1">
            <w:pPr>
              <w:ind w:left="144"/>
              <w:rPr>
                <w:rFonts w:ascii="Calibri" w:hAnsi="Calibri" w:cs="Calibri"/>
                <w:b/>
                <w:bCs/>
                <w:color w:val="000000"/>
                <w:szCs w:val="20"/>
              </w:rPr>
            </w:pPr>
            <w:r w:rsidRPr="00E06404">
              <w:rPr>
                <w:rFonts w:ascii="Calibri" w:hAnsi="Calibri" w:cs="Calibri"/>
                <w:b/>
                <w:bCs/>
                <w:color w:val="000000"/>
                <w:szCs w:val="20"/>
              </w:rPr>
              <w:t>Total</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
                <w:bCs/>
                <w:color w:val="000000"/>
                <w:szCs w:val="20"/>
              </w:rPr>
            </w:pPr>
            <w:r w:rsidRPr="00F44FF1">
              <w:rPr>
                <w:rFonts w:ascii="Calibri" w:hAnsi="Calibri" w:cs="Calibri"/>
                <w:b/>
                <w:bCs/>
                <w:color w:val="000000"/>
                <w:szCs w:val="20"/>
              </w:rPr>
              <w:t>1,459</w:t>
            </w:r>
          </w:p>
        </w:tc>
        <w:tc>
          <w:tcPr>
            <w:tcW w:w="566" w:type="pct"/>
            <w:shd w:val="clear" w:color="auto" w:fill="FDF3C9"/>
            <w:vAlign w:val="center"/>
          </w:tcPr>
          <w:p w:rsidR="00F44FF1" w:rsidRPr="00F44FF1" w:rsidRDefault="00F44FF1" w:rsidP="001A0079">
            <w:pPr>
              <w:ind w:right="288"/>
              <w:jc w:val="right"/>
              <w:rPr>
                <w:rFonts w:ascii="Calibri" w:hAnsi="Calibri" w:cs="Calibri"/>
                <w:b/>
                <w:bCs/>
                <w:color w:val="000000"/>
                <w:szCs w:val="20"/>
              </w:rPr>
            </w:pPr>
            <w:r w:rsidRPr="00F44FF1">
              <w:rPr>
                <w:rFonts w:ascii="Calibri" w:hAnsi="Calibri" w:cs="Calibri"/>
                <w:b/>
                <w:bCs/>
                <w:color w:val="000000"/>
                <w:szCs w:val="20"/>
              </w:rPr>
              <w:t>1,427</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
                <w:bCs/>
                <w:color w:val="000000"/>
                <w:szCs w:val="20"/>
              </w:rPr>
            </w:pPr>
            <w:r w:rsidRPr="00F44FF1">
              <w:rPr>
                <w:rFonts w:ascii="Calibri" w:hAnsi="Calibri" w:cs="Calibri"/>
                <w:b/>
                <w:bCs/>
                <w:color w:val="000000"/>
                <w:szCs w:val="20"/>
              </w:rPr>
              <w:t>1,432</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
                <w:bCs/>
                <w:color w:val="000000"/>
                <w:szCs w:val="20"/>
              </w:rPr>
            </w:pPr>
            <w:r w:rsidRPr="00F44FF1">
              <w:rPr>
                <w:rFonts w:ascii="Calibri" w:hAnsi="Calibri" w:cs="Calibri"/>
                <w:b/>
                <w:bCs/>
                <w:color w:val="000000"/>
                <w:szCs w:val="20"/>
              </w:rPr>
              <w:t>1,448</w:t>
            </w:r>
          </w:p>
        </w:tc>
        <w:tc>
          <w:tcPr>
            <w:tcW w:w="566"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
                <w:bCs/>
                <w:color w:val="000000"/>
                <w:szCs w:val="20"/>
              </w:rPr>
            </w:pPr>
            <w:r w:rsidRPr="00F44FF1">
              <w:rPr>
                <w:rFonts w:ascii="Calibri" w:hAnsi="Calibri" w:cs="Calibri"/>
                <w:b/>
                <w:bCs/>
                <w:color w:val="000000"/>
                <w:szCs w:val="20"/>
              </w:rPr>
              <w:t>1,486</w:t>
            </w:r>
          </w:p>
        </w:tc>
        <w:tc>
          <w:tcPr>
            <w:tcW w:w="566" w:type="pct"/>
            <w:shd w:val="clear" w:color="auto" w:fill="FDF3C9"/>
            <w:vAlign w:val="center"/>
          </w:tcPr>
          <w:p w:rsidR="00F44FF1" w:rsidRPr="00F44FF1" w:rsidRDefault="00F44FF1" w:rsidP="001A0079">
            <w:pPr>
              <w:ind w:right="288"/>
              <w:jc w:val="right"/>
              <w:rPr>
                <w:rFonts w:ascii="Calibri" w:hAnsi="Calibri" w:cs="Calibri"/>
                <w:b/>
                <w:bCs/>
                <w:color w:val="000000"/>
                <w:szCs w:val="20"/>
              </w:rPr>
            </w:pPr>
            <w:r w:rsidRPr="00F44FF1">
              <w:rPr>
                <w:rFonts w:ascii="Calibri" w:hAnsi="Calibri" w:cs="Calibri"/>
                <w:b/>
                <w:bCs/>
                <w:color w:val="000000"/>
                <w:szCs w:val="20"/>
              </w:rPr>
              <w:t>1,627</w:t>
            </w:r>
          </w:p>
        </w:tc>
        <w:tc>
          <w:tcPr>
            <w:tcW w:w="567" w:type="pct"/>
            <w:shd w:val="clear" w:color="auto" w:fill="FDF3C9"/>
            <w:tcMar>
              <w:top w:w="29" w:type="dxa"/>
              <w:bottom w:w="29" w:type="dxa"/>
            </w:tcMar>
            <w:vAlign w:val="center"/>
          </w:tcPr>
          <w:p w:rsidR="00F44FF1" w:rsidRPr="00F44FF1" w:rsidRDefault="00F44FF1" w:rsidP="001A0079">
            <w:pPr>
              <w:ind w:right="288"/>
              <w:jc w:val="right"/>
              <w:rPr>
                <w:rFonts w:ascii="Calibri" w:hAnsi="Calibri" w:cs="Calibri"/>
                <w:b/>
                <w:bCs/>
                <w:color w:val="000000"/>
                <w:szCs w:val="20"/>
              </w:rPr>
            </w:pPr>
            <w:r w:rsidRPr="00F44FF1">
              <w:rPr>
                <w:rFonts w:ascii="Calibri" w:hAnsi="Calibri" w:cs="Calibri"/>
                <w:b/>
                <w:bCs/>
                <w:color w:val="000000"/>
                <w:szCs w:val="20"/>
              </w:rPr>
              <w:t>11.5%</w:t>
            </w:r>
          </w:p>
        </w:tc>
      </w:tr>
    </w:tbl>
    <w:p w:rsidR="00C449BF" w:rsidRDefault="00C449BF" w:rsidP="00D910EB">
      <w:pPr>
        <w:pStyle w:val="BodyText"/>
      </w:pPr>
    </w:p>
    <w:p w:rsidR="00C449BF" w:rsidRDefault="00C449BF" w:rsidP="008115B5">
      <w:pPr>
        <w:pStyle w:val="FigureorTableTitle"/>
      </w:pPr>
      <w:bookmarkStart w:id="357" w:name="_Ref401400418"/>
      <w:bookmarkStart w:id="358" w:name="_Toc424192733"/>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22</w:t>
      </w:r>
      <w:r w:rsidR="00512CD6">
        <w:rPr>
          <w:noProof/>
          <w:szCs w:val="18"/>
        </w:rPr>
        <w:fldChar w:fldCharType="end"/>
      </w:r>
      <w:bookmarkEnd w:id="357"/>
      <w:r>
        <w:rPr>
          <w:szCs w:val="18"/>
        </w:rPr>
        <w:tab/>
      </w:r>
      <w:r>
        <w:t>Baseline Summer Peak Projection Summary (MW)</w:t>
      </w:r>
      <w:r w:rsidR="00D67AA5">
        <w:t>, WA and ID Combined</w:t>
      </w:r>
      <w:bookmarkEnd w:id="358"/>
    </w:p>
    <w:p w:rsidR="00C449BF" w:rsidRDefault="008A1717" w:rsidP="00C449BF">
      <w:pPr>
        <w:pStyle w:val="BodyText"/>
      </w:pPr>
      <w:r w:rsidRPr="008A1717">
        <w:rPr>
          <w:noProof/>
        </w:rPr>
        <w:drawing>
          <wp:inline distT="0" distB="0" distL="0" distR="0">
            <wp:extent cx="6066871" cy="341884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083" t="818" r="372" b="1344"/>
                    <a:stretch/>
                  </pic:blipFill>
                  <pic:spPr bwMode="auto">
                    <a:xfrm>
                      <a:off x="0" y="0"/>
                      <a:ext cx="6075754" cy="3423846"/>
                    </a:xfrm>
                    <a:prstGeom prst="rect">
                      <a:avLst/>
                    </a:prstGeom>
                    <a:noFill/>
                    <a:ln>
                      <a:noFill/>
                    </a:ln>
                    <a:extLst>
                      <a:ext uri="{53640926-AAD7-44D8-BBD7-CCE9431645EC}">
                        <a14:shadowObscured xmlns:a14="http://schemas.microsoft.com/office/drawing/2010/main"/>
                      </a:ext>
                    </a:extLst>
                  </pic:spPr>
                </pic:pic>
              </a:graphicData>
            </a:graphic>
          </wp:inline>
        </w:drawing>
      </w:r>
    </w:p>
    <w:p w:rsidR="00072331" w:rsidRDefault="00072331" w:rsidP="00072331">
      <w:pPr>
        <w:pStyle w:val="Heading3"/>
      </w:pPr>
      <w:bookmarkStart w:id="359" w:name="_Toc424192640"/>
      <w:r>
        <w:t>Winter Peak Demand Projection</w:t>
      </w:r>
      <w:bookmarkEnd w:id="359"/>
    </w:p>
    <w:p w:rsidR="00072331" w:rsidRPr="004F1749" w:rsidRDefault="00893E3D" w:rsidP="00072331">
      <w:pPr>
        <w:pStyle w:val="BodyText"/>
      </w:pPr>
      <w:r>
        <w:fldChar w:fldCharType="begin"/>
      </w:r>
      <w:r w:rsidR="001D0B61">
        <w:instrText xml:space="preserve"> REF _Ref423520473 \h </w:instrText>
      </w:r>
      <w:r>
        <w:fldChar w:fldCharType="separate"/>
      </w:r>
      <w:r w:rsidR="00B2652C" w:rsidRPr="00535EB3">
        <w:t xml:space="preserve">Table </w:t>
      </w:r>
      <w:r w:rsidR="00B2652C" w:rsidRPr="00B2652C">
        <w:rPr>
          <w:noProof/>
        </w:rPr>
        <w:t>4</w:t>
      </w:r>
      <w:r w:rsidR="00B2652C" w:rsidRPr="00535EB3">
        <w:t>-</w:t>
      </w:r>
      <w:r w:rsidR="00B2652C" w:rsidRPr="00B2652C">
        <w:rPr>
          <w:noProof/>
        </w:rPr>
        <w:t>21</w:t>
      </w:r>
      <w:r>
        <w:fldChar w:fldCharType="end"/>
      </w:r>
      <w:r w:rsidRPr="001522E3">
        <w:fldChar w:fldCharType="begin"/>
      </w:r>
      <w:r w:rsidR="00072331" w:rsidRPr="001522E3">
        <w:instrText xml:space="preserve"> REF _Ref402253803 \h </w:instrText>
      </w:r>
      <w:r w:rsidR="0045496D" w:rsidRPr="001522E3">
        <w:instrText xml:space="preserve"> \* MERGEFORMAT </w:instrText>
      </w:r>
      <w:r w:rsidR="00B2652C">
        <w:fldChar w:fldCharType="separate"/>
      </w:r>
      <w:r w:rsidR="00B2652C" w:rsidRPr="00535EB3">
        <w:t xml:space="preserve">Table </w:t>
      </w:r>
      <w:r w:rsidR="00B2652C" w:rsidRPr="00B2652C">
        <w:rPr>
          <w:noProof/>
        </w:rPr>
        <w:t>4</w:t>
      </w:r>
      <w:r w:rsidR="00B2652C" w:rsidRPr="00535EB3">
        <w:rPr>
          <w:noProof/>
        </w:rPr>
        <w:t>-</w:t>
      </w:r>
      <w:r w:rsidR="00B2652C" w:rsidRPr="00B2652C">
        <w:rPr>
          <w:noProof/>
        </w:rPr>
        <w:t>20</w:t>
      </w:r>
      <w:r w:rsidRPr="001522E3">
        <w:fldChar w:fldCharType="end"/>
      </w:r>
      <w:r w:rsidR="00072331" w:rsidRPr="001522E3">
        <w:t xml:space="preserve"> and </w:t>
      </w:r>
      <w:r>
        <w:fldChar w:fldCharType="begin"/>
      </w:r>
      <w:r w:rsidR="001D0B61">
        <w:instrText xml:space="preserve"> REF _Ref423520496 \h </w:instrText>
      </w:r>
      <w:r>
        <w:fldChar w:fldCharType="separate"/>
      </w:r>
      <w:r w:rsidR="00B2652C" w:rsidRPr="00E07587">
        <w:t xml:space="preserve">Figure </w:t>
      </w:r>
      <w:r w:rsidR="00B2652C" w:rsidRPr="00B2652C">
        <w:rPr>
          <w:noProof/>
        </w:rPr>
        <w:t>4</w:t>
      </w:r>
      <w:r w:rsidR="00B2652C" w:rsidRPr="00E07587">
        <w:t>-</w:t>
      </w:r>
      <w:r w:rsidR="00B2652C" w:rsidRPr="00B2652C">
        <w:rPr>
          <w:noProof/>
        </w:rPr>
        <w:t>23</w:t>
      </w:r>
      <w:r>
        <w:fldChar w:fldCharType="end"/>
      </w:r>
      <w:r w:rsidR="00072331" w:rsidRPr="001522E3">
        <w:t xml:space="preserve"> provide a summary of the baseline projection for </w:t>
      </w:r>
      <w:r w:rsidR="001D0B61">
        <w:t>winter</w:t>
      </w:r>
      <w:r w:rsidR="00072331" w:rsidRPr="001522E3">
        <w:t xml:space="preserve"> peak demand. Overall, the projection shows steady growth.</w:t>
      </w:r>
      <w:r w:rsidR="00072331" w:rsidRPr="008914C7">
        <w:t xml:space="preserve"> </w:t>
      </w:r>
    </w:p>
    <w:p w:rsidR="00072331" w:rsidRDefault="00072331" w:rsidP="00072331">
      <w:pPr>
        <w:pStyle w:val="FigureorTableTitle"/>
      </w:pPr>
      <w:bookmarkStart w:id="360" w:name="_Ref423520473"/>
      <w:bookmarkStart w:id="361" w:name="_Toc424192795"/>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4</w:t>
      </w:r>
      <w:r w:rsidR="00512CD6">
        <w:rPr>
          <w:bCs w:val="0"/>
          <w:iCs w:val="0"/>
          <w:noProof/>
        </w:rPr>
        <w:fldChar w:fldCharType="end"/>
      </w:r>
      <w:r w:rsidRPr="00535EB3">
        <w:rPr>
          <w:bCs w:val="0"/>
          <w:iCs w:val="0"/>
        </w:rPr>
        <w:t>-</w:t>
      </w:r>
      <w:r w:rsidR="00512CD6">
        <w:fldChar w:fldCharType="begin"/>
      </w:r>
      <w:r w:rsidR="00512CD6">
        <w:instrText xml:space="preserve"> SEQ Tab</w:instrText>
      </w:r>
      <w:r w:rsidR="00512CD6">
        <w:instrText xml:space="preserve">le\s 1 \* MERGEFORMAT </w:instrText>
      </w:r>
      <w:r w:rsidR="00512CD6">
        <w:fldChar w:fldCharType="separate"/>
      </w:r>
      <w:r w:rsidR="00B2652C" w:rsidRPr="00B2652C">
        <w:rPr>
          <w:bCs w:val="0"/>
          <w:iCs w:val="0"/>
          <w:noProof/>
        </w:rPr>
        <w:t>21</w:t>
      </w:r>
      <w:r w:rsidR="00512CD6">
        <w:rPr>
          <w:bCs w:val="0"/>
          <w:iCs w:val="0"/>
          <w:noProof/>
        </w:rPr>
        <w:fldChar w:fldCharType="end"/>
      </w:r>
      <w:bookmarkEnd w:id="360"/>
      <w:r>
        <w:tab/>
        <w:t xml:space="preserve">Baseline </w:t>
      </w:r>
      <w:r w:rsidR="0045496D">
        <w:t>Winter</w:t>
      </w:r>
      <w:r>
        <w:t xml:space="preserve"> Peak Projection Summary (MW), WA and ID Combined</w:t>
      </w:r>
      <w:bookmarkEnd w:id="361"/>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0" w:type="dxa"/>
          <w:right w:w="0" w:type="dxa"/>
        </w:tblCellMar>
        <w:tblLook w:val="04A0" w:firstRow="1" w:lastRow="0" w:firstColumn="1" w:lastColumn="0" w:noHBand="0" w:noVBand="1"/>
      </w:tblPr>
      <w:tblGrid>
        <w:gridCol w:w="1868"/>
        <w:gridCol w:w="1020"/>
        <w:gridCol w:w="1020"/>
        <w:gridCol w:w="1020"/>
        <w:gridCol w:w="1020"/>
        <w:gridCol w:w="1020"/>
        <w:gridCol w:w="1020"/>
        <w:gridCol w:w="1022"/>
      </w:tblGrid>
      <w:tr w:rsidR="00072331" w:rsidRPr="00E06404" w:rsidTr="00072331">
        <w:tc>
          <w:tcPr>
            <w:tcW w:w="1036" w:type="pct"/>
            <w:shd w:val="clear" w:color="auto" w:fill="1A1D5D"/>
            <w:tcMar>
              <w:top w:w="29" w:type="dxa"/>
              <w:bottom w:w="29" w:type="dxa"/>
            </w:tcMar>
            <w:vAlign w:val="center"/>
          </w:tcPr>
          <w:p w:rsidR="00072331" w:rsidRPr="001E1315" w:rsidRDefault="00072331" w:rsidP="00072331">
            <w:pPr>
              <w:jc w:val="center"/>
              <w:rPr>
                <w:rFonts w:ascii="Calibri" w:hAnsi="Calibri" w:cs="Calibri"/>
                <w:bCs/>
                <w:color w:val="FFFFFF"/>
                <w:szCs w:val="20"/>
              </w:rPr>
            </w:pPr>
            <w:r w:rsidRPr="001E1315">
              <w:rPr>
                <w:rFonts w:ascii="Calibri" w:hAnsi="Calibri" w:cs="Calibri"/>
                <w:bCs/>
                <w:color w:val="FFFFFF"/>
                <w:szCs w:val="20"/>
              </w:rPr>
              <w:t>Sector</w:t>
            </w:r>
          </w:p>
        </w:tc>
        <w:tc>
          <w:tcPr>
            <w:tcW w:w="566" w:type="pct"/>
            <w:shd w:val="clear" w:color="auto" w:fill="1A1D5D"/>
            <w:tcMar>
              <w:top w:w="29" w:type="dxa"/>
              <w:bottom w:w="29" w:type="dxa"/>
            </w:tcMar>
            <w:vAlign w:val="center"/>
          </w:tcPr>
          <w:p w:rsidR="00072331" w:rsidRPr="001E1315" w:rsidRDefault="00072331" w:rsidP="00072331">
            <w:pPr>
              <w:jc w:val="center"/>
              <w:rPr>
                <w:rFonts w:ascii="Calibri" w:hAnsi="Calibri" w:cs="Calibri"/>
                <w:bCs/>
                <w:color w:val="FFFFFF"/>
                <w:szCs w:val="20"/>
              </w:rPr>
            </w:pPr>
            <w:r w:rsidRPr="001E1315">
              <w:rPr>
                <w:rFonts w:ascii="Calibri" w:hAnsi="Calibri"/>
                <w:bCs/>
                <w:szCs w:val="20"/>
              </w:rPr>
              <w:t>2013</w:t>
            </w:r>
          </w:p>
        </w:tc>
        <w:tc>
          <w:tcPr>
            <w:tcW w:w="566" w:type="pct"/>
            <w:shd w:val="clear" w:color="auto" w:fill="1A1D5D"/>
            <w:vAlign w:val="center"/>
          </w:tcPr>
          <w:p w:rsidR="00072331" w:rsidRPr="001E1315" w:rsidRDefault="00072331" w:rsidP="00072331">
            <w:pPr>
              <w:jc w:val="center"/>
              <w:rPr>
                <w:rFonts w:ascii="Calibri" w:hAnsi="Calibri" w:cs="Calibri"/>
                <w:bCs/>
                <w:color w:val="FFFFFF"/>
                <w:szCs w:val="20"/>
              </w:rPr>
            </w:pPr>
            <w:r w:rsidRPr="001E1315">
              <w:rPr>
                <w:rFonts w:ascii="Calibri" w:hAnsi="Calibri"/>
                <w:bCs/>
                <w:szCs w:val="20"/>
              </w:rPr>
              <w:t>201</w:t>
            </w:r>
            <w:r>
              <w:rPr>
                <w:rFonts w:ascii="Calibri" w:hAnsi="Calibri"/>
                <w:bCs/>
                <w:szCs w:val="20"/>
              </w:rPr>
              <w:t>6</w:t>
            </w:r>
          </w:p>
        </w:tc>
        <w:tc>
          <w:tcPr>
            <w:tcW w:w="566" w:type="pct"/>
            <w:shd w:val="clear" w:color="auto" w:fill="1A1D5D"/>
            <w:tcMar>
              <w:top w:w="29" w:type="dxa"/>
              <w:bottom w:w="29" w:type="dxa"/>
            </w:tcMar>
            <w:vAlign w:val="center"/>
          </w:tcPr>
          <w:p w:rsidR="00072331" w:rsidRPr="001E1315" w:rsidRDefault="00072331" w:rsidP="00072331">
            <w:pPr>
              <w:jc w:val="center"/>
              <w:rPr>
                <w:rFonts w:ascii="Calibri" w:hAnsi="Calibri" w:cs="Calibri"/>
                <w:bCs/>
                <w:color w:val="FFFFFF"/>
                <w:szCs w:val="20"/>
              </w:rPr>
            </w:pPr>
            <w:r>
              <w:rPr>
                <w:rFonts w:ascii="Calibri" w:hAnsi="Calibri"/>
                <w:bCs/>
                <w:szCs w:val="20"/>
              </w:rPr>
              <w:t>2017</w:t>
            </w:r>
          </w:p>
        </w:tc>
        <w:tc>
          <w:tcPr>
            <w:tcW w:w="566" w:type="pct"/>
            <w:shd w:val="clear" w:color="auto" w:fill="1A1D5D"/>
            <w:tcMar>
              <w:top w:w="29" w:type="dxa"/>
              <w:bottom w:w="29" w:type="dxa"/>
            </w:tcMar>
            <w:vAlign w:val="center"/>
          </w:tcPr>
          <w:p w:rsidR="00072331" w:rsidRPr="001E1315" w:rsidRDefault="00072331" w:rsidP="00072331">
            <w:pPr>
              <w:jc w:val="center"/>
              <w:rPr>
                <w:rFonts w:ascii="Calibri" w:hAnsi="Calibri" w:cs="Calibri"/>
                <w:bCs/>
                <w:color w:val="FFFFFF"/>
                <w:szCs w:val="20"/>
              </w:rPr>
            </w:pPr>
            <w:r w:rsidRPr="001E1315">
              <w:rPr>
                <w:rFonts w:ascii="Calibri" w:hAnsi="Calibri"/>
                <w:bCs/>
                <w:szCs w:val="20"/>
              </w:rPr>
              <w:t>202</w:t>
            </w:r>
            <w:r>
              <w:rPr>
                <w:rFonts w:ascii="Calibri" w:hAnsi="Calibri"/>
                <w:bCs/>
                <w:szCs w:val="20"/>
              </w:rPr>
              <w:t>0</w:t>
            </w:r>
          </w:p>
        </w:tc>
        <w:tc>
          <w:tcPr>
            <w:tcW w:w="566" w:type="pct"/>
            <w:shd w:val="clear" w:color="auto" w:fill="1A1D5D"/>
            <w:tcMar>
              <w:top w:w="29" w:type="dxa"/>
              <w:bottom w:w="29" w:type="dxa"/>
            </w:tcMar>
            <w:vAlign w:val="center"/>
          </w:tcPr>
          <w:p w:rsidR="00072331" w:rsidRPr="001E1315" w:rsidRDefault="00072331" w:rsidP="00072331">
            <w:pPr>
              <w:jc w:val="center"/>
              <w:rPr>
                <w:rFonts w:ascii="Calibri" w:hAnsi="Calibri" w:cs="Calibri"/>
                <w:bCs/>
                <w:color w:val="FFFFFF"/>
                <w:szCs w:val="20"/>
              </w:rPr>
            </w:pPr>
            <w:r w:rsidRPr="001E1315">
              <w:rPr>
                <w:rFonts w:ascii="Calibri" w:hAnsi="Calibri"/>
                <w:bCs/>
                <w:szCs w:val="20"/>
              </w:rPr>
              <w:t>20</w:t>
            </w:r>
            <w:r>
              <w:rPr>
                <w:rFonts w:ascii="Calibri" w:hAnsi="Calibri"/>
                <w:bCs/>
                <w:szCs w:val="20"/>
              </w:rPr>
              <w:t>25</w:t>
            </w:r>
          </w:p>
        </w:tc>
        <w:tc>
          <w:tcPr>
            <w:tcW w:w="566" w:type="pct"/>
            <w:shd w:val="clear" w:color="auto" w:fill="1A1D5D"/>
            <w:vAlign w:val="center"/>
          </w:tcPr>
          <w:p w:rsidR="00072331" w:rsidRPr="001E1315" w:rsidRDefault="00072331" w:rsidP="00072331">
            <w:pPr>
              <w:jc w:val="center"/>
              <w:rPr>
                <w:rFonts w:ascii="Calibri" w:hAnsi="Calibri" w:cs="Calibri"/>
                <w:bCs/>
                <w:color w:val="FFFFFF"/>
                <w:szCs w:val="20"/>
              </w:rPr>
            </w:pPr>
            <w:r>
              <w:rPr>
                <w:rFonts w:ascii="Calibri" w:hAnsi="Calibri"/>
                <w:bCs/>
                <w:szCs w:val="20"/>
              </w:rPr>
              <w:t>2035</w:t>
            </w:r>
          </w:p>
        </w:tc>
        <w:tc>
          <w:tcPr>
            <w:tcW w:w="567" w:type="pct"/>
            <w:shd w:val="clear" w:color="auto" w:fill="1A1D5D"/>
            <w:tcMar>
              <w:top w:w="29" w:type="dxa"/>
              <w:bottom w:w="29" w:type="dxa"/>
            </w:tcMar>
            <w:vAlign w:val="center"/>
          </w:tcPr>
          <w:p w:rsidR="00072331" w:rsidRPr="001E1315" w:rsidRDefault="00072331" w:rsidP="00072331">
            <w:pPr>
              <w:jc w:val="center"/>
              <w:rPr>
                <w:rFonts w:ascii="Calibri" w:hAnsi="Calibri"/>
                <w:bCs/>
                <w:color w:val="FFFFFF"/>
                <w:szCs w:val="20"/>
              </w:rPr>
            </w:pPr>
            <w:r w:rsidRPr="001E1315">
              <w:rPr>
                <w:rFonts w:ascii="Calibri" w:hAnsi="Calibri"/>
                <w:bCs/>
                <w:szCs w:val="20"/>
              </w:rPr>
              <w:t>% Change</w:t>
            </w:r>
            <w:r w:rsidRPr="001E1315">
              <w:rPr>
                <w:rFonts w:ascii="Calibri" w:hAnsi="Calibri"/>
                <w:bCs/>
                <w:szCs w:val="20"/>
              </w:rPr>
              <w:br/>
              <w:t>('13-'3</w:t>
            </w:r>
            <w:r>
              <w:rPr>
                <w:rFonts w:ascii="Calibri" w:hAnsi="Calibri"/>
                <w:bCs/>
                <w:szCs w:val="20"/>
              </w:rPr>
              <w:t>5</w:t>
            </w:r>
            <w:r w:rsidRPr="001E1315">
              <w:rPr>
                <w:rFonts w:ascii="Calibri" w:hAnsi="Calibri"/>
                <w:bCs/>
                <w:szCs w:val="20"/>
              </w:rPr>
              <w:t>)</w:t>
            </w:r>
          </w:p>
        </w:tc>
      </w:tr>
      <w:tr w:rsidR="008A1717" w:rsidRPr="00E06404" w:rsidTr="001522E3">
        <w:tc>
          <w:tcPr>
            <w:tcW w:w="1036" w:type="pct"/>
            <w:tcMar>
              <w:top w:w="29" w:type="dxa"/>
              <w:bottom w:w="29" w:type="dxa"/>
            </w:tcMar>
            <w:vAlign w:val="center"/>
          </w:tcPr>
          <w:p w:rsidR="008A1717" w:rsidRPr="00E06404" w:rsidRDefault="008A1717" w:rsidP="008A1717">
            <w:pPr>
              <w:ind w:left="144"/>
              <w:rPr>
                <w:rFonts w:ascii="Calibri" w:hAnsi="Calibri" w:cs="Calibri"/>
                <w:color w:val="000000"/>
                <w:szCs w:val="20"/>
              </w:rPr>
            </w:pPr>
            <w:r w:rsidRPr="00E06404">
              <w:rPr>
                <w:rFonts w:ascii="Calibri" w:hAnsi="Calibri" w:cs="Calibri"/>
                <w:color w:val="000000"/>
                <w:szCs w:val="20"/>
              </w:rPr>
              <w:t>Residential</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655</w:t>
            </w:r>
          </w:p>
        </w:tc>
        <w:tc>
          <w:tcPr>
            <w:tcW w:w="566" w:type="pct"/>
            <w:shd w:val="clear" w:color="auto" w:fill="FFCC99"/>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648</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645</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637</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631</w:t>
            </w:r>
          </w:p>
        </w:tc>
        <w:tc>
          <w:tcPr>
            <w:tcW w:w="566" w:type="pct"/>
            <w:shd w:val="clear" w:color="auto" w:fill="FFCC99"/>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673</w:t>
            </w:r>
          </w:p>
        </w:tc>
        <w:tc>
          <w:tcPr>
            <w:tcW w:w="567" w:type="pct"/>
            <w:shd w:val="clear" w:color="auto" w:fill="FFCC99"/>
            <w:tcMar>
              <w:top w:w="29" w:type="dxa"/>
              <w:bottom w:w="29" w:type="dxa"/>
            </w:tcMar>
            <w:vAlign w:val="center"/>
          </w:tcPr>
          <w:p w:rsidR="008A1717" w:rsidRPr="008858ED"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2.8%</w:t>
            </w:r>
          </w:p>
        </w:tc>
      </w:tr>
      <w:tr w:rsidR="008A1717" w:rsidRPr="00E06404" w:rsidTr="001522E3">
        <w:tc>
          <w:tcPr>
            <w:tcW w:w="1036" w:type="pct"/>
            <w:tcMar>
              <w:top w:w="29" w:type="dxa"/>
              <w:bottom w:w="29" w:type="dxa"/>
            </w:tcMar>
            <w:vAlign w:val="center"/>
          </w:tcPr>
          <w:p w:rsidR="008A1717" w:rsidRPr="00E06404" w:rsidRDefault="008A1717" w:rsidP="008A1717">
            <w:pPr>
              <w:ind w:left="144"/>
              <w:rPr>
                <w:rFonts w:ascii="Calibri" w:hAnsi="Calibri" w:cs="Calibri"/>
                <w:color w:val="000000"/>
                <w:szCs w:val="20"/>
              </w:rPr>
            </w:pPr>
            <w:r w:rsidRPr="00E06404">
              <w:rPr>
                <w:rFonts w:ascii="Calibri" w:hAnsi="Calibri" w:cs="Calibri"/>
                <w:color w:val="000000"/>
                <w:szCs w:val="20"/>
              </w:rPr>
              <w:t>Commercial</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485</w:t>
            </w:r>
          </w:p>
        </w:tc>
        <w:tc>
          <w:tcPr>
            <w:tcW w:w="566" w:type="pct"/>
            <w:shd w:val="clear" w:color="auto" w:fill="FFCC99"/>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485</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486</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494</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509</w:t>
            </w:r>
          </w:p>
        </w:tc>
        <w:tc>
          <w:tcPr>
            <w:tcW w:w="566" w:type="pct"/>
            <w:shd w:val="clear" w:color="auto" w:fill="FFCC99"/>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554</w:t>
            </w:r>
          </w:p>
        </w:tc>
        <w:tc>
          <w:tcPr>
            <w:tcW w:w="567" w:type="pct"/>
            <w:shd w:val="clear" w:color="auto" w:fill="FFCC99"/>
            <w:tcMar>
              <w:top w:w="29" w:type="dxa"/>
              <w:bottom w:w="29" w:type="dxa"/>
            </w:tcMar>
            <w:vAlign w:val="center"/>
          </w:tcPr>
          <w:p w:rsidR="008A1717" w:rsidRPr="006C4C99"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14.1%</w:t>
            </w:r>
          </w:p>
        </w:tc>
      </w:tr>
      <w:tr w:rsidR="008A1717" w:rsidRPr="00E06404" w:rsidTr="001522E3">
        <w:tc>
          <w:tcPr>
            <w:tcW w:w="1036" w:type="pct"/>
            <w:tcMar>
              <w:top w:w="29" w:type="dxa"/>
              <w:bottom w:w="29" w:type="dxa"/>
            </w:tcMar>
            <w:vAlign w:val="center"/>
          </w:tcPr>
          <w:p w:rsidR="008A1717" w:rsidRPr="00E06404" w:rsidRDefault="008A1717" w:rsidP="008A1717">
            <w:pPr>
              <w:ind w:left="144"/>
              <w:rPr>
                <w:rFonts w:ascii="Calibri" w:hAnsi="Calibri" w:cs="Calibri"/>
                <w:color w:val="000000"/>
                <w:szCs w:val="20"/>
              </w:rPr>
            </w:pPr>
            <w:r w:rsidRPr="00E06404">
              <w:rPr>
                <w:rFonts w:ascii="Calibri" w:hAnsi="Calibri" w:cs="Calibri"/>
                <w:color w:val="000000"/>
                <w:szCs w:val="20"/>
              </w:rPr>
              <w:t>Industrial</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277</w:t>
            </w:r>
          </w:p>
        </w:tc>
        <w:tc>
          <w:tcPr>
            <w:tcW w:w="566" w:type="pct"/>
            <w:shd w:val="clear" w:color="auto" w:fill="FFCC99"/>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300</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303</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311</w:t>
            </w:r>
          </w:p>
        </w:tc>
        <w:tc>
          <w:tcPr>
            <w:tcW w:w="566" w:type="pct"/>
            <w:shd w:val="clear" w:color="auto" w:fill="FFCC99"/>
            <w:tcMar>
              <w:top w:w="29" w:type="dxa"/>
              <w:bottom w:w="29" w:type="dxa"/>
            </w:tcMar>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324</w:t>
            </w:r>
          </w:p>
        </w:tc>
        <w:tc>
          <w:tcPr>
            <w:tcW w:w="566" w:type="pct"/>
            <w:shd w:val="clear" w:color="auto" w:fill="FFCC99"/>
            <w:vAlign w:val="center"/>
          </w:tcPr>
          <w:p w:rsidR="008A1717" w:rsidRPr="00F44FF1"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351</w:t>
            </w:r>
          </w:p>
        </w:tc>
        <w:tc>
          <w:tcPr>
            <w:tcW w:w="567" w:type="pct"/>
            <w:shd w:val="clear" w:color="auto" w:fill="FFCC99"/>
            <w:tcMar>
              <w:top w:w="29" w:type="dxa"/>
              <w:bottom w:w="29" w:type="dxa"/>
            </w:tcMar>
            <w:vAlign w:val="center"/>
          </w:tcPr>
          <w:p w:rsidR="008A1717" w:rsidRPr="00513762" w:rsidRDefault="008A1717" w:rsidP="001522E3">
            <w:pPr>
              <w:ind w:right="288"/>
              <w:jc w:val="right"/>
              <w:rPr>
                <w:rFonts w:ascii="Calibri" w:hAnsi="Calibri" w:cs="Calibri"/>
                <w:bCs/>
                <w:color w:val="000000"/>
                <w:szCs w:val="20"/>
              </w:rPr>
            </w:pPr>
            <w:r w:rsidRPr="008A1717">
              <w:rPr>
                <w:rFonts w:ascii="Calibri" w:hAnsi="Calibri" w:cs="Calibri"/>
                <w:bCs/>
                <w:color w:val="000000"/>
                <w:szCs w:val="20"/>
              </w:rPr>
              <w:t>26.6%</w:t>
            </w:r>
          </w:p>
        </w:tc>
      </w:tr>
      <w:tr w:rsidR="008A1717" w:rsidRPr="00E06404" w:rsidTr="001522E3">
        <w:trPr>
          <w:trHeight w:val="274"/>
        </w:trPr>
        <w:tc>
          <w:tcPr>
            <w:tcW w:w="1036" w:type="pct"/>
            <w:tcMar>
              <w:top w:w="29" w:type="dxa"/>
              <w:bottom w:w="29" w:type="dxa"/>
            </w:tcMar>
            <w:vAlign w:val="center"/>
          </w:tcPr>
          <w:p w:rsidR="008A1717" w:rsidRPr="00E06404" w:rsidRDefault="008A1717" w:rsidP="008A1717">
            <w:pPr>
              <w:ind w:left="144"/>
              <w:rPr>
                <w:rFonts w:ascii="Calibri" w:hAnsi="Calibri" w:cs="Calibri"/>
                <w:b/>
                <w:bCs/>
                <w:color w:val="000000"/>
                <w:szCs w:val="20"/>
              </w:rPr>
            </w:pPr>
            <w:r w:rsidRPr="00E06404">
              <w:rPr>
                <w:rFonts w:ascii="Calibri" w:hAnsi="Calibri" w:cs="Calibri"/>
                <w:b/>
                <w:bCs/>
                <w:color w:val="000000"/>
                <w:szCs w:val="20"/>
              </w:rPr>
              <w:t>Total</w:t>
            </w:r>
          </w:p>
        </w:tc>
        <w:tc>
          <w:tcPr>
            <w:tcW w:w="566" w:type="pct"/>
            <w:shd w:val="clear" w:color="auto" w:fill="FFCC99"/>
            <w:tcMar>
              <w:top w:w="29" w:type="dxa"/>
              <w:bottom w:w="29" w:type="dxa"/>
            </w:tcMar>
            <w:vAlign w:val="center"/>
          </w:tcPr>
          <w:p w:rsidR="008A1717" w:rsidRPr="008A1717" w:rsidRDefault="008A1717" w:rsidP="001522E3">
            <w:pPr>
              <w:ind w:right="288"/>
              <w:jc w:val="right"/>
              <w:rPr>
                <w:rFonts w:ascii="Calibri" w:hAnsi="Calibri" w:cs="Calibri"/>
                <w:b/>
                <w:bCs/>
                <w:color w:val="000000"/>
                <w:szCs w:val="20"/>
              </w:rPr>
            </w:pPr>
            <w:r w:rsidRPr="008A1717">
              <w:rPr>
                <w:rFonts w:ascii="Calibri" w:hAnsi="Calibri" w:cs="Calibri"/>
                <w:b/>
                <w:bCs/>
                <w:color w:val="000000"/>
                <w:szCs w:val="20"/>
              </w:rPr>
              <w:t>1,417</w:t>
            </w:r>
          </w:p>
        </w:tc>
        <w:tc>
          <w:tcPr>
            <w:tcW w:w="566" w:type="pct"/>
            <w:shd w:val="clear" w:color="auto" w:fill="FFCC99"/>
            <w:vAlign w:val="center"/>
          </w:tcPr>
          <w:p w:rsidR="008A1717" w:rsidRPr="008A1717" w:rsidRDefault="008A1717" w:rsidP="001522E3">
            <w:pPr>
              <w:ind w:right="288"/>
              <w:jc w:val="right"/>
              <w:rPr>
                <w:rFonts w:ascii="Calibri" w:hAnsi="Calibri" w:cs="Calibri"/>
                <w:b/>
                <w:bCs/>
                <w:color w:val="000000"/>
                <w:szCs w:val="20"/>
              </w:rPr>
            </w:pPr>
            <w:r w:rsidRPr="008A1717">
              <w:rPr>
                <w:rFonts w:ascii="Calibri" w:hAnsi="Calibri" w:cs="Calibri"/>
                <w:b/>
                <w:bCs/>
                <w:color w:val="000000"/>
                <w:szCs w:val="20"/>
              </w:rPr>
              <w:t>1,433</w:t>
            </w:r>
          </w:p>
        </w:tc>
        <w:tc>
          <w:tcPr>
            <w:tcW w:w="566" w:type="pct"/>
            <w:shd w:val="clear" w:color="auto" w:fill="FFCC99"/>
            <w:tcMar>
              <w:top w:w="29" w:type="dxa"/>
              <w:bottom w:w="29" w:type="dxa"/>
            </w:tcMar>
            <w:vAlign w:val="center"/>
          </w:tcPr>
          <w:p w:rsidR="008A1717" w:rsidRPr="008A1717" w:rsidRDefault="008A1717" w:rsidP="001522E3">
            <w:pPr>
              <w:ind w:right="288"/>
              <w:jc w:val="right"/>
              <w:rPr>
                <w:rFonts w:ascii="Calibri" w:hAnsi="Calibri" w:cs="Calibri"/>
                <w:b/>
                <w:bCs/>
                <w:color w:val="000000"/>
                <w:szCs w:val="20"/>
              </w:rPr>
            </w:pPr>
            <w:r w:rsidRPr="008A1717">
              <w:rPr>
                <w:rFonts w:ascii="Calibri" w:hAnsi="Calibri" w:cs="Calibri"/>
                <w:b/>
                <w:bCs/>
                <w:color w:val="000000"/>
                <w:szCs w:val="20"/>
              </w:rPr>
              <w:t>1,434</w:t>
            </w:r>
          </w:p>
        </w:tc>
        <w:tc>
          <w:tcPr>
            <w:tcW w:w="566" w:type="pct"/>
            <w:shd w:val="clear" w:color="auto" w:fill="FFCC99"/>
            <w:tcMar>
              <w:top w:w="29" w:type="dxa"/>
              <w:bottom w:w="29" w:type="dxa"/>
            </w:tcMar>
            <w:vAlign w:val="center"/>
          </w:tcPr>
          <w:p w:rsidR="008A1717" w:rsidRPr="008A1717" w:rsidRDefault="008A1717" w:rsidP="001522E3">
            <w:pPr>
              <w:ind w:right="288"/>
              <w:jc w:val="right"/>
              <w:rPr>
                <w:rFonts w:ascii="Calibri" w:hAnsi="Calibri" w:cs="Calibri"/>
                <w:b/>
                <w:bCs/>
                <w:color w:val="000000"/>
                <w:szCs w:val="20"/>
              </w:rPr>
            </w:pPr>
            <w:r w:rsidRPr="008A1717">
              <w:rPr>
                <w:rFonts w:ascii="Calibri" w:hAnsi="Calibri" w:cs="Calibri"/>
                <w:b/>
                <w:bCs/>
                <w:color w:val="000000"/>
                <w:szCs w:val="20"/>
              </w:rPr>
              <w:t>1,442</w:t>
            </w:r>
          </w:p>
        </w:tc>
        <w:tc>
          <w:tcPr>
            <w:tcW w:w="566" w:type="pct"/>
            <w:shd w:val="clear" w:color="auto" w:fill="FFCC99"/>
            <w:tcMar>
              <w:top w:w="29" w:type="dxa"/>
              <w:bottom w:w="29" w:type="dxa"/>
            </w:tcMar>
            <w:vAlign w:val="center"/>
          </w:tcPr>
          <w:p w:rsidR="008A1717" w:rsidRPr="008A1717" w:rsidRDefault="008A1717" w:rsidP="001522E3">
            <w:pPr>
              <w:ind w:right="288"/>
              <w:jc w:val="right"/>
              <w:rPr>
                <w:rFonts w:ascii="Calibri" w:hAnsi="Calibri" w:cs="Calibri"/>
                <w:b/>
                <w:bCs/>
                <w:color w:val="000000"/>
                <w:szCs w:val="20"/>
              </w:rPr>
            </w:pPr>
            <w:r w:rsidRPr="008A1717">
              <w:rPr>
                <w:rFonts w:ascii="Calibri" w:hAnsi="Calibri" w:cs="Calibri"/>
                <w:b/>
                <w:bCs/>
                <w:color w:val="000000"/>
                <w:szCs w:val="20"/>
              </w:rPr>
              <w:t>1,464</w:t>
            </w:r>
          </w:p>
        </w:tc>
        <w:tc>
          <w:tcPr>
            <w:tcW w:w="566" w:type="pct"/>
            <w:shd w:val="clear" w:color="auto" w:fill="FFCC99"/>
            <w:vAlign w:val="center"/>
          </w:tcPr>
          <w:p w:rsidR="008A1717" w:rsidRPr="008A1717" w:rsidRDefault="008A1717" w:rsidP="001522E3">
            <w:pPr>
              <w:ind w:right="288"/>
              <w:jc w:val="right"/>
              <w:rPr>
                <w:rFonts w:ascii="Calibri" w:hAnsi="Calibri" w:cs="Calibri"/>
                <w:b/>
                <w:bCs/>
                <w:color w:val="000000"/>
                <w:szCs w:val="20"/>
              </w:rPr>
            </w:pPr>
            <w:r w:rsidRPr="008A1717">
              <w:rPr>
                <w:rFonts w:ascii="Calibri" w:hAnsi="Calibri" w:cs="Calibri"/>
                <w:b/>
                <w:bCs/>
                <w:color w:val="000000"/>
                <w:szCs w:val="20"/>
              </w:rPr>
              <w:t>1,577</w:t>
            </w:r>
          </w:p>
        </w:tc>
        <w:tc>
          <w:tcPr>
            <w:tcW w:w="567" w:type="pct"/>
            <w:shd w:val="clear" w:color="auto" w:fill="FFCC99"/>
            <w:tcMar>
              <w:top w:w="29" w:type="dxa"/>
              <w:bottom w:w="29" w:type="dxa"/>
            </w:tcMar>
            <w:vAlign w:val="center"/>
          </w:tcPr>
          <w:p w:rsidR="008A1717" w:rsidRPr="008A1717" w:rsidRDefault="008A1717" w:rsidP="001522E3">
            <w:pPr>
              <w:ind w:right="288"/>
              <w:jc w:val="right"/>
              <w:rPr>
                <w:rFonts w:ascii="Calibri" w:hAnsi="Calibri" w:cs="Calibri"/>
                <w:b/>
                <w:bCs/>
                <w:color w:val="000000"/>
                <w:szCs w:val="20"/>
              </w:rPr>
            </w:pPr>
            <w:r w:rsidRPr="008A1717">
              <w:rPr>
                <w:rFonts w:ascii="Calibri" w:hAnsi="Calibri" w:cs="Calibri"/>
                <w:b/>
                <w:bCs/>
                <w:color w:val="000000"/>
                <w:szCs w:val="20"/>
              </w:rPr>
              <w:t>11.3%</w:t>
            </w:r>
          </w:p>
        </w:tc>
      </w:tr>
    </w:tbl>
    <w:p w:rsidR="00072331" w:rsidRDefault="00072331" w:rsidP="00072331">
      <w:pPr>
        <w:pStyle w:val="BodyText"/>
      </w:pPr>
    </w:p>
    <w:p w:rsidR="00072331" w:rsidRDefault="00072331" w:rsidP="00072331">
      <w:pPr>
        <w:pStyle w:val="FigureorTableTitle"/>
      </w:pPr>
      <w:bookmarkStart w:id="362" w:name="_Ref423520496"/>
      <w:bookmarkStart w:id="363" w:name="_Toc424192734"/>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4</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23</w:t>
      </w:r>
      <w:r w:rsidR="00512CD6">
        <w:rPr>
          <w:noProof/>
          <w:szCs w:val="18"/>
        </w:rPr>
        <w:fldChar w:fldCharType="end"/>
      </w:r>
      <w:bookmarkEnd w:id="362"/>
      <w:r>
        <w:rPr>
          <w:szCs w:val="18"/>
        </w:rPr>
        <w:tab/>
      </w:r>
      <w:r>
        <w:t xml:space="preserve">Baseline </w:t>
      </w:r>
      <w:r w:rsidR="0045496D">
        <w:t>Winter</w:t>
      </w:r>
      <w:r>
        <w:t xml:space="preserve"> Peak Projection Summary (MW), WA and ID Combined</w:t>
      </w:r>
      <w:bookmarkEnd w:id="363"/>
    </w:p>
    <w:p w:rsidR="00072331" w:rsidRDefault="008A1717" w:rsidP="00C449BF">
      <w:pPr>
        <w:pStyle w:val="BodyText"/>
      </w:pPr>
      <w:r w:rsidRPr="008A1717">
        <w:rPr>
          <w:noProof/>
        </w:rPr>
        <w:drawing>
          <wp:inline distT="0" distB="0" distL="0" distR="0">
            <wp:extent cx="6237605" cy="351472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750" t="1320" r="1029" b="1174"/>
                    <a:stretch/>
                  </pic:blipFill>
                  <pic:spPr bwMode="auto">
                    <a:xfrm>
                      <a:off x="0" y="0"/>
                      <a:ext cx="6247435" cy="3520264"/>
                    </a:xfrm>
                    <a:prstGeom prst="rect">
                      <a:avLst/>
                    </a:prstGeom>
                    <a:noFill/>
                    <a:ln>
                      <a:noFill/>
                    </a:ln>
                    <a:extLst>
                      <a:ext uri="{53640926-AAD7-44D8-BBD7-CCE9431645EC}">
                        <a14:shadowObscured xmlns:a14="http://schemas.microsoft.com/office/drawing/2010/main"/>
                      </a:ext>
                    </a:extLst>
                  </pic:spPr>
                </pic:pic>
              </a:graphicData>
            </a:graphic>
          </wp:inline>
        </w:drawing>
      </w:r>
    </w:p>
    <w:p w:rsidR="00157088" w:rsidRDefault="00157088" w:rsidP="00157088"/>
    <w:p w:rsidR="00157088" w:rsidRDefault="00157088" w:rsidP="00157088">
      <w:pPr>
        <w:pStyle w:val="BodyText"/>
        <w:sectPr w:rsidR="00157088" w:rsidSect="00157E2A">
          <w:pgSz w:w="12240" w:h="15840" w:code="1"/>
          <w:pgMar w:top="1152" w:right="1440" w:bottom="1152" w:left="1800" w:header="720" w:footer="720" w:gutter="0"/>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08"/>
        <w:gridCol w:w="7779"/>
      </w:tblGrid>
      <w:tr w:rsidR="00157088" w:rsidRPr="00351A80" w:rsidTr="00606D25">
        <w:trPr>
          <w:cantSplit/>
          <w:trHeight w:hRule="exact" w:val="288"/>
        </w:trPr>
        <w:tc>
          <w:tcPr>
            <w:tcW w:w="1295" w:type="dxa"/>
            <w:shd w:val="clear" w:color="auto" w:fill="auto"/>
            <w:vAlign w:val="center"/>
          </w:tcPr>
          <w:p w:rsidR="00157088" w:rsidRPr="00351A80" w:rsidRDefault="00157088" w:rsidP="00606D25">
            <w:pPr>
              <w:pStyle w:val="Chapter"/>
              <w:framePr w:hSpace="0" w:wrap="auto" w:vAnchor="margin" w:hAnchor="text" w:yAlign="inline"/>
            </w:pPr>
            <w:r>
              <w:lastRenderedPageBreak/>
              <w:t>Section</w:t>
            </w:r>
          </w:p>
        </w:tc>
        <w:tc>
          <w:tcPr>
            <w:tcW w:w="7705" w:type="dxa"/>
            <w:shd w:val="clear" w:color="auto" w:fill="auto"/>
            <w:tcMar>
              <w:left w:w="173" w:type="dxa"/>
            </w:tcMar>
            <w:vAlign w:val="center"/>
          </w:tcPr>
          <w:p w:rsidR="00157088" w:rsidRPr="00351A80" w:rsidRDefault="00157088" w:rsidP="00606D25">
            <w:pPr>
              <w:pStyle w:val="Heading1"/>
            </w:pPr>
          </w:p>
        </w:tc>
      </w:tr>
    </w:tbl>
    <w:p w:rsidR="00157088" w:rsidRDefault="00DA2C9E" w:rsidP="00157088">
      <w:pPr>
        <w:pStyle w:val="ChapterTitle"/>
      </w:pPr>
      <w:bookmarkStart w:id="364" w:name="_Toc401046355"/>
      <w:bookmarkStart w:id="365" w:name="_Toc424192641"/>
      <w:bookmarkStart w:id="366" w:name="_Toc335647173"/>
      <w:bookmarkStart w:id="367" w:name="_Toc341176237"/>
      <w:r>
        <w:t>Conservation</w:t>
      </w:r>
      <w:r w:rsidR="00157088">
        <w:t xml:space="preserve"> Potential</w:t>
      </w:r>
      <w:bookmarkEnd w:id="364"/>
      <w:bookmarkEnd w:id="365"/>
      <w:r w:rsidR="00157088">
        <w:t xml:space="preserve"> </w:t>
      </w:r>
      <w:bookmarkEnd w:id="366"/>
      <w:bookmarkEnd w:id="367"/>
      <w:r w:rsidR="00157088">
        <w:t xml:space="preserve">  </w:t>
      </w:r>
    </w:p>
    <w:p w:rsidR="00CE5E9E" w:rsidRDefault="00157088" w:rsidP="00157088">
      <w:pPr>
        <w:pStyle w:val="BodyText"/>
      </w:pPr>
      <w:r>
        <w:t xml:space="preserve">This </w:t>
      </w:r>
      <w:r w:rsidR="00534D78">
        <w:t>section</w:t>
      </w:r>
      <w:r w:rsidR="001629CB">
        <w:t xml:space="preserve"> presents the </w:t>
      </w:r>
      <w:r w:rsidR="00CE5E9E">
        <w:t xml:space="preserve">measure-level </w:t>
      </w:r>
      <w:r w:rsidR="00DA2C9E">
        <w:t>conservation</w:t>
      </w:r>
      <w:r w:rsidR="001629CB">
        <w:t xml:space="preserve"> </w:t>
      </w:r>
      <w:r>
        <w:t xml:space="preserve">potential for </w:t>
      </w:r>
      <w:r w:rsidR="00DA2C9E">
        <w:t>Avista</w:t>
      </w:r>
      <w:r>
        <w:t xml:space="preserve">. </w:t>
      </w:r>
      <w:r w:rsidR="00CE5E9E">
        <w:t xml:space="preserve">This includes every possible measure that is considered in the measure list, regardless of program implementation concerns.  </w:t>
      </w:r>
    </w:p>
    <w:p w:rsidR="00157088" w:rsidRDefault="001629CB" w:rsidP="00157088">
      <w:pPr>
        <w:pStyle w:val="BodyText"/>
      </w:pPr>
      <w:r>
        <w:t xml:space="preserve">We present the annual energy savings in GWh and </w:t>
      </w:r>
      <w:r w:rsidR="00C65EBB">
        <w:t>a</w:t>
      </w:r>
      <w:r>
        <w:t>MW</w:t>
      </w:r>
      <w:r w:rsidR="00534D78">
        <w:t xml:space="preserve"> for selected years</w:t>
      </w:r>
      <w:r>
        <w:t xml:space="preserve"> from </w:t>
      </w:r>
      <w:r w:rsidR="003A7F74">
        <w:t>conservation</w:t>
      </w:r>
      <w:r>
        <w:t xml:space="preserve"> measures. </w:t>
      </w:r>
      <w:r w:rsidR="00157088">
        <w:t xml:space="preserve">Year-by-year savings for annual energy and peak demand are available in the LoadMAP model, </w:t>
      </w:r>
      <w:r w:rsidR="00157088" w:rsidRPr="001A0079">
        <w:t xml:space="preserve">which was provided to </w:t>
      </w:r>
      <w:r w:rsidR="00C65EBB" w:rsidRPr="001A0079">
        <w:t>Avista</w:t>
      </w:r>
      <w:r w:rsidR="00157088" w:rsidRPr="001A0079">
        <w:t xml:space="preserve"> at the conclusion of the study.</w:t>
      </w:r>
      <w:r w:rsidR="00157088">
        <w:t xml:space="preserve"> </w:t>
      </w:r>
    </w:p>
    <w:p w:rsidR="001629CB" w:rsidRDefault="00534D78" w:rsidP="00157088">
      <w:pPr>
        <w:pStyle w:val="BodyText"/>
      </w:pPr>
      <w:r>
        <w:t xml:space="preserve">This section begins </w:t>
      </w:r>
      <w:r w:rsidR="001629CB">
        <w:t xml:space="preserve">a summary of annual energy savings across all </w:t>
      </w:r>
      <w:r w:rsidR="00C65EBB">
        <w:t>three</w:t>
      </w:r>
      <w:r w:rsidR="001629CB">
        <w:t xml:space="preserve"> sectors. Then we provide details for each sector.</w:t>
      </w:r>
      <w:r w:rsidR="006A5F01">
        <w:t xml:space="preserve"> Please n</w:t>
      </w:r>
      <w:r w:rsidR="006A5F01" w:rsidRPr="001B77D4">
        <w:t xml:space="preserve">ote that </w:t>
      </w:r>
      <w:r w:rsidR="006A5F01">
        <w:t>all savings are provided at the customer meter</w:t>
      </w:r>
      <w:r w:rsidR="006A5F01" w:rsidRPr="001B77D4">
        <w:t>.</w:t>
      </w:r>
    </w:p>
    <w:p w:rsidR="00157088" w:rsidRDefault="008F0231" w:rsidP="00157088">
      <w:pPr>
        <w:pStyle w:val="Heading2"/>
      </w:pPr>
      <w:bookmarkStart w:id="368" w:name="_Toc401046356"/>
      <w:bookmarkStart w:id="369" w:name="_Toc424192642"/>
      <w:r>
        <w:t xml:space="preserve">Overall </w:t>
      </w:r>
      <w:r w:rsidR="00157088">
        <w:t xml:space="preserve">Summary of </w:t>
      </w:r>
      <w:r w:rsidR="00735397">
        <w:t>Energy Efficiency</w:t>
      </w:r>
      <w:r w:rsidR="00157088">
        <w:t xml:space="preserve"> </w:t>
      </w:r>
      <w:r>
        <w:t>Potential</w:t>
      </w:r>
      <w:bookmarkEnd w:id="368"/>
      <w:bookmarkEnd w:id="369"/>
      <w:r w:rsidR="00157088">
        <w:t xml:space="preserve"> </w:t>
      </w:r>
    </w:p>
    <w:p w:rsidR="008F0231" w:rsidRDefault="008F0231" w:rsidP="00BD0E72">
      <w:pPr>
        <w:pStyle w:val="Heading3"/>
      </w:pPr>
      <w:bookmarkStart w:id="370" w:name="_Toc424192643"/>
      <w:r>
        <w:t>Summary of Annual Energy Savings</w:t>
      </w:r>
      <w:bookmarkEnd w:id="370"/>
    </w:p>
    <w:p w:rsidR="00157088" w:rsidRDefault="00893E3D" w:rsidP="00157088">
      <w:pPr>
        <w:pStyle w:val="BodyText"/>
      </w:pPr>
      <w:r>
        <w:fldChar w:fldCharType="begin"/>
      </w:r>
      <w:r w:rsidR="00273F88">
        <w:instrText xml:space="preserve"> REF _Ref402253850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w:t>
      </w:r>
      <w:r>
        <w:fldChar w:fldCharType="end"/>
      </w:r>
      <w:r w:rsidR="00157088">
        <w:t xml:space="preserve"> </w:t>
      </w:r>
      <w:r w:rsidR="00D03E07">
        <w:t xml:space="preserve">(WA) and </w:t>
      </w:r>
      <w:r>
        <w:fldChar w:fldCharType="begin"/>
      </w:r>
      <w:r w:rsidR="00D03E07">
        <w:instrText xml:space="preserve"> REF _Ref422837403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2</w:t>
      </w:r>
      <w:r>
        <w:fldChar w:fldCharType="end"/>
      </w:r>
      <w:r w:rsidR="00D03E07">
        <w:t xml:space="preserve"> (ID)</w:t>
      </w:r>
      <w:r w:rsidR="002E0104">
        <w:t xml:space="preserve"> </w:t>
      </w:r>
      <w:r w:rsidR="00157088" w:rsidRPr="00377C7F">
        <w:t>summarize the</w:t>
      </w:r>
      <w:r w:rsidR="00157088">
        <w:t xml:space="preserve"> </w:t>
      </w:r>
      <w:r w:rsidR="00735397">
        <w:t>EE</w:t>
      </w:r>
      <w:r w:rsidR="00157088" w:rsidRPr="00377C7F">
        <w:t xml:space="preserve"> savings</w:t>
      </w:r>
      <w:r w:rsidR="00157088">
        <w:t xml:space="preserve"> in terms of annual energy </w:t>
      </w:r>
      <w:r w:rsidR="00275F1A">
        <w:t>use</w:t>
      </w:r>
      <w:r w:rsidR="00157088" w:rsidRPr="00377C7F">
        <w:t xml:space="preserve"> for</w:t>
      </w:r>
      <w:r w:rsidR="00157088">
        <w:t xml:space="preserve"> all measures </w:t>
      </w:r>
      <w:r w:rsidR="00275F1A">
        <w:t>for three</w:t>
      </w:r>
      <w:r w:rsidR="00157088" w:rsidRPr="00377C7F">
        <w:t xml:space="preserve"> levels of potential relative to the </w:t>
      </w:r>
      <w:r w:rsidR="00157088">
        <w:t>baseline projection</w:t>
      </w:r>
      <w:r w:rsidR="00157088" w:rsidRPr="00377C7F">
        <w:t>.</w:t>
      </w:r>
      <w:r w:rsidR="00157088">
        <w:t xml:space="preserve"> </w:t>
      </w:r>
      <w:r>
        <w:fldChar w:fldCharType="begin"/>
      </w:r>
      <w:r w:rsidR="00D03E07">
        <w:instrText xml:space="preserve"> REF _Ref422837433 \h </w:instrText>
      </w:r>
      <w:r>
        <w:fldChar w:fldCharType="separate"/>
      </w:r>
      <w:r w:rsidR="00B2652C" w:rsidRPr="00E07587">
        <w:t>Figure</w:t>
      </w:r>
      <w:r w:rsidR="00B2652C">
        <w:t xml:space="preserve"> </w:t>
      </w:r>
      <w:r w:rsidR="00B2652C" w:rsidRPr="00B2652C">
        <w:rPr>
          <w:noProof/>
        </w:rPr>
        <w:t>5</w:t>
      </w:r>
      <w:r w:rsidR="00B2652C" w:rsidRPr="00E07587">
        <w:t>-</w:t>
      </w:r>
      <w:r w:rsidR="00B2652C" w:rsidRPr="00B2652C">
        <w:rPr>
          <w:noProof/>
        </w:rPr>
        <w:t>1</w:t>
      </w:r>
      <w:r>
        <w:fldChar w:fldCharType="end"/>
      </w:r>
      <w:r w:rsidR="00D03E07">
        <w:t xml:space="preserve">(WA) and </w:t>
      </w:r>
      <w:r>
        <w:fldChar w:fldCharType="begin"/>
      </w:r>
      <w:r w:rsidR="00D03E07">
        <w:instrText xml:space="preserve"> REF _Ref422837444 \h </w:instrText>
      </w:r>
      <w:r>
        <w:fldChar w:fldCharType="separate"/>
      </w:r>
      <w:r w:rsidR="00B2652C" w:rsidRPr="00E07587">
        <w:t>Figure</w:t>
      </w:r>
      <w:r w:rsidR="00B2652C">
        <w:t xml:space="preserve"> </w:t>
      </w:r>
      <w:r w:rsidR="00B2652C" w:rsidRPr="00B2652C">
        <w:rPr>
          <w:noProof/>
        </w:rPr>
        <w:t>5</w:t>
      </w:r>
      <w:r w:rsidR="00B2652C" w:rsidRPr="00E07587">
        <w:t>-</w:t>
      </w:r>
      <w:r w:rsidR="00B2652C" w:rsidRPr="00B2652C">
        <w:rPr>
          <w:noProof/>
        </w:rPr>
        <w:t>2</w:t>
      </w:r>
      <w:r>
        <w:fldChar w:fldCharType="end"/>
      </w:r>
      <w:r w:rsidR="00D03E07">
        <w:t xml:space="preserve"> (ID) displays the three levels of potential by year. </w:t>
      </w:r>
      <w:r>
        <w:fldChar w:fldCharType="begin"/>
      </w:r>
      <w:r w:rsidR="00D03E07">
        <w:instrText xml:space="preserve"> REF _Ref422837598 \h </w:instrText>
      </w:r>
      <w:r>
        <w:fldChar w:fldCharType="separate"/>
      </w:r>
      <w:r w:rsidR="00B2652C" w:rsidRPr="00E07587">
        <w:t xml:space="preserve">Figure </w:t>
      </w:r>
      <w:r w:rsidR="00B2652C" w:rsidRPr="00B2652C">
        <w:rPr>
          <w:noProof/>
        </w:rPr>
        <w:t>5</w:t>
      </w:r>
      <w:r w:rsidR="00B2652C" w:rsidRPr="00E07587">
        <w:t>-</w:t>
      </w:r>
      <w:r w:rsidR="00B2652C" w:rsidRPr="00B2652C">
        <w:rPr>
          <w:noProof/>
        </w:rPr>
        <w:t>3</w:t>
      </w:r>
      <w:r>
        <w:fldChar w:fldCharType="end"/>
      </w:r>
      <w:r w:rsidR="00D03E07">
        <w:t xml:space="preserve"> (WA) and </w:t>
      </w:r>
      <w:r>
        <w:fldChar w:fldCharType="begin"/>
      </w:r>
      <w:r w:rsidR="00D03E07">
        <w:instrText xml:space="preserve"> REF _Ref422837611 \h </w:instrText>
      </w:r>
      <w:r>
        <w:fldChar w:fldCharType="separate"/>
      </w:r>
      <w:r w:rsidR="00B2652C" w:rsidRPr="00E07587">
        <w:t xml:space="preserve">Figure </w:t>
      </w:r>
      <w:r w:rsidR="00B2652C" w:rsidRPr="00B2652C">
        <w:rPr>
          <w:noProof/>
        </w:rPr>
        <w:t>5</w:t>
      </w:r>
      <w:r w:rsidR="00B2652C" w:rsidRPr="00E07587">
        <w:t>-</w:t>
      </w:r>
      <w:r w:rsidR="00B2652C" w:rsidRPr="00B2652C">
        <w:rPr>
          <w:noProof/>
        </w:rPr>
        <w:t>4</w:t>
      </w:r>
      <w:r>
        <w:fldChar w:fldCharType="end"/>
      </w:r>
      <w:r w:rsidR="00D03E07">
        <w:t xml:space="preserve"> (ID) </w:t>
      </w:r>
      <w:r w:rsidR="00157088" w:rsidRPr="00377C7F">
        <w:t xml:space="preserve">display the </w:t>
      </w:r>
      <w:r w:rsidR="00735397">
        <w:t>EE</w:t>
      </w:r>
      <w:r w:rsidR="00157088" w:rsidRPr="00377C7F">
        <w:t xml:space="preserve"> </w:t>
      </w:r>
      <w:r w:rsidR="00ED2203">
        <w:t>projections</w:t>
      </w:r>
      <w:r w:rsidR="00157088" w:rsidRPr="00377C7F">
        <w:t>.</w:t>
      </w:r>
      <w:r w:rsidR="00157088">
        <w:t xml:space="preserve"> </w:t>
      </w:r>
    </w:p>
    <w:p w:rsidR="00157088" w:rsidRPr="00B44371" w:rsidRDefault="00157088" w:rsidP="00157088">
      <w:pPr>
        <w:pStyle w:val="BulletedList0"/>
        <w:tabs>
          <w:tab w:val="clear" w:pos="360"/>
        </w:tabs>
        <w:rPr>
          <w:sz w:val="18"/>
          <w:szCs w:val="16"/>
        </w:rPr>
      </w:pPr>
      <w:r w:rsidRPr="00BF26FE">
        <w:rPr>
          <w:rStyle w:val="Emphasis"/>
        </w:rPr>
        <w:t>Technical potential</w:t>
      </w:r>
      <w:r w:rsidRPr="00BF26FE">
        <w:t xml:space="preserve"> reflects the adoption of all </w:t>
      </w:r>
      <w:r w:rsidR="003A7F74">
        <w:t xml:space="preserve">conservation </w:t>
      </w:r>
      <w:r w:rsidRPr="00BF26FE">
        <w:t xml:space="preserve">measures regardless of cost-effectiveness. </w:t>
      </w:r>
      <w:r w:rsidR="00071AA0">
        <w:t>For</w:t>
      </w:r>
      <w:r w:rsidR="00D03E07">
        <w:t xml:space="preserve"> Washington, f</w:t>
      </w:r>
      <w:r>
        <w:t xml:space="preserve">irst-year savings are </w:t>
      </w:r>
      <w:r w:rsidR="00D03E07">
        <w:t>116</w:t>
      </w:r>
      <w:r w:rsidR="00275F1A">
        <w:t xml:space="preserve"> GWh</w:t>
      </w:r>
      <w:r>
        <w:t xml:space="preserve">, or </w:t>
      </w:r>
      <w:r w:rsidR="00D03E07">
        <w:t>2.1</w:t>
      </w:r>
      <w:r>
        <w:t>% of the baseline projection. Cumulative savings in 20</w:t>
      </w:r>
      <w:r w:rsidR="00ED2203">
        <w:t>3</w:t>
      </w:r>
      <w:r w:rsidR="00D03E07">
        <w:t>5</w:t>
      </w:r>
      <w:r>
        <w:t xml:space="preserve"> are </w:t>
      </w:r>
      <w:r w:rsidR="00D03E07">
        <w:t>1</w:t>
      </w:r>
      <w:r w:rsidR="00ED2203">
        <w:t>,</w:t>
      </w:r>
      <w:r w:rsidR="00D03E07">
        <w:t>682</w:t>
      </w:r>
      <w:r w:rsidR="00275F1A">
        <w:t xml:space="preserve"> GWh</w:t>
      </w:r>
      <w:r>
        <w:t xml:space="preserve">, or </w:t>
      </w:r>
      <w:r w:rsidR="00ED2203">
        <w:t>27.</w:t>
      </w:r>
      <w:r w:rsidR="00D03E07">
        <w:t>2</w:t>
      </w:r>
      <w:r w:rsidR="00275F1A">
        <w:t>%</w:t>
      </w:r>
      <w:r>
        <w:t xml:space="preserve"> of the baseline.</w:t>
      </w:r>
      <w:r w:rsidR="00D03E07">
        <w:t xml:space="preserve"> </w:t>
      </w:r>
      <w:r w:rsidR="00071AA0">
        <w:t>For</w:t>
      </w:r>
      <w:r w:rsidR="00D03E07">
        <w:t xml:space="preserve"> Idaho, first-year savings are 57 GWh, or 2.2% of the baseline projection. Cumulative savings in 2035 are 824 GWh, or 28.8% of the baseline. </w:t>
      </w:r>
      <w:r>
        <w:t xml:space="preserve"> </w:t>
      </w:r>
    </w:p>
    <w:p w:rsidR="00157088" w:rsidRDefault="00157088" w:rsidP="00157088">
      <w:pPr>
        <w:pStyle w:val="BulletedList0"/>
        <w:tabs>
          <w:tab w:val="clear" w:pos="360"/>
        </w:tabs>
      </w:pPr>
      <w:r w:rsidRPr="00BF26FE">
        <w:rPr>
          <w:rStyle w:val="Emphasis"/>
        </w:rPr>
        <w:t>Economic potential</w:t>
      </w:r>
      <w:r w:rsidRPr="00BF26FE">
        <w:t xml:space="preserve"> reflects the savings when </w:t>
      </w:r>
      <w:r>
        <w:t xml:space="preserve">the most efficient </w:t>
      </w:r>
      <w:r w:rsidRPr="00BF26FE">
        <w:t>cost-effective measures are taken</w:t>
      </w:r>
      <w:r>
        <w:t xml:space="preserve"> by all customers. </w:t>
      </w:r>
      <w:r w:rsidR="00071AA0">
        <w:t>For Washington, th</w:t>
      </w:r>
      <w:r>
        <w:t>e first-year savings in 201</w:t>
      </w:r>
      <w:r w:rsidR="00071AA0">
        <w:t>6</w:t>
      </w:r>
      <w:r>
        <w:t xml:space="preserve"> are </w:t>
      </w:r>
      <w:r w:rsidR="00071AA0">
        <w:t>45</w:t>
      </w:r>
      <w:r w:rsidR="00275F1A">
        <w:t xml:space="preserve"> GWh</w:t>
      </w:r>
      <w:r>
        <w:t xml:space="preserve">, or </w:t>
      </w:r>
      <w:r w:rsidR="00071AA0">
        <w:t>0</w:t>
      </w:r>
      <w:r w:rsidR="00275F1A">
        <w:t>.</w:t>
      </w:r>
      <w:r w:rsidR="00071AA0">
        <w:t>8</w:t>
      </w:r>
      <w:r>
        <w:t>% of the baseline projection. By 20</w:t>
      </w:r>
      <w:r w:rsidR="00ED2203">
        <w:t>3</w:t>
      </w:r>
      <w:r w:rsidR="00071AA0">
        <w:t>5</w:t>
      </w:r>
      <w:r>
        <w:t xml:space="preserve">, cumulative savings reach </w:t>
      </w:r>
      <w:r w:rsidR="00071AA0">
        <w:t>884</w:t>
      </w:r>
      <w:r w:rsidR="00275F1A">
        <w:t xml:space="preserve"> GWh</w:t>
      </w:r>
      <w:r>
        <w:t xml:space="preserve">, or </w:t>
      </w:r>
      <w:r w:rsidR="00ED2203">
        <w:t>1</w:t>
      </w:r>
      <w:r w:rsidR="00071AA0">
        <w:t>4</w:t>
      </w:r>
      <w:r w:rsidR="00ED2203">
        <w:t>.</w:t>
      </w:r>
      <w:r w:rsidR="00071AA0">
        <w:t>3</w:t>
      </w:r>
      <w:r>
        <w:t>% of the baseline</w:t>
      </w:r>
      <w:r w:rsidR="00ED2203">
        <w:t xml:space="preserve"> projection</w:t>
      </w:r>
      <w:r>
        <w:t>.</w:t>
      </w:r>
      <w:r w:rsidR="00071AA0" w:rsidRPr="00071AA0">
        <w:t xml:space="preserve"> </w:t>
      </w:r>
      <w:r w:rsidR="00071AA0">
        <w:t>For Idaho, the first-year savings in 2016 are 23 GWh, or 0.9% of the baseline projection. By 2035, cumulative savings reach 408 GWh, or 14.2% of the baseline projection.</w:t>
      </w:r>
    </w:p>
    <w:p w:rsidR="00157088" w:rsidRDefault="00157088" w:rsidP="00157088">
      <w:pPr>
        <w:pStyle w:val="BulletedList0"/>
        <w:tabs>
          <w:tab w:val="clear" w:pos="360"/>
        </w:tabs>
      </w:pPr>
      <w:r>
        <w:rPr>
          <w:rStyle w:val="Emphasis"/>
        </w:rPr>
        <w:t xml:space="preserve">Achievable </w:t>
      </w:r>
      <w:r w:rsidR="00B22A5A">
        <w:rPr>
          <w:rStyle w:val="Emphasis"/>
        </w:rPr>
        <w:t>p</w:t>
      </w:r>
      <w:r>
        <w:rPr>
          <w:rStyle w:val="Emphasis"/>
        </w:rPr>
        <w:t>otential</w:t>
      </w:r>
      <w:r>
        <w:t xml:space="preserve"> </w:t>
      </w:r>
      <w:r w:rsidR="00CA5BE6">
        <w:t xml:space="preserve">represents savings that are possible through utility programs. It </w:t>
      </w:r>
      <w:r>
        <w:t xml:space="preserve">shows </w:t>
      </w:r>
      <w:r w:rsidR="00071AA0">
        <w:t>for Washington, 23</w:t>
      </w:r>
      <w:r w:rsidR="00CA5BE6">
        <w:t xml:space="preserve"> GWh savings</w:t>
      </w:r>
      <w:r>
        <w:t xml:space="preserve"> in the first year, or 0.</w:t>
      </w:r>
      <w:r w:rsidR="00071AA0">
        <w:t>4</w:t>
      </w:r>
      <w:r>
        <w:t>% of the baseline and by 20</w:t>
      </w:r>
      <w:r w:rsidR="00ED2203">
        <w:t>3</w:t>
      </w:r>
      <w:r w:rsidR="00071AA0">
        <w:t>5</w:t>
      </w:r>
      <w:r>
        <w:t xml:space="preserve"> cumulative </w:t>
      </w:r>
      <w:r w:rsidR="00ED2203">
        <w:t xml:space="preserve">achievable </w:t>
      </w:r>
      <w:r>
        <w:t xml:space="preserve">savings reach </w:t>
      </w:r>
      <w:r w:rsidR="00071AA0">
        <w:t>746</w:t>
      </w:r>
      <w:r w:rsidR="00CA5BE6">
        <w:t xml:space="preserve"> GWh</w:t>
      </w:r>
      <w:r>
        <w:t xml:space="preserve">, or </w:t>
      </w:r>
      <w:r w:rsidR="00ED2203">
        <w:t>1</w:t>
      </w:r>
      <w:r w:rsidR="00071AA0">
        <w:t>2</w:t>
      </w:r>
      <w:r>
        <w:t>% of the baseline projection. This results in average annual savings of 0.</w:t>
      </w:r>
      <w:r w:rsidR="00071AA0">
        <w:t>5</w:t>
      </w:r>
      <w:r>
        <w:t>% of the baseline each year.</w:t>
      </w:r>
      <w:r w:rsidR="00CA5BE6">
        <w:t xml:space="preserve"> Achievable potential reflects </w:t>
      </w:r>
      <w:r w:rsidR="00ED2203">
        <w:t>8</w:t>
      </w:r>
      <w:r w:rsidR="00071AA0">
        <w:t>4</w:t>
      </w:r>
      <w:r w:rsidR="00ED2203">
        <w:t>%</w:t>
      </w:r>
      <w:r w:rsidR="00CA5BE6">
        <w:t xml:space="preserve"> of economic potential throughout the forecast horizon.</w:t>
      </w:r>
      <w:r w:rsidR="00071AA0">
        <w:t xml:space="preserve"> For Idaho, first year savings are 11 GWh or 0.4% of the baseline and by 2035 cumulative achievable savings reach 344 GWh, or 12% of the baseline.</w:t>
      </w:r>
    </w:p>
    <w:p w:rsidR="00CB5FF3" w:rsidRDefault="00CB5FF3" w:rsidP="00CB5FF3">
      <w:pPr>
        <w:pStyle w:val="BulletedList0"/>
        <w:numPr>
          <w:ilvl w:val="0"/>
          <w:numId w:val="0"/>
        </w:numPr>
        <w:rPr>
          <w:rStyle w:val="Emphasis"/>
        </w:rPr>
      </w:pPr>
      <w:r>
        <w:rPr>
          <w:rStyle w:val="Emphasis"/>
        </w:rPr>
        <w:br w:type="page"/>
      </w:r>
    </w:p>
    <w:p w:rsidR="00157088" w:rsidRDefault="00273F88" w:rsidP="008115B5">
      <w:pPr>
        <w:pStyle w:val="FigureorTableTitle"/>
      </w:pPr>
      <w:bookmarkStart w:id="371" w:name="_Ref402253850"/>
      <w:bookmarkStart w:id="372" w:name="_Toc341181347"/>
      <w:bookmarkStart w:id="373" w:name="_Toc396755842"/>
      <w:bookmarkStart w:id="374" w:name="_Toc424192796"/>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w:t>
      </w:r>
      <w:r w:rsidR="00512CD6">
        <w:rPr>
          <w:bCs w:val="0"/>
          <w:iCs w:val="0"/>
          <w:noProof/>
        </w:rPr>
        <w:fldChar w:fldCharType="end"/>
      </w:r>
      <w:bookmarkEnd w:id="371"/>
      <w:r w:rsidR="00500407">
        <w:tab/>
        <w:t xml:space="preserve">Summary of </w:t>
      </w:r>
      <w:r w:rsidR="00735397">
        <w:t>EE</w:t>
      </w:r>
      <w:r w:rsidR="00157088">
        <w:t xml:space="preserve"> Potential</w:t>
      </w:r>
      <w:bookmarkEnd w:id="372"/>
      <w:r w:rsidR="00157088">
        <w:t xml:space="preserve"> (</w:t>
      </w:r>
      <w:r w:rsidR="00EA22EB">
        <w:t xml:space="preserve">Annual Energy, </w:t>
      </w:r>
      <w:r w:rsidR="00500407">
        <w:t>GWh</w:t>
      </w:r>
      <w:r w:rsidR="00157088">
        <w:t>)</w:t>
      </w:r>
      <w:bookmarkEnd w:id="373"/>
      <w:r w:rsidR="00B81D05">
        <w:t>, Washington</w:t>
      </w:r>
      <w:bookmarkEnd w:id="374"/>
    </w:p>
    <w:tbl>
      <w:tblPr>
        <w:tblW w:w="5000" w:type="pct"/>
        <w:tblCellMar>
          <w:left w:w="0" w:type="dxa"/>
          <w:right w:w="0" w:type="dxa"/>
        </w:tblCellMar>
        <w:tblLook w:val="04A0" w:firstRow="1" w:lastRow="0" w:firstColumn="1" w:lastColumn="0" w:noHBand="0" w:noVBand="1"/>
      </w:tblPr>
      <w:tblGrid>
        <w:gridCol w:w="2713"/>
        <w:gridCol w:w="1261"/>
        <w:gridCol w:w="1261"/>
        <w:gridCol w:w="1261"/>
        <w:gridCol w:w="1263"/>
        <w:gridCol w:w="1261"/>
      </w:tblGrid>
      <w:tr w:rsidR="00B81D05" w:rsidRPr="006E727A" w:rsidTr="00B81D05">
        <w:trPr>
          <w:trHeight w:val="315"/>
        </w:trPr>
        <w:tc>
          <w:tcPr>
            <w:tcW w:w="1504"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157088" w:rsidRPr="006E727A" w:rsidRDefault="00157088" w:rsidP="00606D25">
            <w:pPr>
              <w:rPr>
                <w:rFonts w:ascii="Calibri" w:hAnsi="Calibri" w:cs="Calibri"/>
                <w:bCs/>
                <w:color w:val="FFFFFF"/>
                <w:szCs w:val="20"/>
              </w:rPr>
            </w:pPr>
            <w:bookmarkStart w:id="375" w:name="_Ref337026762"/>
            <w:bookmarkStart w:id="376" w:name="_Ref343189365"/>
            <w:bookmarkStart w:id="377" w:name="_Toc341180527"/>
            <w:r w:rsidRPr="006E727A">
              <w:rPr>
                <w:rFonts w:ascii="Calibri" w:hAnsi="Calibri" w:cs="Calibri"/>
                <w:bCs/>
                <w:color w:val="FFFFFF"/>
                <w:szCs w:val="20"/>
              </w:rPr>
              <w:t> </w:t>
            </w:r>
          </w:p>
        </w:tc>
        <w:tc>
          <w:tcPr>
            <w:tcW w:w="699" w:type="pct"/>
            <w:tcBorders>
              <w:top w:val="single" w:sz="8" w:space="0" w:color="999999"/>
              <w:left w:val="nil"/>
              <w:bottom w:val="single" w:sz="8" w:space="0" w:color="999999"/>
              <w:right w:val="single" w:sz="8" w:space="0" w:color="999999"/>
            </w:tcBorders>
            <w:shd w:val="clear" w:color="auto" w:fill="1A1D5D"/>
            <w:noWrap/>
            <w:vAlign w:val="center"/>
            <w:hideMark/>
          </w:tcPr>
          <w:p w:rsidR="00157088" w:rsidRPr="006E727A" w:rsidRDefault="00157088" w:rsidP="00B81D05">
            <w:pPr>
              <w:jc w:val="center"/>
              <w:rPr>
                <w:rFonts w:ascii="Calibri" w:hAnsi="Calibri" w:cs="Calibri"/>
                <w:bCs/>
                <w:color w:val="FFFFFF"/>
                <w:szCs w:val="20"/>
              </w:rPr>
            </w:pPr>
            <w:r w:rsidRPr="006E727A">
              <w:rPr>
                <w:rFonts w:ascii="Calibri" w:hAnsi="Calibri" w:cs="Calibri"/>
                <w:bCs/>
                <w:color w:val="FFFFFF"/>
                <w:szCs w:val="20"/>
              </w:rPr>
              <w:t>201</w:t>
            </w:r>
            <w:r w:rsidR="00B81D05">
              <w:rPr>
                <w:rFonts w:ascii="Calibri" w:hAnsi="Calibri" w:cs="Calibri"/>
                <w:bCs/>
                <w:color w:val="FFFFFF"/>
                <w:szCs w:val="20"/>
              </w:rPr>
              <w:t>6</w:t>
            </w:r>
          </w:p>
        </w:tc>
        <w:tc>
          <w:tcPr>
            <w:tcW w:w="699" w:type="pct"/>
            <w:tcBorders>
              <w:top w:val="single" w:sz="8" w:space="0" w:color="999999"/>
              <w:left w:val="nil"/>
              <w:bottom w:val="single" w:sz="8" w:space="0" w:color="999999"/>
              <w:right w:val="single" w:sz="8" w:space="0" w:color="999999"/>
            </w:tcBorders>
            <w:shd w:val="clear" w:color="auto" w:fill="1A1D5D"/>
            <w:noWrap/>
            <w:vAlign w:val="center"/>
            <w:hideMark/>
          </w:tcPr>
          <w:p w:rsidR="00157088" w:rsidRPr="006E727A" w:rsidRDefault="00500407" w:rsidP="00B81D05">
            <w:pPr>
              <w:jc w:val="center"/>
              <w:rPr>
                <w:rFonts w:ascii="Calibri" w:hAnsi="Calibri" w:cs="Calibri"/>
                <w:bCs/>
                <w:color w:val="FFFFFF"/>
                <w:szCs w:val="20"/>
              </w:rPr>
            </w:pPr>
            <w:r w:rsidRPr="006E727A">
              <w:rPr>
                <w:rFonts w:ascii="Calibri" w:hAnsi="Calibri" w:cs="Calibri"/>
                <w:bCs/>
                <w:color w:val="FFFFFF"/>
                <w:szCs w:val="20"/>
              </w:rPr>
              <w:t>20</w:t>
            </w:r>
            <w:r w:rsidR="008858ED">
              <w:rPr>
                <w:rFonts w:ascii="Calibri" w:hAnsi="Calibri" w:cs="Calibri"/>
                <w:bCs/>
                <w:color w:val="FFFFFF"/>
                <w:szCs w:val="20"/>
              </w:rPr>
              <w:t>1</w:t>
            </w:r>
            <w:r w:rsidR="00B81D05">
              <w:rPr>
                <w:rFonts w:ascii="Calibri" w:hAnsi="Calibri" w:cs="Calibri"/>
                <w:bCs/>
                <w:color w:val="FFFFFF"/>
                <w:szCs w:val="20"/>
              </w:rPr>
              <w:t>7</w:t>
            </w:r>
          </w:p>
        </w:tc>
        <w:tc>
          <w:tcPr>
            <w:tcW w:w="699" w:type="pct"/>
            <w:tcBorders>
              <w:top w:val="single" w:sz="8" w:space="0" w:color="999999"/>
              <w:left w:val="nil"/>
              <w:bottom w:val="single" w:sz="8" w:space="0" w:color="999999"/>
              <w:right w:val="single" w:sz="8" w:space="0" w:color="999999"/>
            </w:tcBorders>
            <w:shd w:val="clear" w:color="auto" w:fill="1A1D5D"/>
            <w:noWrap/>
            <w:vAlign w:val="center"/>
            <w:hideMark/>
          </w:tcPr>
          <w:p w:rsidR="00157088" w:rsidRPr="006E727A" w:rsidRDefault="008858ED" w:rsidP="00B81D05">
            <w:pPr>
              <w:jc w:val="center"/>
              <w:rPr>
                <w:rFonts w:ascii="Calibri" w:hAnsi="Calibri" w:cs="Calibri"/>
                <w:bCs/>
                <w:color w:val="FFFFFF"/>
                <w:szCs w:val="20"/>
              </w:rPr>
            </w:pPr>
            <w:r>
              <w:rPr>
                <w:rFonts w:ascii="Calibri" w:hAnsi="Calibri" w:cs="Calibri"/>
                <w:bCs/>
                <w:color w:val="FFFFFF"/>
                <w:szCs w:val="20"/>
              </w:rPr>
              <w:t>202</w:t>
            </w:r>
            <w:r w:rsidR="00B81D05">
              <w:rPr>
                <w:rFonts w:ascii="Calibri" w:hAnsi="Calibri" w:cs="Calibri"/>
                <w:bCs/>
                <w:color w:val="FFFFFF"/>
                <w:szCs w:val="20"/>
              </w:rPr>
              <w:t>0</w:t>
            </w:r>
          </w:p>
        </w:tc>
        <w:tc>
          <w:tcPr>
            <w:tcW w:w="700" w:type="pct"/>
            <w:tcBorders>
              <w:top w:val="single" w:sz="8" w:space="0" w:color="999999"/>
              <w:left w:val="nil"/>
              <w:bottom w:val="single" w:sz="8" w:space="0" w:color="999999"/>
              <w:right w:val="single" w:sz="8" w:space="0" w:color="999999"/>
            </w:tcBorders>
            <w:shd w:val="clear" w:color="auto" w:fill="1A1D5D"/>
            <w:noWrap/>
            <w:vAlign w:val="center"/>
            <w:hideMark/>
          </w:tcPr>
          <w:p w:rsidR="00157088" w:rsidRPr="006E727A" w:rsidRDefault="008858ED" w:rsidP="00B81D05">
            <w:pPr>
              <w:jc w:val="center"/>
              <w:rPr>
                <w:rFonts w:ascii="Calibri" w:hAnsi="Calibri" w:cs="Calibri"/>
                <w:bCs/>
                <w:color w:val="FFFFFF"/>
                <w:szCs w:val="20"/>
              </w:rPr>
            </w:pPr>
            <w:r>
              <w:rPr>
                <w:rFonts w:ascii="Calibri" w:hAnsi="Calibri" w:cs="Calibri"/>
                <w:bCs/>
                <w:color w:val="FFFFFF"/>
                <w:szCs w:val="20"/>
              </w:rPr>
              <w:t>202</w:t>
            </w:r>
            <w:r w:rsidR="00B81D05">
              <w:rPr>
                <w:rFonts w:ascii="Calibri" w:hAnsi="Calibri" w:cs="Calibri"/>
                <w:bCs/>
                <w:color w:val="FFFFFF"/>
                <w:szCs w:val="20"/>
              </w:rPr>
              <w:t>5</w:t>
            </w:r>
          </w:p>
        </w:tc>
        <w:tc>
          <w:tcPr>
            <w:tcW w:w="699" w:type="pct"/>
            <w:tcBorders>
              <w:top w:val="single" w:sz="8" w:space="0" w:color="999999"/>
              <w:left w:val="nil"/>
              <w:bottom w:val="single" w:sz="8" w:space="0" w:color="999999"/>
              <w:right w:val="single" w:sz="8" w:space="0" w:color="999999"/>
            </w:tcBorders>
            <w:shd w:val="clear" w:color="auto" w:fill="1A1D5D"/>
            <w:vAlign w:val="center"/>
            <w:hideMark/>
          </w:tcPr>
          <w:p w:rsidR="00157088" w:rsidRPr="006E727A" w:rsidRDefault="008858ED" w:rsidP="00B81D05">
            <w:pPr>
              <w:jc w:val="center"/>
              <w:rPr>
                <w:rFonts w:ascii="Calibri" w:hAnsi="Calibri" w:cs="Calibri"/>
                <w:bCs/>
                <w:color w:val="FFFFFF"/>
                <w:szCs w:val="20"/>
              </w:rPr>
            </w:pPr>
            <w:r>
              <w:rPr>
                <w:rFonts w:ascii="Calibri" w:hAnsi="Calibri" w:cs="Calibri"/>
                <w:bCs/>
                <w:color w:val="FFFFFF"/>
                <w:szCs w:val="20"/>
              </w:rPr>
              <w:t>203</w:t>
            </w:r>
            <w:r w:rsidR="00B81D05">
              <w:rPr>
                <w:rFonts w:ascii="Calibri" w:hAnsi="Calibri" w:cs="Calibri"/>
                <w:bCs/>
                <w:color w:val="FFFFFF"/>
                <w:szCs w:val="20"/>
              </w:rPr>
              <w:t>5</w:t>
            </w:r>
          </w:p>
        </w:tc>
      </w:tr>
      <w:tr w:rsidR="00B81D05" w:rsidRPr="006E727A" w:rsidTr="00B81D05">
        <w:trPr>
          <w:trHeight w:val="315"/>
        </w:trPr>
        <w:tc>
          <w:tcPr>
            <w:tcW w:w="1504" w:type="pct"/>
            <w:tcBorders>
              <w:top w:val="nil"/>
              <w:left w:val="single" w:sz="8" w:space="0" w:color="999999"/>
              <w:bottom w:val="single" w:sz="8" w:space="0" w:color="999999"/>
              <w:right w:val="single" w:sz="8" w:space="0" w:color="999999"/>
            </w:tcBorders>
            <w:shd w:val="clear" w:color="auto" w:fill="auto"/>
            <w:noWrap/>
            <w:vAlign w:val="center"/>
            <w:hideMark/>
          </w:tcPr>
          <w:p w:rsidR="00B81D05" w:rsidRPr="006E727A" w:rsidRDefault="00B81D05" w:rsidP="00B81D05">
            <w:pPr>
              <w:ind w:left="144"/>
              <w:rPr>
                <w:rFonts w:ascii="Calibri" w:hAnsi="Calibri" w:cs="Calibri"/>
                <w:b/>
                <w:bCs/>
                <w:color w:val="000000"/>
                <w:szCs w:val="20"/>
              </w:rPr>
            </w:pPr>
            <w:r w:rsidRPr="006E727A">
              <w:rPr>
                <w:rFonts w:ascii="Calibri" w:hAnsi="Calibri" w:cs="Calibri"/>
                <w:b/>
                <w:bCs/>
                <w:color w:val="000000"/>
                <w:szCs w:val="20"/>
              </w:rPr>
              <w:t>Baseline projection (GWh)</w:t>
            </w:r>
          </w:p>
        </w:tc>
        <w:tc>
          <w:tcPr>
            <w:tcW w:w="699" w:type="pct"/>
            <w:tcBorders>
              <w:top w:val="nil"/>
              <w:left w:val="nil"/>
              <w:bottom w:val="single" w:sz="8" w:space="0" w:color="999999"/>
              <w:right w:val="single" w:sz="8" w:space="0" w:color="999999"/>
            </w:tcBorders>
            <w:shd w:val="clear" w:color="auto" w:fill="auto"/>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5,520</w:t>
            </w:r>
          </w:p>
        </w:tc>
        <w:tc>
          <w:tcPr>
            <w:tcW w:w="699" w:type="pct"/>
            <w:tcBorders>
              <w:top w:val="nil"/>
              <w:left w:val="nil"/>
              <w:bottom w:val="single" w:sz="8" w:space="0" w:color="999999"/>
              <w:right w:val="single" w:sz="8" w:space="0" w:color="999999"/>
            </w:tcBorders>
            <w:shd w:val="clear" w:color="auto" w:fill="auto"/>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5,530</w:t>
            </w:r>
          </w:p>
        </w:tc>
        <w:tc>
          <w:tcPr>
            <w:tcW w:w="699" w:type="pct"/>
            <w:tcBorders>
              <w:top w:val="nil"/>
              <w:left w:val="nil"/>
              <w:bottom w:val="single" w:sz="8" w:space="0" w:color="999999"/>
              <w:right w:val="single" w:sz="8" w:space="0" w:color="999999"/>
            </w:tcBorders>
            <w:shd w:val="clear" w:color="auto" w:fill="auto"/>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5,575</w:t>
            </w:r>
          </w:p>
        </w:tc>
        <w:tc>
          <w:tcPr>
            <w:tcW w:w="700" w:type="pct"/>
            <w:tcBorders>
              <w:top w:val="nil"/>
              <w:left w:val="nil"/>
              <w:bottom w:val="single" w:sz="8" w:space="0" w:color="999999"/>
              <w:right w:val="single" w:sz="8" w:space="0" w:color="999999"/>
            </w:tcBorders>
            <w:shd w:val="clear" w:color="auto" w:fill="auto"/>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5,693</w:t>
            </w:r>
          </w:p>
        </w:tc>
        <w:tc>
          <w:tcPr>
            <w:tcW w:w="699" w:type="pct"/>
            <w:tcBorders>
              <w:top w:val="nil"/>
              <w:left w:val="nil"/>
              <w:bottom w:val="single" w:sz="8" w:space="0" w:color="999999"/>
              <w:right w:val="single" w:sz="8" w:space="0" w:color="999999"/>
            </w:tcBorders>
            <w:shd w:val="clear" w:color="auto" w:fill="auto"/>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6,192</w:t>
            </w:r>
          </w:p>
        </w:tc>
      </w:tr>
      <w:tr w:rsidR="00157088" w:rsidRPr="006E727A" w:rsidTr="004139A8">
        <w:trPr>
          <w:trHeight w:val="315"/>
        </w:trPr>
        <w:tc>
          <w:tcPr>
            <w:tcW w:w="5000" w:type="pct"/>
            <w:gridSpan w:val="6"/>
            <w:tcBorders>
              <w:top w:val="single" w:sz="8" w:space="0" w:color="999999"/>
              <w:left w:val="single" w:sz="8" w:space="0" w:color="999999"/>
              <w:bottom w:val="single" w:sz="8" w:space="0" w:color="999999"/>
              <w:right w:val="single" w:sz="8" w:space="0" w:color="808080"/>
            </w:tcBorders>
            <w:shd w:val="clear" w:color="auto" w:fill="E5EBF1" w:themeFill="accent2" w:themeFillTint="33"/>
            <w:vAlign w:val="center"/>
            <w:hideMark/>
          </w:tcPr>
          <w:p w:rsidR="00157088" w:rsidRPr="006E727A" w:rsidRDefault="00157088" w:rsidP="008858ED">
            <w:pPr>
              <w:ind w:left="144" w:right="144"/>
              <w:rPr>
                <w:rFonts w:ascii="Calibri" w:hAnsi="Calibri" w:cs="Calibri"/>
                <w:b/>
                <w:bCs/>
                <w:color w:val="000000"/>
                <w:szCs w:val="20"/>
              </w:rPr>
            </w:pPr>
            <w:r w:rsidRPr="006E727A">
              <w:rPr>
                <w:rFonts w:ascii="Calibri" w:hAnsi="Calibri" w:cs="Calibri"/>
                <w:b/>
                <w:bCs/>
                <w:color w:val="000000"/>
                <w:szCs w:val="20"/>
              </w:rPr>
              <w:t>Cumulative Savings (</w:t>
            </w:r>
            <w:r w:rsidR="00500407" w:rsidRPr="006E727A">
              <w:rPr>
                <w:rFonts w:ascii="Calibri" w:hAnsi="Calibri" w:cs="Calibri"/>
                <w:b/>
                <w:bCs/>
                <w:color w:val="000000"/>
                <w:szCs w:val="20"/>
              </w:rPr>
              <w:t>G</w:t>
            </w:r>
            <w:r w:rsidRPr="006E727A">
              <w:rPr>
                <w:rFonts w:ascii="Calibri" w:hAnsi="Calibri" w:cs="Calibri"/>
                <w:b/>
                <w:bCs/>
                <w:color w:val="000000"/>
                <w:szCs w:val="20"/>
              </w:rPr>
              <w:t>Wh)</w:t>
            </w:r>
          </w:p>
        </w:tc>
      </w:tr>
      <w:tr w:rsidR="00B81D05" w:rsidRPr="006E727A" w:rsidTr="00B81D05">
        <w:trPr>
          <w:trHeight w:val="315"/>
        </w:trPr>
        <w:tc>
          <w:tcPr>
            <w:tcW w:w="1504"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B81D05" w:rsidRPr="006E727A" w:rsidRDefault="00B81D05" w:rsidP="00B81D05">
            <w:pPr>
              <w:ind w:left="144"/>
              <w:rPr>
                <w:rFonts w:ascii="Calibri" w:hAnsi="Calibri" w:cs="Calibri"/>
                <w:color w:val="000000"/>
                <w:szCs w:val="20"/>
              </w:rPr>
            </w:pPr>
            <w:r w:rsidRPr="006E727A">
              <w:rPr>
                <w:rFonts w:ascii="Calibri" w:hAnsi="Calibri" w:cs="Calibri"/>
                <w:color w:val="000000"/>
                <w:szCs w:val="20"/>
              </w:rPr>
              <w:t>Achievable Potential</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1D2529">
            <w:pPr>
              <w:ind w:right="288"/>
              <w:jc w:val="right"/>
              <w:rPr>
                <w:rFonts w:ascii="Calibri" w:hAnsi="Calibri" w:cs="Calibri"/>
                <w:bCs/>
                <w:color w:val="000000"/>
                <w:szCs w:val="20"/>
              </w:rPr>
            </w:pPr>
            <w:r w:rsidRPr="003D7CFC">
              <w:rPr>
                <w:rFonts w:ascii="Calibri" w:hAnsi="Calibri" w:cs="Calibri"/>
                <w:bCs/>
                <w:color w:val="000000"/>
                <w:szCs w:val="20"/>
              </w:rPr>
              <w:t>2</w:t>
            </w:r>
            <w:r w:rsidR="001D2529">
              <w:rPr>
                <w:rFonts w:ascii="Calibri" w:hAnsi="Calibri" w:cs="Calibri"/>
                <w:bCs/>
                <w:color w:val="000000"/>
                <w:szCs w:val="20"/>
              </w:rPr>
              <w:t>3</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1D2529">
            <w:pPr>
              <w:ind w:right="288"/>
              <w:jc w:val="right"/>
              <w:rPr>
                <w:rFonts w:ascii="Calibri" w:hAnsi="Calibri" w:cs="Calibri"/>
                <w:bCs/>
                <w:color w:val="000000"/>
                <w:szCs w:val="20"/>
              </w:rPr>
            </w:pPr>
            <w:r w:rsidRPr="003D7CFC">
              <w:rPr>
                <w:rFonts w:ascii="Calibri" w:hAnsi="Calibri" w:cs="Calibri"/>
                <w:bCs/>
                <w:color w:val="000000"/>
                <w:szCs w:val="20"/>
              </w:rPr>
              <w:t>5</w:t>
            </w:r>
            <w:r w:rsidR="001D2529">
              <w:rPr>
                <w:rFonts w:ascii="Calibri" w:hAnsi="Calibri" w:cs="Calibri"/>
                <w:bCs/>
                <w:color w:val="000000"/>
                <w:szCs w:val="20"/>
              </w:rPr>
              <w:t>0</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1D2529">
            <w:pPr>
              <w:ind w:right="288"/>
              <w:jc w:val="right"/>
              <w:rPr>
                <w:rFonts w:ascii="Calibri" w:hAnsi="Calibri" w:cs="Calibri"/>
                <w:bCs/>
                <w:color w:val="000000"/>
                <w:szCs w:val="20"/>
              </w:rPr>
            </w:pPr>
            <w:r w:rsidRPr="003D7CFC">
              <w:rPr>
                <w:rFonts w:ascii="Calibri" w:hAnsi="Calibri" w:cs="Calibri"/>
                <w:bCs/>
                <w:color w:val="000000"/>
                <w:szCs w:val="20"/>
              </w:rPr>
              <w:t>1</w:t>
            </w:r>
            <w:r w:rsidR="001D2529">
              <w:rPr>
                <w:rFonts w:ascii="Calibri" w:hAnsi="Calibri" w:cs="Calibri"/>
                <w:bCs/>
                <w:color w:val="000000"/>
                <w:szCs w:val="20"/>
              </w:rPr>
              <w:t>59</w:t>
            </w:r>
          </w:p>
        </w:tc>
        <w:tc>
          <w:tcPr>
            <w:tcW w:w="700"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1D2529">
            <w:pPr>
              <w:ind w:right="288"/>
              <w:jc w:val="right"/>
              <w:rPr>
                <w:rFonts w:ascii="Calibri" w:hAnsi="Calibri" w:cs="Calibri"/>
                <w:bCs/>
                <w:color w:val="000000"/>
                <w:szCs w:val="20"/>
              </w:rPr>
            </w:pPr>
            <w:r w:rsidRPr="003D7CFC">
              <w:rPr>
                <w:rFonts w:ascii="Calibri" w:hAnsi="Calibri" w:cs="Calibri"/>
                <w:bCs/>
                <w:color w:val="000000"/>
                <w:szCs w:val="20"/>
              </w:rPr>
              <w:t>39</w:t>
            </w:r>
            <w:r w:rsidR="001D2529">
              <w:rPr>
                <w:rFonts w:ascii="Calibri" w:hAnsi="Calibri" w:cs="Calibri"/>
                <w:bCs/>
                <w:color w:val="000000"/>
                <w:szCs w:val="20"/>
              </w:rPr>
              <w:t>1</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1D2529">
            <w:pPr>
              <w:ind w:right="288"/>
              <w:jc w:val="right"/>
              <w:rPr>
                <w:rFonts w:ascii="Calibri" w:hAnsi="Calibri" w:cs="Calibri"/>
                <w:bCs/>
                <w:color w:val="000000"/>
                <w:szCs w:val="20"/>
              </w:rPr>
            </w:pPr>
            <w:r w:rsidRPr="003D7CFC">
              <w:rPr>
                <w:rFonts w:ascii="Calibri" w:hAnsi="Calibri" w:cs="Calibri"/>
                <w:bCs/>
                <w:color w:val="000000"/>
                <w:szCs w:val="20"/>
              </w:rPr>
              <w:t>7</w:t>
            </w:r>
            <w:r w:rsidR="001D2529">
              <w:rPr>
                <w:rFonts w:ascii="Calibri" w:hAnsi="Calibri" w:cs="Calibri"/>
                <w:bCs/>
                <w:color w:val="000000"/>
                <w:szCs w:val="20"/>
              </w:rPr>
              <w:t>46</w:t>
            </w:r>
          </w:p>
        </w:tc>
      </w:tr>
      <w:tr w:rsidR="00B81D05" w:rsidRPr="006E727A" w:rsidTr="00B81D05">
        <w:trPr>
          <w:trHeight w:val="315"/>
        </w:trPr>
        <w:tc>
          <w:tcPr>
            <w:tcW w:w="1504"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B81D05" w:rsidRPr="006E727A" w:rsidRDefault="00B81D05" w:rsidP="00B81D05">
            <w:pPr>
              <w:ind w:left="144"/>
              <w:rPr>
                <w:rFonts w:ascii="Calibri" w:hAnsi="Calibri" w:cs="Calibri"/>
                <w:color w:val="000000"/>
                <w:szCs w:val="20"/>
              </w:rPr>
            </w:pPr>
            <w:r w:rsidRPr="006E727A">
              <w:rPr>
                <w:rFonts w:ascii="Calibri" w:hAnsi="Calibri" w:cs="Calibri"/>
                <w:color w:val="000000"/>
                <w:szCs w:val="20"/>
              </w:rPr>
              <w:t>Economic Potential</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45</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92</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242</w:t>
            </w:r>
          </w:p>
        </w:tc>
        <w:tc>
          <w:tcPr>
            <w:tcW w:w="700"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499</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884</w:t>
            </w:r>
          </w:p>
        </w:tc>
      </w:tr>
      <w:tr w:rsidR="00B81D05" w:rsidRPr="006E727A" w:rsidTr="00B81D05">
        <w:trPr>
          <w:trHeight w:val="315"/>
        </w:trPr>
        <w:tc>
          <w:tcPr>
            <w:tcW w:w="1504"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B81D05" w:rsidRPr="006E727A" w:rsidRDefault="00B81D05" w:rsidP="00B81D05">
            <w:pPr>
              <w:ind w:left="144"/>
              <w:rPr>
                <w:rFonts w:ascii="Calibri" w:hAnsi="Calibri" w:cs="Calibri"/>
                <w:color w:val="000000"/>
                <w:szCs w:val="20"/>
              </w:rPr>
            </w:pPr>
            <w:r w:rsidRPr="006E727A">
              <w:rPr>
                <w:rFonts w:ascii="Calibri" w:hAnsi="Calibri" w:cs="Calibri"/>
                <w:color w:val="000000"/>
                <w:szCs w:val="20"/>
              </w:rPr>
              <w:t>Technical Potential</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116</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231</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563</w:t>
            </w:r>
          </w:p>
        </w:tc>
        <w:tc>
          <w:tcPr>
            <w:tcW w:w="700"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1,065</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B81D05" w:rsidRPr="003D7CFC" w:rsidRDefault="00B81D05" w:rsidP="00B81D05">
            <w:pPr>
              <w:ind w:right="288"/>
              <w:jc w:val="right"/>
              <w:rPr>
                <w:rFonts w:ascii="Calibri" w:hAnsi="Calibri" w:cs="Calibri"/>
                <w:bCs/>
                <w:color w:val="000000"/>
                <w:szCs w:val="20"/>
              </w:rPr>
            </w:pPr>
            <w:r w:rsidRPr="003D7CFC">
              <w:rPr>
                <w:rFonts w:ascii="Calibri" w:hAnsi="Calibri" w:cs="Calibri"/>
                <w:bCs/>
                <w:color w:val="000000"/>
                <w:szCs w:val="20"/>
              </w:rPr>
              <w:t>1,682</w:t>
            </w:r>
          </w:p>
        </w:tc>
      </w:tr>
      <w:tr w:rsidR="001D2529" w:rsidRPr="006E727A" w:rsidTr="001D2529">
        <w:trPr>
          <w:trHeight w:val="315"/>
        </w:trPr>
        <w:tc>
          <w:tcPr>
            <w:tcW w:w="5000" w:type="pct"/>
            <w:gridSpan w:val="6"/>
            <w:tcBorders>
              <w:top w:val="nil"/>
              <w:left w:val="single" w:sz="8" w:space="0" w:color="999999"/>
              <w:bottom w:val="single" w:sz="8" w:space="0" w:color="999999"/>
              <w:right w:val="single" w:sz="8" w:space="0" w:color="999999"/>
            </w:tcBorders>
            <w:shd w:val="clear" w:color="auto" w:fill="FFFFFF" w:themeFill="background1"/>
            <w:noWrap/>
            <w:vAlign w:val="center"/>
          </w:tcPr>
          <w:p w:rsidR="001D2529" w:rsidRPr="003D7CFC" w:rsidRDefault="001D2529" w:rsidP="001D2529">
            <w:pPr>
              <w:ind w:right="288"/>
              <w:rPr>
                <w:rFonts w:ascii="Calibri" w:hAnsi="Calibri" w:cs="Calibri"/>
                <w:bCs/>
                <w:color w:val="000000"/>
                <w:szCs w:val="20"/>
              </w:rPr>
            </w:pPr>
            <w:r>
              <w:rPr>
                <w:rFonts w:ascii="Calibri" w:hAnsi="Calibri" w:cs="Calibri"/>
                <w:b/>
                <w:bCs/>
                <w:color w:val="000000"/>
                <w:szCs w:val="20"/>
              </w:rPr>
              <w:t xml:space="preserve">   </w:t>
            </w:r>
            <w:r w:rsidRPr="006E727A">
              <w:rPr>
                <w:rFonts w:ascii="Calibri" w:hAnsi="Calibri" w:cs="Calibri"/>
                <w:b/>
                <w:bCs/>
                <w:color w:val="000000"/>
                <w:szCs w:val="20"/>
              </w:rPr>
              <w:t>Cumulative Savings (</w:t>
            </w:r>
            <w:r>
              <w:rPr>
                <w:rFonts w:ascii="Calibri" w:hAnsi="Calibri" w:cs="Calibri"/>
                <w:b/>
                <w:bCs/>
                <w:color w:val="000000"/>
                <w:szCs w:val="20"/>
              </w:rPr>
              <w:t>aMW</w:t>
            </w:r>
            <w:r w:rsidRPr="006E727A">
              <w:rPr>
                <w:rFonts w:ascii="Calibri" w:hAnsi="Calibri" w:cs="Calibri"/>
                <w:b/>
                <w:bCs/>
                <w:color w:val="000000"/>
                <w:szCs w:val="20"/>
              </w:rPr>
              <w:t>)</w:t>
            </w:r>
          </w:p>
        </w:tc>
      </w:tr>
      <w:tr w:rsidR="001D2529" w:rsidRPr="006E727A" w:rsidTr="001D2529">
        <w:trPr>
          <w:trHeight w:val="315"/>
        </w:trPr>
        <w:tc>
          <w:tcPr>
            <w:tcW w:w="1504" w:type="pct"/>
            <w:tcBorders>
              <w:top w:val="nil"/>
              <w:left w:val="single" w:sz="8" w:space="0" w:color="999999"/>
              <w:bottom w:val="single" w:sz="8" w:space="0" w:color="999999"/>
              <w:right w:val="single" w:sz="8" w:space="0" w:color="999999"/>
            </w:tcBorders>
            <w:shd w:val="clear" w:color="auto" w:fill="FFFFFF" w:themeFill="background1"/>
            <w:noWrap/>
            <w:vAlign w:val="center"/>
          </w:tcPr>
          <w:p w:rsidR="001D2529" w:rsidRPr="006E727A" w:rsidRDefault="001D2529" w:rsidP="001D2529">
            <w:pPr>
              <w:ind w:left="144"/>
              <w:rPr>
                <w:rFonts w:ascii="Calibri" w:hAnsi="Calibri" w:cs="Calibri"/>
                <w:color w:val="000000"/>
                <w:szCs w:val="20"/>
              </w:rPr>
            </w:pPr>
            <w:r w:rsidRPr="006E727A">
              <w:rPr>
                <w:rFonts w:ascii="Calibri" w:hAnsi="Calibri" w:cs="Calibri"/>
                <w:color w:val="000000"/>
                <w:szCs w:val="20"/>
              </w:rPr>
              <w:t>Achievable Potential</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2.6</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5.7</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18.1</w:t>
            </w:r>
          </w:p>
        </w:tc>
        <w:tc>
          <w:tcPr>
            <w:tcW w:w="700"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44.6</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85.2</w:t>
            </w:r>
          </w:p>
        </w:tc>
      </w:tr>
      <w:tr w:rsidR="001D2529" w:rsidRPr="006E727A" w:rsidTr="001D2529">
        <w:trPr>
          <w:trHeight w:val="315"/>
        </w:trPr>
        <w:tc>
          <w:tcPr>
            <w:tcW w:w="1504" w:type="pct"/>
            <w:tcBorders>
              <w:top w:val="nil"/>
              <w:left w:val="single" w:sz="8" w:space="0" w:color="999999"/>
              <w:bottom w:val="single" w:sz="8" w:space="0" w:color="999999"/>
              <w:right w:val="single" w:sz="8" w:space="0" w:color="999999"/>
            </w:tcBorders>
            <w:shd w:val="clear" w:color="auto" w:fill="FFFFFF" w:themeFill="background1"/>
            <w:noWrap/>
            <w:vAlign w:val="center"/>
          </w:tcPr>
          <w:p w:rsidR="001D2529" w:rsidRPr="006E727A" w:rsidRDefault="001D2529" w:rsidP="001D2529">
            <w:pPr>
              <w:ind w:left="144"/>
              <w:rPr>
                <w:rFonts w:ascii="Calibri" w:hAnsi="Calibri" w:cs="Calibri"/>
                <w:color w:val="000000"/>
                <w:szCs w:val="20"/>
              </w:rPr>
            </w:pPr>
            <w:r w:rsidRPr="006E727A">
              <w:rPr>
                <w:rFonts w:ascii="Calibri" w:hAnsi="Calibri" w:cs="Calibri"/>
                <w:color w:val="000000"/>
                <w:szCs w:val="20"/>
              </w:rPr>
              <w:t>Economic Potential</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5.1</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10.6</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27.6</w:t>
            </w:r>
          </w:p>
        </w:tc>
        <w:tc>
          <w:tcPr>
            <w:tcW w:w="700"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56.9</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100.9</w:t>
            </w:r>
          </w:p>
        </w:tc>
      </w:tr>
      <w:tr w:rsidR="001D2529" w:rsidRPr="006E727A" w:rsidTr="001D2529">
        <w:trPr>
          <w:trHeight w:val="315"/>
        </w:trPr>
        <w:tc>
          <w:tcPr>
            <w:tcW w:w="1504" w:type="pct"/>
            <w:tcBorders>
              <w:top w:val="nil"/>
              <w:left w:val="single" w:sz="8" w:space="0" w:color="999999"/>
              <w:bottom w:val="single" w:sz="8" w:space="0" w:color="999999"/>
              <w:right w:val="single" w:sz="8" w:space="0" w:color="999999"/>
            </w:tcBorders>
            <w:shd w:val="clear" w:color="auto" w:fill="FFFFFF" w:themeFill="background1"/>
            <w:noWrap/>
            <w:vAlign w:val="center"/>
          </w:tcPr>
          <w:p w:rsidR="001D2529" w:rsidRPr="006E727A" w:rsidRDefault="001D2529" w:rsidP="001D2529">
            <w:pPr>
              <w:ind w:left="144"/>
              <w:rPr>
                <w:rFonts w:ascii="Calibri" w:hAnsi="Calibri" w:cs="Calibri"/>
                <w:color w:val="000000"/>
                <w:szCs w:val="20"/>
              </w:rPr>
            </w:pPr>
            <w:r w:rsidRPr="006E727A">
              <w:rPr>
                <w:rFonts w:ascii="Calibri" w:hAnsi="Calibri" w:cs="Calibri"/>
                <w:color w:val="000000"/>
                <w:szCs w:val="20"/>
              </w:rPr>
              <w:t>Technical Potential</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13.3</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26.4</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64.2</w:t>
            </w:r>
          </w:p>
        </w:tc>
        <w:tc>
          <w:tcPr>
            <w:tcW w:w="700"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121.6</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1D2529" w:rsidRDefault="001D2529" w:rsidP="001D2529">
            <w:pPr>
              <w:ind w:right="288"/>
              <w:jc w:val="right"/>
              <w:rPr>
                <w:rFonts w:ascii="Calibri" w:hAnsi="Calibri" w:cs="Calibri"/>
                <w:bCs/>
                <w:color w:val="000000"/>
                <w:szCs w:val="20"/>
              </w:rPr>
            </w:pPr>
            <w:r w:rsidRPr="001D2529">
              <w:rPr>
                <w:rFonts w:ascii="Calibri" w:hAnsi="Calibri" w:cs="Calibri"/>
                <w:bCs/>
                <w:color w:val="000000"/>
                <w:szCs w:val="20"/>
              </w:rPr>
              <w:t>192.0</w:t>
            </w:r>
          </w:p>
        </w:tc>
      </w:tr>
      <w:tr w:rsidR="001D2529" w:rsidRPr="006E727A" w:rsidTr="001D2529">
        <w:trPr>
          <w:trHeight w:val="315"/>
        </w:trPr>
        <w:tc>
          <w:tcPr>
            <w:tcW w:w="5000" w:type="pct"/>
            <w:gridSpan w:val="6"/>
            <w:tcBorders>
              <w:top w:val="single" w:sz="8" w:space="0" w:color="999999"/>
              <w:left w:val="single" w:sz="8" w:space="0" w:color="999999"/>
              <w:bottom w:val="single" w:sz="8" w:space="0" w:color="999999"/>
              <w:right w:val="single" w:sz="8" w:space="0" w:color="808080"/>
            </w:tcBorders>
            <w:shd w:val="clear" w:color="auto" w:fill="D9E3EC" w:themeFill="accent1" w:themeFillTint="33"/>
            <w:vAlign w:val="center"/>
            <w:hideMark/>
          </w:tcPr>
          <w:p w:rsidR="001D2529" w:rsidRPr="006E727A" w:rsidRDefault="001D2529" w:rsidP="001D2529">
            <w:pPr>
              <w:ind w:left="144" w:right="144"/>
              <w:rPr>
                <w:rFonts w:ascii="Calibri" w:hAnsi="Calibri" w:cs="Calibri"/>
                <w:b/>
                <w:bCs/>
                <w:color w:val="000000"/>
                <w:szCs w:val="20"/>
              </w:rPr>
            </w:pPr>
            <w:r w:rsidRPr="006E727A">
              <w:rPr>
                <w:rFonts w:ascii="Calibri" w:hAnsi="Calibri" w:cs="Calibri"/>
                <w:b/>
                <w:bCs/>
                <w:color w:val="000000"/>
                <w:szCs w:val="20"/>
              </w:rPr>
              <w:t>Cumulative Savings as a % of Baseline</w:t>
            </w:r>
          </w:p>
        </w:tc>
      </w:tr>
      <w:tr w:rsidR="001D2529" w:rsidRPr="006E727A" w:rsidTr="001D2529">
        <w:trPr>
          <w:trHeight w:val="315"/>
        </w:trPr>
        <w:tc>
          <w:tcPr>
            <w:tcW w:w="1504"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1D2529" w:rsidRPr="006E727A" w:rsidRDefault="001D2529" w:rsidP="001D2529">
            <w:pPr>
              <w:ind w:left="144"/>
              <w:rPr>
                <w:rFonts w:ascii="Calibri" w:hAnsi="Calibri" w:cs="Calibri"/>
                <w:color w:val="000000"/>
                <w:szCs w:val="20"/>
              </w:rPr>
            </w:pPr>
            <w:r w:rsidRPr="006E727A">
              <w:rPr>
                <w:rFonts w:ascii="Calibri" w:hAnsi="Calibri" w:cs="Calibri"/>
                <w:color w:val="000000"/>
                <w:szCs w:val="20"/>
              </w:rPr>
              <w:t>Achievable Potential</w:t>
            </w:r>
          </w:p>
        </w:tc>
        <w:tc>
          <w:tcPr>
            <w:tcW w:w="699"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0.4%</w:t>
            </w:r>
          </w:p>
        </w:tc>
        <w:tc>
          <w:tcPr>
            <w:tcW w:w="699"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0.9%</w:t>
            </w:r>
          </w:p>
        </w:tc>
        <w:tc>
          <w:tcPr>
            <w:tcW w:w="699"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2.</w:t>
            </w:r>
            <w:r>
              <w:rPr>
                <w:rFonts w:ascii="Calibri" w:hAnsi="Calibri" w:cs="Calibri"/>
                <w:bCs/>
                <w:color w:val="000000"/>
                <w:szCs w:val="20"/>
              </w:rPr>
              <w:t>8</w:t>
            </w:r>
            <w:r w:rsidRPr="003D7CFC">
              <w:rPr>
                <w:rFonts w:ascii="Calibri" w:hAnsi="Calibri" w:cs="Calibri"/>
                <w:bCs/>
                <w:color w:val="000000"/>
                <w:szCs w:val="20"/>
              </w:rPr>
              <w:t>%</w:t>
            </w:r>
          </w:p>
        </w:tc>
        <w:tc>
          <w:tcPr>
            <w:tcW w:w="700"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Pr>
                <w:rFonts w:ascii="Calibri" w:hAnsi="Calibri" w:cs="Calibri"/>
                <w:bCs/>
                <w:color w:val="000000"/>
                <w:szCs w:val="20"/>
              </w:rPr>
              <w:t>6</w:t>
            </w:r>
            <w:r w:rsidRPr="003D7CFC">
              <w:rPr>
                <w:rFonts w:ascii="Calibri" w:hAnsi="Calibri" w:cs="Calibri"/>
                <w:bCs/>
                <w:color w:val="000000"/>
                <w:szCs w:val="20"/>
              </w:rPr>
              <w:t>.</w:t>
            </w:r>
            <w:r>
              <w:rPr>
                <w:rFonts w:ascii="Calibri" w:hAnsi="Calibri" w:cs="Calibri"/>
                <w:bCs/>
                <w:color w:val="000000"/>
                <w:szCs w:val="20"/>
              </w:rPr>
              <w:t>9</w:t>
            </w:r>
            <w:r w:rsidRPr="003D7CFC">
              <w:rPr>
                <w:rFonts w:ascii="Calibri" w:hAnsi="Calibri" w:cs="Calibri"/>
                <w:bCs/>
                <w:color w:val="000000"/>
                <w:szCs w:val="20"/>
              </w:rPr>
              <w:t>%</w:t>
            </w:r>
          </w:p>
        </w:tc>
        <w:tc>
          <w:tcPr>
            <w:tcW w:w="699" w:type="pct"/>
            <w:tcBorders>
              <w:top w:val="nil"/>
              <w:left w:val="nil"/>
              <w:bottom w:val="single" w:sz="8" w:space="0" w:color="999999"/>
              <w:right w:val="single" w:sz="8" w:space="0" w:color="999999"/>
            </w:tcBorders>
            <w:shd w:val="clear" w:color="auto" w:fill="D9E3EC" w:themeFill="accent1" w:themeFillTint="33"/>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12.</w:t>
            </w:r>
            <w:r>
              <w:rPr>
                <w:rFonts w:ascii="Calibri" w:hAnsi="Calibri" w:cs="Calibri"/>
                <w:bCs/>
                <w:color w:val="000000"/>
                <w:szCs w:val="20"/>
              </w:rPr>
              <w:t>0</w:t>
            </w:r>
            <w:r w:rsidRPr="003D7CFC">
              <w:rPr>
                <w:rFonts w:ascii="Calibri" w:hAnsi="Calibri" w:cs="Calibri"/>
                <w:bCs/>
                <w:color w:val="000000"/>
                <w:szCs w:val="20"/>
              </w:rPr>
              <w:t>%</w:t>
            </w:r>
          </w:p>
        </w:tc>
      </w:tr>
      <w:tr w:rsidR="001D2529" w:rsidRPr="006E727A" w:rsidTr="001D2529">
        <w:trPr>
          <w:trHeight w:val="315"/>
        </w:trPr>
        <w:tc>
          <w:tcPr>
            <w:tcW w:w="1504"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1D2529" w:rsidRPr="006E727A" w:rsidRDefault="001D2529" w:rsidP="001D2529">
            <w:pPr>
              <w:ind w:left="144"/>
              <w:rPr>
                <w:rFonts w:ascii="Calibri" w:hAnsi="Calibri" w:cs="Calibri"/>
                <w:color w:val="000000"/>
                <w:szCs w:val="20"/>
              </w:rPr>
            </w:pPr>
            <w:r w:rsidRPr="006E727A">
              <w:rPr>
                <w:rFonts w:ascii="Calibri" w:hAnsi="Calibri" w:cs="Calibri"/>
                <w:color w:val="000000"/>
                <w:szCs w:val="20"/>
              </w:rPr>
              <w:t>Economic Potential</w:t>
            </w:r>
          </w:p>
        </w:tc>
        <w:tc>
          <w:tcPr>
            <w:tcW w:w="699"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0.8%</w:t>
            </w:r>
          </w:p>
        </w:tc>
        <w:tc>
          <w:tcPr>
            <w:tcW w:w="699"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1.7%</w:t>
            </w:r>
          </w:p>
        </w:tc>
        <w:tc>
          <w:tcPr>
            <w:tcW w:w="699"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4.3%</w:t>
            </w:r>
          </w:p>
        </w:tc>
        <w:tc>
          <w:tcPr>
            <w:tcW w:w="700"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8.8%</w:t>
            </w:r>
          </w:p>
        </w:tc>
        <w:tc>
          <w:tcPr>
            <w:tcW w:w="699" w:type="pct"/>
            <w:tcBorders>
              <w:top w:val="nil"/>
              <w:left w:val="nil"/>
              <w:bottom w:val="single" w:sz="8" w:space="0" w:color="999999"/>
              <w:right w:val="single" w:sz="8" w:space="0" w:color="999999"/>
            </w:tcBorders>
            <w:shd w:val="clear" w:color="auto" w:fill="D9E3EC" w:themeFill="accent1" w:themeFillTint="33"/>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14.3%</w:t>
            </w:r>
          </w:p>
        </w:tc>
      </w:tr>
      <w:tr w:rsidR="001D2529" w:rsidRPr="006E727A" w:rsidTr="001D2529">
        <w:trPr>
          <w:trHeight w:val="315"/>
        </w:trPr>
        <w:tc>
          <w:tcPr>
            <w:tcW w:w="1504"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1D2529" w:rsidRPr="006E727A" w:rsidRDefault="001D2529" w:rsidP="001D2529">
            <w:pPr>
              <w:ind w:left="144"/>
              <w:rPr>
                <w:rFonts w:ascii="Calibri" w:hAnsi="Calibri" w:cs="Calibri"/>
                <w:color w:val="000000"/>
                <w:szCs w:val="20"/>
              </w:rPr>
            </w:pPr>
            <w:r w:rsidRPr="006E727A">
              <w:rPr>
                <w:rFonts w:ascii="Calibri" w:hAnsi="Calibri" w:cs="Calibri"/>
                <w:color w:val="000000"/>
                <w:szCs w:val="20"/>
              </w:rPr>
              <w:t>Technical Potential</w:t>
            </w:r>
          </w:p>
        </w:tc>
        <w:tc>
          <w:tcPr>
            <w:tcW w:w="699"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2.1%</w:t>
            </w:r>
          </w:p>
        </w:tc>
        <w:tc>
          <w:tcPr>
            <w:tcW w:w="699"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4.2%</w:t>
            </w:r>
          </w:p>
        </w:tc>
        <w:tc>
          <w:tcPr>
            <w:tcW w:w="699"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10.1%</w:t>
            </w:r>
          </w:p>
        </w:tc>
        <w:tc>
          <w:tcPr>
            <w:tcW w:w="700" w:type="pct"/>
            <w:tcBorders>
              <w:top w:val="nil"/>
              <w:left w:val="nil"/>
              <w:bottom w:val="single" w:sz="8" w:space="0" w:color="999999"/>
              <w:right w:val="single" w:sz="8" w:space="0" w:color="999999"/>
            </w:tcBorders>
            <w:shd w:val="clear" w:color="auto" w:fill="D9E3EC" w:themeFill="accent1"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18.7%</w:t>
            </w:r>
          </w:p>
        </w:tc>
        <w:tc>
          <w:tcPr>
            <w:tcW w:w="699" w:type="pct"/>
            <w:tcBorders>
              <w:top w:val="nil"/>
              <w:left w:val="nil"/>
              <w:bottom w:val="single" w:sz="8" w:space="0" w:color="999999"/>
              <w:right w:val="single" w:sz="8" w:space="0" w:color="999999"/>
            </w:tcBorders>
            <w:shd w:val="clear" w:color="auto" w:fill="D9E3EC" w:themeFill="accent1" w:themeFillTint="33"/>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27.2%</w:t>
            </w:r>
          </w:p>
        </w:tc>
      </w:tr>
    </w:tbl>
    <w:p w:rsidR="00636E75" w:rsidRDefault="00636E75" w:rsidP="00636E75">
      <w:pPr>
        <w:pStyle w:val="FigureorTableTitle"/>
      </w:pPr>
      <w:bookmarkStart w:id="378" w:name="_Ref422837403"/>
      <w:bookmarkStart w:id="379" w:name="_Toc424192797"/>
      <w:bookmarkStart w:id="380" w:name="_Ref387951861"/>
      <w:bookmarkStart w:id="381" w:name="_Toc387951601"/>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2</w:t>
      </w:r>
      <w:r w:rsidR="00512CD6">
        <w:rPr>
          <w:bCs w:val="0"/>
          <w:iCs w:val="0"/>
          <w:noProof/>
        </w:rPr>
        <w:fldChar w:fldCharType="end"/>
      </w:r>
      <w:bookmarkEnd w:id="378"/>
      <w:r>
        <w:tab/>
        <w:t>Summary of EE Potential (Annual Energy, GWh), Idaho</w:t>
      </w:r>
      <w:bookmarkEnd w:id="379"/>
    </w:p>
    <w:tbl>
      <w:tblPr>
        <w:tblW w:w="5000" w:type="pct"/>
        <w:tblCellMar>
          <w:left w:w="0" w:type="dxa"/>
          <w:right w:w="0" w:type="dxa"/>
        </w:tblCellMar>
        <w:tblLook w:val="04A0" w:firstRow="1" w:lastRow="0" w:firstColumn="1" w:lastColumn="0" w:noHBand="0" w:noVBand="1"/>
      </w:tblPr>
      <w:tblGrid>
        <w:gridCol w:w="2713"/>
        <w:gridCol w:w="1261"/>
        <w:gridCol w:w="1261"/>
        <w:gridCol w:w="1261"/>
        <w:gridCol w:w="1263"/>
        <w:gridCol w:w="1261"/>
      </w:tblGrid>
      <w:tr w:rsidR="00636E75" w:rsidRPr="006E727A" w:rsidTr="00647CE4">
        <w:trPr>
          <w:trHeight w:val="315"/>
        </w:trPr>
        <w:tc>
          <w:tcPr>
            <w:tcW w:w="1504"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636E75" w:rsidRPr="006E727A" w:rsidRDefault="00636E75" w:rsidP="00647CE4">
            <w:pPr>
              <w:rPr>
                <w:rFonts w:ascii="Calibri" w:hAnsi="Calibri" w:cs="Calibri"/>
                <w:bCs/>
                <w:color w:val="FFFFFF"/>
                <w:szCs w:val="20"/>
              </w:rPr>
            </w:pPr>
            <w:r w:rsidRPr="006E727A">
              <w:rPr>
                <w:rFonts w:ascii="Calibri" w:hAnsi="Calibri" w:cs="Calibri"/>
                <w:bCs/>
                <w:color w:val="FFFFFF"/>
                <w:szCs w:val="20"/>
              </w:rPr>
              <w:t> </w:t>
            </w:r>
          </w:p>
        </w:tc>
        <w:tc>
          <w:tcPr>
            <w:tcW w:w="699" w:type="pct"/>
            <w:tcBorders>
              <w:top w:val="single" w:sz="8" w:space="0" w:color="999999"/>
              <w:left w:val="nil"/>
              <w:bottom w:val="single" w:sz="8" w:space="0" w:color="999999"/>
              <w:right w:val="single" w:sz="8" w:space="0" w:color="999999"/>
            </w:tcBorders>
            <w:shd w:val="clear" w:color="auto" w:fill="1A1D5D"/>
            <w:noWrap/>
            <w:vAlign w:val="center"/>
            <w:hideMark/>
          </w:tcPr>
          <w:p w:rsidR="00636E75" w:rsidRPr="006E727A" w:rsidRDefault="00636E75" w:rsidP="00647CE4">
            <w:pPr>
              <w:jc w:val="center"/>
              <w:rPr>
                <w:rFonts w:ascii="Calibri" w:hAnsi="Calibri" w:cs="Calibri"/>
                <w:bCs/>
                <w:color w:val="FFFFFF"/>
                <w:szCs w:val="20"/>
              </w:rPr>
            </w:pPr>
            <w:r w:rsidRPr="006E727A">
              <w:rPr>
                <w:rFonts w:ascii="Calibri" w:hAnsi="Calibri" w:cs="Calibri"/>
                <w:bCs/>
                <w:color w:val="FFFFFF"/>
                <w:szCs w:val="20"/>
              </w:rPr>
              <w:t>201</w:t>
            </w:r>
            <w:r>
              <w:rPr>
                <w:rFonts w:ascii="Calibri" w:hAnsi="Calibri" w:cs="Calibri"/>
                <w:bCs/>
                <w:color w:val="FFFFFF"/>
                <w:szCs w:val="20"/>
              </w:rPr>
              <w:t>6</w:t>
            </w:r>
          </w:p>
        </w:tc>
        <w:tc>
          <w:tcPr>
            <w:tcW w:w="699" w:type="pct"/>
            <w:tcBorders>
              <w:top w:val="single" w:sz="8" w:space="0" w:color="999999"/>
              <w:left w:val="nil"/>
              <w:bottom w:val="single" w:sz="8" w:space="0" w:color="999999"/>
              <w:right w:val="single" w:sz="8" w:space="0" w:color="999999"/>
            </w:tcBorders>
            <w:shd w:val="clear" w:color="auto" w:fill="1A1D5D"/>
            <w:noWrap/>
            <w:vAlign w:val="center"/>
            <w:hideMark/>
          </w:tcPr>
          <w:p w:rsidR="00636E75" w:rsidRPr="006E727A" w:rsidRDefault="00636E75" w:rsidP="00647CE4">
            <w:pPr>
              <w:jc w:val="center"/>
              <w:rPr>
                <w:rFonts w:ascii="Calibri" w:hAnsi="Calibri" w:cs="Calibri"/>
                <w:bCs/>
                <w:color w:val="FFFFFF"/>
                <w:szCs w:val="20"/>
              </w:rPr>
            </w:pPr>
            <w:r w:rsidRPr="006E727A">
              <w:rPr>
                <w:rFonts w:ascii="Calibri" w:hAnsi="Calibri" w:cs="Calibri"/>
                <w:bCs/>
                <w:color w:val="FFFFFF"/>
                <w:szCs w:val="20"/>
              </w:rPr>
              <w:t>20</w:t>
            </w:r>
            <w:r>
              <w:rPr>
                <w:rFonts w:ascii="Calibri" w:hAnsi="Calibri" w:cs="Calibri"/>
                <w:bCs/>
                <w:color w:val="FFFFFF"/>
                <w:szCs w:val="20"/>
              </w:rPr>
              <w:t>17</w:t>
            </w:r>
          </w:p>
        </w:tc>
        <w:tc>
          <w:tcPr>
            <w:tcW w:w="699" w:type="pct"/>
            <w:tcBorders>
              <w:top w:val="single" w:sz="8" w:space="0" w:color="999999"/>
              <w:left w:val="nil"/>
              <w:bottom w:val="single" w:sz="8" w:space="0" w:color="999999"/>
              <w:right w:val="single" w:sz="8" w:space="0" w:color="999999"/>
            </w:tcBorders>
            <w:shd w:val="clear" w:color="auto" w:fill="1A1D5D"/>
            <w:noWrap/>
            <w:vAlign w:val="center"/>
            <w:hideMark/>
          </w:tcPr>
          <w:p w:rsidR="00636E75" w:rsidRPr="006E727A" w:rsidRDefault="00636E75" w:rsidP="00647CE4">
            <w:pPr>
              <w:jc w:val="center"/>
              <w:rPr>
                <w:rFonts w:ascii="Calibri" w:hAnsi="Calibri" w:cs="Calibri"/>
                <w:bCs/>
                <w:color w:val="FFFFFF"/>
                <w:szCs w:val="20"/>
              </w:rPr>
            </w:pPr>
            <w:r>
              <w:rPr>
                <w:rFonts w:ascii="Calibri" w:hAnsi="Calibri" w:cs="Calibri"/>
                <w:bCs/>
                <w:color w:val="FFFFFF"/>
                <w:szCs w:val="20"/>
              </w:rPr>
              <w:t>2020</w:t>
            </w:r>
          </w:p>
        </w:tc>
        <w:tc>
          <w:tcPr>
            <w:tcW w:w="700" w:type="pct"/>
            <w:tcBorders>
              <w:top w:val="single" w:sz="8" w:space="0" w:color="999999"/>
              <w:left w:val="nil"/>
              <w:bottom w:val="single" w:sz="8" w:space="0" w:color="999999"/>
              <w:right w:val="single" w:sz="8" w:space="0" w:color="999999"/>
            </w:tcBorders>
            <w:shd w:val="clear" w:color="auto" w:fill="1A1D5D"/>
            <w:noWrap/>
            <w:vAlign w:val="center"/>
            <w:hideMark/>
          </w:tcPr>
          <w:p w:rsidR="00636E75" w:rsidRPr="006E727A" w:rsidRDefault="00636E75" w:rsidP="00647CE4">
            <w:pPr>
              <w:jc w:val="center"/>
              <w:rPr>
                <w:rFonts w:ascii="Calibri" w:hAnsi="Calibri" w:cs="Calibri"/>
                <w:bCs/>
                <w:color w:val="FFFFFF"/>
                <w:szCs w:val="20"/>
              </w:rPr>
            </w:pPr>
            <w:r>
              <w:rPr>
                <w:rFonts w:ascii="Calibri" w:hAnsi="Calibri" w:cs="Calibri"/>
                <w:bCs/>
                <w:color w:val="FFFFFF"/>
                <w:szCs w:val="20"/>
              </w:rPr>
              <w:t>2025</w:t>
            </w:r>
          </w:p>
        </w:tc>
        <w:tc>
          <w:tcPr>
            <w:tcW w:w="699" w:type="pct"/>
            <w:tcBorders>
              <w:top w:val="single" w:sz="8" w:space="0" w:color="999999"/>
              <w:left w:val="nil"/>
              <w:bottom w:val="single" w:sz="8" w:space="0" w:color="999999"/>
              <w:right w:val="single" w:sz="8" w:space="0" w:color="999999"/>
            </w:tcBorders>
            <w:shd w:val="clear" w:color="auto" w:fill="1A1D5D"/>
            <w:vAlign w:val="center"/>
            <w:hideMark/>
          </w:tcPr>
          <w:p w:rsidR="00636E75" w:rsidRPr="006E727A" w:rsidRDefault="00636E75" w:rsidP="00647CE4">
            <w:pPr>
              <w:jc w:val="center"/>
              <w:rPr>
                <w:rFonts w:ascii="Calibri" w:hAnsi="Calibri" w:cs="Calibri"/>
                <w:bCs/>
                <w:color w:val="FFFFFF"/>
                <w:szCs w:val="20"/>
              </w:rPr>
            </w:pPr>
            <w:r>
              <w:rPr>
                <w:rFonts w:ascii="Calibri" w:hAnsi="Calibri" w:cs="Calibri"/>
                <w:bCs/>
                <w:color w:val="FFFFFF"/>
                <w:szCs w:val="20"/>
              </w:rPr>
              <w:t>2035</w:t>
            </w:r>
          </w:p>
        </w:tc>
      </w:tr>
      <w:tr w:rsidR="00636E75" w:rsidRPr="006E727A" w:rsidTr="00636E75">
        <w:trPr>
          <w:trHeight w:val="315"/>
        </w:trPr>
        <w:tc>
          <w:tcPr>
            <w:tcW w:w="1504" w:type="pct"/>
            <w:tcBorders>
              <w:top w:val="nil"/>
              <w:left w:val="single" w:sz="8" w:space="0" w:color="999999"/>
              <w:bottom w:val="single" w:sz="8" w:space="0" w:color="999999"/>
              <w:right w:val="single" w:sz="8" w:space="0" w:color="999999"/>
            </w:tcBorders>
            <w:shd w:val="clear" w:color="auto" w:fill="auto"/>
            <w:noWrap/>
            <w:vAlign w:val="center"/>
            <w:hideMark/>
          </w:tcPr>
          <w:p w:rsidR="00636E75" w:rsidRPr="006E727A" w:rsidRDefault="00636E75" w:rsidP="00636E75">
            <w:pPr>
              <w:ind w:left="144"/>
              <w:rPr>
                <w:rFonts w:ascii="Calibri" w:hAnsi="Calibri" w:cs="Calibri"/>
                <w:b/>
                <w:bCs/>
                <w:color w:val="000000"/>
                <w:szCs w:val="20"/>
              </w:rPr>
            </w:pPr>
            <w:r w:rsidRPr="006E727A">
              <w:rPr>
                <w:rFonts w:ascii="Calibri" w:hAnsi="Calibri" w:cs="Calibri"/>
                <w:b/>
                <w:bCs/>
                <w:color w:val="000000"/>
                <w:szCs w:val="20"/>
              </w:rPr>
              <w:t>Baseline projection (GWh)</w:t>
            </w:r>
          </w:p>
        </w:tc>
        <w:tc>
          <w:tcPr>
            <w:tcW w:w="699" w:type="pct"/>
            <w:tcBorders>
              <w:top w:val="nil"/>
              <w:left w:val="nil"/>
              <w:bottom w:val="single" w:sz="8" w:space="0" w:color="999999"/>
              <w:right w:val="single" w:sz="8" w:space="0" w:color="999999"/>
            </w:tcBorders>
            <w:shd w:val="clear" w:color="auto" w:fill="auto"/>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2,515</w:t>
            </w:r>
          </w:p>
        </w:tc>
        <w:tc>
          <w:tcPr>
            <w:tcW w:w="699" w:type="pct"/>
            <w:tcBorders>
              <w:top w:val="nil"/>
              <w:left w:val="nil"/>
              <w:bottom w:val="single" w:sz="8" w:space="0" w:color="999999"/>
              <w:right w:val="single" w:sz="8" w:space="0" w:color="999999"/>
            </w:tcBorders>
            <w:shd w:val="clear" w:color="auto" w:fill="auto"/>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2,525</w:t>
            </w:r>
          </w:p>
        </w:tc>
        <w:tc>
          <w:tcPr>
            <w:tcW w:w="699" w:type="pct"/>
            <w:tcBorders>
              <w:top w:val="nil"/>
              <w:left w:val="nil"/>
              <w:bottom w:val="single" w:sz="8" w:space="0" w:color="999999"/>
              <w:right w:val="single" w:sz="8" w:space="0" w:color="999999"/>
            </w:tcBorders>
            <w:shd w:val="clear" w:color="auto" w:fill="auto"/>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2,553</w:t>
            </w:r>
          </w:p>
        </w:tc>
        <w:tc>
          <w:tcPr>
            <w:tcW w:w="700" w:type="pct"/>
            <w:tcBorders>
              <w:top w:val="nil"/>
              <w:left w:val="nil"/>
              <w:bottom w:val="single" w:sz="8" w:space="0" w:color="999999"/>
              <w:right w:val="single" w:sz="8" w:space="0" w:color="999999"/>
            </w:tcBorders>
            <w:shd w:val="clear" w:color="auto" w:fill="auto"/>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2,615</w:t>
            </w:r>
          </w:p>
        </w:tc>
        <w:tc>
          <w:tcPr>
            <w:tcW w:w="699" w:type="pct"/>
            <w:tcBorders>
              <w:top w:val="nil"/>
              <w:left w:val="nil"/>
              <w:bottom w:val="single" w:sz="8" w:space="0" w:color="999999"/>
              <w:right w:val="single" w:sz="8" w:space="0" w:color="999999"/>
            </w:tcBorders>
            <w:shd w:val="clear" w:color="auto" w:fill="auto"/>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2,865</w:t>
            </w:r>
          </w:p>
        </w:tc>
      </w:tr>
      <w:tr w:rsidR="00636E75" w:rsidRPr="006E727A" w:rsidTr="00647CE4">
        <w:trPr>
          <w:trHeight w:val="315"/>
        </w:trPr>
        <w:tc>
          <w:tcPr>
            <w:tcW w:w="5000" w:type="pct"/>
            <w:gridSpan w:val="6"/>
            <w:tcBorders>
              <w:top w:val="single" w:sz="8" w:space="0" w:color="999999"/>
              <w:left w:val="single" w:sz="8" w:space="0" w:color="999999"/>
              <w:bottom w:val="single" w:sz="8" w:space="0" w:color="999999"/>
              <w:right w:val="single" w:sz="8" w:space="0" w:color="808080"/>
            </w:tcBorders>
            <w:shd w:val="clear" w:color="auto" w:fill="E5EBF1" w:themeFill="accent2" w:themeFillTint="33"/>
            <w:vAlign w:val="center"/>
            <w:hideMark/>
          </w:tcPr>
          <w:p w:rsidR="00636E75" w:rsidRPr="006E727A" w:rsidRDefault="00636E75" w:rsidP="00647CE4">
            <w:pPr>
              <w:ind w:left="144" w:right="144"/>
              <w:rPr>
                <w:rFonts w:ascii="Calibri" w:hAnsi="Calibri" w:cs="Calibri"/>
                <w:b/>
                <w:bCs/>
                <w:color w:val="000000"/>
                <w:szCs w:val="20"/>
              </w:rPr>
            </w:pPr>
            <w:r w:rsidRPr="006E727A">
              <w:rPr>
                <w:rFonts w:ascii="Calibri" w:hAnsi="Calibri" w:cs="Calibri"/>
                <w:b/>
                <w:bCs/>
                <w:color w:val="000000"/>
                <w:szCs w:val="20"/>
              </w:rPr>
              <w:t>Cumulative Savings (GWh)</w:t>
            </w:r>
          </w:p>
        </w:tc>
      </w:tr>
      <w:tr w:rsidR="00636E75" w:rsidRPr="006E727A" w:rsidTr="00636E75">
        <w:trPr>
          <w:trHeight w:val="315"/>
        </w:trPr>
        <w:tc>
          <w:tcPr>
            <w:tcW w:w="1504" w:type="pct"/>
            <w:tcBorders>
              <w:top w:val="nil"/>
              <w:left w:val="single" w:sz="8" w:space="0" w:color="999999"/>
              <w:bottom w:val="single" w:sz="8" w:space="0" w:color="999999"/>
              <w:right w:val="single" w:sz="8" w:space="0" w:color="999999"/>
            </w:tcBorders>
            <w:shd w:val="clear" w:color="auto" w:fill="E5EBF1" w:themeFill="accent2" w:themeFillTint="33"/>
            <w:noWrap/>
            <w:vAlign w:val="center"/>
          </w:tcPr>
          <w:p w:rsidR="00636E75" w:rsidRPr="006E727A" w:rsidRDefault="00636E75" w:rsidP="00636E75">
            <w:pPr>
              <w:ind w:left="144"/>
              <w:rPr>
                <w:rFonts w:ascii="Calibri" w:hAnsi="Calibri" w:cs="Calibri"/>
                <w:color w:val="000000"/>
                <w:szCs w:val="20"/>
              </w:rPr>
            </w:pPr>
            <w:r w:rsidRPr="006E727A">
              <w:rPr>
                <w:rFonts w:ascii="Calibri" w:hAnsi="Calibri" w:cs="Calibri"/>
                <w:color w:val="000000"/>
                <w:szCs w:val="20"/>
              </w:rPr>
              <w:t>Achievable Potentia</w:t>
            </w:r>
            <w:r w:rsidR="001D2529">
              <w:rPr>
                <w:rFonts w:ascii="Calibri" w:hAnsi="Calibri" w:cs="Calibri"/>
                <w:color w:val="000000"/>
                <w:szCs w:val="20"/>
              </w:rPr>
              <w:t>l</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11</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24</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77</w:t>
            </w:r>
          </w:p>
        </w:tc>
        <w:tc>
          <w:tcPr>
            <w:tcW w:w="700" w:type="pct"/>
            <w:tcBorders>
              <w:top w:val="nil"/>
              <w:left w:val="nil"/>
              <w:bottom w:val="single" w:sz="8" w:space="0" w:color="999999"/>
              <w:right w:val="single" w:sz="8" w:space="0" w:color="999999"/>
            </w:tcBorders>
            <w:shd w:val="clear" w:color="auto" w:fill="E5EBF1" w:themeFill="accent2" w:themeFillTint="33"/>
            <w:noWrap/>
            <w:vAlign w:val="center"/>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184</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344</w:t>
            </w:r>
          </w:p>
        </w:tc>
      </w:tr>
      <w:tr w:rsidR="00636E75" w:rsidRPr="006E727A" w:rsidTr="00636E75">
        <w:trPr>
          <w:trHeight w:val="315"/>
        </w:trPr>
        <w:tc>
          <w:tcPr>
            <w:tcW w:w="1504"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636E75" w:rsidRPr="006E727A" w:rsidRDefault="00636E75" w:rsidP="00636E75">
            <w:pPr>
              <w:ind w:left="144"/>
              <w:rPr>
                <w:rFonts w:ascii="Calibri" w:hAnsi="Calibri" w:cs="Calibri"/>
                <w:color w:val="000000"/>
                <w:szCs w:val="20"/>
              </w:rPr>
            </w:pPr>
            <w:r w:rsidRPr="006E727A">
              <w:rPr>
                <w:rFonts w:ascii="Calibri" w:hAnsi="Calibri" w:cs="Calibri"/>
                <w:color w:val="000000"/>
                <w:szCs w:val="20"/>
              </w:rPr>
              <w:t>Economic Potential</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23</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46</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118</w:t>
            </w:r>
          </w:p>
        </w:tc>
        <w:tc>
          <w:tcPr>
            <w:tcW w:w="700"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234</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408</w:t>
            </w:r>
          </w:p>
        </w:tc>
      </w:tr>
      <w:tr w:rsidR="00636E75" w:rsidRPr="006E727A" w:rsidTr="00636E75">
        <w:trPr>
          <w:trHeight w:val="315"/>
        </w:trPr>
        <w:tc>
          <w:tcPr>
            <w:tcW w:w="1504"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636E75" w:rsidRPr="006E727A" w:rsidRDefault="00636E75" w:rsidP="00636E75">
            <w:pPr>
              <w:ind w:left="144"/>
              <w:rPr>
                <w:rFonts w:ascii="Calibri" w:hAnsi="Calibri" w:cs="Calibri"/>
                <w:color w:val="000000"/>
                <w:szCs w:val="20"/>
              </w:rPr>
            </w:pPr>
            <w:r w:rsidRPr="006E727A">
              <w:rPr>
                <w:rFonts w:ascii="Calibri" w:hAnsi="Calibri" w:cs="Calibri"/>
                <w:color w:val="000000"/>
                <w:szCs w:val="20"/>
              </w:rPr>
              <w:t>Technical Potential</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57</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113</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274</w:t>
            </w:r>
          </w:p>
        </w:tc>
        <w:tc>
          <w:tcPr>
            <w:tcW w:w="700"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516</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636E75" w:rsidRPr="003D7CFC" w:rsidRDefault="00636E75" w:rsidP="00636E75">
            <w:pPr>
              <w:ind w:right="288"/>
              <w:jc w:val="right"/>
              <w:rPr>
                <w:rFonts w:ascii="Calibri" w:hAnsi="Calibri" w:cs="Calibri"/>
                <w:bCs/>
                <w:color w:val="000000"/>
                <w:szCs w:val="20"/>
              </w:rPr>
            </w:pPr>
            <w:r w:rsidRPr="003D7CFC">
              <w:rPr>
                <w:rFonts w:ascii="Calibri" w:hAnsi="Calibri" w:cs="Calibri"/>
                <w:bCs/>
                <w:color w:val="000000"/>
                <w:szCs w:val="20"/>
              </w:rPr>
              <w:t>824</w:t>
            </w:r>
          </w:p>
        </w:tc>
      </w:tr>
      <w:tr w:rsidR="001D2529" w:rsidRPr="006E727A" w:rsidTr="001D2529">
        <w:trPr>
          <w:trHeight w:val="315"/>
        </w:trPr>
        <w:tc>
          <w:tcPr>
            <w:tcW w:w="1504" w:type="pct"/>
            <w:tcBorders>
              <w:top w:val="nil"/>
              <w:left w:val="single" w:sz="8" w:space="0" w:color="999999"/>
              <w:bottom w:val="single" w:sz="8" w:space="0" w:color="999999"/>
              <w:right w:val="single" w:sz="8" w:space="0" w:color="999999"/>
            </w:tcBorders>
            <w:shd w:val="clear" w:color="auto" w:fill="FFFFFF" w:themeFill="background1"/>
            <w:noWrap/>
            <w:vAlign w:val="center"/>
          </w:tcPr>
          <w:p w:rsidR="001D2529" w:rsidRPr="006E727A" w:rsidRDefault="001D2529" w:rsidP="001D2529">
            <w:pPr>
              <w:ind w:left="144"/>
              <w:rPr>
                <w:rFonts w:ascii="Calibri" w:hAnsi="Calibri" w:cs="Calibri"/>
                <w:color w:val="000000"/>
                <w:szCs w:val="20"/>
              </w:rPr>
            </w:pPr>
            <w:r w:rsidRPr="006E727A">
              <w:rPr>
                <w:rFonts w:ascii="Calibri" w:hAnsi="Calibri" w:cs="Calibri"/>
                <w:b/>
                <w:bCs/>
                <w:color w:val="000000"/>
                <w:szCs w:val="20"/>
              </w:rPr>
              <w:t>Cumulative Savings (</w:t>
            </w:r>
            <w:r>
              <w:rPr>
                <w:rFonts w:ascii="Calibri" w:hAnsi="Calibri" w:cs="Calibri"/>
                <w:b/>
                <w:bCs/>
                <w:color w:val="000000"/>
                <w:szCs w:val="20"/>
              </w:rPr>
              <w:t>aMW</w:t>
            </w:r>
            <w:r w:rsidRPr="006E727A">
              <w:rPr>
                <w:rFonts w:ascii="Calibri" w:hAnsi="Calibri" w:cs="Calibri"/>
                <w:b/>
                <w:bCs/>
                <w:color w:val="000000"/>
                <w:szCs w:val="20"/>
              </w:rPr>
              <w:t>)</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3D7CFC" w:rsidRDefault="001D2529" w:rsidP="001D2529">
            <w:pPr>
              <w:ind w:right="288"/>
              <w:jc w:val="right"/>
              <w:rPr>
                <w:rFonts w:ascii="Calibri" w:hAnsi="Calibri" w:cs="Calibri"/>
                <w:bCs/>
                <w:color w:val="000000"/>
                <w:szCs w:val="20"/>
              </w:rPr>
            </w:pP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3D7CFC" w:rsidRDefault="001D2529" w:rsidP="001D2529">
            <w:pPr>
              <w:ind w:right="288"/>
              <w:jc w:val="right"/>
              <w:rPr>
                <w:rFonts w:ascii="Calibri" w:hAnsi="Calibri" w:cs="Calibri"/>
                <w:bCs/>
                <w:color w:val="000000"/>
                <w:szCs w:val="20"/>
              </w:rPr>
            </w:pP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3D7CFC" w:rsidRDefault="001D2529" w:rsidP="001D2529">
            <w:pPr>
              <w:ind w:right="288"/>
              <w:jc w:val="right"/>
              <w:rPr>
                <w:rFonts w:ascii="Calibri" w:hAnsi="Calibri" w:cs="Calibri"/>
                <w:bCs/>
                <w:color w:val="000000"/>
                <w:szCs w:val="20"/>
              </w:rPr>
            </w:pPr>
          </w:p>
        </w:tc>
        <w:tc>
          <w:tcPr>
            <w:tcW w:w="700" w:type="pct"/>
            <w:tcBorders>
              <w:top w:val="nil"/>
              <w:left w:val="nil"/>
              <w:bottom w:val="single" w:sz="8" w:space="0" w:color="999999"/>
              <w:right w:val="single" w:sz="8" w:space="0" w:color="999999"/>
            </w:tcBorders>
            <w:shd w:val="clear" w:color="auto" w:fill="FFFFFF" w:themeFill="background1"/>
            <w:noWrap/>
            <w:vAlign w:val="center"/>
          </w:tcPr>
          <w:p w:rsidR="001D2529" w:rsidRPr="003D7CFC" w:rsidRDefault="001D2529" w:rsidP="001D2529">
            <w:pPr>
              <w:ind w:right="288"/>
              <w:jc w:val="right"/>
              <w:rPr>
                <w:rFonts w:ascii="Calibri" w:hAnsi="Calibri" w:cs="Calibri"/>
                <w:bCs/>
                <w:color w:val="000000"/>
                <w:szCs w:val="20"/>
              </w:rPr>
            </w:pP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1D2529" w:rsidRPr="003D7CFC" w:rsidRDefault="001D2529" w:rsidP="001D2529">
            <w:pPr>
              <w:ind w:right="288"/>
              <w:jc w:val="right"/>
              <w:rPr>
                <w:rFonts w:ascii="Calibri" w:hAnsi="Calibri" w:cs="Calibri"/>
                <w:bCs/>
                <w:color w:val="000000"/>
                <w:szCs w:val="20"/>
              </w:rPr>
            </w:pPr>
          </w:p>
        </w:tc>
      </w:tr>
      <w:tr w:rsidR="0041428D" w:rsidRPr="006E727A" w:rsidTr="0041428D">
        <w:trPr>
          <w:trHeight w:val="315"/>
        </w:trPr>
        <w:tc>
          <w:tcPr>
            <w:tcW w:w="1504" w:type="pct"/>
            <w:tcBorders>
              <w:top w:val="nil"/>
              <w:left w:val="single" w:sz="8" w:space="0" w:color="999999"/>
              <w:bottom w:val="single" w:sz="8" w:space="0" w:color="999999"/>
              <w:right w:val="single" w:sz="8" w:space="0" w:color="999999"/>
            </w:tcBorders>
            <w:shd w:val="clear" w:color="auto" w:fill="FFFFFF" w:themeFill="background1"/>
            <w:noWrap/>
            <w:vAlign w:val="center"/>
          </w:tcPr>
          <w:p w:rsidR="0041428D" w:rsidRPr="006E727A" w:rsidRDefault="0041428D" w:rsidP="0041428D">
            <w:pPr>
              <w:ind w:left="144"/>
              <w:rPr>
                <w:rFonts w:ascii="Calibri" w:hAnsi="Calibri" w:cs="Calibri"/>
                <w:color w:val="000000"/>
                <w:szCs w:val="20"/>
              </w:rPr>
            </w:pPr>
            <w:r w:rsidRPr="006E727A">
              <w:rPr>
                <w:rFonts w:ascii="Calibri" w:hAnsi="Calibri" w:cs="Calibri"/>
                <w:color w:val="000000"/>
                <w:szCs w:val="20"/>
              </w:rPr>
              <w:t>Achievable Potential</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1.3</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2.8</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8.8</w:t>
            </w:r>
          </w:p>
        </w:tc>
        <w:tc>
          <w:tcPr>
            <w:tcW w:w="700"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21.0</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39.3</w:t>
            </w:r>
          </w:p>
        </w:tc>
      </w:tr>
      <w:tr w:rsidR="0041428D" w:rsidRPr="006E727A" w:rsidTr="0041428D">
        <w:trPr>
          <w:trHeight w:val="315"/>
        </w:trPr>
        <w:tc>
          <w:tcPr>
            <w:tcW w:w="1504" w:type="pct"/>
            <w:tcBorders>
              <w:top w:val="nil"/>
              <w:left w:val="single" w:sz="8" w:space="0" w:color="999999"/>
              <w:bottom w:val="single" w:sz="8" w:space="0" w:color="999999"/>
              <w:right w:val="single" w:sz="8" w:space="0" w:color="999999"/>
            </w:tcBorders>
            <w:shd w:val="clear" w:color="auto" w:fill="FFFFFF" w:themeFill="background1"/>
            <w:noWrap/>
            <w:vAlign w:val="center"/>
          </w:tcPr>
          <w:p w:rsidR="0041428D" w:rsidRPr="006E727A" w:rsidRDefault="0041428D" w:rsidP="0041428D">
            <w:pPr>
              <w:ind w:left="144"/>
              <w:rPr>
                <w:rFonts w:ascii="Calibri" w:hAnsi="Calibri" w:cs="Calibri"/>
                <w:color w:val="000000"/>
                <w:szCs w:val="20"/>
              </w:rPr>
            </w:pPr>
            <w:r w:rsidRPr="006E727A">
              <w:rPr>
                <w:rFonts w:ascii="Calibri" w:hAnsi="Calibri" w:cs="Calibri"/>
                <w:color w:val="000000"/>
                <w:szCs w:val="20"/>
              </w:rPr>
              <w:t>Economic Potential</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2.6</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5.3</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13.5</w:t>
            </w:r>
          </w:p>
        </w:tc>
        <w:tc>
          <w:tcPr>
            <w:tcW w:w="700"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26.8</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46.6</w:t>
            </w:r>
          </w:p>
        </w:tc>
      </w:tr>
      <w:tr w:rsidR="0041428D" w:rsidRPr="006E727A" w:rsidTr="0041428D">
        <w:trPr>
          <w:trHeight w:val="315"/>
        </w:trPr>
        <w:tc>
          <w:tcPr>
            <w:tcW w:w="1504" w:type="pct"/>
            <w:tcBorders>
              <w:top w:val="nil"/>
              <w:left w:val="single" w:sz="8" w:space="0" w:color="999999"/>
              <w:bottom w:val="single" w:sz="8" w:space="0" w:color="999999"/>
              <w:right w:val="single" w:sz="8" w:space="0" w:color="999999"/>
            </w:tcBorders>
            <w:shd w:val="clear" w:color="auto" w:fill="FFFFFF" w:themeFill="background1"/>
            <w:noWrap/>
            <w:vAlign w:val="center"/>
          </w:tcPr>
          <w:p w:rsidR="0041428D" w:rsidRPr="006E727A" w:rsidRDefault="0041428D" w:rsidP="0041428D">
            <w:pPr>
              <w:ind w:left="144"/>
              <w:rPr>
                <w:rFonts w:ascii="Calibri" w:hAnsi="Calibri" w:cs="Calibri"/>
                <w:color w:val="000000"/>
                <w:szCs w:val="20"/>
              </w:rPr>
            </w:pPr>
            <w:r w:rsidRPr="006E727A">
              <w:rPr>
                <w:rFonts w:ascii="Calibri" w:hAnsi="Calibri" w:cs="Calibri"/>
                <w:color w:val="000000"/>
                <w:szCs w:val="20"/>
              </w:rPr>
              <w:t>Technical Potential</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6.5</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12.9</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31.3</w:t>
            </w:r>
          </w:p>
        </w:tc>
        <w:tc>
          <w:tcPr>
            <w:tcW w:w="700"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58.9</w:t>
            </w:r>
          </w:p>
        </w:tc>
        <w:tc>
          <w:tcPr>
            <w:tcW w:w="699" w:type="pct"/>
            <w:tcBorders>
              <w:top w:val="nil"/>
              <w:left w:val="nil"/>
              <w:bottom w:val="single" w:sz="8" w:space="0" w:color="999999"/>
              <w:right w:val="single" w:sz="8" w:space="0" w:color="999999"/>
            </w:tcBorders>
            <w:shd w:val="clear" w:color="auto" w:fill="FFFFFF" w:themeFill="background1"/>
            <w:noWrap/>
            <w:vAlign w:val="center"/>
          </w:tcPr>
          <w:p w:rsidR="0041428D" w:rsidRPr="003D7CFC" w:rsidRDefault="0041428D" w:rsidP="0041428D">
            <w:pPr>
              <w:ind w:right="288"/>
              <w:jc w:val="right"/>
              <w:rPr>
                <w:rFonts w:ascii="Calibri" w:hAnsi="Calibri" w:cs="Calibri"/>
                <w:bCs/>
                <w:color w:val="000000"/>
                <w:szCs w:val="20"/>
              </w:rPr>
            </w:pPr>
            <w:r w:rsidRPr="0041428D">
              <w:rPr>
                <w:rFonts w:ascii="Calibri" w:hAnsi="Calibri" w:cs="Calibri"/>
                <w:bCs/>
                <w:color w:val="000000"/>
                <w:szCs w:val="20"/>
              </w:rPr>
              <w:t>94.1</w:t>
            </w:r>
          </w:p>
        </w:tc>
      </w:tr>
      <w:tr w:rsidR="001D2529" w:rsidRPr="006E727A" w:rsidTr="0041428D">
        <w:trPr>
          <w:trHeight w:val="315"/>
        </w:trPr>
        <w:tc>
          <w:tcPr>
            <w:tcW w:w="5000" w:type="pct"/>
            <w:gridSpan w:val="6"/>
            <w:tcBorders>
              <w:top w:val="single" w:sz="8" w:space="0" w:color="999999"/>
              <w:left w:val="single" w:sz="8" w:space="0" w:color="999999"/>
              <w:bottom w:val="single" w:sz="8" w:space="0" w:color="999999"/>
              <w:right w:val="single" w:sz="8" w:space="0" w:color="808080"/>
            </w:tcBorders>
            <w:shd w:val="clear" w:color="auto" w:fill="E5EBF1" w:themeFill="accent2" w:themeFillTint="33"/>
            <w:vAlign w:val="center"/>
            <w:hideMark/>
          </w:tcPr>
          <w:p w:rsidR="001D2529" w:rsidRPr="006E727A" w:rsidRDefault="001D2529" w:rsidP="001D2529">
            <w:pPr>
              <w:ind w:left="144" w:right="144"/>
              <w:rPr>
                <w:rFonts w:ascii="Calibri" w:hAnsi="Calibri" w:cs="Calibri"/>
                <w:b/>
                <w:bCs/>
                <w:color w:val="000000"/>
                <w:szCs w:val="20"/>
              </w:rPr>
            </w:pPr>
            <w:r w:rsidRPr="006E727A">
              <w:rPr>
                <w:rFonts w:ascii="Calibri" w:hAnsi="Calibri" w:cs="Calibri"/>
                <w:b/>
                <w:bCs/>
                <w:color w:val="000000"/>
                <w:szCs w:val="20"/>
              </w:rPr>
              <w:t>Cumulative Savings as a % of Baseline</w:t>
            </w:r>
          </w:p>
        </w:tc>
      </w:tr>
      <w:tr w:rsidR="001D2529" w:rsidRPr="006E727A" w:rsidTr="0041428D">
        <w:trPr>
          <w:trHeight w:val="315"/>
        </w:trPr>
        <w:tc>
          <w:tcPr>
            <w:tcW w:w="1504" w:type="pct"/>
            <w:tcBorders>
              <w:top w:val="nil"/>
              <w:left w:val="single" w:sz="8" w:space="0" w:color="999999"/>
              <w:bottom w:val="single" w:sz="8" w:space="0" w:color="999999"/>
              <w:right w:val="single" w:sz="8" w:space="0" w:color="999999"/>
            </w:tcBorders>
            <w:shd w:val="clear" w:color="auto" w:fill="E5EBF1" w:themeFill="accent2" w:themeFillTint="33"/>
            <w:noWrap/>
            <w:vAlign w:val="center"/>
          </w:tcPr>
          <w:p w:rsidR="001D2529" w:rsidRPr="006E727A" w:rsidRDefault="001D2529" w:rsidP="001D2529">
            <w:pPr>
              <w:ind w:left="144"/>
              <w:rPr>
                <w:rFonts w:ascii="Calibri" w:hAnsi="Calibri" w:cs="Calibri"/>
                <w:color w:val="000000"/>
                <w:szCs w:val="20"/>
              </w:rPr>
            </w:pPr>
            <w:r w:rsidRPr="006E727A">
              <w:rPr>
                <w:rFonts w:ascii="Calibri" w:hAnsi="Calibri" w:cs="Calibri"/>
                <w:color w:val="000000"/>
                <w:szCs w:val="20"/>
              </w:rPr>
              <w:t>Achievable Potential</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0.4%</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1.0%</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3.0%</w:t>
            </w:r>
          </w:p>
        </w:tc>
        <w:tc>
          <w:tcPr>
            <w:tcW w:w="700" w:type="pct"/>
            <w:tcBorders>
              <w:top w:val="nil"/>
              <w:left w:val="nil"/>
              <w:bottom w:val="single" w:sz="8" w:space="0" w:color="999999"/>
              <w:right w:val="single" w:sz="8" w:space="0" w:color="999999"/>
            </w:tcBorders>
            <w:shd w:val="clear" w:color="auto" w:fill="E5EBF1" w:themeFill="accent2" w:themeFillTint="33"/>
            <w:noWrap/>
            <w:vAlign w:val="center"/>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7.0%</w:t>
            </w:r>
          </w:p>
        </w:tc>
        <w:tc>
          <w:tcPr>
            <w:tcW w:w="699" w:type="pct"/>
            <w:tcBorders>
              <w:top w:val="nil"/>
              <w:left w:val="nil"/>
              <w:bottom w:val="single" w:sz="8" w:space="0" w:color="999999"/>
              <w:right w:val="single" w:sz="8" w:space="0" w:color="999999"/>
            </w:tcBorders>
            <w:shd w:val="clear" w:color="auto" w:fill="E5EBF1" w:themeFill="accent2" w:themeFillTint="33"/>
            <w:vAlign w:val="center"/>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12.0%</w:t>
            </w:r>
          </w:p>
        </w:tc>
      </w:tr>
      <w:tr w:rsidR="001D2529" w:rsidRPr="006E727A" w:rsidTr="0041428D">
        <w:trPr>
          <w:trHeight w:val="315"/>
        </w:trPr>
        <w:tc>
          <w:tcPr>
            <w:tcW w:w="1504"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1D2529" w:rsidRPr="006E727A" w:rsidRDefault="001D2529" w:rsidP="001D2529">
            <w:pPr>
              <w:ind w:left="144"/>
              <w:rPr>
                <w:rFonts w:ascii="Calibri" w:hAnsi="Calibri" w:cs="Calibri"/>
                <w:color w:val="000000"/>
                <w:szCs w:val="20"/>
              </w:rPr>
            </w:pPr>
            <w:r w:rsidRPr="006E727A">
              <w:rPr>
                <w:rFonts w:ascii="Calibri" w:hAnsi="Calibri" w:cs="Calibri"/>
                <w:color w:val="000000"/>
                <w:szCs w:val="20"/>
              </w:rPr>
              <w:t>Economic Potential</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0.9%</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1.8%</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4.6%</w:t>
            </w:r>
          </w:p>
        </w:tc>
        <w:tc>
          <w:tcPr>
            <w:tcW w:w="700" w:type="pct"/>
            <w:tcBorders>
              <w:top w:val="nil"/>
              <w:left w:val="nil"/>
              <w:bottom w:val="single" w:sz="8" w:space="0" w:color="999999"/>
              <w:right w:val="single" w:sz="8" w:space="0" w:color="999999"/>
            </w:tcBorders>
            <w:shd w:val="clear" w:color="auto" w:fill="E5EBF1" w:themeFill="accent2"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9.0%</w:t>
            </w:r>
          </w:p>
        </w:tc>
        <w:tc>
          <w:tcPr>
            <w:tcW w:w="699" w:type="pct"/>
            <w:tcBorders>
              <w:top w:val="nil"/>
              <w:left w:val="nil"/>
              <w:bottom w:val="single" w:sz="8" w:space="0" w:color="999999"/>
              <w:right w:val="single" w:sz="8" w:space="0" w:color="999999"/>
            </w:tcBorders>
            <w:shd w:val="clear" w:color="auto" w:fill="E5EBF1" w:themeFill="accent2" w:themeFillTint="33"/>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14.2%</w:t>
            </w:r>
          </w:p>
        </w:tc>
      </w:tr>
      <w:tr w:rsidR="001D2529" w:rsidRPr="006E727A" w:rsidTr="0041428D">
        <w:trPr>
          <w:trHeight w:val="315"/>
        </w:trPr>
        <w:tc>
          <w:tcPr>
            <w:tcW w:w="1504"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1D2529" w:rsidRPr="006E727A" w:rsidRDefault="001D2529" w:rsidP="001D2529">
            <w:pPr>
              <w:ind w:left="144"/>
              <w:rPr>
                <w:rFonts w:ascii="Calibri" w:hAnsi="Calibri" w:cs="Calibri"/>
                <w:color w:val="000000"/>
                <w:szCs w:val="20"/>
              </w:rPr>
            </w:pPr>
            <w:r w:rsidRPr="006E727A">
              <w:rPr>
                <w:rFonts w:ascii="Calibri" w:hAnsi="Calibri" w:cs="Calibri"/>
                <w:color w:val="000000"/>
                <w:szCs w:val="20"/>
              </w:rPr>
              <w:t>Technical Potential</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2.2%</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4.5%</w:t>
            </w:r>
          </w:p>
        </w:tc>
        <w:tc>
          <w:tcPr>
            <w:tcW w:w="699" w:type="pct"/>
            <w:tcBorders>
              <w:top w:val="nil"/>
              <w:left w:val="nil"/>
              <w:bottom w:val="single" w:sz="8" w:space="0" w:color="999999"/>
              <w:right w:val="single" w:sz="8" w:space="0" w:color="999999"/>
            </w:tcBorders>
            <w:shd w:val="clear" w:color="auto" w:fill="E5EBF1" w:themeFill="accent2"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10.7%</w:t>
            </w:r>
          </w:p>
        </w:tc>
        <w:tc>
          <w:tcPr>
            <w:tcW w:w="700" w:type="pct"/>
            <w:tcBorders>
              <w:top w:val="nil"/>
              <w:left w:val="nil"/>
              <w:bottom w:val="single" w:sz="8" w:space="0" w:color="999999"/>
              <w:right w:val="single" w:sz="8" w:space="0" w:color="999999"/>
            </w:tcBorders>
            <w:shd w:val="clear" w:color="auto" w:fill="E5EBF1" w:themeFill="accent2" w:themeFillTint="33"/>
            <w:noWrap/>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19.7%</w:t>
            </w:r>
          </w:p>
        </w:tc>
        <w:tc>
          <w:tcPr>
            <w:tcW w:w="699" w:type="pct"/>
            <w:tcBorders>
              <w:top w:val="nil"/>
              <w:left w:val="nil"/>
              <w:bottom w:val="single" w:sz="8" w:space="0" w:color="999999"/>
              <w:right w:val="single" w:sz="8" w:space="0" w:color="999999"/>
            </w:tcBorders>
            <w:shd w:val="clear" w:color="auto" w:fill="E5EBF1" w:themeFill="accent2" w:themeFillTint="33"/>
            <w:vAlign w:val="center"/>
            <w:hideMark/>
          </w:tcPr>
          <w:p w:rsidR="001D2529" w:rsidRPr="003D7CFC" w:rsidRDefault="001D2529" w:rsidP="001D2529">
            <w:pPr>
              <w:ind w:right="288"/>
              <w:jc w:val="right"/>
              <w:rPr>
                <w:rFonts w:ascii="Calibri" w:hAnsi="Calibri" w:cs="Calibri"/>
                <w:bCs/>
                <w:color w:val="000000"/>
                <w:szCs w:val="20"/>
              </w:rPr>
            </w:pPr>
            <w:r w:rsidRPr="003D7CFC">
              <w:rPr>
                <w:rFonts w:ascii="Calibri" w:hAnsi="Calibri" w:cs="Calibri"/>
                <w:bCs/>
                <w:color w:val="000000"/>
                <w:szCs w:val="20"/>
              </w:rPr>
              <w:t>28.8%</w:t>
            </w:r>
          </w:p>
        </w:tc>
      </w:tr>
    </w:tbl>
    <w:p w:rsidR="00157088" w:rsidRPr="00E07587" w:rsidRDefault="00157088" w:rsidP="008115B5">
      <w:pPr>
        <w:pStyle w:val="FigureorTableTitle"/>
      </w:pPr>
      <w:bookmarkStart w:id="382" w:name="_Ref422837433"/>
      <w:bookmarkStart w:id="383" w:name="_Toc424192735"/>
      <w:r w:rsidRPr="00E07587">
        <w:rPr>
          <w:szCs w:val="18"/>
        </w:rPr>
        <w:lastRenderedPageBreak/>
        <w:t>Figure</w:t>
      </w:r>
      <w:r>
        <w:rPr>
          <w:szCs w:val="18"/>
        </w:rPr>
        <w:t xml:space="preserv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w:t>
      </w:r>
      <w:r w:rsidR="00512CD6">
        <w:rPr>
          <w:noProof/>
          <w:szCs w:val="18"/>
        </w:rPr>
        <w:fldChar w:fldCharType="end"/>
      </w:r>
      <w:bookmarkEnd w:id="375"/>
      <w:bookmarkEnd w:id="376"/>
      <w:bookmarkEnd w:id="380"/>
      <w:bookmarkEnd w:id="382"/>
      <w:r>
        <w:tab/>
      </w:r>
      <w:bookmarkEnd w:id="377"/>
      <w:r w:rsidR="00EA22EB">
        <w:t xml:space="preserve">Summary of </w:t>
      </w:r>
      <w:r w:rsidR="00735397">
        <w:t>EE</w:t>
      </w:r>
      <w:r>
        <w:t xml:space="preserve"> Potential </w:t>
      </w:r>
      <w:r w:rsidR="00EA22EB">
        <w:t>as % of Baseline Projection</w:t>
      </w:r>
      <w:r w:rsidR="008F0231">
        <w:t xml:space="preserve"> (Annual Energy</w:t>
      </w:r>
      <w:r>
        <w:t>)</w:t>
      </w:r>
      <w:bookmarkEnd w:id="381"/>
      <w:r w:rsidR="0028245F">
        <w:t>, Washington</w:t>
      </w:r>
      <w:bookmarkEnd w:id="383"/>
    </w:p>
    <w:p w:rsidR="00157088" w:rsidRDefault="0041428D" w:rsidP="0028245F">
      <w:pPr>
        <w:pStyle w:val="BodyText"/>
        <w:jc w:val="center"/>
      </w:pPr>
      <w:r w:rsidRPr="0041428D">
        <w:rPr>
          <w:noProof/>
        </w:rPr>
        <w:drawing>
          <wp:inline distT="0" distB="0" distL="0" distR="0">
            <wp:extent cx="4667250" cy="27288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1054" cy="2731060"/>
                    </a:xfrm>
                    <a:prstGeom prst="rect">
                      <a:avLst/>
                    </a:prstGeom>
                    <a:noFill/>
                    <a:ln>
                      <a:noFill/>
                    </a:ln>
                  </pic:spPr>
                </pic:pic>
              </a:graphicData>
            </a:graphic>
          </wp:inline>
        </w:drawing>
      </w:r>
    </w:p>
    <w:p w:rsidR="00B87CBB" w:rsidRDefault="00B87CBB" w:rsidP="00B87CBB">
      <w:pPr>
        <w:pStyle w:val="FigureorTableTitle"/>
      </w:pPr>
      <w:bookmarkStart w:id="384" w:name="_Ref422837444"/>
      <w:bookmarkStart w:id="385" w:name="_Toc424192736"/>
      <w:r w:rsidRPr="00E07587">
        <w:rPr>
          <w:szCs w:val="18"/>
        </w:rPr>
        <w:t>Figure</w:t>
      </w:r>
      <w:r>
        <w:rPr>
          <w:szCs w:val="18"/>
        </w:rPr>
        <w:t xml:space="preserv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2</w:t>
      </w:r>
      <w:r w:rsidR="00512CD6">
        <w:rPr>
          <w:noProof/>
          <w:szCs w:val="18"/>
        </w:rPr>
        <w:fldChar w:fldCharType="end"/>
      </w:r>
      <w:bookmarkEnd w:id="384"/>
      <w:r>
        <w:tab/>
        <w:t>Summary of EE Potential as % of Baseline Projection (Annual Energy), Idaho</w:t>
      </w:r>
      <w:bookmarkEnd w:id="385"/>
    </w:p>
    <w:p w:rsidR="00B87CBB" w:rsidRDefault="00B87CBB" w:rsidP="001A0079">
      <w:pPr>
        <w:pStyle w:val="BodyText"/>
        <w:jc w:val="center"/>
      </w:pPr>
      <w:r w:rsidRPr="0041428D">
        <w:rPr>
          <w:noProof/>
        </w:rPr>
        <w:drawing>
          <wp:inline distT="0" distB="0" distL="0" distR="0">
            <wp:extent cx="4909645" cy="2870559"/>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14399" cy="2873338"/>
                    </a:xfrm>
                    <a:prstGeom prst="rect">
                      <a:avLst/>
                    </a:prstGeom>
                    <a:noFill/>
                    <a:ln>
                      <a:noFill/>
                    </a:ln>
                  </pic:spPr>
                </pic:pic>
              </a:graphicData>
            </a:graphic>
          </wp:inline>
        </w:drawing>
      </w:r>
    </w:p>
    <w:p w:rsidR="00157088" w:rsidRPr="00E07587" w:rsidRDefault="00157088" w:rsidP="008115B5">
      <w:pPr>
        <w:pStyle w:val="FigureorTableTitle"/>
      </w:pPr>
      <w:bookmarkStart w:id="386" w:name="_Ref337026781"/>
      <w:bookmarkStart w:id="387" w:name="_Ref422837598"/>
      <w:bookmarkStart w:id="388" w:name="_Toc341180528"/>
      <w:bookmarkStart w:id="389" w:name="_Toc387951602"/>
      <w:bookmarkStart w:id="390" w:name="_Toc424192737"/>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w:instrText>
      </w:r>
      <w:r w:rsidR="00512CD6">
        <w:instrText xml:space="preserve">FORMAT </w:instrText>
      </w:r>
      <w:r w:rsidR="00512CD6">
        <w:fldChar w:fldCharType="separate"/>
      </w:r>
      <w:r w:rsidR="00B2652C" w:rsidRPr="00B2652C">
        <w:rPr>
          <w:noProof/>
          <w:szCs w:val="18"/>
        </w:rPr>
        <w:t>3</w:t>
      </w:r>
      <w:r w:rsidR="00512CD6">
        <w:rPr>
          <w:noProof/>
          <w:szCs w:val="18"/>
        </w:rPr>
        <w:fldChar w:fldCharType="end"/>
      </w:r>
      <w:bookmarkEnd w:id="386"/>
      <w:bookmarkEnd w:id="387"/>
      <w:r>
        <w:tab/>
        <w:t xml:space="preserve">Baseline Projection and </w:t>
      </w:r>
      <w:r w:rsidR="00735397">
        <w:t>EE</w:t>
      </w:r>
      <w:r w:rsidR="00EA22EB">
        <w:t xml:space="preserve"> F</w:t>
      </w:r>
      <w:r>
        <w:t>orecast</w:t>
      </w:r>
      <w:r w:rsidR="008115B5">
        <w:t xml:space="preserve"> Summary</w:t>
      </w:r>
      <w:r>
        <w:t xml:space="preserve"> (</w:t>
      </w:r>
      <w:r w:rsidR="00EA22EB">
        <w:t>Annual Energy,</w:t>
      </w:r>
      <w:r w:rsidR="00674C43">
        <w:t xml:space="preserve"> </w:t>
      </w:r>
      <w:r w:rsidR="00EA22EB">
        <w:t>G</w:t>
      </w:r>
      <w:r>
        <w:t>Wh)</w:t>
      </w:r>
      <w:bookmarkEnd w:id="388"/>
      <w:bookmarkEnd w:id="389"/>
      <w:r w:rsidR="0028245F">
        <w:t>, Washington</w:t>
      </w:r>
      <w:bookmarkEnd w:id="390"/>
    </w:p>
    <w:p w:rsidR="00CA5BE6" w:rsidRDefault="0041428D" w:rsidP="00636E75">
      <w:pPr>
        <w:pStyle w:val="BodyText"/>
        <w:jc w:val="center"/>
      </w:pPr>
      <w:bookmarkStart w:id="391" w:name="_Toc278535930"/>
      <w:bookmarkStart w:id="392" w:name="_Toc285452621"/>
      <w:bookmarkStart w:id="393" w:name="_Toc297120490"/>
      <w:bookmarkStart w:id="394" w:name="_Toc314728416"/>
      <w:bookmarkStart w:id="395" w:name="_Toc333955934"/>
      <w:bookmarkStart w:id="396" w:name="_Toc335647175"/>
      <w:r w:rsidRPr="0041428D">
        <w:rPr>
          <w:noProof/>
        </w:rPr>
        <w:drawing>
          <wp:inline distT="0" distB="0" distL="0" distR="0">
            <wp:extent cx="4724400" cy="27622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24400" cy="2762250"/>
                    </a:xfrm>
                    <a:prstGeom prst="rect">
                      <a:avLst/>
                    </a:prstGeom>
                    <a:noFill/>
                    <a:ln>
                      <a:noFill/>
                    </a:ln>
                  </pic:spPr>
                </pic:pic>
              </a:graphicData>
            </a:graphic>
          </wp:inline>
        </w:drawing>
      </w:r>
    </w:p>
    <w:p w:rsidR="00636E75" w:rsidRDefault="00636E75" w:rsidP="00636E75">
      <w:pPr>
        <w:pStyle w:val="FigureorTableTitle"/>
      </w:pPr>
      <w:bookmarkStart w:id="397" w:name="_Ref422837611"/>
      <w:bookmarkStart w:id="398" w:name="_Toc424192738"/>
      <w:bookmarkStart w:id="399" w:name="_Toc401046357"/>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4</w:t>
      </w:r>
      <w:r w:rsidR="00512CD6">
        <w:rPr>
          <w:noProof/>
          <w:szCs w:val="18"/>
        </w:rPr>
        <w:fldChar w:fldCharType="end"/>
      </w:r>
      <w:bookmarkEnd w:id="397"/>
      <w:r>
        <w:tab/>
        <w:t>Baseline Projection and EE Forecast Summary (Annual Energy, GWh), Idaho</w:t>
      </w:r>
      <w:bookmarkEnd w:id="398"/>
    </w:p>
    <w:p w:rsidR="00636E75" w:rsidRPr="00E07587" w:rsidRDefault="0041428D" w:rsidP="001A0079">
      <w:pPr>
        <w:pStyle w:val="BodyText"/>
        <w:jc w:val="center"/>
      </w:pPr>
      <w:r w:rsidRPr="0041428D">
        <w:rPr>
          <w:noProof/>
        </w:rPr>
        <w:drawing>
          <wp:inline distT="0" distB="0" distL="0" distR="0">
            <wp:extent cx="4724400" cy="2762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24400" cy="2762250"/>
                    </a:xfrm>
                    <a:prstGeom prst="rect">
                      <a:avLst/>
                    </a:prstGeom>
                    <a:noFill/>
                    <a:ln>
                      <a:noFill/>
                    </a:ln>
                  </pic:spPr>
                </pic:pic>
              </a:graphicData>
            </a:graphic>
          </wp:inline>
        </w:drawing>
      </w:r>
    </w:p>
    <w:bookmarkEnd w:id="399"/>
    <w:p w:rsidR="00157088" w:rsidRDefault="00157088" w:rsidP="00157088">
      <w:pPr>
        <w:pStyle w:val="BodyText"/>
      </w:pPr>
    </w:p>
    <w:p w:rsidR="006F77F9" w:rsidRDefault="006F77F9" w:rsidP="001A0079">
      <w:pPr>
        <w:pStyle w:val="BodyText"/>
      </w:pPr>
      <w:bookmarkStart w:id="400" w:name="_Toc341176238"/>
      <w:bookmarkStart w:id="401" w:name="_Toc401046358"/>
      <w:r>
        <w:br w:type="page"/>
      </w:r>
    </w:p>
    <w:p w:rsidR="00157088" w:rsidRDefault="008F0231" w:rsidP="003D3D72">
      <w:pPr>
        <w:pStyle w:val="Heading2"/>
      </w:pPr>
      <w:bookmarkStart w:id="402" w:name="_Toc424192644"/>
      <w:r>
        <w:lastRenderedPageBreak/>
        <w:t xml:space="preserve">Summary of </w:t>
      </w:r>
      <w:r w:rsidR="00DA2C9E">
        <w:t>Conservation</w:t>
      </w:r>
      <w:r w:rsidR="00157088" w:rsidRPr="00E1651B">
        <w:t xml:space="preserve"> Potential</w:t>
      </w:r>
      <w:bookmarkEnd w:id="391"/>
      <w:bookmarkEnd w:id="392"/>
      <w:bookmarkEnd w:id="393"/>
      <w:bookmarkEnd w:id="394"/>
      <w:r w:rsidR="00157088">
        <w:t xml:space="preserve"> by Sector</w:t>
      </w:r>
      <w:bookmarkEnd w:id="395"/>
      <w:bookmarkEnd w:id="396"/>
      <w:bookmarkEnd w:id="400"/>
      <w:bookmarkEnd w:id="401"/>
      <w:bookmarkEnd w:id="402"/>
    </w:p>
    <w:p w:rsidR="00157088" w:rsidRDefault="00893E3D" w:rsidP="00157088">
      <w:pPr>
        <w:pStyle w:val="BodyText"/>
      </w:pPr>
      <w:r>
        <w:fldChar w:fldCharType="begin"/>
      </w:r>
      <w:r w:rsidR="00710C9C">
        <w:rPr>
          <w:noProof/>
        </w:rPr>
        <w:instrText xml:space="preserve"> REF _Ref402253967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3</w:t>
      </w:r>
      <w:r>
        <w:fldChar w:fldCharType="end"/>
      </w:r>
      <w:r w:rsidR="00964944">
        <w:t xml:space="preserve"> and</w:t>
      </w:r>
      <w:r w:rsidR="00157088" w:rsidRPr="00117D1B">
        <w:t xml:space="preserve"> </w:t>
      </w:r>
      <w:r>
        <w:fldChar w:fldCharType="begin"/>
      </w:r>
      <w:r w:rsidR="0086496E">
        <w:instrText xml:space="preserve"> REF _Ref387951914 \h </w:instrText>
      </w:r>
      <w:r>
        <w:fldChar w:fldCharType="separate"/>
      </w:r>
      <w:r w:rsidR="00B2652C" w:rsidRPr="00F873E4">
        <w:t xml:space="preserve">Figure </w:t>
      </w:r>
      <w:r w:rsidR="00B2652C">
        <w:rPr>
          <w:noProof/>
        </w:rPr>
        <w:t>5</w:t>
      </w:r>
      <w:r w:rsidR="00B2652C" w:rsidRPr="00F873E4">
        <w:t>-</w:t>
      </w:r>
      <w:r w:rsidR="00B2652C">
        <w:rPr>
          <w:noProof/>
        </w:rPr>
        <w:t>5</w:t>
      </w:r>
      <w:r>
        <w:fldChar w:fldCharType="end"/>
      </w:r>
      <w:r w:rsidR="00964944">
        <w:t xml:space="preserve"> </w:t>
      </w:r>
      <w:r w:rsidR="00157088" w:rsidRPr="00117D1B">
        <w:t>summarize the range of electric achievable potential by sector</w:t>
      </w:r>
      <w:r w:rsidR="00414BFE">
        <w:t>, both states combined</w:t>
      </w:r>
      <w:r w:rsidR="00157088" w:rsidRPr="00117D1B">
        <w:t xml:space="preserve">. The </w:t>
      </w:r>
      <w:r w:rsidR="00964944">
        <w:t>residential and commercial</w:t>
      </w:r>
      <w:r w:rsidR="00117D1B" w:rsidRPr="00117D1B">
        <w:t xml:space="preserve"> sector</w:t>
      </w:r>
      <w:r w:rsidR="00964944">
        <w:t>s</w:t>
      </w:r>
      <w:r w:rsidR="00117D1B" w:rsidRPr="00117D1B">
        <w:t xml:space="preserve"> </w:t>
      </w:r>
      <w:r w:rsidR="00533786">
        <w:t>contribute the most savings in the early years, but by 20</w:t>
      </w:r>
      <w:r w:rsidR="00964944">
        <w:t>20</w:t>
      </w:r>
      <w:r w:rsidR="00533786">
        <w:t xml:space="preserve"> the </w:t>
      </w:r>
      <w:r w:rsidR="00964944">
        <w:t>commercial</w:t>
      </w:r>
      <w:r w:rsidR="00533786">
        <w:t xml:space="preserve"> sector provides the most savings</w:t>
      </w:r>
      <w:r w:rsidR="00117D1B" w:rsidRPr="00117D1B">
        <w:t xml:space="preserve">. </w:t>
      </w:r>
    </w:p>
    <w:p w:rsidR="00157088" w:rsidRDefault="00710C9C" w:rsidP="008115B5">
      <w:pPr>
        <w:pStyle w:val="FigureorTableTitle"/>
      </w:pPr>
      <w:bookmarkStart w:id="403" w:name="_Ref402253967"/>
      <w:bookmarkStart w:id="404" w:name="_Toc396755844"/>
      <w:bookmarkStart w:id="405" w:name="_Toc341181348"/>
      <w:bookmarkStart w:id="406" w:name="_Toc424192798"/>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3</w:t>
      </w:r>
      <w:r w:rsidR="00512CD6">
        <w:rPr>
          <w:bCs w:val="0"/>
          <w:iCs w:val="0"/>
          <w:noProof/>
        </w:rPr>
        <w:fldChar w:fldCharType="end"/>
      </w:r>
      <w:bookmarkEnd w:id="403"/>
      <w:r w:rsidR="00157088">
        <w:tab/>
        <w:t xml:space="preserve">Achievable </w:t>
      </w:r>
      <w:r w:rsidR="00DA2C9E">
        <w:t>Conservation</w:t>
      </w:r>
      <w:r w:rsidR="00EA22EB">
        <w:t xml:space="preserve"> P</w:t>
      </w:r>
      <w:r w:rsidR="00157088">
        <w:t>otential by Sector</w:t>
      </w:r>
      <w:bookmarkEnd w:id="404"/>
      <w:r w:rsidR="00157088">
        <w:t xml:space="preserve"> </w:t>
      </w:r>
      <w:bookmarkEnd w:id="405"/>
      <w:r w:rsidR="00EA22EB">
        <w:t>(Annual Use</w:t>
      </w:r>
      <w:r w:rsidR="00C06D38">
        <w:t>)</w:t>
      </w:r>
      <w:r w:rsidR="00414BFE">
        <w:t>, WA and ID</w:t>
      </w:r>
      <w:bookmarkEnd w:id="406"/>
    </w:p>
    <w:tbl>
      <w:tblPr>
        <w:tblW w:w="5000" w:type="pct"/>
        <w:tblCellMar>
          <w:left w:w="0" w:type="dxa"/>
          <w:right w:w="0" w:type="dxa"/>
        </w:tblCellMar>
        <w:tblLook w:val="04A0" w:firstRow="1" w:lastRow="0" w:firstColumn="1" w:lastColumn="0" w:noHBand="0" w:noVBand="1"/>
      </w:tblPr>
      <w:tblGrid>
        <w:gridCol w:w="2270"/>
        <w:gridCol w:w="1557"/>
        <w:gridCol w:w="1378"/>
        <w:gridCol w:w="1198"/>
        <w:gridCol w:w="1304"/>
        <w:gridCol w:w="1313"/>
      </w:tblGrid>
      <w:tr w:rsidR="00500407" w:rsidRPr="00EA22EB" w:rsidTr="007E3DD0">
        <w:trPr>
          <w:trHeight w:val="315"/>
        </w:trPr>
        <w:tc>
          <w:tcPr>
            <w:tcW w:w="1258"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500407" w:rsidRPr="00EA22EB" w:rsidRDefault="00500407" w:rsidP="00500407">
            <w:pPr>
              <w:pStyle w:val="TableText"/>
              <w:rPr>
                <w:rFonts w:cs="Calibri"/>
              </w:rPr>
            </w:pPr>
            <w:r w:rsidRPr="00EA22EB">
              <w:rPr>
                <w:rFonts w:cs="Calibri"/>
                <w:bCs/>
                <w:color w:val="FFFFFF"/>
              </w:rPr>
              <w:t> </w:t>
            </w:r>
          </w:p>
        </w:tc>
        <w:tc>
          <w:tcPr>
            <w:tcW w:w="863" w:type="pct"/>
            <w:tcBorders>
              <w:top w:val="single" w:sz="8" w:space="0" w:color="999999"/>
              <w:left w:val="nil"/>
              <w:bottom w:val="single" w:sz="8" w:space="0" w:color="999999"/>
              <w:right w:val="single" w:sz="8" w:space="0" w:color="999999"/>
            </w:tcBorders>
            <w:shd w:val="clear" w:color="auto" w:fill="1A1D5D"/>
            <w:noWrap/>
            <w:vAlign w:val="center"/>
            <w:hideMark/>
          </w:tcPr>
          <w:p w:rsidR="00500407" w:rsidRPr="00EA22EB" w:rsidRDefault="00500407" w:rsidP="00596C86">
            <w:pPr>
              <w:pStyle w:val="TableHeadings"/>
              <w:rPr>
                <w:rFonts w:cs="Calibri"/>
                <w:b w:val="0"/>
              </w:rPr>
            </w:pPr>
            <w:r w:rsidRPr="00EA22EB">
              <w:rPr>
                <w:rFonts w:cs="Calibri"/>
                <w:b w:val="0"/>
                <w:bCs/>
                <w:color w:val="FFFFFF"/>
              </w:rPr>
              <w:t>201</w:t>
            </w:r>
            <w:r w:rsidR="00596C86">
              <w:rPr>
                <w:rFonts w:cs="Calibri"/>
                <w:b w:val="0"/>
                <w:bCs/>
                <w:color w:val="FFFFFF"/>
              </w:rPr>
              <w:t>6</w:t>
            </w:r>
          </w:p>
        </w:tc>
        <w:tc>
          <w:tcPr>
            <w:tcW w:w="764" w:type="pct"/>
            <w:tcBorders>
              <w:top w:val="single" w:sz="8" w:space="0" w:color="999999"/>
              <w:left w:val="nil"/>
              <w:bottom w:val="single" w:sz="8" w:space="0" w:color="999999"/>
              <w:right w:val="single" w:sz="8" w:space="0" w:color="999999"/>
            </w:tcBorders>
            <w:shd w:val="clear" w:color="auto" w:fill="1A1D5D"/>
            <w:noWrap/>
            <w:vAlign w:val="center"/>
            <w:hideMark/>
          </w:tcPr>
          <w:p w:rsidR="00500407" w:rsidRPr="00EA22EB" w:rsidRDefault="00500407" w:rsidP="00596C86">
            <w:pPr>
              <w:pStyle w:val="TableHeadings"/>
              <w:rPr>
                <w:rFonts w:cs="Calibri"/>
                <w:b w:val="0"/>
              </w:rPr>
            </w:pPr>
            <w:r w:rsidRPr="00EA22EB">
              <w:rPr>
                <w:rFonts w:cs="Calibri"/>
                <w:b w:val="0"/>
                <w:bCs/>
                <w:color w:val="FFFFFF"/>
              </w:rPr>
              <w:t>20</w:t>
            </w:r>
            <w:r w:rsidR="004E70A6">
              <w:rPr>
                <w:rFonts w:cs="Calibri"/>
                <w:b w:val="0"/>
                <w:bCs/>
                <w:color w:val="FFFFFF"/>
              </w:rPr>
              <w:t>1</w:t>
            </w:r>
            <w:r w:rsidR="00596C86">
              <w:rPr>
                <w:rFonts w:cs="Calibri"/>
                <w:b w:val="0"/>
                <w:bCs/>
                <w:color w:val="FFFFFF"/>
              </w:rPr>
              <w:t>7</w:t>
            </w:r>
          </w:p>
        </w:tc>
        <w:tc>
          <w:tcPr>
            <w:tcW w:w="664" w:type="pct"/>
            <w:tcBorders>
              <w:top w:val="single" w:sz="8" w:space="0" w:color="999999"/>
              <w:left w:val="nil"/>
              <w:bottom w:val="single" w:sz="8" w:space="0" w:color="999999"/>
              <w:right w:val="single" w:sz="8" w:space="0" w:color="999999"/>
            </w:tcBorders>
            <w:shd w:val="clear" w:color="auto" w:fill="1A1D5D"/>
            <w:noWrap/>
            <w:vAlign w:val="center"/>
            <w:hideMark/>
          </w:tcPr>
          <w:p w:rsidR="00500407" w:rsidRPr="00EA22EB" w:rsidRDefault="004E70A6" w:rsidP="00596C86">
            <w:pPr>
              <w:pStyle w:val="TableHeadings"/>
              <w:rPr>
                <w:rFonts w:cs="Calibri"/>
                <w:b w:val="0"/>
              </w:rPr>
            </w:pPr>
            <w:r>
              <w:rPr>
                <w:rFonts w:cs="Calibri"/>
                <w:b w:val="0"/>
                <w:bCs/>
                <w:color w:val="FFFFFF"/>
              </w:rPr>
              <w:t>202</w:t>
            </w:r>
            <w:r w:rsidR="00596C86">
              <w:rPr>
                <w:rFonts w:cs="Calibri"/>
                <w:b w:val="0"/>
                <w:bCs/>
                <w:color w:val="FFFFFF"/>
              </w:rPr>
              <w:t>0</w:t>
            </w:r>
          </w:p>
        </w:tc>
        <w:tc>
          <w:tcPr>
            <w:tcW w:w="723"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500407" w:rsidRPr="00EA22EB" w:rsidRDefault="004E70A6" w:rsidP="00596C86">
            <w:pPr>
              <w:pStyle w:val="TableHeadings"/>
              <w:rPr>
                <w:rFonts w:cs="Calibri"/>
                <w:b w:val="0"/>
              </w:rPr>
            </w:pPr>
            <w:r>
              <w:rPr>
                <w:rFonts w:cs="Calibri"/>
                <w:b w:val="0"/>
                <w:bCs/>
                <w:color w:val="FFFFFF"/>
              </w:rPr>
              <w:t>202</w:t>
            </w:r>
            <w:r w:rsidR="00596C86">
              <w:rPr>
                <w:rFonts w:cs="Calibri"/>
                <w:b w:val="0"/>
                <w:bCs/>
                <w:color w:val="FFFFFF"/>
              </w:rPr>
              <w:t>5</w:t>
            </w:r>
          </w:p>
        </w:tc>
        <w:tc>
          <w:tcPr>
            <w:tcW w:w="728" w:type="pct"/>
            <w:tcBorders>
              <w:top w:val="single" w:sz="8" w:space="0" w:color="999999"/>
              <w:left w:val="nil"/>
              <w:bottom w:val="single" w:sz="8" w:space="0" w:color="999999"/>
              <w:right w:val="single" w:sz="8" w:space="0" w:color="999999"/>
            </w:tcBorders>
            <w:shd w:val="clear" w:color="auto" w:fill="1A1D5D"/>
            <w:vAlign w:val="center"/>
          </w:tcPr>
          <w:p w:rsidR="00500407" w:rsidRPr="00EA22EB" w:rsidRDefault="004E70A6" w:rsidP="00596C86">
            <w:pPr>
              <w:pStyle w:val="TableHeadings"/>
              <w:rPr>
                <w:rFonts w:cs="Calibri"/>
                <w:b w:val="0"/>
              </w:rPr>
            </w:pPr>
            <w:r>
              <w:rPr>
                <w:rFonts w:cs="Calibri"/>
                <w:b w:val="0"/>
                <w:bCs/>
                <w:color w:val="FFFFFF"/>
              </w:rPr>
              <w:t>203</w:t>
            </w:r>
            <w:r w:rsidR="00596C86">
              <w:rPr>
                <w:rFonts w:cs="Calibri"/>
                <w:b w:val="0"/>
                <w:bCs/>
                <w:color w:val="FFFFFF"/>
              </w:rPr>
              <w:t>5</w:t>
            </w:r>
          </w:p>
        </w:tc>
      </w:tr>
      <w:tr w:rsidR="00157088" w:rsidRPr="00EA22EB" w:rsidTr="00DD6C1D">
        <w:trPr>
          <w:trHeight w:val="315"/>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E5EBF1" w:themeFill="accent2" w:themeFillTint="33"/>
            <w:vAlign w:val="center"/>
          </w:tcPr>
          <w:p w:rsidR="00157088" w:rsidRPr="00EA22EB" w:rsidRDefault="00157088" w:rsidP="00596C86">
            <w:pPr>
              <w:pStyle w:val="TableText"/>
              <w:ind w:left="144" w:right="288"/>
              <w:jc w:val="left"/>
              <w:rPr>
                <w:rFonts w:cs="Calibri"/>
                <w:b/>
                <w:color w:val="000000"/>
              </w:rPr>
            </w:pPr>
            <w:r w:rsidRPr="00EA22EB">
              <w:rPr>
                <w:rFonts w:cs="Calibri"/>
                <w:b/>
                <w:color w:val="000000"/>
              </w:rPr>
              <w:t>Cumulative Savings (</w:t>
            </w:r>
            <w:r w:rsidR="00EA22EB">
              <w:rPr>
                <w:rFonts w:cs="Calibri"/>
                <w:b/>
                <w:color w:val="000000"/>
              </w:rPr>
              <w:t>G</w:t>
            </w:r>
            <w:r w:rsidRPr="00EA22EB">
              <w:rPr>
                <w:rFonts w:cs="Calibri"/>
                <w:b/>
                <w:color w:val="000000"/>
              </w:rPr>
              <w:t>Wh)</w:t>
            </w:r>
          </w:p>
        </w:tc>
      </w:tr>
      <w:tr w:rsidR="00596C86" w:rsidRPr="00EA22EB" w:rsidTr="006B2E7C">
        <w:trPr>
          <w:trHeight w:val="315"/>
        </w:trPr>
        <w:tc>
          <w:tcPr>
            <w:tcW w:w="1258"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596C86" w:rsidRPr="00EA22EB" w:rsidRDefault="00596C86" w:rsidP="00596C86">
            <w:pPr>
              <w:pStyle w:val="TableText"/>
              <w:ind w:left="144"/>
              <w:jc w:val="left"/>
              <w:rPr>
                <w:rFonts w:cs="Calibri"/>
                <w:color w:val="000000"/>
              </w:rPr>
            </w:pPr>
            <w:r w:rsidRPr="00EA22EB">
              <w:rPr>
                <w:rFonts w:cs="Calibri"/>
                <w:color w:val="000000"/>
              </w:rPr>
              <w:t>Residential</w:t>
            </w:r>
          </w:p>
        </w:tc>
        <w:tc>
          <w:tcPr>
            <w:tcW w:w="863"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13</w:t>
            </w:r>
          </w:p>
        </w:tc>
        <w:tc>
          <w:tcPr>
            <w:tcW w:w="764"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30</w:t>
            </w:r>
          </w:p>
        </w:tc>
        <w:tc>
          <w:tcPr>
            <w:tcW w:w="664"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87</w:t>
            </w:r>
          </w:p>
        </w:tc>
        <w:tc>
          <w:tcPr>
            <w:tcW w:w="723" w:type="pct"/>
            <w:tcBorders>
              <w:top w:val="nil"/>
              <w:left w:val="single" w:sz="4" w:space="0" w:color="808080" w:themeColor="background1" w:themeShade="80"/>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169</w:t>
            </w:r>
          </w:p>
        </w:tc>
        <w:tc>
          <w:tcPr>
            <w:tcW w:w="728" w:type="pct"/>
            <w:tcBorders>
              <w:top w:val="nil"/>
              <w:left w:val="nil"/>
              <w:bottom w:val="single" w:sz="8" w:space="0" w:color="999999"/>
              <w:right w:val="single" w:sz="8" w:space="0" w:color="999999"/>
            </w:tcBorders>
            <w:shd w:val="clear" w:color="auto" w:fill="E5EBF1" w:themeFill="accent2" w:themeFillTint="33"/>
            <w:vAlign w:val="center"/>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274</w:t>
            </w:r>
          </w:p>
        </w:tc>
      </w:tr>
      <w:tr w:rsidR="00596C86" w:rsidRPr="00EA22EB" w:rsidTr="006B2E7C">
        <w:trPr>
          <w:trHeight w:val="315"/>
        </w:trPr>
        <w:tc>
          <w:tcPr>
            <w:tcW w:w="1258"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596C86" w:rsidRPr="00EA22EB" w:rsidRDefault="00596C86" w:rsidP="00596C86">
            <w:pPr>
              <w:pStyle w:val="TableText"/>
              <w:ind w:left="144"/>
              <w:jc w:val="left"/>
              <w:rPr>
                <w:rFonts w:cs="Calibri"/>
                <w:color w:val="000000"/>
              </w:rPr>
            </w:pPr>
            <w:r w:rsidRPr="00EA22EB">
              <w:rPr>
                <w:rFonts w:cs="Calibri"/>
                <w:color w:val="000000"/>
              </w:rPr>
              <w:t>Commercial</w:t>
            </w:r>
          </w:p>
        </w:tc>
        <w:tc>
          <w:tcPr>
            <w:tcW w:w="863"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13</w:t>
            </w:r>
          </w:p>
        </w:tc>
        <w:tc>
          <w:tcPr>
            <w:tcW w:w="764"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28</w:t>
            </w:r>
          </w:p>
        </w:tc>
        <w:tc>
          <w:tcPr>
            <w:tcW w:w="664"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105</w:t>
            </w:r>
          </w:p>
        </w:tc>
        <w:tc>
          <w:tcPr>
            <w:tcW w:w="723" w:type="pct"/>
            <w:tcBorders>
              <w:top w:val="nil"/>
              <w:left w:val="single" w:sz="4" w:space="0" w:color="808080" w:themeColor="background1" w:themeShade="80"/>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304</w:t>
            </w:r>
          </w:p>
        </w:tc>
        <w:tc>
          <w:tcPr>
            <w:tcW w:w="728" w:type="pct"/>
            <w:tcBorders>
              <w:top w:val="nil"/>
              <w:left w:val="nil"/>
              <w:bottom w:val="single" w:sz="8" w:space="0" w:color="999999"/>
              <w:right w:val="single" w:sz="8" w:space="0" w:color="999999"/>
            </w:tcBorders>
            <w:shd w:val="clear" w:color="auto" w:fill="E5EBF1" w:themeFill="accent2" w:themeFillTint="33"/>
            <w:vAlign w:val="center"/>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617</w:t>
            </w:r>
          </w:p>
        </w:tc>
      </w:tr>
      <w:tr w:rsidR="00596C86" w:rsidRPr="00EA22EB" w:rsidTr="006B2E7C">
        <w:trPr>
          <w:trHeight w:val="315"/>
        </w:trPr>
        <w:tc>
          <w:tcPr>
            <w:tcW w:w="1258"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596C86" w:rsidRPr="00EA22EB" w:rsidRDefault="00596C86" w:rsidP="00596C86">
            <w:pPr>
              <w:pStyle w:val="TableText"/>
              <w:ind w:left="144"/>
              <w:jc w:val="left"/>
              <w:rPr>
                <w:rFonts w:cs="Calibri"/>
                <w:color w:val="000000"/>
              </w:rPr>
            </w:pPr>
            <w:r w:rsidRPr="00EA22EB">
              <w:rPr>
                <w:rFonts w:cs="Calibri"/>
                <w:color w:val="000000"/>
              </w:rPr>
              <w:t>Industrial</w:t>
            </w:r>
          </w:p>
        </w:tc>
        <w:tc>
          <w:tcPr>
            <w:tcW w:w="863"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8</w:t>
            </w:r>
          </w:p>
        </w:tc>
        <w:tc>
          <w:tcPr>
            <w:tcW w:w="764"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16</w:t>
            </w:r>
          </w:p>
        </w:tc>
        <w:tc>
          <w:tcPr>
            <w:tcW w:w="664"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44</w:t>
            </w:r>
          </w:p>
        </w:tc>
        <w:tc>
          <w:tcPr>
            <w:tcW w:w="723" w:type="pct"/>
            <w:tcBorders>
              <w:top w:val="nil"/>
              <w:left w:val="single" w:sz="4" w:space="0" w:color="808080" w:themeColor="background1" w:themeShade="80"/>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101</w:t>
            </w:r>
          </w:p>
        </w:tc>
        <w:tc>
          <w:tcPr>
            <w:tcW w:w="728" w:type="pct"/>
            <w:tcBorders>
              <w:top w:val="nil"/>
              <w:left w:val="nil"/>
              <w:bottom w:val="single" w:sz="8" w:space="0" w:color="999999"/>
              <w:right w:val="single" w:sz="8" w:space="0" w:color="999999"/>
            </w:tcBorders>
            <w:shd w:val="clear" w:color="auto" w:fill="E5EBF1" w:themeFill="accent2" w:themeFillTint="33"/>
            <w:vAlign w:val="center"/>
          </w:tcPr>
          <w:p w:rsidR="00596C86" w:rsidRPr="006B2E7C" w:rsidRDefault="00596C86" w:rsidP="006B2E7C">
            <w:pPr>
              <w:ind w:right="288"/>
              <w:jc w:val="right"/>
              <w:rPr>
                <w:rFonts w:ascii="Calibri" w:hAnsi="Calibri" w:cs="Calibri"/>
                <w:bCs/>
                <w:color w:val="000000"/>
                <w:szCs w:val="20"/>
              </w:rPr>
            </w:pPr>
            <w:r w:rsidRPr="006B2E7C">
              <w:rPr>
                <w:rFonts w:ascii="Calibri" w:hAnsi="Calibri" w:cs="Calibri"/>
                <w:bCs/>
                <w:color w:val="000000"/>
                <w:szCs w:val="20"/>
              </w:rPr>
              <w:t>199</w:t>
            </w:r>
          </w:p>
        </w:tc>
      </w:tr>
      <w:tr w:rsidR="00596C86" w:rsidRPr="00EA22EB" w:rsidTr="006B2E7C">
        <w:trPr>
          <w:trHeight w:val="315"/>
        </w:trPr>
        <w:tc>
          <w:tcPr>
            <w:tcW w:w="1258" w:type="pct"/>
            <w:tcBorders>
              <w:top w:val="nil"/>
              <w:left w:val="single" w:sz="8" w:space="0" w:color="999999"/>
              <w:bottom w:val="single" w:sz="8" w:space="0" w:color="999999"/>
              <w:right w:val="single" w:sz="8" w:space="0" w:color="999999"/>
            </w:tcBorders>
            <w:shd w:val="clear" w:color="auto" w:fill="E5EBF1" w:themeFill="accent2" w:themeFillTint="33"/>
            <w:noWrap/>
            <w:vAlign w:val="center"/>
            <w:hideMark/>
          </w:tcPr>
          <w:p w:rsidR="00596C86" w:rsidRPr="00EA22EB" w:rsidRDefault="00596C86" w:rsidP="00596C86">
            <w:pPr>
              <w:pStyle w:val="TableText"/>
              <w:ind w:left="144"/>
              <w:jc w:val="left"/>
              <w:rPr>
                <w:rFonts w:cs="Calibri"/>
                <w:b/>
                <w:color w:val="000000"/>
              </w:rPr>
            </w:pPr>
            <w:r w:rsidRPr="00EA22EB">
              <w:rPr>
                <w:rFonts w:cs="Calibri"/>
                <w:b/>
                <w:color w:val="000000"/>
              </w:rPr>
              <w:t>Total</w:t>
            </w:r>
          </w:p>
        </w:tc>
        <w:tc>
          <w:tcPr>
            <w:tcW w:w="863"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
                <w:bCs/>
                <w:color w:val="000000"/>
                <w:szCs w:val="20"/>
              </w:rPr>
            </w:pPr>
            <w:r w:rsidRPr="006B2E7C">
              <w:rPr>
                <w:rFonts w:ascii="Calibri" w:hAnsi="Calibri" w:cs="Calibri"/>
                <w:b/>
                <w:bCs/>
                <w:color w:val="000000"/>
                <w:szCs w:val="20"/>
              </w:rPr>
              <w:t>34</w:t>
            </w:r>
          </w:p>
        </w:tc>
        <w:tc>
          <w:tcPr>
            <w:tcW w:w="764"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
                <w:bCs/>
                <w:color w:val="000000"/>
                <w:szCs w:val="20"/>
              </w:rPr>
            </w:pPr>
            <w:r w:rsidRPr="006B2E7C">
              <w:rPr>
                <w:rFonts w:ascii="Calibri" w:hAnsi="Calibri" w:cs="Calibri"/>
                <w:b/>
                <w:bCs/>
                <w:color w:val="000000"/>
                <w:szCs w:val="20"/>
              </w:rPr>
              <w:t>74</w:t>
            </w:r>
          </w:p>
        </w:tc>
        <w:tc>
          <w:tcPr>
            <w:tcW w:w="664" w:type="pct"/>
            <w:tcBorders>
              <w:top w:val="nil"/>
              <w:left w:val="nil"/>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
                <w:bCs/>
                <w:color w:val="000000"/>
                <w:szCs w:val="20"/>
              </w:rPr>
            </w:pPr>
            <w:r w:rsidRPr="006B2E7C">
              <w:rPr>
                <w:rFonts w:ascii="Calibri" w:hAnsi="Calibri" w:cs="Calibri"/>
                <w:b/>
                <w:bCs/>
                <w:color w:val="000000"/>
                <w:szCs w:val="20"/>
              </w:rPr>
              <w:t>236</w:t>
            </w:r>
          </w:p>
        </w:tc>
        <w:tc>
          <w:tcPr>
            <w:tcW w:w="723" w:type="pct"/>
            <w:tcBorders>
              <w:top w:val="nil"/>
              <w:left w:val="single" w:sz="4" w:space="0" w:color="808080" w:themeColor="background1" w:themeShade="80"/>
              <w:bottom w:val="single" w:sz="8" w:space="0" w:color="999999"/>
              <w:right w:val="single" w:sz="8" w:space="0" w:color="999999"/>
            </w:tcBorders>
            <w:shd w:val="clear" w:color="auto" w:fill="E5EBF1" w:themeFill="accent2" w:themeFillTint="33"/>
            <w:noWrap/>
            <w:vAlign w:val="center"/>
            <w:hideMark/>
          </w:tcPr>
          <w:p w:rsidR="00596C86" w:rsidRPr="006B2E7C" w:rsidRDefault="00596C86" w:rsidP="006B2E7C">
            <w:pPr>
              <w:ind w:right="288"/>
              <w:jc w:val="right"/>
              <w:rPr>
                <w:rFonts w:ascii="Calibri" w:hAnsi="Calibri" w:cs="Calibri"/>
                <w:b/>
                <w:bCs/>
                <w:color w:val="000000"/>
                <w:szCs w:val="20"/>
              </w:rPr>
            </w:pPr>
            <w:r w:rsidRPr="006B2E7C">
              <w:rPr>
                <w:rFonts w:ascii="Calibri" w:hAnsi="Calibri" w:cs="Calibri"/>
                <w:b/>
                <w:bCs/>
                <w:color w:val="000000"/>
                <w:szCs w:val="20"/>
              </w:rPr>
              <w:t>574</w:t>
            </w:r>
          </w:p>
        </w:tc>
        <w:tc>
          <w:tcPr>
            <w:tcW w:w="728" w:type="pct"/>
            <w:tcBorders>
              <w:top w:val="nil"/>
              <w:left w:val="nil"/>
              <w:bottom w:val="single" w:sz="8" w:space="0" w:color="999999"/>
              <w:right w:val="single" w:sz="8" w:space="0" w:color="999999"/>
            </w:tcBorders>
            <w:shd w:val="clear" w:color="auto" w:fill="E5EBF1" w:themeFill="accent2" w:themeFillTint="33"/>
            <w:vAlign w:val="center"/>
          </w:tcPr>
          <w:p w:rsidR="00596C86" w:rsidRPr="006B2E7C" w:rsidRDefault="00596C86" w:rsidP="006B2E7C">
            <w:pPr>
              <w:ind w:right="288"/>
              <w:jc w:val="right"/>
              <w:rPr>
                <w:rFonts w:ascii="Calibri" w:hAnsi="Calibri" w:cs="Calibri"/>
                <w:b/>
                <w:bCs/>
                <w:color w:val="000000"/>
                <w:szCs w:val="20"/>
              </w:rPr>
            </w:pPr>
            <w:r w:rsidRPr="006B2E7C">
              <w:rPr>
                <w:rFonts w:ascii="Calibri" w:hAnsi="Calibri" w:cs="Calibri"/>
                <w:b/>
                <w:bCs/>
                <w:color w:val="000000"/>
                <w:szCs w:val="20"/>
              </w:rPr>
              <w:t>1,090</w:t>
            </w:r>
          </w:p>
        </w:tc>
      </w:tr>
      <w:tr w:rsidR="001F3A53" w:rsidRPr="00EA22EB" w:rsidTr="008353B7">
        <w:trPr>
          <w:trHeight w:val="142"/>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auto"/>
            <w:vAlign w:val="center"/>
          </w:tcPr>
          <w:p w:rsidR="001F3A53" w:rsidRPr="00EA22EB" w:rsidRDefault="001F3A53" w:rsidP="00EA22EB">
            <w:pPr>
              <w:pStyle w:val="TableText"/>
              <w:ind w:left="144" w:right="288"/>
              <w:jc w:val="left"/>
              <w:rPr>
                <w:rFonts w:cs="Calibri"/>
                <w:b/>
                <w:color w:val="000000"/>
              </w:rPr>
            </w:pPr>
          </w:p>
        </w:tc>
      </w:tr>
      <w:tr w:rsidR="00157088" w:rsidRPr="00EA22EB" w:rsidTr="00596C86">
        <w:trPr>
          <w:trHeight w:val="315"/>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FFFFFF" w:themeFill="background1"/>
            <w:vAlign w:val="center"/>
          </w:tcPr>
          <w:p w:rsidR="00157088" w:rsidRPr="00EA22EB" w:rsidRDefault="00157088" w:rsidP="00596C86">
            <w:pPr>
              <w:pStyle w:val="TableText"/>
              <w:ind w:left="144" w:right="288"/>
              <w:jc w:val="left"/>
              <w:rPr>
                <w:rFonts w:cs="Calibri"/>
                <w:b/>
                <w:color w:val="000000"/>
              </w:rPr>
            </w:pPr>
            <w:bookmarkStart w:id="407" w:name="_Ref337026828"/>
            <w:bookmarkStart w:id="408" w:name="_Ref343189407"/>
            <w:bookmarkStart w:id="409" w:name="_Toc341180529"/>
            <w:bookmarkStart w:id="410" w:name="_Ref332354639"/>
            <w:r w:rsidRPr="00EA22EB">
              <w:rPr>
                <w:rFonts w:cs="Calibri"/>
                <w:b/>
                <w:color w:val="000000"/>
              </w:rPr>
              <w:t>Cumulative Savings (</w:t>
            </w:r>
            <w:r w:rsidR="00596C86">
              <w:rPr>
                <w:rFonts w:cs="Calibri"/>
                <w:b/>
                <w:color w:val="000000"/>
              </w:rPr>
              <w:t>a</w:t>
            </w:r>
            <w:r w:rsidRPr="00EA22EB">
              <w:rPr>
                <w:rFonts w:cs="Calibri"/>
                <w:b/>
                <w:color w:val="000000"/>
              </w:rPr>
              <w:t>MW)</w:t>
            </w:r>
          </w:p>
        </w:tc>
      </w:tr>
      <w:tr w:rsidR="006B2E7C" w:rsidRPr="00EA22EB" w:rsidTr="006B2E7C">
        <w:trPr>
          <w:trHeight w:val="315"/>
        </w:trPr>
        <w:tc>
          <w:tcPr>
            <w:tcW w:w="1258" w:type="pct"/>
            <w:tcBorders>
              <w:top w:val="nil"/>
              <w:left w:val="single" w:sz="8" w:space="0" w:color="999999"/>
              <w:bottom w:val="single" w:sz="8" w:space="0" w:color="999999"/>
              <w:right w:val="single" w:sz="8" w:space="0" w:color="999999"/>
            </w:tcBorders>
            <w:shd w:val="clear" w:color="auto" w:fill="FFFFFF" w:themeFill="background1"/>
            <w:noWrap/>
            <w:vAlign w:val="center"/>
            <w:hideMark/>
          </w:tcPr>
          <w:p w:rsidR="006B2E7C" w:rsidRPr="00EA22EB" w:rsidRDefault="006B2E7C" w:rsidP="006B2E7C">
            <w:pPr>
              <w:pStyle w:val="TableText"/>
              <w:ind w:left="144"/>
              <w:jc w:val="left"/>
              <w:rPr>
                <w:rFonts w:cs="Calibri"/>
                <w:color w:val="000000"/>
              </w:rPr>
            </w:pPr>
            <w:r w:rsidRPr="00EA22EB">
              <w:rPr>
                <w:rFonts w:cs="Calibri"/>
                <w:color w:val="000000"/>
              </w:rPr>
              <w:t>Residential</w:t>
            </w:r>
          </w:p>
        </w:tc>
        <w:tc>
          <w:tcPr>
            <w:tcW w:w="863"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1.5</w:t>
            </w:r>
          </w:p>
        </w:tc>
        <w:tc>
          <w:tcPr>
            <w:tcW w:w="764"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3.4</w:t>
            </w:r>
          </w:p>
        </w:tc>
        <w:tc>
          <w:tcPr>
            <w:tcW w:w="664"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9.9</w:t>
            </w:r>
          </w:p>
        </w:tc>
        <w:tc>
          <w:tcPr>
            <w:tcW w:w="723" w:type="pct"/>
            <w:tcBorders>
              <w:top w:val="nil"/>
              <w:left w:val="single" w:sz="4" w:space="0" w:color="808080" w:themeColor="background1" w:themeShade="80"/>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19.3</w:t>
            </w:r>
          </w:p>
        </w:tc>
        <w:tc>
          <w:tcPr>
            <w:tcW w:w="728" w:type="pct"/>
            <w:tcBorders>
              <w:top w:val="nil"/>
              <w:left w:val="nil"/>
              <w:bottom w:val="single" w:sz="8" w:space="0" w:color="999999"/>
              <w:right w:val="single" w:sz="8" w:space="0" w:color="999999"/>
            </w:tcBorders>
            <w:shd w:val="clear" w:color="auto" w:fill="FFFFFF" w:themeFill="background1"/>
            <w:vAlign w:val="center"/>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31.3</w:t>
            </w:r>
          </w:p>
        </w:tc>
      </w:tr>
      <w:tr w:rsidR="006B2E7C" w:rsidRPr="00EA22EB" w:rsidTr="006B2E7C">
        <w:trPr>
          <w:trHeight w:val="315"/>
        </w:trPr>
        <w:tc>
          <w:tcPr>
            <w:tcW w:w="1258" w:type="pct"/>
            <w:tcBorders>
              <w:top w:val="nil"/>
              <w:left w:val="single" w:sz="8" w:space="0" w:color="999999"/>
              <w:bottom w:val="single" w:sz="8" w:space="0" w:color="999999"/>
              <w:right w:val="single" w:sz="8" w:space="0" w:color="999999"/>
            </w:tcBorders>
            <w:shd w:val="clear" w:color="auto" w:fill="FFFFFF" w:themeFill="background1"/>
            <w:noWrap/>
            <w:vAlign w:val="center"/>
            <w:hideMark/>
          </w:tcPr>
          <w:p w:rsidR="006B2E7C" w:rsidRPr="00EA22EB" w:rsidRDefault="006B2E7C" w:rsidP="006B2E7C">
            <w:pPr>
              <w:pStyle w:val="TableText"/>
              <w:ind w:left="144"/>
              <w:jc w:val="left"/>
              <w:rPr>
                <w:rFonts w:cs="Calibri"/>
                <w:color w:val="000000"/>
              </w:rPr>
            </w:pPr>
            <w:r w:rsidRPr="00EA22EB">
              <w:rPr>
                <w:rFonts w:cs="Calibri"/>
                <w:color w:val="000000"/>
              </w:rPr>
              <w:t>Commercial</w:t>
            </w:r>
          </w:p>
        </w:tc>
        <w:tc>
          <w:tcPr>
            <w:tcW w:w="863"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1.5</w:t>
            </w:r>
          </w:p>
        </w:tc>
        <w:tc>
          <w:tcPr>
            <w:tcW w:w="764"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3.2</w:t>
            </w:r>
          </w:p>
        </w:tc>
        <w:tc>
          <w:tcPr>
            <w:tcW w:w="664"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12.0</w:t>
            </w:r>
          </w:p>
        </w:tc>
        <w:tc>
          <w:tcPr>
            <w:tcW w:w="723" w:type="pct"/>
            <w:tcBorders>
              <w:top w:val="nil"/>
              <w:left w:val="single" w:sz="4" w:space="0" w:color="808080" w:themeColor="background1" w:themeShade="80"/>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34.7</w:t>
            </w:r>
          </w:p>
        </w:tc>
        <w:tc>
          <w:tcPr>
            <w:tcW w:w="728" w:type="pct"/>
            <w:tcBorders>
              <w:top w:val="nil"/>
              <w:left w:val="nil"/>
              <w:bottom w:val="single" w:sz="8" w:space="0" w:color="999999"/>
              <w:right w:val="single" w:sz="8" w:space="0" w:color="999999"/>
            </w:tcBorders>
            <w:shd w:val="clear" w:color="auto" w:fill="FFFFFF" w:themeFill="background1"/>
            <w:vAlign w:val="center"/>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70.5</w:t>
            </w:r>
          </w:p>
        </w:tc>
      </w:tr>
      <w:tr w:rsidR="006B2E7C" w:rsidRPr="00EA22EB" w:rsidTr="006B2E7C">
        <w:trPr>
          <w:trHeight w:val="315"/>
        </w:trPr>
        <w:tc>
          <w:tcPr>
            <w:tcW w:w="1258" w:type="pct"/>
            <w:tcBorders>
              <w:top w:val="nil"/>
              <w:left w:val="single" w:sz="8" w:space="0" w:color="999999"/>
              <w:bottom w:val="single" w:sz="8" w:space="0" w:color="999999"/>
              <w:right w:val="single" w:sz="8" w:space="0" w:color="999999"/>
            </w:tcBorders>
            <w:shd w:val="clear" w:color="auto" w:fill="FFFFFF" w:themeFill="background1"/>
            <w:noWrap/>
            <w:vAlign w:val="center"/>
            <w:hideMark/>
          </w:tcPr>
          <w:p w:rsidR="006B2E7C" w:rsidRPr="00EA22EB" w:rsidRDefault="006B2E7C" w:rsidP="006B2E7C">
            <w:pPr>
              <w:pStyle w:val="TableText"/>
              <w:ind w:left="144"/>
              <w:jc w:val="left"/>
              <w:rPr>
                <w:rFonts w:cs="Calibri"/>
                <w:color w:val="000000"/>
              </w:rPr>
            </w:pPr>
            <w:r w:rsidRPr="00EA22EB">
              <w:rPr>
                <w:rFonts w:cs="Calibri"/>
                <w:color w:val="000000"/>
              </w:rPr>
              <w:t>Industrial</w:t>
            </w:r>
          </w:p>
        </w:tc>
        <w:tc>
          <w:tcPr>
            <w:tcW w:w="863"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0.9</w:t>
            </w:r>
          </w:p>
        </w:tc>
        <w:tc>
          <w:tcPr>
            <w:tcW w:w="764"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1.8</w:t>
            </w:r>
          </w:p>
        </w:tc>
        <w:tc>
          <w:tcPr>
            <w:tcW w:w="664"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5.1</w:t>
            </w:r>
          </w:p>
        </w:tc>
        <w:tc>
          <w:tcPr>
            <w:tcW w:w="723" w:type="pct"/>
            <w:tcBorders>
              <w:top w:val="nil"/>
              <w:left w:val="single" w:sz="4" w:space="0" w:color="808080" w:themeColor="background1" w:themeShade="80"/>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11.6</w:t>
            </w:r>
          </w:p>
        </w:tc>
        <w:tc>
          <w:tcPr>
            <w:tcW w:w="728" w:type="pct"/>
            <w:tcBorders>
              <w:top w:val="nil"/>
              <w:left w:val="nil"/>
              <w:bottom w:val="single" w:sz="8" w:space="0" w:color="999999"/>
              <w:right w:val="single" w:sz="8" w:space="0" w:color="999999"/>
            </w:tcBorders>
            <w:shd w:val="clear" w:color="auto" w:fill="FFFFFF" w:themeFill="background1"/>
            <w:vAlign w:val="center"/>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22.7</w:t>
            </w:r>
          </w:p>
        </w:tc>
      </w:tr>
      <w:tr w:rsidR="006B2E7C" w:rsidRPr="00EA22EB" w:rsidTr="006B2E7C">
        <w:trPr>
          <w:trHeight w:val="315"/>
        </w:trPr>
        <w:tc>
          <w:tcPr>
            <w:tcW w:w="1258" w:type="pct"/>
            <w:tcBorders>
              <w:top w:val="nil"/>
              <w:left w:val="single" w:sz="8" w:space="0" w:color="999999"/>
              <w:bottom w:val="single" w:sz="8" w:space="0" w:color="999999"/>
              <w:right w:val="single" w:sz="8" w:space="0" w:color="999999"/>
            </w:tcBorders>
            <w:shd w:val="clear" w:color="auto" w:fill="FFFFFF" w:themeFill="background1"/>
            <w:noWrap/>
            <w:vAlign w:val="center"/>
            <w:hideMark/>
          </w:tcPr>
          <w:p w:rsidR="006B2E7C" w:rsidRPr="00EA22EB" w:rsidRDefault="006B2E7C" w:rsidP="006B2E7C">
            <w:pPr>
              <w:pStyle w:val="TableText"/>
              <w:ind w:left="144"/>
              <w:jc w:val="left"/>
              <w:rPr>
                <w:rFonts w:cs="Calibri"/>
                <w:b/>
                <w:color w:val="000000"/>
              </w:rPr>
            </w:pPr>
            <w:r w:rsidRPr="00EA22EB">
              <w:rPr>
                <w:rFonts w:cs="Calibri"/>
                <w:b/>
                <w:color w:val="000000"/>
              </w:rPr>
              <w:t>Total</w:t>
            </w:r>
          </w:p>
        </w:tc>
        <w:tc>
          <w:tcPr>
            <w:tcW w:w="863"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3.9</w:t>
            </w:r>
          </w:p>
        </w:tc>
        <w:tc>
          <w:tcPr>
            <w:tcW w:w="764"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8.5</w:t>
            </w:r>
          </w:p>
        </w:tc>
        <w:tc>
          <w:tcPr>
            <w:tcW w:w="664" w:type="pct"/>
            <w:tcBorders>
              <w:top w:val="nil"/>
              <w:left w:val="nil"/>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27.0</w:t>
            </w:r>
          </w:p>
        </w:tc>
        <w:tc>
          <w:tcPr>
            <w:tcW w:w="723" w:type="pct"/>
            <w:tcBorders>
              <w:top w:val="nil"/>
              <w:left w:val="single" w:sz="4" w:space="0" w:color="808080" w:themeColor="background1" w:themeShade="80"/>
              <w:bottom w:val="single" w:sz="8" w:space="0" w:color="999999"/>
              <w:right w:val="single" w:sz="8" w:space="0" w:color="999999"/>
            </w:tcBorders>
            <w:shd w:val="clear" w:color="auto" w:fill="FFFFFF" w:themeFill="background1"/>
            <w:noWrap/>
            <w:vAlign w:val="center"/>
            <w:hideMark/>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65.6</w:t>
            </w:r>
          </w:p>
        </w:tc>
        <w:tc>
          <w:tcPr>
            <w:tcW w:w="728" w:type="pct"/>
            <w:tcBorders>
              <w:top w:val="nil"/>
              <w:left w:val="nil"/>
              <w:bottom w:val="single" w:sz="8" w:space="0" w:color="999999"/>
              <w:right w:val="single" w:sz="8" w:space="0" w:color="999999"/>
            </w:tcBorders>
            <w:shd w:val="clear" w:color="auto" w:fill="FFFFFF" w:themeFill="background1"/>
            <w:vAlign w:val="center"/>
          </w:tcPr>
          <w:p w:rsidR="006B2E7C" w:rsidRPr="006B2E7C" w:rsidRDefault="006B2E7C" w:rsidP="006B2E7C">
            <w:pPr>
              <w:ind w:right="288"/>
              <w:jc w:val="right"/>
              <w:rPr>
                <w:rFonts w:ascii="Calibri" w:hAnsi="Calibri" w:cs="Calibri"/>
                <w:bCs/>
                <w:color w:val="000000"/>
                <w:szCs w:val="20"/>
              </w:rPr>
            </w:pPr>
            <w:r w:rsidRPr="006B2E7C">
              <w:rPr>
                <w:rFonts w:ascii="Calibri" w:hAnsi="Calibri" w:cs="Calibri"/>
                <w:bCs/>
                <w:color w:val="000000"/>
                <w:szCs w:val="20"/>
              </w:rPr>
              <w:t>124.5</w:t>
            </w:r>
          </w:p>
        </w:tc>
      </w:tr>
    </w:tbl>
    <w:p w:rsidR="00157088" w:rsidRDefault="00157088" w:rsidP="008115B5">
      <w:pPr>
        <w:pStyle w:val="FigureorTableTitle"/>
      </w:pPr>
      <w:bookmarkStart w:id="411" w:name="_Ref387951914"/>
      <w:bookmarkStart w:id="412" w:name="_Toc387951605"/>
      <w:bookmarkStart w:id="413" w:name="_Toc424192739"/>
      <w:r w:rsidRPr="00F873E4">
        <w:t xml:space="preserve">Figure </w:t>
      </w:r>
      <w:r w:rsidR="00512CD6">
        <w:fldChar w:fldCharType="begin"/>
      </w:r>
      <w:r w:rsidR="00512CD6">
        <w:instrText xml:space="preserve"> STYLEREF  "Heading 1,Chap Num" \n  \* MERGEFORMAT </w:instrText>
      </w:r>
      <w:r w:rsidR="00512CD6">
        <w:fldChar w:fldCharType="separate"/>
      </w:r>
      <w:r w:rsidR="00B2652C">
        <w:rPr>
          <w:noProof/>
        </w:rPr>
        <w:t>5</w:t>
      </w:r>
      <w:r w:rsidR="00512CD6">
        <w:rPr>
          <w:noProof/>
        </w:rPr>
        <w:fldChar w:fldCharType="end"/>
      </w:r>
      <w:r w:rsidRPr="00F873E4">
        <w:t>-</w:t>
      </w:r>
      <w:r w:rsidR="00512CD6">
        <w:fldChar w:fldCharType="begin"/>
      </w:r>
      <w:r w:rsidR="00512CD6">
        <w:instrText xml:space="preserve"> SEQ Figure\s 1 \* MERGEFORMAT </w:instrText>
      </w:r>
      <w:r w:rsidR="00512CD6">
        <w:fldChar w:fldCharType="separate"/>
      </w:r>
      <w:r w:rsidR="00B2652C">
        <w:rPr>
          <w:noProof/>
        </w:rPr>
        <w:t>5</w:t>
      </w:r>
      <w:r w:rsidR="00512CD6">
        <w:rPr>
          <w:noProof/>
        </w:rPr>
        <w:fldChar w:fldCharType="end"/>
      </w:r>
      <w:bookmarkEnd w:id="407"/>
      <w:bookmarkEnd w:id="408"/>
      <w:bookmarkEnd w:id="411"/>
      <w:r>
        <w:tab/>
      </w:r>
      <w:r w:rsidRPr="00354CAE">
        <w:t>Achievable</w:t>
      </w:r>
      <w:r>
        <w:t xml:space="preserve"> </w:t>
      </w:r>
      <w:r w:rsidR="00DA2C9E">
        <w:t>Conservation</w:t>
      </w:r>
      <w:r w:rsidR="00EA22EB">
        <w:t xml:space="preserve"> </w:t>
      </w:r>
      <w:r w:rsidRPr="00354CAE">
        <w:t>Potential by Sector</w:t>
      </w:r>
      <w:r>
        <w:t xml:space="preserve"> (</w:t>
      </w:r>
      <w:r w:rsidR="00EA22EB">
        <w:t>Annual E</w:t>
      </w:r>
      <w:r>
        <w:t xml:space="preserve">nergy, </w:t>
      </w:r>
      <w:r w:rsidR="00EA22EB">
        <w:t>G</w:t>
      </w:r>
      <w:r>
        <w:t>Wh)</w:t>
      </w:r>
      <w:bookmarkEnd w:id="409"/>
      <w:bookmarkEnd w:id="412"/>
      <w:bookmarkEnd w:id="413"/>
    </w:p>
    <w:bookmarkEnd w:id="410"/>
    <w:p w:rsidR="009C54C2" w:rsidRDefault="006B2E7C" w:rsidP="00A67106">
      <w:pPr>
        <w:pStyle w:val="BodyText"/>
        <w:jc w:val="center"/>
      </w:pPr>
      <w:r w:rsidRPr="006B2E7C">
        <w:rPr>
          <w:noProof/>
        </w:rPr>
        <w:drawing>
          <wp:inline distT="0" distB="0" distL="0" distR="0">
            <wp:extent cx="5257800" cy="2495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90" t="2536" r="890" b="2536"/>
                    <a:stretch/>
                  </pic:blipFill>
                  <pic:spPr bwMode="auto">
                    <a:xfrm>
                      <a:off x="0" y="0"/>
                      <a:ext cx="5257800" cy="2495550"/>
                    </a:xfrm>
                    <a:prstGeom prst="rect">
                      <a:avLst/>
                    </a:prstGeom>
                    <a:noFill/>
                    <a:ln>
                      <a:noFill/>
                    </a:ln>
                    <a:extLst>
                      <a:ext uri="{53640926-AAD7-44D8-BBD7-CCE9431645EC}">
                        <a14:shadowObscured xmlns:a14="http://schemas.microsoft.com/office/drawing/2010/main"/>
                      </a:ext>
                    </a:extLst>
                  </pic:spPr>
                </pic:pic>
              </a:graphicData>
            </a:graphic>
          </wp:inline>
        </w:drawing>
      </w:r>
    </w:p>
    <w:p w:rsidR="006F77F9" w:rsidRDefault="006F77F9" w:rsidP="00A67106">
      <w:pPr>
        <w:pStyle w:val="BodyText"/>
      </w:pPr>
      <w:bookmarkStart w:id="414" w:name="_Toc333955935"/>
      <w:bookmarkStart w:id="415" w:name="_Toc335647177"/>
      <w:bookmarkStart w:id="416" w:name="_Toc341176240"/>
      <w:bookmarkStart w:id="417" w:name="_Toc401046359"/>
    </w:p>
    <w:p w:rsidR="0091549A" w:rsidRDefault="0091549A">
      <w:pPr>
        <w:rPr>
          <w:b/>
          <w:color w:val="1A1D5D"/>
          <w:sz w:val="26"/>
          <w:szCs w:val="20"/>
        </w:rPr>
      </w:pPr>
      <w:r>
        <w:br w:type="page"/>
      </w:r>
    </w:p>
    <w:p w:rsidR="00157088" w:rsidRDefault="00157088" w:rsidP="00157088">
      <w:pPr>
        <w:pStyle w:val="Heading2"/>
      </w:pPr>
      <w:bookmarkStart w:id="418" w:name="_Toc424192645"/>
      <w:r>
        <w:lastRenderedPageBreak/>
        <w:t xml:space="preserve">Residential </w:t>
      </w:r>
      <w:r w:rsidR="00DA2C9E">
        <w:t>Conservation</w:t>
      </w:r>
      <w:r w:rsidR="008F0231">
        <w:t xml:space="preserve"> </w:t>
      </w:r>
      <w:r>
        <w:t>Potential</w:t>
      </w:r>
      <w:bookmarkEnd w:id="414"/>
      <w:bookmarkEnd w:id="415"/>
      <w:bookmarkEnd w:id="416"/>
      <w:bookmarkEnd w:id="417"/>
      <w:bookmarkEnd w:id="418"/>
      <w:r>
        <w:t xml:space="preserve"> </w:t>
      </w:r>
    </w:p>
    <w:p w:rsidR="00157088" w:rsidRPr="001D5D2A" w:rsidRDefault="00893E3D" w:rsidP="00157088">
      <w:pPr>
        <w:pStyle w:val="BodyText"/>
      </w:pPr>
      <w:r>
        <w:fldChar w:fldCharType="begin"/>
      </w:r>
      <w:r w:rsidR="0091549A">
        <w:instrText xml:space="preserve"> REF _Ref424185293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4</w:t>
      </w:r>
      <w:r>
        <w:fldChar w:fldCharType="end"/>
      </w:r>
      <w:r w:rsidR="0091549A">
        <w:t xml:space="preserve"> (Total), </w:t>
      </w:r>
      <w:r>
        <w:fldChar w:fldCharType="begin"/>
      </w:r>
      <w:r w:rsidR="0091549A">
        <w:instrText xml:space="preserve"> REF _Ref424185309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5</w:t>
      </w:r>
      <w:r>
        <w:fldChar w:fldCharType="end"/>
      </w:r>
      <w:r w:rsidR="0091549A">
        <w:t xml:space="preserve"> </w:t>
      </w:r>
      <w:r w:rsidR="00E74A6F">
        <w:t xml:space="preserve">(WA) and </w:t>
      </w:r>
      <w:r>
        <w:fldChar w:fldCharType="begin"/>
      </w:r>
      <w:r w:rsidR="00E74A6F">
        <w:instrText xml:space="preserve"> REF _Ref422839043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6</w:t>
      </w:r>
      <w:r>
        <w:fldChar w:fldCharType="end"/>
      </w:r>
      <w:r w:rsidR="00E74A6F">
        <w:t xml:space="preserve"> (ID) </w:t>
      </w:r>
      <w:r w:rsidR="00157088">
        <w:t>present</w:t>
      </w:r>
      <w:r w:rsidR="00157088" w:rsidRPr="000108FB">
        <w:t xml:space="preserve"> estimates for </w:t>
      </w:r>
      <w:r w:rsidR="00157088">
        <w:t xml:space="preserve">measure-level </w:t>
      </w:r>
      <w:r w:rsidR="0091549A">
        <w:t xml:space="preserve">conservation </w:t>
      </w:r>
      <w:r w:rsidR="00157088">
        <w:t>potential for the residential</w:t>
      </w:r>
      <w:r w:rsidR="00157088" w:rsidRPr="000108FB">
        <w:t xml:space="preserve"> sector</w:t>
      </w:r>
      <w:r w:rsidR="00BA3C81">
        <w:t xml:space="preserve"> in terms of annual energy savings. </w:t>
      </w:r>
      <w:r>
        <w:fldChar w:fldCharType="begin"/>
      </w:r>
      <w:r w:rsidR="00E74A6F">
        <w:instrText xml:space="preserve"> REF _Ref422839091 \h </w:instrText>
      </w:r>
      <w:r>
        <w:fldChar w:fldCharType="separate"/>
      </w:r>
      <w:r w:rsidR="00B2652C" w:rsidRPr="00E07587">
        <w:t xml:space="preserve">Figure </w:t>
      </w:r>
      <w:r w:rsidR="00B2652C" w:rsidRPr="00B2652C">
        <w:rPr>
          <w:noProof/>
        </w:rPr>
        <w:t>5</w:t>
      </w:r>
      <w:r w:rsidR="00B2652C" w:rsidRPr="00E07587">
        <w:t>-</w:t>
      </w:r>
      <w:r w:rsidR="00B2652C" w:rsidRPr="00B2652C">
        <w:rPr>
          <w:noProof/>
        </w:rPr>
        <w:t>6</w:t>
      </w:r>
      <w:r>
        <w:fldChar w:fldCharType="end"/>
      </w:r>
      <w:r w:rsidR="00E74A6F">
        <w:t xml:space="preserve"> (WA)</w:t>
      </w:r>
      <w:r w:rsidR="00684A2F">
        <w:t xml:space="preserve"> </w:t>
      </w:r>
      <w:r w:rsidR="00E74A6F">
        <w:t xml:space="preserve">and </w:t>
      </w:r>
      <w:r>
        <w:fldChar w:fldCharType="begin"/>
      </w:r>
      <w:r w:rsidR="00E74A6F">
        <w:instrText xml:space="preserve"> REF _Ref422839096 \h </w:instrText>
      </w:r>
      <w:r>
        <w:fldChar w:fldCharType="separate"/>
      </w:r>
      <w:r w:rsidR="00B2652C" w:rsidRPr="00E07587">
        <w:t xml:space="preserve">Figure </w:t>
      </w:r>
      <w:r w:rsidR="00B2652C" w:rsidRPr="00B2652C">
        <w:rPr>
          <w:noProof/>
        </w:rPr>
        <w:t>5</w:t>
      </w:r>
      <w:r w:rsidR="00B2652C" w:rsidRPr="00E07587">
        <w:t>-</w:t>
      </w:r>
      <w:r w:rsidR="00B2652C" w:rsidRPr="00B2652C">
        <w:rPr>
          <w:noProof/>
        </w:rPr>
        <w:t>7</w:t>
      </w:r>
      <w:r>
        <w:fldChar w:fldCharType="end"/>
      </w:r>
      <w:r w:rsidR="00684A2F">
        <w:t xml:space="preserve"> (ID) display the three levels of potential by year. </w:t>
      </w:r>
      <w:r w:rsidR="00414BFE">
        <w:t>For Washington, a</w:t>
      </w:r>
      <w:r w:rsidR="00BA3C81">
        <w:t>chievable potential in the first year, 201</w:t>
      </w:r>
      <w:r w:rsidR="00684A2F">
        <w:t>6</w:t>
      </w:r>
      <w:r w:rsidR="00BA3C81">
        <w:t xml:space="preserve"> is </w:t>
      </w:r>
      <w:r w:rsidR="00684A2F">
        <w:t>9</w:t>
      </w:r>
      <w:r w:rsidR="00BA3C81">
        <w:t xml:space="preserve"> GWh</w:t>
      </w:r>
      <w:r w:rsidR="00EF0891">
        <w:t>,</w:t>
      </w:r>
      <w:r w:rsidR="00BA3C81">
        <w:t xml:space="preserve"> or </w:t>
      </w:r>
      <w:r w:rsidR="00735397">
        <w:t>0.</w:t>
      </w:r>
      <w:r w:rsidR="00684A2F">
        <w:t>3</w:t>
      </w:r>
      <w:r w:rsidR="00BA3C81">
        <w:t>% of</w:t>
      </w:r>
      <w:r w:rsidR="008D22C6">
        <w:t xml:space="preserve"> the baseline projection. By 203</w:t>
      </w:r>
      <w:r w:rsidR="00684A2F">
        <w:t>5</w:t>
      </w:r>
      <w:r w:rsidR="00BA3C81">
        <w:t xml:space="preserve">, </w:t>
      </w:r>
      <w:r w:rsidR="00EF0891">
        <w:t xml:space="preserve">cumulative </w:t>
      </w:r>
      <w:r w:rsidR="008D22C6">
        <w:t xml:space="preserve">achievable </w:t>
      </w:r>
      <w:r w:rsidR="00EF0891">
        <w:t xml:space="preserve">savings are </w:t>
      </w:r>
      <w:r w:rsidR="00684A2F">
        <w:t>181</w:t>
      </w:r>
      <w:r w:rsidR="00BA3C81">
        <w:t xml:space="preserve"> GWh, or </w:t>
      </w:r>
      <w:r w:rsidR="00684A2F">
        <w:t>6</w:t>
      </w:r>
      <w:r w:rsidR="008D22C6">
        <w:t>.</w:t>
      </w:r>
      <w:r w:rsidR="00684A2F">
        <w:t>6</w:t>
      </w:r>
      <w:r w:rsidR="00BA3C81">
        <w:t xml:space="preserve">% of the baseline projection. At this level, it represents </w:t>
      </w:r>
      <w:r w:rsidR="008D22C6">
        <w:t>over</w:t>
      </w:r>
      <w:r w:rsidR="00BA3C81">
        <w:t xml:space="preserve"> </w:t>
      </w:r>
      <w:r w:rsidR="00684A2F">
        <w:t>80%</w:t>
      </w:r>
      <w:r w:rsidR="00BA3C81">
        <w:t xml:space="preserve"> of economic potential. </w:t>
      </w:r>
      <w:r w:rsidR="00684A2F">
        <w:t xml:space="preserve">For Idaho, first year </w:t>
      </w:r>
      <w:r w:rsidR="00414BFE">
        <w:t xml:space="preserve">achievable </w:t>
      </w:r>
      <w:r w:rsidR="00684A2F">
        <w:t>savings are 5 GWh or 0.4% of the baseline and by 2035 cumulative achievable savings reach 93 GWh, or 6.8% of the baseline.</w:t>
      </w:r>
    </w:p>
    <w:p w:rsidR="00BC1CA5" w:rsidRDefault="00BC1CA5" w:rsidP="00BC1CA5">
      <w:pPr>
        <w:pStyle w:val="BodyText"/>
      </w:pPr>
      <w:bookmarkStart w:id="419" w:name="_Ref402254156"/>
      <w:bookmarkStart w:id="420" w:name="_Toc341181349"/>
      <w:bookmarkStart w:id="421" w:name="_Toc396755845"/>
    </w:p>
    <w:p w:rsidR="008D54BB" w:rsidRDefault="008D54BB" w:rsidP="008D54BB">
      <w:pPr>
        <w:pStyle w:val="FigureorTableTitle"/>
      </w:pPr>
      <w:bookmarkStart w:id="422" w:name="_Ref424185293"/>
      <w:bookmarkStart w:id="423" w:name="_Toc424192799"/>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4</w:t>
      </w:r>
      <w:r w:rsidR="00512CD6">
        <w:rPr>
          <w:bCs w:val="0"/>
          <w:iCs w:val="0"/>
          <w:noProof/>
        </w:rPr>
        <w:fldChar w:fldCharType="end"/>
      </w:r>
      <w:bookmarkEnd w:id="422"/>
      <w:r>
        <w:tab/>
        <w:t>Residential Conservation Potential (Annual Energy), Washington and Idaho</w:t>
      </w:r>
      <w:bookmarkEnd w:id="423"/>
    </w:p>
    <w:tbl>
      <w:tblPr>
        <w:tblW w:w="5000" w:type="pct"/>
        <w:tblCellMar>
          <w:left w:w="115" w:type="dxa"/>
          <w:right w:w="144" w:type="dxa"/>
        </w:tblCellMar>
        <w:tblLook w:val="04A0" w:firstRow="1" w:lastRow="0" w:firstColumn="1" w:lastColumn="0" w:noHBand="0" w:noVBand="1"/>
      </w:tblPr>
      <w:tblGrid>
        <w:gridCol w:w="3155"/>
        <w:gridCol w:w="1220"/>
        <w:gridCol w:w="1220"/>
        <w:gridCol w:w="1220"/>
        <w:gridCol w:w="1220"/>
        <w:gridCol w:w="1224"/>
      </w:tblGrid>
      <w:tr w:rsidR="00BC1CA5" w:rsidRPr="00BA3C81" w:rsidTr="0011429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BC1CA5" w:rsidRPr="00837C13" w:rsidRDefault="00BC1CA5" w:rsidP="00114296">
            <w:pPr>
              <w:rPr>
                <w:rFonts w:ascii="Calibri" w:hAnsi="Calibri" w:cs="Calibri"/>
                <w:bCs/>
                <w:szCs w:val="20"/>
              </w:rPr>
            </w:pPr>
            <w:r w:rsidRPr="00837C13">
              <w:rPr>
                <w:rFonts w:ascii="Calibri" w:hAnsi="Calibri" w:cs="Calibri"/>
                <w:bCs/>
                <w:szCs w:val="20"/>
              </w:rPr>
              <w:t> </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BC1CA5" w:rsidRPr="00837C13" w:rsidRDefault="00BC1CA5" w:rsidP="00114296">
            <w:pPr>
              <w:pStyle w:val="TableHeadings"/>
              <w:rPr>
                <w:rFonts w:cs="Calibri"/>
                <w:b w:val="0"/>
                <w:color w:val="auto"/>
              </w:rPr>
            </w:pPr>
            <w:r w:rsidRPr="00837C13">
              <w:rPr>
                <w:rFonts w:cs="Calibri"/>
                <w:b w:val="0"/>
                <w:bCs/>
                <w:color w:val="auto"/>
              </w:rPr>
              <w:t>201</w:t>
            </w:r>
            <w:r>
              <w:rPr>
                <w:rFonts w:cs="Calibri"/>
                <w:b w:val="0"/>
                <w:bCs/>
                <w:color w:val="auto"/>
              </w:rPr>
              <w:t>6</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BC1CA5" w:rsidRPr="00837C13" w:rsidRDefault="00BC1CA5" w:rsidP="00114296">
            <w:pPr>
              <w:pStyle w:val="TableHeadings"/>
              <w:rPr>
                <w:rFonts w:cs="Calibri"/>
                <w:b w:val="0"/>
                <w:color w:val="auto"/>
              </w:rPr>
            </w:pPr>
            <w:r w:rsidRPr="00837C13">
              <w:rPr>
                <w:rFonts w:cs="Calibri"/>
                <w:b w:val="0"/>
                <w:bCs/>
                <w:color w:val="auto"/>
              </w:rPr>
              <w:t>20</w:t>
            </w:r>
            <w:r>
              <w:rPr>
                <w:rFonts w:cs="Calibri"/>
                <w:b w:val="0"/>
                <w:bCs/>
                <w:color w:val="auto"/>
              </w:rPr>
              <w:t>17</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BC1CA5" w:rsidRPr="00837C13" w:rsidRDefault="00BC1CA5" w:rsidP="00114296">
            <w:pPr>
              <w:pStyle w:val="TableHeadings"/>
              <w:rPr>
                <w:rFonts w:cs="Calibri"/>
                <w:b w:val="0"/>
                <w:color w:val="auto"/>
              </w:rPr>
            </w:pPr>
            <w:r w:rsidRPr="00837C13">
              <w:rPr>
                <w:rFonts w:cs="Calibri"/>
                <w:b w:val="0"/>
                <w:bCs/>
                <w:color w:val="auto"/>
              </w:rPr>
              <w:t>202</w:t>
            </w:r>
            <w:r>
              <w:rPr>
                <w:rFonts w:cs="Calibri"/>
                <w:b w:val="0"/>
                <w:bCs/>
                <w:color w:val="auto"/>
              </w:rPr>
              <w:t>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BC1CA5" w:rsidRPr="00837C13" w:rsidRDefault="00BC1CA5" w:rsidP="00114296">
            <w:pPr>
              <w:pStyle w:val="TableHeadings"/>
              <w:rPr>
                <w:rFonts w:cs="Calibri"/>
                <w:b w:val="0"/>
                <w:color w:val="auto"/>
              </w:rPr>
            </w:pPr>
            <w:r w:rsidRPr="00837C13">
              <w:rPr>
                <w:rFonts w:cs="Calibri"/>
                <w:b w:val="0"/>
                <w:bCs/>
                <w:color w:val="auto"/>
              </w:rPr>
              <w:t>20</w:t>
            </w:r>
            <w:r>
              <w:rPr>
                <w:rFonts w:cs="Calibri"/>
                <w:b w:val="0"/>
                <w:bCs/>
                <w:color w:val="auto"/>
              </w:rPr>
              <w:t>25</w:t>
            </w:r>
          </w:p>
        </w:tc>
        <w:tc>
          <w:tcPr>
            <w:tcW w:w="661" w:type="pct"/>
            <w:tcBorders>
              <w:top w:val="single" w:sz="8" w:space="0" w:color="999999"/>
              <w:left w:val="nil"/>
              <w:bottom w:val="single" w:sz="8" w:space="0" w:color="999999"/>
              <w:right w:val="single" w:sz="8" w:space="0" w:color="999999"/>
            </w:tcBorders>
            <w:shd w:val="clear" w:color="auto" w:fill="1A1D5D"/>
            <w:vAlign w:val="center"/>
          </w:tcPr>
          <w:p w:rsidR="00BC1CA5" w:rsidRPr="00837C13" w:rsidRDefault="00BC1CA5" w:rsidP="00114296">
            <w:pPr>
              <w:pStyle w:val="TableHeadings"/>
              <w:rPr>
                <w:rFonts w:cs="Calibri"/>
                <w:b w:val="0"/>
                <w:color w:val="auto"/>
              </w:rPr>
            </w:pPr>
            <w:r w:rsidRPr="00837C13">
              <w:rPr>
                <w:rFonts w:cs="Calibri"/>
                <w:b w:val="0"/>
                <w:bCs/>
                <w:color w:val="auto"/>
              </w:rPr>
              <w:t>203</w:t>
            </w:r>
            <w:r>
              <w:rPr>
                <w:rFonts w:cs="Calibri"/>
                <w:b w:val="0"/>
                <w:bCs/>
                <w:color w:val="auto"/>
              </w:rPr>
              <w:t>5</w:t>
            </w:r>
          </w:p>
        </w:tc>
      </w:tr>
      <w:tr w:rsidR="00BC1CA5" w:rsidRPr="00BA3C81" w:rsidTr="00114296">
        <w:trPr>
          <w:trHeight w:val="288"/>
        </w:trPr>
        <w:tc>
          <w:tcPr>
            <w:tcW w:w="1703" w:type="pct"/>
            <w:tcBorders>
              <w:top w:val="nil"/>
              <w:left w:val="single" w:sz="8" w:space="0" w:color="999999"/>
              <w:bottom w:val="single" w:sz="8" w:space="0" w:color="999999"/>
              <w:right w:val="single" w:sz="8" w:space="0" w:color="999999"/>
            </w:tcBorders>
            <w:shd w:val="clear" w:color="auto" w:fill="auto"/>
            <w:noWrap/>
            <w:vAlign w:val="center"/>
            <w:hideMark/>
          </w:tcPr>
          <w:p w:rsidR="00BC1CA5" w:rsidRPr="00BA3C81" w:rsidRDefault="00BC1CA5" w:rsidP="00BC1CA5">
            <w:pPr>
              <w:pStyle w:val="TableText"/>
              <w:jc w:val="left"/>
              <w:rPr>
                <w:rFonts w:cs="Calibri"/>
                <w:b/>
              </w:rPr>
            </w:pPr>
            <w:r w:rsidRPr="00BA3C81">
              <w:rPr>
                <w:rFonts w:cs="Calibri"/>
                <w:b/>
              </w:rPr>
              <w:t>Baseline projection (GWh)</w:t>
            </w:r>
          </w:p>
        </w:tc>
        <w:tc>
          <w:tcPr>
            <w:tcW w:w="659" w:type="pct"/>
            <w:tcBorders>
              <w:top w:val="nil"/>
              <w:left w:val="nil"/>
              <w:bottom w:val="single" w:sz="8" w:space="0" w:color="999999"/>
              <w:right w:val="single" w:sz="8" w:space="0" w:color="999999"/>
            </w:tcBorders>
            <w:shd w:val="clear" w:color="auto" w:fill="auto"/>
            <w:noWrap/>
            <w:vAlign w:val="bottom"/>
            <w:hideMark/>
          </w:tcPr>
          <w:p w:rsidR="00BC1CA5" w:rsidRPr="00BC1CA5" w:rsidRDefault="00BC1CA5" w:rsidP="00BC1CA5">
            <w:pPr>
              <w:ind w:right="144"/>
              <w:jc w:val="right"/>
              <w:rPr>
                <w:rFonts w:ascii="Calibri" w:hAnsi="Calibri" w:cs="Calibri"/>
                <w:szCs w:val="20"/>
              </w:rPr>
            </w:pPr>
            <w:r w:rsidRPr="00BC1CA5">
              <w:rPr>
                <w:rFonts w:ascii="Calibri" w:hAnsi="Calibri" w:cs="Calibri"/>
                <w:bCs/>
                <w:color w:val="000000"/>
                <w:szCs w:val="22"/>
              </w:rPr>
              <w:t>3,703</w:t>
            </w:r>
          </w:p>
        </w:tc>
        <w:tc>
          <w:tcPr>
            <w:tcW w:w="659" w:type="pct"/>
            <w:tcBorders>
              <w:top w:val="nil"/>
              <w:left w:val="nil"/>
              <w:bottom w:val="single" w:sz="8" w:space="0" w:color="999999"/>
              <w:right w:val="single" w:sz="8" w:space="0" w:color="999999"/>
            </w:tcBorders>
            <w:shd w:val="clear" w:color="auto" w:fill="auto"/>
            <w:noWrap/>
            <w:vAlign w:val="bottom"/>
            <w:hideMark/>
          </w:tcPr>
          <w:p w:rsidR="00BC1CA5" w:rsidRPr="00BC1CA5" w:rsidRDefault="00BC1CA5" w:rsidP="00BC1CA5">
            <w:pPr>
              <w:ind w:right="144"/>
              <w:jc w:val="right"/>
              <w:rPr>
                <w:rFonts w:ascii="Calibri" w:hAnsi="Calibri" w:cs="Calibri"/>
                <w:szCs w:val="20"/>
              </w:rPr>
            </w:pPr>
            <w:r w:rsidRPr="00BC1CA5">
              <w:rPr>
                <w:rFonts w:ascii="Calibri" w:hAnsi="Calibri" w:cs="Calibri"/>
                <w:bCs/>
                <w:color w:val="000000"/>
                <w:szCs w:val="22"/>
              </w:rPr>
              <w:t>3,703</w:t>
            </w:r>
          </w:p>
        </w:tc>
        <w:tc>
          <w:tcPr>
            <w:tcW w:w="659" w:type="pct"/>
            <w:tcBorders>
              <w:top w:val="nil"/>
              <w:left w:val="nil"/>
              <w:bottom w:val="single" w:sz="8" w:space="0" w:color="999999"/>
              <w:right w:val="single" w:sz="8" w:space="0" w:color="999999"/>
            </w:tcBorders>
            <w:shd w:val="clear" w:color="auto" w:fill="auto"/>
            <w:noWrap/>
            <w:vAlign w:val="bottom"/>
            <w:hideMark/>
          </w:tcPr>
          <w:p w:rsidR="00BC1CA5" w:rsidRPr="00BC1CA5" w:rsidRDefault="00BC1CA5" w:rsidP="00BC1CA5">
            <w:pPr>
              <w:ind w:right="144"/>
              <w:jc w:val="right"/>
              <w:rPr>
                <w:rFonts w:ascii="Calibri" w:hAnsi="Calibri" w:cs="Calibri"/>
                <w:szCs w:val="20"/>
              </w:rPr>
            </w:pPr>
            <w:r w:rsidRPr="00BC1CA5">
              <w:rPr>
                <w:rFonts w:ascii="Calibri" w:hAnsi="Calibri" w:cs="Calibri"/>
                <w:bCs/>
                <w:color w:val="000000"/>
                <w:szCs w:val="22"/>
              </w:rPr>
              <w:t>3,711</w:t>
            </w:r>
          </w:p>
        </w:tc>
        <w:tc>
          <w:tcPr>
            <w:tcW w:w="659" w:type="pct"/>
            <w:tcBorders>
              <w:top w:val="nil"/>
              <w:left w:val="single" w:sz="4" w:space="0" w:color="808080" w:themeColor="background1" w:themeShade="80"/>
              <w:bottom w:val="single" w:sz="8" w:space="0" w:color="999999"/>
              <w:right w:val="single" w:sz="8" w:space="0" w:color="999999"/>
            </w:tcBorders>
            <w:shd w:val="clear" w:color="auto" w:fill="auto"/>
            <w:noWrap/>
            <w:vAlign w:val="bottom"/>
            <w:hideMark/>
          </w:tcPr>
          <w:p w:rsidR="00BC1CA5" w:rsidRPr="00BC1CA5" w:rsidRDefault="00BC1CA5" w:rsidP="00BC1CA5">
            <w:pPr>
              <w:ind w:right="144"/>
              <w:jc w:val="right"/>
              <w:rPr>
                <w:rFonts w:ascii="Calibri" w:hAnsi="Calibri" w:cs="Calibri"/>
                <w:szCs w:val="20"/>
              </w:rPr>
            </w:pPr>
            <w:r w:rsidRPr="00BC1CA5">
              <w:rPr>
                <w:rFonts w:ascii="Calibri" w:hAnsi="Calibri" w:cs="Calibri"/>
                <w:bCs/>
                <w:color w:val="000000"/>
                <w:szCs w:val="22"/>
              </w:rPr>
              <w:t>3,761</w:t>
            </w:r>
          </w:p>
        </w:tc>
        <w:tc>
          <w:tcPr>
            <w:tcW w:w="661" w:type="pct"/>
            <w:tcBorders>
              <w:top w:val="nil"/>
              <w:left w:val="nil"/>
              <w:bottom w:val="single" w:sz="8" w:space="0" w:color="999999"/>
              <w:right w:val="single" w:sz="8" w:space="0" w:color="999999"/>
            </w:tcBorders>
            <w:vAlign w:val="bottom"/>
          </w:tcPr>
          <w:p w:rsidR="00BC1CA5" w:rsidRPr="00BC1CA5" w:rsidRDefault="00BC1CA5" w:rsidP="00BC1CA5">
            <w:pPr>
              <w:ind w:right="144"/>
              <w:jc w:val="right"/>
              <w:rPr>
                <w:rFonts w:ascii="Calibri" w:hAnsi="Calibri" w:cs="Calibri"/>
                <w:szCs w:val="20"/>
              </w:rPr>
            </w:pPr>
            <w:r w:rsidRPr="00BC1CA5">
              <w:rPr>
                <w:rFonts w:ascii="Calibri" w:hAnsi="Calibri" w:cs="Calibri"/>
                <w:bCs/>
                <w:color w:val="000000"/>
                <w:szCs w:val="22"/>
              </w:rPr>
              <w:t>4,136</w:t>
            </w:r>
          </w:p>
        </w:tc>
      </w:tr>
      <w:tr w:rsidR="00BC1CA5" w:rsidRPr="00BA3C81" w:rsidTr="00114296">
        <w:trPr>
          <w:trHeight w:val="288"/>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BC1CA5" w:rsidRPr="00BA3C81" w:rsidRDefault="00BC1CA5" w:rsidP="00114296">
            <w:pPr>
              <w:pStyle w:val="TableText"/>
              <w:jc w:val="left"/>
              <w:rPr>
                <w:rFonts w:cs="Calibri"/>
                <w:b/>
              </w:rPr>
            </w:pPr>
            <w:r w:rsidRPr="00BA3C81">
              <w:rPr>
                <w:rFonts w:cs="Calibri"/>
                <w:b/>
              </w:rPr>
              <w:t>Cumulative Net Savings (GWh)</w:t>
            </w:r>
          </w:p>
        </w:tc>
      </w:tr>
      <w:tr w:rsidR="00BC1CA5" w:rsidRPr="00BA3C81" w:rsidTr="0011429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BC1CA5" w:rsidRPr="003D7CFC" w:rsidRDefault="00BC1CA5" w:rsidP="00BC1CA5">
            <w:pPr>
              <w:pStyle w:val="TableText"/>
              <w:jc w:val="left"/>
              <w:rPr>
                <w:rFonts w:cs="Calibri"/>
              </w:rPr>
            </w:pPr>
            <w:r w:rsidRPr="003D7CF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13</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30</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87</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169</w:t>
            </w:r>
          </w:p>
        </w:tc>
        <w:tc>
          <w:tcPr>
            <w:tcW w:w="661" w:type="pct"/>
            <w:tcBorders>
              <w:top w:val="single" w:sz="8" w:space="0" w:color="999999"/>
              <w:left w:val="nil"/>
              <w:bottom w:val="single" w:sz="8" w:space="0" w:color="999999"/>
              <w:right w:val="single" w:sz="8" w:space="0" w:color="999999"/>
            </w:tcBorders>
            <w:shd w:val="clear" w:color="auto" w:fill="DBE5F1"/>
            <w:vAlign w:val="bottom"/>
          </w:tcPr>
          <w:p w:rsidR="00BC1CA5" w:rsidRPr="00BC1CA5" w:rsidRDefault="00BC1CA5" w:rsidP="00BC1CA5">
            <w:pPr>
              <w:pStyle w:val="TableText"/>
              <w:jc w:val="right"/>
              <w:rPr>
                <w:rFonts w:cs="Calibri"/>
              </w:rPr>
            </w:pPr>
            <w:r w:rsidRPr="00BC1CA5">
              <w:rPr>
                <w:rFonts w:cs="Calibri"/>
                <w:color w:val="000000"/>
                <w:szCs w:val="22"/>
              </w:rPr>
              <w:t>274</w:t>
            </w:r>
          </w:p>
        </w:tc>
      </w:tr>
      <w:tr w:rsidR="00BC1CA5" w:rsidRPr="00BA3C81" w:rsidTr="0011429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BC1CA5" w:rsidRPr="003D7CFC" w:rsidRDefault="00BC1CA5" w:rsidP="00BC1CA5">
            <w:pPr>
              <w:pStyle w:val="TableText"/>
              <w:jc w:val="left"/>
              <w:rPr>
                <w:rFonts w:cs="Calibri"/>
              </w:rPr>
            </w:pPr>
            <w:r w:rsidRPr="003D7CF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29</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60</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137</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219</w:t>
            </w:r>
          </w:p>
        </w:tc>
        <w:tc>
          <w:tcPr>
            <w:tcW w:w="661" w:type="pct"/>
            <w:tcBorders>
              <w:top w:val="single" w:sz="8" w:space="0" w:color="999999"/>
              <w:left w:val="nil"/>
              <w:bottom w:val="single" w:sz="8" w:space="0" w:color="999999"/>
              <w:right w:val="single" w:sz="8" w:space="0" w:color="999999"/>
            </w:tcBorders>
            <w:shd w:val="clear" w:color="auto" w:fill="DBE5F1"/>
            <w:vAlign w:val="bottom"/>
          </w:tcPr>
          <w:p w:rsidR="00BC1CA5" w:rsidRPr="00BC1CA5" w:rsidRDefault="00BC1CA5" w:rsidP="00BC1CA5">
            <w:pPr>
              <w:pStyle w:val="TableText"/>
              <w:jc w:val="right"/>
              <w:rPr>
                <w:rFonts w:cs="Calibri"/>
              </w:rPr>
            </w:pPr>
            <w:r w:rsidRPr="00BC1CA5">
              <w:rPr>
                <w:rFonts w:cs="Calibri"/>
                <w:color w:val="000000"/>
                <w:szCs w:val="22"/>
              </w:rPr>
              <w:t>334</w:t>
            </w:r>
          </w:p>
        </w:tc>
      </w:tr>
      <w:tr w:rsidR="00BC1CA5" w:rsidRPr="00BA3C81" w:rsidTr="0011429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BC1CA5" w:rsidRPr="003D7CFC" w:rsidRDefault="00BC1CA5" w:rsidP="00BC1CA5">
            <w:pPr>
              <w:pStyle w:val="TableText"/>
              <w:jc w:val="left"/>
              <w:rPr>
                <w:rFonts w:cs="Calibri"/>
              </w:rPr>
            </w:pPr>
            <w:r w:rsidRPr="003D7CF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84</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169</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400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bottom"/>
            <w:hideMark/>
          </w:tcPr>
          <w:p w:rsidR="00BC1CA5" w:rsidRPr="00BC1CA5" w:rsidRDefault="00BC1CA5" w:rsidP="00BC1CA5">
            <w:pPr>
              <w:pStyle w:val="TableText"/>
              <w:jc w:val="right"/>
              <w:rPr>
                <w:rFonts w:cs="Calibri"/>
              </w:rPr>
            </w:pPr>
            <w:r w:rsidRPr="00BC1CA5">
              <w:rPr>
                <w:rFonts w:cs="Calibri"/>
                <w:color w:val="000000"/>
                <w:szCs w:val="22"/>
              </w:rPr>
              <w:t>719</w:t>
            </w:r>
          </w:p>
        </w:tc>
        <w:tc>
          <w:tcPr>
            <w:tcW w:w="661" w:type="pct"/>
            <w:tcBorders>
              <w:top w:val="single" w:sz="8" w:space="0" w:color="999999"/>
              <w:left w:val="nil"/>
              <w:bottom w:val="single" w:sz="8" w:space="0" w:color="999999"/>
              <w:right w:val="single" w:sz="8" w:space="0" w:color="999999"/>
            </w:tcBorders>
            <w:shd w:val="clear" w:color="auto" w:fill="DBE5F1"/>
            <w:vAlign w:val="bottom"/>
          </w:tcPr>
          <w:p w:rsidR="00BC1CA5" w:rsidRPr="00BC1CA5" w:rsidRDefault="00BC1CA5" w:rsidP="00BC1CA5">
            <w:pPr>
              <w:pStyle w:val="TableText"/>
              <w:jc w:val="right"/>
              <w:rPr>
                <w:rFonts w:cs="Calibri"/>
              </w:rPr>
            </w:pPr>
            <w:r w:rsidRPr="00BC1CA5">
              <w:rPr>
                <w:rFonts w:cs="Calibri"/>
                <w:color w:val="000000"/>
                <w:szCs w:val="22"/>
              </w:rPr>
              <w:t>1,117</w:t>
            </w:r>
          </w:p>
        </w:tc>
      </w:tr>
      <w:tr w:rsidR="00BC1CA5" w:rsidRPr="00BA3C81" w:rsidTr="00114296">
        <w:trPr>
          <w:trHeight w:val="288"/>
        </w:trPr>
        <w:tc>
          <w:tcPr>
            <w:tcW w:w="5000" w:type="pct"/>
            <w:gridSpan w:val="6"/>
            <w:tcBorders>
              <w:top w:val="single" w:sz="8" w:space="0" w:color="999999"/>
              <w:left w:val="single" w:sz="8" w:space="0" w:color="999999"/>
              <w:bottom w:val="single" w:sz="8" w:space="0" w:color="999999"/>
              <w:right w:val="single" w:sz="8" w:space="0" w:color="999999"/>
            </w:tcBorders>
            <w:shd w:val="clear" w:color="auto" w:fill="auto"/>
            <w:noWrap/>
            <w:vAlign w:val="center"/>
          </w:tcPr>
          <w:p w:rsidR="00BC1CA5" w:rsidRPr="00F22B60" w:rsidRDefault="00BC1CA5" w:rsidP="00114296">
            <w:pPr>
              <w:pStyle w:val="TableText"/>
              <w:jc w:val="left"/>
              <w:rPr>
                <w:rFonts w:cs="Calibri"/>
                <w:b/>
              </w:rPr>
            </w:pPr>
            <w:r w:rsidRPr="00BA3C81">
              <w:rPr>
                <w:rFonts w:cs="Calibri"/>
                <w:b/>
              </w:rPr>
              <w:t>Cumulative Net Savings (</w:t>
            </w:r>
            <w:r>
              <w:rPr>
                <w:rFonts w:cs="Calibri"/>
                <w:b/>
              </w:rPr>
              <w:t>aMW</w:t>
            </w:r>
            <w:r w:rsidRPr="00BA3C81">
              <w:rPr>
                <w:rFonts w:cs="Calibri"/>
                <w:b/>
              </w:rPr>
              <w:t>)</w:t>
            </w:r>
          </w:p>
        </w:tc>
      </w:tr>
      <w:tr w:rsidR="00BC1CA5" w:rsidRPr="00BA3C81" w:rsidTr="0011429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BC1CA5" w:rsidRPr="003D7CFC" w:rsidRDefault="00BC1CA5" w:rsidP="00BC1CA5">
            <w:pPr>
              <w:pStyle w:val="TableText"/>
              <w:jc w:val="left"/>
              <w:rPr>
                <w:rFonts w:cs="Calibri"/>
              </w:rPr>
            </w:pPr>
            <w:r w:rsidRPr="003D7CF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1.5</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3.4</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9.9</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19.3</w:t>
            </w:r>
          </w:p>
        </w:tc>
        <w:tc>
          <w:tcPr>
            <w:tcW w:w="661" w:type="pct"/>
            <w:tcBorders>
              <w:top w:val="single" w:sz="8" w:space="0" w:color="999999"/>
              <w:left w:val="nil"/>
              <w:bottom w:val="single" w:sz="8" w:space="0" w:color="999999"/>
              <w:right w:val="single" w:sz="8" w:space="0" w:color="999999"/>
            </w:tcBorders>
            <w:shd w:val="clear" w:color="auto" w:fill="auto"/>
            <w:vAlign w:val="bottom"/>
          </w:tcPr>
          <w:p w:rsidR="00BC1CA5" w:rsidRPr="00BC1CA5" w:rsidRDefault="00BC1CA5" w:rsidP="00BC1CA5">
            <w:pPr>
              <w:pStyle w:val="TableText"/>
              <w:jc w:val="right"/>
              <w:rPr>
                <w:rFonts w:cs="Calibri"/>
              </w:rPr>
            </w:pPr>
            <w:r w:rsidRPr="00BC1CA5">
              <w:rPr>
                <w:rFonts w:cs="Calibri"/>
                <w:color w:val="000000"/>
                <w:szCs w:val="22"/>
              </w:rPr>
              <w:t>31.3</w:t>
            </w:r>
          </w:p>
        </w:tc>
      </w:tr>
      <w:tr w:rsidR="00BC1CA5" w:rsidRPr="00BA3C81" w:rsidTr="0011429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BC1CA5" w:rsidRPr="003D7CFC" w:rsidRDefault="00BC1CA5" w:rsidP="00BC1CA5">
            <w:pPr>
              <w:pStyle w:val="TableText"/>
              <w:jc w:val="left"/>
              <w:rPr>
                <w:rFonts w:cs="Calibri"/>
              </w:rPr>
            </w:pPr>
            <w:r w:rsidRPr="003D7CF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3.3</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6.9</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15.6</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25.0</w:t>
            </w:r>
          </w:p>
        </w:tc>
        <w:tc>
          <w:tcPr>
            <w:tcW w:w="661" w:type="pct"/>
            <w:tcBorders>
              <w:top w:val="single" w:sz="8" w:space="0" w:color="999999"/>
              <w:left w:val="nil"/>
              <w:bottom w:val="single" w:sz="8" w:space="0" w:color="999999"/>
              <w:right w:val="single" w:sz="8" w:space="0" w:color="999999"/>
            </w:tcBorders>
            <w:shd w:val="clear" w:color="auto" w:fill="auto"/>
            <w:vAlign w:val="bottom"/>
          </w:tcPr>
          <w:p w:rsidR="00BC1CA5" w:rsidRPr="00BC1CA5" w:rsidRDefault="00BC1CA5" w:rsidP="00BC1CA5">
            <w:pPr>
              <w:pStyle w:val="TableText"/>
              <w:jc w:val="right"/>
              <w:rPr>
                <w:rFonts w:cs="Calibri"/>
              </w:rPr>
            </w:pPr>
            <w:r w:rsidRPr="00BC1CA5">
              <w:rPr>
                <w:rFonts w:cs="Calibri"/>
                <w:color w:val="000000"/>
                <w:szCs w:val="22"/>
              </w:rPr>
              <w:t>38.1</w:t>
            </w:r>
          </w:p>
        </w:tc>
      </w:tr>
      <w:tr w:rsidR="00BC1CA5" w:rsidRPr="00BA3C81" w:rsidTr="0011429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BC1CA5" w:rsidRPr="003D7CFC" w:rsidRDefault="00BC1CA5" w:rsidP="00BC1CA5">
            <w:pPr>
              <w:pStyle w:val="TableText"/>
              <w:jc w:val="left"/>
              <w:rPr>
                <w:rFonts w:cs="Calibri"/>
              </w:rPr>
            </w:pPr>
            <w:r w:rsidRPr="003D7CF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9.6</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19.3</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45.7</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bottom"/>
          </w:tcPr>
          <w:p w:rsidR="00BC1CA5" w:rsidRPr="00BC1CA5" w:rsidRDefault="00BC1CA5" w:rsidP="00BC1CA5">
            <w:pPr>
              <w:pStyle w:val="TableText"/>
              <w:jc w:val="right"/>
              <w:rPr>
                <w:rFonts w:cs="Calibri"/>
              </w:rPr>
            </w:pPr>
            <w:r w:rsidRPr="00BC1CA5">
              <w:rPr>
                <w:rFonts w:cs="Calibri"/>
                <w:color w:val="000000"/>
                <w:szCs w:val="22"/>
              </w:rPr>
              <w:t>82.1</w:t>
            </w:r>
          </w:p>
        </w:tc>
        <w:tc>
          <w:tcPr>
            <w:tcW w:w="661" w:type="pct"/>
            <w:tcBorders>
              <w:top w:val="single" w:sz="8" w:space="0" w:color="999999"/>
              <w:left w:val="nil"/>
              <w:bottom w:val="single" w:sz="8" w:space="0" w:color="999999"/>
              <w:right w:val="single" w:sz="8" w:space="0" w:color="999999"/>
            </w:tcBorders>
            <w:shd w:val="clear" w:color="auto" w:fill="auto"/>
            <w:vAlign w:val="bottom"/>
          </w:tcPr>
          <w:p w:rsidR="00BC1CA5" w:rsidRPr="00BC1CA5" w:rsidRDefault="00BC1CA5" w:rsidP="00BC1CA5">
            <w:pPr>
              <w:pStyle w:val="TableText"/>
              <w:jc w:val="right"/>
              <w:rPr>
                <w:rFonts w:cs="Calibri"/>
              </w:rPr>
            </w:pPr>
            <w:r w:rsidRPr="00BC1CA5">
              <w:rPr>
                <w:rFonts w:cs="Calibri"/>
                <w:color w:val="000000"/>
                <w:szCs w:val="22"/>
              </w:rPr>
              <w:t>127.5</w:t>
            </w:r>
          </w:p>
        </w:tc>
      </w:tr>
      <w:tr w:rsidR="00BC1CA5" w:rsidRPr="00BA3C81" w:rsidTr="00114296">
        <w:trPr>
          <w:trHeight w:val="288"/>
        </w:trPr>
        <w:tc>
          <w:tcPr>
            <w:tcW w:w="5000" w:type="pct"/>
            <w:gridSpan w:val="6"/>
            <w:tcBorders>
              <w:top w:val="nil"/>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BC1CA5" w:rsidRPr="00BA3C81" w:rsidRDefault="00BC1CA5" w:rsidP="00114296">
            <w:pPr>
              <w:pStyle w:val="TableText"/>
              <w:jc w:val="left"/>
              <w:rPr>
                <w:rFonts w:cs="Calibri"/>
                <w:b/>
              </w:rPr>
            </w:pPr>
            <w:r w:rsidRPr="00BA3C81">
              <w:rPr>
                <w:rFonts w:cs="Calibri"/>
                <w:b/>
              </w:rPr>
              <w:t>Cumulative Net Savings as a % of Baseline</w:t>
            </w:r>
          </w:p>
        </w:tc>
      </w:tr>
      <w:tr w:rsidR="00BC1CA5" w:rsidRPr="00BA3C81" w:rsidTr="00114296">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BC1CA5" w:rsidRPr="003D7CFC" w:rsidRDefault="00BC1CA5" w:rsidP="00BC1CA5">
            <w:pPr>
              <w:pStyle w:val="TableText"/>
              <w:jc w:val="left"/>
              <w:rPr>
                <w:rFonts w:cs="Calibri"/>
              </w:rPr>
            </w:pPr>
            <w:r w:rsidRPr="003D7CFC">
              <w:rPr>
                <w:rFonts w:cs="Calibri"/>
              </w:rPr>
              <w:t>Achievable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0.4%</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0.8%</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2.3%</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4.5%</w:t>
            </w:r>
          </w:p>
        </w:tc>
        <w:tc>
          <w:tcPr>
            <w:tcW w:w="661" w:type="pct"/>
            <w:tcBorders>
              <w:top w:val="nil"/>
              <w:left w:val="nil"/>
              <w:bottom w:val="single" w:sz="8" w:space="0" w:color="999999"/>
              <w:right w:val="single" w:sz="8" w:space="0" w:color="999999"/>
            </w:tcBorders>
            <w:shd w:val="clear" w:color="auto" w:fill="D9E3EC" w:themeFill="accent1" w:themeFillTint="33"/>
            <w:vAlign w:val="bottom"/>
          </w:tcPr>
          <w:p w:rsidR="00BC1CA5" w:rsidRPr="00BC1CA5" w:rsidRDefault="00BC1CA5" w:rsidP="00BC1CA5">
            <w:pPr>
              <w:pStyle w:val="TableText"/>
              <w:jc w:val="right"/>
              <w:rPr>
                <w:rFonts w:cs="Calibri"/>
              </w:rPr>
            </w:pPr>
            <w:r w:rsidRPr="00BC1CA5">
              <w:rPr>
                <w:rFonts w:cs="Calibri"/>
                <w:color w:val="000000"/>
                <w:szCs w:val="22"/>
              </w:rPr>
              <w:t>6.6%</w:t>
            </w:r>
          </w:p>
        </w:tc>
      </w:tr>
      <w:tr w:rsidR="00BC1CA5" w:rsidRPr="00BA3C81" w:rsidTr="00114296">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BC1CA5" w:rsidRPr="003D7CFC" w:rsidRDefault="00BC1CA5" w:rsidP="00BC1CA5">
            <w:pPr>
              <w:pStyle w:val="TableText"/>
              <w:jc w:val="left"/>
              <w:rPr>
                <w:rFonts w:cs="Calibri"/>
              </w:rPr>
            </w:pPr>
            <w:r w:rsidRPr="003D7CFC">
              <w:rPr>
                <w:rFonts w:cs="Calibri"/>
              </w:rPr>
              <w:t>Economic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0.8%</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1.6%</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3.7%</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5.8%</w:t>
            </w:r>
          </w:p>
        </w:tc>
        <w:tc>
          <w:tcPr>
            <w:tcW w:w="661" w:type="pct"/>
            <w:tcBorders>
              <w:top w:val="nil"/>
              <w:left w:val="nil"/>
              <w:bottom w:val="single" w:sz="8" w:space="0" w:color="999999"/>
              <w:right w:val="single" w:sz="8" w:space="0" w:color="999999"/>
            </w:tcBorders>
            <w:shd w:val="clear" w:color="auto" w:fill="D9E3EC" w:themeFill="accent1" w:themeFillTint="33"/>
            <w:vAlign w:val="bottom"/>
          </w:tcPr>
          <w:p w:rsidR="00BC1CA5" w:rsidRPr="00BC1CA5" w:rsidRDefault="00BC1CA5" w:rsidP="00BC1CA5">
            <w:pPr>
              <w:pStyle w:val="TableText"/>
              <w:jc w:val="right"/>
              <w:rPr>
                <w:rFonts w:cs="Calibri"/>
              </w:rPr>
            </w:pPr>
            <w:r w:rsidRPr="00BC1CA5">
              <w:rPr>
                <w:rFonts w:cs="Calibri"/>
                <w:color w:val="000000"/>
                <w:szCs w:val="22"/>
              </w:rPr>
              <w:t>8.1%</w:t>
            </w:r>
          </w:p>
        </w:tc>
      </w:tr>
      <w:tr w:rsidR="00BC1CA5" w:rsidRPr="00BA3C81" w:rsidTr="00114296">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BC1CA5" w:rsidRPr="003D7CFC" w:rsidRDefault="00BC1CA5" w:rsidP="00BC1CA5">
            <w:pPr>
              <w:pStyle w:val="TableText"/>
              <w:jc w:val="left"/>
              <w:rPr>
                <w:rFonts w:cs="Calibri"/>
              </w:rPr>
            </w:pPr>
            <w:r w:rsidRPr="003D7CFC">
              <w:rPr>
                <w:rFonts w:cs="Calibri"/>
              </w:rPr>
              <w:t xml:space="preserve">Technical Potential </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2.3%</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4.6%</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10.8%</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bottom"/>
            <w:hideMark/>
          </w:tcPr>
          <w:p w:rsidR="00BC1CA5" w:rsidRPr="00BC1CA5" w:rsidRDefault="00BC1CA5" w:rsidP="00BC1CA5">
            <w:pPr>
              <w:pStyle w:val="TableText"/>
              <w:jc w:val="right"/>
              <w:rPr>
                <w:rFonts w:cs="Calibri"/>
              </w:rPr>
            </w:pPr>
            <w:r w:rsidRPr="00BC1CA5">
              <w:rPr>
                <w:rFonts w:cs="Calibri"/>
                <w:color w:val="000000"/>
                <w:szCs w:val="22"/>
              </w:rPr>
              <w:t>19.1%</w:t>
            </w:r>
          </w:p>
        </w:tc>
        <w:tc>
          <w:tcPr>
            <w:tcW w:w="661" w:type="pct"/>
            <w:tcBorders>
              <w:top w:val="nil"/>
              <w:left w:val="nil"/>
              <w:bottom w:val="single" w:sz="8" w:space="0" w:color="999999"/>
              <w:right w:val="single" w:sz="8" w:space="0" w:color="999999"/>
            </w:tcBorders>
            <w:shd w:val="clear" w:color="auto" w:fill="D9E3EC" w:themeFill="accent1" w:themeFillTint="33"/>
            <w:vAlign w:val="bottom"/>
          </w:tcPr>
          <w:p w:rsidR="00BC1CA5" w:rsidRPr="00BC1CA5" w:rsidRDefault="00BC1CA5" w:rsidP="00BC1CA5">
            <w:pPr>
              <w:pStyle w:val="TableText"/>
              <w:jc w:val="right"/>
              <w:rPr>
                <w:rFonts w:cs="Calibri"/>
              </w:rPr>
            </w:pPr>
            <w:r w:rsidRPr="00BC1CA5">
              <w:rPr>
                <w:rFonts w:cs="Calibri"/>
                <w:color w:val="000000"/>
                <w:szCs w:val="22"/>
              </w:rPr>
              <w:t>27.0%</w:t>
            </w:r>
          </w:p>
        </w:tc>
      </w:tr>
    </w:tbl>
    <w:p w:rsidR="008D54BB" w:rsidRPr="000E3F5F" w:rsidRDefault="008D54BB" w:rsidP="008D54BB">
      <w:pPr>
        <w:pStyle w:val="BodyText"/>
      </w:pPr>
    </w:p>
    <w:p w:rsidR="00157088" w:rsidRPr="000E3F5F" w:rsidRDefault="00D44D4B" w:rsidP="008115B5">
      <w:pPr>
        <w:pStyle w:val="FigureorTableTitle"/>
      </w:pPr>
      <w:bookmarkStart w:id="424" w:name="_Ref424185309"/>
      <w:bookmarkStart w:id="425" w:name="_Toc424192800"/>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5</w:t>
      </w:r>
      <w:r w:rsidR="00512CD6">
        <w:rPr>
          <w:bCs w:val="0"/>
          <w:iCs w:val="0"/>
          <w:noProof/>
        </w:rPr>
        <w:fldChar w:fldCharType="end"/>
      </w:r>
      <w:bookmarkEnd w:id="419"/>
      <w:bookmarkEnd w:id="424"/>
      <w:r w:rsidR="00157088">
        <w:tab/>
      </w:r>
      <w:r w:rsidR="00EA22EB">
        <w:t xml:space="preserve">Residential </w:t>
      </w:r>
      <w:r w:rsidR="00DA2C9E">
        <w:t>Conservation</w:t>
      </w:r>
      <w:r w:rsidR="00157088">
        <w:t xml:space="preserve"> Potential </w:t>
      </w:r>
      <w:bookmarkEnd w:id="420"/>
      <w:r w:rsidR="00157088">
        <w:t>(</w:t>
      </w:r>
      <w:r w:rsidR="00EA22EB">
        <w:t>Annual Energy</w:t>
      </w:r>
      <w:bookmarkEnd w:id="421"/>
      <w:r w:rsidR="00D44CC1">
        <w:t>)</w:t>
      </w:r>
      <w:r w:rsidR="003D7CFC">
        <w:t>, Washington</w:t>
      </w:r>
      <w:bookmarkEnd w:id="425"/>
    </w:p>
    <w:tbl>
      <w:tblPr>
        <w:tblW w:w="5000" w:type="pct"/>
        <w:tblCellMar>
          <w:left w:w="115" w:type="dxa"/>
          <w:right w:w="144" w:type="dxa"/>
        </w:tblCellMar>
        <w:tblLook w:val="04A0" w:firstRow="1" w:lastRow="0" w:firstColumn="1" w:lastColumn="0" w:noHBand="0" w:noVBand="1"/>
      </w:tblPr>
      <w:tblGrid>
        <w:gridCol w:w="3155"/>
        <w:gridCol w:w="1220"/>
        <w:gridCol w:w="1220"/>
        <w:gridCol w:w="1220"/>
        <w:gridCol w:w="1220"/>
        <w:gridCol w:w="1224"/>
      </w:tblGrid>
      <w:tr w:rsidR="00BA3C81"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500407" w:rsidRPr="00837C13" w:rsidRDefault="00500407" w:rsidP="00500407">
            <w:pPr>
              <w:rPr>
                <w:rFonts w:ascii="Calibri" w:hAnsi="Calibri" w:cs="Calibri"/>
                <w:bCs/>
                <w:szCs w:val="20"/>
              </w:rPr>
            </w:pPr>
            <w:bookmarkStart w:id="426" w:name="_Ref337027017"/>
            <w:bookmarkStart w:id="427" w:name="_Toc341180531"/>
            <w:r w:rsidRPr="00837C13">
              <w:rPr>
                <w:rFonts w:ascii="Calibri" w:hAnsi="Calibri" w:cs="Calibri"/>
                <w:bCs/>
                <w:szCs w:val="20"/>
              </w:rPr>
              <w:t> </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00407" w:rsidRPr="00837C13" w:rsidRDefault="00500407" w:rsidP="003D7CFC">
            <w:pPr>
              <w:pStyle w:val="TableHeadings"/>
              <w:rPr>
                <w:rFonts w:cs="Calibri"/>
                <w:b w:val="0"/>
                <w:color w:val="auto"/>
              </w:rPr>
            </w:pPr>
            <w:r w:rsidRPr="00837C13">
              <w:rPr>
                <w:rFonts w:cs="Calibri"/>
                <w:b w:val="0"/>
                <w:bCs/>
                <w:color w:val="auto"/>
              </w:rPr>
              <w:t>201</w:t>
            </w:r>
            <w:r w:rsidR="003D7CFC">
              <w:rPr>
                <w:rFonts w:cs="Calibri"/>
                <w:b w:val="0"/>
                <w:bCs/>
                <w:color w:val="auto"/>
              </w:rPr>
              <w:t>6</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00407" w:rsidRPr="00837C13" w:rsidRDefault="00500407" w:rsidP="003D7CFC">
            <w:pPr>
              <w:pStyle w:val="TableHeadings"/>
              <w:rPr>
                <w:rFonts w:cs="Calibri"/>
                <w:b w:val="0"/>
                <w:color w:val="auto"/>
              </w:rPr>
            </w:pPr>
            <w:r w:rsidRPr="00837C13">
              <w:rPr>
                <w:rFonts w:cs="Calibri"/>
                <w:b w:val="0"/>
                <w:bCs/>
                <w:color w:val="auto"/>
              </w:rPr>
              <w:t>20</w:t>
            </w:r>
            <w:r w:rsidR="00735397">
              <w:rPr>
                <w:rFonts w:cs="Calibri"/>
                <w:b w:val="0"/>
                <w:bCs/>
                <w:color w:val="auto"/>
              </w:rPr>
              <w:t>1</w:t>
            </w:r>
            <w:r w:rsidR="003D7CFC">
              <w:rPr>
                <w:rFonts w:cs="Calibri"/>
                <w:b w:val="0"/>
                <w:bCs/>
                <w:color w:val="auto"/>
              </w:rPr>
              <w:t>7</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00407" w:rsidRPr="00837C13" w:rsidRDefault="00500407" w:rsidP="003D7CFC">
            <w:pPr>
              <w:pStyle w:val="TableHeadings"/>
              <w:rPr>
                <w:rFonts w:cs="Calibri"/>
                <w:b w:val="0"/>
                <w:color w:val="auto"/>
              </w:rPr>
            </w:pPr>
            <w:r w:rsidRPr="00837C13">
              <w:rPr>
                <w:rFonts w:cs="Calibri"/>
                <w:b w:val="0"/>
                <w:bCs/>
                <w:color w:val="auto"/>
              </w:rPr>
              <w:t>202</w:t>
            </w:r>
            <w:r w:rsidR="003D7CFC">
              <w:rPr>
                <w:rFonts w:cs="Calibri"/>
                <w:b w:val="0"/>
                <w:bCs/>
                <w:color w:val="auto"/>
              </w:rPr>
              <w:t>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500407" w:rsidRPr="00837C13" w:rsidRDefault="00500407" w:rsidP="003D7CFC">
            <w:pPr>
              <w:pStyle w:val="TableHeadings"/>
              <w:rPr>
                <w:rFonts w:cs="Calibri"/>
                <w:b w:val="0"/>
                <w:color w:val="auto"/>
              </w:rPr>
            </w:pPr>
            <w:r w:rsidRPr="00837C13">
              <w:rPr>
                <w:rFonts w:cs="Calibri"/>
                <w:b w:val="0"/>
                <w:bCs/>
                <w:color w:val="auto"/>
              </w:rPr>
              <w:t>20</w:t>
            </w:r>
            <w:r w:rsidR="00735397">
              <w:rPr>
                <w:rFonts w:cs="Calibri"/>
                <w:b w:val="0"/>
                <w:bCs/>
                <w:color w:val="auto"/>
              </w:rPr>
              <w:t>2</w:t>
            </w:r>
            <w:r w:rsidR="003D7CFC">
              <w:rPr>
                <w:rFonts w:cs="Calibri"/>
                <w:b w:val="0"/>
                <w:bCs/>
                <w:color w:val="auto"/>
              </w:rPr>
              <w:t>5</w:t>
            </w:r>
          </w:p>
        </w:tc>
        <w:tc>
          <w:tcPr>
            <w:tcW w:w="661" w:type="pct"/>
            <w:tcBorders>
              <w:top w:val="single" w:sz="8" w:space="0" w:color="999999"/>
              <w:left w:val="nil"/>
              <w:bottom w:val="single" w:sz="8" w:space="0" w:color="999999"/>
              <w:right w:val="single" w:sz="8" w:space="0" w:color="999999"/>
            </w:tcBorders>
            <w:shd w:val="clear" w:color="auto" w:fill="1A1D5D"/>
            <w:vAlign w:val="center"/>
          </w:tcPr>
          <w:p w:rsidR="00500407" w:rsidRPr="00837C13" w:rsidRDefault="00500407" w:rsidP="003D7CFC">
            <w:pPr>
              <w:pStyle w:val="TableHeadings"/>
              <w:rPr>
                <w:rFonts w:cs="Calibri"/>
                <w:b w:val="0"/>
                <w:color w:val="auto"/>
              </w:rPr>
            </w:pPr>
            <w:r w:rsidRPr="00837C13">
              <w:rPr>
                <w:rFonts w:cs="Calibri"/>
                <w:b w:val="0"/>
                <w:bCs/>
                <w:color w:val="auto"/>
              </w:rPr>
              <w:t>203</w:t>
            </w:r>
            <w:r w:rsidR="003D7CFC">
              <w:rPr>
                <w:rFonts w:cs="Calibri"/>
                <w:b w:val="0"/>
                <w:bCs/>
                <w:color w:val="auto"/>
              </w:rPr>
              <w:t>5</w:t>
            </w:r>
          </w:p>
        </w:tc>
      </w:tr>
      <w:tr w:rsidR="003D7CFC" w:rsidRPr="00BA3C81" w:rsidTr="00A67106">
        <w:trPr>
          <w:trHeight w:val="288"/>
        </w:trPr>
        <w:tc>
          <w:tcPr>
            <w:tcW w:w="1703" w:type="pct"/>
            <w:tcBorders>
              <w:top w:val="nil"/>
              <w:left w:val="single" w:sz="8" w:space="0" w:color="999999"/>
              <w:bottom w:val="single" w:sz="8" w:space="0" w:color="999999"/>
              <w:right w:val="single" w:sz="8" w:space="0" w:color="999999"/>
            </w:tcBorders>
            <w:shd w:val="clear" w:color="auto" w:fill="auto"/>
            <w:noWrap/>
            <w:vAlign w:val="center"/>
            <w:hideMark/>
          </w:tcPr>
          <w:p w:rsidR="003D7CFC" w:rsidRPr="00BA3C81" w:rsidRDefault="003D7CFC" w:rsidP="003D7CFC">
            <w:pPr>
              <w:pStyle w:val="TableText"/>
              <w:jc w:val="left"/>
              <w:rPr>
                <w:rFonts w:cs="Calibri"/>
                <w:b/>
              </w:rPr>
            </w:pPr>
            <w:r w:rsidRPr="00BA3C81">
              <w:rPr>
                <w:rFonts w:cs="Calibri"/>
                <w:b/>
              </w:rPr>
              <w:t>Baseline projection (GWh)</w:t>
            </w:r>
          </w:p>
        </w:tc>
        <w:tc>
          <w:tcPr>
            <w:tcW w:w="659" w:type="pct"/>
            <w:tcBorders>
              <w:top w:val="nil"/>
              <w:left w:val="nil"/>
              <w:bottom w:val="single" w:sz="8" w:space="0" w:color="999999"/>
              <w:right w:val="single" w:sz="8" w:space="0" w:color="999999"/>
            </w:tcBorders>
            <w:shd w:val="clear" w:color="auto" w:fill="auto"/>
            <w:noWrap/>
            <w:vAlign w:val="center"/>
            <w:hideMark/>
          </w:tcPr>
          <w:p w:rsidR="003D7CFC" w:rsidRPr="003D7CFC" w:rsidRDefault="003D7CFC" w:rsidP="00A67106">
            <w:pPr>
              <w:ind w:right="144"/>
              <w:jc w:val="right"/>
              <w:rPr>
                <w:rFonts w:ascii="Calibri" w:hAnsi="Calibri" w:cs="Calibri"/>
                <w:szCs w:val="20"/>
              </w:rPr>
            </w:pPr>
            <w:r w:rsidRPr="003D7CFC">
              <w:rPr>
                <w:rFonts w:ascii="Calibri" w:hAnsi="Calibri" w:cs="Calibri"/>
                <w:szCs w:val="20"/>
              </w:rPr>
              <w:t>2,503</w:t>
            </w:r>
          </w:p>
        </w:tc>
        <w:tc>
          <w:tcPr>
            <w:tcW w:w="659" w:type="pct"/>
            <w:tcBorders>
              <w:top w:val="nil"/>
              <w:left w:val="nil"/>
              <w:bottom w:val="single" w:sz="8" w:space="0" w:color="999999"/>
              <w:right w:val="single" w:sz="8" w:space="0" w:color="999999"/>
            </w:tcBorders>
            <w:shd w:val="clear" w:color="auto" w:fill="auto"/>
            <w:noWrap/>
            <w:vAlign w:val="center"/>
            <w:hideMark/>
          </w:tcPr>
          <w:p w:rsidR="003D7CFC" w:rsidRPr="003D7CFC" w:rsidRDefault="003D7CFC" w:rsidP="00A67106">
            <w:pPr>
              <w:ind w:right="144"/>
              <w:jc w:val="right"/>
              <w:rPr>
                <w:rFonts w:ascii="Calibri" w:hAnsi="Calibri" w:cs="Calibri"/>
                <w:szCs w:val="20"/>
              </w:rPr>
            </w:pPr>
            <w:r w:rsidRPr="003D7CFC">
              <w:rPr>
                <w:rFonts w:ascii="Calibri" w:hAnsi="Calibri" w:cs="Calibri"/>
                <w:szCs w:val="20"/>
              </w:rPr>
              <w:t>2,500</w:t>
            </w:r>
          </w:p>
        </w:tc>
        <w:tc>
          <w:tcPr>
            <w:tcW w:w="659" w:type="pct"/>
            <w:tcBorders>
              <w:top w:val="nil"/>
              <w:left w:val="nil"/>
              <w:bottom w:val="single" w:sz="8" w:space="0" w:color="999999"/>
              <w:right w:val="single" w:sz="8" w:space="0" w:color="999999"/>
            </w:tcBorders>
            <w:shd w:val="clear" w:color="auto" w:fill="auto"/>
            <w:noWrap/>
            <w:vAlign w:val="center"/>
            <w:hideMark/>
          </w:tcPr>
          <w:p w:rsidR="003D7CFC" w:rsidRPr="003D7CFC" w:rsidRDefault="003D7CFC" w:rsidP="00A67106">
            <w:pPr>
              <w:ind w:right="144"/>
              <w:jc w:val="right"/>
              <w:rPr>
                <w:rFonts w:ascii="Calibri" w:hAnsi="Calibri" w:cs="Calibri"/>
                <w:szCs w:val="20"/>
              </w:rPr>
            </w:pPr>
            <w:r w:rsidRPr="003D7CFC">
              <w:rPr>
                <w:rFonts w:ascii="Calibri" w:hAnsi="Calibri" w:cs="Calibri"/>
                <w:szCs w:val="20"/>
              </w:rPr>
              <w:t>2,498</w:t>
            </w:r>
          </w:p>
        </w:tc>
        <w:tc>
          <w:tcPr>
            <w:tcW w:w="659" w:type="pct"/>
            <w:tcBorders>
              <w:top w:val="nil"/>
              <w:left w:val="single" w:sz="4" w:space="0" w:color="808080" w:themeColor="background1" w:themeShade="80"/>
              <w:bottom w:val="single" w:sz="8" w:space="0" w:color="999999"/>
              <w:right w:val="single" w:sz="8" w:space="0" w:color="999999"/>
            </w:tcBorders>
            <w:shd w:val="clear" w:color="auto" w:fill="auto"/>
            <w:noWrap/>
            <w:vAlign w:val="center"/>
            <w:hideMark/>
          </w:tcPr>
          <w:p w:rsidR="003D7CFC" w:rsidRPr="003D7CFC" w:rsidRDefault="003D7CFC" w:rsidP="00A67106">
            <w:pPr>
              <w:ind w:right="144"/>
              <w:jc w:val="right"/>
              <w:rPr>
                <w:rFonts w:ascii="Calibri" w:hAnsi="Calibri" w:cs="Calibri"/>
                <w:szCs w:val="20"/>
              </w:rPr>
            </w:pPr>
            <w:r w:rsidRPr="003D7CFC">
              <w:rPr>
                <w:rFonts w:ascii="Calibri" w:hAnsi="Calibri" w:cs="Calibri"/>
                <w:szCs w:val="20"/>
              </w:rPr>
              <w:t>2,523</w:t>
            </w:r>
          </w:p>
        </w:tc>
        <w:tc>
          <w:tcPr>
            <w:tcW w:w="661" w:type="pct"/>
            <w:tcBorders>
              <w:top w:val="nil"/>
              <w:left w:val="nil"/>
              <w:bottom w:val="single" w:sz="8" w:space="0" w:color="999999"/>
              <w:right w:val="single" w:sz="8" w:space="0" w:color="999999"/>
            </w:tcBorders>
            <w:vAlign w:val="center"/>
          </w:tcPr>
          <w:p w:rsidR="003D7CFC" w:rsidRPr="003D7CFC" w:rsidRDefault="003D7CFC" w:rsidP="00A67106">
            <w:pPr>
              <w:ind w:right="144"/>
              <w:jc w:val="right"/>
              <w:rPr>
                <w:rFonts w:ascii="Calibri" w:hAnsi="Calibri" w:cs="Calibri"/>
                <w:szCs w:val="20"/>
              </w:rPr>
            </w:pPr>
            <w:r w:rsidRPr="003D7CFC">
              <w:rPr>
                <w:rFonts w:ascii="Calibri" w:hAnsi="Calibri" w:cs="Calibri"/>
                <w:szCs w:val="20"/>
              </w:rPr>
              <w:t>2,761</w:t>
            </w:r>
          </w:p>
        </w:tc>
      </w:tr>
      <w:tr w:rsidR="00BA3C81" w:rsidRPr="00BA3C81" w:rsidTr="00A67106">
        <w:trPr>
          <w:trHeight w:val="288"/>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157088" w:rsidRPr="00BA3C81" w:rsidRDefault="00157088" w:rsidP="00A67106">
            <w:pPr>
              <w:pStyle w:val="TableText"/>
              <w:jc w:val="left"/>
              <w:rPr>
                <w:rFonts w:cs="Calibri"/>
                <w:b/>
              </w:rPr>
            </w:pPr>
            <w:r w:rsidRPr="00BA3C81">
              <w:rPr>
                <w:rFonts w:cs="Calibri"/>
                <w:b/>
              </w:rPr>
              <w:t>Cumulative Net Savings (</w:t>
            </w:r>
            <w:r w:rsidR="00BA3C81" w:rsidRPr="00BA3C81">
              <w:rPr>
                <w:rFonts w:cs="Calibri"/>
                <w:b/>
              </w:rPr>
              <w:t>G</w:t>
            </w:r>
            <w:r w:rsidRPr="00BA3C81">
              <w:rPr>
                <w:rFonts w:cs="Calibri"/>
                <w:b/>
              </w:rPr>
              <w:t>Wh)</w:t>
            </w:r>
          </w:p>
        </w:tc>
      </w:tr>
      <w:tr w:rsidR="003D7CFC"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3D7CFC" w:rsidRPr="003D7CFC" w:rsidRDefault="003D7CFC" w:rsidP="003D7CFC">
            <w:pPr>
              <w:pStyle w:val="TableText"/>
              <w:jc w:val="left"/>
              <w:rPr>
                <w:rFonts w:cs="Calibri"/>
              </w:rPr>
            </w:pPr>
            <w:r w:rsidRPr="003D7CF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19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56</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111</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3D7CFC" w:rsidRPr="003D7CFC" w:rsidRDefault="003D7CFC" w:rsidP="00A67106">
            <w:pPr>
              <w:pStyle w:val="TableText"/>
              <w:jc w:val="right"/>
              <w:rPr>
                <w:rFonts w:cs="Calibri"/>
              </w:rPr>
            </w:pPr>
            <w:r w:rsidRPr="003D7CFC">
              <w:rPr>
                <w:rFonts w:cs="Calibri"/>
              </w:rPr>
              <w:t>181</w:t>
            </w:r>
          </w:p>
        </w:tc>
      </w:tr>
      <w:tr w:rsidR="003D7CFC"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3D7CFC" w:rsidRPr="003D7CFC" w:rsidRDefault="003D7CFC" w:rsidP="003D7CFC">
            <w:pPr>
              <w:pStyle w:val="TableText"/>
              <w:jc w:val="left"/>
              <w:rPr>
                <w:rFonts w:cs="Calibri"/>
              </w:rPr>
            </w:pPr>
            <w:r w:rsidRPr="003D7CF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19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39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88</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145</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3D7CFC" w:rsidRPr="003D7CFC" w:rsidRDefault="003D7CFC" w:rsidP="00A67106">
            <w:pPr>
              <w:pStyle w:val="TableText"/>
              <w:jc w:val="right"/>
              <w:rPr>
                <w:rFonts w:cs="Calibri"/>
              </w:rPr>
            </w:pPr>
            <w:r w:rsidRPr="003D7CFC">
              <w:rPr>
                <w:rFonts w:cs="Calibri"/>
              </w:rPr>
              <w:t>221</w:t>
            </w:r>
          </w:p>
        </w:tc>
      </w:tr>
      <w:tr w:rsidR="003D7CFC"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3D7CFC" w:rsidRPr="003D7CFC" w:rsidRDefault="003D7CFC" w:rsidP="003D7CFC">
            <w:pPr>
              <w:pStyle w:val="TableText"/>
              <w:jc w:val="left"/>
              <w:rPr>
                <w:rFonts w:cs="Calibri"/>
              </w:rPr>
            </w:pPr>
            <w:r w:rsidRPr="003D7CF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55</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110</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261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3D7CFC" w:rsidRPr="003D7CFC" w:rsidRDefault="003D7CFC" w:rsidP="00A67106">
            <w:pPr>
              <w:pStyle w:val="TableText"/>
              <w:jc w:val="right"/>
              <w:rPr>
                <w:rFonts w:cs="Calibri"/>
              </w:rPr>
            </w:pPr>
            <w:r w:rsidRPr="003D7CFC">
              <w:rPr>
                <w:rFonts w:cs="Calibri"/>
              </w:rPr>
              <w:t>469</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3D7CFC" w:rsidRPr="003D7CFC" w:rsidRDefault="003D7CFC" w:rsidP="00A67106">
            <w:pPr>
              <w:pStyle w:val="TableText"/>
              <w:jc w:val="right"/>
              <w:rPr>
                <w:rFonts w:cs="Calibri"/>
              </w:rPr>
            </w:pPr>
            <w:r w:rsidRPr="003D7CFC">
              <w:rPr>
                <w:rFonts w:cs="Calibri"/>
              </w:rPr>
              <w:t>721</w:t>
            </w:r>
          </w:p>
        </w:tc>
      </w:tr>
      <w:tr w:rsidR="00F22B60" w:rsidRPr="00BA3C81" w:rsidTr="00A67106">
        <w:trPr>
          <w:trHeight w:val="288"/>
        </w:trPr>
        <w:tc>
          <w:tcPr>
            <w:tcW w:w="5000" w:type="pct"/>
            <w:gridSpan w:val="6"/>
            <w:tcBorders>
              <w:top w:val="single" w:sz="8" w:space="0" w:color="999999"/>
              <w:left w:val="single" w:sz="8" w:space="0" w:color="999999"/>
              <w:bottom w:val="single" w:sz="8" w:space="0" w:color="999999"/>
              <w:right w:val="single" w:sz="8" w:space="0" w:color="999999"/>
            </w:tcBorders>
            <w:shd w:val="clear" w:color="auto" w:fill="auto"/>
            <w:noWrap/>
            <w:vAlign w:val="center"/>
          </w:tcPr>
          <w:p w:rsidR="00F22B60" w:rsidRPr="00F22B60" w:rsidRDefault="00F22B60" w:rsidP="00A67106">
            <w:pPr>
              <w:pStyle w:val="TableText"/>
              <w:jc w:val="left"/>
              <w:rPr>
                <w:rFonts w:cs="Calibri"/>
                <w:b/>
              </w:rPr>
            </w:pPr>
            <w:r w:rsidRPr="00BA3C81">
              <w:rPr>
                <w:rFonts w:cs="Calibri"/>
                <w:b/>
              </w:rPr>
              <w:t>Cumulative Net Savings (</w:t>
            </w:r>
            <w:r>
              <w:rPr>
                <w:rFonts w:cs="Calibri"/>
                <w:b/>
              </w:rPr>
              <w:t>aMW</w:t>
            </w:r>
            <w:r w:rsidRPr="00BA3C81">
              <w:rPr>
                <w:rFonts w:cs="Calibri"/>
                <w:b/>
              </w:rPr>
              <w:t>)</w:t>
            </w:r>
          </w:p>
        </w:tc>
      </w:tr>
      <w:tr w:rsidR="00F22B60"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F22B60" w:rsidRPr="003D7CFC" w:rsidRDefault="00F22B60" w:rsidP="00F22B60">
            <w:pPr>
              <w:pStyle w:val="TableText"/>
              <w:jc w:val="left"/>
              <w:rPr>
                <w:rFonts w:cs="Calibri"/>
              </w:rPr>
            </w:pPr>
            <w:r w:rsidRPr="003D7CF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1.0</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2.2</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6.4</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12.6</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F22B60" w:rsidRPr="003D7CFC" w:rsidRDefault="00F22B60" w:rsidP="00A67106">
            <w:pPr>
              <w:pStyle w:val="TableText"/>
              <w:jc w:val="right"/>
              <w:rPr>
                <w:rFonts w:cs="Calibri"/>
              </w:rPr>
            </w:pPr>
            <w:r w:rsidRPr="00F22B60">
              <w:rPr>
                <w:rFonts w:cs="Calibri"/>
              </w:rPr>
              <w:t>20.7</w:t>
            </w:r>
          </w:p>
        </w:tc>
      </w:tr>
      <w:tr w:rsidR="00F22B60"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F22B60" w:rsidRPr="003D7CFC" w:rsidRDefault="00F22B60" w:rsidP="00F22B60">
            <w:pPr>
              <w:pStyle w:val="TableText"/>
              <w:jc w:val="left"/>
              <w:rPr>
                <w:rFonts w:cs="Calibri"/>
              </w:rPr>
            </w:pPr>
            <w:r w:rsidRPr="003D7CF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2.2</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4.4</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10.1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16.5</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F22B60" w:rsidRPr="003D7CFC" w:rsidRDefault="00F22B60" w:rsidP="00A67106">
            <w:pPr>
              <w:pStyle w:val="TableText"/>
              <w:jc w:val="right"/>
              <w:rPr>
                <w:rFonts w:cs="Calibri"/>
              </w:rPr>
            </w:pPr>
            <w:r w:rsidRPr="00F22B60">
              <w:rPr>
                <w:rFonts w:cs="Calibri"/>
              </w:rPr>
              <w:t>25.2</w:t>
            </w:r>
          </w:p>
        </w:tc>
      </w:tr>
      <w:tr w:rsidR="00F22B60"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F22B60" w:rsidRPr="003D7CFC" w:rsidRDefault="00F22B60" w:rsidP="00F22B60">
            <w:pPr>
              <w:pStyle w:val="TableText"/>
              <w:jc w:val="left"/>
              <w:rPr>
                <w:rFonts w:cs="Calibri"/>
              </w:rPr>
            </w:pPr>
            <w:r w:rsidRPr="003D7CF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6.3</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12.6</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29.8</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F22B60" w:rsidRPr="003D7CFC" w:rsidRDefault="00F22B60" w:rsidP="00A67106">
            <w:pPr>
              <w:pStyle w:val="TableText"/>
              <w:jc w:val="right"/>
              <w:rPr>
                <w:rFonts w:cs="Calibri"/>
              </w:rPr>
            </w:pPr>
            <w:r w:rsidRPr="00F22B60">
              <w:rPr>
                <w:rFonts w:cs="Calibri"/>
              </w:rPr>
              <w:t>53.6</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F22B60" w:rsidRPr="003D7CFC" w:rsidRDefault="00F22B60" w:rsidP="00A67106">
            <w:pPr>
              <w:pStyle w:val="TableText"/>
              <w:jc w:val="right"/>
              <w:rPr>
                <w:rFonts w:cs="Calibri"/>
              </w:rPr>
            </w:pPr>
            <w:r w:rsidRPr="00F22B60">
              <w:rPr>
                <w:rFonts w:cs="Calibri"/>
              </w:rPr>
              <w:t>82.3</w:t>
            </w:r>
          </w:p>
        </w:tc>
      </w:tr>
      <w:tr w:rsidR="00F22B60" w:rsidRPr="00BA3C81" w:rsidTr="00A67106">
        <w:trPr>
          <w:trHeight w:val="288"/>
        </w:trPr>
        <w:tc>
          <w:tcPr>
            <w:tcW w:w="5000" w:type="pct"/>
            <w:gridSpan w:val="6"/>
            <w:tcBorders>
              <w:top w:val="nil"/>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F22B60" w:rsidRPr="00BA3C81" w:rsidRDefault="00F22B60" w:rsidP="00A67106">
            <w:pPr>
              <w:pStyle w:val="TableText"/>
              <w:jc w:val="left"/>
              <w:rPr>
                <w:rFonts w:cs="Calibri"/>
                <w:b/>
              </w:rPr>
            </w:pPr>
            <w:r w:rsidRPr="00BA3C81">
              <w:rPr>
                <w:rFonts w:cs="Calibri"/>
                <w:b/>
              </w:rPr>
              <w:t>Cumulative Net Savings as a % of Baseline</w:t>
            </w:r>
          </w:p>
        </w:tc>
      </w:tr>
      <w:tr w:rsidR="00F22B60" w:rsidRPr="00BA3C81" w:rsidTr="00A67106">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F22B60">
            <w:pPr>
              <w:pStyle w:val="TableText"/>
              <w:jc w:val="left"/>
              <w:rPr>
                <w:rFonts w:cs="Calibri"/>
              </w:rPr>
            </w:pPr>
            <w:r w:rsidRPr="003D7CFC">
              <w:rPr>
                <w:rFonts w:cs="Calibri"/>
              </w:rPr>
              <w:t>Achievable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0.3%</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0.8%</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2.2%</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4.4%</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F22B60" w:rsidRPr="003D7CFC" w:rsidRDefault="00F22B60" w:rsidP="00A67106">
            <w:pPr>
              <w:pStyle w:val="TableText"/>
              <w:jc w:val="right"/>
              <w:rPr>
                <w:rFonts w:cs="Calibri"/>
              </w:rPr>
            </w:pPr>
            <w:r w:rsidRPr="003D7CFC">
              <w:rPr>
                <w:rFonts w:cs="Calibri"/>
              </w:rPr>
              <w:t>6.6%</w:t>
            </w:r>
          </w:p>
        </w:tc>
      </w:tr>
      <w:tr w:rsidR="00F22B60" w:rsidRPr="00BA3C81" w:rsidTr="00A67106">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F22B60">
            <w:pPr>
              <w:pStyle w:val="TableText"/>
              <w:jc w:val="left"/>
              <w:rPr>
                <w:rFonts w:cs="Calibri"/>
              </w:rPr>
            </w:pPr>
            <w:r w:rsidRPr="003D7CFC">
              <w:rPr>
                <w:rFonts w:cs="Calibri"/>
              </w:rPr>
              <w:t>Economic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0.8%</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1.5%</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3.5%</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5.7%</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F22B60" w:rsidRPr="003D7CFC" w:rsidRDefault="00F22B60" w:rsidP="00A67106">
            <w:pPr>
              <w:pStyle w:val="TableText"/>
              <w:jc w:val="right"/>
              <w:rPr>
                <w:rFonts w:cs="Calibri"/>
              </w:rPr>
            </w:pPr>
            <w:r w:rsidRPr="003D7CFC">
              <w:rPr>
                <w:rFonts w:cs="Calibri"/>
              </w:rPr>
              <w:t>8.0%</w:t>
            </w:r>
          </w:p>
        </w:tc>
      </w:tr>
      <w:tr w:rsidR="00F22B60" w:rsidRPr="00BA3C81" w:rsidTr="00A67106">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F22B60">
            <w:pPr>
              <w:pStyle w:val="TableText"/>
              <w:jc w:val="left"/>
              <w:rPr>
                <w:rFonts w:cs="Calibri"/>
              </w:rPr>
            </w:pPr>
            <w:r w:rsidRPr="003D7CFC">
              <w:rPr>
                <w:rFonts w:cs="Calibri"/>
              </w:rPr>
              <w:t xml:space="preserve">Technical Potential </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2.2%</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4.4%</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10.5%</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F22B60" w:rsidRPr="003D7CFC" w:rsidRDefault="00F22B60" w:rsidP="00A67106">
            <w:pPr>
              <w:pStyle w:val="TableText"/>
              <w:jc w:val="right"/>
              <w:rPr>
                <w:rFonts w:cs="Calibri"/>
              </w:rPr>
            </w:pPr>
            <w:r w:rsidRPr="003D7CFC">
              <w:rPr>
                <w:rFonts w:cs="Calibri"/>
              </w:rPr>
              <w:t>18.6%</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F22B60" w:rsidRPr="003D7CFC" w:rsidRDefault="00F22B60" w:rsidP="00A67106">
            <w:pPr>
              <w:pStyle w:val="TableText"/>
              <w:jc w:val="right"/>
              <w:rPr>
                <w:rFonts w:cs="Calibri"/>
              </w:rPr>
            </w:pPr>
            <w:r w:rsidRPr="003D7CFC">
              <w:rPr>
                <w:rFonts w:cs="Calibri"/>
              </w:rPr>
              <w:t>26.1%</w:t>
            </w:r>
          </w:p>
        </w:tc>
      </w:tr>
    </w:tbl>
    <w:p w:rsidR="006F1A67" w:rsidRDefault="006F1A67" w:rsidP="008115B5">
      <w:pPr>
        <w:pStyle w:val="FigureorTableTitle"/>
      </w:pPr>
      <w:bookmarkStart w:id="428" w:name="_Ref422839043"/>
      <w:bookmarkStart w:id="429" w:name="_Toc424192801"/>
      <w:bookmarkStart w:id="430" w:name="_Ref370032218"/>
      <w:bookmarkStart w:id="431" w:name="_Toc387951607"/>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6</w:t>
      </w:r>
      <w:r w:rsidR="00512CD6">
        <w:rPr>
          <w:bCs w:val="0"/>
          <w:iCs w:val="0"/>
          <w:noProof/>
        </w:rPr>
        <w:fldChar w:fldCharType="end"/>
      </w:r>
      <w:bookmarkEnd w:id="428"/>
      <w:r>
        <w:tab/>
        <w:t>Residential Conservation Potential (Annual Energy</w:t>
      </w:r>
      <w:r w:rsidR="00D44CC1">
        <w:t>)</w:t>
      </w:r>
      <w:r>
        <w:t>, Idaho</w:t>
      </w:r>
      <w:bookmarkEnd w:id="429"/>
    </w:p>
    <w:tbl>
      <w:tblPr>
        <w:tblW w:w="5000" w:type="pct"/>
        <w:tblCellMar>
          <w:left w:w="115" w:type="dxa"/>
          <w:right w:w="187" w:type="dxa"/>
        </w:tblCellMar>
        <w:tblLook w:val="04A0" w:firstRow="1" w:lastRow="0" w:firstColumn="1" w:lastColumn="0" w:noHBand="0" w:noVBand="1"/>
      </w:tblPr>
      <w:tblGrid>
        <w:gridCol w:w="3168"/>
        <w:gridCol w:w="1226"/>
        <w:gridCol w:w="1226"/>
        <w:gridCol w:w="1226"/>
        <w:gridCol w:w="1226"/>
        <w:gridCol w:w="1230"/>
      </w:tblGrid>
      <w:tr w:rsidR="006F1A67"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6F1A67" w:rsidRPr="00837C13" w:rsidRDefault="006F1A67" w:rsidP="00647CE4">
            <w:pPr>
              <w:rPr>
                <w:rFonts w:ascii="Calibri" w:hAnsi="Calibri" w:cs="Calibri"/>
                <w:bCs/>
                <w:szCs w:val="20"/>
              </w:rPr>
            </w:pPr>
            <w:r w:rsidRPr="00837C13">
              <w:rPr>
                <w:rFonts w:ascii="Calibri" w:hAnsi="Calibri" w:cs="Calibri"/>
                <w:bCs/>
                <w:szCs w:val="20"/>
              </w:rPr>
              <w:t> </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6F1A67" w:rsidRPr="00837C13" w:rsidRDefault="006F1A67" w:rsidP="00647CE4">
            <w:pPr>
              <w:pStyle w:val="TableHeadings"/>
              <w:rPr>
                <w:rFonts w:cs="Calibri"/>
                <w:b w:val="0"/>
                <w:color w:val="auto"/>
              </w:rPr>
            </w:pPr>
            <w:r w:rsidRPr="00837C13">
              <w:rPr>
                <w:rFonts w:cs="Calibri"/>
                <w:b w:val="0"/>
                <w:bCs/>
                <w:color w:val="auto"/>
              </w:rPr>
              <w:t>201</w:t>
            </w:r>
            <w:r>
              <w:rPr>
                <w:rFonts w:cs="Calibri"/>
                <w:b w:val="0"/>
                <w:bCs/>
                <w:color w:val="auto"/>
              </w:rPr>
              <w:t>6</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6F1A67" w:rsidRPr="00837C13" w:rsidRDefault="006F1A67" w:rsidP="00647CE4">
            <w:pPr>
              <w:pStyle w:val="TableHeadings"/>
              <w:rPr>
                <w:rFonts w:cs="Calibri"/>
                <w:b w:val="0"/>
                <w:color w:val="auto"/>
              </w:rPr>
            </w:pPr>
            <w:r w:rsidRPr="00837C13">
              <w:rPr>
                <w:rFonts w:cs="Calibri"/>
                <w:b w:val="0"/>
                <w:bCs/>
                <w:color w:val="auto"/>
              </w:rPr>
              <w:t>20</w:t>
            </w:r>
            <w:r>
              <w:rPr>
                <w:rFonts w:cs="Calibri"/>
                <w:b w:val="0"/>
                <w:bCs/>
                <w:color w:val="auto"/>
              </w:rPr>
              <w:t>17</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6F1A67" w:rsidRPr="00837C13" w:rsidRDefault="006F1A67" w:rsidP="00647CE4">
            <w:pPr>
              <w:pStyle w:val="TableHeadings"/>
              <w:rPr>
                <w:rFonts w:cs="Calibri"/>
                <w:b w:val="0"/>
                <w:color w:val="auto"/>
              </w:rPr>
            </w:pPr>
            <w:r w:rsidRPr="00837C13">
              <w:rPr>
                <w:rFonts w:cs="Calibri"/>
                <w:b w:val="0"/>
                <w:bCs/>
                <w:color w:val="auto"/>
              </w:rPr>
              <w:t>202</w:t>
            </w:r>
            <w:r>
              <w:rPr>
                <w:rFonts w:cs="Calibri"/>
                <w:b w:val="0"/>
                <w:bCs/>
                <w:color w:val="auto"/>
              </w:rPr>
              <w:t>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6F1A67" w:rsidRPr="00837C13" w:rsidRDefault="006F1A67" w:rsidP="00647CE4">
            <w:pPr>
              <w:pStyle w:val="TableHeadings"/>
              <w:rPr>
                <w:rFonts w:cs="Calibri"/>
                <w:b w:val="0"/>
                <w:color w:val="auto"/>
              </w:rPr>
            </w:pPr>
            <w:r w:rsidRPr="00837C13">
              <w:rPr>
                <w:rFonts w:cs="Calibri"/>
                <w:b w:val="0"/>
                <w:bCs/>
                <w:color w:val="auto"/>
              </w:rPr>
              <w:t>20</w:t>
            </w:r>
            <w:r>
              <w:rPr>
                <w:rFonts w:cs="Calibri"/>
                <w:b w:val="0"/>
                <w:bCs/>
                <w:color w:val="auto"/>
              </w:rPr>
              <w:t>25</w:t>
            </w:r>
          </w:p>
        </w:tc>
        <w:tc>
          <w:tcPr>
            <w:tcW w:w="661" w:type="pct"/>
            <w:tcBorders>
              <w:top w:val="single" w:sz="8" w:space="0" w:color="999999"/>
              <w:left w:val="nil"/>
              <w:bottom w:val="single" w:sz="8" w:space="0" w:color="999999"/>
              <w:right w:val="single" w:sz="8" w:space="0" w:color="999999"/>
            </w:tcBorders>
            <w:shd w:val="clear" w:color="auto" w:fill="1A1D5D"/>
            <w:vAlign w:val="center"/>
          </w:tcPr>
          <w:p w:rsidR="006F1A67" w:rsidRPr="00837C13" w:rsidRDefault="006F1A67" w:rsidP="00647CE4">
            <w:pPr>
              <w:pStyle w:val="TableHeadings"/>
              <w:rPr>
                <w:rFonts w:cs="Calibri"/>
                <w:b w:val="0"/>
                <w:color w:val="auto"/>
              </w:rPr>
            </w:pPr>
            <w:r w:rsidRPr="00837C13">
              <w:rPr>
                <w:rFonts w:cs="Calibri"/>
                <w:b w:val="0"/>
                <w:bCs/>
                <w:color w:val="auto"/>
              </w:rPr>
              <w:t>203</w:t>
            </w:r>
            <w:r>
              <w:rPr>
                <w:rFonts w:cs="Calibri"/>
                <w:b w:val="0"/>
                <w:bCs/>
                <w:color w:val="auto"/>
              </w:rPr>
              <w:t>5</w:t>
            </w:r>
          </w:p>
        </w:tc>
      </w:tr>
      <w:tr w:rsidR="006F1A67" w:rsidRPr="00BA3C81" w:rsidTr="00A67106">
        <w:trPr>
          <w:trHeight w:val="288"/>
        </w:trPr>
        <w:tc>
          <w:tcPr>
            <w:tcW w:w="1703" w:type="pct"/>
            <w:tcBorders>
              <w:top w:val="nil"/>
              <w:left w:val="single" w:sz="8" w:space="0" w:color="999999"/>
              <w:bottom w:val="single" w:sz="8" w:space="0" w:color="999999"/>
              <w:right w:val="single" w:sz="8" w:space="0" w:color="999999"/>
            </w:tcBorders>
            <w:shd w:val="clear" w:color="auto" w:fill="auto"/>
            <w:noWrap/>
            <w:vAlign w:val="center"/>
            <w:hideMark/>
          </w:tcPr>
          <w:p w:rsidR="006F1A67" w:rsidRPr="00BA3C81" w:rsidRDefault="006F1A67" w:rsidP="00647CE4">
            <w:pPr>
              <w:pStyle w:val="TableText"/>
              <w:jc w:val="left"/>
              <w:rPr>
                <w:rFonts w:cs="Calibri"/>
                <w:b/>
              </w:rPr>
            </w:pPr>
            <w:r w:rsidRPr="00BA3C81">
              <w:rPr>
                <w:rFonts w:cs="Calibri"/>
                <w:b/>
              </w:rPr>
              <w:t>Baseline projection (GWh)</w:t>
            </w:r>
          </w:p>
        </w:tc>
        <w:tc>
          <w:tcPr>
            <w:tcW w:w="659" w:type="pct"/>
            <w:tcBorders>
              <w:top w:val="nil"/>
              <w:left w:val="nil"/>
              <w:bottom w:val="single" w:sz="8" w:space="0" w:color="999999"/>
              <w:right w:val="single" w:sz="8" w:space="0" w:color="999999"/>
            </w:tcBorders>
            <w:shd w:val="clear" w:color="auto" w:fill="auto"/>
            <w:noWrap/>
            <w:vAlign w:val="center"/>
            <w:hideMark/>
          </w:tcPr>
          <w:p w:rsidR="006F1A67" w:rsidRPr="00E527F2" w:rsidRDefault="006F1A67" w:rsidP="00647CE4">
            <w:pPr>
              <w:ind w:right="144"/>
              <w:jc w:val="right"/>
              <w:rPr>
                <w:rFonts w:ascii="Calibri" w:hAnsi="Calibri" w:cs="Calibri"/>
                <w:szCs w:val="20"/>
              </w:rPr>
            </w:pPr>
            <w:r w:rsidRPr="00E527F2">
              <w:rPr>
                <w:rFonts w:ascii="Calibri" w:hAnsi="Calibri" w:cs="Calibri"/>
                <w:szCs w:val="20"/>
              </w:rPr>
              <w:t>1,199</w:t>
            </w:r>
          </w:p>
        </w:tc>
        <w:tc>
          <w:tcPr>
            <w:tcW w:w="659" w:type="pct"/>
            <w:tcBorders>
              <w:top w:val="nil"/>
              <w:left w:val="nil"/>
              <w:bottom w:val="single" w:sz="8" w:space="0" w:color="999999"/>
              <w:right w:val="single" w:sz="8" w:space="0" w:color="999999"/>
            </w:tcBorders>
            <w:shd w:val="clear" w:color="auto" w:fill="auto"/>
            <w:noWrap/>
            <w:vAlign w:val="center"/>
            <w:hideMark/>
          </w:tcPr>
          <w:p w:rsidR="006F1A67" w:rsidRPr="00E527F2" w:rsidRDefault="006F1A67" w:rsidP="00647CE4">
            <w:pPr>
              <w:ind w:right="144"/>
              <w:jc w:val="right"/>
              <w:rPr>
                <w:rFonts w:ascii="Calibri" w:hAnsi="Calibri" w:cs="Calibri"/>
                <w:szCs w:val="20"/>
              </w:rPr>
            </w:pPr>
            <w:r w:rsidRPr="00E527F2">
              <w:rPr>
                <w:rFonts w:ascii="Calibri" w:hAnsi="Calibri" w:cs="Calibri"/>
                <w:szCs w:val="20"/>
              </w:rPr>
              <w:t>1,203</w:t>
            </w:r>
          </w:p>
        </w:tc>
        <w:tc>
          <w:tcPr>
            <w:tcW w:w="659" w:type="pct"/>
            <w:tcBorders>
              <w:top w:val="nil"/>
              <w:left w:val="nil"/>
              <w:bottom w:val="single" w:sz="8" w:space="0" w:color="999999"/>
              <w:right w:val="single" w:sz="8" w:space="0" w:color="999999"/>
            </w:tcBorders>
            <w:shd w:val="clear" w:color="auto" w:fill="auto"/>
            <w:noWrap/>
            <w:vAlign w:val="center"/>
            <w:hideMark/>
          </w:tcPr>
          <w:p w:rsidR="006F1A67" w:rsidRPr="00E527F2" w:rsidRDefault="006F1A67" w:rsidP="00647CE4">
            <w:pPr>
              <w:ind w:right="144"/>
              <w:jc w:val="right"/>
              <w:rPr>
                <w:rFonts w:ascii="Calibri" w:hAnsi="Calibri" w:cs="Calibri"/>
                <w:szCs w:val="20"/>
              </w:rPr>
            </w:pPr>
            <w:r w:rsidRPr="00E527F2">
              <w:rPr>
                <w:rFonts w:ascii="Calibri" w:hAnsi="Calibri" w:cs="Calibri"/>
                <w:szCs w:val="20"/>
              </w:rPr>
              <w:t>1,213</w:t>
            </w:r>
          </w:p>
        </w:tc>
        <w:tc>
          <w:tcPr>
            <w:tcW w:w="659" w:type="pct"/>
            <w:tcBorders>
              <w:top w:val="nil"/>
              <w:left w:val="single" w:sz="4" w:space="0" w:color="808080" w:themeColor="background1" w:themeShade="80"/>
              <w:bottom w:val="single" w:sz="8" w:space="0" w:color="999999"/>
              <w:right w:val="single" w:sz="8" w:space="0" w:color="999999"/>
            </w:tcBorders>
            <w:shd w:val="clear" w:color="auto" w:fill="auto"/>
            <w:noWrap/>
            <w:vAlign w:val="center"/>
            <w:hideMark/>
          </w:tcPr>
          <w:p w:rsidR="006F1A67" w:rsidRPr="00E527F2" w:rsidRDefault="006F1A67" w:rsidP="00647CE4">
            <w:pPr>
              <w:ind w:right="144"/>
              <w:jc w:val="right"/>
              <w:rPr>
                <w:rFonts w:ascii="Calibri" w:hAnsi="Calibri" w:cs="Calibri"/>
                <w:szCs w:val="20"/>
              </w:rPr>
            </w:pPr>
            <w:r w:rsidRPr="00E527F2">
              <w:rPr>
                <w:rFonts w:ascii="Calibri" w:hAnsi="Calibri" w:cs="Calibri"/>
                <w:szCs w:val="20"/>
              </w:rPr>
              <w:t>1,238</w:t>
            </w:r>
          </w:p>
        </w:tc>
        <w:tc>
          <w:tcPr>
            <w:tcW w:w="661" w:type="pct"/>
            <w:tcBorders>
              <w:top w:val="nil"/>
              <w:left w:val="nil"/>
              <w:bottom w:val="single" w:sz="8" w:space="0" w:color="999999"/>
              <w:right w:val="single" w:sz="8" w:space="0" w:color="999999"/>
            </w:tcBorders>
            <w:vAlign w:val="center"/>
          </w:tcPr>
          <w:p w:rsidR="006F1A67" w:rsidRPr="00E527F2" w:rsidRDefault="006F1A67" w:rsidP="00647CE4">
            <w:pPr>
              <w:ind w:right="144"/>
              <w:jc w:val="right"/>
              <w:rPr>
                <w:rFonts w:ascii="Calibri" w:hAnsi="Calibri" w:cs="Calibri"/>
                <w:szCs w:val="20"/>
              </w:rPr>
            </w:pPr>
            <w:r w:rsidRPr="00E527F2">
              <w:rPr>
                <w:rFonts w:ascii="Calibri" w:hAnsi="Calibri" w:cs="Calibri"/>
                <w:szCs w:val="20"/>
              </w:rPr>
              <w:t>1,375</w:t>
            </w:r>
          </w:p>
        </w:tc>
      </w:tr>
      <w:tr w:rsidR="006F1A67" w:rsidRPr="00BA3C81" w:rsidTr="00A67106">
        <w:trPr>
          <w:trHeight w:val="288"/>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6F1A67" w:rsidRPr="00BA3C81" w:rsidRDefault="006F1A67" w:rsidP="00647CE4">
            <w:pPr>
              <w:pStyle w:val="TableText"/>
              <w:jc w:val="left"/>
              <w:rPr>
                <w:rFonts w:cs="Calibri"/>
                <w:b/>
              </w:rPr>
            </w:pPr>
            <w:r w:rsidRPr="00BA3C81">
              <w:rPr>
                <w:rFonts w:cs="Calibri"/>
                <w:b/>
              </w:rPr>
              <w:t>Cumulative Net Savings (GWh)</w:t>
            </w:r>
          </w:p>
        </w:tc>
      </w:tr>
      <w:tr w:rsidR="006F1A67"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647CE4">
            <w:pPr>
              <w:pStyle w:val="TableText"/>
              <w:jc w:val="left"/>
              <w:rPr>
                <w:rFonts w:cs="Calibri"/>
              </w:rPr>
            </w:pPr>
            <w:r w:rsidRPr="00E527F2">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5</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11</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31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58</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6F1A67" w:rsidRPr="00E527F2" w:rsidRDefault="006F1A67" w:rsidP="00A67106">
            <w:pPr>
              <w:pStyle w:val="TableText"/>
              <w:jc w:val="right"/>
              <w:rPr>
                <w:rFonts w:cs="Calibri"/>
              </w:rPr>
            </w:pPr>
            <w:r w:rsidRPr="00E527F2">
              <w:rPr>
                <w:rFonts w:cs="Calibri"/>
              </w:rPr>
              <w:t>93</w:t>
            </w:r>
          </w:p>
        </w:tc>
      </w:tr>
      <w:tr w:rsidR="006F1A67"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647CE4">
            <w:pPr>
              <w:pStyle w:val="TableText"/>
              <w:jc w:val="left"/>
              <w:rPr>
                <w:rFonts w:cs="Calibri"/>
              </w:rPr>
            </w:pPr>
            <w:r w:rsidRPr="00E527F2">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10</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21</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48</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75</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6F1A67" w:rsidRPr="00E527F2" w:rsidRDefault="006F1A67" w:rsidP="00A67106">
            <w:pPr>
              <w:pStyle w:val="TableText"/>
              <w:jc w:val="right"/>
              <w:rPr>
                <w:rFonts w:cs="Calibri"/>
              </w:rPr>
            </w:pPr>
            <w:r w:rsidRPr="00E527F2">
              <w:rPr>
                <w:rFonts w:cs="Calibri"/>
              </w:rPr>
              <w:t>113</w:t>
            </w:r>
          </w:p>
        </w:tc>
      </w:tr>
      <w:tr w:rsidR="006F1A67"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647CE4">
            <w:pPr>
              <w:pStyle w:val="TableText"/>
              <w:jc w:val="left"/>
              <w:rPr>
                <w:rFonts w:cs="Calibri"/>
              </w:rPr>
            </w:pPr>
            <w:r w:rsidRPr="00E527F2">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29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59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139</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6F1A67" w:rsidRPr="00E527F2" w:rsidRDefault="006F1A67" w:rsidP="00A67106">
            <w:pPr>
              <w:pStyle w:val="TableText"/>
              <w:jc w:val="right"/>
              <w:rPr>
                <w:rFonts w:cs="Calibri"/>
              </w:rPr>
            </w:pPr>
            <w:r w:rsidRPr="00E527F2">
              <w:rPr>
                <w:rFonts w:cs="Calibri"/>
              </w:rPr>
              <w:t>250</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6F1A67" w:rsidRPr="00E527F2" w:rsidRDefault="006F1A67" w:rsidP="00A67106">
            <w:pPr>
              <w:pStyle w:val="TableText"/>
              <w:jc w:val="right"/>
              <w:rPr>
                <w:rFonts w:cs="Calibri"/>
              </w:rPr>
            </w:pPr>
            <w:r w:rsidRPr="00E527F2">
              <w:rPr>
                <w:rFonts w:cs="Calibri"/>
              </w:rPr>
              <w:t>395</w:t>
            </w:r>
          </w:p>
        </w:tc>
      </w:tr>
      <w:tr w:rsidR="006F1A67" w:rsidRPr="00BA3C81" w:rsidTr="00A67106">
        <w:trPr>
          <w:trHeight w:val="288"/>
        </w:trPr>
        <w:tc>
          <w:tcPr>
            <w:tcW w:w="5000" w:type="pct"/>
            <w:gridSpan w:val="6"/>
            <w:tcBorders>
              <w:top w:val="single" w:sz="8" w:space="0" w:color="999999"/>
              <w:left w:val="single" w:sz="8" w:space="0" w:color="999999"/>
              <w:bottom w:val="single" w:sz="8" w:space="0" w:color="999999"/>
              <w:right w:val="single" w:sz="8" w:space="0" w:color="999999"/>
            </w:tcBorders>
            <w:shd w:val="clear" w:color="auto" w:fill="auto"/>
            <w:noWrap/>
            <w:vAlign w:val="center"/>
          </w:tcPr>
          <w:p w:rsidR="006F1A67" w:rsidRPr="00E527F2" w:rsidRDefault="006F1A67" w:rsidP="00A67106">
            <w:pPr>
              <w:pStyle w:val="TableText"/>
              <w:jc w:val="left"/>
              <w:rPr>
                <w:rFonts w:cs="Calibri"/>
              </w:rPr>
            </w:pPr>
            <w:r w:rsidRPr="00BA3C81">
              <w:rPr>
                <w:rFonts w:cs="Calibri"/>
                <w:b/>
              </w:rPr>
              <w:t>Cumulative Net Savings (</w:t>
            </w:r>
            <w:r>
              <w:rPr>
                <w:rFonts w:cs="Calibri"/>
                <w:b/>
              </w:rPr>
              <w:t>aMW</w:t>
            </w:r>
            <w:r w:rsidRPr="00BA3C81">
              <w:rPr>
                <w:rFonts w:cs="Calibri"/>
                <w:b/>
              </w:rPr>
              <w:t>)</w:t>
            </w:r>
          </w:p>
        </w:tc>
      </w:tr>
      <w:tr w:rsidR="006F1A67"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6F1A67" w:rsidRPr="00E527F2" w:rsidRDefault="006F1A67" w:rsidP="00647CE4">
            <w:pPr>
              <w:pStyle w:val="TableText"/>
              <w:jc w:val="left"/>
              <w:rPr>
                <w:rFonts w:cs="Calibri"/>
              </w:rPr>
            </w:pPr>
            <w:r w:rsidRPr="003D7CF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0.5</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1.2</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3.5</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6.6</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6F1A67" w:rsidRPr="00E527F2" w:rsidRDefault="006F1A67" w:rsidP="00A67106">
            <w:pPr>
              <w:pStyle w:val="TableText"/>
              <w:jc w:val="right"/>
              <w:rPr>
                <w:rFonts w:cs="Calibri"/>
              </w:rPr>
            </w:pPr>
            <w:r w:rsidRPr="00F22B60">
              <w:rPr>
                <w:rFonts w:cs="Calibri"/>
              </w:rPr>
              <w:t>10.6</w:t>
            </w:r>
          </w:p>
        </w:tc>
      </w:tr>
      <w:tr w:rsidR="006F1A67"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6F1A67" w:rsidRPr="00E527F2" w:rsidRDefault="006F1A67" w:rsidP="00647CE4">
            <w:pPr>
              <w:pStyle w:val="TableText"/>
              <w:jc w:val="left"/>
              <w:rPr>
                <w:rFonts w:cs="Calibri"/>
              </w:rPr>
            </w:pPr>
            <w:r w:rsidRPr="003D7CF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1.2</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2.4</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5.5</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8.5</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6F1A67" w:rsidRPr="00E527F2" w:rsidRDefault="006F1A67" w:rsidP="00A67106">
            <w:pPr>
              <w:pStyle w:val="TableText"/>
              <w:jc w:val="right"/>
              <w:rPr>
                <w:rFonts w:cs="Calibri"/>
              </w:rPr>
            </w:pPr>
            <w:r w:rsidRPr="00F22B60">
              <w:rPr>
                <w:rFonts w:cs="Calibri"/>
              </w:rPr>
              <w:t>12.9</w:t>
            </w:r>
          </w:p>
        </w:tc>
      </w:tr>
      <w:tr w:rsidR="006F1A67" w:rsidRPr="00BA3C81" w:rsidTr="00A67106">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6F1A67" w:rsidRPr="00E527F2" w:rsidRDefault="006F1A67" w:rsidP="00647CE4">
            <w:pPr>
              <w:pStyle w:val="TableText"/>
              <w:jc w:val="left"/>
              <w:rPr>
                <w:rFonts w:cs="Calibri"/>
              </w:rPr>
            </w:pPr>
            <w:r w:rsidRPr="003D7CF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3.3</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6.7</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15.9</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6F1A67" w:rsidRPr="00E527F2" w:rsidRDefault="006F1A67" w:rsidP="00A67106">
            <w:pPr>
              <w:pStyle w:val="TableText"/>
              <w:jc w:val="right"/>
              <w:rPr>
                <w:rFonts w:cs="Calibri"/>
              </w:rPr>
            </w:pPr>
            <w:r w:rsidRPr="00F22B60">
              <w:rPr>
                <w:rFonts w:cs="Calibri"/>
              </w:rPr>
              <w:t>28.5</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6F1A67" w:rsidRPr="00E527F2" w:rsidRDefault="006F1A67" w:rsidP="00A67106">
            <w:pPr>
              <w:pStyle w:val="TableText"/>
              <w:jc w:val="right"/>
              <w:rPr>
                <w:rFonts w:cs="Calibri"/>
              </w:rPr>
            </w:pPr>
            <w:r w:rsidRPr="00F22B60">
              <w:rPr>
                <w:rFonts w:cs="Calibri"/>
              </w:rPr>
              <w:t>45.1</w:t>
            </w:r>
          </w:p>
        </w:tc>
      </w:tr>
      <w:tr w:rsidR="006F1A67" w:rsidRPr="00BA3C81" w:rsidTr="00A67106">
        <w:trPr>
          <w:trHeight w:val="288"/>
        </w:trPr>
        <w:tc>
          <w:tcPr>
            <w:tcW w:w="5000" w:type="pct"/>
            <w:gridSpan w:val="6"/>
            <w:tcBorders>
              <w:top w:val="nil"/>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6F1A67" w:rsidRPr="00BA3C81" w:rsidRDefault="006F1A67" w:rsidP="00A67106">
            <w:pPr>
              <w:pStyle w:val="TableText"/>
              <w:jc w:val="left"/>
              <w:rPr>
                <w:rFonts w:cs="Calibri"/>
                <w:b/>
              </w:rPr>
            </w:pPr>
            <w:r w:rsidRPr="00BA3C81">
              <w:rPr>
                <w:rFonts w:cs="Calibri"/>
                <w:b/>
              </w:rPr>
              <w:t>Cumulative Net Savings as a % of Baseline</w:t>
            </w:r>
          </w:p>
        </w:tc>
      </w:tr>
      <w:tr w:rsidR="006F1A67" w:rsidRPr="00BA3C81" w:rsidTr="00A67106">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647CE4">
            <w:pPr>
              <w:pStyle w:val="TableText"/>
              <w:jc w:val="left"/>
              <w:rPr>
                <w:rFonts w:cs="Calibri"/>
              </w:rPr>
            </w:pPr>
            <w:r w:rsidRPr="00E527F2">
              <w:rPr>
                <w:rFonts w:cs="Calibri"/>
              </w:rPr>
              <w:t>Achievable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0.4%</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0.9%</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2.5%</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4.7%</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6F1A67" w:rsidRPr="00E527F2" w:rsidRDefault="006F1A67" w:rsidP="00A67106">
            <w:pPr>
              <w:pStyle w:val="TableText"/>
              <w:jc w:val="right"/>
              <w:rPr>
                <w:rFonts w:cs="Calibri"/>
              </w:rPr>
            </w:pPr>
            <w:r w:rsidRPr="00E527F2">
              <w:rPr>
                <w:rFonts w:cs="Calibri"/>
              </w:rPr>
              <w:t>6.8%</w:t>
            </w:r>
          </w:p>
        </w:tc>
      </w:tr>
      <w:tr w:rsidR="006F1A67" w:rsidRPr="00BA3C81" w:rsidTr="00A67106">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647CE4">
            <w:pPr>
              <w:pStyle w:val="TableText"/>
              <w:jc w:val="left"/>
              <w:rPr>
                <w:rFonts w:cs="Calibri"/>
              </w:rPr>
            </w:pPr>
            <w:r w:rsidRPr="00E527F2">
              <w:rPr>
                <w:rFonts w:cs="Calibri"/>
              </w:rPr>
              <w:t>Economic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0.9%</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1.8%</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4.0%</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6.0%</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6F1A67" w:rsidRPr="00E527F2" w:rsidRDefault="006F1A67" w:rsidP="00A67106">
            <w:pPr>
              <w:pStyle w:val="TableText"/>
              <w:jc w:val="right"/>
              <w:rPr>
                <w:rFonts w:cs="Calibri"/>
              </w:rPr>
            </w:pPr>
            <w:r w:rsidRPr="00E527F2">
              <w:rPr>
                <w:rFonts w:cs="Calibri"/>
              </w:rPr>
              <w:t>8.2%</w:t>
            </w:r>
          </w:p>
        </w:tc>
      </w:tr>
      <w:tr w:rsidR="006F1A67" w:rsidRPr="00BA3C81" w:rsidTr="00A67106">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647CE4">
            <w:pPr>
              <w:pStyle w:val="TableText"/>
              <w:jc w:val="left"/>
              <w:rPr>
                <w:rFonts w:cs="Calibri"/>
              </w:rPr>
            </w:pPr>
            <w:r w:rsidRPr="00E527F2">
              <w:rPr>
                <w:rFonts w:cs="Calibri"/>
              </w:rPr>
              <w:t xml:space="preserve">Technical Potential </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2.4%</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4.9%</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11.5%</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6F1A67" w:rsidRPr="00E527F2" w:rsidRDefault="006F1A67" w:rsidP="00A67106">
            <w:pPr>
              <w:pStyle w:val="TableText"/>
              <w:jc w:val="right"/>
              <w:rPr>
                <w:rFonts w:cs="Calibri"/>
              </w:rPr>
            </w:pPr>
            <w:r w:rsidRPr="00E527F2">
              <w:rPr>
                <w:rFonts w:cs="Calibri"/>
              </w:rPr>
              <w:t>20.2%</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6F1A67" w:rsidRPr="00E527F2" w:rsidRDefault="006F1A67" w:rsidP="00A67106">
            <w:pPr>
              <w:pStyle w:val="TableText"/>
              <w:jc w:val="right"/>
              <w:rPr>
                <w:rFonts w:cs="Calibri"/>
              </w:rPr>
            </w:pPr>
            <w:r w:rsidRPr="00E527F2">
              <w:rPr>
                <w:rFonts w:cs="Calibri"/>
              </w:rPr>
              <w:t>28.8%</w:t>
            </w:r>
          </w:p>
        </w:tc>
      </w:tr>
    </w:tbl>
    <w:p w:rsidR="00157088" w:rsidRPr="00E07587" w:rsidRDefault="00157088" w:rsidP="008115B5">
      <w:pPr>
        <w:pStyle w:val="FigureorTableTitle"/>
      </w:pPr>
      <w:bookmarkStart w:id="432" w:name="_Ref422839091"/>
      <w:bookmarkStart w:id="433" w:name="_Toc424192740"/>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6</w:t>
      </w:r>
      <w:r w:rsidR="00512CD6">
        <w:rPr>
          <w:noProof/>
          <w:szCs w:val="18"/>
        </w:rPr>
        <w:fldChar w:fldCharType="end"/>
      </w:r>
      <w:bookmarkEnd w:id="426"/>
      <w:bookmarkEnd w:id="430"/>
      <w:bookmarkEnd w:id="432"/>
      <w:r>
        <w:tab/>
        <w:t xml:space="preserve">Residential </w:t>
      </w:r>
      <w:r w:rsidR="00DA2C9E">
        <w:t>Conservation</w:t>
      </w:r>
      <w:r w:rsidR="008F0231">
        <w:t xml:space="preserve"> </w:t>
      </w:r>
      <w:r>
        <w:t>Savings</w:t>
      </w:r>
      <w:bookmarkEnd w:id="427"/>
      <w:r>
        <w:t xml:space="preserve"> </w:t>
      </w:r>
      <w:r w:rsidR="008F0231">
        <w:t>as a % of the Baseline Projection (Annual Energy</w:t>
      </w:r>
      <w:bookmarkEnd w:id="431"/>
      <w:r w:rsidR="008F0231">
        <w:t>)</w:t>
      </w:r>
      <w:r w:rsidR="00E527F2">
        <w:t>, Washington</w:t>
      </w:r>
      <w:bookmarkEnd w:id="433"/>
    </w:p>
    <w:p w:rsidR="008D22C6" w:rsidRDefault="00F22B60" w:rsidP="00E527F2">
      <w:pPr>
        <w:pStyle w:val="BodyText"/>
      </w:pPr>
      <w:r w:rsidRPr="00F22B60">
        <w:rPr>
          <w:noProof/>
        </w:rPr>
        <w:drawing>
          <wp:inline distT="0" distB="0" distL="0" distR="0">
            <wp:extent cx="5715000" cy="2903441"/>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15000" cy="2903441"/>
                    </a:xfrm>
                    <a:prstGeom prst="rect">
                      <a:avLst/>
                    </a:prstGeom>
                    <a:noFill/>
                    <a:ln>
                      <a:noFill/>
                    </a:ln>
                  </pic:spPr>
                </pic:pic>
              </a:graphicData>
            </a:graphic>
          </wp:inline>
        </w:drawing>
      </w:r>
    </w:p>
    <w:p w:rsidR="00E527F2" w:rsidRPr="00E07587" w:rsidRDefault="00E527F2" w:rsidP="00E527F2">
      <w:pPr>
        <w:pStyle w:val="FigureorTableTitle"/>
      </w:pPr>
      <w:bookmarkStart w:id="434" w:name="_Ref422839096"/>
      <w:bookmarkStart w:id="435" w:name="_Toc424192741"/>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7</w:t>
      </w:r>
      <w:r w:rsidR="00512CD6">
        <w:rPr>
          <w:noProof/>
          <w:szCs w:val="18"/>
        </w:rPr>
        <w:fldChar w:fldCharType="end"/>
      </w:r>
      <w:bookmarkEnd w:id="434"/>
      <w:r>
        <w:tab/>
        <w:t>Residential Conservation Savings as a % of the Baseline Projection (Annual Energy), Idaho</w:t>
      </w:r>
      <w:bookmarkEnd w:id="435"/>
    </w:p>
    <w:p w:rsidR="00E527F2" w:rsidRDefault="00F22B60" w:rsidP="00EA2B8E">
      <w:pPr>
        <w:pStyle w:val="BodyText"/>
        <w:jc w:val="center"/>
      </w:pPr>
      <w:r w:rsidRPr="00F22B60">
        <w:rPr>
          <w:noProof/>
        </w:rPr>
        <w:drawing>
          <wp:inline distT="0" distB="0" distL="0" distR="0">
            <wp:extent cx="5514975" cy="2801819"/>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31947" cy="2810442"/>
                    </a:xfrm>
                    <a:prstGeom prst="rect">
                      <a:avLst/>
                    </a:prstGeom>
                    <a:noFill/>
                    <a:ln>
                      <a:noFill/>
                    </a:ln>
                  </pic:spPr>
                </pic:pic>
              </a:graphicData>
            </a:graphic>
          </wp:inline>
        </w:drawing>
      </w:r>
    </w:p>
    <w:p w:rsidR="00EF5DAD" w:rsidRDefault="001F3A53" w:rsidP="00534D78">
      <w:pPr>
        <w:pStyle w:val="BodyText"/>
      </w:pPr>
      <w:bookmarkStart w:id="436" w:name="_Ref337027108"/>
      <w:bookmarkStart w:id="437" w:name="_Toc341181351"/>
      <w:r>
        <w:t>Below, we present the top residential measures from the perspective of annual energy use.</w:t>
      </w:r>
      <w:r w:rsidR="00EF5DAD">
        <w:t xml:space="preserve"> We first present information for both states, followed by Washington-only results and Idaho-only results.</w:t>
      </w:r>
    </w:p>
    <w:p w:rsidR="00EF5DAD" w:rsidRDefault="00EF5DAD">
      <w:pPr>
        <w:rPr>
          <w:spacing w:val="4"/>
          <w:szCs w:val="18"/>
        </w:rPr>
      </w:pPr>
      <w:r>
        <w:br w:type="page"/>
      </w:r>
    </w:p>
    <w:p w:rsidR="00EF5DAD" w:rsidRDefault="00893E3D" w:rsidP="00EF5DAD">
      <w:pPr>
        <w:pStyle w:val="BodyText"/>
      </w:pPr>
      <w:r>
        <w:lastRenderedPageBreak/>
        <w:fldChar w:fldCharType="begin"/>
      </w:r>
      <w:r w:rsidR="00EF5DAD">
        <w:instrText xml:space="preserve"> REF _Ref424189401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7</w:t>
      </w:r>
      <w:r>
        <w:fldChar w:fldCharType="end"/>
      </w:r>
      <w:r w:rsidR="00EF5DAD">
        <w:t xml:space="preserve"> identifies the top 20 residential measures from the perspective of annual energy savings in 2017 for Washington and Idaho combined. The top three measures include interior and exterior lighting measures and repair and sealing of ducting. The lighting measures are a result of purchases of LED lamps which are cost effective throughout the forecast horizon.</w:t>
      </w:r>
    </w:p>
    <w:p w:rsidR="00EF5DAD" w:rsidRDefault="00EF5DAD" w:rsidP="00EF5DAD">
      <w:pPr>
        <w:pStyle w:val="FigureorTableTitle"/>
      </w:pPr>
      <w:bookmarkStart w:id="438" w:name="_Ref424189401"/>
      <w:bookmarkStart w:id="439" w:name="_Toc424192802"/>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7</w:t>
      </w:r>
      <w:r w:rsidR="00512CD6">
        <w:rPr>
          <w:bCs w:val="0"/>
          <w:iCs w:val="0"/>
          <w:noProof/>
        </w:rPr>
        <w:fldChar w:fldCharType="end"/>
      </w:r>
      <w:bookmarkEnd w:id="438"/>
      <w:r>
        <w:tab/>
        <w:t>Residential Top Measures in 2017 (Annual Energy, MWh), Washington and Idaho</w:t>
      </w:r>
      <w:bookmarkEnd w:id="439"/>
    </w:p>
    <w:tbl>
      <w:tblPr>
        <w:tblW w:w="5000" w:type="pct"/>
        <w:tblCellMar>
          <w:left w:w="0" w:type="dxa"/>
          <w:right w:w="0" w:type="dxa"/>
        </w:tblCellMar>
        <w:tblLook w:val="04A0" w:firstRow="1" w:lastRow="0" w:firstColumn="1" w:lastColumn="0" w:noHBand="0" w:noVBand="1"/>
      </w:tblPr>
      <w:tblGrid>
        <w:gridCol w:w="1200"/>
        <w:gridCol w:w="4307"/>
        <w:gridCol w:w="1668"/>
        <w:gridCol w:w="1850"/>
      </w:tblGrid>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1A1D5D"/>
            <w:vAlign w:val="center"/>
          </w:tcPr>
          <w:p w:rsidR="00EF5DAD" w:rsidRPr="00500407" w:rsidRDefault="00EF5DAD" w:rsidP="005F1A24">
            <w:pPr>
              <w:jc w:val="center"/>
              <w:textAlignment w:val="bottom"/>
              <w:rPr>
                <w:rFonts w:ascii="Calibri" w:hAnsi="Calibri" w:cs="Arial"/>
                <w:bCs/>
                <w:color w:val="FFFFFF"/>
                <w:kern w:val="24"/>
                <w:szCs w:val="20"/>
              </w:rPr>
            </w:pPr>
            <w:r w:rsidRPr="00500407">
              <w:rPr>
                <w:rFonts w:ascii="Calibri" w:hAnsi="Calibri" w:cs="Arial"/>
                <w:bCs/>
                <w:color w:val="FFFFFF"/>
                <w:kern w:val="24"/>
                <w:szCs w:val="20"/>
              </w:rPr>
              <w:t>R</w:t>
            </w:r>
            <w:r>
              <w:rPr>
                <w:rFonts w:ascii="Calibri" w:hAnsi="Calibri" w:cs="Arial"/>
                <w:bCs/>
                <w:color w:val="FFFFFF"/>
                <w:kern w:val="24"/>
                <w:szCs w:val="20"/>
              </w:rPr>
              <w:t>ank</w:t>
            </w:r>
          </w:p>
        </w:tc>
        <w:tc>
          <w:tcPr>
            <w:tcW w:w="2386" w:type="pct"/>
            <w:tcBorders>
              <w:top w:val="single" w:sz="8" w:space="0" w:color="4F4F4F"/>
              <w:left w:val="single" w:sz="8" w:space="0" w:color="4F4F4F"/>
              <w:bottom w:val="single" w:sz="8" w:space="0" w:color="4F4F4F"/>
              <w:right w:val="single" w:sz="8" w:space="0" w:color="4F4F4F"/>
            </w:tcBorders>
            <w:shd w:val="clear" w:color="auto" w:fill="1A1D5D"/>
            <w:tcMar>
              <w:top w:w="15" w:type="dxa"/>
              <w:left w:w="144" w:type="dxa"/>
              <w:bottom w:w="0" w:type="dxa"/>
              <w:right w:w="15" w:type="dxa"/>
            </w:tcMar>
            <w:vAlign w:val="center"/>
            <w:hideMark/>
          </w:tcPr>
          <w:p w:rsidR="00EF5DAD" w:rsidRPr="00500407" w:rsidRDefault="00EF5DAD" w:rsidP="005F1A24">
            <w:pPr>
              <w:jc w:val="center"/>
              <w:textAlignment w:val="bottom"/>
              <w:rPr>
                <w:rFonts w:ascii="Arial" w:hAnsi="Arial" w:cs="Arial"/>
                <w:szCs w:val="20"/>
              </w:rPr>
            </w:pPr>
            <w:r w:rsidRPr="00500407">
              <w:rPr>
                <w:rFonts w:ascii="Calibri" w:hAnsi="Calibri" w:cs="Arial"/>
                <w:bCs/>
                <w:color w:val="FFFFFF"/>
                <w:kern w:val="24"/>
                <w:szCs w:val="20"/>
              </w:rPr>
              <w:t>Residential Measure</w:t>
            </w:r>
          </w:p>
        </w:tc>
        <w:tc>
          <w:tcPr>
            <w:tcW w:w="92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EF5DAD" w:rsidRPr="00500407" w:rsidRDefault="00EF5DAD" w:rsidP="005F1A24">
            <w:pPr>
              <w:jc w:val="center"/>
              <w:textAlignment w:val="center"/>
              <w:rPr>
                <w:rFonts w:ascii="Arial" w:hAnsi="Arial" w:cs="Arial"/>
                <w:szCs w:val="20"/>
              </w:rPr>
            </w:pPr>
            <w:r w:rsidRPr="00500407">
              <w:rPr>
                <w:rFonts w:ascii="Calibri" w:hAnsi="Calibri" w:cs="Arial"/>
                <w:bCs/>
                <w:color w:val="FFFFFF"/>
                <w:kern w:val="24"/>
                <w:szCs w:val="20"/>
              </w:rPr>
              <w:t>20</w:t>
            </w:r>
            <w:r>
              <w:rPr>
                <w:rFonts w:ascii="Calibri" w:hAnsi="Calibri" w:cs="Arial"/>
                <w:bCs/>
                <w:color w:val="FFFFFF"/>
                <w:kern w:val="24"/>
                <w:szCs w:val="20"/>
              </w:rPr>
              <w:t xml:space="preserve">17 </w:t>
            </w:r>
            <w:r w:rsidRPr="00500407">
              <w:rPr>
                <w:rFonts w:ascii="Calibri" w:hAnsi="Calibri" w:cs="Arial"/>
                <w:bCs/>
                <w:color w:val="FFFFFF"/>
                <w:kern w:val="24"/>
                <w:szCs w:val="20"/>
              </w:rPr>
              <w:t xml:space="preserve">Cumulative </w:t>
            </w:r>
            <w:r>
              <w:rPr>
                <w:rFonts w:ascii="Calibri" w:hAnsi="Calibri" w:cs="Arial"/>
                <w:bCs/>
                <w:color w:val="FFFFFF"/>
                <w:kern w:val="24"/>
                <w:szCs w:val="20"/>
              </w:rPr>
              <w:t>Energy</w:t>
            </w:r>
            <w:r w:rsidRPr="00500407">
              <w:rPr>
                <w:rFonts w:ascii="Calibri" w:hAnsi="Calibri" w:cs="Arial"/>
                <w:bCs/>
                <w:color w:val="FFFFFF"/>
                <w:kern w:val="24"/>
                <w:szCs w:val="20"/>
              </w:rPr>
              <w:t xml:space="preserve"> Savings </w:t>
            </w:r>
            <w:r>
              <w:rPr>
                <w:rFonts w:ascii="Calibri" w:hAnsi="Calibri" w:cs="Arial"/>
                <w:bCs/>
                <w:color w:val="FFFFFF"/>
                <w:kern w:val="24"/>
                <w:szCs w:val="20"/>
              </w:rPr>
              <w:br/>
            </w:r>
            <w:r w:rsidRPr="00500407">
              <w:rPr>
                <w:rFonts w:ascii="Calibri" w:hAnsi="Calibri" w:cs="Arial"/>
                <w:bCs/>
                <w:color w:val="FFFFFF"/>
                <w:kern w:val="24"/>
                <w:szCs w:val="20"/>
              </w:rPr>
              <w:t>(</w:t>
            </w:r>
            <w:r>
              <w:rPr>
                <w:rFonts w:ascii="Calibri" w:hAnsi="Calibri" w:cs="Arial"/>
                <w:bCs/>
                <w:color w:val="FFFFFF"/>
                <w:kern w:val="24"/>
                <w:szCs w:val="20"/>
              </w:rPr>
              <w:t>MWh</w:t>
            </w:r>
            <w:r w:rsidRPr="00500407">
              <w:rPr>
                <w:rFonts w:ascii="Calibri" w:hAnsi="Calibri" w:cs="Arial"/>
                <w:bCs/>
                <w:color w:val="FFFFFF"/>
                <w:kern w:val="24"/>
                <w:szCs w:val="20"/>
              </w:rPr>
              <w:t xml:space="preserve">) </w:t>
            </w:r>
          </w:p>
        </w:tc>
        <w:tc>
          <w:tcPr>
            <w:tcW w:w="1025"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EF5DAD" w:rsidRPr="00BD1C84" w:rsidRDefault="00EF5DAD" w:rsidP="005F1A24">
            <w:pPr>
              <w:jc w:val="center"/>
              <w:textAlignment w:val="center"/>
              <w:rPr>
                <w:rFonts w:ascii="Arial" w:hAnsi="Arial" w:cs="Arial"/>
                <w:szCs w:val="20"/>
              </w:rPr>
            </w:pPr>
            <w:r w:rsidRPr="00BD1C84">
              <w:rPr>
                <w:rFonts w:ascii="Calibri" w:hAnsi="Calibri" w:cs="Arial"/>
                <w:bCs/>
                <w:iCs/>
                <w:color w:val="FFFFFF"/>
                <w:kern w:val="24"/>
                <w:szCs w:val="20"/>
              </w:rPr>
              <w:t xml:space="preserve">% of </w:t>
            </w:r>
            <w:r w:rsidRPr="00BD1C84">
              <w:rPr>
                <w:rFonts w:ascii="Calibri" w:hAnsi="Calibri" w:cs="Arial"/>
                <w:bCs/>
                <w:iCs/>
                <w:color w:val="FFFFFF"/>
                <w:kern w:val="24"/>
                <w:szCs w:val="20"/>
              </w:rPr>
              <w:br/>
              <w:t xml:space="preserve">Total </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Interior Lighting - Screw-in/Hard-wire</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13,616</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46%</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2</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Ducting - Repair and Sealing</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5,057</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17%</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3</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Exterior Lighting - Screw-in/Hard-wire</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4,152</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14%</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4</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Water Heater - Pipe Insulation</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2,264</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8%</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5</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Water Heater - Faucet Aerators</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1,037</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3%</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6</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Behavioral Programs</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688</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2%</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7</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Thermostat - Clock/Programmable</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674</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2%</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8</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Insulation - Ducting</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621</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2%</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9</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Water Heater - Low-Flow Showerheads</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419</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10</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Electronics - Personal Computers</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285</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11</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Appliances - Freezer</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272</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12</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Water Heater - Drainwater Heat Recovery</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241</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13</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Miscellaneous - Pool Pump</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172</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14</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Appliances - Second Refrigerator</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169</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15</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Electronics - Laptops</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77</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0%</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16</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hideMark/>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Appliances - Refrigerator</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56</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0%</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17</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hideMark/>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Water Heating - Water Heater (55 to 75 Gal)</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36</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0%</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18</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hideMark/>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Water Heater - Desuperheater</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17</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0%</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19</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hideMark/>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Electronics - Monitor</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13</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0%</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355D78" w:rsidRDefault="00EF5DAD" w:rsidP="00EF5DAD">
            <w:pPr>
              <w:pStyle w:val="NormalWeb"/>
              <w:jc w:val="center"/>
              <w:textAlignment w:val="center"/>
              <w:rPr>
                <w:rFonts w:ascii="Calibri" w:hAnsi="Calibri" w:cs="Arial"/>
                <w:color w:val="000000"/>
                <w:kern w:val="24"/>
                <w:szCs w:val="20"/>
              </w:rPr>
            </w:pPr>
            <w:r>
              <w:rPr>
                <w:rFonts w:ascii="Calibri" w:hAnsi="Calibri" w:cs="Arial"/>
                <w:color w:val="000000"/>
                <w:kern w:val="24"/>
                <w:szCs w:val="20"/>
              </w:rPr>
              <w:t>20</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bottom"/>
            <w:hideMark/>
          </w:tcPr>
          <w:p w:rsidR="00EF5DAD" w:rsidRPr="00647CE4" w:rsidRDefault="00EF5DAD" w:rsidP="00EF5DAD">
            <w:pPr>
              <w:pStyle w:val="NormalWeb"/>
              <w:ind w:left="144"/>
              <w:textAlignment w:val="center"/>
              <w:rPr>
                <w:rFonts w:ascii="Calibri" w:hAnsi="Calibri" w:cs="Arial"/>
                <w:color w:val="000000"/>
                <w:kern w:val="24"/>
                <w:szCs w:val="20"/>
              </w:rPr>
            </w:pPr>
            <w:r>
              <w:rPr>
                <w:rFonts w:ascii="Calibri" w:hAnsi="Calibri" w:cs="Calibri"/>
                <w:color w:val="000000"/>
                <w:sz w:val="22"/>
                <w:szCs w:val="22"/>
              </w:rPr>
              <w:t>Electronics - TVs</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7</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bottom"/>
            <w:hideMark/>
          </w:tcPr>
          <w:p w:rsidR="00EF5DAD" w:rsidRPr="00647CE4" w:rsidRDefault="00EF5DAD" w:rsidP="00EF5DAD">
            <w:pPr>
              <w:pStyle w:val="NormalWeb"/>
              <w:ind w:right="432"/>
              <w:jc w:val="right"/>
              <w:textAlignment w:val="center"/>
              <w:rPr>
                <w:rFonts w:ascii="Calibri" w:hAnsi="Calibri" w:cs="Arial"/>
                <w:color w:val="000000"/>
                <w:kern w:val="24"/>
                <w:szCs w:val="20"/>
              </w:rPr>
            </w:pPr>
            <w:r>
              <w:rPr>
                <w:rFonts w:ascii="Calibri" w:hAnsi="Calibri" w:cs="Calibri"/>
                <w:color w:val="000000"/>
                <w:sz w:val="22"/>
                <w:szCs w:val="22"/>
              </w:rPr>
              <w:t>0%</w:t>
            </w:r>
          </w:p>
        </w:tc>
      </w:tr>
      <w:tr w:rsidR="00EF5DAD" w:rsidRPr="006C0A42" w:rsidTr="00EF5DAD">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EF5DAD" w:rsidRPr="00C95EBA" w:rsidRDefault="00EF5DAD" w:rsidP="005F1A24">
            <w:pPr>
              <w:pStyle w:val="NormalWeb"/>
              <w:jc w:val="center"/>
              <w:textAlignment w:val="center"/>
              <w:rPr>
                <w:rFonts w:ascii="Calibri" w:hAnsi="Calibri" w:cs="Arial"/>
                <w:b/>
                <w:color w:val="000000"/>
                <w:kern w:val="24"/>
                <w:szCs w:val="20"/>
              </w:rPr>
            </w:pPr>
            <w:r w:rsidRPr="00C95EBA">
              <w:rPr>
                <w:rFonts w:ascii="Calibri" w:hAnsi="Calibri" w:cs="Arial"/>
                <w:b/>
                <w:color w:val="000000"/>
                <w:kern w:val="24"/>
                <w:szCs w:val="20"/>
              </w:rPr>
              <w:t>Total</w:t>
            </w:r>
          </w:p>
        </w:tc>
        <w:tc>
          <w:tcPr>
            <w:tcW w:w="23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center"/>
          </w:tcPr>
          <w:p w:rsidR="00EF5DAD" w:rsidRPr="00C95EBA" w:rsidRDefault="00EF5DAD" w:rsidP="005F1A24">
            <w:pPr>
              <w:pStyle w:val="NormalWeb"/>
              <w:ind w:left="144"/>
              <w:textAlignment w:val="center"/>
              <w:rPr>
                <w:rFonts w:ascii="Calibri" w:hAnsi="Calibri" w:cs="Arial"/>
                <w:b/>
                <w:color w:val="000000"/>
                <w:kern w:val="24"/>
                <w:szCs w:val="20"/>
              </w:rPr>
            </w:pPr>
            <w:r w:rsidRPr="00C95EBA">
              <w:rPr>
                <w:rFonts w:ascii="Calibri" w:hAnsi="Calibri" w:cs="Arial"/>
                <w:b/>
                <w:color w:val="000000"/>
                <w:kern w:val="24"/>
                <w:szCs w:val="20"/>
              </w:rPr>
              <w:t>Total</w:t>
            </w:r>
          </w:p>
        </w:tc>
        <w:tc>
          <w:tcPr>
            <w:tcW w:w="9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EF5DAD" w:rsidRPr="00C95EBA" w:rsidRDefault="00EF5DAD" w:rsidP="005F1A24">
            <w:pPr>
              <w:pStyle w:val="NormalWeb"/>
              <w:ind w:right="432"/>
              <w:jc w:val="right"/>
              <w:textAlignment w:val="center"/>
              <w:rPr>
                <w:rFonts w:ascii="Calibri" w:hAnsi="Calibri" w:cs="Arial"/>
                <w:b/>
                <w:color w:val="000000"/>
                <w:kern w:val="24"/>
                <w:szCs w:val="20"/>
              </w:rPr>
            </w:pPr>
            <w:r>
              <w:rPr>
                <w:rFonts w:ascii="Calibri" w:hAnsi="Calibri" w:cs="Arial"/>
                <w:b/>
                <w:color w:val="000000"/>
                <w:kern w:val="24"/>
                <w:szCs w:val="20"/>
              </w:rPr>
              <w:t>29,875</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EF5DAD" w:rsidRPr="00C95EBA" w:rsidRDefault="00EF5DAD" w:rsidP="005F1A24">
            <w:pPr>
              <w:pStyle w:val="NormalWeb"/>
              <w:ind w:right="432"/>
              <w:jc w:val="right"/>
              <w:textAlignment w:val="center"/>
              <w:rPr>
                <w:rFonts w:ascii="Calibri" w:hAnsi="Calibri" w:cs="Arial"/>
                <w:b/>
                <w:color w:val="000000"/>
                <w:kern w:val="24"/>
                <w:szCs w:val="20"/>
              </w:rPr>
            </w:pPr>
            <w:r w:rsidRPr="00C95EBA">
              <w:rPr>
                <w:rFonts w:ascii="Calibri" w:hAnsi="Calibri" w:cs="Arial"/>
                <w:b/>
                <w:color w:val="000000"/>
                <w:kern w:val="24"/>
                <w:szCs w:val="20"/>
              </w:rPr>
              <w:t>100.0%</w:t>
            </w:r>
          </w:p>
        </w:tc>
      </w:tr>
    </w:tbl>
    <w:p w:rsidR="00EF5DAD" w:rsidRDefault="00EF5DAD" w:rsidP="00534D78">
      <w:pPr>
        <w:pStyle w:val="BodyText"/>
      </w:pPr>
    </w:p>
    <w:p w:rsidR="00EF5DAD" w:rsidRDefault="00EF5DAD">
      <w:pPr>
        <w:rPr>
          <w:spacing w:val="4"/>
          <w:szCs w:val="18"/>
        </w:rPr>
      </w:pPr>
      <w:r>
        <w:br w:type="page"/>
      </w:r>
    </w:p>
    <w:p w:rsidR="00EF5DAD" w:rsidRDefault="00EF5DAD" w:rsidP="00534D78">
      <w:pPr>
        <w:pStyle w:val="BodyText"/>
      </w:pPr>
    </w:p>
    <w:p w:rsidR="00157088" w:rsidRDefault="00893E3D" w:rsidP="00534D78">
      <w:pPr>
        <w:pStyle w:val="BodyText"/>
      </w:pPr>
      <w:r>
        <w:fldChar w:fldCharType="begin"/>
      </w:r>
      <w:r w:rsidR="00534D78">
        <w:instrText xml:space="preserve"> REF _Ref423093257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8</w:t>
      </w:r>
      <w:r>
        <w:fldChar w:fldCharType="end"/>
      </w:r>
      <w:r w:rsidR="00534D78">
        <w:t xml:space="preserve"> </w:t>
      </w:r>
      <w:r w:rsidR="00157088">
        <w:t xml:space="preserve">identifies the top </w:t>
      </w:r>
      <w:r w:rsidR="00BD1C84">
        <w:t>20</w:t>
      </w:r>
      <w:r w:rsidR="00157088">
        <w:t xml:space="preserve"> residential measures </w:t>
      </w:r>
      <w:r w:rsidR="00BD1C84">
        <w:t>from the perspective of annual energy savings</w:t>
      </w:r>
      <w:r w:rsidR="00EF0891">
        <w:t xml:space="preserve"> in 20</w:t>
      </w:r>
      <w:r w:rsidR="000D3554">
        <w:t>1</w:t>
      </w:r>
      <w:r w:rsidR="00684A2F">
        <w:t>7</w:t>
      </w:r>
      <w:r w:rsidR="00EF5DAD">
        <w:t xml:space="preserve"> for Washington</w:t>
      </w:r>
      <w:r w:rsidR="00BD1C84">
        <w:t xml:space="preserve">. </w:t>
      </w:r>
      <w:r w:rsidR="00157088">
        <w:t xml:space="preserve">The top </w:t>
      </w:r>
      <w:r w:rsidR="00F93554">
        <w:t xml:space="preserve">three </w:t>
      </w:r>
      <w:r w:rsidR="00157088">
        <w:t>measure</w:t>
      </w:r>
      <w:r w:rsidR="00B254C2">
        <w:t xml:space="preserve">s </w:t>
      </w:r>
      <w:r w:rsidR="00F93554">
        <w:t>include</w:t>
      </w:r>
      <w:r w:rsidR="00B254C2">
        <w:t xml:space="preserve"> </w:t>
      </w:r>
      <w:r w:rsidR="00EF0891">
        <w:t xml:space="preserve">interior </w:t>
      </w:r>
      <w:r w:rsidR="00F93554">
        <w:t xml:space="preserve">and exterior </w:t>
      </w:r>
      <w:r w:rsidR="00684A2F">
        <w:t xml:space="preserve">lighting </w:t>
      </w:r>
      <w:r w:rsidR="00F93554">
        <w:t xml:space="preserve">measures </w:t>
      </w:r>
      <w:r w:rsidR="00684A2F">
        <w:t xml:space="preserve">and </w:t>
      </w:r>
      <w:r w:rsidR="00F93554">
        <w:t>repair and sealing of ducting. The lighting measures are</w:t>
      </w:r>
      <w:r w:rsidR="00EF0891">
        <w:t xml:space="preserve"> a result of purchases of LED lamps which are cost effective throughout the forecast horizon.</w:t>
      </w:r>
    </w:p>
    <w:p w:rsidR="006F77F9" w:rsidRDefault="006F77F9" w:rsidP="00534D78">
      <w:pPr>
        <w:pStyle w:val="BodyText"/>
        <w:rPr>
          <w:bCs/>
          <w:iCs/>
        </w:rPr>
      </w:pPr>
      <w:bookmarkStart w:id="440" w:name="_Ref402254235"/>
      <w:bookmarkStart w:id="441" w:name="_Toc396755847"/>
    </w:p>
    <w:p w:rsidR="00157088" w:rsidRDefault="00AB3965" w:rsidP="008115B5">
      <w:pPr>
        <w:pStyle w:val="FigureorTableTitle"/>
      </w:pPr>
      <w:bookmarkStart w:id="442" w:name="_Ref423093257"/>
      <w:bookmarkStart w:id="443" w:name="_Toc424192803"/>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8</w:t>
      </w:r>
      <w:r w:rsidR="00512CD6">
        <w:rPr>
          <w:bCs w:val="0"/>
          <w:iCs w:val="0"/>
          <w:noProof/>
        </w:rPr>
        <w:fldChar w:fldCharType="end"/>
      </w:r>
      <w:bookmarkEnd w:id="440"/>
      <w:bookmarkEnd w:id="442"/>
      <w:r w:rsidR="00157088">
        <w:tab/>
        <w:t>Residential Top Measures in 20</w:t>
      </w:r>
      <w:bookmarkEnd w:id="441"/>
      <w:r w:rsidR="000D3554">
        <w:t>1</w:t>
      </w:r>
      <w:r w:rsidR="00793F54">
        <w:t>7</w:t>
      </w:r>
      <w:r w:rsidR="00BD1C84">
        <w:t xml:space="preserve"> (Annual Energy, </w:t>
      </w:r>
      <w:r w:rsidR="00A92597">
        <w:t>M</w:t>
      </w:r>
      <w:r w:rsidR="00BD1C84">
        <w:t>Wh)</w:t>
      </w:r>
      <w:r w:rsidR="006F1A67">
        <w:t>, Washington</w:t>
      </w:r>
      <w:bookmarkEnd w:id="443"/>
    </w:p>
    <w:tbl>
      <w:tblPr>
        <w:tblW w:w="5000" w:type="pct"/>
        <w:tblCellMar>
          <w:left w:w="0" w:type="dxa"/>
          <w:right w:w="0" w:type="dxa"/>
        </w:tblCellMar>
        <w:tblLook w:val="04A0" w:firstRow="1" w:lastRow="0" w:firstColumn="1" w:lastColumn="0" w:noHBand="0" w:noVBand="1"/>
      </w:tblPr>
      <w:tblGrid>
        <w:gridCol w:w="1201"/>
        <w:gridCol w:w="4126"/>
        <w:gridCol w:w="1848"/>
        <w:gridCol w:w="1850"/>
      </w:tblGrid>
      <w:tr w:rsidR="00BD1C84" w:rsidRPr="006C0A42" w:rsidTr="00C63F81">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1A1D5D"/>
            <w:vAlign w:val="center"/>
          </w:tcPr>
          <w:p w:rsidR="00BD1C84" w:rsidRPr="00500407" w:rsidRDefault="00BD1C84" w:rsidP="00BD1C84">
            <w:pPr>
              <w:jc w:val="center"/>
              <w:textAlignment w:val="bottom"/>
              <w:rPr>
                <w:rFonts w:ascii="Calibri" w:hAnsi="Calibri" w:cs="Arial"/>
                <w:bCs/>
                <w:color w:val="FFFFFF"/>
                <w:kern w:val="24"/>
                <w:szCs w:val="20"/>
              </w:rPr>
            </w:pPr>
            <w:r w:rsidRPr="00500407">
              <w:rPr>
                <w:rFonts w:ascii="Calibri" w:hAnsi="Calibri" w:cs="Arial"/>
                <w:bCs/>
                <w:color w:val="FFFFFF"/>
                <w:kern w:val="24"/>
                <w:szCs w:val="20"/>
              </w:rPr>
              <w:t>R</w:t>
            </w:r>
            <w:r>
              <w:rPr>
                <w:rFonts w:ascii="Calibri" w:hAnsi="Calibri" w:cs="Arial"/>
                <w:bCs/>
                <w:color w:val="FFFFFF"/>
                <w:kern w:val="24"/>
                <w:szCs w:val="20"/>
              </w:rPr>
              <w:t>ank</w:t>
            </w:r>
          </w:p>
        </w:tc>
        <w:tc>
          <w:tcPr>
            <w:tcW w:w="2286" w:type="pct"/>
            <w:tcBorders>
              <w:top w:val="single" w:sz="8" w:space="0" w:color="4F4F4F"/>
              <w:left w:val="single" w:sz="8" w:space="0" w:color="4F4F4F"/>
              <w:bottom w:val="single" w:sz="8" w:space="0" w:color="4F4F4F"/>
              <w:right w:val="single" w:sz="8" w:space="0" w:color="4F4F4F"/>
            </w:tcBorders>
            <w:shd w:val="clear" w:color="auto" w:fill="1A1D5D"/>
            <w:tcMar>
              <w:top w:w="15" w:type="dxa"/>
              <w:left w:w="144" w:type="dxa"/>
              <w:bottom w:w="0" w:type="dxa"/>
              <w:right w:w="15" w:type="dxa"/>
            </w:tcMar>
            <w:vAlign w:val="center"/>
            <w:hideMark/>
          </w:tcPr>
          <w:p w:rsidR="00BD1C84" w:rsidRPr="00500407" w:rsidRDefault="00BD1C84" w:rsidP="00C92B0B">
            <w:pPr>
              <w:jc w:val="center"/>
              <w:textAlignment w:val="bottom"/>
              <w:rPr>
                <w:rFonts w:ascii="Arial" w:hAnsi="Arial" w:cs="Arial"/>
                <w:szCs w:val="20"/>
              </w:rPr>
            </w:pPr>
            <w:r w:rsidRPr="00500407">
              <w:rPr>
                <w:rFonts w:ascii="Calibri" w:hAnsi="Calibri" w:cs="Arial"/>
                <w:bCs/>
                <w:color w:val="FFFFFF"/>
                <w:kern w:val="24"/>
                <w:szCs w:val="20"/>
              </w:rPr>
              <w:t>Residential Measure</w:t>
            </w:r>
          </w:p>
        </w:tc>
        <w:tc>
          <w:tcPr>
            <w:tcW w:w="102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BD1C84" w:rsidRPr="00500407" w:rsidRDefault="00BD1C84" w:rsidP="00647CE4">
            <w:pPr>
              <w:jc w:val="center"/>
              <w:textAlignment w:val="center"/>
              <w:rPr>
                <w:rFonts w:ascii="Arial" w:hAnsi="Arial" w:cs="Arial"/>
                <w:szCs w:val="20"/>
              </w:rPr>
            </w:pPr>
            <w:r w:rsidRPr="00500407">
              <w:rPr>
                <w:rFonts w:ascii="Calibri" w:hAnsi="Calibri" w:cs="Arial"/>
                <w:bCs/>
                <w:color w:val="FFFFFF"/>
                <w:kern w:val="24"/>
                <w:szCs w:val="20"/>
              </w:rPr>
              <w:t>20</w:t>
            </w:r>
            <w:r w:rsidR="000D3554">
              <w:rPr>
                <w:rFonts w:ascii="Calibri" w:hAnsi="Calibri" w:cs="Arial"/>
                <w:bCs/>
                <w:color w:val="FFFFFF"/>
                <w:kern w:val="24"/>
                <w:szCs w:val="20"/>
              </w:rPr>
              <w:t>1</w:t>
            </w:r>
            <w:r w:rsidR="00647CE4">
              <w:rPr>
                <w:rFonts w:ascii="Calibri" w:hAnsi="Calibri" w:cs="Arial"/>
                <w:bCs/>
                <w:color w:val="FFFFFF"/>
                <w:kern w:val="24"/>
                <w:szCs w:val="20"/>
              </w:rPr>
              <w:t>7</w:t>
            </w:r>
            <w:r w:rsidR="00A92597">
              <w:rPr>
                <w:rFonts w:ascii="Calibri" w:hAnsi="Calibri" w:cs="Arial"/>
                <w:bCs/>
                <w:color w:val="FFFFFF"/>
                <w:kern w:val="24"/>
                <w:szCs w:val="20"/>
              </w:rPr>
              <w:t xml:space="preserve"> </w:t>
            </w:r>
            <w:r w:rsidRPr="00500407">
              <w:rPr>
                <w:rFonts w:ascii="Calibri" w:hAnsi="Calibri" w:cs="Arial"/>
                <w:bCs/>
                <w:color w:val="FFFFFF"/>
                <w:kern w:val="24"/>
                <w:szCs w:val="20"/>
              </w:rPr>
              <w:t xml:space="preserve">Cumulative </w:t>
            </w:r>
            <w:r>
              <w:rPr>
                <w:rFonts w:ascii="Calibri" w:hAnsi="Calibri" w:cs="Arial"/>
                <w:bCs/>
                <w:color w:val="FFFFFF"/>
                <w:kern w:val="24"/>
                <w:szCs w:val="20"/>
              </w:rPr>
              <w:t>Energy</w:t>
            </w:r>
            <w:r w:rsidRPr="00500407">
              <w:rPr>
                <w:rFonts w:ascii="Calibri" w:hAnsi="Calibri" w:cs="Arial"/>
                <w:bCs/>
                <w:color w:val="FFFFFF"/>
                <w:kern w:val="24"/>
                <w:szCs w:val="20"/>
              </w:rPr>
              <w:t xml:space="preserve"> Savings </w:t>
            </w:r>
            <w:r>
              <w:rPr>
                <w:rFonts w:ascii="Calibri" w:hAnsi="Calibri" w:cs="Arial"/>
                <w:bCs/>
                <w:color w:val="FFFFFF"/>
                <w:kern w:val="24"/>
                <w:szCs w:val="20"/>
              </w:rPr>
              <w:br/>
            </w:r>
            <w:r w:rsidRPr="00500407">
              <w:rPr>
                <w:rFonts w:ascii="Calibri" w:hAnsi="Calibri" w:cs="Arial"/>
                <w:bCs/>
                <w:color w:val="FFFFFF"/>
                <w:kern w:val="24"/>
                <w:szCs w:val="20"/>
              </w:rPr>
              <w:t>(</w:t>
            </w:r>
            <w:r w:rsidR="00A92597">
              <w:rPr>
                <w:rFonts w:ascii="Calibri" w:hAnsi="Calibri" w:cs="Arial"/>
                <w:bCs/>
                <w:color w:val="FFFFFF"/>
                <w:kern w:val="24"/>
                <w:szCs w:val="20"/>
              </w:rPr>
              <w:t>M</w:t>
            </w:r>
            <w:r>
              <w:rPr>
                <w:rFonts w:ascii="Calibri" w:hAnsi="Calibri" w:cs="Arial"/>
                <w:bCs/>
                <w:color w:val="FFFFFF"/>
                <w:kern w:val="24"/>
                <w:szCs w:val="20"/>
              </w:rPr>
              <w:t>Wh</w:t>
            </w:r>
            <w:r w:rsidRPr="00500407">
              <w:rPr>
                <w:rFonts w:ascii="Calibri" w:hAnsi="Calibri" w:cs="Arial"/>
                <w:bCs/>
                <w:color w:val="FFFFFF"/>
                <w:kern w:val="24"/>
                <w:szCs w:val="20"/>
              </w:rPr>
              <w:t xml:space="preserve">) </w:t>
            </w:r>
          </w:p>
        </w:tc>
        <w:tc>
          <w:tcPr>
            <w:tcW w:w="1025"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BD1C84" w:rsidRPr="00BD1C84" w:rsidRDefault="00BD1C84" w:rsidP="00606D25">
            <w:pPr>
              <w:jc w:val="center"/>
              <w:textAlignment w:val="center"/>
              <w:rPr>
                <w:rFonts w:ascii="Arial" w:hAnsi="Arial" w:cs="Arial"/>
                <w:szCs w:val="20"/>
              </w:rPr>
            </w:pPr>
            <w:r w:rsidRPr="00BD1C84">
              <w:rPr>
                <w:rFonts w:ascii="Calibri" w:hAnsi="Calibri" w:cs="Arial"/>
                <w:bCs/>
                <w:iCs/>
                <w:color w:val="FFFFFF"/>
                <w:kern w:val="24"/>
                <w:szCs w:val="20"/>
              </w:rPr>
              <w:t xml:space="preserve">% of </w:t>
            </w:r>
            <w:r w:rsidRPr="00BD1C84">
              <w:rPr>
                <w:rFonts w:ascii="Calibri" w:hAnsi="Calibri" w:cs="Arial"/>
                <w:bCs/>
                <w:iCs/>
                <w:color w:val="FFFFFF"/>
                <w:kern w:val="24"/>
                <w:szCs w:val="20"/>
              </w:rPr>
              <w:br/>
              <w:t xml:space="preserve">Total </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Interior Lighting - Screw-in/Hard-wire</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8,479</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44.0%</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2</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Ducting - Repair and Sealing</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3,483</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18.1%</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3</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Exterior Lighting - Screw-in/Hard-wire</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2,564</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13.3%</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4</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Pipe Insulation</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1,535</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8.0%</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5</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Faucet Aerators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699</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3.6%</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6</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Behavioral Programs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464</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2.4%</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7</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Thermostat - Clock/Programmable</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443</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2.3%</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8</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Insulation - Ducting</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429</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2.2%</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9</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Low-Flow Showerheads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284</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1.5%</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10</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Electronics - Personal Computers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199</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1.0%</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11</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Appliances - Freezer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177</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0.9%</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12</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Drainwater Heat Recovery</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157</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0.8%</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13</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Miscellaneous - Pool Pump</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121</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0.6%</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14</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Appliances - Second Refrigerator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110</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0.6%</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15</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Electronics - Laptops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51</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0.3%</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16</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Appliances - Refrigerator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36</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0.2%</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17</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Heating - Water Heater (55 to 75 Gal)</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24</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0.1%</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18</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Desuperheater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12</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0.1%</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19</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Electronics - Monitor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9</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0.0%</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20</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Electronics - TVs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5</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0.0%</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C95EBA" w:rsidRDefault="00C95EBA" w:rsidP="00C95EBA">
            <w:pPr>
              <w:pStyle w:val="NormalWeb"/>
              <w:jc w:val="center"/>
              <w:textAlignment w:val="center"/>
              <w:rPr>
                <w:rFonts w:ascii="Calibri" w:hAnsi="Calibri" w:cs="Arial"/>
                <w:b/>
                <w:color w:val="000000"/>
                <w:kern w:val="24"/>
                <w:szCs w:val="20"/>
              </w:rPr>
            </w:pPr>
            <w:r w:rsidRPr="00C95EBA">
              <w:rPr>
                <w:rFonts w:ascii="Calibri" w:hAnsi="Calibri" w:cs="Arial"/>
                <w:b/>
                <w:color w:val="000000"/>
                <w:kern w:val="24"/>
                <w:szCs w:val="20"/>
              </w:rPr>
              <w:t>Total</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center"/>
          </w:tcPr>
          <w:p w:rsidR="00C95EBA" w:rsidRPr="00C95EBA" w:rsidRDefault="00C95EBA" w:rsidP="00C95EBA">
            <w:pPr>
              <w:pStyle w:val="NormalWeb"/>
              <w:ind w:left="144"/>
              <w:textAlignment w:val="center"/>
              <w:rPr>
                <w:rFonts w:ascii="Calibri" w:hAnsi="Calibri" w:cs="Arial"/>
                <w:b/>
                <w:color w:val="000000"/>
                <w:kern w:val="24"/>
                <w:szCs w:val="20"/>
              </w:rPr>
            </w:pPr>
            <w:r w:rsidRPr="00C95EBA">
              <w:rPr>
                <w:rFonts w:ascii="Calibri" w:hAnsi="Calibri" w:cs="Arial"/>
                <w:b/>
                <w:color w:val="000000"/>
                <w:kern w:val="24"/>
                <w:szCs w:val="20"/>
              </w:rPr>
              <w:t>Total</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C95EBA" w:rsidRDefault="00C95EBA" w:rsidP="00C95EBA">
            <w:pPr>
              <w:pStyle w:val="NormalWeb"/>
              <w:ind w:right="432"/>
              <w:jc w:val="right"/>
              <w:textAlignment w:val="center"/>
              <w:rPr>
                <w:rFonts w:ascii="Calibri" w:hAnsi="Calibri" w:cs="Arial"/>
                <w:b/>
                <w:color w:val="000000"/>
                <w:kern w:val="24"/>
                <w:szCs w:val="20"/>
              </w:rPr>
            </w:pPr>
            <w:r w:rsidRPr="00C95EBA">
              <w:rPr>
                <w:rFonts w:ascii="Calibri" w:hAnsi="Calibri" w:cs="Arial"/>
                <w:b/>
                <w:color w:val="000000"/>
                <w:kern w:val="24"/>
                <w:szCs w:val="20"/>
              </w:rPr>
              <w:t>19,280</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C95EBA" w:rsidRDefault="00C95EBA" w:rsidP="00C95EBA">
            <w:pPr>
              <w:pStyle w:val="NormalWeb"/>
              <w:ind w:right="432"/>
              <w:jc w:val="right"/>
              <w:textAlignment w:val="center"/>
              <w:rPr>
                <w:rFonts w:ascii="Calibri" w:hAnsi="Calibri" w:cs="Arial"/>
                <w:b/>
                <w:color w:val="000000"/>
                <w:kern w:val="24"/>
                <w:szCs w:val="20"/>
              </w:rPr>
            </w:pPr>
            <w:r w:rsidRPr="00C95EBA">
              <w:rPr>
                <w:rFonts w:ascii="Calibri" w:hAnsi="Calibri" w:cs="Arial"/>
                <w:b/>
                <w:color w:val="000000"/>
                <w:kern w:val="24"/>
                <w:szCs w:val="20"/>
              </w:rPr>
              <w:t>100.0%</w:t>
            </w:r>
          </w:p>
        </w:tc>
      </w:tr>
    </w:tbl>
    <w:p w:rsidR="00534D78" w:rsidRDefault="00534D78" w:rsidP="00EA2B8E">
      <w:pPr>
        <w:pStyle w:val="BodyText"/>
      </w:pPr>
    </w:p>
    <w:p w:rsidR="00534D78" w:rsidRDefault="00893E3D" w:rsidP="00EA2B8E">
      <w:pPr>
        <w:pStyle w:val="BodyText"/>
      </w:pPr>
      <w:r>
        <w:fldChar w:fldCharType="begin"/>
      </w:r>
      <w:r w:rsidR="00534D78">
        <w:instrText xml:space="preserve"> REF _Ref337027155 \h </w:instrText>
      </w:r>
      <w:r>
        <w:fldChar w:fldCharType="separate"/>
      </w:r>
      <w:r w:rsidR="00B2652C" w:rsidRPr="00E07587">
        <w:t xml:space="preserve">Figure </w:t>
      </w:r>
      <w:r w:rsidR="00B2652C" w:rsidRPr="00B2652C">
        <w:rPr>
          <w:noProof/>
        </w:rPr>
        <w:t>5</w:t>
      </w:r>
      <w:r w:rsidR="00B2652C" w:rsidRPr="00E07587">
        <w:t>-</w:t>
      </w:r>
      <w:r w:rsidR="00B2652C" w:rsidRPr="00B2652C">
        <w:rPr>
          <w:noProof/>
        </w:rPr>
        <w:t>8</w:t>
      </w:r>
      <w:r>
        <w:fldChar w:fldCharType="end"/>
      </w:r>
      <w:r w:rsidR="00534D78">
        <w:t xml:space="preserve"> presents forecasts of cumulative energy savings</w:t>
      </w:r>
      <w:r w:rsidR="0007775A">
        <w:t xml:space="preserve"> for Washington</w:t>
      </w:r>
      <w:r w:rsidR="00534D78">
        <w:t>. Lighting savings account for a substantial portion of the savings throughout the forecast horizon.</w:t>
      </w:r>
      <w:r w:rsidR="00534D78" w:rsidRPr="00EC3BCB">
        <w:t xml:space="preserve"> The same is true for exterior lighting. Savings from</w:t>
      </w:r>
      <w:r w:rsidR="00534D78">
        <w:t xml:space="preserve"> heating measures and appliances are steadily increasing throughout the forecast horizon.</w:t>
      </w:r>
    </w:p>
    <w:p w:rsidR="00534D78" w:rsidRDefault="00534D78" w:rsidP="00534D78">
      <w:pPr>
        <w:pStyle w:val="FigureorTableTitle"/>
      </w:pPr>
      <w:bookmarkStart w:id="444" w:name="_Ref337027155"/>
      <w:bookmarkStart w:id="445" w:name="_Toc341180532"/>
      <w:bookmarkStart w:id="446" w:name="_Toc387951609"/>
      <w:bookmarkStart w:id="447" w:name="_Toc424192742"/>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8</w:t>
      </w:r>
      <w:r w:rsidR="00512CD6">
        <w:rPr>
          <w:noProof/>
          <w:szCs w:val="18"/>
        </w:rPr>
        <w:fldChar w:fldCharType="end"/>
      </w:r>
      <w:bookmarkEnd w:id="444"/>
      <w:r>
        <w:tab/>
        <w:t>Residential Achievable Savings Forecast (</w:t>
      </w:r>
      <w:r w:rsidR="0007775A">
        <w:t>Cumulative</w:t>
      </w:r>
      <w:r>
        <w:t xml:space="preserve"> GWh)</w:t>
      </w:r>
      <w:bookmarkEnd w:id="445"/>
      <w:bookmarkEnd w:id="446"/>
      <w:r>
        <w:t>, Washington</w:t>
      </w:r>
      <w:bookmarkEnd w:id="447"/>
    </w:p>
    <w:p w:rsidR="006F77F9" w:rsidRDefault="00534D78" w:rsidP="0007775A">
      <w:pPr>
        <w:pStyle w:val="BodyText"/>
        <w:jc w:val="center"/>
      </w:pPr>
      <w:r w:rsidRPr="006F3F7D">
        <w:rPr>
          <w:noProof/>
        </w:rPr>
        <w:drawing>
          <wp:inline distT="0" distB="0" distL="0" distR="0">
            <wp:extent cx="5130866" cy="265747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0547" r="-1161"/>
                    <a:stretch/>
                  </pic:blipFill>
                  <pic:spPr bwMode="auto">
                    <a:xfrm>
                      <a:off x="0" y="0"/>
                      <a:ext cx="5160069" cy="2672601"/>
                    </a:xfrm>
                    <a:prstGeom prst="rect">
                      <a:avLst/>
                    </a:prstGeom>
                    <a:noFill/>
                    <a:ln>
                      <a:noFill/>
                    </a:ln>
                    <a:extLst>
                      <a:ext uri="{53640926-AAD7-44D8-BBD7-CCE9431645EC}">
                        <a14:shadowObscured xmlns:a14="http://schemas.microsoft.com/office/drawing/2010/main"/>
                      </a:ext>
                    </a:extLst>
                  </pic:spPr>
                </pic:pic>
              </a:graphicData>
            </a:graphic>
          </wp:inline>
        </w:drawing>
      </w:r>
      <w:r w:rsidR="006F77F9">
        <w:br w:type="page"/>
      </w:r>
    </w:p>
    <w:p w:rsidR="00EF5DAD" w:rsidRDefault="00893E3D" w:rsidP="00EF5DAD">
      <w:pPr>
        <w:pStyle w:val="BodyText"/>
      </w:pPr>
      <w:r>
        <w:lastRenderedPageBreak/>
        <w:fldChar w:fldCharType="begin"/>
      </w:r>
      <w:r w:rsidR="00EF5DAD">
        <w:instrText xml:space="preserve"> REF _Ref424189524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9</w:t>
      </w:r>
      <w:r>
        <w:fldChar w:fldCharType="end"/>
      </w:r>
      <w:r w:rsidR="00EF5DAD">
        <w:t xml:space="preserve"> identifies the top 20 residential measures from the perspective of annual energy savings in 2017 for </w:t>
      </w:r>
      <w:r w:rsidR="00CB51BA">
        <w:t>Idaho</w:t>
      </w:r>
      <w:r w:rsidR="00EF5DAD">
        <w:t>. The top three measures include interior and exterior lighting measures and repair and sealing of ducting. The lighting measures are a result of purchases of LED lamps which are cost effective throughout the forecast horizon.</w:t>
      </w:r>
    </w:p>
    <w:p w:rsidR="00EF5DAD" w:rsidRDefault="00EF5DAD" w:rsidP="00EF5DAD">
      <w:pPr>
        <w:pStyle w:val="BodyText"/>
      </w:pPr>
    </w:p>
    <w:p w:rsidR="00647CE4" w:rsidRDefault="00647CE4" w:rsidP="00647CE4">
      <w:pPr>
        <w:pStyle w:val="FigureorTableTitle"/>
      </w:pPr>
      <w:bookmarkStart w:id="448" w:name="_Ref424189524"/>
      <w:bookmarkStart w:id="449" w:name="_Toc424192804"/>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9</w:t>
      </w:r>
      <w:r w:rsidR="00512CD6">
        <w:rPr>
          <w:bCs w:val="0"/>
          <w:iCs w:val="0"/>
          <w:noProof/>
        </w:rPr>
        <w:fldChar w:fldCharType="end"/>
      </w:r>
      <w:bookmarkEnd w:id="448"/>
      <w:r>
        <w:tab/>
        <w:t>Residential Top Measures in 201</w:t>
      </w:r>
      <w:r w:rsidR="00793F54">
        <w:t>7</w:t>
      </w:r>
      <w:r>
        <w:t xml:space="preserve"> (Annual Energy, MWh), Idaho</w:t>
      </w:r>
      <w:bookmarkEnd w:id="449"/>
    </w:p>
    <w:tbl>
      <w:tblPr>
        <w:tblW w:w="5000" w:type="pct"/>
        <w:tblCellMar>
          <w:left w:w="0" w:type="dxa"/>
          <w:right w:w="0" w:type="dxa"/>
        </w:tblCellMar>
        <w:tblLook w:val="04A0" w:firstRow="1" w:lastRow="0" w:firstColumn="1" w:lastColumn="0" w:noHBand="0" w:noVBand="1"/>
      </w:tblPr>
      <w:tblGrid>
        <w:gridCol w:w="1201"/>
        <w:gridCol w:w="4126"/>
        <w:gridCol w:w="1848"/>
        <w:gridCol w:w="1850"/>
      </w:tblGrid>
      <w:tr w:rsidR="00647CE4" w:rsidRPr="006C0A42" w:rsidTr="00647CE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1A1D5D"/>
            <w:vAlign w:val="center"/>
          </w:tcPr>
          <w:p w:rsidR="00647CE4" w:rsidRPr="00500407" w:rsidRDefault="00647CE4" w:rsidP="00647CE4">
            <w:pPr>
              <w:jc w:val="center"/>
              <w:textAlignment w:val="bottom"/>
              <w:rPr>
                <w:rFonts w:ascii="Calibri" w:hAnsi="Calibri" w:cs="Arial"/>
                <w:bCs/>
                <w:color w:val="FFFFFF"/>
                <w:kern w:val="24"/>
                <w:szCs w:val="20"/>
              </w:rPr>
            </w:pPr>
            <w:r w:rsidRPr="00500407">
              <w:rPr>
                <w:rFonts w:ascii="Calibri" w:hAnsi="Calibri" w:cs="Arial"/>
                <w:bCs/>
                <w:color w:val="FFFFFF"/>
                <w:kern w:val="24"/>
                <w:szCs w:val="20"/>
              </w:rPr>
              <w:t>R</w:t>
            </w:r>
            <w:r>
              <w:rPr>
                <w:rFonts w:ascii="Calibri" w:hAnsi="Calibri" w:cs="Arial"/>
                <w:bCs/>
                <w:color w:val="FFFFFF"/>
                <w:kern w:val="24"/>
                <w:szCs w:val="20"/>
              </w:rPr>
              <w:t>ank</w:t>
            </w:r>
          </w:p>
        </w:tc>
        <w:tc>
          <w:tcPr>
            <w:tcW w:w="2286" w:type="pct"/>
            <w:tcBorders>
              <w:top w:val="single" w:sz="8" w:space="0" w:color="4F4F4F"/>
              <w:left w:val="single" w:sz="8" w:space="0" w:color="4F4F4F"/>
              <w:bottom w:val="single" w:sz="8" w:space="0" w:color="4F4F4F"/>
              <w:right w:val="single" w:sz="8" w:space="0" w:color="4F4F4F"/>
            </w:tcBorders>
            <w:shd w:val="clear" w:color="auto" w:fill="1A1D5D"/>
            <w:tcMar>
              <w:top w:w="15" w:type="dxa"/>
              <w:left w:w="144" w:type="dxa"/>
              <w:bottom w:w="0" w:type="dxa"/>
              <w:right w:w="15" w:type="dxa"/>
            </w:tcMar>
            <w:vAlign w:val="center"/>
            <w:hideMark/>
          </w:tcPr>
          <w:p w:rsidR="00647CE4" w:rsidRPr="00500407" w:rsidRDefault="00647CE4" w:rsidP="00647CE4">
            <w:pPr>
              <w:jc w:val="center"/>
              <w:textAlignment w:val="bottom"/>
              <w:rPr>
                <w:rFonts w:ascii="Arial" w:hAnsi="Arial" w:cs="Arial"/>
                <w:szCs w:val="20"/>
              </w:rPr>
            </w:pPr>
            <w:r w:rsidRPr="00500407">
              <w:rPr>
                <w:rFonts w:ascii="Calibri" w:hAnsi="Calibri" w:cs="Arial"/>
                <w:bCs/>
                <w:color w:val="FFFFFF"/>
                <w:kern w:val="24"/>
                <w:szCs w:val="20"/>
              </w:rPr>
              <w:t>Residential Measure</w:t>
            </w:r>
          </w:p>
        </w:tc>
        <w:tc>
          <w:tcPr>
            <w:tcW w:w="102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647CE4" w:rsidRPr="00500407" w:rsidRDefault="00647CE4" w:rsidP="00647CE4">
            <w:pPr>
              <w:jc w:val="center"/>
              <w:textAlignment w:val="center"/>
              <w:rPr>
                <w:rFonts w:ascii="Arial" w:hAnsi="Arial" w:cs="Arial"/>
                <w:szCs w:val="20"/>
              </w:rPr>
            </w:pPr>
            <w:r w:rsidRPr="00500407">
              <w:rPr>
                <w:rFonts w:ascii="Calibri" w:hAnsi="Calibri" w:cs="Arial"/>
                <w:bCs/>
                <w:color w:val="FFFFFF"/>
                <w:kern w:val="24"/>
                <w:szCs w:val="20"/>
              </w:rPr>
              <w:t>20</w:t>
            </w:r>
            <w:r>
              <w:rPr>
                <w:rFonts w:ascii="Calibri" w:hAnsi="Calibri" w:cs="Arial"/>
                <w:bCs/>
                <w:color w:val="FFFFFF"/>
                <w:kern w:val="24"/>
                <w:szCs w:val="20"/>
              </w:rPr>
              <w:t xml:space="preserve">17 </w:t>
            </w:r>
            <w:r w:rsidRPr="00500407">
              <w:rPr>
                <w:rFonts w:ascii="Calibri" w:hAnsi="Calibri" w:cs="Arial"/>
                <w:bCs/>
                <w:color w:val="FFFFFF"/>
                <w:kern w:val="24"/>
                <w:szCs w:val="20"/>
              </w:rPr>
              <w:t xml:space="preserve">Cumulative </w:t>
            </w:r>
            <w:r>
              <w:rPr>
                <w:rFonts w:ascii="Calibri" w:hAnsi="Calibri" w:cs="Arial"/>
                <w:bCs/>
                <w:color w:val="FFFFFF"/>
                <w:kern w:val="24"/>
                <w:szCs w:val="20"/>
              </w:rPr>
              <w:t>Energy</w:t>
            </w:r>
            <w:r w:rsidRPr="00500407">
              <w:rPr>
                <w:rFonts w:ascii="Calibri" w:hAnsi="Calibri" w:cs="Arial"/>
                <w:bCs/>
                <w:color w:val="FFFFFF"/>
                <w:kern w:val="24"/>
                <w:szCs w:val="20"/>
              </w:rPr>
              <w:t xml:space="preserve"> Savings </w:t>
            </w:r>
            <w:r>
              <w:rPr>
                <w:rFonts w:ascii="Calibri" w:hAnsi="Calibri" w:cs="Arial"/>
                <w:bCs/>
                <w:color w:val="FFFFFF"/>
                <w:kern w:val="24"/>
                <w:szCs w:val="20"/>
              </w:rPr>
              <w:br/>
            </w:r>
            <w:r w:rsidRPr="00500407">
              <w:rPr>
                <w:rFonts w:ascii="Calibri" w:hAnsi="Calibri" w:cs="Arial"/>
                <w:bCs/>
                <w:color w:val="FFFFFF"/>
                <w:kern w:val="24"/>
                <w:szCs w:val="20"/>
              </w:rPr>
              <w:t>(</w:t>
            </w:r>
            <w:r>
              <w:rPr>
                <w:rFonts w:ascii="Calibri" w:hAnsi="Calibri" w:cs="Arial"/>
                <w:bCs/>
                <w:color w:val="FFFFFF"/>
                <w:kern w:val="24"/>
                <w:szCs w:val="20"/>
              </w:rPr>
              <w:t>MWh</w:t>
            </w:r>
            <w:r w:rsidRPr="00500407">
              <w:rPr>
                <w:rFonts w:ascii="Calibri" w:hAnsi="Calibri" w:cs="Arial"/>
                <w:bCs/>
                <w:color w:val="FFFFFF"/>
                <w:kern w:val="24"/>
                <w:szCs w:val="20"/>
              </w:rPr>
              <w:t xml:space="preserve">) </w:t>
            </w:r>
          </w:p>
        </w:tc>
        <w:tc>
          <w:tcPr>
            <w:tcW w:w="1025"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647CE4" w:rsidRPr="00BD1C84" w:rsidRDefault="00647CE4" w:rsidP="00647CE4">
            <w:pPr>
              <w:jc w:val="center"/>
              <w:textAlignment w:val="center"/>
              <w:rPr>
                <w:rFonts w:ascii="Arial" w:hAnsi="Arial" w:cs="Arial"/>
                <w:szCs w:val="20"/>
              </w:rPr>
            </w:pPr>
            <w:r w:rsidRPr="00BD1C84">
              <w:rPr>
                <w:rFonts w:ascii="Calibri" w:hAnsi="Calibri" w:cs="Arial"/>
                <w:bCs/>
                <w:iCs/>
                <w:color w:val="FFFFFF"/>
                <w:kern w:val="24"/>
                <w:szCs w:val="20"/>
              </w:rPr>
              <w:t xml:space="preserve">% of </w:t>
            </w:r>
            <w:r w:rsidRPr="00BD1C84">
              <w:rPr>
                <w:rFonts w:ascii="Calibri" w:hAnsi="Calibri" w:cs="Arial"/>
                <w:bCs/>
                <w:iCs/>
                <w:color w:val="FFFFFF"/>
                <w:kern w:val="24"/>
                <w:szCs w:val="20"/>
              </w:rPr>
              <w:br/>
              <w:t xml:space="preserve">Total </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Interior Lighting - Screw-in/Hard-wire</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5,137</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48.5%</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2</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Exterior Lighting - Screw-in/Hard-wire</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1,588</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15.0%</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3</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Ducting - Repair and Sealing</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1,574</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14.9%</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4</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Pipe Insulation</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729</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6.9%</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5</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Faucet Aerators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337</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3.2%</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6</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Thermostat - Clock/Programmable</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231</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2.2%</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7</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Behavioral Programs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225</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2.1%</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8</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Insulation - Ducting</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193</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1.8%</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9</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Low-Flow Showerheads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135</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1.3%</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10</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Appliances - Freezer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95</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0.9%</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11</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Electronics - Personal Computers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86</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0.8%</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12</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Drainwater Heat Recovery</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85</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0.8%</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13</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Appliances - Second Refrigerator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59</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0.6%</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14</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Miscellaneous - Pool Pump</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51</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0.5%</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15</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Electronics - Laptops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26</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0.2%</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16</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Appliances - Refrigerator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21</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0.2%</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17</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Heating - Water Heater (55 to 75 Gal)</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12</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0.1%</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18</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Water Heater - Desuperheater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6</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0.1%</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19</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Electronics - Monitor</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4</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0.0%</w:t>
            </w:r>
          </w:p>
        </w:tc>
      </w:tr>
      <w:tr w:rsidR="00C95EBA"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355D78" w:rsidRDefault="00C95EBA" w:rsidP="00C95EBA">
            <w:pPr>
              <w:pStyle w:val="NormalWeb"/>
              <w:jc w:val="center"/>
              <w:textAlignment w:val="center"/>
              <w:rPr>
                <w:rFonts w:ascii="Calibri" w:hAnsi="Calibri" w:cs="Arial"/>
                <w:color w:val="000000"/>
                <w:kern w:val="24"/>
                <w:szCs w:val="20"/>
              </w:rPr>
            </w:pPr>
            <w:r>
              <w:rPr>
                <w:rFonts w:ascii="Calibri" w:hAnsi="Calibri" w:cs="Arial"/>
                <w:color w:val="000000"/>
                <w:kern w:val="24"/>
                <w:szCs w:val="20"/>
              </w:rPr>
              <w:t>20</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hideMark/>
          </w:tcPr>
          <w:p w:rsidR="00C95EBA" w:rsidRPr="00647CE4" w:rsidRDefault="00C95EBA" w:rsidP="00C95EBA">
            <w:pPr>
              <w:pStyle w:val="NormalWeb"/>
              <w:ind w:left="144"/>
              <w:textAlignment w:val="center"/>
              <w:rPr>
                <w:rFonts w:ascii="Calibri" w:hAnsi="Calibri" w:cs="Arial"/>
                <w:color w:val="000000"/>
                <w:kern w:val="24"/>
                <w:szCs w:val="20"/>
              </w:rPr>
            </w:pPr>
            <w:r w:rsidRPr="00C95EBA">
              <w:rPr>
                <w:rFonts w:ascii="Calibri" w:hAnsi="Calibri" w:cs="Arial"/>
                <w:color w:val="000000"/>
                <w:kern w:val="24"/>
                <w:szCs w:val="20"/>
              </w:rPr>
              <w:t>Electronics - TVs</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2</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hideMark/>
          </w:tcPr>
          <w:p w:rsidR="00C95EBA" w:rsidRPr="00647CE4" w:rsidRDefault="00C95EBA" w:rsidP="00C95EBA">
            <w:pPr>
              <w:pStyle w:val="NormalWeb"/>
              <w:ind w:right="432"/>
              <w:jc w:val="right"/>
              <w:textAlignment w:val="center"/>
              <w:rPr>
                <w:rFonts w:ascii="Calibri" w:hAnsi="Calibri" w:cs="Arial"/>
                <w:color w:val="000000"/>
                <w:kern w:val="24"/>
                <w:szCs w:val="20"/>
              </w:rPr>
            </w:pPr>
            <w:r w:rsidRPr="00C95EBA">
              <w:rPr>
                <w:rFonts w:ascii="Calibri" w:hAnsi="Calibri" w:cs="Arial"/>
                <w:color w:val="000000"/>
                <w:kern w:val="24"/>
                <w:szCs w:val="20"/>
              </w:rPr>
              <w:t>0.0%</w:t>
            </w:r>
          </w:p>
        </w:tc>
      </w:tr>
      <w:tr w:rsidR="00C95EBA" w:rsidRPr="00C95EBA"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CF1"/>
            <w:vAlign w:val="center"/>
          </w:tcPr>
          <w:p w:rsidR="00C95EBA" w:rsidRPr="00C95EBA" w:rsidRDefault="00C95EBA" w:rsidP="00C95EBA">
            <w:pPr>
              <w:pStyle w:val="NormalWeb"/>
              <w:jc w:val="center"/>
              <w:textAlignment w:val="center"/>
              <w:rPr>
                <w:rFonts w:ascii="Calibri" w:hAnsi="Calibri" w:cs="Arial"/>
                <w:b/>
                <w:color w:val="000000"/>
                <w:kern w:val="24"/>
                <w:szCs w:val="20"/>
              </w:rPr>
            </w:pPr>
            <w:r w:rsidRPr="00C95EBA">
              <w:rPr>
                <w:rFonts w:ascii="Calibri" w:hAnsi="Calibri" w:cs="Arial"/>
                <w:b/>
                <w:color w:val="000000"/>
                <w:kern w:val="24"/>
                <w:szCs w:val="20"/>
              </w:rPr>
              <w:t>Total</w:t>
            </w:r>
          </w:p>
        </w:tc>
        <w:tc>
          <w:tcPr>
            <w:tcW w:w="2286" w:type="pct"/>
            <w:tcBorders>
              <w:top w:val="single" w:sz="8" w:space="0" w:color="4F4F4F"/>
              <w:left w:val="single" w:sz="8" w:space="0" w:color="4F4F4F"/>
              <w:bottom w:val="single" w:sz="8" w:space="0" w:color="4F4F4F"/>
              <w:right w:val="single" w:sz="8" w:space="0" w:color="4F4F4F"/>
            </w:tcBorders>
            <w:shd w:val="clear" w:color="auto" w:fill="E5ECF1"/>
            <w:tcMar>
              <w:top w:w="15" w:type="dxa"/>
              <w:left w:w="15" w:type="dxa"/>
              <w:bottom w:w="0" w:type="dxa"/>
              <w:right w:w="15" w:type="dxa"/>
            </w:tcMar>
            <w:vAlign w:val="center"/>
          </w:tcPr>
          <w:p w:rsidR="00C95EBA" w:rsidRPr="00C95EBA" w:rsidRDefault="00C95EBA" w:rsidP="00C95EBA">
            <w:pPr>
              <w:pStyle w:val="NormalWeb"/>
              <w:ind w:left="144"/>
              <w:textAlignment w:val="center"/>
              <w:rPr>
                <w:rFonts w:ascii="Calibri" w:hAnsi="Calibri" w:cs="Arial"/>
                <w:b/>
                <w:color w:val="000000"/>
                <w:kern w:val="24"/>
                <w:szCs w:val="20"/>
              </w:rPr>
            </w:pPr>
            <w:r w:rsidRPr="00C95EBA">
              <w:rPr>
                <w:rFonts w:ascii="Calibri" w:hAnsi="Calibri" w:cs="Arial"/>
                <w:b/>
                <w:color w:val="000000"/>
                <w:kern w:val="24"/>
                <w:szCs w:val="20"/>
              </w:rPr>
              <w:t>Total</w:t>
            </w:r>
          </w:p>
        </w:tc>
        <w:tc>
          <w:tcPr>
            <w:tcW w:w="1024"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C95EBA" w:rsidRDefault="00C95EBA" w:rsidP="00C95EBA">
            <w:pPr>
              <w:pStyle w:val="NormalWeb"/>
              <w:ind w:right="432"/>
              <w:jc w:val="right"/>
              <w:textAlignment w:val="center"/>
              <w:rPr>
                <w:rFonts w:ascii="Calibri" w:hAnsi="Calibri" w:cs="Arial"/>
                <w:b/>
                <w:color w:val="000000"/>
                <w:kern w:val="24"/>
                <w:szCs w:val="20"/>
              </w:rPr>
            </w:pPr>
            <w:r w:rsidRPr="00C95EBA">
              <w:rPr>
                <w:rFonts w:ascii="Calibri" w:hAnsi="Calibri" w:cs="Arial"/>
                <w:b/>
                <w:color w:val="000000"/>
                <w:kern w:val="24"/>
                <w:szCs w:val="20"/>
              </w:rPr>
              <w:t>10,595</w:t>
            </w:r>
          </w:p>
        </w:tc>
        <w:tc>
          <w:tcPr>
            <w:tcW w:w="1025" w:type="pct"/>
            <w:tcBorders>
              <w:top w:val="single" w:sz="8" w:space="0" w:color="4F4F4F"/>
              <w:left w:val="single" w:sz="8" w:space="0" w:color="4F4F4F"/>
              <w:bottom w:val="single" w:sz="8" w:space="0" w:color="4F4F4F"/>
              <w:right w:val="single" w:sz="8" w:space="0" w:color="4F4F4F"/>
            </w:tcBorders>
            <w:shd w:val="clear" w:color="auto" w:fill="E5ECF1"/>
            <w:tcMar>
              <w:top w:w="17" w:type="dxa"/>
              <w:left w:w="17" w:type="dxa"/>
              <w:bottom w:w="0" w:type="dxa"/>
              <w:right w:w="216" w:type="dxa"/>
            </w:tcMar>
            <w:vAlign w:val="center"/>
          </w:tcPr>
          <w:p w:rsidR="00C95EBA" w:rsidRPr="00C95EBA" w:rsidRDefault="00C95EBA" w:rsidP="00C95EBA">
            <w:pPr>
              <w:pStyle w:val="NormalWeb"/>
              <w:ind w:right="432"/>
              <w:jc w:val="right"/>
              <w:textAlignment w:val="center"/>
              <w:rPr>
                <w:rFonts w:ascii="Calibri" w:hAnsi="Calibri" w:cs="Arial"/>
                <w:b/>
                <w:color w:val="000000"/>
                <w:kern w:val="24"/>
                <w:szCs w:val="20"/>
              </w:rPr>
            </w:pPr>
            <w:r w:rsidRPr="00C95EBA">
              <w:rPr>
                <w:rFonts w:ascii="Calibri" w:hAnsi="Calibri" w:cs="Arial"/>
                <w:b/>
                <w:color w:val="000000"/>
                <w:kern w:val="24"/>
                <w:szCs w:val="20"/>
              </w:rPr>
              <w:t>100.0%</w:t>
            </w:r>
          </w:p>
        </w:tc>
      </w:tr>
    </w:tbl>
    <w:p w:rsidR="00647CE4" w:rsidRPr="00C95EBA" w:rsidRDefault="00647CE4" w:rsidP="00970EA3">
      <w:pPr>
        <w:pStyle w:val="BodyText"/>
        <w:rPr>
          <w:b/>
        </w:rPr>
      </w:pPr>
    </w:p>
    <w:p w:rsidR="00EF0891" w:rsidRDefault="00893E3D" w:rsidP="00970EA3">
      <w:pPr>
        <w:pStyle w:val="BodyText"/>
      </w:pPr>
      <w:r>
        <w:fldChar w:fldCharType="begin"/>
      </w:r>
      <w:r w:rsidR="0007775A">
        <w:instrText xml:space="preserve"> REF _Ref423093548 \h </w:instrText>
      </w:r>
      <w:r>
        <w:fldChar w:fldCharType="separate"/>
      </w:r>
      <w:r w:rsidR="00B2652C" w:rsidRPr="00E07587">
        <w:t xml:space="preserve">Figure </w:t>
      </w:r>
      <w:r w:rsidR="00B2652C" w:rsidRPr="00B2652C">
        <w:rPr>
          <w:noProof/>
        </w:rPr>
        <w:t>5</w:t>
      </w:r>
      <w:r w:rsidR="00B2652C" w:rsidRPr="00E07587">
        <w:t>-</w:t>
      </w:r>
      <w:r w:rsidR="00B2652C" w:rsidRPr="00B2652C">
        <w:rPr>
          <w:noProof/>
        </w:rPr>
        <w:t>9</w:t>
      </w:r>
      <w:r>
        <w:fldChar w:fldCharType="end"/>
      </w:r>
      <w:r w:rsidR="00157088">
        <w:t xml:space="preserve"> </w:t>
      </w:r>
      <w:r w:rsidR="006F7424">
        <w:t xml:space="preserve">presents forecasts of </w:t>
      </w:r>
      <w:r w:rsidR="0007775A">
        <w:t xml:space="preserve">cumulative </w:t>
      </w:r>
      <w:r w:rsidR="006F7424">
        <w:t xml:space="preserve">energy savings </w:t>
      </w:r>
      <w:r w:rsidR="0007775A">
        <w:t>for Idaho. Results are similar to Washington.</w:t>
      </w:r>
    </w:p>
    <w:p w:rsidR="006F3F7D" w:rsidRDefault="006F3F7D" w:rsidP="006F3F7D">
      <w:pPr>
        <w:pStyle w:val="FigureorTableTitle"/>
      </w:pPr>
      <w:bookmarkStart w:id="450" w:name="_Ref423093548"/>
      <w:bookmarkStart w:id="451" w:name="_Ref423093534"/>
      <w:bookmarkStart w:id="452" w:name="_Toc424192743"/>
      <w:r w:rsidRPr="00E07587">
        <w:rPr>
          <w:szCs w:val="18"/>
        </w:rPr>
        <w:lastRenderedPageBreak/>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9</w:t>
      </w:r>
      <w:r w:rsidR="00512CD6">
        <w:rPr>
          <w:noProof/>
          <w:szCs w:val="18"/>
        </w:rPr>
        <w:fldChar w:fldCharType="end"/>
      </w:r>
      <w:bookmarkEnd w:id="450"/>
      <w:r>
        <w:tab/>
        <w:t>Residential Achievable Savings Forecast (</w:t>
      </w:r>
      <w:r w:rsidR="0007775A">
        <w:t>Cumulative</w:t>
      </w:r>
      <w:r>
        <w:t xml:space="preserve"> GWh), Idaho</w:t>
      </w:r>
      <w:bookmarkEnd w:id="451"/>
      <w:bookmarkEnd w:id="452"/>
    </w:p>
    <w:p w:rsidR="00E74A6F" w:rsidRDefault="006F3F7D" w:rsidP="0007775A">
      <w:pPr>
        <w:jc w:val="center"/>
        <w:rPr>
          <w:noProof/>
        </w:rPr>
      </w:pPr>
      <w:r w:rsidRPr="006F3F7D">
        <w:rPr>
          <w:noProof/>
        </w:rPr>
        <w:drawing>
          <wp:inline distT="0" distB="0" distL="0" distR="0">
            <wp:extent cx="5226117" cy="299085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 t="11215" r="-201"/>
                    <a:stretch/>
                  </pic:blipFill>
                  <pic:spPr bwMode="auto">
                    <a:xfrm>
                      <a:off x="0" y="0"/>
                      <a:ext cx="5226117" cy="2990850"/>
                    </a:xfrm>
                    <a:prstGeom prst="rect">
                      <a:avLst/>
                    </a:prstGeom>
                    <a:noFill/>
                    <a:ln>
                      <a:noFill/>
                    </a:ln>
                    <a:extLst>
                      <a:ext uri="{53640926-AAD7-44D8-BBD7-CCE9431645EC}">
                        <a14:shadowObscured xmlns:a14="http://schemas.microsoft.com/office/drawing/2010/main"/>
                      </a:ext>
                    </a:extLst>
                  </pic:spPr>
                </pic:pic>
              </a:graphicData>
            </a:graphic>
          </wp:inline>
        </w:drawing>
      </w:r>
      <w:r w:rsidR="00E74A6F">
        <w:rPr>
          <w:noProof/>
        </w:rPr>
        <w:br w:type="page"/>
      </w:r>
    </w:p>
    <w:p w:rsidR="00157088" w:rsidRPr="00640BF5" w:rsidRDefault="00157088" w:rsidP="00157088">
      <w:pPr>
        <w:pStyle w:val="Heading2"/>
      </w:pPr>
      <w:bookmarkStart w:id="453" w:name="_Toc314728420"/>
      <w:bookmarkStart w:id="454" w:name="_Toc333955941"/>
      <w:bookmarkStart w:id="455" w:name="_Toc335647183"/>
      <w:bookmarkStart w:id="456" w:name="_Toc341176243"/>
      <w:bookmarkStart w:id="457" w:name="_Toc401046361"/>
      <w:bookmarkStart w:id="458" w:name="_Toc424192646"/>
      <w:bookmarkEnd w:id="436"/>
      <w:bookmarkEnd w:id="437"/>
      <w:r>
        <w:lastRenderedPageBreak/>
        <w:t>C</w:t>
      </w:r>
      <w:r w:rsidRPr="00640BF5">
        <w:t xml:space="preserve">ommercial </w:t>
      </w:r>
      <w:r w:rsidR="00DA2C9E">
        <w:t>Conservation</w:t>
      </w:r>
      <w:r w:rsidR="00331CD2">
        <w:t xml:space="preserve"> </w:t>
      </w:r>
      <w:r w:rsidRPr="00640BF5">
        <w:t>Potential</w:t>
      </w:r>
      <w:bookmarkEnd w:id="453"/>
      <w:bookmarkEnd w:id="454"/>
      <w:bookmarkEnd w:id="455"/>
      <w:bookmarkEnd w:id="456"/>
      <w:bookmarkEnd w:id="457"/>
      <w:bookmarkEnd w:id="458"/>
    </w:p>
    <w:p w:rsidR="00157088" w:rsidRDefault="00893E3D" w:rsidP="00157088">
      <w:pPr>
        <w:pStyle w:val="BodyText"/>
      </w:pPr>
      <w:r>
        <w:fldChar w:fldCharType="begin"/>
      </w:r>
      <w:r w:rsidR="008F2252">
        <w:instrText xml:space="preserve"> REF _Ref424190584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10</w:t>
      </w:r>
      <w:r>
        <w:fldChar w:fldCharType="end"/>
      </w:r>
      <w:r w:rsidR="008F2252">
        <w:t xml:space="preserve"> (Total), </w:t>
      </w:r>
      <w:r>
        <w:fldChar w:fldCharType="begin"/>
      </w:r>
      <w:r w:rsidR="003B2722">
        <w:instrText xml:space="preserve"> REF _Ref402254303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11</w:t>
      </w:r>
      <w:r>
        <w:fldChar w:fldCharType="end"/>
      </w:r>
      <w:r w:rsidR="00157088">
        <w:t xml:space="preserve"> </w:t>
      </w:r>
      <w:r w:rsidR="007F4CC7">
        <w:t xml:space="preserve">(WA) and </w:t>
      </w:r>
      <w:r>
        <w:fldChar w:fldCharType="begin"/>
      </w:r>
      <w:r w:rsidR="007F4CC7">
        <w:instrText xml:space="preserve"> REF _Ref422840100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12</w:t>
      </w:r>
      <w:r>
        <w:fldChar w:fldCharType="end"/>
      </w:r>
      <w:r w:rsidR="007F4CC7">
        <w:t xml:space="preserve"> (ID) </w:t>
      </w:r>
      <w:r w:rsidR="00157088">
        <w:t>present</w:t>
      </w:r>
      <w:r w:rsidR="00157088" w:rsidRPr="000108FB">
        <w:t xml:space="preserve"> estimates for the </w:t>
      </w:r>
      <w:r w:rsidR="008353B7">
        <w:t xml:space="preserve">three levels of </w:t>
      </w:r>
      <w:r w:rsidR="008F2252">
        <w:t>conservation</w:t>
      </w:r>
      <w:r w:rsidR="008353B7">
        <w:t xml:space="preserve"> </w:t>
      </w:r>
      <w:r w:rsidR="00157088">
        <w:t>potential for the commercial</w:t>
      </w:r>
      <w:r w:rsidR="00157088" w:rsidRPr="000108FB">
        <w:t xml:space="preserve"> sector</w:t>
      </w:r>
      <w:r w:rsidR="008353B7">
        <w:t xml:space="preserve"> from the perspective of annual energy savings. </w:t>
      </w:r>
      <w:r>
        <w:fldChar w:fldCharType="begin"/>
      </w:r>
      <w:r w:rsidR="007F4CC7">
        <w:instrText xml:space="preserve"> REF _Ref422840149 \h </w:instrText>
      </w:r>
      <w:r>
        <w:fldChar w:fldCharType="separate"/>
      </w:r>
      <w:r w:rsidR="00B2652C" w:rsidRPr="00483E25">
        <w:t xml:space="preserve">Figure </w:t>
      </w:r>
      <w:r w:rsidR="00B2652C">
        <w:rPr>
          <w:noProof/>
        </w:rPr>
        <w:t>5</w:t>
      </w:r>
      <w:r w:rsidR="00B2652C" w:rsidRPr="00483E25">
        <w:t>-</w:t>
      </w:r>
      <w:r w:rsidR="00B2652C">
        <w:rPr>
          <w:noProof/>
        </w:rPr>
        <w:t>10</w:t>
      </w:r>
      <w:r>
        <w:fldChar w:fldCharType="end"/>
      </w:r>
      <w:r w:rsidR="007F4CC7">
        <w:t xml:space="preserve"> (WA) and </w:t>
      </w:r>
      <w:r>
        <w:fldChar w:fldCharType="begin"/>
      </w:r>
      <w:r w:rsidR="007F4CC7">
        <w:instrText xml:space="preserve"> REF _Ref337027214 \h </w:instrText>
      </w:r>
      <w:r>
        <w:fldChar w:fldCharType="separate"/>
      </w:r>
      <w:r w:rsidR="00B2652C" w:rsidRPr="00483E25">
        <w:t xml:space="preserve">Figure </w:t>
      </w:r>
      <w:r w:rsidR="00B2652C">
        <w:rPr>
          <w:noProof/>
        </w:rPr>
        <w:t>5</w:t>
      </w:r>
      <w:r w:rsidR="00B2652C" w:rsidRPr="00483E25">
        <w:t>-</w:t>
      </w:r>
      <w:r w:rsidR="00B2652C">
        <w:rPr>
          <w:noProof/>
        </w:rPr>
        <w:t>11</w:t>
      </w:r>
      <w:r>
        <w:fldChar w:fldCharType="end"/>
      </w:r>
      <w:r w:rsidR="007F4CC7">
        <w:t xml:space="preserve">(ID) display the three levels of potential by year. For Washington, </w:t>
      </w:r>
      <w:r w:rsidR="008353B7">
        <w:t xml:space="preserve">the first year of the projection, achievable potential is </w:t>
      </w:r>
      <w:r w:rsidR="007F4CC7">
        <w:t>9</w:t>
      </w:r>
      <w:r w:rsidR="008353B7">
        <w:t xml:space="preserve"> GWh, or 0.</w:t>
      </w:r>
      <w:r w:rsidR="007F4CC7">
        <w:t>4</w:t>
      </w:r>
      <w:r w:rsidR="008353B7">
        <w:t>% of the baseline projection. By 20</w:t>
      </w:r>
      <w:r w:rsidR="007855D1">
        <w:t>3</w:t>
      </w:r>
      <w:r w:rsidR="007F4CC7">
        <w:t>5</w:t>
      </w:r>
      <w:r w:rsidR="008353B7">
        <w:t xml:space="preserve">, savings are </w:t>
      </w:r>
      <w:r w:rsidR="007F4CC7">
        <w:t>419</w:t>
      </w:r>
      <w:r w:rsidR="008353B7">
        <w:t xml:space="preserve"> GWh, or 1</w:t>
      </w:r>
      <w:r w:rsidR="007F4CC7">
        <w:t>8</w:t>
      </w:r>
      <w:r w:rsidR="008353B7">
        <w:t>.</w:t>
      </w:r>
      <w:r w:rsidR="007F4CC7">
        <w:t>4</w:t>
      </w:r>
      <w:r w:rsidR="008353B7">
        <w:t>% of the baseline projection. Throughout the forecast horizon, achievable potential represents about 8</w:t>
      </w:r>
      <w:r w:rsidR="007855D1">
        <w:t>5</w:t>
      </w:r>
      <w:r w:rsidR="008353B7">
        <w:t xml:space="preserve">% of economic potential. </w:t>
      </w:r>
      <w:r w:rsidR="007F4CC7">
        <w:t xml:space="preserve">. For Idaho, first year </w:t>
      </w:r>
      <w:r w:rsidR="00414BFE">
        <w:t xml:space="preserve">achievable </w:t>
      </w:r>
      <w:r w:rsidR="007F4CC7">
        <w:t>savings are 4 GWh or 0.4% of the baseline and by 2035 cumulative achievable savings reach 198 GWh, or 18.7% of the baseline.</w:t>
      </w:r>
    </w:p>
    <w:p w:rsidR="00CB51BA" w:rsidRDefault="00CB51BA" w:rsidP="00157088">
      <w:pPr>
        <w:pStyle w:val="BodyText"/>
      </w:pPr>
    </w:p>
    <w:p w:rsidR="00CB51BA" w:rsidRDefault="00CB51BA" w:rsidP="00CB51BA">
      <w:pPr>
        <w:pStyle w:val="FigureorTableTitle"/>
      </w:pPr>
      <w:bookmarkStart w:id="459" w:name="_Ref424190584"/>
      <w:bookmarkStart w:id="460" w:name="_Toc424192805"/>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10</w:t>
      </w:r>
      <w:r w:rsidR="00512CD6">
        <w:rPr>
          <w:bCs w:val="0"/>
          <w:iCs w:val="0"/>
          <w:noProof/>
        </w:rPr>
        <w:fldChar w:fldCharType="end"/>
      </w:r>
      <w:bookmarkEnd w:id="459"/>
      <w:r>
        <w:tab/>
        <w:t>Commercial Conservation Potential (Energy Savings), Washington and Idaho</w:t>
      </w:r>
      <w:bookmarkEnd w:id="460"/>
    </w:p>
    <w:tbl>
      <w:tblPr>
        <w:tblW w:w="5000" w:type="pct"/>
        <w:tblCellMar>
          <w:left w:w="115" w:type="dxa"/>
          <w:right w:w="230" w:type="dxa"/>
        </w:tblCellMar>
        <w:tblLook w:val="04A0" w:firstRow="1" w:lastRow="0" w:firstColumn="1" w:lastColumn="0" w:noHBand="0" w:noVBand="1"/>
      </w:tblPr>
      <w:tblGrid>
        <w:gridCol w:w="3182"/>
        <w:gridCol w:w="1232"/>
        <w:gridCol w:w="1232"/>
        <w:gridCol w:w="1232"/>
        <w:gridCol w:w="1232"/>
        <w:gridCol w:w="1235"/>
      </w:tblGrid>
      <w:tr w:rsidR="00CB51BA"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CB51BA" w:rsidRPr="004219BC" w:rsidRDefault="00CB51BA" w:rsidP="005F1A24">
            <w:pPr>
              <w:rPr>
                <w:rFonts w:ascii="Calibri" w:hAnsi="Calibri" w:cs="Calibri"/>
                <w:bCs/>
                <w:szCs w:val="20"/>
              </w:rPr>
            </w:pPr>
            <w:r w:rsidRPr="004219BC">
              <w:rPr>
                <w:rFonts w:ascii="Calibri" w:hAnsi="Calibri" w:cs="Calibri"/>
                <w:bCs/>
                <w:szCs w:val="20"/>
              </w:rPr>
              <w:t> </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CB51BA" w:rsidRPr="004219BC" w:rsidRDefault="00CB51BA" w:rsidP="005F1A24">
            <w:pPr>
              <w:spacing w:before="40" w:after="40"/>
              <w:jc w:val="center"/>
              <w:rPr>
                <w:rFonts w:ascii="Calibri" w:hAnsi="Calibri" w:cs="Calibri"/>
                <w:szCs w:val="20"/>
              </w:rPr>
            </w:pPr>
            <w:r w:rsidRPr="004219BC">
              <w:rPr>
                <w:rFonts w:ascii="Calibri" w:hAnsi="Calibri" w:cs="Calibri"/>
                <w:bCs/>
                <w:szCs w:val="20"/>
              </w:rPr>
              <w:t>2016</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CB51BA" w:rsidRPr="004219BC" w:rsidRDefault="00CB51BA" w:rsidP="005F1A24">
            <w:pPr>
              <w:spacing w:before="40" w:after="40"/>
              <w:jc w:val="center"/>
              <w:rPr>
                <w:rFonts w:ascii="Calibri" w:hAnsi="Calibri" w:cs="Calibri"/>
                <w:szCs w:val="20"/>
              </w:rPr>
            </w:pPr>
            <w:r w:rsidRPr="004219BC">
              <w:rPr>
                <w:rFonts w:ascii="Calibri" w:hAnsi="Calibri" w:cs="Calibri"/>
                <w:bCs/>
                <w:szCs w:val="20"/>
              </w:rPr>
              <w:t>2017</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CB51BA" w:rsidRPr="004219BC" w:rsidRDefault="00CB51BA" w:rsidP="005F1A24">
            <w:pPr>
              <w:spacing w:before="40" w:after="40"/>
              <w:jc w:val="center"/>
              <w:rPr>
                <w:rFonts w:ascii="Calibri" w:hAnsi="Calibri" w:cs="Calibri"/>
                <w:szCs w:val="20"/>
              </w:rPr>
            </w:pPr>
            <w:r w:rsidRPr="004219BC">
              <w:rPr>
                <w:rFonts w:ascii="Calibri" w:hAnsi="Calibri" w:cs="Calibri"/>
                <w:bCs/>
                <w:szCs w:val="20"/>
              </w:rPr>
              <w:t>2020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CB51BA" w:rsidRPr="004219BC" w:rsidRDefault="00CB51BA" w:rsidP="005F1A24">
            <w:pPr>
              <w:spacing w:before="40" w:after="40"/>
              <w:jc w:val="center"/>
              <w:rPr>
                <w:rFonts w:ascii="Calibri" w:hAnsi="Calibri" w:cs="Calibri"/>
                <w:szCs w:val="20"/>
              </w:rPr>
            </w:pPr>
            <w:r w:rsidRPr="004219BC">
              <w:rPr>
                <w:rFonts w:ascii="Calibri" w:hAnsi="Calibri" w:cs="Calibri"/>
                <w:bCs/>
                <w:szCs w:val="20"/>
              </w:rPr>
              <w:t>2025</w:t>
            </w:r>
          </w:p>
        </w:tc>
        <w:tc>
          <w:tcPr>
            <w:tcW w:w="661" w:type="pct"/>
            <w:tcBorders>
              <w:top w:val="single" w:sz="8" w:space="0" w:color="999999"/>
              <w:left w:val="nil"/>
              <w:bottom w:val="single" w:sz="8" w:space="0" w:color="999999"/>
              <w:right w:val="single" w:sz="8" w:space="0" w:color="999999"/>
            </w:tcBorders>
            <w:shd w:val="clear" w:color="auto" w:fill="1A1D5D"/>
            <w:vAlign w:val="center"/>
          </w:tcPr>
          <w:p w:rsidR="00CB51BA" w:rsidRPr="004219BC" w:rsidRDefault="00CB51BA" w:rsidP="005F1A24">
            <w:pPr>
              <w:spacing w:before="40" w:after="40"/>
              <w:jc w:val="center"/>
              <w:rPr>
                <w:rFonts w:ascii="Calibri" w:hAnsi="Calibri" w:cs="Calibri"/>
                <w:szCs w:val="20"/>
              </w:rPr>
            </w:pPr>
            <w:r w:rsidRPr="004219BC">
              <w:rPr>
                <w:rFonts w:ascii="Calibri" w:hAnsi="Calibri" w:cs="Calibri"/>
                <w:bCs/>
                <w:szCs w:val="20"/>
              </w:rPr>
              <w:t>2035</w:t>
            </w:r>
          </w:p>
        </w:tc>
      </w:tr>
      <w:tr w:rsidR="008F2252" w:rsidRPr="004219BC" w:rsidTr="005F1A24">
        <w:trPr>
          <w:trHeight w:val="288"/>
        </w:trPr>
        <w:tc>
          <w:tcPr>
            <w:tcW w:w="1703" w:type="pct"/>
            <w:tcBorders>
              <w:top w:val="nil"/>
              <w:left w:val="single" w:sz="8" w:space="0" w:color="999999"/>
              <w:bottom w:val="single" w:sz="8" w:space="0" w:color="999999"/>
              <w:right w:val="single" w:sz="8" w:space="0" w:color="999999"/>
            </w:tcBorders>
            <w:shd w:val="clear" w:color="auto" w:fill="auto"/>
            <w:noWrap/>
            <w:vAlign w:val="center"/>
            <w:hideMark/>
          </w:tcPr>
          <w:p w:rsidR="008F2252" w:rsidRPr="004219BC" w:rsidRDefault="008F2252" w:rsidP="008F2252">
            <w:pPr>
              <w:pStyle w:val="TableText"/>
              <w:jc w:val="left"/>
              <w:rPr>
                <w:rFonts w:cs="Calibri"/>
                <w:b/>
              </w:rPr>
            </w:pPr>
            <w:r w:rsidRPr="004219BC">
              <w:rPr>
                <w:rFonts w:cs="Calibri"/>
                <w:b/>
              </w:rPr>
              <w:t>Baseline projection (GWh)</w:t>
            </w:r>
          </w:p>
        </w:tc>
        <w:tc>
          <w:tcPr>
            <w:tcW w:w="659" w:type="pct"/>
            <w:tcBorders>
              <w:top w:val="nil"/>
              <w:left w:val="nil"/>
              <w:bottom w:val="single" w:sz="8" w:space="0" w:color="999999"/>
              <w:right w:val="single" w:sz="8" w:space="0" w:color="999999"/>
            </w:tcBorders>
            <w:shd w:val="clear" w:color="auto" w:fill="auto"/>
            <w:noWrap/>
            <w:vAlign w:val="bottom"/>
            <w:hideMark/>
          </w:tcPr>
          <w:p w:rsidR="008F2252" w:rsidRPr="008F2252" w:rsidRDefault="008F2252" w:rsidP="008F2252">
            <w:pPr>
              <w:pStyle w:val="TableText"/>
              <w:jc w:val="right"/>
              <w:rPr>
                <w:rFonts w:cs="Calibri"/>
              </w:rPr>
            </w:pPr>
            <w:r w:rsidRPr="008F2252">
              <w:rPr>
                <w:rFonts w:cs="Calibri"/>
                <w:bCs/>
                <w:color w:val="000000"/>
                <w:szCs w:val="22"/>
              </w:rPr>
              <w:t>2,976</w:t>
            </w:r>
          </w:p>
        </w:tc>
        <w:tc>
          <w:tcPr>
            <w:tcW w:w="659" w:type="pct"/>
            <w:tcBorders>
              <w:top w:val="nil"/>
              <w:left w:val="nil"/>
              <w:bottom w:val="single" w:sz="8" w:space="0" w:color="999999"/>
              <w:right w:val="single" w:sz="8" w:space="0" w:color="999999"/>
            </w:tcBorders>
            <w:shd w:val="clear" w:color="auto" w:fill="auto"/>
            <w:noWrap/>
            <w:vAlign w:val="bottom"/>
            <w:hideMark/>
          </w:tcPr>
          <w:p w:rsidR="008F2252" w:rsidRPr="008F2252" w:rsidRDefault="008F2252" w:rsidP="008F2252">
            <w:pPr>
              <w:pStyle w:val="TableText"/>
              <w:jc w:val="right"/>
              <w:rPr>
                <w:rFonts w:cs="Calibri"/>
              </w:rPr>
            </w:pPr>
            <w:r w:rsidRPr="008F2252">
              <w:rPr>
                <w:rFonts w:cs="Calibri"/>
                <w:bCs/>
                <w:color w:val="000000"/>
                <w:szCs w:val="22"/>
              </w:rPr>
              <w:t>2,981</w:t>
            </w:r>
          </w:p>
        </w:tc>
        <w:tc>
          <w:tcPr>
            <w:tcW w:w="659" w:type="pct"/>
            <w:tcBorders>
              <w:top w:val="nil"/>
              <w:left w:val="nil"/>
              <w:bottom w:val="single" w:sz="8" w:space="0" w:color="999999"/>
              <w:right w:val="single" w:sz="8" w:space="0" w:color="999999"/>
            </w:tcBorders>
            <w:shd w:val="clear" w:color="auto" w:fill="auto"/>
            <w:noWrap/>
            <w:vAlign w:val="bottom"/>
            <w:hideMark/>
          </w:tcPr>
          <w:p w:rsidR="008F2252" w:rsidRPr="008F2252" w:rsidRDefault="008F2252" w:rsidP="008F2252">
            <w:pPr>
              <w:pStyle w:val="TableText"/>
              <w:jc w:val="right"/>
              <w:rPr>
                <w:rFonts w:cs="Calibri"/>
              </w:rPr>
            </w:pPr>
            <w:r w:rsidRPr="008F2252">
              <w:rPr>
                <w:rFonts w:cs="Calibri"/>
                <w:bCs/>
                <w:color w:val="000000"/>
                <w:szCs w:val="22"/>
              </w:rPr>
              <w:t>3,013</w:t>
            </w:r>
          </w:p>
        </w:tc>
        <w:tc>
          <w:tcPr>
            <w:tcW w:w="659" w:type="pct"/>
            <w:tcBorders>
              <w:top w:val="nil"/>
              <w:left w:val="single" w:sz="4" w:space="0" w:color="808080" w:themeColor="background1" w:themeShade="80"/>
              <w:bottom w:val="single" w:sz="8" w:space="0" w:color="999999"/>
              <w:right w:val="single" w:sz="8" w:space="0" w:color="999999"/>
            </w:tcBorders>
            <w:shd w:val="clear" w:color="auto" w:fill="auto"/>
            <w:noWrap/>
            <w:vAlign w:val="bottom"/>
            <w:hideMark/>
          </w:tcPr>
          <w:p w:rsidR="008F2252" w:rsidRPr="008F2252" w:rsidRDefault="008F2252" w:rsidP="008F2252">
            <w:pPr>
              <w:pStyle w:val="TableText"/>
              <w:jc w:val="right"/>
              <w:rPr>
                <w:rFonts w:cs="Calibri"/>
              </w:rPr>
            </w:pPr>
            <w:r w:rsidRPr="008F2252">
              <w:rPr>
                <w:rFonts w:cs="Calibri"/>
                <w:bCs/>
                <w:color w:val="000000"/>
                <w:szCs w:val="22"/>
              </w:rPr>
              <w:t>3,089</w:t>
            </w:r>
          </w:p>
        </w:tc>
        <w:tc>
          <w:tcPr>
            <w:tcW w:w="661" w:type="pct"/>
            <w:tcBorders>
              <w:top w:val="nil"/>
              <w:left w:val="nil"/>
              <w:bottom w:val="single" w:sz="8" w:space="0" w:color="999999"/>
              <w:right w:val="single" w:sz="8" w:space="0" w:color="999999"/>
            </w:tcBorders>
            <w:vAlign w:val="bottom"/>
          </w:tcPr>
          <w:p w:rsidR="008F2252" w:rsidRPr="008F2252" w:rsidRDefault="008F2252" w:rsidP="008F2252">
            <w:pPr>
              <w:pStyle w:val="TableText"/>
              <w:jc w:val="right"/>
              <w:rPr>
                <w:rFonts w:cs="Calibri"/>
              </w:rPr>
            </w:pPr>
            <w:r w:rsidRPr="008F2252">
              <w:rPr>
                <w:rFonts w:cs="Calibri"/>
                <w:bCs/>
                <w:color w:val="000000"/>
                <w:szCs w:val="22"/>
              </w:rPr>
              <w:t>3,346</w:t>
            </w:r>
          </w:p>
        </w:tc>
      </w:tr>
      <w:tr w:rsidR="00CB51BA" w:rsidRPr="004219BC" w:rsidTr="005F1A24">
        <w:trPr>
          <w:trHeight w:val="288"/>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CB51BA" w:rsidRPr="004219BC" w:rsidRDefault="00CB51BA" w:rsidP="005F1A24">
            <w:pPr>
              <w:pStyle w:val="TableText"/>
              <w:jc w:val="left"/>
              <w:rPr>
                <w:rFonts w:cs="Calibri"/>
                <w:b/>
              </w:rPr>
            </w:pPr>
            <w:r w:rsidRPr="004219BC">
              <w:rPr>
                <w:rFonts w:cs="Calibri"/>
                <w:b/>
              </w:rPr>
              <w:t>Cumulative Net Savings (GWh)</w:t>
            </w:r>
          </w:p>
        </w:tc>
      </w:tr>
      <w:tr w:rsidR="008F2252"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8F2252" w:rsidRPr="004219BC" w:rsidRDefault="008F2252" w:rsidP="008F2252">
            <w:pPr>
              <w:pStyle w:val="TableText"/>
              <w:jc w:val="left"/>
              <w:rPr>
                <w:rFonts w:cs="Calibri"/>
              </w:rPr>
            </w:pPr>
            <w:r w:rsidRPr="004219B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13</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28</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105</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304</w:t>
            </w:r>
          </w:p>
        </w:tc>
        <w:tc>
          <w:tcPr>
            <w:tcW w:w="661" w:type="pct"/>
            <w:tcBorders>
              <w:top w:val="single" w:sz="8" w:space="0" w:color="999999"/>
              <w:left w:val="nil"/>
              <w:bottom w:val="single" w:sz="8" w:space="0" w:color="999999"/>
              <w:right w:val="single" w:sz="8" w:space="0" w:color="999999"/>
            </w:tcBorders>
            <w:shd w:val="clear" w:color="auto" w:fill="DBE5F1"/>
            <w:vAlign w:val="bottom"/>
          </w:tcPr>
          <w:p w:rsidR="008F2252" w:rsidRPr="008F2252" w:rsidRDefault="008F2252" w:rsidP="008F2252">
            <w:pPr>
              <w:pStyle w:val="TableText"/>
              <w:jc w:val="right"/>
              <w:rPr>
                <w:rFonts w:cs="Calibri"/>
              </w:rPr>
            </w:pPr>
            <w:r w:rsidRPr="008F2252">
              <w:rPr>
                <w:rFonts w:cs="Calibri"/>
                <w:color w:val="000000"/>
                <w:szCs w:val="22"/>
              </w:rPr>
              <w:t>617</w:t>
            </w:r>
          </w:p>
        </w:tc>
      </w:tr>
      <w:tr w:rsidR="008F2252"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8F2252" w:rsidRPr="004219BC" w:rsidRDefault="008F2252" w:rsidP="008F2252">
            <w:pPr>
              <w:pStyle w:val="TableText"/>
              <w:jc w:val="left"/>
              <w:rPr>
                <w:rFonts w:cs="Calibri"/>
              </w:rPr>
            </w:pPr>
            <w:r w:rsidRPr="004219B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29</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60</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171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395</w:t>
            </w:r>
          </w:p>
        </w:tc>
        <w:tc>
          <w:tcPr>
            <w:tcW w:w="661" w:type="pct"/>
            <w:tcBorders>
              <w:top w:val="single" w:sz="8" w:space="0" w:color="999999"/>
              <w:left w:val="nil"/>
              <w:bottom w:val="single" w:sz="8" w:space="0" w:color="999999"/>
              <w:right w:val="single" w:sz="8" w:space="0" w:color="999999"/>
            </w:tcBorders>
            <w:shd w:val="clear" w:color="auto" w:fill="DBE5F1"/>
            <w:vAlign w:val="bottom"/>
          </w:tcPr>
          <w:p w:rsidR="008F2252" w:rsidRPr="008F2252" w:rsidRDefault="008F2252" w:rsidP="008F2252">
            <w:pPr>
              <w:pStyle w:val="TableText"/>
              <w:jc w:val="right"/>
              <w:rPr>
                <w:rFonts w:cs="Calibri"/>
              </w:rPr>
            </w:pPr>
            <w:r w:rsidRPr="008F2252">
              <w:rPr>
                <w:rFonts w:cs="Calibri"/>
                <w:color w:val="000000"/>
                <w:szCs w:val="22"/>
              </w:rPr>
              <w:t>728</w:t>
            </w:r>
          </w:p>
        </w:tc>
      </w:tr>
      <w:tr w:rsidR="008F2252"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8F2252" w:rsidRPr="004219BC" w:rsidRDefault="008F2252" w:rsidP="008F2252">
            <w:pPr>
              <w:pStyle w:val="TableText"/>
              <w:jc w:val="left"/>
              <w:rPr>
                <w:rFonts w:cs="Calibri"/>
              </w:rPr>
            </w:pPr>
            <w:r w:rsidRPr="004219B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71</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142</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353</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bottom"/>
            <w:hideMark/>
          </w:tcPr>
          <w:p w:rsidR="008F2252" w:rsidRPr="008F2252" w:rsidRDefault="008F2252" w:rsidP="008F2252">
            <w:pPr>
              <w:pStyle w:val="TableText"/>
              <w:jc w:val="right"/>
              <w:rPr>
                <w:rFonts w:cs="Calibri"/>
              </w:rPr>
            </w:pPr>
            <w:r w:rsidRPr="008F2252">
              <w:rPr>
                <w:rFonts w:cs="Calibri"/>
                <w:color w:val="000000"/>
                <w:szCs w:val="22"/>
              </w:rPr>
              <w:t>694</w:t>
            </w:r>
          </w:p>
        </w:tc>
        <w:tc>
          <w:tcPr>
            <w:tcW w:w="661" w:type="pct"/>
            <w:tcBorders>
              <w:top w:val="single" w:sz="8" w:space="0" w:color="999999"/>
              <w:left w:val="nil"/>
              <w:bottom w:val="single" w:sz="8" w:space="0" w:color="999999"/>
              <w:right w:val="single" w:sz="8" w:space="0" w:color="999999"/>
            </w:tcBorders>
            <w:shd w:val="clear" w:color="auto" w:fill="DBE5F1"/>
            <w:vAlign w:val="bottom"/>
          </w:tcPr>
          <w:p w:rsidR="008F2252" w:rsidRPr="008F2252" w:rsidRDefault="008F2252" w:rsidP="008F2252">
            <w:pPr>
              <w:pStyle w:val="TableText"/>
              <w:jc w:val="right"/>
              <w:rPr>
                <w:rFonts w:cs="Calibri"/>
              </w:rPr>
            </w:pPr>
            <w:r w:rsidRPr="008F2252">
              <w:rPr>
                <w:rFonts w:cs="Calibri"/>
                <w:color w:val="000000"/>
                <w:szCs w:val="22"/>
              </w:rPr>
              <w:t>1,096</w:t>
            </w:r>
          </w:p>
        </w:tc>
      </w:tr>
      <w:tr w:rsidR="00CB51BA" w:rsidRPr="004219BC" w:rsidTr="005F1A24">
        <w:trPr>
          <w:trHeight w:val="288"/>
        </w:trPr>
        <w:tc>
          <w:tcPr>
            <w:tcW w:w="5000" w:type="pct"/>
            <w:gridSpan w:val="6"/>
            <w:tcBorders>
              <w:top w:val="single" w:sz="8" w:space="0" w:color="999999"/>
              <w:left w:val="single" w:sz="8" w:space="0" w:color="999999"/>
              <w:bottom w:val="single" w:sz="8" w:space="0" w:color="999999"/>
              <w:right w:val="single" w:sz="8" w:space="0" w:color="999999"/>
            </w:tcBorders>
            <w:shd w:val="clear" w:color="auto" w:fill="auto"/>
            <w:noWrap/>
            <w:vAlign w:val="center"/>
          </w:tcPr>
          <w:p w:rsidR="00CB51BA" w:rsidRPr="004219BC" w:rsidRDefault="00CB51BA" w:rsidP="005F1A24">
            <w:pPr>
              <w:pStyle w:val="TableText"/>
              <w:jc w:val="left"/>
              <w:rPr>
                <w:rFonts w:cs="Calibri"/>
                <w:b/>
              </w:rPr>
            </w:pPr>
            <w:r w:rsidRPr="004219BC">
              <w:rPr>
                <w:rFonts w:cs="Calibri"/>
                <w:b/>
              </w:rPr>
              <w:t>Cumulative Net Savings (aMW)</w:t>
            </w:r>
          </w:p>
        </w:tc>
      </w:tr>
      <w:tr w:rsidR="008F2252"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8F2252" w:rsidRPr="004219BC" w:rsidRDefault="008F2252" w:rsidP="008F2252">
            <w:pPr>
              <w:pStyle w:val="TableText"/>
              <w:jc w:val="left"/>
              <w:rPr>
                <w:rFonts w:cs="Calibri"/>
              </w:rPr>
            </w:pPr>
            <w:r w:rsidRPr="004219B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1.5</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3.2</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12.0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34.7</w:t>
            </w:r>
          </w:p>
        </w:tc>
        <w:tc>
          <w:tcPr>
            <w:tcW w:w="661" w:type="pct"/>
            <w:tcBorders>
              <w:top w:val="single" w:sz="8" w:space="0" w:color="999999"/>
              <w:left w:val="nil"/>
              <w:bottom w:val="single" w:sz="8" w:space="0" w:color="999999"/>
              <w:right w:val="single" w:sz="8" w:space="0" w:color="999999"/>
            </w:tcBorders>
            <w:shd w:val="clear" w:color="auto" w:fill="auto"/>
            <w:vAlign w:val="bottom"/>
          </w:tcPr>
          <w:p w:rsidR="008F2252" w:rsidRPr="008F2252" w:rsidRDefault="008F2252" w:rsidP="008F2252">
            <w:pPr>
              <w:pStyle w:val="TableText"/>
              <w:jc w:val="right"/>
              <w:rPr>
                <w:rFonts w:cs="Calibri"/>
              </w:rPr>
            </w:pPr>
            <w:r w:rsidRPr="008F2252">
              <w:rPr>
                <w:rFonts w:cs="Calibri"/>
                <w:color w:val="000000"/>
                <w:szCs w:val="22"/>
              </w:rPr>
              <w:t>70.5</w:t>
            </w:r>
          </w:p>
        </w:tc>
      </w:tr>
      <w:tr w:rsidR="008F2252"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8F2252" w:rsidRPr="004219BC" w:rsidRDefault="008F2252" w:rsidP="008F2252">
            <w:pPr>
              <w:pStyle w:val="TableText"/>
              <w:jc w:val="left"/>
              <w:rPr>
                <w:rFonts w:cs="Calibri"/>
              </w:rPr>
            </w:pPr>
            <w:r w:rsidRPr="004219B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3.3</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6.8</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19.5</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45.1</w:t>
            </w:r>
          </w:p>
        </w:tc>
        <w:tc>
          <w:tcPr>
            <w:tcW w:w="661" w:type="pct"/>
            <w:tcBorders>
              <w:top w:val="single" w:sz="8" w:space="0" w:color="999999"/>
              <w:left w:val="nil"/>
              <w:bottom w:val="single" w:sz="8" w:space="0" w:color="999999"/>
              <w:right w:val="single" w:sz="8" w:space="0" w:color="999999"/>
            </w:tcBorders>
            <w:shd w:val="clear" w:color="auto" w:fill="auto"/>
            <w:vAlign w:val="bottom"/>
          </w:tcPr>
          <w:p w:rsidR="008F2252" w:rsidRPr="008F2252" w:rsidRDefault="008F2252" w:rsidP="008F2252">
            <w:pPr>
              <w:pStyle w:val="TableText"/>
              <w:jc w:val="right"/>
              <w:rPr>
                <w:rFonts w:cs="Calibri"/>
              </w:rPr>
            </w:pPr>
            <w:r w:rsidRPr="008F2252">
              <w:rPr>
                <w:rFonts w:cs="Calibri"/>
                <w:color w:val="000000"/>
                <w:szCs w:val="22"/>
              </w:rPr>
              <w:t>83.1</w:t>
            </w:r>
          </w:p>
        </w:tc>
      </w:tr>
      <w:tr w:rsidR="008F2252"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8F2252" w:rsidRPr="004219BC" w:rsidRDefault="008F2252" w:rsidP="008F2252">
            <w:pPr>
              <w:pStyle w:val="TableText"/>
              <w:jc w:val="left"/>
              <w:rPr>
                <w:rFonts w:cs="Calibri"/>
              </w:rPr>
            </w:pPr>
            <w:r w:rsidRPr="004219B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8.1</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16.2</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40.3</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bottom"/>
          </w:tcPr>
          <w:p w:rsidR="008F2252" w:rsidRPr="008F2252" w:rsidRDefault="008F2252" w:rsidP="008F2252">
            <w:pPr>
              <w:pStyle w:val="TableText"/>
              <w:jc w:val="right"/>
              <w:rPr>
                <w:rFonts w:cs="Calibri"/>
              </w:rPr>
            </w:pPr>
            <w:r w:rsidRPr="008F2252">
              <w:rPr>
                <w:rFonts w:cs="Calibri"/>
                <w:color w:val="000000"/>
                <w:szCs w:val="22"/>
              </w:rPr>
              <w:t>79.2</w:t>
            </w:r>
          </w:p>
        </w:tc>
        <w:tc>
          <w:tcPr>
            <w:tcW w:w="661" w:type="pct"/>
            <w:tcBorders>
              <w:top w:val="single" w:sz="8" w:space="0" w:color="999999"/>
              <w:left w:val="nil"/>
              <w:bottom w:val="single" w:sz="8" w:space="0" w:color="999999"/>
              <w:right w:val="single" w:sz="8" w:space="0" w:color="999999"/>
            </w:tcBorders>
            <w:shd w:val="clear" w:color="auto" w:fill="auto"/>
            <w:vAlign w:val="bottom"/>
          </w:tcPr>
          <w:p w:rsidR="008F2252" w:rsidRPr="008F2252" w:rsidRDefault="008F2252" w:rsidP="008F2252">
            <w:pPr>
              <w:pStyle w:val="TableText"/>
              <w:jc w:val="right"/>
              <w:rPr>
                <w:rFonts w:cs="Calibri"/>
              </w:rPr>
            </w:pPr>
            <w:r w:rsidRPr="008F2252">
              <w:rPr>
                <w:rFonts w:cs="Calibri"/>
                <w:color w:val="000000"/>
                <w:szCs w:val="22"/>
              </w:rPr>
              <w:t>125.1</w:t>
            </w:r>
          </w:p>
        </w:tc>
      </w:tr>
      <w:tr w:rsidR="00CB51BA" w:rsidRPr="004219BC" w:rsidTr="005F1A24">
        <w:trPr>
          <w:trHeight w:val="288"/>
        </w:trPr>
        <w:tc>
          <w:tcPr>
            <w:tcW w:w="5000" w:type="pct"/>
            <w:gridSpan w:val="6"/>
            <w:tcBorders>
              <w:top w:val="nil"/>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CB51BA" w:rsidRPr="004219BC" w:rsidRDefault="00CB51BA" w:rsidP="005F1A24">
            <w:pPr>
              <w:pStyle w:val="TableText"/>
              <w:jc w:val="left"/>
              <w:rPr>
                <w:rFonts w:cs="Calibri"/>
                <w:b/>
              </w:rPr>
            </w:pPr>
            <w:r w:rsidRPr="004219BC">
              <w:rPr>
                <w:rFonts w:cs="Calibri"/>
                <w:b/>
              </w:rPr>
              <w:t>Cumulative Net Savings as a % of Baseline</w:t>
            </w:r>
          </w:p>
        </w:tc>
      </w:tr>
      <w:tr w:rsidR="008F2252" w:rsidRPr="004219BC" w:rsidTr="005F1A24">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8F2252" w:rsidRPr="004219BC" w:rsidRDefault="008F2252" w:rsidP="008F2252">
            <w:pPr>
              <w:pStyle w:val="TableText"/>
              <w:jc w:val="left"/>
              <w:rPr>
                <w:rFonts w:cs="Calibri"/>
              </w:rPr>
            </w:pPr>
            <w:r w:rsidRPr="004219BC">
              <w:rPr>
                <w:rFonts w:cs="Calibri"/>
              </w:rPr>
              <w:t>Achievable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0.4%</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1.0%</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3.5%</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9.9%</w:t>
            </w:r>
          </w:p>
        </w:tc>
        <w:tc>
          <w:tcPr>
            <w:tcW w:w="661" w:type="pct"/>
            <w:tcBorders>
              <w:top w:val="nil"/>
              <w:left w:val="nil"/>
              <w:bottom w:val="single" w:sz="8" w:space="0" w:color="999999"/>
              <w:right w:val="single" w:sz="8" w:space="0" w:color="999999"/>
            </w:tcBorders>
            <w:shd w:val="clear" w:color="auto" w:fill="D9E3EC" w:themeFill="accent1" w:themeFillTint="33"/>
            <w:vAlign w:val="bottom"/>
          </w:tcPr>
          <w:p w:rsidR="008F2252" w:rsidRPr="008F2252" w:rsidRDefault="008F2252" w:rsidP="008F2252">
            <w:pPr>
              <w:pStyle w:val="TableText"/>
              <w:jc w:val="right"/>
              <w:rPr>
                <w:rFonts w:cs="Calibri"/>
              </w:rPr>
            </w:pPr>
            <w:r w:rsidRPr="008F2252">
              <w:rPr>
                <w:rFonts w:cs="Calibri"/>
                <w:color w:val="000000"/>
                <w:szCs w:val="22"/>
              </w:rPr>
              <w:t>18.4%</w:t>
            </w:r>
          </w:p>
        </w:tc>
      </w:tr>
      <w:tr w:rsidR="008F2252" w:rsidRPr="004219BC" w:rsidTr="005F1A24">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8F2252" w:rsidRPr="004219BC" w:rsidRDefault="008F2252" w:rsidP="008F2252">
            <w:pPr>
              <w:pStyle w:val="TableText"/>
              <w:jc w:val="left"/>
              <w:rPr>
                <w:rFonts w:cs="Calibri"/>
              </w:rPr>
            </w:pPr>
            <w:r w:rsidRPr="004219BC">
              <w:rPr>
                <w:rFonts w:cs="Calibri"/>
              </w:rPr>
              <w:t>Economic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1.0%</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2.0%</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5.7%</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12.8%</w:t>
            </w:r>
          </w:p>
        </w:tc>
        <w:tc>
          <w:tcPr>
            <w:tcW w:w="661" w:type="pct"/>
            <w:tcBorders>
              <w:top w:val="nil"/>
              <w:left w:val="nil"/>
              <w:bottom w:val="single" w:sz="8" w:space="0" w:color="999999"/>
              <w:right w:val="single" w:sz="8" w:space="0" w:color="999999"/>
            </w:tcBorders>
            <w:shd w:val="clear" w:color="auto" w:fill="D9E3EC" w:themeFill="accent1" w:themeFillTint="33"/>
            <w:vAlign w:val="bottom"/>
          </w:tcPr>
          <w:p w:rsidR="008F2252" w:rsidRPr="008F2252" w:rsidRDefault="008F2252" w:rsidP="008F2252">
            <w:pPr>
              <w:pStyle w:val="TableText"/>
              <w:jc w:val="right"/>
              <w:rPr>
                <w:rFonts w:cs="Calibri"/>
              </w:rPr>
            </w:pPr>
            <w:r w:rsidRPr="008F2252">
              <w:rPr>
                <w:rFonts w:cs="Calibri"/>
                <w:color w:val="000000"/>
                <w:szCs w:val="22"/>
              </w:rPr>
              <w:t>21.7%</w:t>
            </w:r>
          </w:p>
        </w:tc>
      </w:tr>
      <w:tr w:rsidR="008F2252" w:rsidRPr="004219BC" w:rsidTr="005F1A24">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8F2252" w:rsidRPr="004219BC" w:rsidRDefault="008F2252" w:rsidP="008F2252">
            <w:pPr>
              <w:pStyle w:val="TableText"/>
              <w:jc w:val="left"/>
              <w:rPr>
                <w:rFonts w:cs="Calibri"/>
              </w:rPr>
            </w:pPr>
            <w:r w:rsidRPr="004219BC">
              <w:rPr>
                <w:rFonts w:cs="Calibri"/>
              </w:rPr>
              <w:t xml:space="preserve">Technical Potential </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2.4%</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4.8%</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11.7%</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bottom"/>
            <w:hideMark/>
          </w:tcPr>
          <w:p w:rsidR="008F2252" w:rsidRPr="008F2252" w:rsidRDefault="008F2252" w:rsidP="008F2252">
            <w:pPr>
              <w:pStyle w:val="TableText"/>
              <w:jc w:val="right"/>
              <w:rPr>
                <w:rFonts w:cs="Calibri"/>
              </w:rPr>
            </w:pPr>
            <w:r w:rsidRPr="008F2252">
              <w:rPr>
                <w:rFonts w:cs="Calibri"/>
                <w:color w:val="000000"/>
                <w:szCs w:val="22"/>
              </w:rPr>
              <w:t>22.5%</w:t>
            </w:r>
          </w:p>
        </w:tc>
        <w:tc>
          <w:tcPr>
            <w:tcW w:w="661" w:type="pct"/>
            <w:tcBorders>
              <w:top w:val="nil"/>
              <w:left w:val="nil"/>
              <w:bottom w:val="single" w:sz="8" w:space="0" w:color="999999"/>
              <w:right w:val="single" w:sz="8" w:space="0" w:color="999999"/>
            </w:tcBorders>
            <w:shd w:val="clear" w:color="auto" w:fill="D9E3EC" w:themeFill="accent1" w:themeFillTint="33"/>
            <w:vAlign w:val="bottom"/>
          </w:tcPr>
          <w:p w:rsidR="008F2252" w:rsidRPr="008F2252" w:rsidRDefault="008F2252" w:rsidP="008F2252">
            <w:pPr>
              <w:pStyle w:val="TableText"/>
              <w:jc w:val="right"/>
              <w:rPr>
                <w:rFonts w:cs="Calibri"/>
              </w:rPr>
            </w:pPr>
            <w:r w:rsidRPr="008F2252">
              <w:rPr>
                <w:rFonts w:cs="Calibri"/>
                <w:color w:val="000000"/>
                <w:szCs w:val="22"/>
              </w:rPr>
              <w:t>32.8%</w:t>
            </w:r>
          </w:p>
        </w:tc>
      </w:tr>
    </w:tbl>
    <w:p w:rsidR="00CB51BA" w:rsidRDefault="00CB51BA" w:rsidP="00157088">
      <w:pPr>
        <w:pStyle w:val="BodyText"/>
      </w:pPr>
    </w:p>
    <w:p w:rsidR="00CB51BA" w:rsidRPr="00895C88" w:rsidRDefault="00CB51BA" w:rsidP="00157088">
      <w:pPr>
        <w:pStyle w:val="BodyText"/>
      </w:pPr>
    </w:p>
    <w:p w:rsidR="00157088" w:rsidRDefault="003B2722" w:rsidP="008115B5">
      <w:pPr>
        <w:pStyle w:val="FigureorTableTitle"/>
      </w:pPr>
      <w:bookmarkStart w:id="461" w:name="_Ref402254303"/>
      <w:bookmarkStart w:id="462" w:name="_Toc341181353"/>
      <w:bookmarkStart w:id="463" w:name="_Toc396755848"/>
      <w:bookmarkStart w:id="464" w:name="_Toc424192806"/>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11</w:t>
      </w:r>
      <w:r w:rsidR="00512CD6">
        <w:rPr>
          <w:bCs w:val="0"/>
          <w:iCs w:val="0"/>
          <w:noProof/>
        </w:rPr>
        <w:fldChar w:fldCharType="end"/>
      </w:r>
      <w:bookmarkEnd w:id="461"/>
      <w:r w:rsidR="00157088">
        <w:tab/>
      </w:r>
      <w:r w:rsidR="001250B9">
        <w:t xml:space="preserve">Commercial </w:t>
      </w:r>
      <w:r w:rsidR="00DA2C9E">
        <w:t>Conservation</w:t>
      </w:r>
      <w:r w:rsidR="00157088">
        <w:t xml:space="preserve"> Potential </w:t>
      </w:r>
      <w:bookmarkEnd w:id="462"/>
      <w:r w:rsidR="00157088">
        <w:t>(Energy</w:t>
      </w:r>
      <w:r w:rsidR="00331CD2">
        <w:t xml:space="preserve"> Savings</w:t>
      </w:r>
      <w:r w:rsidR="00157088">
        <w:t>)</w:t>
      </w:r>
      <w:bookmarkEnd w:id="463"/>
      <w:r w:rsidR="00D44CC1">
        <w:t>, Washington</w:t>
      </w:r>
      <w:bookmarkEnd w:id="464"/>
    </w:p>
    <w:tbl>
      <w:tblPr>
        <w:tblW w:w="5000" w:type="pct"/>
        <w:tblCellMar>
          <w:left w:w="115" w:type="dxa"/>
          <w:right w:w="230" w:type="dxa"/>
        </w:tblCellMar>
        <w:tblLook w:val="04A0" w:firstRow="1" w:lastRow="0" w:firstColumn="1" w:lastColumn="0" w:noHBand="0" w:noVBand="1"/>
      </w:tblPr>
      <w:tblGrid>
        <w:gridCol w:w="3182"/>
        <w:gridCol w:w="1232"/>
        <w:gridCol w:w="1232"/>
        <w:gridCol w:w="1232"/>
        <w:gridCol w:w="1232"/>
        <w:gridCol w:w="1235"/>
      </w:tblGrid>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4219BC" w:rsidRPr="004219BC" w:rsidRDefault="004219BC" w:rsidP="004219BC">
            <w:pPr>
              <w:rPr>
                <w:rFonts w:ascii="Calibri" w:hAnsi="Calibri" w:cs="Calibri"/>
                <w:bCs/>
                <w:szCs w:val="20"/>
              </w:rPr>
            </w:pPr>
            <w:r w:rsidRPr="004219BC">
              <w:rPr>
                <w:rFonts w:ascii="Calibri" w:hAnsi="Calibri" w:cs="Calibri"/>
                <w:bCs/>
                <w:szCs w:val="20"/>
              </w:rPr>
              <w:t> </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4219BC" w:rsidRPr="004219BC" w:rsidRDefault="004219BC" w:rsidP="004219BC">
            <w:pPr>
              <w:spacing w:before="40" w:after="40"/>
              <w:jc w:val="center"/>
              <w:rPr>
                <w:rFonts w:ascii="Calibri" w:hAnsi="Calibri" w:cs="Calibri"/>
                <w:szCs w:val="20"/>
              </w:rPr>
            </w:pPr>
            <w:r w:rsidRPr="004219BC">
              <w:rPr>
                <w:rFonts w:ascii="Calibri" w:hAnsi="Calibri" w:cs="Calibri"/>
                <w:bCs/>
                <w:szCs w:val="20"/>
              </w:rPr>
              <w:t>2016</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4219BC" w:rsidRPr="004219BC" w:rsidRDefault="004219BC" w:rsidP="004219BC">
            <w:pPr>
              <w:spacing w:before="40" w:after="40"/>
              <w:jc w:val="center"/>
              <w:rPr>
                <w:rFonts w:ascii="Calibri" w:hAnsi="Calibri" w:cs="Calibri"/>
                <w:szCs w:val="20"/>
              </w:rPr>
            </w:pPr>
            <w:r w:rsidRPr="004219BC">
              <w:rPr>
                <w:rFonts w:ascii="Calibri" w:hAnsi="Calibri" w:cs="Calibri"/>
                <w:bCs/>
                <w:szCs w:val="20"/>
              </w:rPr>
              <w:t>2017</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4219BC" w:rsidRPr="004219BC" w:rsidRDefault="004219BC" w:rsidP="004219BC">
            <w:pPr>
              <w:spacing w:before="40" w:after="40"/>
              <w:jc w:val="center"/>
              <w:rPr>
                <w:rFonts w:ascii="Calibri" w:hAnsi="Calibri" w:cs="Calibri"/>
                <w:szCs w:val="20"/>
              </w:rPr>
            </w:pPr>
            <w:r w:rsidRPr="004219BC">
              <w:rPr>
                <w:rFonts w:ascii="Calibri" w:hAnsi="Calibri" w:cs="Calibri"/>
                <w:bCs/>
                <w:szCs w:val="20"/>
              </w:rPr>
              <w:t>2020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4219BC" w:rsidRPr="004219BC" w:rsidRDefault="004219BC" w:rsidP="004219BC">
            <w:pPr>
              <w:spacing w:before="40" w:after="40"/>
              <w:jc w:val="center"/>
              <w:rPr>
                <w:rFonts w:ascii="Calibri" w:hAnsi="Calibri" w:cs="Calibri"/>
                <w:szCs w:val="20"/>
              </w:rPr>
            </w:pPr>
            <w:r w:rsidRPr="004219BC">
              <w:rPr>
                <w:rFonts w:ascii="Calibri" w:hAnsi="Calibri" w:cs="Calibri"/>
                <w:bCs/>
                <w:szCs w:val="20"/>
              </w:rPr>
              <w:t>2025</w:t>
            </w:r>
          </w:p>
        </w:tc>
        <w:tc>
          <w:tcPr>
            <w:tcW w:w="661" w:type="pct"/>
            <w:tcBorders>
              <w:top w:val="single" w:sz="8" w:space="0" w:color="999999"/>
              <w:left w:val="nil"/>
              <w:bottom w:val="single" w:sz="8" w:space="0" w:color="999999"/>
              <w:right w:val="single" w:sz="8" w:space="0" w:color="999999"/>
            </w:tcBorders>
            <w:shd w:val="clear" w:color="auto" w:fill="1A1D5D"/>
            <w:vAlign w:val="center"/>
          </w:tcPr>
          <w:p w:rsidR="004219BC" w:rsidRPr="004219BC" w:rsidRDefault="004219BC" w:rsidP="004219BC">
            <w:pPr>
              <w:spacing w:before="40" w:after="40"/>
              <w:jc w:val="center"/>
              <w:rPr>
                <w:rFonts w:ascii="Calibri" w:hAnsi="Calibri" w:cs="Calibri"/>
                <w:szCs w:val="20"/>
              </w:rPr>
            </w:pPr>
            <w:r w:rsidRPr="004219BC">
              <w:rPr>
                <w:rFonts w:ascii="Calibri" w:hAnsi="Calibri" w:cs="Calibri"/>
                <w:bCs/>
                <w:szCs w:val="20"/>
              </w:rPr>
              <w:t>2035</w:t>
            </w:r>
          </w:p>
        </w:tc>
      </w:tr>
      <w:tr w:rsidR="004219BC"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left"/>
              <w:rPr>
                <w:rFonts w:cs="Calibri"/>
                <w:b/>
              </w:rPr>
            </w:pPr>
            <w:r w:rsidRPr="004219BC">
              <w:rPr>
                <w:rFonts w:cs="Calibri"/>
                <w:b/>
              </w:rPr>
              <w:t>Baseline projection (GWh)</w:t>
            </w:r>
          </w:p>
        </w:tc>
        <w:tc>
          <w:tcPr>
            <w:tcW w:w="659" w:type="pct"/>
            <w:tcBorders>
              <w:top w:val="nil"/>
              <w:left w:val="nil"/>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right"/>
              <w:rPr>
                <w:rFonts w:cs="Calibri"/>
              </w:rPr>
            </w:pPr>
            <w:r w:rsidRPr="004219BC">
              <w:rPr>
                <w:rFonts w:cs="Calibri"/>
              </w:rPr>
              <w:t>2,027</w:t>
            </w:r>
          </w:p>
        </w:tc>
        <w:tc>
          <w:tcPr>
            <w:tcW w:w="659" w:type="pct"/>
            <w:tcBorders>
              <w:top w:val="nil"/>
              <w:left w:val="nil"/>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right"/>
              <w:rPr>
                <w:rFonts w:cs="Calibri"/>
              </w:rPr>
            </w:pPr>
            <w:r w:rsidRPr="004219BC">
              <w:rPr>
                <w:rFonts w:cs="Calibri"/>
              </w:rPr>
              <w:t>2,031</w:t>
            </w:r>
          </w:p>
        </w:tc>
        <w:tc>
          <w:tcPr>
            <w:tcW w:w="659" w:type="pct"/>
            <w:tcBorders>
              <w:top w:val="nil"/>
              <w:left w:val="nil"/>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right"/>
              <w:rPr>
                <w:rFonts w:cs="Calibri"/>
              </w:rPr>
            </w:pPr>
            <w:r w:rsidRPr="004219BC">
              <w:rPr>
                <w:rFonts w:cs="Calibri"/>
              </w:rPr>
              <w:t>2,053</w:t>
            </w:r>
          </w:p>
        </w:tc>
        <w:tc>
          <w:tcPr>
            <w:tcW w:w="659" w:type="pct"/>
            <w:tcBorders>
              <w:top w:val="nil"/>
              <w:left w:val="single" w:sz="4" w:space="0" w:color="808080" w:themeColor="background1" w:themeShade="80"/>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right"/>
              <w:rPr>
                <w:rFonts w:cs="Calibri"/>
              </w:rPr>
            </w:pPr>
            <w:r w:rsidRPr="004219BC">
              <w:rPr>
                <w:rFonts w:cs="Calibri"/>
              </w:rPr>
              <w:t>2,106</w:t>
            </w:r>
          </w:p>
        </w:tc>
        <w:tc>
          <w:tcPr>
            <w:tcW w:w="661" w:type="pct"/>
            <w:tcBorders>
              <w:top w:val="nil"/>
              <w:left w:val="nil"/>
              <w:bottom w:val="single" w:sz="8" w:space="0" w:color="999999"/>
              <w:right w:val="single" w:sz="8" w:space="0" w:color="999999"/>
            </w:tcBorders>
            <w:vAlign w:val="center"/>
          </w:tcPr>
          <w:p w:rsidR="004219BC" w:rsidRPr="004219BC" w:rsidRDefault="004219BC" w:rsidP="004219BC">
            <w:pPr>
              <w:pStyle w:val="TableText"/>
              <w:jc w:val="right"/>
              <w:rPr>
                <w:rFonts w:cs="Calibri"/>
              </w:rPr>
            </w:pPr>
            <w:r w:rsidRPr="004219BC">
              <w:rPr>
                <w:rFonts w:cs="Calibri"/>
              </w:rPr>
              <w:t>2,282</w:t>
            </w:r>
          </w:p>
        </w:tc>
      </w:tr>
      <w:tr w:rsidR="004219BC" w:rsidRPr="004219BC" w:rsidTr="00EA2B8E">
        <w:trPr>
          <w:trHeight w:val="288"/>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4219BC" w:rsidRPr="004219BC" w:rsidRDefault="004219BC" w:rsidP="004219BC">
            <w:pPr>
              <w:pStyle w:val="TableText"/>
              <w:jc w:val="left"/>
              <w:rPr>
                <w:rFonts w:cs="Calibri"/>
                <w:b/>
              </w:rPr>
            </w:pPr>
            <w:r w:rsidRPr="004219BC">
              <w:rPr>
                <w:rFonts w:cs="Calibri"/>
                <w:b/>
              </w:rPr>
              <w:t>Cumulative Net Savings (GWh)</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19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71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207</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4219BC" w:rsidRPr="004219BC" w:rsidRDefault="004219BC" w:rsidP="004219BC">
            <w:pPr>
              <w:pStyle w:val="TableText"/>
              <w:jc w:val="right"/>
              <w:rPr>
                <w:rFonts w:cs="Calibri"/>
              </w:rPr>
            </w:pPr>
            <w:r w:rsidRPr="004219BC">
              <w:rPr>
                <w:rFonts w:cs="Calibri"/>
              </w:rPr>
              <w:t>419</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20</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41</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116</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268</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4219BC" w:rsidRPr="004219BC" w:rsidRDefault="004219BC" w:rsidP="004219BC">
            <w:pPr>
              <w:pStyle w:val="TableText"/>
              <w:jc w:val="right"/>
              <w:rPr>
                <w:rFonts w:cs="Calibri"/>
              </w:rPr>
            </w:pPr>
            <w:r w:rsidRPr="004219BC">
              <w:rPr>
                <w:rFonts w:cs="Calibri"/>
              </w:rPr>
              <w:t>494</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49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97</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241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473</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4219BC" w:rsidRPr="004219BC" w:rsidRDefault="004219BC" w:rsidP="004219BC">
            <w:pPr>
              <w:pStyle w:val="TableText"/>
              <w:jc w:val="right"/>
              <w:rPr>
                <w:rFonts w:cs="Calibri"/>
              </w:rPr>
            </w:pPr>
            <w:r w:rsidRPr="004219BC">
              <w:rPr>
                <w:rFonts w:cs="Calibri"/>
              </w:rPr>
              <w:t>746</w:t>
            </w:r>
          </w:p>
        </w:tc>
      </w:tr>
      <w:tr w:rsidR="004219BC" w:rsidRPr="004219BC" w:rsidTr="00EA2B8E">
        <w:trPr>
          <w:trHeight w:val="288"/>
        </w:trPr>
        <w:tc>
          <w:tcPr>
            <w:tcW w:w="5000" w:type="pct"/>
            <w:gridSpan w:val="6"/>
            <w:tcBorders>
              <w:top w:val="single" w:sz="8" w:space="0" w:color="999999"/>
              <w:left w:val="single" w:sz="8" w:space="0" w:color="999999"/>
              <w:bottom w:val="single" w:sz="8" w:space="0" w:color="999999"/>
              <w:right w:val="single" w:sz="8" w:space="0" w:color="999999"/>
            </w:tcBorders>
            <w:shd w:val="clear" w:color="auto" w:fill="auto"/>
            <w:noWrap/>
            <w:vAlign w:val="center"/>
          </w:tcPr>
          <w:p w:rsidR="004219BC" w:rsidRPr="004219BC" w:rsidRDefault="004219BC" w:rsidP="004219BC">
            <w:pPr>
              <w:pStyle w:val="TableText"/>
              <w:jc w:val="left"/>
              <w:rPr>
                <w:rFonts w:cs="Calibri"/>
                <w:b/>
              </w:rPr>
            </w:pPr>
            <w:r w:rsidRPr="004219BC">
              <w:rPr>
                <w:rFonts w:cs="Calibri"/>
                <w:b/>
              </w:rPr>
              <w:t>Cumulative Net Savings (aMW)</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4219BC" w:rsidRPr="004219BC" w:rsidRDefault="004219BC" w:rsidP="004219BC">
            <w:pPr>
              <w:pStyle w:val="TableText"/>
              <w:jc w:val="left"/>
              <w:rPr>
                <w:rFonts w:cs="Calibri"/>
              </w:rPr>
            </w:pPr>
            <w:r w:rsidRPr="004219B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1.0</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2.2</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8.1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23.6</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4219BC" w:rsidRPr="004219BC" w:rsidRDefault="004219BC" w:rsidP="004219BC">
            <w:pPr>
              <w:pStyle w:val="TableText"/>
              <w:jc w:val="right"/>
              <w:rPr>
                <w:rFonts w:cs="Calibri"/>
              </w:rPr>
            </w:pPr>
            <w:r w:rsidRPr="004219BC">
              <w:rPr>
                <w:rFonts w:cs="Calibri"/>
              </w:rPr>
              <w:t>47.8</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4219BC" w:rsidRPr="004219BC" w:rsidRDefault="004219BC" w:rsidP="004219BC">
            <w:pPr>
              <w:pStyle w:val="TableText"/>
              <w:jc w:val="left"/>
              <w:rPr>
                <w:rFonts w:cs="Calibri"/>
              </w:rPr>
            </w:pPr>
            <w:r w:rsidRPr="004219B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2.3</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4.6</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13.3</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30.6</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4219BC" w:rsidRPr="004219BC" w:rsidRDefault="004219BC" w:rsidP="004219BC">
            <w:pPr>
              <w:pStyle w:val="TableText"/>
              <w:jc w:val="right"/>
              <w:rPr>
                <w:rFonts w:cs="Calibri"/>
              </w:rPr>
            </w:pPr>
            <w:r w:rsidRPr="004219BC">
              <w:rPr>
                <w:rFonts w:cs="Calibri"/>
              </w:rPr>
              <w:t>56.4</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4219BC" w:rsidRPr="004219BC" w:rsidRDefault="004219BC" w:rsidP="004219BC">
            <w:pPr>
              <w:pStyle w:val="TableText"/>
              <w:jc w:val="left"/>
              <w:rPr>
                <w:rFonts w:cs="Calibri"/>
              </w:rPr>
            </w:pPr>
            <w:r w:rsidRPr="004219B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5.5</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11.0</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27.5</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54.0</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4219BC" w:rsidRPr="004219BC" w:rsidRDefault="004219BC" w:rsidP="004219BC">
            <w:pPr>
              <w:pStyle w:val="TableText"/>
              <w:jc w:val="right"/>
              <w:rPr>
                <w:rFonts w:cs="Calibri"/>
              </w:rPr>
            </w:pPr>
            <w:r w:rsidRPr="004219BC">
              <w:rPr>
                <w:rFonts w:cs="Calibri"/>
              </w:rPr>
              <w:t>85.2</w:t>
            </w:r>
          </w:p>
        </w:tc>
      </w:tr>
      <w:tr w:rsidR="004219BC" w:rsidRPr="004219BC" w:rsidTr="00EA2B8E">
        <w:trPr>
          <w:trHeight w:val="288"/>
        </w:trPr>
        <w:tc>
          <w:tcPr>
            <w:tcW w:w="5000" w:type="pct"/>
            <w:gridSpan w:val="6"/>
            <w:tcBorders>
              <w:top w:val="nil"/>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4219BC" w:rsidRPr="004219BC" w:rsidRDefault="004219BC" w:rsidP="004219BC">
            <w:pPr>
              <w:pStyle w:val="TableText"/>
              <w:jc w:val="left"/>
              <w:rPr>
                <w:rFonts w:cs="Calibri"/>
                <w:b/>
              </w:rPr>
            </w:pPr>
            <w:r w:rsidRPr="004219BC">
              <w:rPr>
                <w:rFonts w:cs="Calibri"/>
                <w:b/>
              </w:rPr>
              <w:t>Cumulative Net Savings as a % of Baseline</w:t>
            </w:r>
          </w:p>
        </w:tc>
      </w:tr>
      <w:tr w:rsidR="004219BC"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Achievable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0.4%</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1.0%</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3.5%</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9.8%</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4219BC" w:rsidRPr="004219BC" w:rsidRDefault="004219BC" w:rsidP="004219BC">
            <w:pPr>
              <w:pStyle w:val="TableText"/>
              <w:jc w:val="right"/>
              <w:rPr>
                <w:rFonts w:cs="Calibri"/>
              </w:rPr>
            </w:pPr>
            <w:r w:rsidRPr="004219BC">
              <w:rPr>
                <w:rFonts w:cs="Calibri"/>
              </w:rPr>
              <w:t>18.4%</w:t>
            </w:r>
          </w:p>
        </w:tc>
      </w:tr>
      <w:tr w:rsidR="004219BC"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Economic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1.0%</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2.0%</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5.7%</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12.7%</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4219BC" w:rsidRPr="004219BC" w:rsidRDefault="004219BC" w:rsidP="004219BC">
            <w:pPr>
              <w:pStyle w:val="TableText"/>
              <w:jc w:val="right"/>
              <w:rPr>
                <w:rFonts w:cs="Calibri"/>
              </w:rPr>
            </w:pPr>
            <w:r w:rsidRPr="004219BC">
              <w:rPr>
                <w:rFonts w:cs="Calibri"/>
              </w:rPr>
              <w:t>21.6%</w:t>
            </w:r>
          </w:p>
        </w:tc>
      </w:tr>
      <w:tr w:rsidR="004219BC"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 xml:space="preserve">Technical Potential </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2.4%</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4.8%</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11.7%</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22.5%</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4219BC" w:rsidRPr="004219BC" w:rsidRDefault="004219BC" w:rsidP="004219BC">
            <w:pPr>
              <w:pStyle w:val="TableText"/>
              <w:jc w:val="right"/>
              <w:rPr>
                <w:rFonts w:cs="Calibri"/>
              </w:rPr>
            </w:pPr>
            <w:r w:rsidRPr="004219BC">
              <w:rPr>
                <w:rFonts w:cs="Calibri"/>
              </w:rPr>
              <w:t>32.7%</w:t>
            </w:r>
          </w:p>
        </w:tc>
      </w:tr>
    </w:tbl>
    <w:p w:rsidR="004219BC" w:rsidRDefault="004219BC" w:rsidP="004219BC">
      <w:pPr>
        <w:pStyle w:val="FigureorTableTitle"/>
      </w:pPr>
      <w:bookmarkStart w:id="465" w:name="_Ref422840100"/>
      <w:bookmarkStart w:id="466" w:name="_Toc424192807"/>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12</w:t>
      </w:r>
      <w:r w:rsidR="00512CD6">
        <w:rPr>
          <w:bCs w:val="0"/>
          <w:iCs w:val="0"/>
          <w:noProof/>
        </w:rPr>
        <w:fldChar w:fldCharType="end"/>
      </w:r>
      <w:bookmarkEnd w:id="465"/>
      <w:r>
        <w:tab/>
        <w:t>Commercial Conservation Potential (Energy Savings), Idaho</w:t>
      </w:r>
      <w:bookmarkEnd w:id="466"/>
    </w:p>
    <w:tbl>
      <w:tblPr>
        <w:tblW w:w="5000" w:type="pct"/>
        <w:tblCellMar>
          <w:left w:w="115" w:type="dxa"/>
          <w:right w:w="230" w:type="dxa"/>
        </w:tblCellMar>
        <w:tblLook w:val="04A0" w:firstRow="1" w:lastRow="0" w:firstColumn="1" w:lastColumn="0" w:noHBand="0" w:noVBand="1"/>
      </w:tblPr>
      <w:tblGrid>
        <w:gridCol w:w="3182"/>
        <w:gridCol w:w="1232"/>
        <w:gridCol w:w="1232"/>
        <w:gridCol w:w="1232"/>
        <w:gridCol w:w="1232"/>
        <w:gridCol w:w="1235"/>
      </w:tblGrid>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4219BC" w:rsidRPr="004219BC" w:rsidRDefault="004219BC" w:rsidP="00C95EBA">
            <w:pPr>
              <w:rPr>
                <w:rFonts w:ascii="Calibri" w:hAnsi="Calibri" w:cs="Calibri"/>
                <w:bCs/>
                <w:szCs w:val="20"/>
              </w:rPr>
            </w:pPr>
            <w:r w:rsidRPr="004219BC">
              <w:rPr>
                <w:rFonts w:ascii="Calibri" w:hAnsi="Calibri" w:cs="Calibri"/>
                <w:bCs/>
                <w:szCs w:val="20"/>
              </w:rPr>
              <w:t> </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4219BC" w:rsidRPr="004219BC" w:rsidRDefault="004219BC" w:rsidP="00C95EBA">
            <w:pPr>
              <w:spacing w:before="40" w:after="40"/>
              <w:jc w:val="center"/>
              <w:rPr>
                <w:rFonts w:ascii="Calibri" w:hAnsi="Calibri" w:cs="Calibri"/>
                <w:szCs w:val="20"/>
              </w:rPr>
            </w:pPr>
            <w:r w:rsidRPr="004219BC">
              <w:rPr>
                <w:rFonts w:ascii="Calibri" w:hAnsi="Calibri" w:cs="Calibri"/>
                <w:bCs/>
                <w:szCs w:val="20"/>
              </w:rPr>
              <w:t>2016</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4219BC" w:rsidRPr="004219BC" w:rsidRDefault="004219BC" w:rsidP="00C95EBA">
            <w:pPr>
              <w:spacing w:before="40" w:after="40"/>
              <w:jc w:val="center"/>
              <w:rPr>
                <w:rFonts w:ascii="Calibri" w:hAnsi="Calibri" w:cs="Calibri"/>
                <w:szCs w:val="20"/>
              </w:rPr>
            </w:pPr>
            <w:r w:rsidRPr="004219BC">
              <w:rPr>
                <w:rFonts w:ascii="Calibri" w:hAnsi="Calibri" w:cs="Calibri"/>
                <w:bCs/>
                <w:szCs w:val="20"/>
              </w:rPr>
              <w:t>2017</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4219BC" w:rsidRPr="004219BC" w:rsidRDefault="004219BC" w:rsidP="00C95EBA">
            <w:pPr>
              <w:spacing w:before="40" w:after="40"/>
              <w:jc w:val="center"/>
              <w:rPr>
                <w:rFonts w:ascii="Calibri" w:hAnsi="Calibri" w:cs="Calibri"/>
                <w:szCs w:val="20"/>
              </w:rPr>
            </w:pPr>
            <w:r w:rsidRPr="004219BC">
              <w:rPr>
                <w:rFonts w:ascii="Calibri" w:hAnsi="Calibri" w:cs="Calibri"/>
                <w:bCs/>
                <w:szCs w:val="20"/>
              </w:rPr>
              <w:t>2020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4219BC" w:rsidRPr="004219BC" w:rsidRDefault="004219BC" w:rsidP="00C95EBA">
            <w:pPr>
              <w:spacing w:before="40" w:after="40"/>
              <w:jc w:val="center"/>
              <w:rPr>
                <w:rFonts w:ascii="Calibri" w:hAnsi="Calibri" w:cs="Calibri"/>
                <w:szCs w:val="20"/>
              </w:rPr>
            </w:pPr>
            <w:r w:rsidRPr="004219BC">
              <w:rPr>
                <w:rFonts w:ascii="Calibri" w:hAnsi="Calibri" w:cs="Calibri"/>
                <w:bCs/>
                <w:szCs w:val="20"/>
              </w:rPr>
              <w:t>2025</w:t>
            </w:r>
          </w:p>
        </w:tc>
        <w:tc>
          <w:tcPr>
            <w:tcW w:w="661" w:type="pct"/>
            <w:tcBorders>
              <w:top w:val="single" w:sz="8" w:space="0" w:color="999999"/>
              <w:left w:val="nil"/>
              <w:bottom w:val="single" w:sz="8" w:space="0" w:color="999999"/>
              <w:right w:val="single" w:sz="8" w:space="0" w:color="999999"/>
            </w:tcBorders>
            <w:shd w:val="clear" w:color="auto" w:fill="1A1D5D"/>
            <w:vAlign w:val="center"/>
          </w:tcPr>
          <w:p w:rsidR="004219BC" w:rsidRPr="004219BC" w:rsidRDefault="004219BC" w:rsidP="00C95EBA">
            <w:pPr>
              <w:spacing w:before="40" w:after="40"/>
              <w:jc w:val="center"/>
              <w:rPr>
                <w:rFonts w:ascii="Calibri" w:hAnsi="Calibri" w:cs="Calibri"/>
                <w:szCs w:val="20"/>
              </w:rPr>
            </w:pPr>
            <w:r w:rsidRPr="004219BC">
              <w:rPr>
                <w:rFonts w:ascii="Calibri" w:hAnsi="Calibri" w:cs="Calibri"/>
                <w:bCs/>
                <w:szCs w:val="20"/>
              </w:rPr>
              <w:t>2035</w:t>
            </w:r>
          </w:p>
        </w:tc>
      </w:tr>
      <w:tr w:rsidR="004219BC"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left"/>
              <w:rPr>
                <w:rFonts w:cs="Calibri"/>
                <w:b/>
              </w:rPr>
            </w:pPr>
            <w:r w:rsidRPr="004219BC">
              <w:rPr>
                <w:rFonts w:cs="Calibri"/>
                <w:b/>
              </w:rPr>
              <w:t>Baseline projection (GWh)</w:t>
            </w:r>
          </w:p>
        </w:tc>
        <w:tc>
          <w:tcPr>
            <w:tcW w:w="659" w:type="pct"/>
            <w:tcBorders>
              <w:top w:val="nil"/>
              <w:left w:val="nil"/>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right"/>
              <w:rPr>
                <w:rFonts w:cs="Calibri"/>
              </w:rPr>
            </w:pPr>
            <w:r w:rsidRPr="004219BC">
              <w:rPr>
                <w:rFonts w:cs="Calibri"/>
              </w:rPr>
              <w:t>949</w:t>
            </w:r>
          </w:p>
        </w:tc>
        <w:tc>
          <w:tcPr>
            <w:tcW w:w="659" w:type="pct"/>
            <w:tcBorders>
              <w:top w:val="nil"/>
              <w:left w:val="nil"/>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right"/>
              <w:rPr>
                <w:rFonts w:cs="Calibri"/>
              </w:rPr>
            </w:pPr>
            <w:r w:rsidRPr="004219BC">
              <w:rPr>
                <w:rFonts w:cs="Calibri"/>
              </w:rPr>
              <w:t>950</w:t>
            </w:r>
          </w:p>
        </w:tc>
        <w:tc>
          <w:tcPr>
            <w:tcW w:w="659" w:type="pct"/>
            <w:tcBorders>
              <w:top w:val="nil"/>
              <w:left w:val="nil"/>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right"/>
              <w:rPr>
                <w:rFonts w:cs="Calibri"/>
              </w:rPr>
            </w:pPr>
            <w:r w:rsidRPr="004219BC">
              <w:rPr>
                <w:rFonts w:cs="Calibri"/>
              </w:rPr>
              <w:t>960</w:t>
            </w:r>
          </w:p>
        </w:tc>
        <w:tc>
          <w:tcPr>
            <w:tcW w:w="659" w:type="pct"/>
            <w:tcBorders>
              <w:top w:val="nil"/>
              <w:left w:val="single" w:sz="4" w:space="0" w:color="808080" w:themeColor="background1" w:themeShade="80"/>
              <w:bottom w:val="single" w:sz="8" w:space="0" w:color="999999"/>
              <w:right w:val="single" w:sz="8" w:space="0" w:color="999999"/>
            </w:tcBorders>
            <w:shd w:val="clear" w:color="auto" w:fill="auto"/>
            <w:noWrap/>
            <w:vAlign w:val="center"/>
            <w:hideMark/>
          </w:tcPr>
          <w:p w:rsidR="004219BC" w:rsidRPr="004219BC" w:rsidRDefault="004219BC" w:rsidP="004219BC">
            <w:pPr>
              <w:pStyle w:val="TableText"/>
              <w:jc w:val="right"/>
              <w:rPr>
                <w:rFonts w:cs="Calibri"/>
              </w:rPr>
            </w:pPr>
            <w:r w:rsidRPr="004219BC">
              <w:rPr>
                <w:rFonts w:cs="Calibri"/>
              </w:rPr>
              <w:t>983</w:t>
            </w:r>
          </w:p>
        </w:tc>
        <w:tc>
          <w:tcPr>
            <w:tcW w:w="661" w:type="pct"/>
            <w:tcBorders>
              <w:top w:val="nil"/>
              <w:left w:val="nil"/>
              <w:bottom w:val="single" w:sz="8" w:space="0" w:color="999999"/>
              <w:right w:val="single" w:sz="8" w:space="0" w:color="999999"/>
            </w:tcBorders>
            <w:vAlign w:val="center"/>
          </w:tcPr>
          <w:p w:rsidR="004219BC" w:rsidRPr="004219BC" w:rsidRDefault="004219BC" w:rsidP="004219BC">
            <w:pPr>
              <w:pStyle w:val="TableText"/>
              <w:jc w:val="right"/>
              <w:rPr>
                <w:rFonts w:cs="Calibri"/>
              </w:rPr>
            </w:pPr>
            <w:r w:rsidRPr="004219BC">
              <w:rPr>
                <w:rFonts w:cs="Calibri"/>
              </w:rPr>
              <w:t>1,063</w:t>
            </w:r>
          </w:p>
        </w:tc>
      </w:tr>
      <w:tr w:rsidR="004219BC" w:rsidRPr="004219BC" w:rsidTr="00EA2B8E">
        <w:trPr>
          <w:trHeight w:val="288"/>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4219BC" w:rsidRPr="004219BC" w:rsidRDefault="004219BC" w:rsidP="00C95EBA">
            <w:pPr>
              <w:pStyle w:val="TableText"/>
              <w:jc w:val="left"/>
              <w:rPr>
                <w:rFonts w:cs="Calibri"/>
                <w:b/>
              </w:rPr>
            </w:pPr>
            <w:r w:rsidRPr="004219BC">
              <w:rPr>
                <w:rFonts w:cs="Calibri"/>
                <w:b/>
              </w:rPr>
              <w:t>Cumulative Net Savings (GWh)</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4</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33</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98</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4219BC" w:rsidRPr="004219BC" w:rsidRDefault="004219BC" w:rsidP="004219BC">
            <w:pPr>
              <w:pStyle w:val="TableText"/>
              <w:jc w:val="right"/>
              <w:rPr>
                <w:rFonts w:cs="Calibri"/>
              </w:rPr>
            </w:pPr>
            <w:r w:rsidRPr="004219BC">
              <w:rPr>
                <w:rFonts w:cs="Calibri"/>
              </w:rPr>
              <w:t>198</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19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55</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127</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4219BC" w:rsidRPr="004219BC" w:rsidRDefault="004219BC" w:rsidP="004219BC">
            <w:pPr>
              <w:pStyle w:val="TableText"/>
              <w:jc w:val="right"/>
              <w:rPr>
                <w:rFonts w:cs="Calibri"/>
              </w:rPr>
            </w:pPr>
            <w:r w:rsidRPr="004219BC">
              <w:rPr>
                <w:rFonts w:cs="Calibri"/>
              </w:rPr>
              <w:t>234</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23</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45</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112</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4219BC" w:rsidRPr="004219BC" w:rsidRDefault="004219BC" w:rsidP="004219BC">
            <w:pPr>
              <w:pStyle w:val="TableText"/>
              <w:jc w:val="right"/>
              <w:rPr>
                <w:rFonts w:cs="Calibri"/>
              </w:rPr>
            </w:pPr>
            <w:r w:rsidRPr="004219BC">
              <w:rPr>
                <w:rFonts w:cs="Calibri"/>
              </w:rPr>
              <w:t>221</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4219BC" w:rsidRPr="004219BC" w:rsidRDefault="004219BC" w:rsidP="004219BC">
            <w:pPr>
              <w:pStyle w:val="TableText"/>
              <w:jc w:val="right"/>
              <w:rPr>
                <w:rFonts w:cs="Calibri"/>
              </w:rPr>
            </w:pPr>
            <w:r w:rsidRPr="004219BC">
              <w:rPr>
                <w:rFonts w:cs="Calibri"/>
              </w:rPr>
              <w:t>349</w:t>
            </w:r>
          </w:p>
        </w:tc>
      </w:tr>
      <w:tr w:rsidR="004219BC" w:rsidRPr="004219BC" w:rsidTr="00EA2B8E">
        <w:trPr>
          <w:trHeight w:val="288"/>
        </w:trPr>
        <w:tc>
          <w:tcPr>
            <w:tcW w:w="5000" w:type="pct"/>
            <w:gridSpan w:val="6"/>
            <w:tcBorders>
              <w:top w:val="single" w:sz="8" w:space="0" w:color="999999"/>
              <w:left w:val="single" w:sz="8" w:space="0" w:color="999999"/>
              <w:bottom w:val="single" w:sz="8" w:space="0" w:color="999999"/>
              <w:right w:val="single" w:sz="8" w:space="0" w:color="999999"/>
            </w:tcBorders>
            <w:shd w:val="clear" w:color="auto" w:fill="auto"/>
            <w:noWrap/>
            <w:vAlign w:val="center"/>
          </w:tcPr>
          <w:p w:rsidR="004219BC" w:rsidRPr="004219BC" w:rsidRDefault="004219BC" w:rsidP="00C95EBA">
            <w:pPr>
              <w:pStyle w:val="TableText"/>
              <w:jc w:val="left"/>
              <w:rPr>
                <w:rFonts w:cs="Calibri"/>
                <w:b/>
              </w:rPr>
            </w:pPr>
            <w:r w:rsidRPr="004219BC">
              <w:rPr>
                <w:rFonts w:cs="Calibri"/>
                <w:b/>
              </w:rPr>
              <w:t>Cumulative Net Savings (aMW)</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4219BC" w:rsidRPr="004219BC" w:rsidRDefault="004219BC" w:rsidP="004219BC">
            <w:pPr>
              <w:pStyle w:val="TableText"/>
              <w:jc w:val="left"/>
              <w:rPr>
                <w:rFonts w:cs="Calibri"/>
              </w:rPr>
            </w:pPr>
            <w:r w:rsidRPr="004219BC">
              <w:rPr>
                <w:rFonts w:cs="Calibri"/>
              </w:rPr>
              <w:t>Achievable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0.5</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1.0</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3.8</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11.2</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4219BC" w:rsidRPr="004219BC" w:rsidRDefault="004219BC" w:rsidP="004219BC">
            <w:pPr>
              <w:pStyle w:val="TableText"/>
              <w:jc w:val="right"/>
              <w:rPr>
                <w:rFonts w:cs="Calibri"/>
              </w:rPr>
            </w:pPr>
            <w:r w:rsidRPr="004219BC">
              <w:rPr>
                <w:rFonts w:cs="Calibri"/>
              </w:rPr>
              <w:t>22.6</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4219BC" w:rsidRPr="004219BC" w:rsidRDefault="004219BC" w:rsidP="004219BC">
            <w:pPr>
              <w:pStyle w:val="TableText"/>
              <w:jc w:val="left"/>
              <w:rPr>
                <w:rFonts w:cs="Calibri"/>
              </w:rPr>
            </w:pPr>
            <w:r w:rsidRPr="004219BC">
              <w:rPr>
                <w:rFonts w:cs="Calibri"/>
              </w:rPr>
              <w:t>Economic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1.1</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2.2</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6.2</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14.5</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4219BC" w:rsidRPr="004219BC" w:rsidRDefault="004219BC" w:rsidP="004219BC">
            <w:pPr>
              <w:pStyle w:val="TableText"/>
              <w:jc w:val="right"/>
              <w:rPr>
                <w:rFonts w:cs="Calibri"/>
              </w:rPr>
            </w:pPr>
            <w:r w:rsidRPr="004219BC">
              <w:rPr>
                <w:rFonts w:cs="Calibri"/>
              </w:rPr>
              <w:t>26.7</w:t>
            </w:r>
          </w:p>
        </w:tc>
      </w:tr>
      <w:tr w:rsidR="004219BC"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4219BC" w:rsidRPr="004219BC" w:rsidRDefault="004219BC" w:rsidP="004219BC">
            <w:pPr>
              <w:pStyle w:val="TableText"/>
              <w:jc w:val="left"/>
              <w:rPr>
                <w:rFonts w:cs="Calibri"/>
              </w:rPr>
            </w:pPr>
            <w:r w:rsidRPr="004219BC">
              <w:rPr>
                <w:rFonts w:cs="Calibri"/>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2.6</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5.2</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12.8</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4219BC" w:rsidRPr="004219BC" w:rsidRDefault="004219BC" w:rsidP="004219BC">
            <w:pPr>
              <w:pStyle w:val="TableText"/>
              <w:jc w:val="right"/>
              <w:rPr>
                <w:rFonts w:cs="Calibri"/>
              </w:rPr>
            </w:pPr>
            <w:r w:rsidRPr="004219BC">
              <w:rPr>
                <w:rFonts w:cs="Calibri"/>
              </w:rPr>
              <w:t>25.3</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4219BC" w:rsidRPr="004219BC" w:rsidRDefault="004219BC" w:rsidP="004219BC">
            <w:pPr>
              <w:pStyle w:val="TableText"/>
              <w:jc w:val="right"/>
              <w:rPr>
                <w:rFonts w:cs="Calibri"/>
              </w:rPr>
            </w:pPr>
            <w:r w:rsidRPr="004219BC">
              <w:rPr>
                <w:rFonts w:cs="Calibri"/>
              </w:rPr>
              <w:t>39.9</w:t>
            </w:r>
          </w:p>
        </w:tc>
      </w:tr>
      <w:tr w:rsidR="004219BC" w:rsidRPr="004219BC" w:rsidTr="00EA2B8E">
        <w:trPr>
          <w:trHeight w:val="288"/>
        </w:trPr>
        <w:tc>
          <w:tcPr>
            <w:tcW w:w="5000" w:type="pct"/>
            <w:gridSpan w:val="6"/>
            <w:tcBorders>
              <w:top w:val="nil"/>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4219BC" w:rsidRPr="004219BC" w:rsidRDefault="004219BC" w:rsidP="00C95EBA">
            <w:pPr>
              <w:pStyle w:val="TableText"/>
              <w:jc w:val="left"/>
              <w:rPr>
                <w:rFonts w:cs="Calibri"/>
                <w:b/>
              </w:rPr>
            </w:pPr>
            <w:r w:rsidRPr="004219BC">
              <w:rPr>
                <w:rFonts w:cs="Calibri"/>
                <w:b/>
              </w:rPr>
              <w:t>Cumulative Net Savings as a % of Baseline</w:t>
            </w:r>
          </w:p>
        </w:tc>
      </w:tr>
      <w:tr w:rsidR="004219BC"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Achievable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0.4%</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1.0%</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3.5%</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9.9%</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4219BC" w:rsidRPr="004219BC" w:rsidRDefault="004219BC" w:rsidP="004219BC">
            <w:pPr>
              <w:pStyle w:val="TableText"/>
              <w:jc w:val="right"/>
              <w:rPr>
                <w:rFonts w:cs="Calibri"/>
              </w:rPr>
            </w:pPr>
            <w:r w:rsidRPr="004219BC">
              <w:rPr>
                <w:rFonts w:cs="Calibri"/>
              </w:rPr>
              <w:t>18.7%</w:t>
            </w:r>
          </w:p>
        </w:tc>
      </w:tr>
      <w:tr w:rsidR="004219BC"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Economic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1.0%</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2.0%</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5.7%</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12.9%</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4219BC" w:rsidRPr="004219BC" w:rsidRDefault="004219BC" w:rsidP="004219BC">
            <w:pPr>
              <w:pStyle w:val="TableText"/>
              <w:jc w:val="right"/>
              <w:rPr>
                <w:rFonts w:cs="Calibri"/>
              </w:rPr>
            </w:pPr>
            <w:r w:rsidRPr="004219BC">
              <w:rPr>
                <w:rFonts w:cs="Calibri"/>
              </w:rPr>
              <w:t>22.0%</w:t>
            </w:r>
          </w:p>
        </w:tc>
      </w:tr>
      <w:tr w:rsidR="004219BC"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left"/>
              <w:rPr>
                <w:rFonts w:cs="Calibri"/>
              </w:rPr>
            </w:pPr>
            <w:r w:rsidRPr="004219BC">
              <w:rPr>
                <w:rFonts w:cs="Calibri"/>
              </w:rPr>
              <w:t xml:space="preserve">Technical Potential </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2.4%</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4.7%</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11.7%</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4219BC" w:rsidRPr="004219BC" w:rsidRDefault="004219BC" w:rsidP="004219BC">
            <w:pPr>
              <w:pStyle w:val="TableText"/>
              <w:jc w:val="right"/>
              <w:rPr>
                <w:rFonts w:cs="Calibri"/>
              </w:rPr>
            </w:pPr>
            <w:r w:rsidRPr="004219BC">
              <w:rPr>
                <w:rFonts w:cs="Calibri"/>
              </w:rPr>
              <w:t>22.5%</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4219BC" w:rsidRPr="004219BC" w:rsidRDefault="004219BC" w:rsidP="004219BC">
            <w:pPr>
              <w:pStyle w:val="TableText"/>
              <w:jc w:val="right"/>
              <w:rPr>
                <w:rFonts w:cs="Calibri"/>
              </w:rPr>
            </w:pPr>
            <w:r w:rsidRPr="004219BC">
              <w:rPr>
                <w:rFonts w:cs="Calibri"/>
              </w:rPr>
              <w:t>32.9%</w:t>
            </w:r>
          </w:p>
        </w:tc>
      </w:tr>
    </w:tbl>
    <w:p w:rsidR="004219BC" w:rsidRDefault="004219BC" w:rsidP="008115B5">
      <w:pPr>
        <w:pStyle w:val="FigureorTableTitle"/>
      </w:pPr>
      <w:bookmarkStart w:id="467" w:name="_Ref422840149"/>
      <w:bookmarkStart w:id="468" w:name="_Toc424192744"/>
      <w:r w:rsidRPr="00483E25">
        <w:t xml:space="preserve">Figure </w:t>
      </w:r>
      <w:r w:rsidR="00512CD6">
        <w:fldChar w:fldCharType="begin"/>
      </w:r>
      <w:r w:rsidR="00512CD6">
        <w:instrText xml:space="preserve"> STYLEREF  "Heading 1,Chap Num" \n  \* MERGEFORMAT </w:instrText>
      </w:r>
      <w:r w:rsidR="00512CD6">
        <w:fldChar w:fldCharType="separate"/>
      </w:r>
      <w:r w:rsidR="00B2652C">
        <w:rPr>
          <w:noProof/>
        </w:rPr>
        <w:t>5</w:t>
      </w:r>
      <w:r w:rsidR="00512CD6">
        <w:rPr>
          <w:noProof/>
        </w:rPr>
        <w:fldChar w:fldCharType="end"/>
      </w:r>
      <w:r w:rsidRPr="00483E25">
        <w:t>-</w:t>
      </w:r>
      <w:r w:rsidR="00512CD6">
        <w:fldChar w:fldCharType="begin"/>
      </w:r>
      <w:r w:rsidR="00512CD6">
        <w:instrText xml:space="preserve"> SEQ Figure\s 1 \* MERGEFORMAT </w:instrText>
      </w:r>
      <w:r w:rsidR="00512CD6">
        <w:fldChar w:fldCharType="separate"/>
      </w:r>
      <w:r w:rsidR="00B2652C">
        <w:rPr>
          <w:noProof/>
        </w:rPr>
        <w:t>10</w:t>
      </w:r>
      <w:r w:rsidR="00512CD6">
        <w:rPr>
          <w:noProof/>
        </w:rPr>
        <w:fldChar w:fldCharType="end"/>
      </w:r>
      <w:bookmarkEnd w:id="467"/>
      <w:r>
        <w:tab/>
        <w:t>Commercial Conservation Savings (Energy), Washington</w:t>
      </w:r>
      <w:bookmarkEnd w:id="468"/>
    </w:p>
    <w:p w:rsidR="004219BC" w:rsidRPr="004219BC" w:rsidRDefault="004219BC" w:rsidP="00C37896">
      <w:pPr>
        <w:pStyle w:val="BodyText"/>
        <w:rPr>
          <w:b/>
        </w:rPr>
      </w:pPr>
      <w:r w:rsidRPr="004219BC">
        <w:rPr>
          <w:noProof/>
        </w:rPr>
        <w:drawing>
          <wp:inline distT="0" distB="0" distL="0" distR="0">
            <wp:extent cx="5715000" cy="2894135"/>
            <wp:effectExtent l="0" t="0" r="0" b="190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15000" cy="2894135"/>
                    </a:xfrm>
                    <a:prstGeom prst="rect">
                      <a:avLst/>
                    </a:prstGeom>
                    <a:noFill/>
                    <a:ln>
                      <a:noFill/>
                    </a:ln>
                  </pic:spPr>
                </pic:pic>
              </a:graphicData>
            </a:graphic>
          </wp:inline>
        </w:drawing>
      </w:r>
    </w:p>
    <w:p w:rsidR="00157088" w:rsidRPr="00E07587" w:rsidRDefault="00157088" w:rsidP="008115B5">
      <w:pPr>
        <w:pStyle w:val="FigureorTableTitle"/>
      </w:pPr>
      <w:bookmarkStart w:id="469" w:name="_Ref337027214"/>
      <w:bookmarkStart w:id="470" w:name="_Ref343189558"/>
      <w:bookmarkStart w:id="471" w:name="_Toc341180533"/>
      <w:bookmarkStart w:id="472" w:name="_Toc387951610"/>
      <w:bookmarkStart w:id="473" w:name="_Toc424192745"/>
      <w:r w:rsidRPr="00483E25">
        <w:lastRenderedPageBreak/>
        <w:t xml:space="preserve">Figure </w:t>
      </w:r>
      <w:r w:rsidR="00512CD6">
        <w:fldChar w:fldCharType="begin"/>
      </w:r>
      <w:r w:rsidR="00512CD6">
        <w:instrText xml:space="preserve"> STYLEREF  "Heading 1,Chap Num" \n  \* MERGEFORMAT </w:instrText>
      </w:r>
      <w:r w:rsidR="00512CD6">
        <w:fldChar w:fldCharType="separate"/>
      </w:r>
      <w:r w:rsidR="00B2652C">
        <w:rPr>
          <w:noProof/>
        </w:rPr>
        <w:t>5</w:t>
      </w:r>
      <w:r w:rsidR="00512CD6">
        <w:rPr>
          <w:noProof/>
        </w:rPr>
        <w:fldChar w:fldCharType="end"/>
      </w:r>
      <w:r w:rsidRPr="00483E25">
        <w:t>-</w:t>
      </w:r>
      <w:r w:rsidR="00512CD6">
        <w:fldChar w:fldCharType="begin"/>
      </w:r>
      <w:r w:rsidR="00512CD6">
        <w:instrText xml:space="preserve"> SEQ Figure\s 1 \* MERGEFORMAT </w:instrText>
      </w:r>
      <w:r w:rsidR="00512CD6">
        <w:fldChar w:fldCharType="separate"/>
      </w:r>
      <w:r w:rsidR="00B2652C">
        <w:rPr>
          <w:noProof/>
        </w:rPr>
        <w:t>11</w:t>
      </w:r>
      <w:r w:rsidR="00512CD6">
        <w:rPr>
          <w:noProof/>
        </w:rPr>
        <w:fldChar w:fldCharType="end"/>
      </w:r>
      <w:bookmarkEnd w:id="469"/>
      <w:bookmarkEnd w:id="470"/>
      <w:r>
        <w:tab/>
        <w:t xml:space="preserve">Commercial </w:t>
      </w:r>
      <w:r w:rsidR="00DA2C9E">
        <w:t>Conservation</w:t>
      </w:r>
      <w:r>
        <w:t xml:space="preserve"> Savings</w:t>
      </w:r>
      <w:bookmarkEnd w:id="471"/>
      <w:r>
        <w:t xml:space="preserve"> (Energy)</w:t>
      </w:r>
      <w:bookmarkEnd w:id="472"/>
      <w:r w:rsidR="004219BC">
        <w:t>, Idaho</w:t>
      </w:r>
      <w:bookmarkEnd w:id="473"/>
    </w:p>
    <w:p w:rsidR="00331CD2" w:rsidRDefault="004219BC" w:rsidP="00157088">
      <w:pPr>
        <w:pStyle w:val="BodyText"/>
      </w:pPr>
      <w:r w:rsidRPr="004219BC">
        <w:rPr>
          <w:noProof/>
        </w:rPr>
        <w:drawing>
          <wp:inline distT="0" distB="0" distL="0" distR="0">
            <wp:extent cx="5715000" cy="2894135"/>
            <wp:effectExtent l="0" t="0" r="0" b="190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15000" cy="2894135"/>
                    </a:xfrm>
                    <a:prstGeom prst="rect">
                      <a:avLst/>
                    </a:prstGeom>
                    <a:noFill/>
                    <a:ln>
                      <a:noFill/>
                    </a:ln>
                  </pic:spPr>
                </pic:pic>
              </a:graphicData>
            </a:graphic>
          </wp:inline>
        </w:drawing>
      </w:r>
    </w:p>
    <w:p w:rsidR="003D3D72" w:rsidRDefault="003D3D72">
      <w:pPr>
        <w:rPr>
          <w:spacing w:val="4"/>
          <w:szCs w:val="18"/>
        </w:rPr>
      </w:pPr>
    </w:p>
    <w:p w:rsidR="00BF1060" w:rsidRDefault="00BF1060">
      <w:bookmarkStart w:id="474" w:name="_Toc248744180"/>
      <w:bookmarkStart w:id="475" w:name="_Toc257011275"/>
      <w:bookmarkStart w:id="476" w:name="_Toc278535936"/>
      <w:bookmarkStart w:id="477" w:name="_Toc285452627"/>
      <w:bookmarkStart w:id="478" w:name="_Toc297120496"/>
      <w:bookmarkStart w:id="479" w:name="_Toc314728421"/>
      <w:bookmarkStart w:id="480" w:name="_Toc333955942"/>
      <w:bookmarkStart w:id="481" w:name="_Ref334042648"/>
      <w:bookmarkStart w:id="482" w:name="_Toc297120497"/>
      <w:bookmarkStart w:id="483" w:name="_Toc314728422"/>
      <w:r>
        <w:br w:type="page"/>
      </w:r>
    </w:p>
    <w:p w:rsidR="008F2252" w:rsidRDefault="008353B7" w:rsidP="00FB49AC">
      <w:r>
        <w:lastRenderedPageBreak/>
        <w:t xml:space="preserve">Below, we present the top </w:t>
      </w:r>
      <w:r w:rsidR="00331CD2">
        <w:t xml:space="preserve">commercial </w:t>
      </w:r>
      <w:r>
        <w:t>measures from the perspective of annual energy use</w:t>
      </w:r>
      <w:r w:rsidR="008F2252">
        <w:t xml:space="preserve"> for Washington and Idaho combined, followed by each state on its own</w:t>
      </w:r>
      <w:r>
        <w:t>.</w:t>
      </w:r>
    </w:p>
    <w:p w:rsidR="008F2252" w:rsidRDefault="008F2252" w:rsidP="00FB49AC"/>
    <w:p w:rsidR="008F2252" w:rsidRPr="002171D7" w:rsidRDefault="00893E3D" w:rsidP="008F2252">
      <w:pPr>
        <w:pStyle w:val="BodyText"/>
      </w:pPr>
      <w:r>
        <w:fldChar w:fldCharType="begin"/>
      </w:r>
      <w:r w:rsidR="008F2252">
        <w:instrText xml:space="preserve"> REF _Ref424190872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13</w:t>
      </w:r>
      <w:r>
        <w:fldChar w:fldCharType="end"/>
      </w:r>
      <w:r w:rsidR="008F2252">
        <w:t xml:space="preserve"> identifies the top 20 </w:t>
      </w:r>
      <w:r w:rsidR="008F2252" w:rsidRPr="002C1F25">
        <w:t>commercial-sector measures from the perspective of annual energy savings in 20</w:t>
      </w:r>
      <w:r w:rsidR="008F2252">
        <w:t>17 for Washington and Idaho combined</w:t>
      </w:r>
      <w:r w:rsidR="008F2252" w:rsidRPr="002C1F25">
        <w:t xml:space="preserve">. </w:t>
      </w:r>
      <w:r w:rsidR="008F2252">
        <w:t>T</w:t>
      </w:r>
      <w:r w:rsidR="008F2252" w:rsidRPr="002C1F25">
        <w:t xml:space="preserve">he top measure is interior LED replacements for linear-fluorescent style lighting applications. </w:t>
      </w:r>
      <w:r w:rsidR="008F2252">
        <w:t>Lighting dominates the top 10 measures. Other measures among the top 10 include</w:t>
      </w:r>
      <w:r w:rsidR="008F2252" w:rsidRPr="002C1F25">
        <w:t xml:space="preserve"> </w:t>
      </w:r>
      <w:r w:rsidR="008F2252">
        <w:t>chilled water reset, duct repair and sealing, and night covers for open display cases in grocery stores.</w:t>
      </w:r>
    </w:p>
    <w:p w:rsidR="008353B7" w:rsidRDefault="008353B7" w:rsidP="00FB49AC"/>
    <w:p w:rsidR="008F2252" w:rsidRDefault="008F2252" w:rsidP="008F2252">
      <w:pPr>
        <w:pStyle w:val="FigureorTableTitle"/>
      </w:pPr>
      <w:bookmarkStart w:id="484" w:name="_Ref424190872"/>
      <w:bookmarkStart w:id="485" w:name="_Toc424192808"/>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13</w:t>
      </w:r>
      <w:r w:rsidR="00512CD6">
        <w:rPr>
          <w:bCs w:val="0"/>
          <w:iCs w:val="0"/>
          <w:noProof/>
        </w:rPr>
        <w:fldChar w:fldCharType="end"/>
      </w:r>
      <w:bookmarkEnd w:id="484"/>
      <w:r>
        <w:tab/>
        <w:t>Commercial Top Measures in 2017 (Annual Energy, MWh), Washington and Idaho</w:t>
      </w:r>
      <w:bookmarkEnd w:id="485"/>
    </w:p>
    <w:tbl>
      <w:tblPr>
        <w:tblW w:w="5000" w:type="pct"/>
        <w:tblCellMar>
          <w:left w:w="0" w:type="dxa"/>
          <w:right w:w="0" w:type="dxa"/>
        </w:tblCellMar>
        <w:tblLook w:val="04A0" w:firstRow="1" w:lastRow="0" w:firstColumn="1" w:lastColumn="0" w:noHBand="0" w:noVBand="1"/>
      </w:tblPr>
      <w:tblGrid>
        <w:gridCol w:w="1199"/>
        <w:gridCol w:w="4670"/>
        <w:gridCol w:w="1578"/>
        <w:gridCol w:w="1578"/>
      </w:tblGrid>
      <w:tr w:rsidR="00BF1060" w:rsidRPr="006C0A42" w:rsidTr="005F1A2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1A1D5D"/>
            <w:vAlign w:val="center"/>
          </w:tcPr>
          <w:p w:rsidR="00BF1060" w:rsidRPr="00500407" w:rsidRDefault="00BF1060" w:rsidP="005F1A24">
            <w:pPr>
              <w:jc w:val="center"/>
              <w:textAlignment w:val="bottom"/>
              <w:rPr>
                <w:rFonts w:ascii="Calibri" w:hAnsi="Calibri" w:cs="Arial"/>
                <w:bCs/>
                <w:color w:val="FFFFFF"/>
                <w:kern w:val="24"/>
                <w:szCs w:val="20"/>
              </w:rPr>
            </w:pPr>
            <w:r w:rsidRPr="00500407">
              <w:rPr>
                <w:rFonts w:ascii="Calibri" w:hAnsi="Calibri" w:cs="Arial"/>
                <w:bCs/>
                <w:color w:val="FFFFFF"/>
                <w:kern w:val="24"/>
                <w:szCs w:val="20"/>
              </w:rPr>
              <w:t>R</w:t>
            </w:r>
            <w:r>
              <w:rPr>
                <w:rFonts w:ascii="Calibri" w:hAnsi="Calibri" w:cs="Arial"/>
                <w:bCs/>
                <w:color w:val="FFFFFF"/>
                <w:kern w:val="24"/>
                <w:szCs w:val="20"/>
              </w:rPr>
              <w:t>ank</w:t>
            </w:r>
          </w:p>
        </w:tc>
        <w:tc>
          <w:tcPr>
            <w:tcW w:w="2587" w:type="pct"/>
            <w:tcBorders>
              <w:top w:val="single" w:sz="8" w:space="0" w:color="4F4F4F"/>
              <w:left w:val="single" w:sz="8" w:space="0" w:color="4F4F4F"/>
              <w:bottom w:val="single" w:sz="8" w:space="0" w:color="4F4F4F"/>
              <w:right w:val="single" w:sz="8" w:space="0" w:color="4F4F4F"/>
            </w:tcBorders>
            <w:shd w:val="clear" w:color="auto" w:fill="1A1D5D"/>
            <w:tcMar>
              <w:top w:w="15" w:type="dxa"/>
              <w:left w:w="144" w:type="dxa"/>
              <w:bottom w:w="0" w:type="dxa"/>
              <w:right w:w="15" w:type="dxa"/>
            </w:tcMar>
            <w:vAlign w:val="center"/>
            <w:hideMark/>
          </w:tcPr>
          <w:p w:rsidR="00BF1060" w:rsidRPr="00500407" w:rsidRDefault="00BF1060" w:rsidP="005F1A24">
            <w:pPr>
              <w:jc w:val="center"/>
              <w:textAlignment w:val="bottom"/>
              <w:rPr>
                <w:rFonts w:ascii="Arial" w:hAnsi="Arial" w:cs="Arial"/>
                <w:szCs w:val="20"/>
              </w:rPr>
            </w:pPr>
            <w:r>
              <w:rPr>
                <w:rFonts w:ascii="Calibri" w:hAnsi="Calibri" w:cs="Arial"/>
                <w:bCs/>
                <w:color w:val="FFFFFF"/>
                <w:kern w:val="24"/>
                <w:szCs w:val="20"/>
              </w:rPr>
              <w:t>Commercial Measure</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BF1060" w:rsidRPr="00500407" w:rsidRDefault="00BF1060" w:rsidP="005F1A24">
            <w:pPr>
              <w:jc w:val="center"/>
              <w:textAlignment w:val="center"/>
              <w:rPr>
                <w:rFonts w:ascii="Arial" w:hAnsi="Arial" w:cs="Arial"/>
                <w:szCs w:val="20"/>
              </w:rPr>
            </w:pPr>
            <w:r w:rsidRPr="00500407">
              <w:rPr>
                <w:rFonts w:ascii="Calibri" w:hAnsi="Calibri" w:cs="Arial"/>
                <w:bCs/>
                <w:color w:val="FFFFFF"/>
                <w:kern w:val="24"/>
                <w:szCs w:val="20"/>
              </w:rPr>
              <w:t>20</w:t>
            </w:r>
            <w:r>
              <w:rPr>
                <w:rFonts w:ascii="Calibri" w:hAnsi="Calibri" w:cs="Arial"/>
                <w:bCs/>
                <w:color w:val="FFFFFF"/>
                <w:kern w:val="24"/>
                <w:szCs w:val="20"/>
              </w:rPr>
              <w:t>17</w:t>
            </w:r>
            <w:r w:rsidRPr="00500407">
              <w:rPr>
                <w:rFonts w:ascii="Calibri" w:hAnsi="Calibri" w:cs="Arial"/>
                <w:bCs/>
                <w:color w:val="FFFFFF"/>
                <w:kern w:val="24"/>
                <w:szCs w:val="20"/>
              </w:rPr>
              <w:t xml:space="preserve"> Cumulative </w:t>
            </w:r>
            <w:r>
              <w:rPr>
                <w:rFonts w:ascii="Calibri" w:hAnsi="Calibri" w:cs="Arial"/>
                <w:bCs/>
                <w:color w:val="FFFFFF"/>
                <w:kern w:val="24"/>
                <w:szCs w:val="20"/>
              </w:rPr>
              <w:t>Energy</w:t>
            </w:r>
            <w:r w:rsidRPr="00500407">
              <w:rPr>
                <w:rFonts w:ascii="Calibri" w:hAnsi="Calibri" w:cs="Arial"/>
                <w:bCs/>
                <w:color w:val="FFFFFF"/>
                <w:kern w:val="24"/>
                <w:szCs w:val="20"/>
              </w:rPr>
              <w:t xml:space="preserve"> Savings </w:t>
            </w:r>
            <w:r>
              <w:rPr>
                <w:rFonts w:ascii="Calibri" w:hAnsi="Calibri" w:cs="Arial"/>
                <w:bCs/>
                <w:color w:val="FFFFFF"/>
                <w:kern w:val="24"/>
                <w:szCs w:val="20"/>
              </w:rPr>
              <w:br/>
            </w:r>
            <w:r w:rsidRPr="00500407">
              <w:rPr>
                <w:rFonts w:ascii="Calibri" w:hAnsi="Calibri" w:cs="Arial"/>
                <w:bCs/>
                <w:color w:val="FFFFFF"/>
                <w:kern w:val="24"/>
                <w:szCs w:val="20"/>
              </w:rPr>
              <w:t>(</w:t>
            </w:r>
            <w:r>
              <w:rPr>
                <w:rFonts w:ascii="Calibri" w:hAnsi="Calibri" w:cs="Arial"/>
                <w:bCs/>
                <w:color w:val="FFFFFF"/>
                <w:kern w:val="24"/>
                <w:szCs w:val="20"/>
              </w:rPr>
              <w:t>MWh</w:t>
            </w:r>
            <w:r w:rsidRPr="00500407">
              <w:rPr>
                <w:rFonts w:ascii="Calibri" w:hAnsi="Calibri" w:cs="Arial"/>
                <w:bCs/>
                <w:color w:val="FFFFFF"/>
                <w:kern w:val="24"/>
                <w:szCs w:val="20"/>
              </w:rPr>
              <w:t xml:space="preserve">) </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BF1060" w:rsidRPr="00BD1C84" w:rsidRDefault="00BF1060" w:rsidP="005F1A24">
            <w:pPr>
              <w:jc w:val="center"/>
              <w:textAlignment w:val="center"/>
              <w:rPr>
                <w:rFonts w:ascii="Arial" w:hAnsi="Arial" w:cs="Arial"/>
                <w:szCs w:val="20"/>
              </w:rPr>
            </w:pPr>
            <w:r w:rsidRPr="00BD1C84">
              <w:rPr>
                <w:rFonts w:ascii="Calibri" w:hAnsi="Calibri" w:cs="Arial"/>
                <w:bCs/>
                <w:iCs/>
                <w:color w:val="FFFFFF"/>
                <w:kern w:val="24"/>
                <w:szCs w:val="20"/>
              </w:rPr>
              <w:t xml:space="preserve">% of </w:t>
            </w:r>
            <w:r w:rsidRPr="00BD1C84">
              <w:rPr>
                <w:rFonts w:ascii="Calibri" w:hAnsi="Calibri" w:cs="Arial"/>
                <w:bCs/>
                <w:iCs/>
                <w:color w:val="FFFFFF"/>
                <w:kern w:val="24"/>
                <w:szCs w:val="20"/>
              </w:rPr>
              <w:br/>
              <w:t xml:space="preserve">Total </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 xml:space="preserve">Interior Lighting - Linear </w:t>
            </w:r>
            <w:r>
              <w:rPr>
                <w:rFonts w:ascii="Calibri" w:hAnsi="Calibri" w:cs="Calibri"/>
                <w:color w:val="000000"/>
                <w:szCs w:val="22"/>
              </w:rPr>
              <w:t>LED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6,604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23.3%</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Interior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3,889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13.7%</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Chiller - Chilled Water Reset</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1,362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4.8%</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 xml:space="preserve">Exterior Lighting - Linear </w:t>
            </w:r>
            <w:r>
              <w:rPr>
                <w:rFonts w:ascii="Calibri" w:hAnsi="Calibri" w:cs="Calibri"/>
                <w:color w:val="000000"/>
                <w:szCs w:val="22"/>
              </w:rPr>
              <w:t>LED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1,135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4.0%</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Interior Lighting - High-Bay Fixtures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1,130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4.0%</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HVAC - Duct Repair and Sealing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1,068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3.8%</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Interior Lighting - Occupancy Sensors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975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3.4%</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Interior Lighting - Skylights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831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2.9%</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Exterior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702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2.5%</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Exterior Lighting - HID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671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2.4%</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Grocery - Open Display Case - Night Covers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661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2.3%</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Insulation - Ducting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599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2.1%</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Refrigerator - High Efficiency Compressor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575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2.0%</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Cooling - Water-Cooled Chiller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540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1.9%</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HVAC - Economizer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519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1.8%</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Food Preparation - Dishwasher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506</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1.8%</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Insulation - Ceiling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475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1.7%</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Space Heating - Heat Recovery Ventilator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468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1.7%</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19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Exterior Lighting - Bi-Level Fixture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458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1.6%</w:t>
            </w:r>
          </w:p>
        </w:tc>
      </w:tr>
      <w:tr w:rsidR="00BF1060" w:rsidRPr="006C0A42" w:rsidTr="00BF1060">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355D78" w:rsidRDefault="00BF1060" w:rsidP="00BF1060">
            <w:pPr>
              <w:pStyle w:val="NormalWeb"/>
              <w:jc w:val="center"/>
              <w:textAlignment w:val="center"/>
              <w:rPr>
                <w:rFonts w:ascii="Calibri" w:hAnsi="Calibri" w:cs="Arial"/>
                <w:color w:val="000000"/>
                <w:kern w:val="24"/>
                <w:szCs w:val="20"/>
              </w:rPr>
            </w:pPr>
            <w:r>
              <w:rPr>
                <w:rFonts w:ascii="Calibri" w:hAnsi="Calibri" w:cs="Arial"/>
                <w:color w:val="000000"/>
                <w:kern w:val="24"/>
                <w:szCs w:val="20"/>
              </w:rPr>
              <w:t>20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BF1060" w:rsidRPr="00BF1060" w:rsidRDefault="00BF1060" w:rsidP="00BF1060">
            <w:pPr>
              <w:pStyle w:val="NormalWeb"/>
              <w:ind w:left="144"/>
              <w:textAlignment w:val="center"/>
              <w:rPr>
                <w:rFonts w:ascii="Calibri" w:hAnsi="Calibri" w:cs="Arial"/>
                <w:color w:val="000000"/>
                <w:kern w:val="24"/>
                <w:szCs w:val="20"/>
              </w:rPr>
            </w:pPr>
            <w:r w:rsidRPr="00BF1060">
              <w:rPr>
                <w:rFonts w:ascii="Calibri" w:hAnsi="Calibri" w:cs="Calibri"/>
                <w:color w:val="000000"/>
                <w:szCs w:val="22"/>
              </w:rPr>
              <w:t>Exterior Lighting - Photovoltaic Installation</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453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BF1060" w:rsidRPr="00BF1060" w:rsidRDefault="00BF1060" w:rsidP="00BF1060">
            <w:pPr>
              <w:pStyle w:val="NormalWeb"/>
              <w:ind w:right="288"/>
              <w:jc w:val="right"/>
              <w:textAlignment w:val="center"/>
              <w:rPr>
                <w:rFonts w:ascii="Calibri" w:hAnsi="Calibri" w:cs="Arial"/>
                <w:color w:val="000000"/>
                <w:kern w:val="24"/>
                <w:szCs w:val="20"/>
              </w:rPr>
            </w:pPr>
            <w:r w:rsidRPr="00BF1060">
              <w:rPr>
                <w:rFonts w:ascii="Calibri" w:hAnsi="Calibri" w:cs="Calibri"/>
                <w:color w:val="000000"/>
                <w:szCs w:val="22"/>
              </w:rPr>
              <w:t>1.6%</w:t>
            </w:r>
          </w:p>
        </w:tc>
      </w:tr>
      <w:tr w:rsidR="00BF1060" w:rsidRPr="006C0A42" w:rsidTr="005F1A2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BF1060" w:rsidRPr="00D65F77" w:rsidRDefault="00BF1060" w:rsidP="005F1A24">
            <w:pPr>
              <w:pStyle w:val="NormalWeb"/>
              <w:jc w:val="center"/>
              <w:textAlignment w:val="center"/>
              <w:rPr>
                <w:rFonts w:ascii="Calibri" w:hAnsi="Calibri" w:cs="Arial"/>
                <w:b/>
                <w:color w:val="000000"/>
                <w:kern w:val="24"/>
                <w:szCs w:val="20"/>
              </w:rPr>
            </w:pPr>
            <w:r w:rsidRPr="00D65F77">
              <w:rPr>
                <w:rFonts w:ascii="Calibri" w:hAnsi="Calibri" w:cs="Arial"/>
                <w:b/>
                <w:color w:val="000000"/>
                <w:kern w:val="24"/>
                <w:szCs w:val="20"/>
              </w:rPr>
              <w:t>Total</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BF1060" w:rsidRPr="00D65F77" w:rsidRDefault="00BF1060" w:rsidP="005F1A24">
            <w:pPr>
              <w:pStyle w:val="NormalWeb"/>
              <w:ind w:left="144"/>
              <w:textAlignment w:val="center"/>
              <w:rPr>
                <w:rFonts w:ascii="Calibri" w:hAnsi="Calibri" w:cs="Arial"/>
                <w:b/>
                <w:color w:val="000000"/>
                <w:kern w:val="24"/>
                <w:szCs w:val="20"/>
              </w:rPr>
            </w:pPr>
            <w:r w:rsidRPr="00D65F77">
              <w:rPr>
                <w:rFonts w:ascii="Calibri" w:hAnsi="Calibri" w:cs="Arial"/>
                <w:b/>
                <w:color w:val="000000"/>
                <w:kern w:val="24"/>
                <w:szCs w:val="20"/>
              </w:rPr>
              <w:t>Total Top 20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D65F77" w:rsidRDefault="00BF1060" w:rsidP="005F1A24">
            <w:pPr>
              <w:pStyle w:val="NormalWeb"/>
              <w:ind w:right="288"/>
              <w:jc w:val="right"/>
              <w:textAlignment w:val="center"/>
              <w:rPr>
                <w:rFonts w:ascii="Calibri" w:hAnsi="Calibri" w:cs="Arial"/>
                <w:b/>
                <w:color w:val="000000"/>
                <w:kern w:val="24"/>
                <w:szCs w:val="20"/>
              </w:rPr>
            </w:pPr>
            <w:r>
              <w:rPr>
                <w:rFonts w:ascii="Calibri" w:hAnsi="Calibri" w:cs="Arial"/>
                <w:b/>
                <w:color w:val="000000"/>
                <w:kern w:val="24"/>
                <w:szCs w:val="20"/>
              </w:rPr>
              <w:t>23,620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BF1060" w:rsidRPr="00D65F77" w:rsidRDefault="00BF1060" w:rsidP="005F1A24">
            <w:pPr>
              <w:pStyle w:val="NormalWeb"/>
              <w:ind w:right="288"/>
              <w:jc w:val="right"/>
              <w:textAlignment w:val="center"/>
              <w:rPr>
                <w:rFonts w:ascii="Calibri" w:hAnsi="Calibri" w:cs="Arial"/>
                <w:b/>
                <w:color w:val="000000"/>
                <w:kern w:val="24"/>
                <w:szCs w:val="20"/>
              </w:rPr>
            </w:pPr>
            <w:r w:rsidRPr="00D65F77">
              <w:rPr>
                <w:rFonts w:ascii="Calibri" w:hAnsi="Calibri" w:cs="Arial"/>
                <w:b/>
                <w:color w:val="000000"/>
                <w:kern w:val="24"/>
                <w:szCs w:val="20"/>
              </w:rPr>
              <w:t>83.0%</w:t>
            </w:r>
          </w:p>
        </w:tc>
      </w:tr>
    </w:tbl>
    <w:p w:rsidR="008F2252" w:rsidRDefault="008F2252" w:rsidP="00FB49AC"/>
    <w:p w:rsidR="008F2252" w:rsidRPr="001F3A53" w:rsidRDefault="008F2252" w:rsidP="00FB49AC"/>
    <w:p w:rsidR="008353B7" w:rsidRPr="002171D7" w:rsidRDefault="00893E3D" w:rsidP="008353B7">
      <w:pPr>
        <w:pStyle w:val="BodyText"/>
      </w:pPr>
      <w:r>
        <w:fldChar w:fldCharType="begin"/>
      </w:r>
      <w:r w:rsidR="00167B97">
        <w:instrText xml:space="preserve"> REF _Ref402254384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14</w:t>
      </w:r>
      <w:r>
        <w:fldChar w:fldCharType="end"/>
      </w:r>
      <w:r w:rsidR="00F55853">
        <w:t xml:space="preserve"> </w:t>
      </w:r>
      <w:r w:rsidR="008353B7">
        <w:t xml:space="preserve">identifies the top 20 </w:t>
      </w:r>
      <w:r w:rsidR="00125F3F" w:rsidRPr="002C1F25">
        <w:t>commercial-sector</w:t>
      </w:r>
      <w:r w:rsidR="008353B7" w:rsidRPr="002C1F25">
        <w:t xml:space="preserve"> measures from the perspective of annual energy savings in 20</w:t>
      </w:r>
      <w:r w:rsidR="00F232D6">
        <w:t>1</w:t>
      </w:r>
      <w:r w:rsidR="007F4CC7">
        <w:t>7</w:t>
      </w:r>
      <w:r w:rsidR="008F2252">
        <w:t xml:space="preserve"> in Washington</w:t>
      </w:r>
      <w:r w:rsidR="00BF1060">
        <w:t xml:space="preserve"> and </w:t>
      </w:r>
      <w:r>
        <w:fldChar w:fldCharType="begin"/>
      </w:r>
      <w:r w:rsidR="00BF1060">
        <w:instrText xml:space="preserve"> REF _Ref424190975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15</w:t>
      </w:r>
      <w:r>
        <w:fldChar w:fldCharType="end"/>
      </w:r>
      <w:r w:rsidR="00BF1060">
        <w:t xml:space="preserve"> shows the top measures for Idaho</w:t>
      </w:r>
      <w:r w:rsidR="008353B7" w:rsidRPr="002C1F25">
        <w:t xml:space="preserve">. </w:t>
      </w:r>
      <w:r w:rsidR="003940D2">
        <w:t>For both states, t</w:t>
      </w:r>
      <w:r w:rsidR="008353B7" w:rsidRPr="002C1F25">
        <w:t xml:space="preserve">he top measure is </w:t>
      </w:r>
      <w:r w:rsidR="002C1F25" w:rsidRPr="002C1F25">
        <w:t xml:space="preserve">interior LED </w:t>
      </w:r>
      <w:r w:rsidR="00331CD2" w:rsidRPr="002C1F25">
        <w:t>replacement</w:t>
      </w:r>
      <w:r w:rsidR="002C1F25" w:rsidRPr="002C1F25">
        <w:t xml:space="preserve">s for linear-fluorescent style lighting applications. </w:t>
      </w:r>
      <w:r w:rsidR="009427D5">
        <w:t xml:space="preserve">Lighting dominates the top </w:t>
      </w:r>
      <w:r w:rsidR="007F4CC7">
        <w:t>10</w:t>
      </w:r>
      <w:r w:rsidR="009427D5">
        <w:t xml:space="preserve"> measures</w:t>
      </w:r>
      <w:r w:rsidR="007F4CC7">
        <w:t>. Other measures among the top 10 include</w:t>
      </w:r>
      <w:r w:rsidR="00FC18C3" w:rsidRPr="002C1F25">
        <w:t xml:space="preserve"> </w:t>
      </w:r>
      <w:r w:rsidR="007F4CC7">
        <w:t xml:space="preserve">chilled water reset, duct repair and sealing, and night covers </w:t>
      </w:r>
      <w:r w:rsidR="00267026">
        <w:t>for</w:t>
      </w:r>
      <w:r w:rsidR="007F4CC7">
        <w:t xml:space="preserve"> open display cases </w:t>
      </w:r>
      <w:r w:rsidR="00267026">
        <w:t>in</w:t>
      </w:r>
      <w:r w:rsidR="007F4CC7">
        <w:t xml:space="preserve"> grocery stores.</w:t>
      </w:r>
    </w:p>
    <w:p w:rsidR="00970EA3" w:rsidRDefault="00512CD6" w:rsidP="00970EA3">
      <w:pPr>
        <w:pStyle w:val="BodyText"/>
      </w:pPr>
      <w:r>
        <w:fldChar w:fldCharType="begin"/>
      </w:r>
      <w:r>
        <w:instrText xml:space="preserve"> REF _Ref401924657 \h  \* MERGEFORMAT </w:instrText>
      </w:r>
      <w:r>
        <w:fldChar w:fldCharType="separate"/>
      </w:r>
      <w:r w:rsidR="00B2652C" w:rsidRPr="00E07587">
        <w:t xml:space="preserve">Figure </w:t>
      </w:r>
      <w:r w:rsidR="00B2652C" w:rsidRPr="00B2652C">
        <w:rPr>
          <w:noProof/>
        </w:rPr>
        <w:t>5</w:t>
      </w:r>
      <w:r w:rsidR="00B2652C" w:rsidRPr="00E07587">
        <w:rPr>
          <w:noProof/>
        </w:rPr>
        <w:t>-</w:t>
      </w:r>
      <w:r w:rsidR="00B2652C" w:rsidRPr="00B2652C">
        <w:rPr>
          <w:noProof/>
        </w:rPr>
        <w:t>12</w:t>
      </w:r>
      <w:r>
        <w:fldChar w:fldCharType="end"/>
      </w:r>
      <w:r w:rsidR="00267026">
        <w:t xml:space="preserve"> (WA) and </w:t>
      </w:r>
      <w:r w:rsidR="00893E3D">
        <w:fldChar w:fldCharType="begin"/>
      </w:r>
      <w:r w:rsidR="00267026">
        <w:instrText xml:space="preserve"> REF _Ref422840839 \h </w:instrText>
      </w:r>
      <w:r w:rsidR="00893E3D">
        <w:fldChar w:fldCharType="separate"/>
      </w:r>
      <w:r w:rsidR="00B2652C" w:rsidRPr="00E07587">
        <w:t xml:space="preserve">Figure </w:t>
      </w:r>
      <w:r w:rsidR="00B2652C" w:rsidRPr="00B2652C">
        <w:rPr>
          <w:noProof/>
        </w:rPr>
        <w:t>5</w:t>
      </w:r>
      <w:r w:rsidR="00B2652C" w:rsidRPr="00E07587">
        <w:t>-</w:t>
      </w:r>
      <w:r w:rsidR="00B2652C" w:rsidRPr="00B2652C">
        <w:rPr>
          <w:noProof/>
        </w:rPr>
        <w:t>13</w:t>
      </w:r>
      <w:r w:rsidR="00893E3D">
        <w:fldChar w:fldCharType="end"/>
      </w:r>
      <w:r w:rsidR="00267026">
        <w:t xml:space="preserve"> (ID)</w:t>
      </w:r>
      <w:r w:rsidR="00F55853" w:rsidRPr="002171D7">
        <w:t xml:space="preserve"> </w:t>
      </w:r>
      <w:r w:rsidR="00970EA3" w:rsidRPr="002171D7">
        <w:t>present</w:t>
      </w:r>
      <w:r w:rsidR="00970EA3">
        <w:t xml:space="preserve"> forecasts of </w:t>
      </w:r>
      <w:r w:rsidR="0007775A">
        <w:t xml:space="preserve">cumulative </w:t>
      </w:r>
      <w:r w:rsidR="00970EA3">
        <w:t>energy savings by end use. Lighting savings from interior and exterior applications account for a substantial portion of the savings throughout the forecast horizon. Cooling savings are also substantial throughout the forecast.</w:t>
      </w:r>
    </w:p>
    <w:p w:rsidR="008353B7" w:rsidRDefault="00167B97" w:rsidP="008115B5">
      <w:pPr>
        <w:pStyle w:val="FigureorTableTitle"/>
      </w:pPr>
      <w:bookmarkStart w:id="486" w:name="_Ref402254384"/>
      <w:bookmarkStart w:id="487" w:name="_Toc424192809"/>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14</w:t>
      </w:r>
      <w:r w:rsidR="00512CD6">
        <w:rPr>
          <w:bCs w:val="0"/>
          <w:iCs w:val="0"/>
          <w:noProof/>
        </w:rPr>
        <w:fldChar w:fldCharType="end"/>
      </w:r>
      <w:bookmarkEnd w:id="486"/>
      <w:r w:rsidR="008353B7">
        <w:tab/>
      </w:r>
      <w:r w:rsidR="00970EA3">
        <w:t xml:space="preserve">Commercial </w:t>
      </w:r>
      <w:r w:rsidR="008353B7">
        <w:t>Top Measures in 20</w:t>
      </w:r>
      <w:r w:rsidR="00F232D6">
        <w:t>1</w:t>
      </w:r>
      <w:r w:rsidR="00D65F77">
        <w:t>7</w:t>
      </w:r>
      <w:r w:rsidR="00F232D6">
        <w:t xml:space="preserve"> </w:t>
      </w:r>
      <w:r w:rsidR="008353B7">
        <w:t xml:space="preserve">(Annual Energy, </w:t>
      </w:r>
      <w:r w:rsidR="00F232D6">
        <w:t>M</w:t>
      </w:r>
      <w:r w:rsidR="008353B7">
        <w:t>Wh)</w:t>
      </w:r>
      <w:r w:rsidR="00D65F77">
        <w:t>, Washington</w:t>
      </w:r>
      <w:bookmarkEnd w:id="487"/>
    </w:p>
    <w:tbl>
      <w:tblPr>
        <w:tblW w:w="5000" w:type="pct"/>
        <w:tblCellMar>
          <w:left w:w="0" w:type="dxa"/>
          <w:right w:w="0" w:type="dxa"/>
        </w:tblCellMar>
        <w:tblLook w:val="04A0" w:firstRow="1" w:lastRow="0" w:firstColumn="1" w:lastColumn="0" w:noHBand="0" w:noVBand="1"/>
      </w:tblPr>
      <w:tblGrid>
        <w:gridCol w:w="1199"/>
        <w:gridCol w:w="4670"/>
        <w:gridCol w:w="1578"/>
        <w:gridCol w:w="1578"/>
      </w:tblGrid>
      <w:tr w:rsidR="008353B7" w:rsidRPr="006C0A42" w:rsidTr="009427D5">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1A1D5D"/>
            <w:vAlign w:val="center"/>
          </w:tcPr>
          <w:p w:rsidR="008353B7" w:rsidRPr="00500407" w:rsidRDefault="008353B7" w:rsidP="008353B7">
            <w:pPr>
              <w:jc w:val="center"/>
              <w:textAlignment w:val="bottom"/>
              <w:rPr>
                <w:rFonts w:ascii="Calibri" w:hAnsi="Calibri" w:cs="Arial"/>
                <w:bCs/>
                <w:color w:val="FFFFFF"/>
                <w:kern w:val="24"/>
                <w:szCs w:val="20"/>
              </w:rPr>
            </w:pPr>
            <w:r w:rsidRPr="00500407">
              <w:rPr>
                <w:rFonts w:ascii="Calibri" w:hAnsi="Calibri" w:cs="Arial"/>
                <w:bCs/>
                <w:color w:val="FFFFFF"/>
                <w:kern w:val="24"/>
                <w:szCs w:val="20"/>
              </w:rPr>
              <w:t>R</w:t>
            </w:r>
            <w:r>
              <w:rPr>
                <w:rFonts w:ascii="Calibri" w:hAnsi="Calibri" w:cs="Arial"/>
                <w:bCs/>
                <w:color w:val="FFFFFF"/>
                <w:kern w:val="24"/>
                <w:szCs w:val="20"/>
              </w:rPr>
              <w:t>ank</w:t>
            </w:r>
          </w:p>
        </w:tc>
        <w:tc>
          <w:tcPr>
            <w:tcW w:w="2587" w:type="pct"/>
            <w:tcBorders>
              <w:top w:val="single" w:sz="8" w:space="0" w:color="4F4F4F"/>
              <w:left w:val="single" w:sz="8" w:space="0" w:color="4F4F4F"/>
              <w:bottom w:val="single" w:sz="8" w:space="0" w:color="4F4F4F"/>
              <w:right w:val="single" w:sz="8" w:space="0" w:color="4F4F4F"/>
            </w:tcBorders>
            <w:shd w:val="clear" w:color="auto" w:fill="1A1D5D"/>
            <w:tcMar>
              <w:top w:w="15" w:type="dxa"/>
              <w:left w:w="144" w:type="dxa"/>
              <w:bottom w:w="0" w:type="dxa"/>
              <w:right w:w="15" w:type="dxa"/>
            </w:tcMar>
            <w:vAlign w:val="center"/>
            <w:hideMark/>
          </w:tcPr>
          <w:p w:rsidR="008353B7" w:rsidRPr="00500407" w:rsidRDefault="00125F3F" w:rsidP="009427D5">
            <w:pPr>
              <w:jc w:val="center"/>
              <w:textAlignment w:val="bottom"/>
              <w:rPr>
                <w:rFonts w:ascii="Arial" w:hAnsi="Arial" w:cs="Arial"/>
                <w:szCs w:val="20"/>
              </w:rPr>
            </w:pPr>
            <w:r>
              <w:rPr>
                <w:rFonts w:ascii="Calibri" w:hAnsi="Calibri" w:cs="Arial"/>
                <w:bCs/>
                <w:color w:val="FFFFFF"/>
                <w:kern w:val="24"/>
                <w:szCs w:val="20"/>
              </w:rPr>
              <w:t>Commercial Measure</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8353B7" w:rsidRPr="00500407" w:rsidRDefault="008353B7" w:rsidP="00D65F77">
            <w:pPr>
              <w:jc w:val="center"/>
              <w:textAlignment w:val="center"/>
              <w:rPr>
                <w:rFonts w:ascii="Arial" w:hAnsi="Arial" w:cs="Arial"/>
                <w:szCs w:val="20"/>
              </w:rPr>
            </w:pPr>
            <w:r w:rsidRPr="00500407">
              <w:rPr>
                <w:rFonts w:ascii="Calibri" w:hAnsi="Calibri" w:cs="Arial"/>
                <w:bCs/>
                <w:color w:val="FFFFFF"/>
                <w:kern w:val="24"/>
                <w:szCs w:val="20"/>
              </w:rPr>
              <w:t>20</w:t>
            </w:r>
            <w:r w:rsidR="009427D5">
              <w:rPr>
                <w:rFonts w:ascii="Calibri" w:hAnsi="Calibri" w:cs="Arial"/>
                <w:bCs/>
                <w:color w:val="FFFFFF"/>
                <w:kern w:val="24"/>
                <w:szCs w:val="20"/>
              </w:rPr>
              <w:t>1</w:t>
            </w:r>
            <w:r w:rsidR="00D65F77">
              <w:rPr>
                <w:rFonts w:ascii="Calibri" w:hAnsi="Calibri" w:cs="Arial"/>
                <w:bCs/>
                <w:color w:val="FFFFFF"/>
                <w:kern w:val="24"/>
                <w:szCs w:val="20"/>
              </w:rPr>
              <w:t>7</w:t>
            </w:r>
            <w:r w:rsidRPr="00500407">
              <w:rPr>
                <w:rFonts w:ascii="Calibri" w:hAnsi="Calibri" w:cs="Arial"/>
                <w:bCs/>
                <w:color w:val="FFFFFF"/>
                <w:kern w:val="24"/>
                <w:szCs w:val="20"/>
              </w:rPr>
              <w:t xml:space="preserve"> Cumulative </w:t>
            </w:r>
            <w:r>
              <w:rPr>
                <w:rFonts w:ascii="Calibri" w:hAnsi="Calibri" w:cs="Arial"/>
                <w:bCs/>
                <w:color w:val="FFFFFF"/>
                <w:kern w:val="24"/>
                <w:szCs w:val="20"/>
              </w:rPr>
              <w:t>Energy</w:t>
            </w:r>
            <w:r w:rsidRPr="00500407">
              <w:rPr>
                <w:rFonts w:ascii="Calibri" w:hAnsi="Calibri" w:cs="Arial"/>
                <w:bCs/>
                <w:color w:val="FFFFFF"/>
                <w:kern w:val="24"/>
                <w:szCs w:val="20"/>
              </w:rPr>
              <w:t xml:space="preserve"> Savings </w:t>
            </w:r>
            <w:r>
              <w:rPr>
                <w:rFonts w:ascii="Calibri" w:hAnsi="Calibri" w:cs="Arial"/>
                <w:bCs/>
                <w:color w:val="FFFFFF"/>
                <w:kern w:val="24"/>
                <w:szCs w:val="20"/>
              </w:rPr>
              <w:br/>
            </w:r>
            <w:r w:rsidRPr="00500407">
              <w:rPr>
                <w:rFonts w:ascii="Calibri" w:hAnsi="Calibri" w:cs="Arial"/>
                <w:bCs/>
                <w:color w:val="FFFFFF"/>
                <w:kern w:val="24"/>
                <w:szCs w:val="20"/>
              </w:rPr>
              <w:t>(</w:t>
            </w:r>
            <w:r w:rsidR="009427D5">
              <w:rPr>
                <w:rFonts w:ascii="Calibri" w:hAnsi="Calibri" w:cs="Arial"/>
                <w:bCs/>
                <w:color w:val="FFFFFF"/>
                <w:kern w:val="24"/>
                <w:szCs w:val="20"/>
              </w:rPr>
              <w:t>M</w:t>
            </w:r>
            <w:r>
              <w:rPr>
                <w:rFonts w:ascii="Calibri" w:hAnsi="Calibri" w:cs="Arial"/>
                <w:bCs/>
                <w:color w:val="FFFFFF"/>
                <w:kern w:val="24"/>
                <w:szCs w:val="20"/>
              </w:rPr>
              <w:t>Wh</w:t>
            </w:r>
            <w:r w:rsidRPr="00500407">
              <w:rPr>
                <w:rFonts w:ascii="Calibri" w:hAnsi="Calibri" w:cs="Arial"/>
                <w:bCs/>
                <w:color w:val="FFFFFF"/>
                <w:kern w:val="24"/>
                <w:szCs w:val="20"/>
              </w:rPr>
              <w:t xml:space="preserve">) </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8353B7" w:rsidRPr="00BD1C84" w:rsidRDefault="008353B7" w:rsidP="008353B7">
            <w:pPr>
              <w:jc w:val="center"/>
              <w:textAlignment w:val="center"/>
              <w:rPr>
                <w:rFonts w:ascii="Arial" w:hAnsi="Arial" w:cs="Arial"/>
                <w:szCs w:val="20"/>
              </w:rPr>
            </w:pPr>
            <w:r w:rsidRPr="00BD1C84">
              <w:rPr>
                <w:rFonts w:ascii="Calibri" w:hAnsi="Calibri" w:cs="Arial"/>
                <w:bCs/>
                <w:iCs/>
                <w:color w:val="FFFFFF"/>
                <w:kern w:val="24"/>
                <w:szCs w:val="20"/>
              </w:rPr>
              <w:t xml:space="preserve">% of </w:t>
            </w:r>
            <w:r w:rsidRPr="00BD1C84">
              <w:rPr>
                <w:rFonts w:ascii="Calibri" w:hAnsi="Calibri" w:cs="Arial"/>
                <w:bCs/>
                <w:iCs/>
                <w:color w:val="FFFFFF"/>
                <w:kern w:val="24"/>
                <w:szCs w:val="20"/>
              </w:rPr>
              <w:br/>
              <w:t xml:space="preserve">Total </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BF1060">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 xml:space="preserve">Interior Lighting - Linear </w:t>
            </w:r>
            <w:r w:rsidR="00BF1060">
              <w:rPr>
                <w:rFonts w:ascii="Calibri" w:hAnsi="Calibri" w:cs="Arial"/>
                <w:color w:val="000000"/>
                <w:kern w:val="24"/>
                <w:szCs w:val="20"/>
              </w:rPr>
              <w:t>LED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4,470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23.1%</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Interior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2,652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13.7%</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Chiller - Chilled Water Reset</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924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4.8%</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HVAC - Duct Repair and Sealing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793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4.1%</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Interior Lighting - High-Bay Fixtures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764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4.0%</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BF1060">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 xml:space="preserve">Exterior Lighting - Linear </w:t>
            </w:r>
            <w:r w:rsidR="00BF1060">
              <w:rPr>
                <w:rFonts w:ascii="Calibri" w:hAnsi="Calibri" w:cs="Arial"/>
                <w:color w:val="000000"/>
                <w:kern w:val="24"/>
                <w:szCs w:val="20"/>
              </w:rPr>
              <w:t>LED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688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3.6%</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Interior Lighting - Occupancy Sensors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678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3.5%</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Interior Lighting - Skylights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561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2.9%</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Exterior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478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2.5%</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Grocery - Open Display Case - Night Covers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459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2.4%</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Exterior Lighting - HID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454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2.3%</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Insulation - Ducting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408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2.1%</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Refrigerator - High Efficiency Compressor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401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2.1%</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Cooling - Water-Cooled Chiller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391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2.0%</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Food Preparation - Dishwasher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347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1.8%</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HVAC - Economizer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345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1.8%</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Insulation - Ceiling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337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1.7%</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Space Heating - Heat Recovery Ventilator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315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1.6%</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Exterior Lighting - Bi-Level Fixture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299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1.5%</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20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D65F77">
            <w:pPr>
              <w:pStyle w:val="NormalWeb"/>
              <w:ind w:left="144"/>
              <w:textAlignment w:val="center"/>
              <w:rPr>
                <w:rFonts w:ascii="Calibri" w:hAnsi="Calibri" w:cs="Arial"/>
                <w:color w:val="000000"/>
                <w:kern w:val="24"/>
                <w:szCs w:val="20"/>
              </w:rPr>
            </w:pPr>
            <w:r w:rsidRPr="00D65F77">
              <w:rPr>
                <w:rFonts w:ascii="Calibri" w:hAnsi="Calibri" w:cs="Arial"/>
                <w:color w:val="000000"/>
                <w:kern w:val="24"/>
                <w:szCs w:val="20"/>
              </w:rPr>
              <w:t>Exterior Lighting - Photovoltaic Installation</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289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D65F77">
            <w:pPr>
              <w:pStyle w:val="NormalWeb"/>
              <w:ind w:right="288"/>
              <w:jc w:val="right"/>
              <w:textAlignment w:val="center"/>
              <w:rPr>
                <w:rFonts w:ascii="Calibri" w:hAnsi="Calibri" w:cs="Arial"/>
                <w:color w:val="000000"/>
                <w:kern w:val="24"/>
                <w:szCs w:val="20"/>
              </w:rPr>
            </w:pPr>
            <w:r w:rsidRPr="00D65F77">
              <w:rPr>
                <w:rFonts w:ascii="Calibri" w:hAnsi="Calibri" w:cs="Arial"/>
                <w:color w:val="000000"/>
                <w:kern w:val="24"/>
                <w:szCs w:val="20"/>
              </w:rPr>
              <w:t>1.5%</w:t>
            </w:r>
          </w:p>
        </w:tc>
      </w:tr>
      <w:tr w:rsidR="00D65F77" w:rsidRPr="006C0A42" w:rsidTr="00D65F7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D65F77" w:rsidRDefault="00D65F77" w:rsidP="00D65F77">
            <w:pPr>
              <w:pStyle w:val="NormalWeb"/>
              <w:jc w:val="center"/>
              <w:textAlignment w:val="center"/>
              <w:rPr>
                <w:rFonts w:ascii="Calibri" w:hAnsi="Calibri" w:cs="Arial"/>
                <w:b/>
                <w:color w:val="000000"/>
                <w:kern w:val="24"/>
                <w:szCs w:val="20"/>
              </w:rPr>
            </w:pPr>
            <w:r w:rsidRPr="00D65F77">
              <w:rPr>
                <w:rFonts w:ascii="Calibri" w:hAnsi="Calibri" w:cs="Arial"/>
                <w:b/>
                <w:color w:val="000000"/>
                <w:kern w:val="24"/>
                <w:szCs w:val="20"/>
              </w:rPr>
              <w:t>Total</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D65F77" w:rsidRPr="00D65F77" w:rsidRDefault="00D65F77" w:rsidP="00D65F77">
            <w:pPr>
              <w:pStyle w:val="NormalWeb"/>
              <w:ind w:left="144"/>
              <w:textAlignment w:val="center"/>
              <w:rPr>
                <w:rFonts w:ascii="Calibri" w:hAnsi="Calibri" w:cs="Arial"/>
                <w:b/>
                <w:color w:val="000000"/>
                <w:kern w:val="24"/>
                <w:szCs w:val="20"/>
              </w:rPr>
            </w:pPr>
            <w:r w:rsidRPr="00D65F77">
              <w:rPr>
                <w:rFonts w:ascii="Calibri" w:hAnsi="Calibri" w:cs="Arial"/>
                <w:b/>
                <w:color w:val="000000"/>
                <w:kern w:val="24"/>
                <w:szCs w:val="20"/>
              </w:rPr>
              <w:t>Total Top 20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b/>
                <w:color w:val="000000"/>
                <w:kern w:val="24"/>
                <w:szCs w:val="20"/>
              </w:rPr>
            </w:pPr>
            <w:r w:rsidRPr="00D65F77">
              <w:rPr>
                <w:rFonts w:ascii="Calibri" w:hAnsi="Calibri" w:cs="Arial"/>
                <w:b/>
                <w:color w:val="000000"/>
                <w:kern w:val="24"/>
                <w:szCs w:val="20"/>
              </w:rPr>
              <w:t>16,053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D65F77">
            <w:pPr>
              <w:pStyle w:val="NormalWeb"/>
              <w:ind w:right="288"/>
              <w:jc w:val="right"/>
              <w:textAlignment w:val="center"/>
              <w:rPr>
                <w:rFonts w:ascii="Calibri" w:hAnsi="Calibri" w:cs="Arial"/>
                <w:b/>
                <w:color w:val="000000"/>
                <w:kern w:val="24"/>
                <w:szCs w:val="20"/>
              </w:rPr>
            </w:pPr>
            <w:r w:rsidRPr="00D65F77">
              <w:rPr>
                <w:rFonts w:ascii="Calibri" w:hAnsi="Calibri" w:cs="Arial"/>
                <w:b/>
                <w:color w:val="000000"/>
                <w:kern w:val="24"/>
                <w:szCs w:val="20"/>
              </w:rPr>
              <w:t>83.0%</w:t>
            </w:r>
          </w:p>
        </w:tc>
      </w:tr>
    </w:tbl>
    <w:p w:rsidR="00A65ACB" w:rsidRDefault="00A65ACB" w:rsidP="00A65ACB">
      <w:pPr>
        <w:pStyle w:val="FigureorTableTitle"/>
      </w:pPr>
      <w:bookmarkStart w:id="488" w:name="_Ref401924657"/>
      <w:bookmarkStart w:id="489" w:name="_Toc424192746"/>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12</w:t>
      </w:r>
      <w:r w:rsidR="00512CD6">
        <w:rPr>
          <w:noProof/>
          <w:szCs w:val="18"/>
        </w:rPr>
        <w:fldChar w:fldCharType="end"/>
      </w:r>
      <w:bookmarkEnd w:id="488"/>
      <w:r>
        <w:tab/>
        <w:t>Commercial Achievable Savings Forecast (Cumulative GWh), Washington</w:t>
      </w:r>
      <w:bookmarkEnd w:id="489"/>
    </w:p>
    <w:p w:rsidR="00A65ACB" w:rsidRDefault="00A65ACB" w:rsidP="00A65ACB">
      <w:pPr>
        <w:pStyle w:val="BodyText"/>
        <w:jc w:val="center"/>
      </w:pPr>
      <w:r w:rsidRPr="00801944">
        <w:rPr>
          <w:noProof/>
        </w:rPr>
        <w:drawing>
          <wp:inline distT="0" distB="0" distL="0" distR="0">
            <wp:extent cx="5296996" cy="32766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98756" cy="3277689"/>
                    </a:xfrm>
                    <a:prstGeom prst="rect">
                      <a:avLst/>
                    </a:prstGeom>
                    <a:noFill/>
                    <a:ln>
                      <a:noFill/>
                    </a:ln>
                  </pic:spPr>
                </pic:pic>
              </a:graphicData>
            </a:graphic>
          </wp:inline>
        </w:drawing>
      </w:r>
    </w:p>
    <w:p w:rsidR="00FB49AC" w:rsidRDefault="00FB49AC" w:rsidP="00EA2B8E">
      <w:pPr>
        <w:pStyle w:val="BodyText"/>
      </w:pPr>
      <w:r>
        <w:br w:type="page"/>
      </w:r>
    </w:p>
    <w:p w:rsidR="00D65F77" w:rsidRDefault="00D65F77" w:rsidP="00D65F77">
      <w:pPr>
        <w:pStyle w:val="FigureorTableTitle"/>
      </w:pPr>
      <w:bookmarkStart w:id="490" w:name="_Ref424190975"/>
      <w:bookmarkStart w:id="491" w:name="_Toc424192810"/>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15</w:t>
      </w:r>
      <w:r w:rsidR="00512CD6">
        <w:rPr>
          <w:bCs w:val="0"/>
          <w:iCs w:val="0"/>
          <w:noProof/>
        </w:rPr>
        <w:fldChar w:fldCharType="end"/>
      </w:r>
      <w:bookmarkEnd w:id="490"/>
      <w:r>
        <w:tab/>
        <w:t>Commercial Top Measures in 2017 (Annual Energy, MWh), Idaho</w:t>
      </w:r>
      <w:bookmarkEnd w:id="491"/>
    </w:p>
    <w:tbl>
      <w:tblPr>
        <w:tblW w:w="5000" w:type="pct"/>
        <w:tblCellMar>
          <w:left w:w="0" w:type="dxa"/>
          <w:right w:w="0" w:type="dxa"/>
        </w:tblCellMar>
        <w:tblLook w:val="04A0" w:firstRow="1" w:lastRow="0" w:firstColumn="1" w:lastColumn="0" w:noHBand="0" w:noVBand="1"/>
      </w:tblPr>
      <w:tblGrid>
        <w:gridCol w:w="1199"/>
        <w:gridCol w:w="4670"/>
        <w:gridCol w:w="1578"/>
        <w:gridCol w:w="1578"/>
      </w:tblGrid>
      <w:tr w:rsidR="00D65F77" w:rsidRPr="006C0A42" w:rsidTr="00C95EBA">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1A1D5D"/>
            <w:vAlign w:val="center"/>
          </w:tcPr>
          <w:p w:rsidR="00D65F77" w:rsidRPr="00500407" w:rsidRDefault="00D65F77" w:rsidP="00C95EBA">
            <w:pPr>
              <w:jc w:val="center"/>
              <w:textAlignment w:val="bottom"/>
              <w:rPr>
                <w:rFonts w:ascii="Calibri" w:hAnsi="Calibri" w:cs="Arial"/>
                <w:bCs/>
                <w:color w:val="FFFFFF"/>
                <w:kern w:val="24"/>
                <w:szCs w:val="20"/>
              </w:rPr>
            </w:pPr>
            <w:r w:rsidRPr="00500407">
              <w:rPr>
                <w:rFonts w:ascii="Calibri" w:hAnsi="Calibri" w:cs="Arial"/>
                <w:bCs/>
                <w:color w:val="FFFFFF"/>
                <w:kern w:val="24"/>
                <w:szCs w:val="20"/>
              </w:rPr>
              <w:t>R</w:t>
            </w:r>
            <w:r>
              <w:rPr>
                <w:rFonts w:ascii="Calibri" w:hAnsi="Calibri" w:cs="Arial"/>
                <w:bCs/>
                <w:color w:val="FFFFFF"/>
                <w:kern w:val="24"/>
                <w:szCs w:val="20"/>
              </w:rPr>
              <w:t>ank</w:t>
            </w:r>
          </w:p>
        </w:tc>
        <w:tc>
          <w:tcPr>
            <w:tcW w:w="2587" w:type="pct"/>
            <w:tcBorders>
              <w:top w:val="single" w:sz="8" w:space="0" w:color="4F4F4F"/>
              <w:left w:val="single" w:sz="8" w:space="0" w:color="4F4F4F"/>
              <w:bottom w:val="single" w:sz="8" w:space="0" w:color="4F4F4F"/>
              <w:right w:val="single" w:sz="8" w:space="0" w:color="4F4F4F"/>
            </w:tcBorders>
            <w:shd w:val="clear" w:color="auto" w:fill="1A1D5D"/>
            <w:tcMar>
              <w:top w:w="15" w:type="dxa"/>
              <w:left w:w="144" w:type="dxa"/>
              <w:bottom w:w="0" w:type="dxa"/>
              <w:right w:w="15" w:type="dxa"/>
            </w:tcMar>
            <w:vAlign w:val="center"/>
            <w:hideMark/>
          </w:tcPr>
          <w:p w:rsidR="00D65F77" w:rsidRPr="00500407" w:rsidRDefault="00D65F77" w:rsidP="00C95EBA">
            <w:pPr>
              <w:jc w:val="center"/>
              <w:textAlignment w:val="bottom"/>
              <w:rPr>
                <w:rFonts w:ascii="Arial" w:hAnsi="Arial" w:cs="Arial"/>
                <w:szCs w:val="20"/>
              </w:rPr>
            </w:pPr>
            <w:r>
              <w:rPr>
                <w:rFonts w:ascii="Calibri" w:hAnsi="Calibri" w:cs="Arial"/>
                <w:bCs/>
                <w:color w:val="FFFFFF"/>
                <w:kern w:val="24"/>
                <w:szCs w:val="20"/>
              </w:rPr>
              <w:t>Commercial Measure</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D65F77" w:rsidRPr="00500407" w:rsidRDefault="00D65F77" w:rsidP="00C95EBA">
            <w:pPr>
              <w:jc w:val="center"/>
              <w:textAlignment w:val="center"/>
              <w:rPr>
                <w:rFonts w:ascii="Arial" w:hAnsi="Arial" w:cs="Arial"/>
                <w:szCs w:val="20"/>
              </w:rPr>
            </w:pPr>
            <w:r w:rsidRPr="00500407">
              <w:rPr>
                <w:rFonts w:ascii="Calibri" w:hAnsi="Calibri" w:cs="Arial"/>
                <w:bCs/>
                <w:color w:val="FFFFFF"/>
                <w:kern w:val="24"/>
                <w:szCs w:val="20"/>
              </w:rPr>
              <w:t>20</w:t>
            </w:r>
            <w:r>
              <w:rPr>
                <w:rFonts w:ascii="Calibri" w:hAnsi="Calibri" w:cs="Arial"/>
                <w:bCs/>
                <w:color w:val="FFFFFF"/>
                <w:kern w:val="24"/>
                <w:szCs w:val="20"/>
              </w:rPr>
              <w:t>17</w:t>
            </w:r>
            <w:r w:rsidRPr="00500407">
              <w:rPr>
                <w:rFonts w:ascii="Calibri" w:hAnsi="Calibri" w:cs="Arial"/>
                <w:bCs/>
                <w:color w:val="FFFFFF"/>
                <w:kern w:val="24"/>
                <w:szCs w:val="20"/>
              </w:rPr>
              <w:t xml:space="preserve"> Cumulative </w:t>
            </w:r>
            <w:r>
              <w:rPr>
                <w:rFonts w:ascii="Calibri" w:hAnsi="Calibri" w:cs="Arial"/>
                <w:bCs/>
                <w:color w:val="FFFFFF"/>
                <w:kern w:val="24"/>
                <w:szCs w:val="20"/>
              </w:rPr>
              <w:t>Energy</w:t>
            </w:r>
            <w:r w:rsidRPr="00500407">
              <w:rPr>
                <w:rFonts w:ascii="Calibri" w:hAnsi="Calibri" w:cs="Arial"/>
                <w:bCs/>
                <w:color w:val="FFFFFF"/>
                <w:kern w:val="24"/>
                <w:szCs w:val="20"/>
              </w:rPr>
              <w:t xml:space="preserve"> Savings </w:t>
            </w:r>
            <w:r>
              <w:rPr>
                <w:rFonts w:ascii="Calibri" w:hAnsi="Calibri" w:cs="Arial"/>
                <w:bCs/>
                <w:color w:val="FFFFFF"/>
                <w:kern w:val="24"/>
                <w:szCs w:val="20"/>
              </w:rPr>
              <w:br/>
            </w:r>
            <w:r w:rsidRPr="00500407">
              <w:rPr>
                <w:rFonts w:ascii="Calibri" w:hAnsi="Calibri" w:cs="Arial"/>
                <w:bCs/>
                <w:color w:val="FFFFFF"/>
                <w:kern w:val="24"/>
                <w:szCs w:val="20"/>
              </w:rPr>
              <w:t>(</w:t>
            </w:r>
            <w:r>
              <w:rPr>
                <w:rFonts w:ascii="Calibri" w:hAnsi="Calibri" w:cs="Arial"/>
                <w:bCs/>
                <w:color w:val="FFFFFF"/>
                <w:kern w:val="24"/>
                <w:szCs w:val="20"/>
              </w:rPr>
              <w:t>MWh</w:t>
            </w:r>
            <w:r w:rsidRPr="00500407">
              <w:rPr>
                <w:rFonts w:ascii="Calibri" w:hAnsi="Calibri" w:cs="Arial"/>
                <w:bCs/>
                <w:color w:val="FFFFFF"/>
                <w:kern w:val="24"/>
                <w:szCs w:val="20"/>
              </w:rPr>
              <w:t xml:space="preserve">) </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D65F77" w:rsidRPr="00BD1C84" w:rsidRDefault="00D65F77" w:rsidP="00C95EBA">
            <w:pPr>
              <w:jc w:val="center"/>
              <w:textAlignment w:val="center"/>
              <w:rPr>
                <w:rFonts w:ascii="Arial" w:hAnsi="Arial" w:cs="Arial"/>
                <w:szCs w:val="20"/>
              </w:rPr>
            </w:pPr>
            <w:r w:rsidRPr="00BD1C84">
              <w:rPr>
                <w:rFonts w:ascii="Calibri" w:hAnsi="Calibri" w:cs="Arial"/>
                <w:bCs/>
                <w:iCs/>
                <w:color w:val="FFFFFF"/>
                <w:kern w:val="24"/>
                <w:szCs w:val="20"/>
              </w:rPr>
              <w:t xml:space="preserve">% of </w:t>
            </w:r>
            <w:r w:rsidRPr="00BD1C84">
              <w:rPr>
                <w:rFonts w:ascii="Calibri" w:hAnsi="Calibri" w:cs="Arial"/>
                <w:bCs/>
                <w:iCs/>
                <w:color w:val="FFFFFF"/>
                <w:kern w:val="24"/>
                <w:szCs w:val="20"/>
              </w:rPr>
              <w:br/>
              <w:t xml:space="preserve">Total </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BF1060">
            <w:pPr>
              <w:pStyle w:val="NormalWeb"/>
              <w:textAlignment w:val="center"/>
              <w:rPr>
                <w:rFonts w:ascii="Calibri" w:hAnsi="Calibri" w:cs="Arial"/>
                <w:color w:val="000000"/>
                <w:kern w:val="24"/>
                <w:szCs w:val="20"/>
              </w:rPr>
            </w:pPr>
            <w:r w:rsidRPr="00801944">
              <w:rPr>
                <w:rFonts w:ascii="Calibri" w:hAnsi="Calibri" w:cs="Arial"/>
                <w:color w:val="000000"/>
                <w:kern w:val="24"/>
                <w:szCs w:val="20"/>
              </w:rPr>
              <w:t xml:space="preserve">Interior Lighting - Linear </w:t>
            </w:r>
            <w:r w:rsidR="00BF1060">
              <w:rPr>
                <w:rFonts w:ascii="Calibri" w:hAnsi="Calibri" w:cs="Arial"/>
                <w:color w:val="000000"/>
                <w:kern w:val="24"/>
                <w:szCs w:val="20"/>
              </w:rPr>
              <w:t>LED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2,134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23.6%</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Interior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1,237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13.7%</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BF1060">
            <w:pPr>
              <w:pStyle w:val="NormalWeb"/>
              <w:textAlignment w:val="center"/>
              <w:rPr>
                <w:rFonts w:ascii="Calibri" w:hAnsi="Calibri" w:cs="Arial"/>
                <w:color w:val="000000"/>
                <w:kern w:val="24"/>
                <w:szCs w:val="20"/>
              </w:rPr>
            </w:pPr>
            <w:r w:rsidRPr="00801944">
              <w:rPr>
                <w:rFonts w:ascii="Calibri" w:hAnsi="Calibri" w:cs="Arial"/>
                <w:color w:val="000000"/>
                <w:kern w:val="24"/>
                <w:szCs w:val="20"/>
              </w:rPr>
              <w:t xml:space="preserve">Exterior Lighting - Linear </w:t>
            </w:r>
            <w:r w:rsidR="00BF1060">
              <w:rPr>
                <w:rFonts w:ascii="Calibri" w:hAnsi="Calibri" w:cs="Arial"/>
                <w:color w:val="000000"/>
                <w:kern w:val="24"/>
                <w:szCs w:val="20"/>
              </w:rPr>
              <w:t>LED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448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5.0%</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Chiller - Chilled Water Reset</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437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4.8%</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Interior Lighting - High-Bay Fixtures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366</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4.1%</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Interior Lighting - Occupancy Sensors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297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3.3%</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HVAC - Duct Repair and Sealing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275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3.0%</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Interior Lighting - Skylights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270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3.0%</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Exterior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224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2.5%</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Exterior Lighting - HID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217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2.4%</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Grocery - Open Display Case - Night Covers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202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2.2%</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Insulation - Ducting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191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2.1%</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Refrigerator - High Efficiency Compressor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174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1.9%</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HVAC - Economizer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174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1.9%</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Exterior Lighting - Photovoltaic Installation</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164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1.8%</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Food Preparation - Dishwasher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159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1.8%</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Exterior Lighting - Bi-Level Fixture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158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1.8%</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Space Heating - Heat Recovery Ventilator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153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1.7%</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19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Cooling - Water-Cooled Chiller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149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1.6%</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355D78" w:rsidRDefault="00D65F77" w:rsidP="00D65F77">
            <w:pPr>
              <w:pStyle w:val="NormalWeb"/>
              <w:jc w:val="center"/>
              <w:textAlignment w:val="center"/>
              <w:rPr>
                <w:rFonts w:ascii="Calibri" w:hAnsi="Calibri" w:cs="Arial"/>
                <w:color w:val="000000"/>
                <w:kern w:val="24"/>
                <w:szCs w:val="20"/>
              </w:rPr>
            </w:pPr>
            <w:r>
              <w:rPr>
                <w:rFonts w:ascii="Calibri" w:hAnsi="Calibri" w:cs="Arial"/>
                <w:color w:val="000000"/>
                <w:kern w:val="24"/>
                <w:szCs w:val="20"/>
              </w:rPr>
              <w:t>20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D65F77" w:rsidRPr="00D65F77" w:rsidRDefault="00D65F77" w:rsidP="00801944">
            <w:pPr>
              <w:pStyle w:val="NormalWeb"/>
              <w:textAlignment w:val="center"/>
              <w:rPr>
                <w:rFonts w:ascii="Calibri" w:hAnsi="Calibri" w:cs="Arial"/>
                <w:color w:val="000000"/>
                <w:kern w:val="24"/>
                <w:szCs w:val="20"/>
              </w:rPr>
            </w:pPr>
            <w:r w:rsidRPr="00801944">
              <w:rPr>
                <w:rFonts w:ascii="Calibri" w:hAnsi="Calibri" w:cs="Arial"/>
                <w:color w:val="000000"/>
                <w:kern w:val="24"/>
                <w:szCs w:val="20"/>
              </w:rPr>
              <w:t>Refrigerator - Variable Speed Compressor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140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D65F77" w:rsidRPr="00D65F77" w:rsidRDefault="00D65F77" w:rsidP="00801944">
            <w:pPr>
              <w:pStyle w:val="NormalWeb"/>
              <w:jc w:val="right"/>
              <w:textAlignment w:val="center"/>
              <w:rPr>
                <w:rFonts w:ascii="Calibri" w:hAnsi="Calibri" w:cs="Arial"/>
                <w:color w:val="000000"/>
                <w:kern w:val="24"/>
                <w:szCs w:val="20"/>
              </w:rPr>
            </w:pPr>
            <w:r w:rsidRPr="00801944">
              <w:rPr>
                <w:rFonts w:ascii="Calibri" w:hAnsi="Calibri" w:cs="Arial"/>
                <w:color w:val="000000"/>
                <w:kern w:val="24"/>
                <w:szCs w:val="20"/>
              </w:rPr>
              <w:t>1.6%</w:t>
            </w:r>
          </w:p>
        </w:tc>
      </w:tr>
      <w:tr w:rsidR="00D65F77" w:rsidRPr="00801944" w:rsidTr="00801944">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D65F77" w:rsidRPr="00801944" w:rsidRDefault="00D65F77" w:rsidP="00D65F77">
            <w:pPr>
              <w:pStyle w:val="NormalWeb"/>
              <w:jc w:val="center"/>
              <w:textAlignment w:val="center"/>
              <w:rPr>
                <w:rFonts w:ascii="Calibri" w:hAnsi="Calibri" w:cs="Arial"/>
                <w:b/>
                <w:color w:val="000000"/>
                <w:kern w:val="24"/>
                <w:szCs w:val="20"/>
              </w:rPr>
            </w:pPr>
            <w:r w:rsidRPr="00801944">
              <w:rPr>
                <w:rFonts w:ascii="Calibri" w:hAnsi="Calibri" w:cs="Arial"/>
                <w:b/>
                <w:color w:val="000000"/>
                <w:kern w:val="24"/>
                <w:szCs w:val="20"/>
              </w:rPr>
              <w:t>Total</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D65F77" w:rsidRPr="00801944" w:rsidRDefault="00D65F77" w:rsidP="00801944">
            <w:pPr>
              <w:pStyle w:val="NormalWeb"/>
              <w:textAlignment w:val="center"/>
              <w:rPr>
                <w:rFonts w:ascii="Calibri" w:hAnsi="Calibri" w:cs="Arial"/>
                <w:b/>
                <w:color w:val="000000"/>
                <w:kern w:val="24"/>
                <w:szCs w:val="20"/>
              </w:rPr>
            </w:pPr>
            <w:r w:rsidRPr="00801944">
              <w:rPr>
                <w:rFonts w:ascii="Calibri" w:hAnsi="Calibri" w:cs="Arial"/>
                <w:b/>
                <w:color w:val="000000"/>
                <w:kern w:val="24"/>
                <w:szCs w:val="20"/>
              </w:rPr>
              <w:t>Total Top 20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801944" w:rsidRDefault="00D65F77" w:rsidP="00801944">
            <w:pPr>
              <w:pStyle w:val="NormalWeb"/>
              <w:jc w:val="right"/>
              <w:textAlignment w:val="center"/>
              <w:rPr>
                <w:rFonts w:ascii="Calibri" w:hAnsi="Calibri" w:cs="Arial"/>
                <w:b/>
                <w:color w:val="000000"/>
                <w:kern w:val="24"/>
                <w:szCs w:val="20"/>
              </w:rPr>
            </w:pPr>
            <w:r w:rsidRPr="00801944">
              <w:rPr>
                <w:rFonts w:ascii="Calibri" w:hAnsi="Calibri" w:cs="Arial"/>
                <w:b/>
                <w:color w:val="000000"/>
                <w:kern w:val="24"/>
                <w:szCs w:val="20"/>
              </w:rPr>
              <w:t>7,569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D65F77" w:rsidRPr="00801944" w:rsidRDefault="00D65F77" w:rsidP="00801944">
            <w:pPr>
              <w:pStyle w:val="NormalWeb"/>
              <w:jc w:val="right"/>
              <w:textAlignment w:val="center"/>
              <w:rPr>
                <w:rFonts w:ascii="Calibri" w:hAnsi="Calibri" w:cs="Arial"/>
                <w:b/>
                <w:color w:val="000000"/>
                <w:kern w:val="24"/>
                <w:szCs w:val="20"/>
              </w:rPr>
            </w:pPr>
            <w:r w:rsidRPr="00801944">
              <w:rPr>
                <w:rFonts w:ascii="Calibri" w:hAnsi="Calibri" w:cs="Arial"/>
                <w:b/>
                <w:color w:val="000000"/>
                <w:kern w:val="24"/>
                <w:szCs w:val="20"/>
              </w:rPr>
              <w:t>83.8%</w:t>
            </w:r>
          </w:p>
        </w:tc>
      </w:tr>
    </w:tbl>
    <w:p w:rsidR="003D3D72" w:rsidRPr="00801944" w:rsidRDefault="003D3D72" w:rsidP="00801944">
      <w:pPr>
        <w:pStyle w:val="NormalWeb"/>
        <w:jc w:val="center"/>
        <w:textAlignment w:val="center"/>
        <w:rPr>
          <w:rFonts w:ascii="Calibri" w:hAnsi="Calibri" w:cs="Arial"/>
          <w:color w:val="000000"/>
          <w:kern w:val="24"/>
          <w:szCs w:val="20"/>
        </w:rPr>
      </w:pPr>
    </w:p>
    <w:p w:rsidR="00801944" w:rsidRDefault="00801944" w:rsidP="00801944">
      <w:pPr>
        <w:pStyle w:val="FigureorTableTitle"/>
      </w:pPr>
      <w:bookmarkStart w:id="492" w:name="_Ref422840839"/>
      <w:bookmarkStart w:id="493" w:name="_Toc424192747"/>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13</w:t>
      </w:r>
      <w:r w:rsidR="00512CD6">
        <w:rPr>
          <w:noProof/>
          <w:szCs w:val="18"/>
        </w:rPr>
        <w:fldChar w:fldCharType="end"/>
      </w:r>
      <w:bookmarkEnd w:id="492"/>
      <w:r>
        <w:tab/>
        <w:t>Commercial Achievable Savings Forecast (</w:t>
      </w:r>
      <w:r w:rsidR="00A65ACB">
        <w:t>Cumulative</w:t>
      </w:r>
      <w:r>
        <w:t xml:space="preserve"> GWh), Idaho</w:t>
      </w:r>
      <w:bookmarkEnd w:id="493"/>
    </w:p>
    <w:p w:rsidR="00801944" w:rsidRDefault="00801944" w:rsidP="00801944">
      <w:pPr>
        <w:jc w:val="center"/>
      </w:pPr>
      <w:r w:rsidRPr="00801944">
        <w:rPr>
          <w:noProof/>
        </w:rPr>
        <w:drawing>
          <wp:inline distT="0" distB="0" distL="0" distR="0">
            <wp:extent cx="5358588" cy="33147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59870" cy="3315493"/>
                    </a:xfrm>
                    <a:prstGeom prst="rect">
                      <a:avLst/>
                    </a:prstGeom>
                    <a:noFill/>
                    <a:ln>
                      <a:noFill/>
                    </a:ln>
                  </pic:spPr>
                </pic:pic>
              </a:graphicData>
            </a:graphic>
          </wp:inline>
        </w:drawing>
      </w:r>
    </w:p>
    <w:p w:rsidR="008914C7" w:rsidRDefault="008914C7" w:rsidP="00801944">
      <w:pPr>
        <w:rPr>
          <w:spacing w:val="4"/>
          <w:szCs w:val="18"/>
        </w:rPr>
      </w:pPr>
      <w:r>
        <w:br w:type="page"/>
      </w:r>
    </w:p>
    <w:p w:rsidR="00157088" w:rsidRPr="002C311D" w:rsidRDefault="00157088" w:rsidP="00157088">
      <w:pPr>
        <w:pStyle w:val="Heading2"/>
      </w:pPr>
      <w:bookmarkStart w:id="494" w:name="_Toc257011277"/>
      <w:bookmarkStart w:id="495" w:name="_Toc278535937"/>
      <w:bookmarkStart w:id="496" w:name="_Toc285452628"/>
      <w:bookmarkStart w:id="497" w:name="_Toc297120499"/>
      <w:bookmarkStart w:id="498" w:name="_Toc314728423"/>
      <w:bookmarkStart w:id="499" w:name="_Toc333955944"/>
      <w:bookmarkStart w:id="500" w:name="_Toc335647189"/>
      <w:bookmarkStart w:id="501" w:name="_Toc341176246"/>
      <w:bookmarkStart w:id="502" w:name="_Toc401046363"/>
      <w:bookmarkStart w:id="503" w:name="_Toc424192647"/>
      <w:bookmarkEnd w:id="474"/>
      <w:bookmarkEnd w:id="475"/>
      <w:bookmarkEnd w:id="476"/>
      <w:bookmarkEnd w:id="477"/>
      <w:bookmarkEnd w:id="478"/>
      <w:bookmarkEnd w:id="479"/>
      <w:bookmarkEnd w:id="480"/>
      <w:bookmarkEnd w:id="481"/>
      <w:bookmarkEnd w:id="482"/>
      <w:bookmarkEnd w:id="483"/>
      <w:r w:rsidRPr="002C311D">
        <w:lastRenderedPageBreak/>
        <w:t>Industrial</w:t>
      </w:r>
      <w:r w:rsidR="00533786">
        <w:t xml:space="preserve"> </w:t>
      </w:r>
      <w:r w:rsidR="00DA2C9E">
        <w:t>Conservation</w:t>
      </w:r>
      <w:r w:rsidRPr="002C311D">
        <w:t xml:space="preserve"> Potential</w:t>
      </w:r>
      <w:bookmarkEnd w:id="494"/>
      <w:bookmarkEnd w:id="495"/>
      <w:bookmarkEnd w:id="496"/>
      <w:bookmarkEnd w:id="497"/>
      <w:bookmarkEnd w:id="498"/>
      <w:bookmarkEnd w:id="499"/>
      <w:bookmarkEnd w:id="500"/>
      <w:bookmarkEnd w:id="501"/>
      <w:bookmarkEnd w:id="502"/>
      <w:bookmarkEnd w:id="503"/>
    </w:p>
    <w:bookmarkStart w:id="504" w:name="_Ref337027502"/>
    <w:bookmarkStart w:id="505" w:name="_Ref370038441"/>
    <w:bookmarkStart w:id="506" w:name="_Toc341181357"/>
    <w:p w:rsidR="00B2652C" w:rsidRDefault="00893E3D" w:rsidP="00170CF8">
      <w:pPr>
        <w:pStyle w:val="BodyText"/>
      </w:pPr>
      <w:r>
        <w:fldChar w:fldCharType="begin"/>
      </w:r>
      <w:r w:rsidR="005F1A24">
        <w:instrText xml:space="preserve"> REF _Ref424191602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16</w:t>
      </w:r>
      <w:r>
        <w:fldChar w:fldCharType="end"/>
      </w:r>
      <w:r w:rsidR="005F1A24">
        <w:t xml:space="preserve"> (Total), </w:t>
      </w:r>
      <w:r>
        <w:fldChar w:fldCharType="begin"/>
      </w:r>
      <w:r w:rsidR="005F1A24">
        <w:instrText xml:space="preserve"> REF _Ref424191591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17</w:t>
      </w:r>
      <w:r>
        <w:fldChar w:fldCharType="end"/>
      </w:r>
      <w:r w:rsidR="00857628">
        <w:t xml:space="preserve"> (WA) and </w:t>
      </w:r>
      <w:r>
        <w:fldChar w:fldCharType="begin"/>
      </w:r>
      <w:r w:rsidR="00857628">
        <w:instrText xml:space="preserve"> REF _Ref422841253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18</w:t>
      </w:r>
      <w:r>
        <w:fldChar w:fldCharType="end"/>
      </w:r>
      <w:r w:rsidR="00857628">
        <w:t xml:space="preserve"> (ID) p</w:t>
      </w:r>
      <w:r w:rsidR="00157088" w:rsidRPr="00F07F49">
        <w:t xml:space="preserve">resent </w:t>
      </w:r>
      <w:r w:rsidR="000F4CA5" w:rsidRPr="00F07F49">
        <w:t>potential estimates at the measure level for the industrial sector, from the perspective of annual</w:t>
      </w:r>
      <w:r w:rsidR="000F4CA5">
        <w:t xml:space="preserve"> energy savings.</w:t>
      </w:r>
      <w:r w:rsidR="00857628">
        <w:t xml:space="preserve"> </w:t>
      </w:r>
      <w:r>
        <w:fldChar w:fldCharType="begin"/>
      </w:r>
      <w:r w:rsidR="00857628">
        <w:instrText xml:space="preserve"> REF _Ref422841282 \h </w:instrText>
      </w:r>
      <w:r>
        <w:fldChar w:fldCharType="separate"/>
      </w:r>
    </w:p>
    <w:p w:rsidR="000F4CA5" w:rsidRDefault="00B2652C" w:rsidP="00157088">
      <w:pPr>
        <w:pStyle w:val="BodyText"/>
      </w:pPr>
      <w:r w:rsidRPr="00776CD6">
        <w:t xml:space="preserve">Figure </w:t>
      </w:r>
      <w:r>
        <w:rPr>
          <w:noProof/>
        </w:rPr>
        <w:t>5</w:t>
      </w:r>
      <w:r w:rsidRPr="00776CD6">
        <w:t>-</w:t>
      </w:r>
      <w:r>
        <w:rPr>
          <w:noProof/>
        </w:rPr>
        <w:t>14</w:t>
      </w:r>
      <w:r w:rsidR="00893E3D">
        <w:fldChar w:fldCharType="end"/>
      </w:r>
      <w:r w:rsidR="00857628">
        <w:t xml:space="preserve"> (WA) and </w:t>
      </w:r>
      <w:r w:rsidR="00893E3D">
        <w:fldChar w:fldCharType="begin"/>
      </w:r>
      <w:r w:rsidR="00857628">
        <w:instrText xml:space="preserve"> REF _Ref422841284 \h </w:instrText>
      </w:r>
      <w:r w:rsidR="00893E3D">
        <w:fldChar w:fldCharType="separate"/>
      </w:r>
      <w:r w:rsidRPr="00776CD6">
        <w:t xml:space="preserve">Figure </w:t>
      </w:r>
      <w:r>
        <w:rPr>
          <w:noProof/>
        </w:rPr>
        <w:t>5</w:t>
      </w:r>
      <w:r w:rsidRPr="00776CD6">
        <w:t>-</w:t>
      </w:r>
      <w:r>
        <w:rPr>
          <w:noProof/>
        </w:rPr>
        <w:t>15</w:t>
      </w:r>
      <w:r w:rsidR="00893E3D">
        <w:fldChar w:fldCharType="end"/>
      </w:r>
      <w:r w:rsidR="00857628">
        <w:t xml:space="preserve"> (ID) display the three levels of potential by year.</w:t>
      </w:r>
    </w:p>
    <w:p w:rsidR="00157088" w:rsidRDefault="003940D2" w:rsidP="00157088">
      <w:pPr>
        <w:pStyle w:val="BodyText"/>
      </w:pPr>
      <w:r>
        <w:t>For Washington, a</w:t>
      </w:r>
      <w:r w:rsidR="00513762">
        <w:t>chievable s</w:t>
      </w:r>
      <w:r w:rsidR="000F4CA5">
        <w:t>avings in the first year, 201</w:t>
      </w:r>
      <w:r>
        <w:t>6</w:t>
      </w:r>
      <w:r w:rsidR="00513762">
        <w:t>,</w:t>
      </w:r>
      <w:r w:rsidR="000F4CA5">
        <w:t xml:space="preserve"> are </w:t>
      </w:r>
      <w:r>
        <w:t>5</w:t>
      </w:r>
      <w:r w:rsidR="000F4CA5">
        <w:t xml:space="preserve"> GWh, or </w:t>
      </w:r>
      <w:r>
        <w:t>0</w:t>
      </w:r>
      <w:r w:rsidR="00513762">
        <w:t>.</w:t>
      </w:r>
      <w:r>
        <w:t>5</w:t>
      </w:r>
      <w:r w:rsidR="000F4CA5">
        <w:t>% of the baseline projection. In 20</w:t>
      </w:r>
      <w:r w:rsidR="00513762">
        <w:t>3</w:t>
      </w:r>
      <w:r>
        <w:t>5</w:t>
      </w:r>
      <w:r w:rsidR="000F4CA5">
        <w:t xml:space="preserve">, savings reach </w:t>
      </w:r>
      <w:r>
        <w:t>146</w:t>
      </w:r>
      <w:r w:rsidR="000F4CA5">
        <w:t xml:space="preserve"> GWh, or </w:t>
      </w:r>
      <w:r w:rsidR="00513762">
        <w:t>1</w:t>
      </w:r>
      <w:r>
        <w:t>2</w:t>
      </w:r>
      <w:r w:rsidR="00513762">
        <w:t>.</w:t>
      </w:r>
      <w:r>
        <w:t>7</w:t>
      </w:r>
      <w:r w:rsidR="000F4CA5">
        <w:t xml:space="preserve">% of the baseline projection. </w:t>
      </w:r>
      <w:r>
        <w:t>For Idaho, achievable savings in the first year, 2016, are 2 GWh, or 0.7% of the baseline projection. In 2035, savings reach 53 GWh, or 12.4% of the baseline projection.</w:t>
      </w:r>
    </w:p>
    <w:p w:rsidR="005F1A24" w:rsidRDefault="005F1A24" w:rsidP="005F1A24">
      <w:pPr>
        <w:pStyle w:val="FigureorTableTitle"/>
      </w:pPr>
      <w:bookmarkStart w:id="507" w:name="_Ref424191602"/>
      <w:bookmarkStart w:id="508" w:name="_Toc424192811"/>
      <w:bookmarkStart w:id="509" w:name="_Ref402254466"/>
      <w:bookmarkStart w:id="510" w:name="_Toc396755851"/>
      <w:bookmarkEnd w:id="504"/>
      <w:bookmarkEnd w:id="505"/>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16</w:t>
      </w:r>
      <w:r w:rsidR="00512CD6">
        <w:rPr>
          <w:bCs w:val="0"/>
          <w:iCs w:val="0"/>
          <w:noProof/>
        </w:rPr>
        <w:fldChar w:fldCharType="end"/>
      </w:r>
      <w:bookmarkEnd w:id="507"/>
      <w:r>
        <w:tab/>
        <w:t>Industrial Conservation Potential (Annual Energy, GWh), Washington and Idaho</w:t>
      </w:r>
      <w:bookmarkEnd w:id="508"/>
    </w:p>
    <w:tbl>
      <w:tblPr>
        <w:tblW w:w="5000" w:type="pct"/>
        <w:tblCellMar>
          <w:left w:w="115" w:type="dxa"/>
          <w:right w:w="230" w:type="dxa"/>
        </w:tblCellMar>
        <w:tblLook w:val="04A0" w:firstRow="1" w:lastRow="0" w:firstColumn="1" w:lastColumn="0" w:noHBand="0" w:noVBand="1"/>
      </w:tblPr>
      <w:tblGrid>
        <w:gridCol w:w="3182"/>
        <w:gridCol w:w="1232"/>
        <w:gridCol w:w="1232"/>
        <w:gridCol w:w="1232"/>
        <w:gridCol w:w="1232"/>
        <w:gridCol w:w="1235"/>
      </w:tblGrid>
      <w:tr w:rsidR="005F1A24"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5F1A24" w:rsidRPr="004219BC" w:rsidRDefault="005F1A24" w:rsidP="005F1A24">
            <w:pPr>
              <w:rPr>
                <w:rFonts w:ascii="Calibri" w:hAnsi="Calibri" w:cs="Calibri"/>
                <w:bCs/>
                <w:szCs w:val="20"/>
              </w:rPr>
            </w:pPr>
            <w:r w:rsidRPr="004219BC">
              <w:rPr>
                <w:rFonts w:ascii="Calibri" w:hAnsi="Calibri" w:cs="Calibri"/>
                <w:bCs/>
                <w:szCs w:val="20"/>
              </w:rPr>
              <w:t> </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F1A24" w:rsidRPr="004219BC" w:rsidRDefault="005F1A24" w:rsidP="005F1A24">
            <w:pPr>
              <w:spacing w:before="40" w:after="40"/>
              <w:jc w:val="center"/>
              <w:rPr>
                <w:rFonts w:ascii="Calibri" w:hAnsi="Calibri" w:cs="Calibri"/>
                <w:szCs w:val="20"/>
              </w:rPr>
            </w:pPr>
            <w:r w:rsidRPr="004219BC">
              <w:rPr>
                <w:rFonts w:ascii="Calibri" w:hAnsi="Calibri" w:cs="Calibri"/>
                <w:bCs/>
                <w:szCs w:val="20"/>
              </w:rPr>
              <w:t>2016</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F1A24" w:rsidRPr="004219BC" w:rsidRDefault="005F1A24" w:rsidP="005F1A24">
            <w:pPr>
              <w:spacing w:before="40" w:after="40"/>
              <w:jc w:val="center"/>
              <w:rPr>
                <w:rFonts w:ascii="Calibri" w:hAnsi="Calibri" w:cs="Calibri"/>
                <w:szCs w:val="20"/>
              </w:rPr>
            </w:pPr>
            <w:r w:rsidRPr="004219BC">
              <w:rPr>
                <w:rFonts w:ascii="Calibri" w:hAnsi="Calibri" w:cs="Calibri"/>
                <w:bCs/>
                <w:szCs w:val="20"/>
              </w:rPr>
              <w:t>2017</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F1A24" w:rsidRPr="004219BC" w:rsidRDefault="005F1A24" w:rsidP="005F1A24">
            <w:pPr>
              <w:spacing w:before="40" w:after="40"/>
              <w:jc w:val="center"/>
              <w:rPr>
                <w:rFonts w:ascii="Calibri" w:hAnsi="Calibri" w:cs="Calibri"/>
                <w:szCs w:val="20"/>
              </w:rPr>
            </w:pPr>
            <w:r w:rsidRPr="004219BC">
              <w:rPr>
                <w:rFonts w:ascii="Calibri" w:hAnsi="Calibri" w:cs="Calibri"/>
                <w:bCs/>
                <w:szCs w:val="20"/>
              </w:rPr>
              <w:t>2020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5F1A24" w:rsidRPr="004219BC" w:rsidRDefault="005F1A24" w:rsidP="005F1A24">
            <w:pPr>
              <w:spacing w:before="40" w:after="40"/>
              <w:jc w:val="center"/>
              <w:rPr>
                <w:rFonts w:ascii="Calibri" w:hAnsi="Calibri" w:cs="Calibri"/>
                <w:szCs w:val="20"/>
              </w:rPr>
            </w:pPr>
            <w:r w:rsidRPr="004219BC">
              <w:rPr>
                <w:rFonts w:ascii="Calibri" w:hAnsi="Calibri" w:cs="Calibri"/>
                <w:bCs/>
                <w:szCs w:val="20"/>
              </w:rPr>
              <w:t>2025</w:t>
            </w:r>
          </w:p>
        </w:tc>
        <w:tc>
          <w:tcPr>
            <w:tcW w:w="661" w:type="pct"/>
            <w:tcBorders>
              <w:top w:val="single" w:sz="8" w:space="0" w:color="999999"/>
              <w:left w:val="nil"/>
              <w:bottom w:val="single" w:sz="8" w:space="0" w:color="999999"/>
              <w:right w:val="single" w:sz="8" w:space="0" w:color="999999"/>
            </w:tcBorders>
            <w:shd w:val="clear" w:color="auto" w:fill="1A1D5D"/>
            <w:vAlign w:val="center"/>
          </w:tcPr>
          <w:p w:rsidR="005F1A24" w:rsidRPr="004219BC" w:rsidRDefault="005F1A24" w:rsidP="005F1A24">
            <w:pPr>
              <w:spacing w:before="40" w:after="40"/>
              <w:jc w:val="center"/>
              <w:rPr>
                <w:rFonts w:ascii="Calibri" w:hAnsi="Calibri" w:cs="Calibri"/>
                <w:szCs w:val="20"/>
              </w:rPr>
            </w:pPr>
            <w:r w:rsidRPr="004219BC">
              <w:rPr>
                <w:rFonts w:ascii="Calibri" w:hAnsi="Calibri" w:cs="Calibri"/>
                <w:bCs/>
                <w:szCs w:val="20"/>
              </w:rPr>
              <w:t>2035</w:t>
            </w:r>
          </w:p>
        </w:tc>
      </w:tr>
      <w:tr w:rsidR="005F1A24" w:rsidRPr="004219BC" w:rsidTr="005F1A24">
        <w:trPr>
          <w:trHeight w:val="288"/>
        </w:trPr>
        <w:tc>
          <w:tcPr>
            <w:tcW w:w="1703" w:type="pct"/>
            <w:tcBorders>
              <w:top w:val="nil"/>
              <w:left w:val="single" w:sz="8" w:space="0" w:color="999999"/>
              <w:bottom w:val="single" w:sz="8" w:space="0" w:color="999999"/>
              <w:right w:val="single" w:sz="8" w:space="0" w:color="999999"/>
            </w:tcBorders>
            <w:shd w:val="clear" w:color="auto" w:fill="auto"/>
            <w:noWrap/>
            <w:vAlign w:val="center"/>
            <w:hideMark/>
          </w:tcPr>
          <w:p w:rsidR="005F1A24" w:rsidRPr="005B67C1" w:rsidRDefault="005F1A24" w:rsidP="005F1A24">
            <w:pPr>
              <w:rPr>
                <w:rFonts w:ascii="Calibri" w:hAnsi="Calibri" w:cs="Calibri"/>
                <w:b/>
                <w:bCs/>
                <w:szCs w:val="20"/>
              </w:rPr>
            </w:pPr>
            <w:r w:rsidRPr="005B67C1">
              <w:rPr>
                <w:rFonts w:ascii="Calibri" w:hAnsi="Calibri" w:cs="Calibri"/>
                <w:b/>
                <w:bCs/>
                <w:szCs w:val="20"/>
              </w:rPr>
              <w:t>Baseline projection (GWh)</w:t>
            </w:r>
          </w:p>
        </w:tc>
        <w:tc>
          <w:tcPr>
            <w:tcW w:w="659" w:type="pct"/>
            <w:tcBorders>
              <w:top w:val="nil"/>
              <w:left w:val="nil"/>
              <w:bottom w:val="single" w:sz="8" w:space="0" w:color="999999"/>
              <w:right w:val="single" w:sz="8" w:space="0" w:color="999999"/>
            </w:tcBorders>
            <w:shd w:val="clear" w:color="auto" w:fill="auto"/>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bCs/>
                <w:color w:val="000000"/>
                <w:szCs w:val="22"/>
              </w:rPr>
              <w:t>1,356</w:t>
            </w:r>
          </w:p>
        </w:tc>
        <w:tc>
          <w:tcPr>
            <w:tcW w:w="659" w:type="pct"/>
            <w:tcBorders>
              <w:top w:val="nil"/>
              <w:left w:val="nil"/>
              <w:bottom w:val="single" w:sz="8" w:space="0" w:color="999999"/>
              <w:right w:val="single" w:sz="8" w:space="0" w:color="999999"/>
            </w:tcBorders>
            <w:shd w:val="clear" w:color="auto" w:fill="auto"/>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bCs/>
                <w:color w:val="000000"/>
                <w:szCs w:val="22"/>
              </w:rPr>
              <w:t>1,370</w:t>
            </w:r>
          </w:p>
        </w:tc>
        <w:tc>
          <w:tcPr>
            <w:tcW w:w="659" w:type="pct"/>
            <w:tcBorders>
              <w:top w:val="nil"/>
              <w:left w:val="nil"/>
              <w:bottom w:val="single" w:sz="8" w:space="0" w:color="999999"/>
              <w:right w:val="single" w:sz="8" w:space="0" w:color="999999"/>
            </w:tcBorders>
            <w:shd w:val="clear" w:color="auto" w:fill="auto"/>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bCs/>
                <w:color w:val="000000"/>
                <w:szCs w:val="22"/>
              </w:rPr>
              <w:t>1,404</w:t>
            </w:r>
          </w:p>
        </w:tc>
        <w:tc>
          <w:tcPr>
            <w:tcW w:w="659" w:type="pct"/>
            <w:tcBorders>
              <w:top w:val="nil"/>
              <w:left w:val="single" w:sz="4" w:space="0" w:color="808080" w:themeColor="background1" w:themeShade="80"/>
              <w:bottom w:val="single" w:sz="8" w:space="0" w:color="999999"/>
              <w:right w:val="single" w:sz="8" w:space="0" w:color="999999"/>
            </w:tcBorders>
            <w:shd w:val="clear" w:color="auto" w:fill="auto"/>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bCs/>
                <w:color w:val="000000"/>
                <w:szCs w:val="22"/>
              </w:rPr>
              <w:t>1,458</w:t>
            </w:r>
          </w:p>
        </w:tc>
        <w:tc>
          <w:tcPr>
            <w:tcW w:w="661" w:type="pct"/>
            <w:tcBorders>
              <w:top w:val="nil"/>
              <w:left w:val="nil"/>
              <w:bottom w:val="single" w:sz="8" w:space="0" w:color="999999"/>
              <w:right w:val="single" w:sz="8" w:space="0" w:color="999999"/>
            </w:tcBorders>
            <w:vAlign w:val="bottom"/>
          </w:tcPr>
          <w:p w:rsidR="005F1A24" w:rsidRPr="005F1A24" w:rsidRDefault="005F1A24" w:rsidP="005F1A24">
            <w:pPr>
              <w:jc w:val="right"/>
              <w:rPr>
                <w:rFonts w:ascii="Calibri" w:hAnsi="Calibri" w:cs="Calibri"/>
                <w:bCs/>
                <w:szCs w:val="20"/>
              </w:rPr>
            </w:pPr>
            <w:r w:rsidRPr="005F1A24">
              <w:rPr>
                <w:rFonts w:ascii="Calibri" w:hAnsi="Calibri" w:cs="Calibri"/>
                <w:bCs/>
                <w:color w:val="000000"/>
                <w:szCs w:val="22"/>
              </w:rPr>
              <w:t>1,575</w:t>
            </w:r>
          </w:p>
        </w:tc>
      </w:tr>
      <w:tr w:rsidR="005F1A24" w:rsidRPr="004219BC" w:rsidTr="005F1A24">
        <w:trPr>
          <w:trHeight w:val="288"/>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5F1A24" w:rsidRPr="005B67C1" w:rsidRDefault="005F1A24" w:rsidP="005F1A24">
            <w:pPr>
              <w:rPr>
                <w:rFonts w:ascii="Calibri" w:hAnsi="Calibri" w:cs="Calibri"/>
                <w:b/>
                <w:bCs/>
                <w:szCs w:val="20"/>
              </w:rPr>
            </w:pPr>
            <w:r w:rsidRPr="005B67C1">
              <w:rPr>
                <w:rFonts w:ascii="Calibri" w:hAnsi="Calibri" w:cs="Calibri"/>
                <w:b/>
                <w:bCs/>
                <w:szCs w:val="20"/>
              </w:rPr>
              <w:t>Cumulative Net Savings (GWh)</w:t>
            </w:r>
          </w:p>
        </w:tc>
      </w:tr>
      <w:tr w:rsidR="005F1A24" w:rsidRPr="000F04E2"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5F1A24" w:rsidRPr="000F04E2" w:rsidRDefault="005F1A24" w:rsidP="005F1A24">
            <w:pPr>
              <w:rPr>
                <w:rFonts w:ascii="Calibri" w:hAnsi="Calibri" w:cs="Calibri"/>
                <w:bCs/>
                <w:szCs w:val="20"/>
              </w:rPr>
            </w:pPr>
            <w:r w:rsidRPr="000F04E2">
              <w:rPr>
                <w:rFonts w:ascii="Calibri" w:hAnsi="Calibri" w:cs="Calibri"/>
                <w:bCs/>
                <w:szCs w:val="20"/>
              </w:rPr>
              <w:t>Achievable Potential</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8</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16</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44</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101</w:t>
            </w:r>
          </w:p>
        </w:tc>
        <w:tc>
          <w:tcPr>
            <w:tcW w:w="661" w:type="pct"/>
            <w:tcBorders>
              <w:top w:val="single" w:sz="8" w:space="0" w:color="999999"/>
              <w:left w:val="nil"/>
              <w:bottom w:val="single" w:sz="8" w:space="0" w:color="999999"/>
              <w:right w:val="single" w:sz="8" w:space="0" w:color="999999"/>
            </w:tcBorders>
            <w:shd w:val="clear" w:color="auto" w:fill="DBE5F1"/>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199</w:t>
            </w:r>
          </w:p>
        </w:tc>
      </w:tr>
      <w:tr w:rsidR="005F1A24" w:rsidRPr="000F04E2"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5F1A24" w:rsidRPr="000F04E2" w:rsidRDefault="005F1A24" w:rsidP="005F1A24">
            <w:pPr>
              <w:rPr>
                <w:rFonts w:ascii="Calibri" w:hAnsi="Calibri" w:cs="Calibri"/>
                <w:bCs/>
                <w:szCs w:val="20"/>
              </w:rPr>
            </w:pPr>
            <w:r w:rsidRPr="000F04E2">
              <w:rPr>
                <w:rFonts w:ascii="Calibri" w:hAnsi="Calibri" w:cs="Calibri"/>
                <w:bCs/>
                <w:szCs w:val="20"/>
              </w:rPr>
              <w:t>Economic Potential</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9</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19</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52</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bottom"/>
            <w:hideMark/>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118</w:t>
            </w:r>
          </w:p>
        </w:tc>
        <w:tc>
          <w:tcPr>
            <w:tcW w:w="661" w:type="pct"/>
            <w:tcBorders>
              <w:top w:val="single" w:sz="8" w:space="0" w:color="999999"/>
              <w:left w:val="nil"/>
              <w:bottom w:val="single" w:sz="8" w:space="0" w:color="999999"/>
              <w:right w:val="single" w:sz="8" w:space="0" w:color="999999"/>
            </w:tcBorders>
            <w:shd w:val="clear" w:color="auto" w:fill="DBE5F1"/>
            <w:vAlign w:val="bottom"/>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231</w:t>
            </w:r>
          </w:p>
        </w:tc>
      </w:tr>
      <w:tr w:rsidR="005F1A24" w:rsidRPr="000F04E2"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5F1A24" w:rsidRPr="000F04E2" w:rsidRDefault="005F1A24" w:rsidP="005F1A24">
            <w:pPr>
              <w:rPr>
                <w:rFonts w:ascii="Calibri" w:hAnsi="Calibri" w:cs="Calibri"/>
                <w:bCs/>
                <w:szCs w:val="20"/>
              </w:rPr>
            </w:pPr>
            <w:r w:rsidRPr="000F04E2">
              <w:rPr>
                <w:rFonts w:ascii="Calibri" w:hAnsi="Calibri" w:cs="Calibri"/>
                <w:bCs/>
                <w:szCs w:val="20"/>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17</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34</w:t>
            </w:r>
          </w:p>
        </w:tc>
        <w:tc>
          <w:tcPr>
            <w:tcW w:w="659" w:type="pct"/>
            <w:tcBorders>
              <w:top w:val="single" w:sz="8" w:space="0" w:color="999999"/>
              <w:left w:val="nil"/>
              <w:bottom w:val="single" w:sz="8" w:space="0" w:color="999999"/>
              <w:right w:val="single" w:sz="8" w:space="0" w:color="999999"/>
            </w:tcBorders>
            <w:shd w:val="clear" w:color="auto" w:fill="DBE5F1"/>
            <w:noWrap/>
            <w:vAlign w:val="bottom"/>
            <w:hideMark/>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84</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bottom"/>
            <w:hideMark/>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168</w:t>
            </w:r>
          </w:p>
        </w:tc>
        <w:tc>
          <w:tcPr>
            <w:tcW w:w="661" w:type="pct"/>
            <w:tcBorders>
              <w:top w:val="single" w:sz="8" w:space="0" w:color="999999"/>
              <w:left w:val="nil"/>
              <w:bottom w:val="single" w:sz="8" w:space="0" w:color="999999"/>
              <w:right w:val="single" w:sz="8" w:space="0" w:color="999999"/>
            </w:tcBorders>
            <w:shd w:val="clear" w:color="auto" w:fill="DBE5F1"/>
            <w:vAlign w:val="bottom"/>
          </w:tcPr>
          <w:p w:rsidR="005F1A24" w:rsidRPr="000F04E2" w:rsidRDefault="005F1A24" w:rsidP="005F1A24">
            <w:pPr>
              <w:jc w:val="right"/>
              <w:rPr>
                <w:rFonts w:ascii="Calibri" w:hAnsi="Calibri" w:cs="Calibri"/>
                <w:bCs/>
                <w:szCs w:val="20"/>
              </w:rPr>
            </w:pPr>
            <w:r>
              <w:rPr>
                <w:rFonts w:ascii="Calibri" w:hAnsi="Calibri" w:cs="Calibri"/>
                <w:color w:val="000000"/>
                <w:sz w:val="22"/>
                <w:szCs w:val="22"/>
              </w:rPr>
              <w:t>293</w:t>
            </w:r>
          </w:p>
        </w:tc>
      </w:tr>
      <w:tr w:rsidR="005F1A24" w:rsidRPr="004219BC" w:rsidTr="005F1A24">
        <w:trPr>
          <w:trHeight w:val="288"/>
        </w:trPr>
        <w:tc>
          <w:tcPr>
            <w:tcW w:w="5000" w:type="pct"/>
            <w:gridSpan w:val="6"/>
            <w:tcBorders>
              <w:top w:val="single" w:sz="8" w:space="0" w:color="999999"/>
              <w:left w:val="single" w:sz="8" w:space="0" w:color="999999"/>
              <w:bottom w:val="single" w:sz="8" w:space="0" w:color="999999"/>
              <w:right w:val="single" w:sz="8" w:space="0" w:color="999999"/>
            </w:tcBorders>
            <w:shd w:val="clear" w:color="auto" w:fill="auto"/>
            <w:noWrap/>
            <w:vAlign w:val="center"/>
          </w:tcPr>
          <w:p w:rsidR="005F1A24" w:rsidRPr="005B67C1" w:rsidRDefault="005F1A24" w:rsidP="005F1A24">
            <w:pPr>
              <w:rPr>
                <w:rFonts w:ascii="Calibri" w:hAnsi="Calibri" w:cs="Calibri"/>
                <w:b/>
                <w:bCs/>
                <w:szCs w:val="20"/>
              </w:rPr>
            </w:pPr>
            <w:r w:rsidRPr="005B67C1">
              <w:rPr>
                <w:rFonts w:ascii="Calibri" w:hAnsi="Calibri" w:cs="Calibri"/>
                <w:b/>
                <w:bCs/>
                <w:szCs w:val="20"/>
              </w:rPr>
              <w:t>Cumulative Net Savings (aMW)</w:t>
            </w:r>
          </w:p>
        </w:tc>
      </w:tr>
      <w:tr w:rsidR="005F1A24"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5F1A24" w:rsidRPr="000F04E2" w:rsidRDefault="005F1A24" w:rsidP="005F1A24">
            <w:pPr>
              <w:rPr>
                <w:rFonts w:ascii="Calibri" w:hAnsi="Calibri" w:cs="Calibri"/>
                <w:bCs/>
                <w:szCs w:val="20"/>
              </w:rPr>
            </w:pPr>
            <w:r w:rsidRPr="000F04E2">
              <w:rPr>
                <w:rFonts w:ascii="Calibri" w:hAnsi="Calibri" w:cs="Calibri"/>
                <w:bCs/>
                <w:szCs w:val="20"/>
              </w:rPr>
              <w:t>Achievable Potential</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0.9</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1.8</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5.1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11.6</w:t>
            </w:r>
          </w:p>
        </w:tc>
        <w:tc>
          <w:tcPr>
            <w:tcW w:w="661" w:type="pct"/>
            <w:tcBorders>
              <w:top w:val="single" w:sz="8" w:space="0" w:color="999999"/>
              <w:left w:val="nil"/>
              <w:bottom w:val="single" w:sz="8" w:space="0" w:color="999999"/>
              <w:right w:val="single" w:sz="8" w:space="0" w:color="999999"/>
            </w:tcBorders>
            <w:shd w:val="clear" w:color="auto" w:fill="auto"/>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22.7</w:t>
            </w:r>
          </w:p>
        </w:tc>
      </w:tr>
      <w:tr w:rsidR="005F1A24"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5F1A24" w:rsidRPr="000F04E2" w:rsidRDefault="005F1A24" w:rsidP="005F1A24">
            <w:pPr>
              <w:rPr>
                <w:rFonts w:ascii="Calibri" w:hAnsi="Calibri" w:cs="Calibri"/>
                <w:bCs/>
                <w:szCs w:val="20"/>
              </w:rPr>
            </w:pPr>
            <w:r w:rsidRPr="000F04E2">
              <w:rPr>
                <w:rFonts w:ascii="Calibri" w:hAnsi="Calibri" w:cs="Calibri"/>
                <w:bCs/>
                <w:szCs w:val="20"/>
              </w:rPr>
              <w:t>Economic Potential</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1.0</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2.1</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5.9</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13.5</w:t>
            </w:r>
          </w:p>
        </w:tc>
        <w:tc>
          <w:tcPr>
            <w:tcW w:w="661" w:type="pct"/>
            <w:tcBorders>
              <w:top w:val="single" w:sz="8" w:space="0" w:color="999999"/>
              <w:left w:val="nil"/>
              <w:bottom w:val="single" w:sz="8" w:space="0" w:color="999999"/>
              <w:right w:val="single" w:sz="8" w:space="0" w:color="999999"/>
            </w:tcBorders>
            <w:shd w:val="clear" w:color="auto" w:fill="auto"/>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26.3</w:t>
            </w:r>
          </w:p>
        </w:tc>
      </w:tr>
      <w:tr w:rsidR="005F1A24" w:rsidRPr="004219BC" w:rsidTr="005F1A24">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5F1A24" w:rsidRPr="000F04E2" w:rsidRDefault="005F1A24" w:rsidP="005F1A24">
            <w:pPr>
              <w:rPr>
                <w:rFonts w:ascii="Calibri" w:hAnsi="Calibri" w:cs="Calibri"/>
                <w:bCs/>
                <w:szCs w:val="20"/>
              </w:rPr>
            </w:pPr>
            <w:r w:rsidRPr="000F04E2">
              <w:rPr>
                <w:rFonts w:ascii="Calibri" w:hAnsi="Calibri" w:cs="Calibri"/>
                <w:bCs/>
                <w:szCs w:val="20"/>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1.9</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3.9</w:t>
            </w:r>
          </w:p>
        </w:tc>
        <w:tc>
          <w:tcPr>
            <w:tcW w:w="659" w:type="pct"/>
            <w:tcBorders>
              <w:top w:val="single" w:sz="8" w:space="0" w:color="999999"/>
              <w:left w:val="nil"/>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9.6</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19.2</w:t>
            </w:r>
          </w:p>
        </w:tc>
        <w:tc>
          <w:tcPr>
            <w:tcW w:w="661" w:type="pct"/>
            <w:tcBorders>
              <w:top w:val="single" w:sz="8" w:space="0" w:color="999999"/>
              <w:left w:val="nil"/>
              <w:bottom w:val="single" w:sz="8" w:space="0" w:color="999999"/>
              <w:right w:val="single" w:sz="8" w:space="0" w:color="999999"/>
            </w:tcBorders>
            <w:shd w:val="clear" w:color="auto" w:fill="auto"/>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33.5</w:t>
            </w:r>
          </w:p>
        </w:tc>
      </w:tr>
      <w:tr w:rsidR="005F1A24" w:rsidRPr="004219BC" w:rsidTr="005F1A24">
        <w:trPr>
          <w:trHeight w:val="288"/>
        </w:trPr>
        <w:tc>
          <w:tcPr>
            <w:tcW w:w="5000" w:type="pct"/>
            <w:gridSpan w:val="6"/>
            <w:tcBorders>
              <w:top w:val="nil"/>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5F1A24" w:rsidRPr="005B67C1" w:rsidRDefault="005F1A24" w:rsidP="005F1A24">
            <w:pPr>
              <w:rPr>
                <w:rFonts w:ascii="Calibri" w:hAnsi="Calibri" w:cs="Calibri"/>
                <w:b/>
                <w:bCs/>
                <w:szCs w:val="20"/>
              </w:rPr>
            </w:pPr>
            <w:r w:rsidRPr="005B67C1">
              <w:rPr>
                <w:rFonts w:ascii="Calibri" w:hAnsi="Calibri" w:cs="Calibri"/>
                <w:b/>
                <w:bCs/>
                <w:szCs w:val="20"/>
              </w:rPr>
              <w:t>Cumulative Net Savings as a % of Baseline</w:t>
            </w:r>
          </w:p>
        </w:tc>
      </w:tr>
      <w:tr w:rsidR="005F1A24" w:rsidRPr="004219BC" w:rsidTr="005F1A24">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5F1A24" w:rsidRPr="000F04E2" w:rsidRDefault="005F1A24" w:rsidP="005F1A24">
            <w:pPr>
              <w:rPr>
                <w:rFonts w:ascii="Calibri" w:hAnsi="Calibri" w:cs="Calibri"/>
                <w:bCs/>
                <w:szCs w:val="20"/>
              </w:rPr>
            </w:pPr>
            <w:r w:rsidRPr="000F04E2">
              <w:rPr>
                <w:rFonts w:ascii="Calibri" w:hAnsi="Calibri" w:cs="Calibri"/>
                <w:bCs/>
                <w:szCs w:val="20"/>
              </w:rPr>
              <w:t>Achievable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0.6%</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1.2%</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3.2%</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7.0%</w:t>
            </w:r>
          </w:p>
        </w:tc>
        <w:tc>
          <w:tcPr>
            <w:tcW w:w="661" w:type="pct"/>
            <w:tcBorders>
              <w:top w:val="nil"/>
              <w:left w:val="nil"/>
              <w:bottom w:val="single" w:sz="8" w:space="0" w:color="999999"/>
              <w:right w:val="single" w:sz="8" w:space="0" w:color="999999"/>
            </w:tcBorders>
            <w:shd w:val="clear" w:color="auto" w:fill="D9E3EC" w:themeFill="accent1" w:themeFillTint="33"/>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12.6%</w:t>
            </w:r>
          </w:p>
        </w:tc>
      </w:tr>
      <w:tr w:rsidR="005F1A24" w:rsidRPr="004219BC" w:rsidTr="005F1A24">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5F1A24" w:rsidRPr="000F04E2" w:rsidRDefault="005F1A24" w:rsidP="005F1A24">
            <w:pPr>
              <w:rPr>
                <w:rFonts w:ascii="Calibri" w:hAnsi="Calibri" w:cs="Calibri"/>
                <w:bCs/>
                <w:szCs w:val="20"/>
              </w:rPr>
            </w:pPr>
            <w:r w:rsidRPr="000F04E2">
              <w:rPr>
                <w:rFonts w:ascii="Calibri" w:hAnsi="Calibri" w:cs="Calibri"/>
                <w:bCs/>
                <w:szCs w:val="20"/>
              </w:rPr>
              <w:t>Economic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0.7%</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1.4%</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3.7%</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8.1%</w:t>
            </w:r>
          </w:p>
        </w:tc>
        <w:tc>
          <w:tcPr>
            <w:tcW w:w="661" w:type="pct"/>
            <w:tcBorders>
              <w:top w:val="nil"/>
              <w:left w:val="nil"/>
              <w:bottom w:val="single" w:sz="8" w:space="0" w:color="999999"/>
              <w:right w:val="single" w:sz="8" w:space="0" w:color="999999"/>
            </w:tcBorders>
            <w:shd w:val="clear" w:color="auto" w:fill="D9E3EC" w:themeFill="accent1" w:themeFillTint="33"/>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14.7%</w:t>
            </w:r>
          </w:p>
        </w:tc>
      </w:tr>
      <w:tr w:rsidR="005F1A24" w:rsidRPr="004219BC" w:rsidTr="005F1A24">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5F1A24" w:rsidRPr="000F04E2" w:rsidRDefault="005F1A24" w:rsidP="005F1A24">
            <w:pPr>
              <w:rPr>
                <w:rFonts w:ascii="Calibri" w:hAnsi="Calibri" w:cs="Calibri"/>
                <w:bCs/>
                <w:szCs w:val="20"/>
              </w:rPr>
            </w:pPr>
            <w:r w:rsidRPr="000F04E2">
              <w:rPr>
                <w:rFonts w:ascii="Calibri" w:hAnsi="Calibri" w:cs="Calibri"/>
                <w:bCs/>
                <w:szCs w:val="20"/>
              </w:rPr>
              <w:t xml:space="preserve">Technical Potential </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1.3%</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2.5%</w:t>
            </w:r>
          </w:p>
        </w:tc>
        <w:tc>
          <w:tcPr>
            <w:tcW w:w="659" w:type="pct"/>
            <w:tcBorders>
              <w:top w:val="nil"/>
              <w:left w:val="nil"/>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6.0%</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bottom"/>
            <w:hideMark/>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11.5%</w:t>
            </w:r>
          </w:p>
        </w:tc>
        <w:tc>
          <w:tcPr>
            <w:tcW w:w="661" w:type="pct"/>
            <w:tcBorders>
              <w:top w:val="nil"/>
              <w:left w:val="nil"/>
              <w:bottom w:val="single" w:sz="8" w:space="0" w:color="999999"/>
              <w:right w:val="single" w:sz="8" w:space="0" w:color="999999"/>
            </w:tcBorders>
            <w:shd w:val="clear" w:color="auto" w:fill="D9E3EC" w:themeFill="accent1" w:themeFillTint="33"/>
            <w:vAlign w:val="bottom"/>
          </w:tcPr>
          <w:p w:rsidR="005F1A24" w:rsidRPr="005F1A24" w:rsidRDefault="005F1A24" w:rsidP="005F1A24">
            <w:pPr>
              <w:jc w:val="right"/>
              <w:rPr>
                <w:rFonts w:ascii="Calibri" w:hAnsi="Calibri" w:cs="Calibri"/>
                <w:bCs/>
                <w:szCs w:val="20"/>
              </w:rPr>
            </w:pPr>
            <w:r w:rsidRPr="005F1A24">
              <w:rPr>
                <w:rFonts w:ascii="Calibri" w:hAnsi="Calibri" w:cs="Calibri"/>
                <w:color w:val="000000"/>
                <w:szCs w:val="22"/>
              </w:rPr>
              <w:t>18.6%</w:t>
            </w:r>
          </w:p>
        </w:tc>
      </w:tr>
    </w:tbl>
    <w:p w:rsidR="005F1A24" w:rsidRDefault="005F1A24" w:rsidP="005F1A24">
      <w:pPr>
        <w:pStyle w:val="BodyText"/>
      </w:pPr>
    </w:p>
    <w:p w:rsidR="005F1A24" w:rsidRDefault="005F1A24" w:rsidP="005F1A24">
      <w:pPr>
        <w:pStyle w:val="BodyText"/>
      </w:pPr>
    </w:p>
    <w:p w:rsidR="00157088" w:rsidRDefault="00FC3602" w:rsidP="008115B5">
      <w:pPr>
        <w:pStyle w:val="FigureorTableTitle"/>
      </w:pPr>
      <w:bookmarkStart w:id="511" w:name="_Ref424191591"/>
      <w:bookmarkStart w:id="512" w:name="_Toc424192812"/>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17</w:t>
      </w:r>
      <w:r w:rsidR="00512CD6">
        <w:rPr>
          <w:bCs w:val="0"/>
          <w:iCs w:val="0"/>
          <w:noProof/>
        </w:rPr>
        <w:fldChar w:fldCharType="end"/>
      </w:r>
      <w:bookmarkEnd w:id="509"/>
      <w:bookmarkEnd w:id="511"/>
      <w:r w:rsidR="00157088">
        <w:tab/>
      </w:r>
      <w:r w:rsidR="00E571AF">
        <w:t xml:space="preserve">Industrial </w:t>
      </w:r>
      <w:r w:rsidR="00DA2C9E">
        <w:t>Conservation</w:t>
      </w:r>
      <w:r w:rsidR="00157088">
        <w:t xml:space="preserve"> Potential </w:t>
      </w:r>
      <w:bookmarkEnd w:id="506"/>
      <w:r w:rsidR="00157088">
        <w:t>(</w:t>
      </w:r>
      <w:r w:rsidR="000F4CA5">
        <w:t xml:space="preserve">Annual </w:t>
      </w:r>
      <w:r w:rsidR="00157088">
        <w:t>Energy</w:t>
      </w:r>
      <w:r w:rsidR="000F4CA5">
        <w:t>, GWh</w:t>
      </w:r>
      <w:r w:rsidR="00157088">
        <w:t>)</w:t>
      </w:r>
      <w:bookmarkEnd w:id="510"/>
      <w:r w:rsidR="005B67C1">
        <w:t>, Washington</w:t>
      </w:r>
      <w:bookmarkEnd w:id="512"/>
    </w:p>
    <w:tbl>
      <w:tblPr>
        <w:tblW w:w="5000" w:type="pct"/>
        <w:tblCellMar>
          <w:left w:w="115" w:type="dxa"/>
          <w:right w:w="230" w:type="dxa"/>
        </w:tblCellMar>
        <w:tblLook w:val="04A0" w:firstRow="1" w:lastRow="0" w:firstColumn="1" w:lastColumn="0" w:noHBand="0" w:noVBand="1"/>
      </w:tblPr>
      <w:tblGrid>
        <w:gridCol w:w="3182"/>
        <w:gridCol w:w="1232"/>
        <w:gridCol w:w="1232"/>
        <w:gridCol w:w="1232"/>
        <w:gridCol w:w="1232"/>
        <w:gridCol w:w="1235"/>
      </w:tblGrid>
      <w:tr w:rsidR="005B67C1"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5B67C1" w:rsidRPr="004219BC" w:rsidRDefault="005B67C1" w:rsidP="004330A2">
            <w:pPr>
              <w:rPr>
                <w:rFonts w:ascii="Calibri" w:hAnsi="Calibri" w:cs="Calibri"/>
                <w:bCs/>
                <w:szCs w:val="20"/>
              </w:rPr>
            </w:pPr>
            <w:r w:rsidRPr="004219BC">
              <w:rPr>
                <w:rFonts w:ascii="Calibri" w:hAnsi="Calibri" w:cs="Calibri"/>
                <w:bCs/>
                <w:szCs w:val="20"/>
              </w:rPr>
              <w:t> </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2016</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2017</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2020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2025</w:t>
            </w:r>
          </w:p>
        </w:tc>
        <w:tc>
          <w:tcPr>
            <w:tcW w:w="661" w:type="pct"/>
            <w:tcBorders>
              <w:top w:val="single" w:sz="8" w:space="0" w:color="999999"/>
              <w:left w:val="nil"/>
              <w:bottom w:val="single" w:sz="8" w:space="0" w:color="999999"/>
              <w:right w:val="single" w:sz="8" w:space="0" w:color="999999"/>
            </w:tcBorders>
            <w:shd w:val="clear" w:color="auto" w:fill="1A1D5D"/>
            <w:vAlign w:val="center"/>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2035</w:t>
            </w:r>
          </w:p>
        </w:tc>
      </w:tr>
      <w:tr w:rsidR="000F04E2"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auto"/>
            <w:noWrap/>
            <w:vAlign w:val="center"/>
            <w:hideMark/>
          </w:tcPr>
          <w:p w:rsidR="000F04E2" w:rsidRPr="005B67C1" w:rsidRDefault="000F04E2" w:rsidP="000F04E2">
            <w:pPr>
              <w:rPr>
                <w:rFonts w:ascii="Calibri" w:hAnsi="Calibri" w:cs="Calibri"/>
                <w:b/>
                <w:bCs/>
                <w:szCs w:val="20"/>
              </w:rPr>
            </w:pPr>
            <w:r w:rsidRPr="005B67C1">
              <w:rPr>
                <w:rFonts w:ascii="Calibri" w:hAnsi="Calibri" w:cs="Calibri"/>
                <w:b/>
                <w:bCs/>
                <w:szCs w:val="20"/>
              </w:rPr>
              <w:t>Baseline projection (GWh)</w:t>
            </w:r>
          </w:p>
        </w:tc>
        <w:tc>
          <w:tcPr>
            <w:tcW w:w="659" w:type="pct"/>
            <w:tcBorders>
              <w:top w:val="nil"/>
              <w:left w:val="nil"/>
              <w:bottom w:val="single" w:sz="8" w:space="0" w:color="999999"/>
              <w:right w:val="single" w:sz="8" w:space="0" w:color="999999"/>
            </w:tcBorders>
            <w:shd w:val="clear" w:color="auto" w:fill="auto"/>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989</w:t>
            </w:r>
          </w:p>
        </w:tc>
        <w:tc>
          <w:tcPr>
            <w:tcW w:w="659" w:type="pct"/>
            <w:tcBorders>
              <w:top w:val="nil"/>
              <w:left w:val="nil"/>
              <w:bottom w:val="single" w:sz="8" w:space="0" w:color="999999"/>
              <w:right w:val="single" w:sz="8" w:space="0" w:color="999999"/>
            </w:tcBorders>
            <w:shd w:val="clear" w:color="auto" w:fill="auto"/>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999</w:t>
            </w:r>
          </w:p>
        </w:tc>
        <w:tc>
          <w:tcPr>
            <w:tcW w:w="659" w:type="pct"/>
            <w:tcBorders>
              <w:top w:val="nil"/>
              <w:left w:val="nil"/>
              <w:bottom w:val="single" w:sz="8" w:space="0" w:color="999999"/>
              <w:right w:val="single" w:sz="8" w:space="0" w:color="999999"/>
            </w:tcBorders>
            <w:shd w:val="clear" w:color="auto" w:fill="auto"/>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1,024</w:t>
            </w:r>
          </w:p>
        </w:tc>
        <w:tc>
          <w:tcPr>
            <w:tcW w:w="659" w:type="pct"/>
            <w:tcBorders>
              <w:top w:val="nil"/>
              <w:left w:val="single" w:sz="4" w:space="0" w:color="808080" w:themeColor="background1" w:themeShade="80"/>
              <w:bottom w:val="single" w:sz="8" w:space="0" w:color="999999"/>
              <w:right w:val="single" w:sz="8" w:space="0" w:color="999999"/>
            </w:tcBorders>
            <w:shd w:val="clear" w:color="auto" w:fill="auto"/>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1,064</w:t>
            </w:r>
          </w:p>
        </w:tc>
        <w:tc>
          <w:tcPr>
            <w:tcW w:w="661" w:type="pct"/>
            <w:tcBorders>
              <w:top w:val="nil"/>
              <w:left w:val="nil"/>
              <w:bottom w:val="single" w:sz="8" w:space="0" w:color="999999"/>
              <w:right w:val="single" w:sz="8" w:space="0" w:color="999999"/>
            </w:tcBorders>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1,149</w:t>
            </w:r>
          </w:p>
        </w:tc>
      </w:tr>
      <w:tr w:rsidR="005B67C1" w:rsidRPr="004219BC" w:rsidTr="00EA2B8E">
        <w:trPr>
          <w:trHeight w:val="288"/>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5B67C1" w:rsidRPr="005B67C1" w:rsidRDefault="005B67C1" w:rsidP="005B67C1">
            <w:pPr>
              <w:rPr>
                <w:rFonts w:ascii="Calibri" w:hAnsi="Calibri" w:cs="Calibri"/>
                <w:b/>
                <w:bCs/>
                <w:szCs w:val="20"/>
              </w:rPr>
            </w:pPr>
            <w:r w:rsidRPr="005B67C1">
              <w:rPr>
                <w:rFonts w:ascii="Calibri" w:hAnsi="Calibri" w:cs="Calibri"/>
                <w:b/>
                <w:bCs/>
                <w:szCs w:val="20"/>
              </w:rPr>
              <w:t>Cumulative Net Savings (GWh)</w:t>
            </w:r>
          </w:p>
        </w:tc>
      </w:tr>
      <w:tr w:rsidR="000F04E2" w:rsidRPr="000F04E2"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Achievable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5</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11</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73</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146</w:t>
            </w:r>
          </w:p>
        </w:tc>
      </w:tr>
      <w:tr w:rsidR="000F04E2" w:rsidRPr="000F04E2"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Economic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6</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13</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37</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86</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169</w:t>
            </w:r>
          </w:p>
        </w:tc>
      </w:tr>
      <w:tr w:rsidR="000F04E2" w:rsidRPr="000F04E2"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12</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25</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61</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123</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214</w:t>
            </w:r>
          </w:p>
        </w:tc>
      </w:tr>
      <w:tr w:rsidR="005B67C1" w:rsidRPr="004219BC" w:rsidTr="00EA2B8E">
        <w:trPr>
          <w:trHeight w:val="288"/>
        </w:trPr>
        <w:tc>
          <w:tcPr>
            <w:tcW w:w="5000" w:type="pct"/>
            <w:gridSpan w:val="6"/>
            <w:tcBorders>
              <w:top w:val="single" w:sz="8" w:space="0" w:color="999999"/>
              <w:left w:val="single" w:sz="8" w:space="0" w:color="999999"/>
              <w:bottom w:val="single" w:sz="8" w:space="0" w:color="999999"/>
              <w:right w:val="single" w:sz="8" w:space="0" w:color="999999"/>
            </w:tcBorders>
            <w:shd w:val="clear" w:color="auto" w:fill="auto"/>
            <w:noWrap/>
            <w:vAlign w:val="center"/>
          </w:tcPr>
          <w:p w:rsidR="005B67C1" w:rsidRPr="005B67C1" w:rsidRDefault="005B67C1" w:rsidP="005B67C1">
            <w:pPr>
              <w:rPr>
                <w:rFonts w:ascii="Calibri" w:hAnsi="Calibri" w:cs="Calibri"/>
                <w:b/>
                <w:bCs/>
                <w:szCs w:val="20"/>
              </w:rPr>
            </w:pPr>
            <w:r w:rsidRPr="005B67C1">
              <w:rPr>
                <w:rFonts w:ascii="Calibri" w:hAnsi="Calibri" w:cs="Calibri"/>
                <w:b/>
                <w:bCs/>
                <w:szCs w:val="20"/>
              </w:rPr>
              <w:t>Cumulative Net Savings (aMW)</w:t>
            </w:r>
          </w:p>
        </w:tc>
      </w:tr>
      <w:tr w:rsidR="000F04E2"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0F04E2" w:rsidRPr="000F04E2" w:rsidRDefault="000F04E2" w:rsidP="000F04E2">
            <w:pPr>
              <w:rPr>
                <w:rFonts w:ascii="Calibri" w:hAnsi="Calibri" w:cs="Calibri"/>
                <w:bCs/>
                <w:szCs w:val="20"/>
              </w:rPr>
            </w:pPr>
            <w:r w:rsidRPr="000F04E2">
              <w:rPr>
                <w:rFonts w:ascii="Calibri" w:hAnsi="Calibri" w:cs="Calibri"/>
                <w:bCs/>
                <w:szCs w:val="20"/>
              </w:rPr>
              <w:t>Achievable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0.6</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1.3</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3.6</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8.4</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16.7</w:t>
            </w:r>
          </w:p>
        </w:tc>
      </w:tr>
      <w:tr w:rsidR="000F04E2"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0F04E2" w:rsidRPr="000F04E2" w:rsidRDefault="000F04E2" w:rsidP="000F04E2">
            <w:pPr>
              <w:rPr>
                <w:rFonts w:ascii="Calibri" w:hAnsi="Calibri" w:cs="Calibri"/>
                <w:bCs/>
                <w:szCs w:val="20"/>
              </w:rPr>
            </w:pPr>
            <w:r w:rsidRPr="000F04E2">
              <w:rPr>
                <w:rFonts w:ascii="Calibri" w:hAnsi="Calibri" w:cs="Calibri"/>
                <w:bCs/>
                <w:szCs w:val="20"/>
              </w:rPr>
              <w:t>Economic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0.7</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1.5</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4.2</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9.8</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19.3</w:t>
            </w:r>
          </w:p>
        </w:tc>
      </w:tr>
      <w:tr w:rsidR="000F04E2"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0F04E2" w:rsidRPr="000F04E2" w:rsidRDefault="000F04E2" w:rsidP="000F04E2">
            <w:pPr>
              <w:rPr>
                <w:rFonts w:ascii="Calibri" w:hAnsi="Calibri" w:cs="Calibri"/>
                <w:bCs/>
                <w:szCs w:val="20"/>
              </w:rPr>
            </w:pPr>
            <w:r w:rsidRPr="000F04E2">
              <w:rPr>
                <w:rFonts w:ascii="Calibri" w:hAnsi="Calibri" w:cs="Calibri"/>
                <w:bCs/>
                <w:szCs w:val="20"/>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1.4</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2.8</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7.0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14.0</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24.4</w:t>
            </w:r>
          </w:p>
        </w:tc>
      </w:tr>
      <w:tr w:rsidR="005B67C1" w:rsidRPr="004219BC" w:rsidTr="00EA2B8E">
        <w:trPr>
          <w:trHeight w:val="288"/>
        </w:trPr>
        <w:tc>
          <w:tcPr>
            <w:tcW w:w="5000" w:type="pct"/>
            <w:gridSpan w:val="6"/>
            <w:tcBorders>
              <w:top w:val="nil"/>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5B67C1" w:rsidRPr="005B67C1" w:rsidRDefault="005B67C1" w:rsidP="005B67C1">
            <w:pPr>
              <w:rPr>
                <w:rFonts w:ascii="Calibri" w:hAnsi="Calibri" w:cs="Calibri"/>
                <w:b/>
                <w:bCs/>
                <w:szCs w:val="20"/>
              </w:rPr>
            </w:pPr>
            <w:r w:rsidRPr="005B67C1">
              <w:rPr>
                <w:rFonts w:ascii="Calibri" w:hAnsi="Calibri" w:cs="Calibri"/>
                <w:b/>
                <w:bCs/>
                <w:szCs w:val="20"/>
              </w:rPr>
              <w:t>Cumulative Net Savings as a % of Baseline</w:t>
            </w:r>
          </w:p>
        </w:tc>
      </w:tr>
      <w:tr w:rsidR="000F04E2"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Achievable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0.5%</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1.1%</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3.1%</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6.9%</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12.7%</w:t>
            </w:r>
          </w:p>
        </w:tc>
      </w:tr>
      <w:tr w:rsidR="000F04E2"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Economic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0.6%</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1.3%</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3.6%</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8.0%</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14.7%</w:t>
            </w:r>
          </w:p>
        </w:tc>
      </w:tr>
      <w:tr w:rsidR="000F04E2"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 xml:space="preserve">Technical Potential </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1.3%</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2.5%</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6.0%</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11.5%</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18.6%</w:t>
            </w:r>
          </w:p>
        </w:tc>
      </w:tr>
    </w:tbl>
    <w:p w:rsidR="005B67C1" w:rsidRDefault="005B67C1" w:rsidP="005B67C1">
      <w:pPr>
        <w:pStyle w:val="FigureorTableTitle"/>
      </w:pPr>
      <w:bookmarkStart w:id="513" w:name="_Ref422841253"/>
      <w:bookmarkStart w:id="514" w:name="_Toc424192813"/>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18</w:t>
      </w:r>
      <w:r w:rsidR="00512CD6">
        <w:rPr>
          <w:bCs w:val="0"/>
          <w:iCs w:val="0"/>
          <w:noProof/>
        </w:rPr>
        <w:fldChar w:fldCharType="end"/>
      </w:r>
      <w:bookmarkEnd w:id="513"/>
      <w:r>
        <w:tab/>
        <w:t>Industrial Conservation Potential (Annual Energy, GWh), Idaho</w:t>
      </w:r>
      <w:bookmarkEnd w:id="514"/>
    </w:p>
    <w:tbl>
      <w:tblPr>
        <w:tblW w:w="5000" w:type="pct"/>
        <w:tblCellMar>
          <w:left w:w="115" w:type="dxa"/>
          <w:right w:w="230" w:type="dxa"/>
        </w:tblCellMar>
        <w:tblLook w:val="04A0" w:firstRow="1" w:lastRow="0" w:firstColumn="1" w:lastColumn="0" w:noHBand="0" w:noVBand="1"/>
      </w:tblPr>
      <w:tblGrid>
        <w:gridCol w:w="3182"/>
        <w:gridCol w:w="1232"/>
        <w:gridCol w:w="1232"/>
        <w:gridCol w:w="1232"/>
        <w:gridCol w:w="1232"/>
        <w:gridCol w:w="1235"/>
      </w:tblGrid>
      <w:tr w:rsidR="005B67C1"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1A1D5D"/>
            <w:noWrap/>
            <w:vAlign w:val="center"/>
            <w:hideMark/>
          </w:tcPr>
          <w:p w:rsidR="005B67C1" w:rsidRPr="004219BC" w:rsidRDefault="005B67C1" w:rsidP="004330A2">
            <w:pPr>
              <w:rPr>
                <w:rFonts w:ascii="Calibri" w:hAnsi="Calibri" w:cs="Calibri"/>
                <w:bCs/>
                <w:szCs w:val="20"/>
              </w:rPr>
            </w:pPr>
            <w:r w:rsidRPr="004219BC">
              <w:rPr>
                <w:rFonts w:ascii="Calibri" w:hAnsi="Calibri" w:cs="Calibri"/>
                <w:bCs/>
                <w:szCs w:val="20"/>
              </w:rPr>
              <w:t> </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2016</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2017</w:t>
            </w:r>
          </w:p>
        </w:tc>
        <w:tc>
          <w:tcPr>
            <w:tcW w:w="659" w:type="pct"/>
            <w:tcBorders>
              <w:top w:val="single" w:sz="8" w:space="0" w:color="999999"/>
              <w:left w:val="nil"/>
              <w:bottom w:val="single" w:sz="8" w:space="0" w:color="999999"/>
              <w:right w:val="single" w:sz="8" w:space="0" w:color="999999"/>
            </w:tcBorders>
            <w:shd w:val="clear" w:color="auto" w:fill="1A1D5D"/>
            <w:noWrap/>
            <w:vAlign w:val="center"/>
            <w:hideMark/>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2020</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1A1D5D"/>
            <w:noWrap/>
            <w:vAlign w:val="center"/>
            <w:hideMark/>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2025</w:t>
            </w:r>
          </w:p>
        </w:tc>
        <w:tc>
          <w:tcPr>
            <w:tcW w:w="661" w:type="pct"/>
            <w:tcBorders>
              <w:top w:val="single" w:sz="8" w:space="0" w:color="999999"/>
              <w:left w:val="nil"/>
              <w:bottom w:val="single" w:sz="8" w:space="0" w:color="999999"/>
              <w:right w:val="single" w:sz="8" w:space="0" w:color="999999"/>
            </w:tcBorders>
            <w:shd w:val="clear" w:color="auto" w:fill="1A1D5D"/>
            <w:vAlign w:val="center"/>
          </w:tcPr>
          <w:p w:rsidR="005B67C1" w:rsidRPr="004219BC" w:rsidRDefault="005B67C1" w:rsidP="004330A2">
            <w:pPr>
              <w:spacing w:before="40" w:after="40"/>
              <w:jc w:val="center"/>
              <w:rPr>
                <w:rFonts w:ascii="Calibri" w:hAnsi="Calibri" w:cs="Calibri"/>
                <w:szCs w:val="20"/>
              </w:rPr>
            </w:pPr>
            <w:r w:rsidRPr="004219BC">
              <w:rPr>
                <w:rFonts w:ascii="Calibri" w:hAnsi="Calibri" w:cs="Calibri"/>
                <w:bCs/>
                <w:szCs w:val="20"/>
              </w:rPr>
              <w:t>2035</w:t>
            </w:r>
          </w:p>
        </w:tc>
      </w:tr>
      <w:tr w:rsidR="000F04E2"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auto"/>
            <w:noWrap/>
            <w:vAlign w:val="center"/>
            <w:hideMark/>
          </w:tcPr>
          <w:p w:rsidR="000F04E2" w:rsidRPr="005B67C1" w:rsidRDefault="000F04E2" w:rsidP="000F04E2">
            <w:pPr>
              <w:rPr>
                <w:rFonts w:ascii="Calibri" w:hAnsi="Calibri" w:cs="Calibri"/>
                <w:b/>
                <w:bCs/>
                <w:szCs w:val="20"/>
              </w:rPr>
            </w:pPr>
            <w:r w:rsidRPr="005B67C1">
              <w:rPr>
                <w:rFonts w:ascii="Calibri" w:hAnsi="Calibri" w:cs="Calibri"/>
                <w:b/>
                <w:bCs/>
                <w:szCs w:val="20"/>
              </w:rPr>
              <w:t>Baseline projection (GWh)</w:t>
            </w:r>
          </w:p>
        </w:tc>
        <w:tc>
          <w:tcPr>
            <w:tcW w:w="659" w:type="pct"/>
            <w:tcBorders>
              <w:top w:val="nil"/>
              <w:left w:val="nil"/>
              <w:bottom w:val="single" w:sz="8" w:space="0" w:color="999999"/>
              <w:right w:val="single" w:sz="8" w:space="0" w:color="999999"/>
            </w:tcBorders>
            <w:shd w:val="clear" w:color="auto" w:fill="auto"/>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367</w:t>
            </w:r>
          </w:p>
        </w:tc>
        <w:tc>
          <w:tcPr>
            <w:tcW w:w="659" w:type="pct"/>
            <w:tcBorders>
              <w:top w:val="nil"/>
              <w:left w:val="nil"/>
              <w:bottom w:val="single" w:sz="8" w:space="0" w:color="999999"/>
              <w:right w:val="single" w:sz="8" w:space="0" w:color="999999"/>
            </w:tcBorders>
            <w:shd w:val="clear" w:color="auto" w:fill="auto"/>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371</w:t>
            </w:r>
          </w:p>
        </w:tc>
        <w:tc>
          <w:tcPr>
            <w:tcW w:w="659" w:type="pct"/>
            <w:tcBorders>
              <w:top w:val="nil"/>
              <w:left w:val="nil"/>
              <w:bottom w:val="single" w:sz="8" w:space="0" w:color="999999"/>
              <w:right w:val="single" w:sz="8" w:space="0" w:color="999999"/>
            </w:tcBorders>
            <w:shd w:val="clear" w:color="auto" w:fill="auto"/>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380</w:t>
            </w:r>
          </w:p>
        </w:tc>
        <w:tc>
          <w:tcPr>
            <w:tcW w:w="659" w:type="pct"/>
            <w:tcBorders>
              <w:top w:val="nil"/>
              <w:left w:val="single" w:sz="4" w:space="0" w:color="808080" w:themeColor="background1" w:themeShade="80"/>
              <w:bottom w:val="single" w:sz="8" w:space="0" w:color="999999"/>
              <w:right w:val="single" w:sz="8" w:space="0" w:color="999999"/>
            </w:tcBorders>
            <w:shd w:val="clear" w:color="auto" w:fill="auto"/>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395</w:t>
            </w:r>
          </w:p>
        </w:tc>
        <w:tc>
          <w:tcPr>
            <w:tcW w:w="661" w:type="pct"/>
            <w:tcBorders>
              <w:top w:val="nil"/>
              <w:left w:val="nil"/>
              <w:bottom w:val="single" w:sz="8" w:space="0" w:color="999999"/>
              <w:right w:val="single" w:sz="8" w:space="0" w:color="999999"/>
            </w:tcBorders>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426</w:t>
            </w:r>
          </w:p>
        </w:tc>
      </w:tr>
      <w:tr w:rsidR="005B67C1" w:rsidRPr="004219BC" w:rsidTr="00EA2B8E">
        <w:trPr>
          <w:trHeight w:val="288"/>
        </w:trPr>
        <w:tc>
          <w:tcPr>
            <w:tcW w:w="5000" w:type="pct"/>
            <w:gridSpan w:val="6"/>
            <w:tcBorders>
              <w:top w:val="single" w:sz="8" w:space="0" w:color="999999"/>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5B67C1" w:rsidRPr="005B67C1" w:rsidRDefault="005B67C1" w:rsidP="004330A2">
            <w:pPr>
              <w:rPr>
                <w:rFonts w:ascii="Calibri" w:hAnsi="Calibri" w:cs="Calibri"/>
                <w:b/>
                <w:bCs/>
                <w:szCs w:val="20"/>
              </w:rPr>
            </w:pPr>
            <w:r w:rsidRPr="005B67C1">
              <w:rPr>
                <w:rFonts w:ascii="Calibri" w:hAnsi="Calibri" w:cs="Calibri"/>
                <w:b/>
                <w:bCs/>
                <w:szCs w:val="20"/>
              </w:rPr>
              <w:t>Cumulative Net Savings (GWh)</w:t>
            </w:r>
          </w:p>
        </w:tc>
      </w:tr>
      <w:tr w:rsidR="000F04E2"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Achievable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2</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5</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13</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28</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53</w:t>
            </w:r>
          </w:p>
        </w:tc>
      </w:tr>
      <w:tr w:rsidR="000F04E2"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Economic Potential</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6</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15</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33</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61</w:t>
            </w:r>
          </w:p>
        </w:tc>
      </w:tr>
      <w:tr w:rsidR="000F04E2"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5</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9</w:t>
            </w:r>
          </w:p>
        </w:tc>
        <w:tc>
          <w:tcPr>
            <w:tcW w:w="659" w:type="pct"/>
            <w:tcBorders>
              <w:top w:val="single" w:sz="8" w:space="0" w:color="999999"/>
              <w:left w:val="nil"/>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23</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DBE5F1"/>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46</w:t>
            </w:r>
          </w:p>
        </w:tc>
        <w:tc>
          <w:tcPr>
            <w:tcW w:w="661" w:type="pct"/>
            <w:tcBorders>
              <w:top w:val="single" w:sz="8" w:space="0" w:color="999999"/>
              <w:left w:val="nil"/>
              <w:bottom w:val="single" w:sz="8" w:space="0" w:color="999999"/>
              <w:right w:val="single" w:sz="8" w:space="0" w:color="999999"/>
            </w:tcBorders>
            <w:shd w:val="clear" w:color="auto" w:fill="DBE5F1"/>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79</w:t>
            </w:r>
          </w:p>
        </w:tc>
      </w:tr>
      <w:tr w:rsidR="005B67C1" w:rsidRPr="004219BC" w:rsidTr="00EA2B8E">
        <w:trPr>
          <w:trHeight w:val="288"/>
        </w:trPr>
        <w:tc>
          <w:tcPr>
            <w:tcW w:w="5000" w:type="pct"/>
            <w:gridSpan w:val="6"/>
            <w:tcBorders>
              <w:top w:val="single" w:sz="8" w:space="0" w:color="999999"/>
              <w:left w:val="single" w:sz="8" w:space="0" w:color="999999"/>
              <w:bottom w:val="single" w:sz="8" w:space="0" w:color="999999"/>
              <w:right w:val="single" w:sz="8" w:space="0" w:color="999999"/>
            </w:tcBorders>
            <w:shd w:val="clear" w:color="auto" w:fill="auto"/>
            <w:noWrap/>
            <w:vAlign w:val="center"/>
          </w:tcPr>
          <w:p w:rsidR="005B67C1" w:rsidRPr="005B67C1" w:rsidRDefault="005B67C1" w:rsidP="004330A2">
            <w:pPr>
              <w:rPr>
                <w:rFonts w:ascii="Calibri" w:hAnsi="Calibri" w:cs="Calibri"/>
                <w:b/>
                <w:bCs/>
                <w:szCs w:val="20"/>
              </w:rPr>
            </w:pPr>
            <w:r w:rsidRPr="005B67C1">
              <w:rPr>
                <w:rFonts w:ascii="Calibri" w:hAnsi="Calibri" w:cs="Calibri"/>
                <w:b/>
                <w:bCs/>
                <w:szCs w:val="20"/>
              </w:rPr>
              <w:t>Cumulative Net Savings (aMW)</w:t>
            </w:r>
          </w:p>
        </w:tc>
      </w:tr>
      <w:tr w:rsidR="000F04E2"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0F04E2" w:rsidRPr="000F04E2" w:rsidRDefault="000F04E2" w:rsidP="000F04E2">
            <w:pPr>
              <w:rPr>
                <w:rFonts w:ascii="Calibri" w:hAnsi="Calibri" w:cs="Calibri"/>
                <w:bCs/>
                <w:szCs w:val="20"/>
              </w:rPr>
            </w:pPr>
            <w:r w:rsidRPr="000F04E2">
              <w:rPr>
                <w:rFonts w:ascii="Calibri" w:hAnsi="Calibri" w:cs="Calibri"/>
                <w:bCs/>
                <w:szCs w:val="20"/>
              </w:rPr>
              <w:t>Achievable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0.3</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0.6</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1.5</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3.2</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6.0</w:t>
            </w:r>
          </w:p>
        </w:tc>
      </w:tr>
      <w:tr w:rsidR="000F04E2"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0F04E2" w:rsidRPr="000F04E2" w:rsidRDefault="000F04E2" w:rsidP="000F04E2">
            <w:pPr>
              <w:rPr>
                <w:rFonts w:ascii="Calibri" w:hAnsi="Calibri" w:cs="Calibri"/>
                <w:bCs/>
                <w:szCs w:val="20"/>
              </w:rPr>
            </w:pPr>
            <w:r w:rsidRPr="000F04E2">
              <w:rPr>
                <w:rFonts w:ascii="Calibri" w:hAnsi="Calibri" w:cs="Calibri"/>
                <w:bCs/>
                <w:szCs w:val="20"/>
              </w:rPr>
              <w:t>Economic Potential</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0.3</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0.6</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1.7</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3.8</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7.0</w:t>
            </w:r>
          </w:p>
        </w:tc>
      </w:tr>
      <w:tr w:rsidR="000F04E2" w:rsidRPr="004219BC" w:rsidTr="00EA2B8E">
        <w:trPr>
          <w:trHeight w:val="288"/>
        </w:trPr>
        <w:tc>
          <w:tcPr>
            <w:tcW w:w="1703" w:type="pct"/>
            <w:tcBorders>
              <w:top w:val="single" w:sz="8" w:space="0" w:color="999999"/>
              <w:left w:val="single" w:sz="8" w:space="0" w:color="999999"/>
              <w:bottom w:val="single" w:sz="8" w:space="0" w:color="999999"/>
              <w:right w:val="single" w:sz="8" w:space="0" w:color="999999"/>
            </w:tcBorders>
            <w:shd w:val="clear" w:color="auto" w:fill="auto"/>
            <w:noWrap/>
            <w:vAlign w:val="center"/>
          </w:tcPr>
          <w:p w:rsidR="000F04E2" w:rsidRPr="000F04E2" w:rsidRDefault="000F04E2" w:rsidP="000F04E2">
            <w:pPr>
              <w:rPr>
                <w:rFonts w:ascii="Calibri" w:hAnsi="Calibri" w:cs="Calibri"/>
                <w:bCs/>
                <w:szCs w:val="20"/>
              </w:rPr>
            </w:pPr>
            <w:r w:rsidRPr="000F04E2">
              <w:rPr>
                <w:rFonts w:ascii="Calibri" w:hAnsi="Calibri" w:cs="Calibri"/>
                <w:bCs/>
                <w:szCs w:val="20"/>
              </w:rPr>
              <w:t xml:space="preserve">Technical Potential </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0.5</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1.0</w:t>
            </w:r>
          </w:p>
        </w:tc>
        <w:tc>
          <w:tcPr>
            <w:tcW w:w="659" w:type="pct"/>
            <w:tcBorders>
              <w:top w:val="single" w:sz="8" w:space="0" w:color="999999"/>
              <w:left w:val="nil"/>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2.6</w:t>
            </w:r>
          </w:p>
        </w:tc>
        <w:tc>
          <w:tcPr>
            <w:tcW w:w="659" w:type="pct"/>
            <w:tcBorders>
              <w:top w:val="single" w:sz="8" w:space="0" w:color="999999"/>
              <w:left w:val="single" w:sz="4" w:space="0" w:color="808080" w:themeColor="background1" w:themeShade="80"/>
              <w:bottom w:val="single" w:sz="8" w:space="0" w:color="999999"/>
              <w:right w:val="single" w:sz="8" w:space="0" w:color="999999"/>
            </w:tcBorders>
            <w:shd w:val="clear" w:color="auto" w:fill="auto"/>
            <w:noWrap/>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5.2</w:t>
            </w:r>
          </w:p>
        </w:tc>
        <w:tc>
          <w:tcPr>
            <w:tcW w:w="661" w:type="pct"/>
            <w:tcBorders>
              <w:top w:val="single" w:sz="8" w:space="0" w:color="999999"/>
              <w:left w:val="nil"/>
              <w:bottom w:val="single" w:sz="8" w:space="0" w:color="999999"/>
              <w:right w:val="single" w:sz="8" w:space="0" w:color="999999"/>
            </w:tcBorders>
            <w:shd w:val="clear" w:color="auto" w:fill="auto"/>
            <w:vAlign w:val="center"/>
          </w:tcPr>
          <w:p w:rsidR="000F04E2" w:rsidRPr="000F04E2" w:rsidRDefault="000F04E2" w:rsidP="00EA2B8E">
            <w:pPr>
              <w:jc w:val="right"/>
              <w:rPr>
                <w:rFonts w:ascii="Calibri" w:hAnsi="Calibri" w:cs="Calibri"/>
                <w:bCs/>
                <w:szCs w:val="20"/>
              </w:rPr>
            </w:pPr>
            <w:r w:rsidRPr="000F04E2">
              <w:rPr>
                <w:rFonts w:ascii="Calibri" w:hAnsi="Calibri" w:cs="Calibri"/>
                <w:bCs/>
                <w:szCs w:val="20"/>
              </w:rPr>
              <w:t>9.1</w:t>
            </w:r>
          </w:p>
        </w:tc>
      </w:tr>
      <w:tr w:rsidR="005B67C1" w:rsidRPr="004219BC" w:rsidTr="00EA2B8E">
        <w:trPr>
          <w:trHeight w:val="288"/>
        </w:trPr>
        <w:tc>
          <w:tcPr>
            <w:tcW w:w="5000" w:type="pct"/>
            <w:gridSpan w:val="6"/>
            <w:tcBorders>
              <w:top w:val="nil"/>
              <w:left w:val="single" w:sz="8" w:space="0" w:color="999999"/>
              <w:bottom w:val="single" w:sz="8" w:space="0" w:color="999999"/>
              <w:right w:val="single" w:sz="4" w:space="0" w:color="808080" w:themeColor="background1" w:themeShade="80"/>
            </w:tcBorders>
            <w:shd w:val="clear" w:color="auto" w:fill="D9E3EC" w:themeFill="accent1" w:themeFillTint="33"/>
            <w:vAlign w:val="center"/>
          </w:tcPr>
          <w:p w:rsidR="005B67C1" w:rsidRPr="005B67C1" w:rsidRDefault="005B67C1" w:rsidP="004330A2">
            <w:pPr>
              <w:rPr>
                <w:rFonts w:ascii="Calibri" w:hAnsi="Calibri" w:cs="Calibri"/>
                <w:b/>
                <w:bCs/>
                <w:szCs w:val="20"/>
              </w:rPr>
            </w:pPr>
            <w:r w:rsidRPr="005B67C1">
              <w:rPr>
                <w:rFonts w:ascii="Calibri" w:hAnsi="Calibri" w:cs="Calibri"/>
                <w:b/>
                <w:bCs/>
                <w:szCs w:val="20"/>
              </w:rPr>
              <w:t>Cumulative Net Savings as a % of Baseline</w:t>
            </w:r>
          </w:p>
        </w:tc>
      </w:tr>
      <w:tr w:rsidR="000F04E2"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Achievable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0.7%</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1.3%</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3.4%</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7.1%</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12.4%</w:t>
            </w:r>
          </w:p>
        </w:tc>
      </w:tr>
      <w:tr w:rsidR="000F04E2"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Economic Potential</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0.8%</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1.5%</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4.0%</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8.3%</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14.4%</w:t>
            </w:r>
          </w:p>
        </w:tc>
      </w:tr>
      <w:tr w:rsidR="000F04E2" w:rsidRPr="004219BC" w:rsidTr="00EA2B8E">
        <w:trPr>
          <w:trHeight w:val="288"/>
        </w:trPr>
        <w:tc>
          <w:tcPr>
            <w:tcW w:w="1703" w:type="pct"/>
            <w:tcBorders>
              <w:top w:val="nil"/>
              <w:left w:val="single" w:sz="8" w:space="0" w:color="999999"/>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rPr>
                <w:rFonts w:ascii="Calibri" w:hAnsi="Calibri" w:cs="Calibri"/>
                <w:bCs/>
                <w:szCs w:val="20"/>
              </w:rPr>
            </w:pPr>
            <w:r w:rsidRPr="000F04E2">
              <w:rPr>
                <w:rFonts w:ascii="Calibri" w:hAnsi="Calibri" w:cs="Calibri"/>
                <w:bCs/>
                <w:szCs w:val="20"/>
              </w:rPr>
              <w:t xml:space="preserve">Technical Potential </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1.3%</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2.5%</w:t>
            </w:r>
          </w:p>
        </w:tc>
        <w:tc>
          <w:tcPr>
            <w:tcW w:w="659" w:type="pct"/>
            <w:tcBorders>
              <w:top w:val="nil"/>
              <w:left w:val="nil"/>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6.0%</w:t>
            </w:r>
          </w:p>
        </w:tc>
        <w:tc>
          <w:tcPr>
            <w:tcW w:w="659" w:type="pct"/>
            <w:tcBorders>
              <w:top w:val="nil"/>
              <w:left w:val="single" w:sz="4" w:space="0" w:color="808080" w:themeColor="background1" w:themeShade="80"/>
              <w:bottom w:val="single" w:sz="8" w:space="0" w:color="999999"/>
              <w:right w:val="single" w:sz="8" w:space="0" w:color="999999"/>
            </w:tcBorders>
            <w:shd w:val="clear" w:color="auto" w:fill="D9E3EC" w:themeFill="accent1" w:themeFillTint="33"/>
            <w:noWrap/>
            <w:vAlign w:val="center"/>
            <w:hideMark/>
          </w:tcPr>
          <w:p w:rsidR="000F04E2" w:rsidRPr="000F04E2" w:rsidRDefault="000F04E2" w:rsidP="000F04E2">
            <w:pPr>
              <w:jc w:val="right"/>
              <w:rPr>
                <w:rFonts w:ascii="Calibri" w:hAnsi="Calibri" w:cs="Calibri"/>
                <w:bCs/>
                <w:szCs w:val="20"/>
              </w:rPr>
            </w:pPr>
            <w:r w:rsidRPr="000F04E2">
              <w:rPr>
                <w:rFonts w:ascii="Calibri" w:hAnsi="Calibri" w:cs="Calibri"/>
                <w:bCs/>
                <w:szCs w:val="20"/>
              </w:rPr>
              <w:t>11.5%</w:t>
            </w:r>
          </w:p>
        </w:tc>
        <w:tc>
          <w:tcPr>
            <w:tcW w:w="661" w:type="pct"/>
            <w:tcBorders>
              <w:top w:val="nil"/>
              <w:left w:val="nil"/>
              <w:bottom w:val="single" w:sz="8" w:space="0" w:color="999999"/>
              <w:right w:val="single" w:sz="8" w:space="0" w:color="999999"/>
            </w:tcBorders>
            <w:shd w:val="clear" w:color="auto" w:fill="D9E3EC" w:themeFill="accent1" w:themeFillTint="33"/>
            <w:vAlign w:val="center"/>
          </w:tcPr>
          <w:p w:rsidR="000F04E2" w:rsidRPr="000F04E2" w:rsidRDefault="000F04E2" w:rsidP="000F04E2">
            <w:pPr>
              <w:jc w:val="right"/>
              <w:rPr>
                <w:rFonts w:ascii="Calibri" w:hAnsi="Calibri" w:cs="Calibri"/>
                <w:bCs/>
                <w:szCs w:val="20"/>
              </w:rPr>
            </w:pPr>
            <w:r w:rsidRPr="000F04E2">
              <w:rPr>
                <w:rFonts w:ascii="Calibri" w:hAnsi="Calibri" w:cs="Calibri"/>
                <w:bCs/>
                <w:szCs w:val="20"/>
              </w:rPr>
              <w:t>18.6%</w:t>
            </w:r>
          </w:p>
        </w:tc>
      </w:tr>
    </w:tbl>
    <w:p w:rsidR="00170CF8" w:rsidRDefault="00170CF8" w:rsidP="00170CF8">
      <w:pPr>
        <w:pStyle w:val="BodyText"/>
      </w:pPr>
      <w:bookmarkStart w:id="515" w:name="_Ref422841282"/>
      <w:bookmarkStart w:id="516" w:name="_Ref337027520"/>
      <w:bookmarkStart w:id="517" w:name="_Toc341180535"/>
      <w:bookmarkStart w:id="518" w:name="_Toc387951613"/>
    </w:p>
    <w:p w:rsidR="00F301DF" w:rsidRDefault="00F301DF" w:rsidP="00F301DF">
      <w:pPr>
        <w:pStyle w:val="FigureorTableTitle"/>
      </w:pPr>
      <w:bookmarkStart w:id="519" w:name="_Toc424192748"/>
      <w:r w:rsidRPr="00776CD6">
        <w:t xml:space="preserve">Figure </w:t>
      </w:r>
      <w:r w:rsidR="00512CD6">
        <w:fldChar w:fldCharType="begin"/>
      </w:r>
      <w:r w:rsidR="00512CD6">
        <w:instrText xml:space="preserve"> STYLEREF  "Heading 1,Chap Num" \n  \* MERGEFORMAT </w:instrText>
      </w:r>
      <w:r w:rsidR="00512CD6">
        <w:fldChar w:fldCharType="separate"/>
      </w:r>
      <w:r w:rsidR="00B2652C">
        <w:rPr>
          <w:noProof/>
        </w:rPr>
        <w:t>5</w:t>
      </w:r>
      <w:r w:rsidR="00512CD6">
        <w:rPr>
          <w:noProof/>
        </w:rPr>
        <w:fldChar w:fldCharType="end"/>
      </w:r>
      <w:r w:rsidRPr="00776CD6">
        <w:t>-</w:t>
      </w:r>
      <w:r w:rsidR="00512CD6">
        <w:fldChar w:fldCharType="begin"/>
      </w:r>
      <w:r w:rsidR="00512CD6">
        <w:instrText xml:space="preserve"> SEQ Figure\s 1 \* MERGEFORMAT </w:instrText>
      </w:r>
      <w:r w:rsidR="00512CD6">
        <w:fldChar w:fldCharType="separate"/>
      </w:r>
      <w:r w:rsidR="00B2652C">
        <w:rPr>
          <w:noProof/>
        </w:rPr>
        <w:t>14</w:t>
      </w:r>
      <w:r w:rsidR="00512CD6">
        <w:rPr>
          <w:noProof/>
        </w:rPr>
        <w:fldChar w:fldCharType="end"/>
      </w:r>
      <w:bookmarkEnd w:id="515"/>
      <w:r>
        <w:tab/>
        <w:t>Industrial Conservation Potential as a % of the Baseline Projection (Annual Energy), Washington</w:t>
      </w:r>
      <w:bookmarkEnd w:id="519"/>
    </w:p>
    <w:p w:rsidR="00F301DF" w:rsidRPr="00081DEE" w:rsidRDefault="00F301DF" w:rsidP="00C37896">
      <w:pPr>
        <w:pStyle w:val="BodyText"/>
      </w:pPr>
      <w:r w:rsidRPr="00F301DF">
        <w:rPr>
          <w:noProof/>
        </w:rPr>
        <w:drawing>
          <wp:inline distT="0" distB="0" distL="0" distR="0">
            <wp:extent cx="5715000" cy="2908116"/>
            <wp:effectExtent l="0" t="0" r="0" b="698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15000" cy="2908116"/>
                    </a:xfrm>
                    <a:prstGeom prst="rect">
                      <a:avLst/>
                    </a:prstGeom>
                    <a:noFill/>
                    <a:ln>
                      <a:noFill/>
                    </a:ln>
                  </pic:spPr>
                </pic:pic>
              </a:graphicData>
            </a:graphic>
          </wp:inline>
        </w:drawing>
      </w:r>
    </w:p>
    <w:p w:rsidR="00157088" w:rsidRPr="00081DEE" w:rsidRDefault="00157088" w:rsidP="008115B5">
      <w:pPr>
        <w:pStyle w:val="FigureorTableTitle"/>
      </w:pPr>
      <w:bookmarkStart w:id="520" w:name="_Ref422841284"/>
      <w:bookmarkStart w:id="521" w:name="_Toc424192749"/>
      <w:r w:rsidRPr="00776CD6">
        <w:lastRenderedPageBreak/>
        <w:t xml:space="preserve">Figure </w:t>
      </w:r>
      <w:r w:rsidR="00512CD6">
        <w:fldChar w:fldCharType="begin"/>
      </w:r>
      <w:r w:rsidR="00512CD6">
        <w:instrText xml:space="preserve"> STYLEREF  "Heading 1,Chap Num" \n  \* MERGEFORMAT </w:instrText>
      </w:r>
      <w:r w:rsidR="00512CD6">
        <w:fldChar w:fldCharType="separate"/>
      </w:r>
      <w:r w:rsidR="00B2652C">
        <w:rPr>
          <w:noProof/>
        </w:rPr>
        <w:t>5</w:t>
      </w:r>
      <w:r w:rsidR="00512CD6">
        <w:rPr>
          <w:noProof/>
        </w:rPr>
        <w:fldChar w:fldCharType="end"/>
      </w:r>
      <w:r w:rsidRPr="00776CD6">
        <w:t>-</w:t>
      </w:r>
      <w:r w:rsidR="00512CD6">
        <w:fldChar w:fldCharType="begin"/>
      </w:r>
      <w:r w:rsidR="00512CD6">
        <w:instrText xml:space="preserve"> SEQ Figure\s 1 \* MERGEFORMAT </w:instrText>
      </w:r>
      <w:r w:rsidR="00512CD6">
        <w:fldChar w:fldCharType="separate"/>
      </w:r>
      <w:r w:rsidR="00B2652C">
        <w:rPr>
          <w:noProof/>
        </w:rPr>
        <w:t>15</w:t>
      </w:r>
      <w:r w:rsidR="00512CD6">
        <w:rPr>
          <w:noProof/>
        </w:rPr>
        <w:fldChar w:fldCharType="end"/>
      </w:r>
      <w:bookmarkEnd w:id="516"/>
      <w:bookmarkEnd w:id="520"/>
      <w:r>
        <w:tab/>
        <w:t xml:space="preserve">Industrial </w:t>
      </w:r>
      <w:r w:rsidR="00DA2C9E">
        <w:t>Conservation</w:t>
      </w:r>
      <w:r w:rsidR="000F4CA5">
        <w:t xml:space="preserve"> Potential as a % of the Baseline Projection </w:t>
      </w:r>
      <w:bookmarkEnd w:id="517"/>
      <w:r>
        <w:t>(</w:t>
      </w:r>
      <w:r w:rsidR="000F4CA5">
        <w:t xml:space="preserve">Annual </w:t>
      </w:r>
      <w:r>
        <w:t>Energy)</w:t>
      </w:r>
      <w:bookmarkEnd w:id="518"/>
      <w:r w:rsidR="00D57B75">
        <w:t>, Idaho</w:t>
      </w:r>
      <w:bookmarkEnd w:id="521"/>
    </w:p>
    <w:p w:rsidR="00157088" w:rsidRDefault="00F301DF" w:rsidP="00157088">
      <w:pPr>
        <w:pStyle w:val="BodyText"/>
      </w:pPr>
      <w:r w:rsidRPr="00F301DF">
        <w:rPr>
          <w:noProof/>
        </w:rPr>
        <w:drawing>
          <wp:inline distT="0" distB="0" distL="0" distR="0">
            <wp:extent cx="5715000" cy="2908116"/>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15000" cy="2908116"/>
                    </a:xfrm>
                    <a:prstGeom prst="rect">
                      <a:avLst/>
                    </a:prstGeom>
                    <a:noFill/>
                    <a:ln>
                      <a:noFill/>
                    </a:ln>
                  </pic:spPr>
                </pic:pic>
              </a:graphicData>
            </a:graphic>
          </wp:inline>
        </w:drawing>
      </w:r>
    </w:p>
    <w:p w:rsidR="008914C7" w:rsidRDefault="008914C7">
      <w:pPr>
        <w:rPr>
          <w:spacing w:val="4"/>
          <w:szCs w:val="18"/>
        </w:rPr>
      </w:pPr>
    </w:p>
    <w:p w:rsidR="00970EA3" w:rsidRDefault="00970EA3" w:rsidP="00970EA3">
      <w:pPr>
        <w:pStyle w:val="BodyText"/>
      </w:pPr>
      <w:r>
        <w:t>Below, we present the top industrial measures from the perspective of annual energy use</w:t>
      </w:r>
      <w:r w:rsidR="005F1A24">
        <w:t xml:space="preserve"> for Washington and Idaho combined, followed by each state</w:t>
      </w:r>
      <w:r>
        <w:t>.</w:t>
      </w:r>
    </w:p>
    <w:p w:rsidR="00170CF8" w:rsidRDefault="00170CF8">
      <w:pPr>
        <w:rPr>
          <w:spacing w:val="4"/>
          <w:szCs w:val="18"/>
        </w:rPr>
      </w:pPr>
      <w:r>
        <w:br w:type="page"/>
      </w:r>
    </w:p>
    <w:p w:rsidR="005F1A24" w:rsidRDefault="00893E3D" w:rsidP="005F1A24">
      <w:pPr>
        <w:pStyle w:val="BodyText"/>
      </w:pPr>
      <w:r>
        <w:lastRenderedPageBreak/>
        <w:fldChar w:fldCharType="begin"/>
      </w:r>
      <w:r w:rsidR="00170CF8">
        <w:instrText xml:space="preserve"> REF _Ref424192402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19</w:t>
      </w:r>
      <w:r>
        <w:fldChar w:fldCharType="end"/>
      </w:r>
      <w:r w:rsidR="00170CF8">
        <w:t xml:space="preserve"> </w:t>
      </w:r>
      <w:r w:rsidR="005F1A24">
        <w:t>identifies the top 20 industrial measures from the perspective of annual energy savings in 2017</w:t>
      </w:r>
      <w:r w:rsidR="00170CF8">
        <w:t xml:space="preserve"> for Washington and Idaho</w:t>
      </w:r>
      <w:r w:rsidR="005F1A24">
        <w:t xml:space="preserve">. </w:t>
      </w:r>
      <w:r>
        <w:fldChar w:fldCharType="begin"/>
      </w:r>
      <w:r w:rsidR="00170CF8">
        <w:instrText xml:space="preserve"> REF _Ref402254527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20</w:t>
      </w:r>
      <w:r>
        <w:fldChar w:fldCharType="end"/>
      </w:r>
      <w:r w:rsidR="00170CF8">
        <w:t xml:space="preserve"> and </w:t>
      </w:r>
      <w:r>
        <w:fldChar w:fldCharType="begin"/>
      </w:r>
      <w:r w:rsidR="00170CF8">
        <w:instrText xml:space="preserve"> REF _Ref424192427 \h </w:instrText>
      </w:r>
      <w:r>
        <w:fldChar w:fldCharType="separate"/>
      </w:r>
      <w:r w:rsidR="00B2652C" w:rsidRPr="00535EB3">
        <w:t xml:space="preserve">Table </w:t>
      </w:r>
      <w:r w:rsidR="00B2652C" w:rsidRPr="00B2652C">
        <w:rPr>
          <w:noProof/>
        </w:rPr>
        <w:t>5</w:t>
      </w:r>
      <w:r w:rsidR="00B2652C" w:rsidRPr="00535EB3">
        <w:t>-</w:t>
      </w:r>
      <w:r w:rsidR="00B2652C" w:rsidRPr="00B2652C">
        <w:rPr>
          <w:noProof/>
        </w:rPr>
        <w:t>21</w:t>
      </w:r>
      <w:r>
        <w:fldChar w:fldCharType="end"/>
      </w:r>
      <w:r w:rsidR="00170CF8">
        <w:t xml:space="preserve"> show the top measures for each state individually. </w:t>
      </w:r>
      <w:r w:rsidR="005F1A24">
        <w:t>For both states, t</w:t>
      </w:r>
      <w:r w:rsidR="005F1A24" w:rsidRPr="002C1F25">
        <w:t xml:space="preserve">he top measure is </w:t>
      </w:r>
      <w:r w:rsidR="005F1A24">
        <w:t>optimization and improvements on fan systems. The measure with the second highest savings is variable frequency drive for pumps</w:t>
      </w:r>
      <w:r w:rsidR="005F1A24" w:rsidRPr="002C1F25">
        <w:t>.</w:t>
      </w:r>
      <w:r w:rsidR="00170CF8">
        <w:t xml:space="preserve"> </w:t>
      </w:r>
    </w:p>
    <w:p w:rsidR="00B2652C" w:rsidRDefault="00893E3D" w:rsidP="00170CF8">
      <w:pPr>
        <w:pStyle w:val="BodyText"/>
      </w:pPr>
      <w:r>
        <w:fldChar w:fldCharType="begin"/>
      </w:r>
      <w:r w:rsidR="00170CF8">
        <w:instrText xml:space="preserve"> REF _Ref401481109 \h </w:instrText>
      </w:r>
      <w:r>
        <w:fldChar w:fldCharType="separate"/>
      </w:r>
    </w:p>
    <w:p w:rsidR="00170CF8" w:rsidRDefault="00B2652C" w:rsidP="00170CF8">
      <w:pPr>
        <w:pStyle w:val="BodyText"/>
      </w:pPr>
      <w:r w:rsidRPr="00E07587">
        <w:t xml:space="preserve">Figure </w:t>
      </w:r>
      <w:r w:rsidRPr="00B2652C">
        <w:rPr>
          <w:noProof/>
        </w:rPr>
        <w:t>5</w:t>
      </w:r>
      <w:r w:rsidRPr="00E07587">
        <w:t>-</w:t>
      </w:r>
      <w:r w:rsidRPr="00B2652C">
        <w:rPr>
          <w:noProof/>
        </w:rPr>
        <w:t>16</w:t>
      </w:r>
      <w:r w:rsidR="00893E3D">
        <w:fldChar w:fldCharType="end"/>
      </w:r>
      <w:r w:rsidR="00170CF8">
        <w:t xml:space="preserve"> (WA) and </w:t>
      </w:r>
      <w:r w:rsidR="00893E3D">
        <w:fldChar w:fldCharType="begin"/>
      </w:r>
      <w:r w:rsidR="00170CF8">
        <w:instrText xml:space="preserve"> REF _Ref422842217 \h </w:instrText>
      </w:r>
      <w:r w:rsidR="00893E3D">
        <w:fldChar w:fldCharType="separate"/>
      </w:r>
      <w:r w:rsidRPr="00E07587">
        <w:t xml:space="preserve">Figure </w:t>
      </w:r>
      <w:r w:rsidRPr="00B2652C">
        <w:rPr>
          <w:noProof/>
        </w:rPr>
        <w:t>5</w:t>
      </w:r>
      <w:r w:rsidRPr="00E07587">
        <w:t>-</w:t>
      </w:r>
      <w:r w:rsidRPr="00B2652C">
        <w:rPr>
          <w:noProof/>
        </w:rPr>
        <w:t>17</w:t>
      </w:r>
      <w:r w:rsidR="00893E3D">
        <w:fldChar w:fldCharType="end"/>
      </w:r>
      <w:r w:rsidR="00170CF8">
        <w:t xml:space="preserve"> (ID) present forecasts of energy savings by end use as a percent of total annual savings and cumulative savings. Motor-related measures account for a substantial portion of the savings throughout the forecast horizon. The share of savings by end use remains fairly similar throughout the forecast period.</w:t>
      </w:r>
    </w:p>
    <w:p w:rsidR="005F1A24" w:rsidRDefault="005F1A24" w:rsidP="005F1A24">
      <w:pPr>
        <w:pStyle w:val="FigureorTableTitle"/>
      </w:pPr>
      <w:bookmarkStart w:id="522" w:name="_Ref424192402"/>
      <w:bookmarkStart w:id="523" w:name="_Toc424192814"/>
      <w:r w:rsidRPr="00535EB3">
        <w:rPr>
          <w:bCs w:val="0"/>
          <w:iCs w:val="0"/>
        </w:rPr>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19</w:t>
      </w:r>
      <w:r w:rsidR="00512CD6">
        <w:rPr>
          <w:bCs w:val="0"/>
          <w:iCs w:val="0"/>
          <w:noProof/>
        </w:rPr>
        <w:fldChar w:fldCharType="end"/>
      </w:r>
      <w:bookmarkEnd w:id="522"/>
      <w:r>
        <w:tab/>
        <w:t>Industrial Top Measures in 2017 (Annual Energy, GWh), Washington and Idaho</w:t>
      </w:r>
      <w:bookmarkEnd w:id="523"/>
    </w:p>
    <w:tbl>
      <w:tblPr>
        <w:tblW w:w="5000" w:type="pct"/>
        <w:tblCellMar>
          <w:left w:w="0" w:type="dxa"/>
          <w:right w:w="0" w:type="dxa"/>
        </w:tblCellMar>
        <w:tblLook w:val="04A0" w:firstRow="1" w:lastRow="0" w:firstColumn="1" w:lastColumn="0" w:noHBand="0" w:noVBand="1"/>
      </w:tblPr>
      <w:tblGrid>
        <w:gridCol w:w="1199"/>
        <w:gridCol w:w="4670"/>
        <w:gridCol w:w="1578"/>
        <w:gridCol w:w="1578"/>
      </w:tblGrid>
      <w:tr w:rsidR="005F1A24"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1A1D5D"/>
            <w:vAlign w:val="center"/>
          </w:tcPr>
          <w:p w:rsidR="005F1A24" w:rsidRPr="00513762" w:rsidRDefault="005F1A24" w:rsidP="005F1A24">
            <w:pPr>
              <w:jc w:val="center"/>
              <w:textAlignment w:val="bottom"/>
              <w:rPr>
                <w:rFonts w:ascii="Calibri" w:hAnsi="Calibri" w:cs="Calibri"/>
                <w:bCs/>
                <w:color w:val="FFFFFF"/>
                <w:kern w:val="24"/>
                <w:szCs w:val="20"/>
              </w:rPr>
            </w:pPr>
            <w:r w:rsidRPr="00513762">
              <w:rPr>
                <w:rFonts w:ascii="Calibri" w:hAnsi="Calibri" w:cs="Calibri"/>
                <w:bCs/>
                <w:color w:val="FFFFFF"/>
                <w:kern w:val="24"/>
                <w:szCs w:val="20"/>
              </w:rPr>
              <w:t>Rank</w:t>
            </w:r>
          </w:p>
        </w:tc>
        <w:tc>
          <w:tcPr>
            <w:tcW w:w="2587" w:type="pct"/>
            <w:tcBorders>
              <w:top w:val="single" w:sz="8" w:space="0" w:color="4F4F4F"/>
              <w:left w:val="single" w:sz="8" w:space="0" w:color="4F4F4F"/>
              <w:bottom w:val="single" w:sz="8" w:space="0" w:color="4F4F4F"/>
              <w:right w:val="single" w:sz="8" w:space="0" w:color="4F4F4F"/>
            </w:tcBorders>
            <w:shd w:val="clear" w:color="auto" w:fill="1A1D5D"/>
            <w:tcMar>
              <w:top w:w="15" w:type="dxa"/>
              <w:left w:w="144" w:type="dxa"/>
              <w:bottom w:w="0" w:type="dxa"/>
              <w:right w:w="15" w:type="dxa"/>
            </w:tcMar>
            <w:vAlign w:val="center"/>
            <w:hideMark/>
          </w:tcPr>
          <w:p w:rsidR="005F1A24" w:rsidRPr="00513762" w:rsidRDefault="005F1A24" w:rsidP="00170CF8">
            <w:pPr>
              <w:jc w:val="center"/>
              <w:textAlignment w:val="bottom"/>
              <w:rPr>
                <w:rFonts w:ascii="Calibri" w:hAnsi="Calibri" w:cs="Calibri"/>
                <w:szCs w:val="20"/>
              </w:rPr>
            </w:pPr>
            <w:r w:rsidRPr="00513762">
              <w:rPr>
                <w:rFonts w:ascii="Calibri" w:hAnsi="Calibri" w:cs="Calibri"/>
                <w:bCs/>
                <w:color w:val="FFFFFF"/>
                <w:kern w:val="24"/>
                <w:szCs w:val="20"/>
              </w:rPr>
              <w:t>Industrial Measure</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5F1A24" w:rsidRPr="00513762" w:rsidRDefault="005F1A24" w:rsidP="00170CF8">
            <w:pPr>
              <w:jc w:val="center"/>
              <w:textAlignment w:val="center"/>
              <w:rPr>
                <w:rFonts w:ascii="Calibri" w:hAnsi="Calibri" w:cs="Calibri"/>
                <w:szCs w:val="20"/>
              </w:rPr>
            </w:pPr>
            <w:r w:rsidRPr="00513762">
              <w:rPr>
                <w:rFonts w:ascii="Calibri" w:hAnsi="Calibri" w:cs="Calibri"/>
                <w:bCs/>
                <w:color w:val="FFFFFF"/>
                <w:kern w:val="24"/>
                <w:szCs w:val="20"/>
              </w:rPr>
              <w:t>20</w:t>
            </w:r>
            <w:r>
              <w:rPr>
                <w:rFonts w:ascii="Calibri" w:hAnsi="Calibri" w:cs="Calibri"/>
                <w:bCs/>
                <w:color w:val="FFFFFF"/>
                <w:kern w:val="24"/>
                <w:szCs w:val="20"/>
              </w:rPr>
              <w:t>17</w:t>
            </w:r>
            <w:r w:rsidRPr="00513762">
              <w:rPr>
                <w:rFonts w:ascii="Calibri" w:hAnsi="Calibri" w:cs="Calibri"/>
                <w:bCs/>
                <w:color w:val="FFFFFF"/>
                <w:kern w:val="24"/>
                <w:szCs w:val="20"/>
              </w:rPr>
              <w:t xml:space="preserve"> Cumulative Energy Savings </w:t>
            </w:r>
            <w:r w:rsidRPr="00513762">
              <w:rPr>
                <w:rFonts w:ascii="Calibri" w:hAnsi="Calibri" w:cs="Calibri"/>
                <w:bCs/>
                <w:color w:val="FFFFFF"/>
                <w:kern w:val="24"/>
                <w:szCs w:val="20"/>
              </w:rPr>
              <w:br/>
              <w:t>(</w:t>
            </w:r>
            <w:r>
              <w:rPr>
                <w:rFonts w:ascii="Calibri" w:hAnsi="Calibri" w:cs="Calibri"/>
                <w:bCs/>
                <w:color w:val="FFFFFF"/>
                <w:kern w:val="24"/>
                <w:szCs w:val="20"/>
              </w:rPr>
              <w:t>M</w:t>
            </w:r>
            <w:r w:rsidRPr="00513762">
              <w:rPr>
                <w:rFonts w:ascii="Calibri" w:hAnsi="Calibri" w:cs="Calibri"/>
                <w:bCs/>
                <w:color w:val="FFFFFF"/>
                <w:kern w:val="24"/>
                <w:szCs w:val="20"/>
              </w:rPr>
              <w:t>Wh)</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5F1A24" w:rsidRPr="00513762" w:rsidRDefault="005F1A24" w:rsidP="00170CF8">
            <w:pPr>
              <w:jc w:val="center"/>
              <w:textAlignment w:val="center"/>
              <w:rPr>
                <w:rFonts w:ascii="Calibri" w:hAnsi="Calibri" w:cs="Calibri"/>
                <w:szCs w:val="20"/>
              </w:rPr>
            </w:pPr>
            <w:r w:rsidRPr="00513762">
              <w:rPr>
                <w:rFonts w:ascii="Calibri" w:hAnsi="Calibri" w:cs="Calibri"/>
                <w:bCs/>
                <w:iCs/>
                <w:color w:val="FFFFFF"/>
                <w:kern w:val="24"/>
                <w:szCs w:val="20"/>
              </w:rPr>
              <w:t xml:space="preserve">% of </w:t>
            </w:r>
            <w:r w:rsidRPr="00513762">
              <w:rPr>
                <w:rFonts w:ascii="Calibri" w:hAnsi="Calibri" w:cs="Calibri"/>
                <w:bCs/>
                <w:iCs/>
                <w:color w:val="FFFFFF"/>
                <w:kern w:val="24"/>
                <w:szCs w:val="20"/>
              </w:rPr>
              <w:br/>
              <w:t>Total</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Fan System - Optimization and Improvements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4,524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28.3%</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Motors - Variable Frequency Drive (Pumps)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3,020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18.9%</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Motors - Variable Frequency Drive (Fans &amp; Blowers)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1,505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9.4%</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Compressed Air - Air Usage Reduction</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1,247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7.8%</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Pumping System - Optimization and Improvements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893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5.6%</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Interior Lighting - Occupancy Sensors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703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4.4%</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Interior Lighting - High-Bay Fixtures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420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2.6%</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Fan System - Maintenance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414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2.6%</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Interior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403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2.5%</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Motors - Variable Frequency Drive (Compressed Air)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399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2.5%</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HVAC - Duct Repair and Sealing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362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2.3%</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Transformer - High Efficiency</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298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1.9%</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Motors - Variable Frequency Drive (Other)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272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1.7%</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Compressed Air - System Optimization and Improvements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271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1.7%</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Exterior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240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1.5%</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Chiller - Chilled Water Reset</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216</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1.3%</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Insulation - Wall Cavity</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143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0.9%</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Compressed Air - Compressor Replacement</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142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0.9%</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Interior Lighting - Skylights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118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0.7%</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20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hideMark/>
          </w:tcPr>
          <w:p w:rsidR="00170CF8" w:rsidRPr="00170CF8" w:rsidRDefault="00170CF8" w:rsidP="00170CF8">
            <w:pPr>
              <w:pStyle w:val="NormalWeb"/>
              <w:ind w:left="144"/>
              <w:textAlignment w:val="center"/>
              <w:rPr>
                <w:rFonts w:ascii="Calibri" w:hAnsi="Calibri" w:cs="Arial"/>
                <w:color w:val="000000"/>
                <w:kern w:val="24"/>
                <w:szCs w:val="20"/>
              </w:rPr>
            </w:pPr>
            <w:r w:rsidRPr="00170CF8">
              <w:rPr>
                <w:rFonts w:ascii="Calibri" w:hAnsi="Calibri" w:cs="Calibri"/>
                <w:color w:val="000000"/>
                <w:szCs w:val="22"/>
              </w:rPr>
              <w:t>Destratification Fans (HVLS)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101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170CF8" w:rsidRPr="00170CF8" w:rsidRDefault="00170CF8" w:rsidP="00170CF8">
            <w:pPr>
              <w:pStyle w:val="NormalWeb"/>
              <w:ind w:right="288"/>
              <w:jc w:val="right"/>
              <w:textAlignment w:val="center"/>
              <w:rPr>
                <w:rFonts w:ascii="Calibri" w:hAnsi="Calibri" w:cs="Arial"/>
                <w:color w:val="000000"/>
                <w:kern w:val="24"/>
                <w:szCs w:val="20"/>
              </w:rPr>
            </w:pPr>
            <w:r w:rsidRPr="00170CF8">
              <w:rPr>
                <w:rFonts w:ascii="Calibri" w:hAnsi="Calibri" w:cs="Calibri"/>
                <w:color w:val="000000"/>
                <w:szCs w:val="22"/>
              </w:rPr>
              <w:t>0.6%</w:t>
            </w:r>
          </w:p>
        </w:tc>
      </w:tr>
      <w:tr w:rsidR="00170CF8" w:rsidRPr="00513762" w:rsidTr="00170CF8">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170CF8" w:rsidRPr="006B33CC" w:rsidRDefault="00170CF8" w:rsidP="00170CF8">
            <w:pPr>
              <w:pStyle w:val="NormalWeb"/>
              <w:jc w:val="center"/>
              <w:textAlignment w:val="center"/>
              <w:rPr>
                <w:rFonts w:ascii="Calibri" w:hAnsi="Calibri" w:cs="Arial"/>
                <w:b/>
                <w:color w:val="000000"/>
                <w:kern w:val="24"/>
                <w:szCs w:val="20"/>
              </w:rPr>
            </w:pPr>
            <w:r w:rsidRPr="006B33CC">
              <w:rPr>
                <w:rFonts w:ascii="Calibri" w:hAnsi="Calibri" w:cs="Arial"/>
                <w:b/>
                <w:color w:val="000000"/>
                <w:kern w:val="24"/>
                <w:szCs w:val="20"/>
              </w:rPr>
              <w:t>Total</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170CF8" w:rsidRPr="006B33CC" w:rsidRDefault="00170CF8" w:rsidP="00170CF8">
            <w:pPr>
              <w:pStyle w:val="NormalWeb"/>
              <w:ind w:left="144"/>
              <w:textAlignment w:val="center"/>
              <w:rPr>
                <w:rFonts w:ascii="Calibri" w:hAnsi="Calibri" w:cs="Arial"/>
                <w:b/>
                <w:color w:val="000000"/>
                <w:kern w:val="24"/>
                <w:szCs w:val="20"/>
              </w:rPr>
            </w:pPr>
            <w:r w:rsidRPr="006B33CC">
              <w:rPr>
                <w:rFonts w:ascii="Calibri" w:hAnsi="Calibri" w:cs="Arial"/>
                <w:b/>
                <w:color w:val="000000"/>
                <w:kern w:val="24"/>
                <w:szCs w:val="20"/>
              </w:rPr>
              <w:t>Total</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b/>
                <w:color w:val="000000"/>
                <w:kern w:val="24"/>
                <w:szCs w:val="20"/>
              </w:rPr>
            </w:pPr>
            <w:r w:rsidRPr="00170CF8">
              <w:rPr>
                <w:rFonts w:ascii="Calibri" w:hAnsi="Calibri" w:cs="Calibri"/>
                <w:b/>
                <w:bCs/>
                <w:color w:val="000000"/>
                <w:szCs w:val="22"/>
              </w:rPr>
              <w:t>15,692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170CF8" w:rsidRPr="00170CF8" w:rsidRDefault="00170CF8" w:rsidP="00170CF8">
            <w:pPr>
              <w:pStyle w:val="NormalWeb"/>
              <w:ind w:right="288"/>
              <w:jc w:val="right"/>
              <w:textAlignment w:val="center"/>
              <w:rPr>
                <w:rFonts w:ascii="Calibri" w:hAnsi="Calibri" w:cs="Arial"/>
                <w:b/>
                <w:color w:val="000000"/>
                <w:kern w:val="24"/>
                <w:szCs w:val="20"/>
              </w:rPr>
            </w:pPr>
            <w:r w:rsidRPr="00170CF8">
              <w:rPr>
                <w:rFonts w:ascii="Calibri" w:hAnsi="Calibri" w:cs="Calibri"/>
                <w:b/>
                <w:bCs/>
                <w:color w:val="000000"/>
                <w:szCs w:val="22"/>
              </w:rPr>
              <w:t>98.1%</w:t>
            </w:r>
          </w:p>
        </w:tc>
      </w:tr>
    </w:tbl>
    <w:p w:rsidR="005F1A24" w:rsidRDefault="005F1A24"/>
    <w:p w:rsidR="005F1A24" w:rsidRDefault="005F1A24"/>
    <w:p w:rsidR="00A65ACB" w:rsidRDefault="00A65ACB">
      <w:pPr>
        <w:rPr>
          <w:spacing w:val="4"/>
          <w:szCs w:val="18"/>
        </w:rPr>
      </w:pPr>
      <w:r>
        <w:br w:type="page"/>
      </w:r>
    </w:p>
    <w:p w:rsidR="00970EA3" w:rsidRDefault="001879D6" w:rsidP="008115B5">
      <w:pPr>
        <w:pStyle w:val="FigureorTableTitle"/>
      </w:pPr>
      <w:bookmarkStart w:id="524" w:name="_Ref402254527"/>
      <w:bookmarkStart w:id="525" w:name="_Toc424192815"/>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20</w:t>
      </w:r>
      <w:r w:rsidR="00512CD6">
        <w:rPr>
          <w:bCs w:val="0"/>
          <w:iCs w:val="0"/>
          <w:noProof/>
        </w:rPr>
        <w:fldChar w:fldCharType="end"/>
      </w:r>
      <w:bookmarkEnd w:id="524"/>
      <w:r w:rsidR="00970EA3">
        <w:tab/>
        <w:t>Industrial Top Measures in 20</w:t>
      </w:r>
      <w:r w:rsidR="00513762">
        <w:t>1</w:t>
      </w:r>
      <w:r w:rsidR="00F301DF">
        <w:t>7</w:t>
      </w:r>
      <w:r w:rsidR="00970EA3">
        <w:t xml:space="preserve"> (Annual Energy, GWh)</w:t>
      </w:r>
      <w:r w:rsidR="006B33CC">
        <w:t>, Washington</w:t>
      </w:r>
      <w:bookmarkEnd w:id="525"/>
    </w:p>
    <w:tbl>
      <w:tblPr>
        <w:tblW w:w="5000" w:type="pct"/>
        <w:tblCellMar>
          <w:left w:w="0" w:type="dxa"/>
          <w:right w:w="0" w:type="dxa"/>
        </w:tblCellMar>
        <w:tblLook w:val="04A0" w:firstRow="1" w:lastRow="0" w:firstColumn="1" w:lastColumn="0" w:noHBand="0" w:noVBand="1"/>
      </w:tblPr>
      <w:tblGrid>
        <w:gridCol w:w="1199"/>
        <w:gridCol w:w="4670"/>
        <w:gridCol w:w="1578"/>
        <w:gridCol w:w="1578"/>
      </w:tblGrid>
      <w:tr w:rsidR="00970EA3" w:rsidRPr="00513762" w:rsidTr="00513762">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1A1D5D"/>
            <w:vAlign w:val="center"/>
          </w:tcPr>
          <w:p w:rsidR="00970EA3" w:rsidRPr="00513762" w:rsidRDefault="00970EA3" w:rsidP="00970EA3">
            <w:pPr>
              <w:jc w:val="center"/>
              <w:textAlignment w:val="bottom"/>
              <w:rPr>
                <w:rFonts w:ascii="Calibri" w:hAnsi="Calibri" w:cs="Calibri"/>
                <w:bCs/>
                <w:color w:val="FFFFFF"/>
                <w:kern w:val="24"/>
                <w:szCs w:val="20"/>
              </w:rPr>
            </w:pPr>
            <w:r w:rsidRPr="00513762">
              <w:rPr>
                <w:rFonts w:ascii="Calibri" w:hAnsi="Calibri" w:cs="Calibri"/>
                <w:bCs/>
                <w:color w:val="FFFFFF"/>
                <w:kern w:val="24"/>
                <w:szCs w:val="20"/>
              </w:rPr>
              <w:t>Rank</w:t>
            </w:r>
          </w:p>
        </w:tc>
        <w:tc>
          <w:tcPr>
            <w:tcW w:w="2587" w:type="pct"/>
            <w:tcBorders>
              <w:top w:val="single" w:sz="8" w:space="0" w:color="4F4F4F"/>
              <w:left w:val="single" w:sz="8" w:space="0" w:color="4F4F4F"/>
              <w:bottom w:val="single" w:sz="8" w:space="0" w:color="4F4F4F"/>
              <w:right w:val="single" w:sz="8" w:space="0" w:color="4F4F4F"/>
            </w:tcBorders>
            <w:shd w:val="clear" w:color="auto" w:fill="1A1D5D"/>
            <w:tcMar>
              <w:top w:w="15" w:type="dxa"/>
              <w:left w:w="144" w:type="dxa"/>
              <w:bottom w:w="0" w:type="dxa"/>
              <w:right w:w="15" w:type="dxa"/>
            </w:tcMar>
            <w:vAlign w:val="center"/>
            <w:hideMark/>
          </w:tcPr>
          <w:p w:rsidR="00970EA3" w:rsidRPr="00513762" w:rsidRDefault="00125F3F" w:rsidP="00513762">
            <w:pPr>
              <w:jc w:val="center"/>
              <w:textAlignment w:val="bottom"/>
              <w:rPr>
                <w:rFonts w:ascii="Calibri" w:hAnsi="Calibri" w:cs="Calibri"/>
                <w:szCs w:val="20"/>
              </w:rPr>
            </w:pPr>
            <w:r w:rsidRPr="00513762">
              <w:rPr>
                <w:rFonts w:ascii="Calibri" w:hAnsi="Calibri" w:cs="Calibri"/>
                <w:bCs/>
                <w:color w:val="FFFFFF"/>
                <w:kern w:val="24"/>
                <w:szCs w:val="20"/>
              </w:rPr>
              <w:t>Industrial Measure</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970EA3" w:rsidRPr="00513762" w:rsidRDefault="00970EA3" w:rsidP="00D633CC">
            <w:pPr>
              <w:jc w:val="center"/>
              <w:textAlignment w:val="center"/>
              <w:rPr>
                <w:rFonts w:ascii="Calibri" w:hAnsi="Calibri" w:cs="Calibri"/>
                <w:szCs w:val="20"/>
              </w:rPr>
            </w:pPr>
            <w:r w:rsidRPr="00513762">
              <w:rPr>
                <w:rFonts w:ascii="Calibri" w:hAnsi="Calibri" w:cs="Calibri"/>
                <w:bCs/>
                <w:color w:val="FFFFFF"/>
                <w:kern w:val="24"/>
                <w:szCs w:val="20"/>
              </w:rPr>
              <w:t>20</w:t>
            </w:r>
            <w:r w:rsidR="00513762">
              <w:rPr>
                <w:rFonts w:ascii="Calibri" w:hAnsi="Calibri" w:cs="Calibri"/>
                <w:bCs/>
                <w:color w:val="FFFFFF"/>
                <w:kern w:val="24"/>
                <w:szCs w:val="20"/>
              </w:rPr>
              <w:t>1</w:t>
            </w:r>
            <w:r w:rsidR="00F301DF">
              <w:rPr>
                <w:rFonts w:ascii="Calibri" w:hAnsi="Calibri" w:cs="Calibri"/>
                <w:bCs/>
                <w:color w:val="FFFFFF"/>
                <w:kern w:val="24"/>
                <w:szCs w:val="20"/>
              </w:rPr>
              <w:t>7</w:t>
            </w:r>
            <w:r w:rsidRPr="00513762">
              <w:rPr>
                <w:rFonts w:ascii="Calibri" w:hAnsi="Calibri" w:cs="Calibri"/>
                <w:bCs/>
                <w:color w:val="FFFFFF"/>
                <w:kern w:val="24"/>
                <w:szCs w:val="20"/>
              </w:rPr>
              <w:t xml:space="preserve"> Cumulative Energy Savings </w:t>
            </w:r>
            <w:r w:rsidRPr="00513762">
              <w:rPr>
                <w:rFonts w:ascii="Calibri" w:hAnsi="Calibri" w:cs="Calibri"/>
                <w:bCs/>
                <w:color w:val="FFFFFF"/>
                <w:kern w:val="24"/>
                <w:szCs w:val="20"/>
              </w:rPr>
              <w:br/>
              <w:t>(</w:t>
            </w:r>
            <w:r w:rsidR="00D633CC">
              <w:rPr>
                <w:rFonts w:ascii="Calibri" w:hAnsi="Calibri" w:cs="Calibri"/>
                <w:bCs/>
                <w:color w:val="FFFFFF"/>
                <w:kern w:val="24"/>
                <w:szCs w:val="20"/>
              </w:rPr>
              <w:t>M</w:t>
            </w:r>
            <w:r w:rsidRPr="00513762">
              <w:rPr>
                <w:rFonts w:ascii="Calibri" w:hAnsi="Calibri" w:cs="Calibri"/>
                <w:bCs/>
                <w:color w:val="FFFFFF"/>
                <w:kern w:val="24"/>
                <w:szCs w:val="20"/>
              </w:rPr>
              <w:t xml:space="preserve">Wh) </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970EA3" w:rsidRPr="00513762" w:rsidRDefault="00970EA3" w:rsidP="00970EA3">
            <w:pPr>
              <w:jc w:val="center"/>
              <w:textAlignment w:val="center"/>
              <w:rPr>
                <w:rFonts w:ascii="Calibri" w:hAnsi="Calibri" w:cs="Calibri"/>
                <w:szCs w:val="20"/>
              </w:rPr>
            </w:pPr>
            <w:r w:rsidRPr="00513762">
              <w:rPr>
                <w:rFonts w:ascii="Calibri" w:hAnsi="Calibri" w:cs="Calibri"/>
                <w:bCs/>
                <w:iCs/>
                <w:color w:val="FFFFFF"/>
                <w:kern w:val="24"/>
                <w:szCs w:val="20"/>
              </w:rPr>
              <w:t xml:space="preserve">% of </w:t>
            </w:r>
            <w:r w:rsidRPr="00513762">
              <w:rPr>
                <w:rFonts w:ascii="Calibri" w:hAnsi="Calibri" w:cs="Calibri"/>
                <w:bCs/>
                <w:iCs/>
                <w:color w:val="FFFFFF"/>
                <w:kern w:val="24"/>
                <w:szCs w:val="20"/>
              </w:rPr>
              <w:br/>
              <w:t xml:space="preserve">Total </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Fan System - Optimization and Improvements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3,298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29.5%</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Motors - Variable Frequency Drive (Pumps)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2,206</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19.8%</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Motors - Variable Frequency Drive (Fans &amp; Blowers)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1,098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9.8%</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Compressed Air - Air Usage Reduction</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911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8.2%</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Pumping System - Optimization and Improvements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663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5.9%</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Interior Lighting - Occupancy Sensors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520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4.7%</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Motors - Variable Frequency Drive (Compressed Air)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377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3.4%</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Interior Lighting - High-Bay Fixtures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306</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2.7%</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Interior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294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2.6%</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HVAC - Duct Repair and Sealing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264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2.4%</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Transformer - High Efficiency</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217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1.9%</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Exterior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175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1.6%</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Motors - Variable Frequency Drive (Other)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162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1.4%</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Chiller - Chilled Water Reset</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157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1.4%</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Insulation - Wall Cavity</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106</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1.0%</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Compressed Air - Compressor Replacement</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104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0.9%</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Interior Lighting - Skylights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86</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0.8%</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Chiller - Chilled Water Variable-Flow System</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47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0.4%</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Exterior Lighting - HID</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44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0.4%</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20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F301DF" w:rsidRPr="006B33CC" w:rsidRDefault="00F301DF" w:rsidP="00F301DF">
            <w:pPr>
              <w:pStyle w:val="NormalWeb"/>
              <w:ind w:left="144"/>
              <w:textAlignment w:val="center"/>
              <w:rPr>
                <w:rFonts w:ascii="Calibri" w:hAnsi="Calibri" w:cs="Arial"/>
                <w:color w:val="000000"/>
                <w:kern w:val="24"/>
                <w:szCs w:val="20"/>
              </w:rPr>
            </w:pPr>
            <w:r w:rsidRPr="006B33CC">
              <w:rPr>
                <w:rFonts w:ascii="Calibri" w:hAnsi="Calibri" w:cs="Arial"/>
                <w:color w:val="000000"/>
                <w:kern w:val="24"/>
                <w:szCs w:val="20"/>
              </w:rPr>
              <w:t>Chiller - VSD on Fans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43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F301DF" w:rsidRPr="006B33CC" w:rsidRDefault="00F301DF" w:rsidP="006B33CC">
            <w:pPr>
              <w:pStyle w:val="NormalWeb"/>
              <w:ind w:right="288"/>
              <w:jc w:val="right"/>
              <w:textAlignment w:val="center"/>
              <w:rPr>
                <w:rFonts w:ascii="Calibri" w:hAnsi="Calibri" w:cs="Arial"/>
                <w:color w:val="000000"/>
                <w:kern w:val="24"/>
                <w:szCs w:val="20"/>
              </w:rPr>
            </w:pPr>
            <w:r w:rsidRPr="006B33CC">
              <w:rPr>
                <w:rFonts w:ascii="Calibri" w:hAnsi="Calibri" w:cs="Arial"/>
                <w:color w:val="000000"/>
                <w:kern w:val="24"/>
                <w:szCs w:val="20"/>
              </w:rPr>
              <w:t>0.4%</w:t>
            </w:r>
          </w:p>
        </w:tc>
      </w:tr>
      <w:tr w:rsidR="00F301DF" w:rsidRPr="00513762" w:rsidTr="006B33CC">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F301DF" w:rsidRPr="006B33CC" w:rsidRDefault="00F301DF" w:rsidP="00F301DF">
            <w:pPr>
              <w:pStyle w:val="NormalWeb"/>
              <w:jc w:val="center"/>
              <w:textAlignment w:val="center"/>
              <w:rPr>
                <w:rFonts w:ascii="Calibri" w:hAnsi="Calibri" w:cs="Arial"/>
                <w:b/>
                <w:color w:val="000000"/>
                <w:kern w:val="24"/>
                <w:szCs w:val="20"/>
              </w:rPr>
            </w:pPr>
            <w:r w:rsidRPr="006B33CC">
              <w:rPr>
                <w:rFonts w:ascii="Calibri" w:hAnsi="Calibri" w:cs="Arial"/>
                <w:b/>
                <w:color w:val="000000"/>
                <w:kern w:val="24"/>
                <w:szCs w:val="20"/>
              </w:rPr>
              <w:t>Total</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F301DF" w:rsidRPr="006B33CC" w:rsidRDefault="00F301DF" w:rsidP="00F301DF">
            <w:pPr>
              <w:pStyle w:val="NormalWeb"/>
              <w:ind w:left="144"/>
              <w:textAlignment w:val="center"/>
              <w:rPr>
                <w:rFonts w:ascii="Calibri" w:hAnsi="Calibri" w:cs="Arial"/>
                <w:b/>
                <w:color w:val="000000"/>
                <w:kern w:val="24"/>
                <w:szCs w:val="20"/>
              </w:rPr>
            </w:pPr>
            <w:r w:rsidRPr="006B33CC">
              <w:rPr>
                <w:rFonts w:ascii="Calibri" w:hAnsi="Calibri" w:cs="Arial"/>
                <w:b/>
                <w:color w:val="000000"/>
                <w:kern w:val="24"/>
                <w:szCs w:val="20"/>
              </w:rPr>
              <w:t>Total</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b/>
                <w:color w:val="000000"/>
                <w:kern w:val="24"/>
                <w:szCs w:val="20"/>
              </w:rPr>
            </w:pPr>
            <w:r w:rsidRPr="006B33CC">
              <w:rPr>
                <w:rFonts w:ascii="Calibri" w:hAnsi="Calibri" w:cs="Arial"/>
                <w:b/>
                <w:color w:val="000000"/>
                <w:kern w:val="24"/>
                <w:szCs w:val="20"/>
              </w:rPr>
              <w:t>11,080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F301DF" w:rsidRPr="006B33CC" w:rsidRDefault="00F301DF" w:rsidP="006B33CC">
            <w:pPr>
              <w:pStyle w:val="NormalWeb"/>
              <w:ind w:right="288"/>
              <w:jc w:val="right"/>
              <w:textAlignment w:val="center"/>
              <w:rPr>
                <w:rFonts w:ascii="Calibri" w:hAnsi="Calibri" w:cs="Arial"/>
                <w:b/>
                <w:color w:val="000000"/>
                <w:kern w:val="24"/>
                <w:szCs w:val="20"/>
              </w:rPr>
            </w:pPr>
            <w:r w:rsidRPr="006B33CC">
              <w:rPr>
                <w:rFonts w:ascii="Calibri" w:hAnsi="Calibri" w:cs="Arial"/>
                <w:b/>
                <w:color w:val="000000"/>
                <w:kern w:val="24"/>
                <w:szCs w:val="20"/>
              </w:rPr>
              <w:t>99.2%</w:t>
            </w:r>
          </w:p>
        </w:tc>
      </w:tr>
    </w:tbl>
    <w:p w:rsidR="00170CF8" w:rsidRDefault="00170CF8" w:rsidP="00170CF8">
      <w:pPr>
        <w:pStyle w:val="BodyText"/>
      </w:pPr>
      <w:bookmarkStart w:id="526" w:name="_Ref401481109"/>
    </w:p>
    <w:p w:rsidR="00A65ACB" w:rsidRDefault="00A65ACB" w:rsidP="00A65ACB">
      <w:pPr>
        <w:pStyle w:val="FigureorTableTitle"/>
      </w:pPr>
      <w:bookmarkStart w:id="527" w:name="_Toc424192750"/>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16</w:t>
      </w:r>
      <w:r w:rsidR="00512CD6">
        <w:rPr>
          <w:noProof/>
          <w:szCs w:val="18"/>
        </w:rPr>
        <w:fldChar w:fldCharType="end"/>
      </w:r>
      <w:bookmarkEnd w:id="526"/>
      <w:r>
        <w:tab/>
        <w:t>Industrial Achievable Savings Forecast (Cumulative GWh), Washington</w:t>
      </w:r>
      <w:bookmarkEnd w:id="527"/>
    </w:p>
    <w:p w:rsidR="00A65ACB" w:rsidRDefault="00A65ACB" w:rsidP="00A65ACB">
      <w:pPr>
        <w:pStyle w:val="BodyText"/>
        <w:jc w:val="center"/>
      </w:pPr>
      <w:r w:rsidRPr="00AC608A">
        <w:rPr>
          <w:noProof/>
        </w:rPr>
        <w:drawing>
          <wp:inline distT="0" distB="0" distL="0" distR="0">
            <wp:extent cx="4686300" cy="301942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86300" cy="3019425"/>
                    </a:xfrm>
                    <a:prstGeom prst="rect">
                      <a:avLst/>
                    </a:prstGeom>
                    <a:noFill/>
                    <a:ln>
                      <a:noFill/>
                    </a:ln>
                  </pic:spPr>
                </pic:pic>
              </a:graphicData>
            </a:graphic>
          </wp:inline>
        </w:drawing>
      </w:r>
    </w:p>
    <w:p w:rsidR="00CB5FF3" w:rsidRDefault="00CB5FF3" w:rsidP="00EA2B8E">
      <w:pPr>
        <w:pStyle w:val="BodyText"/>
      </w:pPr>
      <w:r>
        <w:br w:type="page"/>
      </w:r>
    </w:p>
    <w:p w:rsidR="006B33CC" w:rsidRDefault="006B33CC" w:rsidP="006B33CC">
      <w:pPr>
        <w:pStyle w:val="FigureorTableTitle"/>
      </w:pPr>
      <w:bookmarkStart w:id="528" w:name="_Ref424192427"/>
      <w:bookmarkStart w:id="529" w:name="_Toc424192816"/>
      <w:r w:rsidRPr="00535EB3">
        <w:rPr>
          <w:bCs w:val="0"/>
          <w:iCs w:val="0"/>
        </w:rPr>
        <w:lastRenderedPageBreak/>
        <w:t xml:space="preserve">Table </w:t>
      </w:r>
      <w:r w:rsidR="00893E3D" w:rsidRPr="00535EB3">
        <w:rPr>
          <w:bCs w:val="0"/>
          <w:iCs w:val="0"/>
        </w:rPr>
        <w:fldChar w:fldCharType="begin"/>
      </w:r>
      <w:r w:rsidRPr="00535EB3">
        <w:rPr>
          <w:bCs w:val="0"/>
          <w:iCs w:val="0"/>
        </w:rPr>
        <w:instrText xml:space="preserve"> STYLEREF  "Heading 1,Chap Num"  \* MERGEFORMAT </w:instrText>
      </w:r>
      <w:r w:rsidR="00893E3D" w:rsidRPr="00535EB3">
        <w:rPr>
          <w:bCs w:val="0"/>
          <w:iCs w:val="0"/>
        </w:rPr>
        <w:fldChar w:fldCharType="end"/>
      </w:r>
      <w:r w:rsidR="00512CD6">
        <w:fldChar w:fldCharType="begin"/>
      </w:r>
      <w:r w:rsidR="00512CD6">
        <w:instrText xml:space="preserve"> STYLEREF  "Heading 1,Chap Num" \n  \* MERGEFORMAT </w:instrText>
      </w:r>
      <w:r w:rsidR="00512CD6">
        <w:fldChar w:fldCharType="separate"/>
      </w:r>
      <w:r w:rsidR="00B2652C" w:rsidRPr="00B2652C">
        <w:rPr>
          <w:bCs w:val="0"/>
          <w:iCs w:val="0"/>
          <w:noProof/>
        </w:rPr>
        <w:t>5</w:t>
      </w:r>
      <w:r w:rsidR="00512CD6">
        <w:rPr>
          <w:bCs w:val="0"/>
          <w:iCs w:val="0"/>
          <w:noProof/>
        </w:rPr>
        <w:fldChar w:fldCharType="end"/>
      </w:r>
      <w:r w:rsidRPr="00535EB3">
        <w:rPr>
          <w:bCs w:val="0"/>
          <w:iCs w:val="0"/>
        </w:rPr>
        <w:t>-</w:t>
      </w:r>
      <w:r w:rsidR="00512CD6">
        <w:fldChar w:fldCharType="begin"/>
      </w:r>
      <w:r w:rsidR="00512CD6">
        <w:instrText xml:space="preserve"> SEQ Table\s 1 \* MERGEFORMAT </w:instrText>
      </w:r>
      <w:r w:rsidR="00512CD6">
        <w:fldChar w:fldCharType="separate"/>
      </w:r>
      <w:r w:rsidR="00B2652C" w:rsidRPr="00B2652C">
        <w:rPr>
          <w:bCs w:val="0"/>
          <w:iCs w:val="0"/>
          <w:noProof/>
        </w:rPr>
        <w:t>21</w:t>
      </w:r>
      <w:r w:rsidR="00512CD6">
        <w:rPr>
          <w:bCs w:val="0"/>
          <w:iCs w:val="0"/>
          <w:noProof/>
        </w:rPr>
        <w:fldChar w:fldCharType="end"/>
      </w:r>
      <w:bookmarkEnd w:id="528"/>
      <w:r>
        <w:tab/>
        <w:t>Industrial Top Measures in 2017 (Annual Energy, GWh), Idaho</w:t>
      </w:r>
      <w:bookmarkEnd w:id="529"/>
    </w:p>
    <w:tbl>
      <w:tblPr>
        <w:tblW w:w="5000" w:type="pct"/>
        <w:tblCellMar>
          <w:left w:w="0" w:type="dxa"/>
          <w:right w:w="0" w:type="dxa"/>
        </w:tblCellMar>
        <w:tblLook w:val="04A0" w:firstRow="1" w:lastRow="0" w:firstColumn="1" w:lastColumn="0" w:noHBand="0" w:noVBand="1"/>
      </w:tblPr>
      <w:tblGrid>
        <w:gridCol w:w="1199"/>
        <w:gridCol w:w="4670"/>
        <w:gridCol w:w="1578"/>
        <w:gridCol w:w="1578"/>
      </w:tblGrid>
      <w:tr w:rsidR="006B33CC" w:rsidRPr="00513762" w:rsidTr="004330A2">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1A1D5D"/>
            <w:vAlign w:val="center"/>
          </w:tcPr>
          <w:p w:rsidR="006B33CC" w:rsidRPr="00513762" w:rsidRDefault="006B33CC" w:rsidP="004330A2">
            <w:pPr>
              <w:jc w:val="center"/>
              <w:textAlignment w:val="bottom"/>
              <w:rPr>
                <w:rFonts w:ascii="Calibri" w:hAnsi="Calibri" w:cs="Calibri"/>
                <w:bCs/>
                <w:color w:val="FFFFFF"/>
                <w:kern w:val="24"/>
                <w:szCs w:val="20"/>
              </w:rPr>
            </w:pPr>
            <w:r w:rsidRPr="00513762">
              <w:rPr>
                <w:rFonts w:ascii="Calibri" w:hAnsi="Calibri" w:cs="Calibri"/>
                <w:bCs/>
                <w:color w:val="FFFFFF"/>
                <w:kern w:val="24"/>
                <w:szCs w:val="20"/>
              </w:rPr>
              <w:t>Rank</w:t>
            </w:r>
          </w:p>
        </w:tc>
        <w:tc>
          <w:tcPr>
            <w:tcW w:w="2587" w:type="pct"/>
            <w:tcBorders>
              <w:top w:val="single" w:sz="8" w:space="0" w:color="4F4F4F"/>
              <w:left w:val="single" w:sz="8" w:space="0" w:color="4F4F4F"/>
              <w:bottom w:val="single" w:sz="8" w:space="0" w:color="4F4F4F"/>
              <w:right w:val="single" w:sz="8" w:space="0" w:color="4F4F4F"/>
            </w:tcBorders>
            <w:shd w:val="clear" w:color="auto" w:fill="1A1D5D"/>
            <w:tcMar>
              <w:top w:w="15" w:type="dxa"/>
              <w:left w:w="144" w:type="dxa"/>
              <w:bottom w:w="0" w:type="dxa"/>
              <w:right w:w="15" w:type="dxa"/>
            </w:tcMar>
            <w:vAlign w:val="center"/>
            <w:hideMark/>
          </w:tcPr>
          <w:p w:rsidR="006B33CC" w:rsidRPr="00513762" w:rsidRDefault="006B33CC" w:rsidP="004330A2">
            <w:pPr>
              <w:jc w:val="center"/>
              <w:textAlignment w:val="bottom"/>
              <w:rPr>
                <w:rFonts w:ascii="Calibri" w:hAnsi="Calibri" w:cs="Calibri"/>
                <w:szCs w:val="20"/>
              </w:rPr>
            </w:pPr>
            <w:r w:rsidRPr="00513762">
              <w:rPr>
                <w:rFonts w:ascii="Calibri" w:hAnsi="Calibri" w:cs="Calibri"/>
                <w:bCs/>
                <w:color w:val="FFFFFF"/>
                <w:kern w:val="24"/>
                <w:szCs w:val="20"/>
              </w:rPr>
              <w:t>Industrial Measure</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6B33CC" w:rsidRPr="00513762" w:rsidRDefault="006B33CC" w:rsidP="00D633CC">
            <w:pPr>
              <w:jc w:val="center"/>
              <w:textAlignment w:val="center"/>
              <w:rPr>
                <w:rFonts w:ascii="Calibri" w:hAnsi="Calibri" w:cs="Calibri"/>
                <w:szCs w:val="20"/>
              </w:rPr>
            </w:pPr>
            <w:r w:rsidRPr="00513762">
              <w:rPr>
                <w:rFonts w:ascii="Calibri" w:hAnsi="Calibri" w:cs="Calibri"/>
                <w:bCs/>
                <w:color w:val="FFFFFF"/>
                <w:kern w:val="24"/>
                <w:szCs w:val="20"/>
              </w:rPr>
              <w:t>20</w:t>
            </w:r>
            <w:r>
              <w:rPr>
                <w:rFonts w:ascii="Calibri" w:hAnsi="Calibri" w:cs="Calibri"/>
                <w:bCs/>
                <w:color w:val="FFFFFF"/>
                <w:kern w:val="24"/>
                <w:szCs w:val="20"/>
              </w:rPr>
              <w:t>17</w:t>
            </w:r>
            <w:r w:rsidRPr="00513762">
              <w:rPr>
                <w:rFonts w:ascii="Calibri" w:hAnsi="Calibri" w:cs="Calibri"/>
                <w:bCs/>
                <w:color w:val="FFFFFF"/>
                <w:kern w:val="24"/>
                <w:szCs w:val="20"/>
              </w:rPr>
              <w:t xml:space="preserve"> Cumulative Energy Savings </w:t>
            </w:r>
            <w:r w:rsidRPr="00513762">
              <w:rPr>
                <w:rFonts w:ascii="Calibri" w:hAnsi="Calibri" w:cs="Calibri"/>
                <w:bCs/>
                <w:color w:val="FFFFFF"/>
                <w:kern w:val="24"/>
                <w:szCs w:val="20"/>
              </w:rPr>
              <w:br/>
              <w:t>(</w:t>
            </w:r>
            <w:r w:rsidR="00D633CC">
              <w:rPr>
                <w:rFonts w:ascii="Calibri" w:hAnsi="Calibri" w:cs="Calibri"/>
                <w:bCs/>
                <w:color w:val="FFFFFF"/>
                <w:kern w:val="24"/>
                <w:szCs w:val="20"/>
              </w:rPr>
              <w:t>M</w:t>
            </w:r>
            <w:r w:rsidRPr="00513762">
              <w:rPr>
                <w:rFonts w:ascii="Calibri" w:hAnsi="Calibri" w:cs="Calibri"/>
                <w:bCs/>
                <w:color w:val="FFFFFF"/>
                <w:kern w:val="24"/>
                <w:szCs w:val="20"/>
              </w:rPr>
              <w:t xml:space="preserve">Wh) </w:t>
            </w:r>
          </w:p>
        </w:tc>
        <w:tc>
          <w:tcPr>
            <w:tcW w:w="874" w:type="pct"/>
            <w:tcBorders>
              <w:top w:val="single" w:sz="8" w:space="0" w:color="4F4F4F"/>
              <w:left w:val="single" w:sz="8" w:space="0" w:color="4F4F4F"/>
              <w:bottom w:val="single" w:sz="8" w:space="0" w:color="4F4F4F"/>
              <w:right w:val="single" w:sz="8" w:space="0" w:color="4F4F4F"/>
            </w:tcBorders>
            <w:shd w:val="clear" w:color="auto" w:fill="1A1D5D"/>
            <w:tcMar>
              <w:top w:w="15" w:type="dxa"/>
              <w:left w:w="15" w:type="dxa"/>
              <w:bottom w:w="0" w:type="dxa"/>
              <w:right w:w="15" w:type="dxa"/>
            </w:tcMar>
            <w:vAlign w:val="center"/>
            <w:hideMark/>
          </w:tcPr>
          <w:p w:rsidR="006B33CC" w:rsidRPr="00513762" w:rsidRDefault="006B33CC" w:rsidP="004330A2">
            <w:pPr>
              <w:jc w:val="center"/>
              <w:textAlignment w:val="center"/>
              <w:rPr>
                <w:rFonts w:ascii="Calibri" w:hAnsi="Calibri" w:cs="Calibri"/>
                <w:szCs w:val="20"/>
              </w:rPr>
            </w:pPr>
            <w:r w:rsidRPr="00513762">
              <w:rPr>
                <w:rFonts w:ascii="Calibri" w:hAnsi="Calibri" w:cs="Calibri"/>
                <w:bCs/>
                <w:iCs/>
                <w:color w:val="FFFFFF"/>
                <w:kern w:val="24"/>
                <w:szCs w:val="20"/>
              </w:rPr>
              <w:t xml:space="preserve">% of </w:t>
            </w:r>
            <w:r w:rsidRPr="00513762">
              <w:rPr>
                <w:rFonts w:ascii="Calibri" w:hAnsi="Calibri" w:cs="Calibri"/>
                <w:bCs/>
                <w:iCs/>
                <w:color w:val="FFFFFF"/>
                <w:kern w:val="24"/>
                <w:szCs w:val="20"/>
              </w:rPr>
              <w:br/>
              <w:t xml:space="preserve">Total </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Fan System - Optimization and Improvements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1,226</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25.4%</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Motors - Variable Frequency Drive (Pumps)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814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16.8%</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Fan System - Maintenance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414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8.6%</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Motors - Variable Frequency Drive (Fans &amp; Blowers)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407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8.4%</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Compressed Air - Air Usage Reduction</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336</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7.0%</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Compressed Air - System Optimization and Improvements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271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5.6%</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Pumping System - Optimization and Improvements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230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4.8%</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Interior Lighting - Occupancy Sensors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183</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3.8%</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Interior Lighting - High-Bay Fixtures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114</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2.4%</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Motors - Variable Frequency Drive (Other)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110</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2.3%</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11</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Interior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109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2.3%</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12</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Destratification Fans (HVLS)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101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2.1%</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13</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HVAC - Duct Repair and Sealing</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98</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2.0%</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14</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Transformer - High Efficiency</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81</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1.7%</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15</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Exterior Lighting - Screw-in/Hard-wire</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65</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1.3%</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16</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Chiller - Chilled Water Reset</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59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1.2%</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17</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Compressed Air - Compressor Replacement</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39</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0.8%</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18</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Insulation - Wall Cavity</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37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0.8%</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19</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Interior Lighting - Skylights</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32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0.7%</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6B33CC" w:rsidRDefault="00242987" w:rsidP="00242987">
            <w:pPr>
              <w:pStyle w:val="NormalWeb"/>
              <w:jc w:val="center"/>
              <w:textAlignment w:val="center"/>
              <w:rPr>
                <w:rFonts w:ascii="Calibri" w:hAnsi="Calibri" w:cs="Arial"/>
                <w:color w:val="000000"/>
                <w:kern w:val="24"/>
                <w:szCs w:val="20"/>
              </w:rPr>
            </w:pPr>
            <w:r w:rsidRPr="006B33CC">
              <w:rPr>
                <w:rFonts w:ascii="Calibri" w:hAnsi="Calibri" w:cs="Arial"/>
                <w:color w:val="000000"/>
                <w:kern w:val="24"/>
                <w:szCs w:val="20"/>
              </w:rPr>
              <w:t>20</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hideMark/>
          </w:tcPr>
          <w:p w:rsidR="00242987" w:rsidRPr="006B33CC" w:rsidRDefault="00242987" w:rsidP="00242987">
            <w:pPr>
              <w:pStyle w:val="NormalWeb"/>
              <w:ind w:left="144"/>
              <w:textAlignment w:val="center"/>
              <w:rPr>
                <w:rFonts w:ascii="Calibri" w:hAnsi="Calibri" w:cs="Arial"/>
                <w:color w:val="000000"/>
                <w:kern w:val="24"/>
                <w:szCs w:val="20"/>
              </w:rPr>
            </w:pPr>
            <w:r w:rsidRPr="00242987">
              <w:rPr>
                <w:rFonts w:ascii="Calibri" w:hAnsi="Calibri" w:cs="Arial"/>
                <w:color w:val="000000"/>
                <w:kern w:val="24"/>
                <w:szCs w:val="20"/>
              </w:rPr>
              <w:t>Motors - Variable Frequency Drive (Compressed Air)</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22</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hideMark/>
          </w:tcPr>
          <w:p w:rsidR="00242987" w:rsidRPr="006B33CC" w:rsidRDefault="00242987" w:rsidP="00242987">
            <w:pPr>
              <w:pStyle w:val="NormalWeb"/>
              <w:ind w:right="288"/>
              <w:jc w:val="right"/>
              <w:textAlignment w:val="center"/>
              <w:rPr>
                <w:rFonts w:ascii="Calibri" w:hAnsi="Calibri" w:cs="Arial"/>
                <w:color w:val="000000"/>
                <w:kern w:val="24"/>
                <w:szCs w:val="20"/>
              </w:rPr>
            </w:pPr>
            <w:r w:rsidRPr="00242987">
              <w:rPr>
                <w:rFonts w:ascii="Calibri" w:hAnsi="Calibri" w:cs="Arial"/>
                <w:color w:val="000000"/>
                <w:kern w:val="24"/>
                <w:szCs w:val="20"/>
              </w:rPr>
              <w:t>0.5%</w:t>
            </w:r>
          </w:p>
        </w:tc>
      </w:tr>
      <w:tr w:rsidR="00242987" w:rsidRPr="00513762" w:rsidTr="00242987">
        <w:trPr>
          <w:trHeight w:val="259"/>
        </w:trPr>
        <w:tc>
          <w:tcPr>
            <w:tcW w:w="665"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vAlign w:val="center"/>
          </w:tcPr>
          <w:p w:rsidR="00242987" w:rsidRPr="00242987" w:rsidRDefault="00242987" w:rsidP="00242987">
            <w:pPr>
              <w:pStyle w:val="NormalWeb"/>
              <w:jc w:val="center"/>
              <w:textAlignment w:val="center"/>
              <w:rPr>
                <w:rFonts w:ascii="Calibri" w:hAnsi="Calibri" w:cs="Arial"/>
                <w:b/>
                <w:color w:val="000000"/>
                <w:kern w:val="24"/>
                <w:szCs w:val="20"/>
              </w:rPr>
            </w:pPr>
            <w:r w:rsidRPr="00242987">
              <w:rPr>
                <w:rFonts w:ascii="Calibri" w:hAnsi="Calibri" w:cs="Arial"/>
                <w:b/>
                <w:color w:val="000000"/>
                <w:kern w:val="24"/>
                <w:szCs w:val="20"/>
              </w:rPr>
              <w:t>Total</w:t>
            </w:r>
          </w:p>
        </w:tc>
        <w:tc>
          <w:tcPr>
            <w:tcW w:w="2587"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5" w:type="dxa"/>
              <w:left w:w="15" w:type="dxa"/>
              <w:bottom w:w="0" w:type="dxa"/>
              <w:right w:w="15" w:type="dxa"/>
            </w:tcMar>
            <w:vAlign w:val="center"/>
          </w:tcPr>
          <w:p w:rsidR="00242987" w:rsidRPr="00242987" w:rsidRDefault="00242987" w:rsidP="00242987">
            <w:pPr>
              <w:pStyle w:val="NormalWeb"/>
              <w:ind w:left="144"/>
              <w:textAlignment w:val="center"/>
              <w:rPr>
                <w:rFonts w:ascii="Calibri" w:hAnsi="Calibri" w:cs="Arial"/>
                <w:b/>
                <w:color w:val="000000"/>
                <w:kern w:val="24"/>
                <w:szCs w:val="20"/>
              </w:rPr>
            </w:pPr>
            <w:r w:rsidRPr="00242987">
              <w:rPr>
                <w:rFonts w:ascii="Calibri" w:hAnsi="Calibri" w:cs="Arial"/>
                <w:b/>
                <w:color w:val="000000"/>
                <w:kern w:val="24"/>
                <w:szCs w:val="20"/>
              </w:rPr>
              <w:t>Total</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242987" w:rsidRDefault="00242987" w:rsidP="00242987">
            <w:pPr>
              <w:pStyle w:val="NormalWeb"/>
              <w:ind w:right="288"/>
              <w:jc w:val="right"/>
              <w:textAlignment w:val="center"/>
              <w:rPr>
                <w:rFonts w:ascii="Calibri" w:hAnsi="Calibri" w:cs="Arial"/>
                <w:b/>
                <w:color w:val="000000"/>
                <w:kern w:val="24"/>
                <w:szCs w:val="20"/>
              </w:rPr>
            </w:pPr>
            <w:r w:rsidRPr="00242987">
              <w:rPr>
                <w:rFonts w:ascii="Calibri" w:hAnsi="Calibri" w:cs="Arial"/>
                <w:b/>
                <w:color w:val="000000"/>
                <w:kern w:val="24"/>
                <w:szCs w:val="20"/>
              </w:rPr>
              <w:t>4,747</w:t>
            </w:r>
          </w:p>
        </w:tc>
        <w:tc>
          <w:tcPr>
            <w:tcW w:w="874" w:type="pct"/>
            <w:tcBorders>
              <w:top w:val="single" w:sz="8" w:space="0" w:color="4F4F4F"/>
              <w:left w:val="single" w:sz="8" w:space="0" w:color="4F4F4F"/>
              <w:bottom w:val="single" w:sz="8" w:space="0" w:color="4F4F4F"/>
              <w:right w:val="single" w:sz="8" w:space="0" w:color="4F4F4F"/>
            </w:tcBorders>
            <w:shd w:val="clear" w:color="auto" w:fill="E5EBF1" w:themeFill="accent2" w:themeFillTint="33"/>
            <w:tcMar>
              <w:top w:w="17" w:type="dxa"/>
              <w:left w:w="17" w:type="dxa"/>
              <w:bottom w:w="0" w:type="dxa"/>
              <w:right w:w="216" w:type="dxa"/>
            </w:tcMar>
            <w:vAlign w:val="center"/>
          </w:tcPr>
          <w:p w:rsidR="00242987" w:rsidRPr="00242987" w:rsidRDefault="00242987" w:rsidP="00242987">
            <w:pPr>
              <w:pStyle w:val="NormalWeb"/>
              <w:ind w:right="288"/>
              <w:jc w:val="right"/>
              <w:textAlignment w:val="center"/>
              <w:rPr>
                <w:rFonts w:ascii="Calibri" w:hAnsi="Calibri" w:cs="Arial"/>
                <w:b/>
                <w:color w:val="000000"/>
                <w:kern w:val="24"/>
                <w:szCs w:val="20"/>
              </w:rPr>
            </w:pPr>
            <w:r w:rsidRPr="00242987">
              <w:rPr>
                <w:rFonts w:ascii="Calibri" w:hAnsi="Calibri" w:cs="Arial"/>
                <w:b/>
                <w:color w:val="000000"/>
                <w:kern w:val="24"/>
                <w:szCs w:val="20"/>
              </w:rPr>
              <w:t>98.2%</w:t>
            </w:r>
          </w:p>
        </w:tc>
      </w:tr>
    </w:tbl>
    <w:p w:rsidR="00970EA3" w:rsidRDefault="00970EA3" w:rsidP="00970EA3">
      <w:pPr>
        <w:pStyle w:val="BodyText"/>
      </w:pPr>
    </w:p>
    <w:p w:rsidR="00AC608A" w:rsidRDefault="00AC608A" w:rsidP="00AC608A">
      <w:pPr>
        <w:pStyle w:val="FigureorTableTitle"/>
      </w:pPr>
      <w:bookmarkStart w:id="530" w:name="_Ref422842217"/>
      <w:bookmarkStart w:id="531" w:name="_Toc424192751"/>
      <w:r w:rsidRPr="00E07587">
        <w:rPr>
          <w:szCs w:val="18"/>
        </w:rPr>
        <w:t xml:space="preserve">Figure </w:t>
      </w:r>
      <w:r w:rsidR="00512CD6">
        <w:fldChar w:fldCharType="begin"/>
      </w:r>
      <w:r w:rsidR="00512CD6">
        <w:instrText xml:space="preserve"> STYLEREF  "Heading 1,Chap Num" \n  \* MERGEFORMAT </w:instrText>
      </w:r>
      <w:r w:rsidR="00512CD6">
        <w:fldChar w:fldCharType="separate"/>
      </w:r>
      <w:r w:rsidR="00B2652C" w:rsidRPr="00B2652C">
        <w:rPr>
          <w:noProof/>
          <w:szCs w:val="18"/>
        </w:rPr>
        <w:t>5</w:t>
      </w:r>
      <w:r w:rsidR="00512CD6">
        <w:rPr>
          <w:noProof/>
          <w:szCs w:val="18"/>
        </w:rPr>
        <w:fldChar w:fldCharType="end"/>
      </w:r>
      <w:r w:rsidRPr="00E07587">
        <w:rPr>
          <w:szCs w:val="18"/>
        </w:rPr>
        <w:t>-</w:t>
      </w:r>
      <w:r w:rsidR="00512CD6">
        <w:fldChar w:fldCharType="begin"/>
      </w:r>
      <w:r w:rsidR="00512CD6">
        <w:instrText xml:space="preserve"> SEQ Figure\s 1 \* MERGEFORMAT </w:instrText>
      </w:r>
      <w:r w:rsidR="00512CD6">
        <w:fldChar w:fldCharType="separate"/>
      </w:r>
      <w:r w:rsidR="00B2652C" w:rsidRPr="00B2652C">
        <w:rPr>
          <w:noProof/>
          <w:szCs w:val="18"/>
        </w:rPr>
        <w:t>17</w:t>
      </w:r>
      <w:r w:rsidR="00512CD6">
        <w:rPr>
          <w:noProof/>
          <w:szCs w:val="18"/>
        </w:rPr>
        <w:fldChar w:fldCharType="end"/>
      </w:r>
      <w:bookmarkEnd w:id="530"/>
      <w:r>
        <w:tab/>
        <w:t>Industrial Achievable Savings Forecast (Annual Energy, GWh), Idaho</w:t>
      </w:r>
      <w:bookmarkEnd w:id="531"/>
    </w:p>
    <w:p w:rsidR="00AC608A" w:rsidRDefault="00AC608A" w:rsidP="00EA2B8E">
      <w:pPr>
        <w:pStyle w:val="BodyText"/>
        <w:jc w:val="center"/>
      </w:pPr>
      <w:r w:rsidRPr="00AC608A">
        <w:rPr>
          <w:noProof/>
        </w:rPr>
        <w:drawing>
          <wp:inline distT="0" distB="0" distL="0" distR="0">
            <wp:extent cx="4686300" cy="301942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86300" cy="3019425"/>
                    </a:xfrm>
                    <a:prstGeom prst="rect">
                      <a:avLst/>
                    </a:prstGeom>
                    <a:noFill/>
                    <a:ln>
                      <a:noFill/>
                    </a:ln>
                  </pic:spPr>
                </pic:pic>
              </a:graphicData>
            </a:graphic>
          </wp:inline>
        </w:drawing>
      </w:r>
    </w:p>
    <w:p w:rsidR="001B77D4" w:rsidRDefault="001B77D4" w:rsidP="00157088">
      <w:pPr>
        <w:pStyle w:val="BodyText"/>
      </w:pPr>
    </w:p>
    <w:p w:rsidR="00ED27D0" w:rsidRDefault="00ED27D0" w:rsidP="00D031CB">
      <w:pPr>
        <w:pStyle w:val="BodyText"/>
        <w:sectPr w:rsidR="00ED27D0" w:rsidSect="00891057">
          <w:footerReference w:type="default" r:id="rId97"/>
          <w:headerReference w:type="first" r:id="rId98"/>
          <w:pgSz w:w="12240" w:h="15840" w:code="1"/>
          <w:pgMar w:top="1152" w:right="1440" w:bottom="1152" w:left="1800" w:header="720" w:footer="720" w:gutter="0"/>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9A6F01" w:rsidRPr="000B169A" w:rsidTr="009A6F01">
        <w:trPr>
          <w:cantSplit/>
          <w:trHeight w:hRule="exact" w:val="288"/>
        </w:trPr>
        <w:tc>
          <w:tcPr>
            <w:tcW w:w="1297" w:type="dxa"/>
            <w:shd w:val="clear" w:color="auto" w:fill="auto"/>
            <w:vAlign w:val="center"/>
          </w:tcPr>
          <w:p w:rsidR="009A6F01" w:rsidRPr="009D189F" w:rsidRDefault="009A6F01" w:rsidP="009A6F01">
            <w:pPr>
              <w:pStyle w:val="Chapter"/>
              <w:framePr w:hSpace="0" w:wrap="auto" w:vAnchor="margin" w:hAnchor="text" w:yAlign="inline"/>
            </w:pPr>
            <w:r w:rsidRPr="009D189F">
              <w:lastRenderedPageBreak/>
              <w:t>aPPENDIX</w:t>
            </w:r>
          </w:p>
        </w:tc>
        <w:tc>
          <w:tcPr>
            <w:tcW w:w="7790" w:type="dxa"/>
            <w:tcBorders>
              <w:left w:val="single" w:sz="4" w:space="0" w:color="808080"/>
            </w:tcBorders>
            <w:shd w:val="clear" w:color="auto" w:fill="auto"/>
            <w:tcMar>
              <w:left w:w="173" w:type="dxa"/>
            </w:tcMar>
            <w:vAlign w:val="center"/>
          </w:tcPr>
          <w:p w:rsidR="009A6F01" w:rsidRPr="009D189F" w:rsidRDefault="009A6F01" w:rsidP="009A6F01">
            <w:pPr>
              <w:pStyle w:val="Heading6"/>
              <w:spacing w:before="0" w:after="0"/>
              <w:rPr>
                <w:bCs w:val="0"/>
                <w:color w:val="808080"/>
              </w:rPr>
            </w:pPr>
            <w:bookmarkStart w:id="532" w:name="_Toc255825465"/>
            <w:bookmarkEnd w:id="532"/>
          </w:p>
        </w:tc>
      </w:tr>
    </w:tbl>
    <w:p w:rsidR="009A6F01" w:rsidRDefault="001E1315" w:rsidP="00351A80">
      <w:pPr>
        <w:pStyle w:val="AppendixTitle"/>
      </w:pPr>
      <w:bookmarkStart w:id="533" w:name="_Toc329701189"/>
      <w:bookmarkStart w:id="534" w:name="_Toc424192648"/>
      <w:r>
        <w:t xml:space="preserve">Market </w:t>
      </w:r>
      <w:bookmarkStart w:id="535" w:name="Profiles"/>
      <w:r>
        <w:t>Profiles</w:t>
      </w:r>
      <w:bookmarkEnd w:id="533"/>
      <w:bookmarkEnd w:id="534"/>
      <w:bookmarkEnd w:id="535"/>
    </w:p>
    <w:p w:rsidR="00D92CA2" w:rsidRDefault="001E1315" w:rsidP="00D031CB">
      <w:pPr>
        <w:pStyle w:val="BodyText"/>
      </w:pPr>
      <w:r>
        <w:t>This appendix presents the market profiles for each sector and segment</w:t>
      </w:r>
      <w:r w:rsidR="0058757D">
        <w:t xml:space="preserve"> for Washington, followed by Idaho</w:t>
      </w:r>
      <w:r>
        <w:t>.</w:t>
      </w:r>
      <w:r w:rsidR="00AA4EA9">
        <w:t xml:space="preserve"> </w:t>
      </w:r>
    </w:p>
    <w:p w:rsidR="000939B7" w:rsidRDefault="000939B7" w:rsidP="000939B7">
      <w:pPr>
        <w:pStyle w:val="FigureorTableTitle"/>
      </w:pPr>
      <w:r>
        <w:t>Table A-</w:t>
      </w:r>
      <w:r w:rsidR="00512CD6">
        <w:fldChar w:fldCharType="begin"/>
      </w:r>
      <w:r w:rsidR="00512CD6">
        <w:instrText xml:space="preserve"> SEQ Table_A- \* ARABIC </w:instrText>
      </w:r>
      <w:r w:rsidR="00512CD6">
        <w:fldChar w:fldCharType="separate"/>
      </w:r>
      <w:r w:rsidR="00B2652C">
        <w:rPr>
          <w:noProof/>
        </w:rPr>
        <w:t>1</w:t>
      </w:r>
      <w:r w:rsidR="00512CD6">
        <w:rPr>
          <w:noProof/>
        </w:rPr>
        <w:fldChar w:fldCharType="end"/>
      </w:r>
      <w:r>
        <w:tab/>
        <w:t>Residential Single Family Electric Market Profile</w:t>
      </w:r>
      <w:r w:rsidR="003026B1">
        <w:t>, Washington</w:t>
      </w:r>
    </w:p>
    <w:p w:rsidR="003026B1" w:rsidRDefault="003026B1" w:rsidP="00C37896">
      <w:pPr>
        <w:pStyle w:val="BodyText"/>
      </w:pPr>
      <w:r w:rsidRPr="003026B1">
        <w:rPr>
          <w:noProof/>
        </w:rPr>
        <w:drawing>
          <wp:inline distT="0" distB="0" distL="0" distR="0">
            <wp:extent cx="5630351" cy="66865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31555" cy="6687980"/>
                    </a:xfrm>
                    <a:prstGeom prst="rect">
                      <a:avLst/>
                    </a:prstGeom>
                    <a:noFill/>
                    <a:ln>
                      <a:noFill/>
                    </a:ln>
                  </pic:spPr>
                </pic:pic>
              </a:graphicData>
            </a:graphic>
          </wp:inline>
        </w:drawing>
      </w:r>
    </w:p>
    <w:p w:rsidR="000939B7" w:rsidRDefault="000939B7" w:rsidP="000939B7">
      <w:pPr>
        <w:pStyle w:val="FigureorTableTitle"/>
      </w:pPr>
      <w:r>
        <w:lastRenderedPageBreak/>
        <w:t>Table A-</w:t>
      </w:r>
      <w:r w:rsidR="00512CD6">
        <w:fldChar w:fldCharType="begin"/>
      </w:r>
      <w:r w:rsidR="00512CD6">
        <w:instrText xml:space="preserve"> SEQ Table_A- \* ARABIC </w:instrText>
      </w:r>
      <w:r w:rsidR="00512CD6">
        <w:fldChar w:fldCharType="separate"/>
      </w:r>
      <w:r w:rsidR="00B2652C">
        <w:rPr>
          <w:noProof/>
        </w:rPr>
        <w:t>2</w:t>
      </w:r>
      <w:r w:rsidR="00512CD6">
        <w:rPr>
          <w:noProof/>
        </w:rPr>
        <w:fldChar w:fldCharType="end"/>
      </w:r>
      <w:r>
        <w:tab/>
        <w:t>Residential Multifamily Electric Market Profile</w:t>
      </w:r>
      <w:r w:rsidR="003026B1">
        <w:t>, Washington</w:t>
      </w:r>
    </w:p>
    <w:p w:rsidR="0005755C" w:rsidRDefault="003026B1" w:rsidP="001E1315">
      <w:pPr>
        <w:pStyle w:val="BodyText"/>
      </w:pPr>
      <w:r w:rsidRPr="003026B1">
        <w:rPr>
          <w:noProof/>
        </w:rPr>
        <w:drawing>
          <wp:inline distT="0" distB="0" distL="0" distR="0">
            <wp:extent cx="5715000" cy="6787078"/>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15000" cy="6787078"/>
                    </a:xfrm>
                    <a:prstGeom prst="rect">
                      <a:avLst/>
                    </a:prstGeom>
                    <a:noFill/>
                    <a:ln>
                      <a:noFill/>
                    </a:ln>
                  </pic:spPr>
                </pic:pic>
              </a:graphicData>
            </a:graphic>
          </wp:inline>
        </w:drawing>
      </w:r>
    </w:p>
    <w:p w:rsidR="00C37896" w:rsidRDefault="00C37896"/>
    <w:p w:rsidR="0005755C" w:rsidRDefault="0005755C">
      <w:pPr>
        <w:rPr>
          <w:spacing w:val="4"/>
          <w:szCs w:val="18"/>
        </w:rPr>
      </w:pPr>
      <w:r>
        <w:br w:type="page"/>
      </w:r>
    </w:p>
    <w:p w:rsidR="000939B7" w:rsidRDefault="000939B7" w:rsidP="000939B7">
      <w:pPr>
        <w:pStyle w:val="FigureorTableTitle"/>
      </w:pPr>
      <w:r>
        <w:lastRenderedPageBreak/>
        <w:t>Table A-</w:t>
      </w:r>
      <w:r w:rsidR="00512CD6">
        <w:fldChar w:fldCharType="begin"/>
      </w:r>
      <w:r w:rsidR="00512CD6">
        <w:instrText xml:space="preserve"> SEQ Table_A- \* ARABIC </w:instrText>
      </w:r>
      <w:r w:rsidR="00512CD6">
        <w:fldChar w:fldCharType="separate"/>
      </w:r>
      <w:r w:rsidR="00B2652C">
        <w:rPr>
          <w:noProof/>
        </w:rPr>
        <w:t>3</w:t>
      </w:r>
      <w:r w:rsidR="00512CD6">
        <w:rPr>
          <w:noProof/>
        </w:rPr>
        <w:fldChar w:fldCharType="end"/>
      </w:r>
      <w:r>
        <w:tab/>
        <w:t>Residential M</w:t>
      </w:r>
      <w:r w:rsidR="003026B1">
        <w:t>anufactured Home</w:t>
      </w:r>
      <w:r>
        <w:t xml:space="preserve"> Electric Market Profile</w:t>
      </w:r>
      <w:r w:rsidR="003026B1">
        <w:t>, Washington</w:t>
      </w:r>
    </w:p>
    <w:p w:rsidR="0005755C" w:rsidRDefault="003026B1" w:rsidP="001E1315">
      <w:pPr>
        <w:pStyle w:val="BodyText"/>
      </w:pPr>
      <w:r w:rsidRPr="003026B1">
        <w:rPr>
          <w:noProof/>
        </w:rPr>
        <w:drawing>
          <wp:inline distT="0" distB="0" distL="0" distR="0">
            <wp:extent cx="5715000" cy="6787078"/>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15000" cy="6787078"/>
                    </a:xfrm>
                    <a:prstGeom prst="rect">
                      <a:avLst/>
                    </a:prstGeom>
                    <a:noFill/>
                    <a:ln>
                      <a:noFill/>
                    </a:ln>
                  </pic:spPr>
                </pic:pic>
              </a:graphicData>
            </a:graphic>
          </wp:inline>
        </w:drawing>
      </w:r>
    </w:p>
    <w:p w:rsidR="0005755C" w:rsidRDefault="0005755C">
      <w:pPr>
        <w:rPr>
          <w:spacing w:val="4"/>
          <w:szCs w:val="18"/>
        </w:rPr>
      </w:pPr>
      <w:r>
        <w:br w:type="page"/>
      </w:r>
    </w:p>
    <w:p w:rsidR="003026B1" w:rsidRDefault="003026B1" w:rsidP="003026B1">
      <w:pPr>
        <w:pStyle w:val="FigureorTableTitle"/>
      </w:pPr>
      <w:r>
        <w:lastRenderedPageBreak/>
        <w:t>Table A-</w:t>
      </w:r>
      <w:r w:rsidR="00512CD6">
        <w:fldChar w:fldCharType="begin"/>
      </w:r>
      <w:r w:rsidR="00512CD6">
        <w:instrText xml:space="preserve"> SEQ Table_A- \* ARABIC </w:instrText>
      </w:r>
      <w:r w:rsidR="00512CD6">
        <w:fldChar w:fldCharType="separate"/>
      </w:r>
      <w:r w:rsidR="00B2652C">
        <w:rPr>
          <w:noProof/>
        </w:rPr>
        <w:t>4</w:t>
      </w:r>
      <w:r w:rsidR="00512CD6">
        <w:rPr>
          <w:noProof/>
        </w:rPr>
        <w:fldChar w:fldCharType="end"/>
      </w:r>
      <w:r>
        <w:tab/>
        <w:t>Residential Low Income Electric Market Profile, Washington</w:t>
      </w:r>
    </w:p>
    <w:p w:rsidR="00887727" w:rsidRDefault="003026B1" w:rsidP="00C37896">
      <w:pPr>
        <w:pStyle w:val="BodyText"/>
      </w:pPr>
      <w:r w:rsidRPr="003026B1">
        <w:rPr>
          <w:noProof/>
        </w:rPr>
        <w:drawing>
          <wp:inline distT="0" distB="0" distL="0" distR="0">
            <wp:extent cx="5715000" cy="6787078"/>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15000" cy="6787078"/>
                    </a:xfrm>
                    <a:prstGeom prst="rect">
                      <a:avLst/>
                    </a:prstGeom>
                    <a:noFill/>
                    <a:ln>
                      <a:noFill/>
                    </a:ln>
                  </pic:spPr>
                </pic:pic>
              </a:graphicData>
            </a:graphic>
          </wp:inline>
        </w:drawing>
      </w:r>
    </w:p>
    <w:p w:rsidR="003026B1" w:rsidRDefault="003026B1" w:rsidP="0058757D">
      <w:pPr>
        <w:pStyle w:val="BodyText"/>
      </w:pPr>
      <w:r>
        <w:br w:type="page"/>
      </w:r>
    </w:p>
    <w:p w:rsidR="00C821EA" w:rsidRDefault="00C821EA" w:rsidP="00C821EA">
      <w:pPr>
        <w:pStyle w:val="FigureorTableTitle"/>
      </w:pPr>
      <w:r>
        <w:lastRenderedPageBreak/>
        <w:t>Table A-</w:t>
      </w:r>
      <w:r w:rsidR="00512CD6">
        <w:fldChar w:fldCharType="begin"/>
      </w:r>
      <w:r w:rsidR="00512CD6">
        <w:instrText xml:space="preserve"> SEQ Table_A- \* ARABIC </w:instrText>
      </w:r>
      <w:r w:rsidR="00512CD6">
        <w:fldChar w:fldCharType="separate"/>
      </w:r>
      <w:r w:rsidR="00B2652C">
        <w:rPr>
          <w:noProof/>
        </w:rPr>
        <w:t>5</w:t>
      </w:r>
      <w:r w:rsidR="00512CD6">
        <w:rPr>
          <w:noProof/>
        </w:rPr>
        <w:fldChar w:fldCharType="end"/>
      </w:r>
      <w:r>
        <w:tab/>
        <w:t xml:space="preserve">Small </w:t>
      </w:r>
      <w:r w:rsidR="00872933">
        <w:t>Office</w:t>
      </w:r>
      <w:r>
        <w:t xml:space="preserve"> Electric Market Profile</w:t>
      </w:r>
      <w:r w:rsidR="00887727">
        <w:t>, Washington</w:t>
      </w:r>
    </w:p>
    <w:p w:rsidR="0005755C" w:rsidRDefault="00613059" w:rsidP="001E1315">
      <w:pPr>
        <w:pStyle w:val="BodyText"/>
      </w:pPr>
      <w:r w:rsidRPr="00613059">
        <w:rPr>
          <w:noProof/>
        </w:rPr>
        <w:drawing>
          <wp:inline distT="0" distB="0" distL="0" distR="0">
            <wp:extent cx="5715000" cy="6549691"/>
            <wp:effectExtent l="0" t="0" r="0" b="381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05755C" w:rsidRDefault="0005755C">
      <w:pPr>
        <w:rPr>
          <w:spacing w:val="4"/>
          <w:szCs w:val="18"/>
        </w:rPr>
      </w:pPr>
      <w:r>
        <w:br w:type="page"/>
      </w:r>
    </w:p>
    <w:p w:rsidR="00C821EA" w:rsidRPr="00C821EA" w:rsidRDefault="00C821EA" w:rsidP="00C821EA">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6</w:t>
      </w:r>
      <w:r w:rsidR="00893E3D" w:rsidRPr="00C821EA">
        <w:rPr>
          <w:rFonts w:cs="Calibri"/>
          <w:i/>
          <w:iCs/>
          <w:color w:val="auto"/>
          <w:sz w:val="20"/>
          <w:szCs w:val="22"/>
        </w:rPr>
        <w:fldChar w:fldCharType="end"/>
      </w:r>
      <w:r>
        <w:rPr>
          <w:rFonts w:cs="Calibri"/>
          <w:i/>
          <w:iCs/>
          <w:color w:val="auto"/>
          <w:sz w:val="20"/>
          <w:szCs w:val="22"/>
        </w:rPr>
        <w:tab/>
        <w:t xml:space="preserve">Large </w:t>
      </w:r>
      <w:r w:rsidR="00872933">
        <w:rPr>
          <w:rFonts w:cs="Calibri"/>
          <w:i/>
          <w:iCs/>
          <w:color w:val="auto"/>
          <w:sz w:val="20"/>
          <w:szCs w:val="22"/>
        </w:rPr>
        <w:t>Office</w:t>
      </w:r>
      <w:r>
        <w:rPr>
          <w:rFonts w:cs="Calibri"/>
          <w:i/>
          <w:iCs/>
          <w:color w:val="auto"/>
          <w:sz w:val="20"/>
          <w:szCs w:val="22"/>
        </w:rPr>
        <w:t xml:space="preserve"> Electric Market Profile</w:t>
      </w:r>
      <w:r w:rsidR="00613059">
        <w:rPr>
          <w:rFonts w:cs="Calibri"/>
          <w:i/>
          <w:iCs/>
          <w:color w:val="auto"/>
          <w:sz w:val="20"/>
          <w:szCs w:val="22"/>
        </w:rPr>
        <w:t>, Washington</w:t>
      </w:r>
    </w:p>
    <w:p w:rsidR="0005755C" w:rsidRDefault="00613059" w:rsidP="001E1315">
      <w:pPr>
        <w:pStyle w:val="BodyText"/>
      </w:pPr>
      <w:r w:rsidRPr="00613059">
        <w:rPr>
          <w:noProof/>
        </w:rPr>
        <w:drawing>
          <wp:inline distT="0" distB="0" distL="0" distR="0">
            <wp:extent cx="5715000" cy="6549691"/>
            <wp:effectExtent l="0" t="0" r="0" b="38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05755C" w:rsidRDefault="0005755C">
      <w:r>
        <w:br w:type="page"/>
      </w:r>
    </w:p>
    <w:p w:rsidR="00872933" w:rsidRPr="00C821EA" w:rsidRDefault="00872933" w:rsidP="00872933">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7</w:t>
      </w:r>
      <w:r w:rsidR="00893E3D" w:rsidRPr="00C821EA">
        <w:rPr>
          <w:rFonts w:cs="Calibri"/>
          <w:i/>
          <w:iCs/>
          <w:color w:val="auto"/>
          <w:sz w:val="20"/>
          <w:szCs w:val="22"/>
        </w:rPr>
        <w:fldChar w:fldCharType="end"/>
      </w:r>
      <w:r>
        <w:rPr>
          <w:rFonts w:cs="Calibri"/>
          <w:i/>
          <w:iCs/>
          <w:color w:val="auto"/>
          <w:sz w:val="20"/>
          <w:szCs w:val="22"/>
        </w:rPr>
        <w:tab/>
        <w:t>Restaurant Electric Market Profile</w:t>
      </w:r>
      <w:r w:rsidR="00613059">
        <w:rPr>
          <w:rFonts w:cs="Calibri"/>
          <w:i/>
          <w:iCs/>
          <w:color w:val="auto"/>
          <w:sz w:val="20"/>
          <w:szCs w:val="22"/>
        </w:rPr>
        <w:t>, Washington</w:t>
      </w:r>
    </w:p>
    <w:p w:rsidR="00872933" w:rsidRDefault="00613059">
      <w:r w:rsidRPr="00613059">
        <w:rPr>
          <w:noProof/>
        </w:rPr>
        <w:drawing>
          <wp:inline distT="0" distB="0" distL="0" distR="0">
            <wp:extent cx="5715000" cy="6549691"/>
            <wp:effectExtent l="0" t="0" r="0"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613059" w:rsidRDefault="00613059">
      <w:r>
        <w:br w:type="page"/>
      </w:r>
    </w:p>
    <w:p w:rsidR="00872933" w:rsidRPr="00C821EA" w:rsidRDefault="00872933" w:rsidP="00872933">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8</w:t>
      </w:r>
      <w:r w:rsidR="00893E3D" w:rsidRPr="00C821EA">
        <w:rPr>
          <w:rFonts w:cs="Calibri"/>
          <w:i/>
          <w:iCs/>
          <w:color w:val="auto"/>
          <w:sz w:val="20"/>
          <w:szCs w:val="22"/>
        </w:rPr>
        <w:fldChar w:fldCharType="end"/>
      </w:r>
      <w:r>
        <w:rPr>
          <w:rFonts w:cs="Calibri"/>
          <w:i/>
          <w:iCs/>
          <w:color w:val="auto"/>
          <w:sz w:val="20"/>
          <w:szCs w:val="22"/>
        </w:rPr>
        <w:tab/>
        <w:t>Retail Electric Market Profile</w:t>
      </w:r>
      <w:r w:rsidR="00613059">
        <w:rPr>
          <w:rFonts w:cs="Calibri"/>
          <w:i/>
          <w:iCs/>
          <w:color w:val="auto"/>
          <w:sz w:val="20"/>
          <w:szCs w:val="22"/>
        </w:rPr>
        <w:t>, Washington</w:t>
      </w:r>
    </w:p>
    <w:p w:rsidR="00872933" w:rsidRDefault="00613059">
      <w:r w:rsidRPr="00613059">
        <w:rPr>
          <w:noProof/>
        </w:rPr>
        <w:drawing>
          <wp:inline distT="0" distB="0" distL="0" distR="0">
            <wp:extent cx="5715000" cy="6549691"/>
            <wp:effectExtent l="0" t="0" r="0" b="381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613059" w:rsidRDefault="00613059">
      <w:r>
        <w:br w:type="page"/>
      </w:r>
    </w:p>
    <w:p w:rsidR="00872933" w:rsidRPr="00C821EA" w:rsidRDefault="00872933" w:rsidP="00872933">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9</w:t>
      </w:r>
      <w:r w:rsidR="00893E3D" w:rsidRPr="00C821EA">
        <w:rPr>
          <w:rFonts w:cs="Calibri"/>
          <w:i/>
          <w:iCs/>
          <w:color w:val="auto"/>
          <w:sz w:val="20"/>
          <w:szCs w:val="22"/>
        </w:rPr>
        <w:fldChar w:fldCharType="end"/>
      </w:r>
      <w:r>
        <w:rPr>
          <w:rFonts w:cs="Calibri"/>
          <w:i/>
          <w:iCs/>
          <w:color w:val="auto"/>
          <w:sz w:val="20"/>
          <w:szCs w:val="22"/>
        </w:rPr>
        <w:tab/>
        <w:t>Grocery Electric Market Profile</w:t>
      </w:r>
      <w:r w:rsidR="00613059">
        <w:rPr>
          <w:rFonts w:cs="Calibri"/>
          <w:i/>
          <w:iCs/>
          <w:color w:val="auto"/>
          <w:sz w:val="20"/>
          <w:szCs w:val="22"/>
        </w:rPr>
        <w:t>, Washington</w:t>
      </w:r>
    </w:p>
    <w:p w:rsidR="00872933" w:rsidRDefault="00613059">
      <w:pPr>
        <w:rPr>
          <w:spacing w:val="4"/>
          <w:szCs w:val="18"/>
        </w:rPr>
      </w:pPr>
      <w:r w:rsidRPr="00613059">
        <w:rPr>
          <w:noProof/>
        </w:rPr>
        <w:drawing>
          <wp:inline distT="0" distB="0" distL="0" distR="0">
            <wp:extent cx="5715000" cy="6549691"/>
            <wp:effectExtent l="0" t="0" r="0"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613059" w:rsidRDefault="00613059">
      <w:pPr>
        <w:rPr>
          <w:spacing w:val="4"/>
          <w:szCs w:val="18"/>
        </w:rPr>
      </w:pPr>
      <w:r>
        <w:rPr>
          <w:spacing w:val="4"/>
          <w:szCs w:val="18"/>
        </w:rPr>
        <w:br w:type="page"/>
      </w:r>
    </w:p>
    <w:p w:rsidR="00872933" w:rsidRPr="00C821EA" w:rsidRDefault="00872933" w:rsidP="00872933">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10</w:t>
      </w:r>
      <w:r w:rsidR="00893E3D" w:rsidRPr="00C821EA">
        <w:rPr>
          <w:rFonts w:cs="Calibri"/>
          <w:i/>
          <w:iCs/>
          <w:color w:val="auto"/>
          <w:sz w:val="20"/>
          <w:szCs w:val="22"/>
        </w:rPr>
        <w:fldChar w:fldCharType="end"/>
      </w:r>
      <w:r>
        <w:rPr>
          <w:rFonts w:cs="Calibri"/>
          <w:i/>
          <w:iCs/>
          <w:color w:val="auto"/>
          <w:sz w:val="20"/>
          <w:szCs w:val="22"/>
        </w:rPr>
        <w:tab/>
        <w:t>College Electric Market Profile</w:t>
      </w:r>
      <w:r w:rsidR="00613059">
        <w:rPr>
          <w:rFonts w:cs="Calibri"/>
          <w:i/>
          <w:iCs/>
          <w:color w:val="auto"/>
          <w:sz w:val="20"/>
          <w:szCs w:val="22"/>
        </w:rPr>
        <w:t>, Washington</w:t>
      </w:r>
    </w:p>
    <w:p w:rsidR="00872933" w:rsidRDefault="00613059">
      <w:pPr>
        <w:rPr>
          <w:spacing w:val="4"/>
          <w:szCs w:val="18"/>
        </w:rPr>
      </w:pPr>
      <w:r w:rsidRPr="00613059">
        <w:rPr>
          <w:noProof/>
        </w:rPr>
        <w:drawing>
          <wp:inline distT="0" distB="0" distL="0" distR="0">
            <wp:extent cx="5715000" cy="6549691"/>
            <wp:effectExtent l="0" t="0" r="0" b="381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613059" w:rsidRDefault="00613059">
      <w:pPr>
        <w:rPr>
          <w:spacing w:val="4"/>
          <w:szCs w:val="18"/>
        </w:rPr>
      </w:pPr>
      <w:r>
        <w:rPr>
          <w:spacing w:val="4"/>
          <w:szCs w:val="18"/>
        </w:rPr>
        <w:br w:type="page"/>
      </w:r>
    </w:p>
    <w:p w:rsidR="00872933" w:rsidRPr="00C821EA" w:rsidRDefault="00872933" w:rsidP="00872933">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11</w:t>
      </w:r>
      <w:r w:rsidR="00893E3D" w:rsidRPr="00C821EA">
        <w:rPr>
          <w:rFonts w:cs="Calibri"/>
          <w:i/>
          <w:iCs/>
          <w:color w:val="auto"/>
          <w:sz w:val="20"/>
          <w:szCs w:val="22"/>
        </w:rPr>
        <w:fldChar w:fldCharType="end"/>
      </w:r>
      <w:r>
        <w:rPr>
          <w:rFonts w:cs="Calibri"/>
          <w:i/>
          <w:iCs/>
          <w:color w:val="auto"/>
          <w:sz w:val="20"/>
          <w:szCs w:val="22"/>
        </w:rPr>
        <w:tab/>
        <w:t>School Electric Market Profile</w:t>
      </w:r>
      <w:r w:rsidR="00613059">
        <w:rPr>
          <w:rFonts w:cs="Calibri"/>
          <w:i/>
          <w:iCs/>
          <w:color w:val="auto"/>
          <w:sz w:val="20"/>
          <w:szCs w:val="22"/>
        </w:rPr>
        <w:t>, Washington</w:t>
      </w:r>
    </w:p>
    <w:p w:rsidR="00613059" w:rsidRDefault="00613059">
      <w:pPr>
        <w:rPr>
          <w:spacing w:val="4"/>
          <w:szCs w:val="18"/>
        </w:rPr>
      </w:pPr>
      <w:r w:rsidRPr="00613059">
        <w:rPr>
          <w:noProof/>
        </w:rPr>
        <w:drawing>
          <wp:inline distT="0" distB="0" distL="0" distR="0">
            <wp:extent cx="5715000" cy="6549691"/>
            <wp:effectExtent l="0" t="0" r="0" b="381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613059" w:rsidRDefault="00613059">
      <w:pPr>
        <w:rPr>
          <w:spacing w:val="4"/>
          <w:szCs w:val="18"/>
        </w:rPr>
      </w:pPr>
      <w:r>
        <w:rPr>
          <w:spacing w:val="4"/>
          <w:szCs w:val="18"/>
        </w:rPr>
        <w:br w:type="page"/>
      </w:r>
    </w:p>
    <w:p w:rsidR="00872933" w:rsidRPr="00C821EA" w:rsidRDefault="00872933" w:rsidP="00872933">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12</w:t>
      </w:r>
      <w:r w:rsidR="00893E3D" w:rsidRPr="00C821EA">
        <w:rPr>
          <w:rFonts w:cs="Calibri"/>
          <w:i/>
          <w:iCs/>
          <w:color w:val="auto"/>
          <w:sz w:val="20"/>
          <w:szCs w:val="22"/>
        </w:rPr>
        <w:fldChar w:fldCharType="end"/>
      </w:r>
      <w:r>
        <w:rPr>
          <w:rFonts w:cs="Calibri"/>
          <w:i/>
          <w:iCs/>
          <w:color w:val="auto"/>
          <w:sz w:val="20"/>
          <w:szCs w:val="22"/>
        </w:rPr>
        <w:tab/>
        <w:t>H</w:t>
      </w:r>
      <w:r w:rsidR="00613059">
        <w:rPr>
          <w:rFonts w:cs="Calibri"/>
          <w:i/>
          <w:iCs/>
          <w:color w:val="auto"/>
          <w:sz w:val="20"/>
          <w:szCs w:val="22"/>
        </w:rPr>
        <w:t>ealth</w:t>
      </w:r>
      <w:r>
        <w:rPr>
          <w:rFonts w:cs="Calibri"/>
          <w:i/>
          <w:iCs/>
          <w:color w:val="auto"/>
          <w:sz w:val="20"/>
          <w:szCs w:val="22"/>
        </w:rPr>
        <w:t xml:space="preserve"> Electric Market Profile</w:t>
      </w:r>
      <w:r w:rsidR="00613059">
        <w:rPr>
          <w:rFonts w:cs="Calibri"/>
          <w:i/>
          <w:iCs/>
          <w:color w:val="auto"/>
          <w:sz w:val="20"/>
          <w:szCs w:val="22"/>
        </w:rPr>
        <w:t>, Washington</w:t>
      </w:r>
    </w:p>
    <w:p w:rsidR="00872933" w:rsidRDefault="00613059">
      <w:pPr>
        <w:rPr>
          <w:spacing w:val="4"/>
          <w:szCs w:val="18"/>
        </w:rPr>
      </w:pPr>
      <w:r w:rsidRPr="00613059">
        <w:rPr>
          <w:noProof/>
        </w:rPr>
        <w:drawing>
          <wp:inline distT="0" distB="0" distL="0" distR="0">
            <wp:extent cx="5715000" cy="6549691"/>
            <wp:effectExtent l="0" t="0" r="0" b="381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613059" w:rsidRDefault="00613059">
      <w:pPr>
        <w:rPr>
          <w:spacing w:val="4"/>
          <w:szCs w:val="18"/>
        </w:rPr>
      </w:pPr>
      <w:r>
        <w:rPr>
          <w:spacing w:val="4"/>
          <w:szCs w:val="18"/>
        </w:rPr>
        <w:br w:type="page"/>
      </w:r>
    </w:p>
    <w:p w:rsidR="00872933" w:rsidRPr="00C821EA" w:rsidRDefault="00872933" w:rsidP="00872933">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13</w:t>
      </w:r>
      <w:r w:rsidR="00893E3D" w:rsidRPr="00C821EA">
        <w:rPr>
          <w:rFonts w:cs="Calibri"/>
          <w:i/>
          <w:iCs/>
          <w:color w:val="auto"/>
          <w:sz w:val="20"/>
          <w:szCs w:val="22"/>
        </w:rPr>
        <w:fldChar w:fldCharType="end"/>
      </w:r>
      <w:r>
        <w:rPr>
          <w:rFonts w:cs="Calibri"/>
          <w:i/>
          <w:iCs/>
          <w:color w:val="auto"/>
          <w:sz w:val="20"/>
          <w:szCs w:val="22"/>
        </w:rPr>
        <w:tab/>
        <w:t>Lodging Electric Market Profile</w:t>
      </w:r>
      <w:r w:rsidR="00613059">
        <w:rPr>
          <w:rFonts w:cs="Calibri"/>
          <w:i/>
          <w:iCs/>
          <w:color w:val="auto"/>
          <w:sz w:val="20"/>
          <w:szCs w:val="22"/>
        </w:rPr>
        <w:t>, Washington</w:t>
      </w:r>
    </w:p>
    <w:p w:rsidR="00872933" w:rsidRDefault="00613059">
      <w:pPr>
        <w:rPr>
          <w:spacing w:val="4"/>
          <w:szCs w:val="18"/>
        </w:rPr>
      </w:pPr>
      <w:r w:rsidRPr="00613059">
        <w:rPr>
          <w:noProof/>
        </w:rPr>
        <w:drawing>
          <wp:inline distT="0" distB="0" distL="0" distR="0">
            <wp:extent cx="5715000" cy="6549691"/>
            <wp:effectExtent l="0" t="0" r="0"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613059" w:rsidRDefault="00613059">
      <w:pPr>
        <w:rPr>
          <w:spacing w:val="4"/>
          <w:szCs w:val="18"/>
        </w:rPr>
      </w:pPr>
      <w:r>
        <w:rPr>
          <w:spacing w:val="4"/>
          <w:szCs w:val="18"/>
        </w:rPr>
        <w:br w:type="page"/>
      </w:r>
    </w:p>
    <w:p w:rsidR="00872933" w:rsidRPr="00C821EA" w:rsidRDefault="00872933" w:rsidP="00872933">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14</w:t>
      </w:r>
      <w:r w:rsidR="00893E3D" w:rsidRPr="00C821EA">
        <w:rPr>
          <w:rFonts w:cs="Calibri"/>
          <w:i/>
          <w:iCs/>
          <w:color w:val="auto"/>
          <w:sz w:val="20"/>
          <w:szCs w:val="22"/>
        </w:rPr>
        <w:fldChar w:fldCharType="end"/>
      </w:r>
      <w:r>
        <w:rPr>
          <w:rFonts w:cs="Calibri"/>
          <w:i/>
          <w:iCs/>
          <w:color w:val="auto"/>
          <w:sz w:val="20"/>
          <w:szCs w:val="22"/>
        </w:rPr>
        <w:tab/>
        <w:t>Warehouse Electric Market Profile</w:t>
      </w:r>
      <w:r w:rsidR="00613059">
        <w:rPr>
          <w:rFonts w:cs="Calibri"/>
          <w:i/>
          <w:iCs/>
          <w:color w:val="auto"/>
          <w:sz w:val="20"/>
          <w:szCs w:val="22"/>
        </w:rPr>
        <w:t>, Washington</w:t>
      </w:r>
    </w:p>
    <w:p w:rsidR="00872933" w:rsidRDefault="00613059">
      <w:pPr>
        <w:rPr>
          <w:spacing w:val="4"/>
          <w:szCs w:val="18"/>
        </w:rPr>
      </w:pPr>
      <w:r w:rsidRPr="00613059">
        <w:rPr>
          <w:noProof/>
        </w:rPr>
        <w:drawing>
          <wp:inline distT="0" distB="0" distL="0" distR="0">
            <wp:extent cx="5715000" cy="6549691"/>
            <wp:effectExtent l="0" t="0" r="0" b="381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613059" w:rsidRDefault="00613059" w:rsidP="00872933">
      <w:pPr>
        <w:pStyle w:val="Caption"/>
        <w:keepNext/>
        <w:rPr>
          <w:b w:val="0"/>
          <w:bCs w:val="0"/>
          <w:color w:val="auto"/>
          <w:spacing w:val="4"/>
          <w:sz w:val="20"/>
        </w:rPr>
      </w:pPr>
      <w:r>
        <w:rPr>
          <w:b w:val="0"/>
          <w:bCs w:val="0"/>
          <w:color w:val="auto"/>
          <w:spacing w:val="4"/>
          <w:sz w:val="20"/>
        </w:rPr>
        <w:br w:type="page"/>
      </w:r>
    </w:p>
    <w:p w:rsidR="00872933" w:rsidRPr="00C821EA" w:rsidRDefault="00872933" w:rsidP="00872933">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15</w:t>
      </w:r>
      <w:r w:rsidR="00893E3D" w:rsidRPr="00C821EA">
        <w:rPr>
          <w:rFonts w:cs="Calibri"/>
          <w:i/>
          <w:iCs/>
          <w:color w:val="auto"/>
          <w:sz w:val="20"/>
          <w:szCs w:val="22"/>
        </w:rPr>
        <w:fldChar w:fldCharType="end"/>
      </w:r>
      <w:r>
        <w:rPr>
          <w:rFonts w:cs="Calibri"/>
          <w:i/>
          <w:iCs/>
          <w:color w:val="auto"/>
          <w:sz w:val="20"/>
          <w:szCs w:val="22"/>
        </w:rPr>
        <w:tab/>
        <w:t>Miscellaneous Electric Market Profile</w:t>
      </w:r>
      <w:r w:rsidR="00613059">
        <w:rPr>
          <w:rFonts w:cs="Calibri"/>
          <w:i/>
          <w:iCs/>
          <w:color w:val="auto"/>
          <w:sz w:val="20"/>
          <w:szCs w:val="22"/>
        </w:rPr>
        <w:t>, Washington</w:t>
      </w:r>
    </w:p>
    <w:p w:rsidR="00872933" w:rsidRDefault="00613059">
      <w:pPr>
        <w:rPr>
          <w:spacing w:val="4"/>
          <w:szCs w:val="18"/>
        </w:rPr>
      </w:pPr>
      <w:r w:rsidRPr="00613059">
        <w:rPr>
          <w:noProof/>
        </w:rPr>
        <w:drawing>
          <wp:inline distT="0" distB="0" distL="0" distR="0">
            <wp:extent cx="5715000" cy="6549691"/>
            <wp:effectExtent l="0" t="0" r="0" b="381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613059" w:rsidRDefault="00613059">
      <w:pPr>
        <w:rPr>
          <w:spacing w:val="4"/>
          <w:szCs w:val="18"/>
        </w:rPr>
      </w:pPr>
      <w:r>
        <w:rPr>
          <w:spacing w:val="4"/>
          <w:szCs w:val="18"/>
        </w:rPr>
        <w:br w:type="page"/>
      </w:r>
    </w:p>
    <w:p w:rsidR="005A1DD9" w:rsidRPr="005A1DD9" w:rsidRDefault="005A1DD9" w:rsidP="005A1DD9">
      <w:pPr>
        <w:pStyle w:val="Caption"/>
        <w:keepNext/>
        <w:rPr>
          <w:rFonts w:cs="Calibri"/>
          <w:i/>
          <w:iCs/>
          <w:color w:val="auto"/>
          <w:sz w:val="20"/>
          <w:szCs w:val="22"/>
        </w:rPr>
      </w:pPr>
      <w:r w:rsidRPr="005A1DD9">
        <w:rPr>
          <w:rFonts w:cs="Calibri"/>
          <w:i/>
          <w:iCs/>
          <w:color w:val="auto"/>
          <w:sz w:val="20"/>
          <w:szCs w:val="22"/>
        </w:rPr>
        <w:lastRenderedPageBreak/>
        <w:t>Table A-</w:t>
      </w:r>
      <w:r w:rsidR="00893E3D" w:rsidRPr="005A1DD9">
        <w:rPr>
          <w:rFonts w:cs="Calibri"/>
          <w:i/>
          <w:iCs/>
          <w:color w:val="auto"/>
          <w:sz w:val="20"/>
          <w:szCs w:val="22"/>
        </w:rPr>
        <w:fldChar w:fldCharType="begin"/>
      </w:r>
      <w:r w:rsidRPr="005A1DD9">
        <w:rPr>
          <w:rFonts w:cs="Calibri"/>
          <w:i/>
          <w:iCs/>
          <w:color w:val="auto"/>
          <w:sz w:val="20"/>
          <w:szCs w:val="22"/>
        </w:rPr>
        <w:instrText xml:space="preserve"> SEQ Table_A- \* ARABIC </w:instrText>
      </w:r>
      <w:r w:rsidR="00893E3D" w:rsidRPr="005A1DD9">
        <w:rPr>
          <w:rFonts w:cs="Calibri"/>
          <w:i/>
          <w:iCs/>
          <w:color w:val="auto"/>
          <w:sz w:val="20"/>
          <w:szCs w:val="22"/>
        </w:rPr>
        <w:fldChar w:fldCharType="separate"/>
      </w:r>
      <w:r w:rsidR="00B2652C">
        <w:rPr>
          <w:rFonts w:cs="Calibri"/>
          <w:i/>
          <w:iCs/>
          <w:noProof/>
          <w:color w:val="auto"/>
          <w:sz w:val="20"/>
          <w:szCs w:val="22"/>
        </w:rPr>
        <w:t>16</w:t>
      </w:r>
      <w:r w:rsidR="00893E3D" w:rsidRPr="005A1DD9">
        <w:rPr>
          <w:rFonts w:cs="Calibri"/>
          <w:i/>
          <w:iCs/>
          <w:color w:val="auto"/>
          <w:sz w:val="20"/>
          <w:szCs w:val="22"/>
        </w:rPr>
        <w:fldChar w:fldCharType="end"/>
      </w:r>
      <w:r>
        <w:rPr>
          <w:rFonts w:cs="Calibri"/>
          <w:i/>
          <w:iCs/>
          <w:color w:val="auto"/>
          <w:sz w:val="20"/>
          <w:szCs w:val="22"/>
        </w:rPr>
        <w:tab/>
      </w:r>
      <w:r w:rsidR="00DA2C9E">
        <w:rPr>
          <w:rFonts w:cs="Calibri"/>
          <w:i/>
          <w:iCs/>
          <w:color w:val="auto"/>
          <w:sz w:val="20"/>
          <w:szCs w:val="22"/>
        </w:rPr>
        <w:t xml:space="preserve">Industrial </w:t>
      </w:r>
      <w:r>
        <w:rPr>
          <w:rFonts w:cs="Calibri"/>
          <w:i/>
          <w:iCs/>
          <w:color w:val="auto"/>
          <w:sz w:val="20"/>
          <w:szCs w:val="22"/>
        </w:rPr>
        <w:t>Electric Market Profile</w:t>
      </w:r>
      <w:r w:rsidR="00613059">
        <w:rPr>
          <w:rFonts w:cs="Calibri"/>
          <w:i/>
          <w:iCs/>
          <w:color w:val="auto"/>
          <w:sz w:val="20"/>
          <w:szCs w:val="22"/>
        </w:rPr>
        <w:t>, Washington</w:t>
      </w:r>
    </w:p>
    <w:p w:rsidR="0005755C" w:rsidRDefault="00613059" w:rsidP="001E1315">
      <w:pPr>
        <w:pStyle w:val="BodyText"/>
      </w:pPr>
      <w:r w:rsidRPr="00613059">
        <w:rPr>
          <w:noProof/>
        </w:rPr>
        <w:drawing>
          <wp:inline distT="0" distB="0" distL="0" distR="0">
            <wp:extent cx="5715000" cy="5080000"/>
            <wp:effectExtent l="0" t="0" r="0"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15000" cy="5080000"/>
                    </a:xfrm>
                    <a:prstGeom prst="rect">
                      <a:avLst/>
                    </a:prstGeom>
                    <a:noFill/>
                    <a:ln>
                      <a:noFill/>
                    </a:ln>
                  </pic:spPr>
                </pic:pic>
              </a:graphicData>
            </a:graphic>
          </wp:inline>
        </w:drawing>
      </w:r>
    </w:p>
    <w:p w:rsidR="0005755C" w:rsidRDefault="0005755C">
      <w:r>
        <w:br w:type="page"/>
      </w:r>
    </w:p>
    <w:p w:rsidR="00F42128" w:rsidRDefault="00F42128" w:rsidP="00F42128">
      <w:pPr>
        <w:pStyle w:val="FigureorTableTitle"/>
      </w:pPr>
      <w:r>
        <w:lastRenderedPageBreak/>
        <w:t>Table A-</w:t>
      </w:r>
      <w:r w:rsidR="00512CD6">
        <w:fldChar w:fldCharType="begin"/>
      </w:r>
      <w:r w:rsidR="00512CD6">
        <w:instrText xml:space="preserve"> SEQ Table_A- \* ARABIC </w:instrText>
      </w:r>
      <w:r w:rsidR="00512CD6">
        <w:fldChar w:fldCharType="separate"/>
      </w:r>
      <w:r w:rsidR="00B2652C">
        <w:rPr>
          <w:noProof/>
        </w:rPr>
        <w:t>17</w:t>
      </w:r>
      <w:r w:rsidR="00512CD6">
        <w:rPr>
          <w:noProof/>
        </w:rPr>
        <w:fldChar w:fldCharType="end"/>
      </w:r>
      <w:r>
        <w:tab/>
        <w:t>Residential Single Family Electric Market Profile, Idaho</w:t>
      </w:r>
    </w:p>
    <w:p w:rsidR="00F42128" w:rsidRDefault="00F42128" w:rsidP="00C37896">
      <w:pPr>
        <w:pStyle w:val="BodyText"/>
      </w:pPr>
      <w:r w:rsidRPr="00F42128">
        <w:rPr>
          <w:noProof/>
        </w:rPr>
        <w:drawing>
          <wp:inline distT="0" distB="0" distL="0" distR="0">
            <wp:extent cx="5715000" cy="6787078"/>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15000" cy="6787078"/>
                    </a:xfrm>
                    <a:prstGeom prst="rect">
                      <a:avLst/>
                    </a:prstGeom>
                    <a:noFill/>
                    <a:ln>
                      <a:noFill/>
                    </a:ln>
                  </pic:spPr>
                </pic:pic>
              </a:graphicData>
            </a:graphic>
          </wp:inline>
        </w:drawing>
      </w:r>
    </w:p>
    <w:p w:rsidR="00F42128" w:rsidRDefault="00F42128" w:rsidP="00F42128">
      <w:pPr>
        <w:pStyle w:val="BodyText"/>
      </w:pPr>
      <w:r>
        <w:br w:type="page"/>
      </w:r>
    </w:p>
    <w:p w:rsidR="00F42128" w:rsidRDefault="00F42128" w:rsidP="00F42128">
      <w:pPr>
        <w:pStyle w:val="FigureorTableTitle"/>
      </w:pPr>
      <w:r>
        <w:lastRenderedPageBreak/>
        <w:t>Table A-</w:t>
      </w:r>
      <w:r w:rsidR="00512CD6">
        <w:fldChar w:fldCharType="begin"/>
      </w:r>
      <w:r w:rsidR="00512CD6">
        <w:instrText xml:space="preserve"> SEQ Table_A- \* ARABIC </w:instrText>
      </w:r>
      <w:r w:rsidR="00512CD6">
        <w:fldChar w:fldCharType="separate"/>
      </w:r>
      <w:r w:rsidR="00B2652C">
        <w:rPr>
          <w:noProof/>
        </w:rPr>
        <w:t>18</w:t>
      </w:r>
      <w:r w:rsidR="00512CD6">
        <w:rPr>
          <w:noProof/>
        </w:rPr>
        <w:fldChar w:fldCharType="end"/>
      </w:r>
      <w:r>
        <w:tab/>
        <w:t>Residential Multifamily Electric Market Profile, Idaho</w:t>
      </w:r>
    </w:p>
    <w:p w:rsidR="00F42128" w:rsidRDefault="00F42128" w:rsidP="00F42128">
      <w:pPr>
        <w:pStyle w:val="BodyText"/>
      </w:pPr>
      <w:r w:rsidRPr="00F42128">
        <w:rPr>
          <w:noProof/>
        </w:rPr>
        <w:drawing>
          <wp:inline distT="0" distB="0" distL="0" distR="0">
            <wp:extent cx="5715000" cy="6787078"/>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15000" cy="6787078"/>
                    </a:xfrm>
                    <a:prstGeom prst="rect">
                      <a:avLst/>
                    </a:prstGeom>
                    <a:noFill/>
                    <a:ln>
                      <a:noFill/>
                    </a:ln>
                  </pic:spPr>
                </pic:pic>
              </a:graphicData>
            </a:graphic>
          </wp:inline>
        </w:drawing>
      </w:r>
    </w:p>
    <w:p w:rsidR="00F42128" w:rsidRDefault="00F42128" w:rsidP="00F42128">
      <w:pPr>
        <w:rPr>
          <w:spacing w:val="4"/>
          <w:szCs w:val="18"/>
        </w:rPr>
      </w:pPr>
      <w:r>
        <w:br w:type="page"/>
      </w:r>
    </w:p>
    <w:p w:rsidR="00F42128" w:rsidRDefault="00F42128" w:rsidP="00F42128">
      <w:pPr>
        <w:pStyle w:val="FigureorTableTitle"/>
      </w:pPr>
      <w:r>
        <w:lastRenderedPageBreak/>
        <w:t>Table A-</w:t>
      </w:r>
      <w:r w:rsidR="00512CD6">
        <w:fldChar w:fldCharType="begin"/>
      </w:r>
      <w:r w:rsidR="00512CD6">
        <w:instrText xml:space="preserve"> SEQ Table_A- \* ARABIC </w:instrText>
      </w:r>
      <w:r w:rsidR="00512CD6">
        <w:fldChar w:fldCharType="separate"/>
      </w:r>
      <w:r w:rsidR="00B2652C">
        <w:rPr>
          <w:noProof/>
        </w:rPr>
        <w:t>19</w:t>
      </w:r>
      <w:r w:rsidR="00512CD6">
        <w:rPr>
          <w:noProof/>
        </w:rPr>
        <w:fldChar w:fldCharType="end"/>
      </w:r>
      <w:r>
        <w:tab/>
        <w:t>Residential Manufactured Home Electric Market Profile, Idaho</w:t>
      </w:r>
    </w:p>
    <w:p w:rsidR="00F42128" w:rsidRDefault="00F42128" w:rsidP="00F42128">
      <w:pPr>
        <w:pStyle w:val="BodyText"/>
      </w:pPr>
      <w:r w:rsidRPr="00F42128">
        <w:rPr>
          <w:noProof/>
        </w:rPr>
        <w:drawing>
          <wp:inline distT="0" distB="0" distL="0" distR="0">
            <wp:extent cx="5715000" cy="6787078"/>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15000" cy="6787078"/>
                    </a:xfrm>
                    <a:prstGeom prst="rect">
                      <a:avLst/>
                    </a:prstGeom>
                    <a:noFill/>
                    <a:ln>
                      <a:noFill/>
                    </a:ln>
                  </pic:spPr>
                </pic:pic>
              </a:graphicData>
            </a:graphic>
          </wp:inline>
        </w:drawing>
      </w:r>
    </w:p>
    <w:p w:rsidR="00F42128" w:rsidRDefault="00F42128" w:rsidP="00F42128">
      <w:pPr>
        <w:rPr>
          <w:spacing w:val="4"/>
          <w:szCs w:val="18"/>
        </w:rPr>
      </w:pPr>
      <w:r>
        <w:br w:type="page"/>
      </w:r>
    </w:p>
    <w:p w:rsidR="00F42128" w:rsidRDefault="00F42128" w:rsidP="00F42128">
      <w:pPr>
        <w:pStyle w:val="FigureorTableTitle"/>
      </w:pPr>
      <w:r>
        <w:lastRenderedPageBreak/>
        <w:t>Table A-</w:t>
      </w:r>
      <w:r w:rsidR="00512CD6">
        <w:fldChar w:fldCharType="begin"/>
      </w:r>
      <w:r w:rsidR="00512CD6">
        <w:instrText xml:space="preserve"> SEQ Table_A- \* ARABIC </w:instrText>
      </w:r>
      <w:r w:rsidR="00512CD6">
        <w:fldChar w:fldCharType="separate"/>
      </w:r>
      <w:r w:rsidR="00B2652C">
        <w:rPr>
          <w:noProof/>
        </w:rPr>
        <w:t>20</w:t>
      </w:r>
      <w:r w:rsidR="00512CD6">
        <w:rPr>
          <w:noProof/>
        </w:rPr>
        <w:fldChar w:fldCharType="end"/>
      </w:r>
      <w:r>
        <w:tab/>
        <w:t>Residential Low Income Electric Market Profile, Idaho</w:t>
      </w:r>
    </w:p>
    <w:p w:rsidR="00F42128" w:rsidRDefault="00F42128" w:rsidP="00C37896">
      <w:pPr>
        <w:pStyle w:val="BodyText"/>
      </w:pPr>
      <w:r w:rsidRPr="00F42128">
        <w:rPr>
          <w:noProof/>
        </w:rPr>
        <w:drawing>
          <wp:inline distT="0" distB="0" distL="0" distR="0">
            <wp:extent cx="5715000" cy="6787078"/>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15000" cy="6787078"/>
                    </a:xfrm>
                    <a:prstGeom prst="rect">
                      <a:avLst/>
                    </a:prstGeom>
                    <a:noFill/>
                    <a:ln>
                      <a:noFill/>
                    </a:ln>
                  </pic:spPr>
                </pic:pic>
              </a:graphicData>
            </a:graphic>
          </wp:inline>
        </w:drawing>
      </w:r>
    </w:p>
    <w:p w:rsidR="00F42128" w:rsidRDefault="00F42128" w:rsidP="0058757D">
      <w:pPr>
        <w:pStyle w:val="BodyText"/>
      </w:pPr>
      <w:r>
        <w:br w:type="page"/>
      </w:r>
    </w:p>
    <w:p w:rsidR="00F42128" w:rsidRDefault="00F42128" w:rsidP="00F42128">
      <w:pPr>
        <w:pStyle w:val="FigureorTableTitle"/>
      </w:pPr>
      <w:r>
        <w:lastRenderedPageBreak/>
        <w:t>Table A-</w:t>
      </w:r>
      <w:r w:rsidR="00512CD6">
        <w:fldChar w:fldCharType="begin"/>
      </w:r>
      <w:r w:rsidR="00512CD6">
        <w:instrText xml:space="preserve"> SEQ Table_A- \* ARABIC </w:instrText>
      </w:r>
      <w:r w:rsidR="00512CD6">
        <w:fldChar w:fldCharType="separate"/>
      </w:r>
      <w:r w:rsidR="00B2652C">
        <w:rPr>
          <w:noProof/>
        </w:rPr>
        <w:t>21</w:t>
      </w:r>
      <w:r w:rsidR="00512CD6">
        <w:rPr>
          <w:noProof/>
        </w:rPr>
        <w:fldChar w:fldCharType="end"/>
      </w:r>
      <w:r>
        <w:tab/>
        <w:t>Small Office Electric Market Profile, Idaho</w:t>
      </w:r>
    </w:p>
    <w:p w:rsidR="00F42128" w:rsidRDefault="00F42128" w:rsidP="00F42128">
      <w:pPr>
        <w:pStyle w:val="BodyText"/>
      </w:pPr>
      <w:r w:rsidRPr="00F42128">
        <w:rPr>
          <w:noProof/>
        </w:rPr>
        <w:drawing>
          <wp:inline distT="0" distB="0" distL="0" distR="0">
            <wp:extent cx="5715000" cy="6549691"/>
            <wp:effectExtent l="0" t="0" r="0" b="381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pPr>
        <w:rPr>
          <w:spacing w:val="4"/>
          <w:szCs w:val="18"/>
        </w:rPr>
      </w:pPr>
      <w: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22</w:t>
      </w:r>
      <w:r w:rsidR="00893E3D" w:rsidRPr="00C821EA">
        <w:rPr>
          <w:rFonts w:cs="Calibri"/>
          <w:i/>
          <w:iCs/>
          <w:color w:val="auto"/>
          <w:sz w:val="20"/>
          <w:szCs w:val="22"/>
        </w:rPr>
        <w:fldChar w:fldCharType="end"/>
      </w:r>
      <w:r>
        <w:rPr>
          <w:rFonts w:cs="Calibri"/>
          <w:i/>
          <w:iCs/>
          <w:color w:val="auto"/>
          <w:sz w:val="20"/>
          <w:szCs w:val="22"/>
        </w:rPr>
        <w:tab/>
        <w:t>Large Office Electric Market Profile, Idaho</w:t>
      </w:r>
    </w:p>
    <w:p w:rsidR="00F42128" w:rsidRDefault="00F42128" w:rsidP="00F42128">
      <w:pPr>
        <w:pStyle w:val="BodyText"/>
      </w:pPr>
      <w:r w:rsidRPr="00F42128">
        <w:rPr>
          <w:noProof/>
        </w:rPr>
        <w:drawing>
          <wp:inline distT="0" distB="0" distL="0" distR="0">
            <wp:extent cx="5715000" cy="6549691"/>
            <wp:effectExtent l="0" t="0" r="0" b="381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23</w:t>
      </w:r>
      <w:r w:rsidR="00893E3D" w:rsidRPr="00C821EA">
        <w:rPr>
          <w:rFonts w:cs="Calibri"/>
          <w:i/>
          <w:iCs/>
          <w:color w:val="auto"/>
          <w:sz w:val="20"/>
          <w:szCs w:val="22"/>
        </w:rPr>
        <w:fldChar w:fldCharType="end"/>
      </w:r>
      <w:r>
        <w:rPr>
          <w:rFonts w:cs="Calibri"/>
          <w:i/>
          <w:iCs/>
          <w:color w:val="auto"/>
          <w:sz w:val="20"/>
          <w:szCs w:val="22"/>
        </w:rPr>
        <w:tab/>
        <w:t>Restaurant Electric Market Profile, Idaho</w:t>
      </w:r>
    </w:p>
    <w:p w:rsidR="00F42128" w:rsidRDefault="00F42128" w:rsidP="00F42128">
      <w:r w:rsidRPr="00F42128">
        <w:rPr>
          <w:noProof/>
        </w:rPr>
        <w:drawing>
          <wp:inline distT="0" distB="0" distL="0" distR="0">
            <wp:extent cx="5715000" cy="6549691"/>
            <wp:effectExtent l="0" t="0" r="0" b="381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24</w:t>
      </w:r>
      <w:r w:rsidR="00893E3D" w:rsidRPr="00C821EA">
        <w:rPr>
          <w:rFonts w:cs="Calibri"/>
          <w:i/>
          <w:iCs/>
          <w:color w:val="auto"/>
          <w:sz w:val="20"/>
          <w:szCs w:val="22"/>
        </w:rPr>
        <w:fldChar w:fldCharType="end"/>
      </w:r>
      <w:r>
        <w:rPr>
          <w:rFonts w:cs="Calibri"/>
          <w:i/>
          <w:iCs/>
          <w:color w:val="auto"/>
          <w:sz w:val="20"/>
          <w:szCs w:val="22"/>
        </w:rPr>
        <w:tab/>
        <w:t>Retail Electric Market Profile, Idaho</w:t>
      </w:r>
    </w:p>
    <w:p w:rsidR="00F42128" w:rsidRDefault="00F42128" w:rsidP="00F42128">
      <w:r w:rsidRPr="00F42128">
        <w:rPr>
          <w:noProof/>
        </w:rPr>
        <w:drawing>
          <wp:inline distT="0" distB="0" distL="0" distR="0">
            <wp:extent cx="5715000" cy="6549691"/>
            <wp:effectExtent l="0" t="0" r="0"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25</w:t>
      </w:r>
      <w:r w:rsidR="00893E3D" w:rsidRPr="00C821EA">
        <w:rPr>
          <w:rFonts w:cs="Calibri"/>
          <w:i/>
          <w:iCs/>
          <w:color w:val="auto"/>
          <w:sz w:val="20"/>
          <w:szCs w:val="22"/>
        </w:rPr>
        <w:fldChar w:fldCharType="end"/>
      </w:r>
      <w:r>
        <w:rPr>
          <w:rFonts w:cs="Calibri"/>
          <w:i/>
          <w:iCs/>
          <w:color w:val="auto"/>
          <w:sz w:val="20"/>
          <w:szCs w:val="22"/>
        </w:rPr>
        <w:tab/>
        <w:t>Grocery Electric Market Profile, Idaho</w:t>
      </w:r>
    </w:p>
    <w:p w:rsidR="00F42128" w:rsidRDefault="00F42128" w:rsidP="00F42128">
      <w:pPr>
        <w:rPr>
          <w:spacing w:val="4"/>
          <w:szCs w:val="18"/>
        </w:rPr>
      </w:pPr>
      <w:r w:rsidRPr="00F42128">
        <w:rPr>
          <w:noProof/>
        </w:rPr>
        <w:drawing>
          <wp:inline distT="0" distB="0" distL="0" distR="0">
            <wp:extent cx="5715000" cy="6549691"/>
            <wp:effectExtent l="0" t="0" r="0" b="381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pPr>
        <w:rPr>
          <w:spacing w:val="4"/>
          <w:szCs w:val="18"/>
        </w:rPr>
      </w:pPr>
      <w:r>
        <w:rPr>
          <w:spacing w:val="4"/>
          <w:szCs w:val="18"/>
        </w:rP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26</w:t>
      </w:r>
      <w:r w:rsidR="00893E3D" w:rsidRPr="00C821EA">
        <w:rPr>
          <w:rFonts w:cs="Calibri"/>
          <w:i/>
          <w:iCs/>
          <w:color w:val="auto"/>
          <w:sz w:val="20"/>
          <w:szCs w:val="22"/>
        </w:rPr>
        <w:fldChar w:fldCharType="end"/>
      </w:r>
      <w:r>
        <w:rPr>
          <w:rFonts w:cs="Calibri"/>
          <w:i/>
          <w:iCs/>
          <w:color w:val="auto"/>
          <w:sz w:val="20"/>
          <w:szCs w:val="22"/>
        </w:rPr>
        <w:tab/>
        <w:t>College Electric Market Profile, Idaho</w:t>
      </w:r>
    </w:p>
    <w:p w:rsidR="00F42128" w:rsidRDefault="00F42128" w:rsidP="00F42128">
      <w:pPr>
        <w:rPr>
          <w:spacing w:val="4"/>
          <w:szCs w:val="18"/>
        </w:rPr>
      </w:pPr>
      <w:r w:rsidRPr="00F42128">
        <w:rPr>
          <w:noProof/>
        </w:rPr>
        <w:drawing>
          <wp:inline distT="0" distB="0" distL="0" distR="0">
            <wp:extent cx="5715000" cy="6549691"/>
            <wp:effectExtent l="0" t="0" r="0" b="381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pPr>
        <w:rPr>
          <w:spacing w:val="4"/>
          <w:szCs w:val="18"/>
        </w:rPr>
      </w:pPr>
      <w:r>
        <w:rPr>
          <w:spacing w:val="4"/>
          <w:szCs w:val="18"/>
        </w:rP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27</w:t>
      </w:r>
      <w:r w:rsidR="00893E3D" w:rsidRPr="00C821EA">
        <w:rPr>
          <w:rFonts w:cs="Calibri"/>
          <w:i/>
          <w:iCs/>
          <w:color w:val="auto"/>
          <w:sz w:val="20"/>
          <w:szCs w:val="22"/>
        </w:rPr>
        <w:fldChar w:fldCharType="end"/>
      </w:r>
      <w:r>
        <w:rPr>
          <w:rFonts w:cs="Calibri"/>
          <w:i/>
          <w:iCs/>
          <w:color w:val="auto"/>
          <w:sz w:val="20"/>
          <w:szCs w:val="22"/>
        </w:rPr>
        <w:tab/>
        <w:t>School Electric Market Profile, Idaho</w:t>
      </w:r>
    </w:p>
    <w:p w:rsidR="00F42128" w:rsidRDefault="00F42128" w:rsidP="00F42128">
      <w:pPr>
        <w:rPr>
          <w:spacing w:val="4"/>
          <w:szCs w:val="18"/>
        </w:rPr>
      </w:pPr>
      <w:r w:rsidRPr="00F42128">
        <w:rPr>
          <w:noProof/>
        </w:rPr>
        <w:drawing>
          <wp:inline distT="0" distB="0" distL="0" distR="0">
            <wp:extent cx="5715000" cy="6549691"/>
            <wp:effectExtent l="0" t="0" r="0" b="381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pPr>
        <w:rPr>
          <w:spacing w:val="4"/>
          <w:szCs w:val="18"/>
        </w:rPr>
      </w:pPr>
      <w:r>
        <w:rPr>
          <w:spacing w:val="4"/>
          <w:szCs w:val="18"/>
        </w:rP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28</w:t>
      </w:r>
      <w:r w:rsidR="00893E3D" w:rsidRPr="00C821EA">
        <w:rPr>
          <w:rFonts w:cs="Calibri"/>
          <w:i/>
          <w:iCs/>
          <w:color w:val="auto"/>
          <w:sz w:val="20"/>
          <w:szCs w:val="22"/>
        </w:rPr>
        <w:fldChar w:fldCharType="end"/>
      </w:r>
      <w:r>
        <w:rPr>
          <w:rFonts w:cs="Calibri"/>
          <w:i/>
          <w:iCs/>
          <w:color w:val="auto"/>
          <w:sz w:val="20"/>
          <w:szCs w:val="22"/>
        </w:rPr>
        <w:tab/>
        <w:t>Health Electric Market Profile, Idaho</w:t>
      </w:r>
    </w:p>
    <w:p w:rsidR="00F42128" w:rsidRDefault="00F42128" w:rsidP="00F42128">
      <w:pPr>
        <w:rPr>
          <w:spacing w:val="4"/>
          <w:szCs w:val="18"/>
        </w:rPr>
      </w:pPr>
      <w:r w:rsidRPr="00F42128">
        <w:rPr>
          <w:noProof/>
        </w:rPr>
        <w:drawing>
          <wp:inline distT="0" distB="0" distL="0" distR="0">
            <wp:extent cx="5715000" cy="6549691"/>
            <wp:effectExtent l="0" t="0" r="0" b="381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pPr>
        <w:rPr>
          <w:spacing w:val="4"/>
          <w:szCs w:val="18"/>
        </w:rPr>
      </w:pPr>
      <w:r>
        <w:rPr>
          <w:spacing w:val="4"/>
          <w:szCs w:val="18"/>
        </w:rP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29</w:t>
      </w:r>
      <w:r w:rsidR="00893E3D" w:rsidRPr="00C821EA">
        <w:rPr>
          <w:rFonts w:cs="Calibri"/>
          <w:i/>
          <w:iCs/>
          <w:color w:val="auto"/>
          <w:sz w:val="20"/>
          <w:szCs w:val="22"/>
        </w:rPr>
        <w:fldChar w:fldCharType="end"/>
      </w:r>
      <w:r>
        <w:rPr>
          <w:rFonts w:cs="Calibri"/>
          <w:i/>
          <w:iCs/>
          <w:color w:val="auto"/>
          <w:sz w:val="20"/>
          <w:szCs w:val="22"/>
        </w:rPr>
        <w:tab/>
        <w:t>Lodging Electric Market Profile, Idaho</w:t>
      </w:r>
    </w:p>
    <w:p w:rsidR="00F42128" w:rsidRDefault="00F42128" w:rsidP="00F42128">
      <w:pPr>
        <w:rPr>
          <w:spacing w:val="4"/>
          <w:szCs w:val="18"/>
        </w:rPr>
      </w:pPr>
      <w:r w:rsidRPr="00F42128">
        <w:rPr>
          <w:noProof/>
        </w:rPr>
        <w:drawing>
          <wp:inline distT="0" distB="0" distL="0" distR="0">
            <wp:extent cx="5715000" cy="6549691"/>
            <wp:effectExtent l="0" t="0" r="0" b="381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pPr>
        <w:rPr>
          <w:spacing w:val="4"/>
          <w:szCs w:val="18"/>
        </w:rPr>
      </w:pPr>
      <w:r>
        <w:rPr>
          <w:spacing w:val="4"/>
          <w:szCs w:val="18"/>
        </w:rP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30</w:t>
      </w:r>
      <w:r w:rsidR="00893E3D" w:rsidRPr="00C821EA">
        <w:rPr>
          <w:rFonts w:cs="Calibri"/>
          <w:i/>
          <w:iCs/>
          <w:color w:val="auto"/>
          <w:sz w:val="20"/>
          <w:szCs w:val="22"/>
        </w:rPr>
        <w:fldChar w:fldCharType="end"/>
      </w:r>
      <w:r>
        <w:rPr>
          <w:rFonts w:cs="Calibri"/>
          <w:i/>
          <w:iCs/>
          <w:color w:val="auto"/>
          <w:sz w:val="20"/>
          <w:szCs w:val="22"/>
        </w:rPr>
        <w:tab/>
        <w:t>Warehouse Electric Market Profile, Idaho</w:t>
      </w:r>
    </w:p>
    <w:p w:rsidR="00F42128" w:rsidRDefault="00F42128" w:rsidP="00F42128">
      <w:pPr>
        <w:rPr>
          <w:spacing w:val="4"/>
          <w:szCs w:val="18"/>
        </w:rPr>
      </w:pPr>
      <w:r w:rsidRPr="00F42128">
        <w:rPr>
          <w:noProof/>
        </w:rPr>
        <w:drawing>
          <wp:inline distT="0" distB="0" distL="0" distR="0">
            <wp:extent cx="5715000" cy="6549691"/>
            <wp:effectExtent l="0" t="0" r="0" b="381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58757D">
      <w:pPr>
        <w:pStyle w:val="BodyText"/>
      </w:pPr>
      <w:r>
        <w:br w:type="page"/>
      </w:r>
    </w:p>
    <w:p w:rsidR="00F42128" w:rsidRPr="00C821EA" w:rsidRDefault="00F42128" w:rsidP="00F42128">
      <w:pPr>
        <w:pStyle w:val="Caption"/>
        <w:keepNext/>
        <w:rPr>
          <w:rFonts w:cs="Calibri"/>
          <w:i/>
          <w:iCs/>
          <w:color w:val="auto"/>
          <w:sz w:val="20"/>
          <w:szCs w:val="22"/>
        </w:rPr>
      </w:pPr>
      <w:r w:rsidRPr="00C821EA">
        <w:rPr>
          <w:rFonts w:cs="Calibri"/>
          <w:i/>
          <w:iCs/>
          <w:color w:val="auto"/>
          <w:sz w:val="20"/>
          <w:szCs w:val="22"/>
        </w:rPr>
        <w:lastRenderedPageBreak/>
        <w:t>Table A-</w:t>
      </w:r>
      <w:r w:rsidR="00893E3D" w:rsidRPr="00C821EA">
        <w:rPr>
          <w:rFonts w:cs="Calibri"/>
          <w:i/>
          <w:iCs/>
          <w:color w:val="auto"/>
          <w:sz w:val="20"/>
          <w:szCs w:val="22"/>
        </w:rPr>
        <w:fldChar w:fldCharType="begin"/>
      </w:r>
      <w:r w:rsidRPr="00C821EA">
        <w:rPr>
          <w:rFonts w:cs="Calibri"/>
          <w:i/>
          <w:iCs/>
          <w:color w:val="auto"/>
          <w:sz w:val="20"/>
          <w:szCs w:val="22"/>
        </w:rPr>
        <w:instrText xml:space="preserve"> SEQ Table_A- \* ARABIC </w:instrText>
      </w:r>
      <w:r w:rsidR="00893E3D" w:rsidRPr="00C821EA">
        <w:rPr>
          <w:rFonts w:cs="Calibri"/>
          <w:i/>
          <w:iCs/>
          <w:color w:val="auto"/>
          <w:sz w:val="20"/>
          <w:szCs w:val="22"/>
        </w:rPr>
        <w:fldChar w:fldCharType="separate"/>
      </w:r>
      <w:r w:rsidR="00B2652C">
        <w:rPr>
          <w:rFonts w:cs="Calibri"/>
          <w:i/>
          <w:iCs/>
          <w:noProof/>
          <w:color w:val="auto"/>
          <w:sz w:val="20"/>
          <w:szCs w:val="22"/>
        </w:rPr>
        <w:t>31</w:t>
      </w:r>
      <w:r w:rsidR="00893E3D" w:rsidRPr="00C821EA">
        <w:rPr>
          <w:rFonts w:cs="Calibri"/>
          <w:i/>
          <w:iCs/>
          <w:color w:val="auto"/>
          <w:sz w:val="20"/>
          <w:szCs w:val="22"/>
        </w:rPr>
        <w:fldChar w:fldCharType="end"/>
      </w:r>
      <w:r>
        <w:rPr>
          <w:rFonts w:cs="Calibri"/>
          <w:i/>
          <w:iCs/>
          <w:color w:val="auto"/>
          <w:sz w:val="20"/>
          <w:szCs w:val="22"/>
        </w:rPr>
        <w:tab/>
        <w:t>Miscellaneous Electric Market Profile, Idaho</w:t>
      </w:r>
    </w:p>
    <w:p w:rsidR="00F42128" w:rsidRDefault="00F42128" w:rsidP="00F42128">
      <w:pPr>
        <w:rPr>
          <w:spacing w:val="4"/>
          <w:szCs w:val="18"/>
        </w:rPr>
      </w:pPr>
      <w:r w:rsidRPr="00F42128">
        <w:rPr>
          <w:noProof/>
        </w:rPr>
        <w:drawing>
          <wp:inline distT="0" distB="0" distL="0" distR="0">
            <wp:extent cx="5715000" cy="6549691"/>
            <wp:effectExtent l="0" t="0" r="0" b="381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15000" cy="6549691"/>
                    </a:xfrm>
                    <a:prstGeom prst="rect">
                      <a:avLst/>
                    </a:prstGeom>
                    <a:noFill/>
                    <a:ln>
                      <a:noFill/>
                    </a:ln>
                  </pic:spPr>
                </pic:pic>
              </a:graphicData>
            </a:graphic>
          </wp:inline>
        </w:drawing>
      </w:r>
    </w:p>
    <w:p w:rsidR="00F42128" w:rsidRDefault="00F42128" w:rsidP="00F42128">
      <w:pPr>
        <w:rPr>
          <w:spacing w:val="4"/>
          <w:szCs w:val="18"/>
        </w:rPr>
      </w:pPr>
      <w:r>
        <w:rPr>
          <w:spacing w:val="4"/>
          <w:szCs w:val="18"/>
        </w:rPr>
        <w:br w:type="page"/>
      </w:r>
    </w:p>
    <w:p w:rsidR="00F42128" w:rsidRPr="005A1DD9" w:rsidRDefault="00F42128" w:rsidP="00F42128">
      <w:pPr>
        <w:pStyle w:val="Caption"/>
        <w:keepNext/>
        <w:rPr>
          <w:rFonts w:cs="Calibri"/>
          <w:i/>
          <w:iCs/>
          <w:color w:val="auto"/>
          <w:sz w:val="20"/>
          <w:szCs w:val="22"/>
        </w:rPr>
      </w:pPr>
      <w:r w:rsidRPr="005A1DD9">
        <w:rPr>
          <w:rFonts w:cs="Calibri"/>
          <w:i/>
          <w:iCs/>
          <w:color w:val="auto"/>
          <w:sz w:val="20"/>
          <w:szCs w:val="22"/>
        </w:rPr>
        <w:lastRenderedPageBreak/>
        <w:t>Table A-</w:t>
      </w:r>
      <w:r w:rsidR="00893E3D" w:rsidRPr="005A1DD9">
        <w:rPr>
          <w:rFonts w:cs="Calibri"/>
          <w:i/>
          <w:iCs/>
          <w:color w:val="auto"/>
          <w:sz w:val="20"/>
          <w:szCs w:val="22"/>
        </w:rPr>
        <w:fldChar w:fldCharType="begin"/>
      </w:r>
      <w:r w:rsidRPr="005A1DD9">
        <w:rPr>
          <w:rFonts w:cs="Calibri"/>
          <w:i/>
          <w:iCs/>
          <w:color w:val="auto"/>
          <w:sz w:val="20"/>
          <w:szCs w:val="22"/>
        </w:rPr>
        <w:instrText xml:space="preserve"> SEQ Table_A- \* ARABIC </w:instrText>
      </w:r>
      <w:r w:rsidR="00893E3D" w:rsidRPr="005A1DD9">
        <w:rPr>
          <w:rFonts w:cs="Calibri"/>
          <w:i/>
          <w:iCs/>
          <w:color w:val="auto"/>
          <w:sz w:val="20"/>
          <w:szCs w:val="22"/>
        </w:rPr>
        <w:fldChar w:fldCharType="separate"/>
      </w:r>
      <w:r w:rsidR="00B2652C">
        <w:rPr>
          <w:rFonts w:cs="Calibri"/>
          <w:i/>
          <w:iCs/>
          <w:noProof/>
          <w:color w:val="auto"/>
          <w:sz w:val="20"/>
          <w:szCs w:val="22"/>
        </w:rPr>
        <w:t>32</w:t>
      </w:r>
      <w:r w:rsidR="00893E3D" w:rsidRPr="005A1DD9">
        <w:rPr>
          <w:rFonts w:cs="Calibri"/>
          <w:i/>
          <w:iCs/>
          <w:color w:val="auto"/>
          <w:sz w:val="20"/>
          <w:szCs w:val="22"/>
        </w:rPr>
        <w:fldChar w:fldCharType="end"/>
      </w:r>
      <w:r>
        <w:rPr>
          <w:rFonts w:cs="Calibri"/>
          <w:i/>
          <w:iCs/>
          <w:color w:val="auto"/>
          <w:sz w:val="20"/>
          <w:szCs w:val="22"/>
        </w:rPr>
        <w:tab/>
        <w:t>Industrial Electric Market Profile, Idaho</w:t>
      </w:r>
    </w:p>
    <w:p w:rsidR="00F42128" w:rsidRDefault="00F42128" w:rsidP="00F42128">
      <w:pPr>
        <w:pStyle w:val="BodyText"/>
      </w:pPr>
      <w:r w:rsidRPr="00F42128">
        <w:rPr>
          <w:noProof/>
        </w:rPr>
        <w:drawing>
          <wp:inline distT="0" distB="0" distL="0" distR="0">
            <wp:extent cx="5715000" cy="5080000"/>
            <wp:effectExtent l="0" t="0" r="0" b="635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15000" cy="5080000"/>
                    </a:xfrm>
                    <a:prstGeom prst="rect">
                      <a:avLst/>
                    </a:prstGeom>
                    <a:noFill/>
                    <a:ln>
                      <a:noFill/>
                    </a:ln>
                  </pic:spPr>
                </pic:pic>
              </a:graphicData>
            </a:graphic>
          </wp:inline>
        </w:drawing>
      </w:r>
    </w:p>
    <w:p w:rsidR="00F42128" w:rsidRDefault="00F42128">
      <w:pPr>
        <w:rPr>
          <w:spacing w:val="4"/>
          <w:szCs w:val="18"/>
        </w:rPr>
      </w:pPr>
    </w:p>
    <w:p w:rsidR="003F0A5B" w:rsidRDefault="003F0A5B" w:rsidP="001E1315">
      <w:pPr>
        <w:pStyle w:val="BodyText"/>
      </w:pPr>
    </w:p>
    <w:p w:rsidR="003F0A5B" w:rsidRDefault="003F0A5B" w:rsidP="001E1315">
      <w:pPr>
        <w:pStyle w:val="BodyText"/>
        <w:sectPr w:rsidR="003F0A5B" w:rsidSect="001E1315">
          <w:footerReference w:type="first" r:id="rId131"/>
          <w:type w:val="oddPage"/>
          <w:pgSz w:w="12240" w:h="15840" w:code="1"/>
          <w:pgMar w:top="1152" w:right="1440" w:bottom="1152" w:left="1800" w:header="720" w:footer="720" w:gutter="0"/>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1E1315" w:rsidRPr="000B169A" w:rsidTr="00117D1B">
        <w:trPr>
          <w:cantSplit/>
          <w:trHeight w:hRule="exact" w:val="288"/>
        </w:trPr>
        <w:tc>
          <w:tcPr>
            <w:tcW w:w="1297" w:type="dxa"/>
            <w:shd w:val="clear" w:color="auto" w:fill="auto"/>
            <w:vAlign w:val="center"/>
          </w:tcPr>
          <w:p w:rsidR="001E1315" w:rsidRPr="009D189F" w:rsidRDefault="001E1315" w:rsidP="00117D1B">
            <w:pPr>
              <w:pStyle w:val="Chapter"/>
              <w:framePr w:hSpace="0" w:wrap="auto" w:vAnchor="margin" w:hAnchor="text" w:yAlign="inline"/>
            </w:pPr>
            <w:r w:rsidRPr="009D189F">
              <w:lastRenderedPageBreak/>
              <w:t>aPPENDIX</w:t>
            </w:r>
          </w:p>
        </w:tc>
        <w:tc>
          <w:tcPr>
            <w:tcW w:w="7790" w:type="dxa"/>
            <w:tcBorders>
              <w:left w:val="single" w:sz="4" w:space="0" w:color="808080"/>
            </w:tcBorders>
            <w:shd w:val="clear" w:color="auto" w:fill="auto"/>
            <w:tcMar>
              <w:left w:w="173" w:type="dxa"/>
            </w:tcMar>
            <w:vAlign w:val="center"/>
          </w:tcPr>
          <w:p w:rsidR="001E1315" w:rsidRPr="009D189F" w:rsidRDefault="001E1315" w:rsidP="00117D1B">
            <w:pPr>
              <w:pStyle w:val="Heading6"/>
              <w:spacing w:before="0" w:after="0"/>
              <w:rPr>
                <w:bCs w:val="0"/>
                <w:color w:val="808080"/>
              </w:rPr>
            </w:pPr>
          </w:p>
        </w:tc>
      </w:tr>
    </w:tbl>
    <w:p w:rsidR="001E1315" w:rsidRDefault="001E1315" w:rsidP="001E1315">
      <w:pPr>
        <w:pStyle w:val="AppendixTitle"/>
      </w:pPr>
      <w:bookmarkStart w:id="536" w:name="Market"/>
      <w:bookmarkStart w:id="537" w:name="_Toc424192649"/>
      <w:r>
        <w:t>Market</w:t>
      </w:r>
      <w:bookmarkEnd w:id="536"/>
      <w:r>
        <w:t xml:space="preserve"> Adoption </w:t>
      </w:r>
      <w:r w:rsidR="003D3D72">
        <w:t xml:space="preserve">(Ramp) </w:t>
      </w:r>
      <w:r>
        <w:t>Rates</w:t>
      </w:r>
      <w:bookmarkEnd w:id="537"/>
    </w:p>
    <w:p w:rsidR="001E1315" w:rsidRDefault="001E1315" w:rsidP="001E1315">
      <w:pPr>
        <w:pStyle w:val="BodyText"/>
      </w:pPr>
      <w:r>
        <w:t xml:space="preserve">This appendix presents the market </w:t>
      </w:r>
      <w:r w:rsidR="00320E65">
        <w:t>adoption rates we applied to economic potential to estimate achievable potential</w:t>
      </w:r>
      <w:r w:rsidR="008C5603">
        <w:t>.</w:t>
      </w:r>
      <w:r w:rsidR="00320E65">
        <w:t xml:space="preserve"> </w:t>
      </w:r>
    </w:p>
    <w:p w:rsidR="001E1315" w:rsidRDefault="001522E3" w:rsidP="001E1315">
      <w:pPr>
        <w:pStyle w:val="BodyText"/>
      </w:pPr>
      <w:r>
        <w:object w:dxaOrig="1551" w:dyaOrig="1004">
          <v:shape id="_x0000_i1025" type="#_x0000_t75" style="width:77pt;height:50.5pt" o:ole="">
            <v:imagedata r:id="rId132" o:title=""/>
          </v:shape>
          <o:OLEObject Type="Embed" ProgID="Excel.Sheet.12" ShapeID="_x0000_i1025" DrawAspect="Icon" ObjectID="_1512304102" r:id="rId133"/>
        </w:object>
      </w:r>
    </w:p>
    <w:p w:rsidR="00D92CA2" w:rsidRDefault="00D92CA2" w:rsidP="00D031CB">
      <w:pPr>
        <w:pStyle w:val="BodyText"/>
      </w:pPr>
    </w:p>
    <w:p w:rsidR="00D92CA2" w:rsidRDefault="00D92CA2" w:rsidP="00D031CB">
      <w:pPr>
        <w:pStyle w:val="BodyText"/>
        <w:sectPr w:rsidR="00D92CA2" w:rsidSect="00D07F8D">
          <w:headerReference w:type="even" r:id="rId134"/>
          <w:headerReference w:type="default" r:id="rId135"/>
          <w:footerReference w:type="even" r:id="rId136"/>
          <w:footerReference w:type="default" r:id="rId137"/>
          <w:headerReference w:type="first" r:id="rId138"/>
          <w:footerReference w:type="first" r:id="rId139"/>
          <w:type w:val="oddPage"/>
          <w:pgSz w:w="12240" w:h="15840" w:code="1"/>
          <w:pgMar w:top="1152" w:right="1440" w:bottom="1152" w:left="1800" w:header="720" w:footer="720" w:gutter="0"/>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09"/>
        <w:gridCol w:w="7778"/>
      </w:tblGrid>
      <w:tr w:rsidR="00B3398E" w:rsidRPr="000B169A" w:rsidTr="00D92CA2">
        <w:trPr>
          <w:cantSplit/>
          <w:trHeight w:hRule="exact" w:val="288"/>
        </w:trPr>
        <w:tc>
          <w:tcPr>
            <w:tcW w:w="1296" w:type="dxa"/>
            <w:shd w:val="clear" w:color="auto" w:fill="auto"/>
            <w:vAlign w:val="center"/>
          </w:tcPr>
          <w:p w:rsidR="00B3398E" w:rsidRPr="009D189F" w:rsidRDefault="00B3398E" w:rsidP="00B3398E">
            <w:pPr>
              <w:pStyle w:val="Chapter"/>
              <w:framePr w:hSpace="0" w:wrap="auto" w:vAnchor="margin" w:hAnchor="text" w:yAlign="inline"/>
            </w:pPr>
            <w:r w:rsidRPr="009D189F">
              <w:lastRenderedPageBreak/>
              <w:t>aPPENDIX</w:t>
            </w:r>
          </w:p>
        </w:tc>
        <w:tc>
          <w:tcPr>
            <w:tcW w:w="7704" w:type="dxa"/>
            <w:tcBorders>
              <w:left w:val="single" w:sz="4" w:space="0" w:color="808080"/>
            </w:tcBorders>
            <w:shd w:val="clear" w:color="auto" w:fill="auto"/>
            <w:tcMar>
              <w:left w:w="173" w:type="dxa"/>
            </w:tcMar>
            <w:vAlign w:val="center"/>
          </w:tcPr>
          <w:p w:rsidR="00B3398E" w:rsidRPr="009D189F" w:rsidRDefault="00B3398E" w:rsidP="00B3398E">
            <w:pPr>
              <w:pStyle w:val="Heading6"/>
              <w:spacing w:before="0" w:after="0"/>
              <w:rPr>
                <w:bCs w:val="0"/>
                <w:color w:val="808080"/>
              </w:rPr>
            </w:pPr>
          </w:p>
        </w:tc>
      </w:tr>
    </w:tbl>
    <w:p w:rsidR="00367D0E" w:rsidRPr="001B53DA" w:rsidRDefault="00EA3924" w:rsidP="001B53DA">
      <w:pPr>
        <w:pStyle w:val="AppendixTitle"/>
      </w:pPr>
      <w:bookmarkStart w:id="538" w:name="_Toc424192650"/>
      <w:bookmarkStart w:id="539" w:name="_Toc329701190"/>
      <w:r>
        <w:t xml:space="preserve">Equipment </w:t>
      </w:r>
      <w:r w:rsidR="00320E65" w:rsidRPr="001B53DA">
        <w:t>Measure Data</w:t>
      </w:r>
      <w:bookmarkEnd w:id="538"/>
      <w:r w:rsidR="00320E65" w:rsidRPr="001B53DA">
        <w:t xml:space="preserve"> </w:t>
      </w:r>
      <w:bookmarkEnd w:id="539"/>
    </w:p>
    <w:p w:rsidR="00745916" w:rsidRDefault="00A56B34" w:rsidP="00745916">
      <w:pPr>
        <w:pStyle w:val="BodyText"/>
        <w:rPr>
          <w:highlight w:val="green"/>
        </w:rPr>
      </w:pPr>
      <w:r>
        <w:t>Please see measure-level assumptions and details in the file “</w:t>
      </w:r>
      <w:r w:rsidR="00C37896">
        <w:rPr>
          <w:i/>
        </w:rPr>
        <w:t>Avista</w:t>
      </w:r>
      <w:r w:rsidR="00B629D3">
        <w:rPr>
          <w:i/>
        </w:rPr>
        <w:t xml:space="preserve"> Appendix- Equipment Measure Data</w:t>
      </w:r>
      <w:r w:rsidRPr="00A56B34">
        <w:rPr>
          <w:i/>
        </w:rPr>
        <w:t>.xlsx</w:t>
      </w:r>
      <w:r>
        <w:t>”</w:t>
      </w:r>
    </w:p>
    <w:p w:rsidR="00E804CC" w:rsidRDefault="00A56B34" w:rsidP="00745916">
      <w:pPr>
        <w:pStyle w:val="BodyText"/>
      </w:pPr>
      <w:r>
        <w:t xml:space="preserve"> </w:t>
      </w:r>
    </w:p>
    <w:p w:rsidR="00A56B34" w:rsidRDefault="00487467" w:rsidP="00745916">
      <w:pPr>
        <w:pStyle w:val="BodyText"/>
      </w:pPr>
      <w:r>
        <w:object w:dxaOrig="1550" w:dyaOrig="991">
          <v:shape id="_x0000_i1026" type="#_x0000_t75" style="width:77.5pt;height:49.5pt" o:ole="">
            <v:imagedata r:id="rId140" o:title=""/>
          </v:shape>
          <o:OLEObject Type="Embed" ProgID="Excel.Sheet.12" ShapeID="_x0000_i1026" DrawAspect="Icon" ObjectID="_1512304103" r:id="rId141"/>
        </w:object>
      </w:r>
    </w:p>
    <w:p w:rsidR="00651D76" w:rsidRDefault="00651D76" w:rsidP="00E804CC">
      <w:pPr>
        <w:pStyle w:val="BodyText"/>
      </w:pPr>
    </w:p>
    <w:p w:rsidR="00D92CA2" w:rsidRDefault="00D92CA2" w:rsidP="00E804CC">
      <w:pPr>
        <w:pStyle w:val="BodyText"/>
      </w:pPr>
    </w:p>
    <w:p w:rsidR="00D92CA2" w:rsidRDefault="00D92CA2" w:rsidP="00E804CC">
      <w:pPr>
        <w:pStyle w:val="BodyText"/>
        <w:sectPr w:rsidR="00D92CA2" w:rsidSect="00D92CA2">
          <w:pgSz w:w="12240" w:h="15840" w:code="1"/>
          <w:pgMar w:top="1152" w:right="1440" w:bottom="1152" w:left="1800" w:header="720" w:footer="720" w:gutter="0"/>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09"/>
        <w:gridCol w:w="7778"/>
      </w:tblGrid>
      <w:tr w:rsidR="00B629D3" w:rsidRPr="000B169A" w:rsidTr="00056B58">
        <w:trPr>
          <w:cantSplit/>
          <w:trHeight w:hRule="exact" w:val="288"/>
        </w:trPr>
        <w:tc>
          <w:tcPr>
            <w:tcW w:w="1296" w:type="dxa"/>
            <w:shd w:val="clear" w:color="auto" w:fill="auto"/>
            <w:vAlign w:val="center"/>
          </w:tcPr>
          <w:p w:rsidR="00B629D3" w:rsidRPr="009D189F" w:rsidRDefault="00B629D3" w:rsidP="00056B58">
            <w:pPr>
              <w:pStyle w:val="Chapter"/>
              <w:framePr w:hSpace="0" w:wrap="auto" w:vAnchor="margin" w:hAnchor="text" w:yAlign="inline"/>
            </w:pPr>
            <w:r w:rsidRPr="009D189F">
              <w:lastRenderedPageBreak/>
              <w:t>aPPENDIX</w:t>
            </w:r>
          </w:p>
        </w:tc>
        <w:tc>
          <w:tcPr>
            <w:tcW w:w="7704" w:type="dxa"/>
            <w:tcBorders>
              <w:left w:val="single" w:sz="4" w:space="0" w:color="808080"/>
            </w:tcBorders>
            <w:shd w:val="clear" w:color="auto" w:fill="auto"/>
            <w:tcMar>
              <w:left w:w="173" w:type="dxa"/>
            </w:tcMar>
            <w:vAlign w:val="center"/>
          </w:tcPr>
          <w:p w:rsidR="00B629D3" w:rsidRPr="009D189F" w:rsidRDefault="00B629D3" w:rsidP="00056B58">
            <w:pPr>
              <w:pStyle w:val="Heading6"/>
              <w:spacing w:before="0" w:after="0"/>
              <w:rPr>
                <w:bCs w:val="0"/>
                <w:color w:val="808080"/>
              </w:rPr>
            </w:pPr>
          </w:p>
        </w:tc>
      </w:tr>
    </w:tbl>
    <w:p w:rsidR="00B629D3" w:rsidRPr="001B53DA" w:rsidRDefault="00EA3924" w:rsidP="00B629D3">
      <w:pPr>
        <w:pStyle w:val="AppendixTitle"/>
      </w:pPr>
      <w:bookmarkStart w:id="540" w:name="_Toc424192651"/>
      <w:r>
        <w:t xml:space="preserve">Non-Equipment </w:t>
      </w:r>
      <w:r w:rsidR="00B629D3" w:rsidRPr="001B53DA">
        <w:t>Measure Data</w:t>
      </w:r>
      <w:bookmarkEnd w:id="540"/>
      <w:r w:rsidR="00B629D3" w:rsidRPr="001B53DA">
        <w:t xml:space="preserve"> </w:t>
      </w:r>
    </w:p>
    <w:p w:rsidR="00B629D3" w:rsidRDefault="00B629D3" w:rsidP="00B629D3">
      <w:pPr>
        <w:pStyle w:val="BodyText"/>
        <w:rPr>
          <w:highlight w:val="green"/>
        </w:rPr>
      </w:pPr>
      <w:r>
        <w:t>Please see measure-level assumptions and details in the file “</w:t>
      </w:r>
      <w:r w:rsidR="00C37896">
        <w:rPr>
          <w:i/>
        </w:rPr>
        <w:t>Avista</w:t>
      </w:r>
      <w:r>
        <w:rPr>
          <w:i/>
        </w:rPr>
        <w:t xml:space="preserve"> Appendix- </w:t>
      </w:r>
      <w:r w:rsidR="00EA3924">
        <w:rPr>
          <w:i/>
        </w:rPr>
        <w:t>Non-</w:t>
      </w:r>
      <w:r>
        <w:rPr>
          <w:i/>
        </w:rPr>
        <w:t>Equipment Measure Data</w:t>
      </w:r>
      <w:r w:rsidRPr="00A56B34">
        <w:rPr>
          <w:i/>
        </w:rPr>
        <w:t>.xlsx</w:t>
      </w:r>
      <w:r>
        <w:t>”</w:t>
      </w:r>
    </w:p>
    <w:p w:rsidR="00B629D3" w:rsidRDefault="00B629D3" w:rsidP="00B629D3">
      <w:pPr>
        <w:pStyle w:val="BodyText"/>
      </w:pPr>
      <w:r>
        <w:t xml:space="preserve"> </w:t>
      </w:r>
    </w:p>
    <w:p w:rsidR="00B629D3" w:rsidRDefault="00487467" w:rsidP="00B629D3">
      <w:pPr>
        <w:pStyle w:val="BodyText"/>
      </w:pPr>
      <w:r>
        <w:object w:dxaOrig="1550" w:dyaOrig="991">
          <v:shape id="_x0000_i1027" type="#_x0000_t75" style="width:77.5pt;height:49.5pt" o:ole="">
            <v:imagedata r:id="rId142" o:title=""/>
          </v:shape>
          <o:OLEObject Type="Embed" ProgID="Excel.Sheet.12" ShapeID="_x0000_i1027" DrawAspect="Icon" ObjectID="_1512304104" r:id="rId143"/>
        </w:object>
      </w:r>
    </w:p>
    <w:p w:rsidR="00B629D3" w:rsidRDefault="00B629D3" w:rsidP="00B629D3">
      <w:pPr>
        <w:pStyle w:val="BodyText"/>
      </w:pPr>
    </w:p>
    <w:p w:rsidR="00B629D3" w:rsidRDefault="00B629D3" w:rsidP="00B629D3">
      <w:pPr>
        <w:pStyle w:val="BodyText"/>
      </w:pPr>
    </w:p>
    <w:p w:rsidR="00E804CC" w:rsidRDefault="00E804CC" w:rsidP="00E804CC">
      <w:pPr>
        <w:pStyle w:val="BodyText"/>
      </w:pPr>
    </w:p>
    <w:p w:rsidR="00651D76" w:rsidRDefault="00651D76" w:rsidP="00E804CC">
      <w:pPr>
        <w:pStyle w:val="BodyText"/>
        <w:sectPr w:rsidR="00651D76" w:rsidSect="00490DBC">
          <w:type w:val="oddPage"/>
          <w:pgSz w:w="12240" w:h="15840" w:code="1"/>
          <w:pgMar w:top="1152" w:right="1440" w:bottom="1152" w:left="1800" w:header="720" w:footer="720" w:gutter="0"/>
          <w:pgNumType w:chapStyle="6"/>
          <w:cols w:space="720"/>
          <w:docGrid w:linePitch="272"/>
        </w:sectPr>
      </w:pPr>
    </w:p>
    <w:p w:rsidR="00651D76" w:rsidRDefault="00651D76" w:rsidP="00651D76">
      <w:pPr>
        <w:pStyle w:val="BodyText"/>
      </w:pPr>
    </w:p>
    <w:p w:rsidR="00E804CC" w:rsidRDefault="00E804CC"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Pr="00E804CC" w:rsidRDefault="00651D76" w:rsidP="00651D76">
      <w:pPr>
        <w:pStyle w:val="BodyText"/>
      </w:pPr>
    </w:p>
    <w:p w:rsidR="00651D76" w:rsidRDefault="00651D76" w:rsidP="00651D76">
      <w:pPr>
        <w:pStyle w:val="BodyText"/>
      </w:pPr>
    </w:p>
    <w:tbl>
      <w:tblPr>
        <w:tblpPr w:leftFromText="187" w:rightFromText="187" w:vertAnchor="text" w:horzAnchor="page" w:tblpXSpec="center" w:tblpY="663"/>
        <w:tblOverlap w:val="never"/>
        <w:tblW w:w="8642" w:type="dxa"/>
        <w:jc w:val="center"/>
        <w:tblBorders>
          <w:left w:val="single" w:sz="4" w:space="0" w:color="999999"/>
          <w:insideH w:val="single" w:sz="4" w:space="0" w:color="999999"/>
          <w:insideV w:val="single" w:sz="4" w:space="0" w:color="999999"/>
        </w:tblBorders>
        <w:tblCellMar>
          <w:left w:w="86" w:type="dxa"/>
          <w:right w:w="86" w:type="dxa"/>
        </w:tblCellMar>
        <w:tblLook w:val="0000" w:firstRow="0" w:lastRow="0" w:firstColumn="0" w:lastColumn="0" w:noHBand="0" w:noVBand="0"/>
      </w:tblPr>
      <w:tblGrid>
        <w:gridCol w:w="3056"/>
        <w:gridCol w:w="5586"/>
      </w:tblGrid>
      <w:tr w:rsidR="00651D76" w:rsidRPr="001E54DC" w:rsidTr="00651D76">
        <w:trPr>
          <w:trHeight w:val="747"/>
          <w:jc w:val="center"/>
        </w:trPr>
        <w:tc>
          <w:tcPr>
            <w:tcW w:w="3056" w:type="dxa"/>
            <w:vAlign w:val="center"/>
          </w:tcPr>
          <w:p w:rsidR="00651D76" w:rsidRPr="00ED3E55" w:rsidRDefault="00D92CA2" w:rsidP="00651D76">
            <w:pPr>
              <w:pStyle w:val="CompanyInformationBold"/>
              <w:rPr>
                <w:rFonts w:asciiTheme="minorHAnsi" w:hAnsiTheme="minorHAnsi" w:cstheme="minorHAnsi"/>
                <w:szCs w:val="15"/>
              </w:rPr>
            </w:pPr>
            <w:r w:rsidRPr="00ED3E55">
              <w:rPr>
                <w:rFonts w:asciiTheme="minorHAnsi" w:hAnsiTheme="minorHAnsi" w:cstheme="minorHAnsi"/>
                <w:szCs w:val="15"/>
              </w:rPr>
              <w:t>Applied Energy Group, Inc.</w:t>
            </w:r>
          </w:p>
          <w:p w:rsidR="00651D76" w:rsidRPr="00ED3E55" w:rsidRDefault="00651D76" w:rsidP="00651D76">
            <w:pPr>
              <w:pStyle w:val="CompanyInformation"/>
              <w:rPr>
                <w:rFonts w:asciiTheme="minorHAnsi" w:hAnsiTheme="minorHAnsi" w:cstheme="minorHAnsi"/>
                <w:szCs w:val="15"/>
              </w:rPr>
            </w:pPr>
            <w:r w:rsidRPr="00ED3E55">
              <w:rPr>
                <w:rFonts w:asciiTheme="minorHAnsi" w:hAnsiTheme="minorHAnsi" w:cstheme="minorHAnsi"/>
                <w:szCs w:val="15"/>
              </w:rPr>
              <w:t>500 Ygnacio Valley Road</w:t>
            </w:r>
            <w:r w:rsidR="002744C4" w:rsidRPr="00ED3E55">
              <w:rPr>
                <w:rFonts w:asciiTheme="minorHAnsi" w:hAnsiTheme="minorHAnsi" w:cstheme="minorHAnsi"/>
                <w:szCs w:val="15"/>
              </w:rPr>
              <w:t>,</w:t>
            </w:r>
            <w:r w:rsidRPr="00ED3E55">
              <w:rPr>
                <w:rFonts w:asciiTheme="minorHAnsi" w:hAnsiTheme="minorHAnsi" w:cstheme="minorHAnsi"/>
                <w:szCs w:val="15"/>
              </w:rPr>
              <w:t xml:space="preserve"> Suite </w:t>
            </w:r>
            <w:r w:rsidR="00C37896">
              <w:rPr>
                <w:rFonts w:asciiTheme="minorHAnsi" w:hAnsiTheme="minorHAnsi" w:cstheme="minorHAnsi"/>
                <w:szCs w:val="15"/>
              </w:rPr>
              <w:t>2</w:t>
            </w:r>
            <w:r w:rsidRPr="00ED3E55">
              <w:rPr>
                <w:rFonts w:asciiTheme="minorHAnsi" w:hAnsiTheme="minorHAnsi" w:cstheme="minorHAnsi"/>
                <w:szCs w:val="15"/>
              </w:rPr>
              <w:t>50</w:t>
            </w:r>
          </w:p>
          <w:p w:rsidR="00651D76" w:rsidRPr="00ED3E55" w:rsidRDefault="00651D76" w:rsidP="00651D76">
            <w:pPr>
              <w:pStyle w:val="CompanyInformation"/>
              <w:rPr>
                <w:rFonts w:asciiTheme="minorHAnsi" w:hAnsiTheme="minorHAnsi" w:cstheme="minorHAnsi"/>
                <w:szCs w:val="15"/>
              </w:rPr>
            </w:pPr>
            <w:r w:rsidRPr="00ED3E55">
              <w:rPr>
                <w:rFonts w:asciiTheme="minorHAnsi" w:hAnsiTheme="minorHAnsi" w:cstheme="minorHAnsi"/>
                <w:szCs w:val="15"/>
              </w:rPr>
              <w:t>Walnut Creek, CA 94596</w:t>
            </w:r>
          </w:p>
        </w:tc>
        <w:tc>
          <w:tcPr>
            <w:tcW w:w="5586" w:type="dxa"/>
            <w:tcBorders>
              <w:right w:val="nil"/>
            </w:tcBorders>
            <w:vAlign w:val="center"/>
          </w:tcPr>
          <w:p w:rsidR="00651D76" w:rsidRPr="00ED3E55" w:rsidRDefault="00651D76" w:rsidP="001E54DC">
            <w:pPr>
              <w:pStyle w:val="CompanyInformation"/>
              <w:tabs>
                <w:tab w:val="left" w:pos="214"/>
              </w:tabs>
              <w:rPr>
                <w:rFonts w:asciiTheme="minorHAnsi" w:hAnsiTheme="minorHAnsi" w:cstheme="minorHAnsi"/>
                <w:szCs w:val="15"/>
              </w:rPr>
            </w:pPr>
            <w:r w:rsidRPr="00ED3E55">
              <w:rPr>
                <w:rStyle w:val="CompanyInformationItalicChar"/>
                <w:rFonts w:asciiTheme="minorHAnsi" w:hAnsiTheme="minorHAnsi" w:cstheme="minorHAnsi"/>
                <w:szCs w:val="15"/>
              </w:rPr>
              <w:t>P:</w:t>
            </w:r>
            <w:r w:rsidRPr="00ED3E55">
              <w:rPr>
                <w:rFonts w:asciiTheme="minorHAnsi" w:hAnsiTheme="minorHAnsi" w:cstheme="minorHAnsi"/>
                <w:szCs w:val="15"/>
              </w:rPr>
              <w:tab/>
            </w:r>
            <w:r w:rsidR="00D92CA2" w:rsidRPr="00ED3E55">
              <w:rPr>
                <w:rFonts w:asciiTheme="minorHAnsi" w:hAnsiTheme="minorHAnsi" w:cstheme="minorHAnsi"/>
                <w:szCs w:val="15"/>
              </w:rPr>
              <w:t>510</w:t>
            </w:r>
            <w:r w:rsidRPr="00ED3E55">
              <w:rPr>
                <w:rFonts w:asciiTheme="minorHAnsi" w:hAnsiTheme="minorHAnsi" w:cstheme="minorHAnsi"/>
                <w:szCs w:val="15"/>
              </w:rPr>
              <w:t>.</w:t>
            </w:r>
            <w:r w:rsidR="00D92CA2" w:rsidRPr="00ED3E55">
              <w:rPr>
                <w:rFonts w:asciiTheme="minorHAnsi" w:hAnsiTheme="minorHAnsi" w:cstheme="minorHAnsi"/>
                <w:szCs w:val="15"/>
              </w:rPr>
              <w:t>982.3525</w:t>
            </w:r>
            <w:r w:rsidR="001E54DC" w:rsidRPr="00ED3E55">
              <w:rPr>
                <w:rFonts w:asciiTheme="minorHAnsi" w:hAnsiTheme="minorHAnsi" w:cstheme="minorHAnsi"/>
                <w:szCs w:val="15"/>
              </w:rPr>
              <w:br/>
            </w:r>
            <w:r w:rsidRPr="00ED3E55">
              <w:rPr>
                <w:rStyle w:val="CompanyInformationItalicChar"/>
                <w:rFonts w:asciiTheme="minorHAnsi" w:hAnsiTheme="minorHAnsi" w:cstheme="minorHAnsi"/>
                <w:szCs w:val="15"/>
              </w:rPr>
              <w:t>F:</w:t>
            </w:r>
            <w:r w:rsidRPr="00ED3E55">
              <w:rPr>
                <w:rFonts w:asciiTheme="minorHAnsi" w:hAnsiTheme="minorHAnsi" w:cstheme="minorHAnsi"/>
                <w:szCs w:val="15"/>
              </w:rPr>
              <w:tab/>
              <w:t>925.284.3147</w:t>
            </w:r>
          </w:p>
        </w:tc>
      </w:tr>
    </w:tbl>
    <w:p w:rsidR="00651D76" w:rsidRPr="00E804CC" w:rsidRDefault="00651D76" w:rsidP="001E54DC">
      <w:pPr>
        <w:pStyle w:val="BodyText"/>
      </w:pPr>
    </w:p>
    <w:sectPr w:rsidR="00651D76" w:rsidRPr="00E804CC" w:rsidSect="00D200C9">
      <w:footerReference w:type="default" r:id="rId144"/>
      <w:footerReference w:type="first" r:id="rId145"/>
      <w:type w:val="evenPage"/>
      <w:pgSz w:w="12240" w:h="15840" w:code="1"/>
      <w:pgMar w:top="1152" w:right="1440" w:bottom="1152" w:left="1800" w:header="720" w:footer="720" w:gutter="0"/>
      <w:pgNumType w:start="1" w:chapStyle="6"/>
      <w:cols w:space="720"/>
      <w:titlePg/>
      <w:docGrid w:linePitch="2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CD6" w:rsidRDefault="00512CD6">
      <w:r>
        <w:separator/>
      </w:r>
    </w:p>
    <w:p w:rsidR="00512CD6" w:rsidRDefault="00512CD6"/>
    <w:p w:rsidR="00512CD6" w:rsidRDefault="00512CD6"/>
  </w:endnote>
  <w:endnote w:type="continuationSeparator" w:id="0">
    <w:p w:rsidR="00512CD6" w:rsidRDefault="00512CD6">
      <w:r>
        <w:continuationSeparator/>
      </w:r>
    </w:p>
    <w:p w:rsidR="00512CD6" w:rsidRDefault="00512CD6"/>
    <w:p w:rsidR="00512CD6" w:rsidRDefault="00512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172E4" w:rsidRDefault="00170CF8" w:rsidP="00A172E4">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93407D" w:rsidRDefault="00170CF8" w:rsidP="00F61C81">
    <w:pPr>
      <w:pStyle w:val="Footer"/>
      <w:tabs>
        <w:tab w:val="clear" w:pos="9009"/>
        <w:tab w:val="right" w:pos="9000"/>
      </w:tabs>
      <w:rPr>
        <w:color w:val="1A1D5D"/>
      </w:rPr>
    </w:pPr>
    <w:r w:rsidRPr="0093407D">
      <w:rPr>
        <w:color w:val="1A1D5D"/>
      </w:rPr>
      <w:t>Applied Energy Group, Inc.</w:t>
    </w:r>
    <w:r>
      <w:rPr>
        <w:color w:val="1A1D5D"/>
      </w:rPr>
      <w:tab/>
    </w:r>
    <w:r w:rsidR="00893E3D" w:rsidRPr="0093407D">
      <w:rPr>
        <w:rStyle w:val="PageNumber"/>
        <w:color w:val="1A1D5D"/>
      </w:rPr>
      <w:fldChar w:fldCharType="begin"/>
    </w:r>
    <w:r w:rsidRPr="0093407D">
      <w:rPr>
        <w:rStyle w:val="PageNumber"/>
        <w:color w:val="1A1D5D"/>
      </w:rPr>
      <w:instrText xml:space="preserve"> PAGE </w:instrText>
    </w:r>
    <w:r w:rsidR="00893E3D" w:rsidRPr="0093407D">
      <w:rPr>
        <w:rStyle w:val="PageNumber"/>
        <w:color w:val="1A1D5D"/>
      </w:rPr>
      <w:fldChar w:fldCharType="separate"/>
    </w:r>
    <w:r w:rsidR="00B2652C">
      <w:rPr>
        <w:rStyle w:val="PageNumber"/>
        <w:noProof/>
        <w:color w:val="1A1D5D"/>
      </w:rPr>
      <w:t>120</w:t>
    </w:r>
    <w:r w:rsidR="00893E3D" w:rsidRPr="0093407D">
      <w:rPr>
        <w:rStyle w:val="PageNumber"/>
        <w:color w:val="1A1D5D"/>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8F5AC8" w:rsidRDefault="00170CF8" w:rsidP="00A172E4">
    <w:pPr>
      <w:pStyle w:val="Footer"/>
      <w:tabs>
        <w:tab w:val="clear" w:pos="9009"/>
        <w:tab w:val="right" w:pos="13500"/>
      </w:tabs>
      <w:rPr>
        <w:rStyle w:val="PageNumber"/>
        <w:color w:val="1F497D"/>
      </w:rPr>
    </w:pPr>
    <w:r>
      <w:rPr>
        <w:color w:val="1F497D"/>
      </w:rPr>
      <w:t>Applied Energy Group, Inc.</w:t>
    </w:r>
    <w:r>
      <w:rPr>
        <w:color w:val="1F497D"/>
      </w:rPr>
      <w:tab/>
    </w:r>
    <w:r w:rsidR="00893E3D" w:rsidRPr="00CC33E4">
      <w:rPr>
        <w:rStyle w:val="PageNumber"/>
        <w:color w:val="1F497D"/>
      </w:rPr>
      <w:fldChar w:fldCharType="begin"/>
    </w:r>
    <w:r w:rsidRPr="00CC33E4">
      <w:rPr>
        <w:rStyle w:val="PageNumber"/>
        <w:color w:val="1F497D"/>
      </w:rPr>
      <w:instrText xml:space="preserve"> PAGE </w:instrText>
    </w:r>
    <w:r w:rsidR="00893E3D" w:rsidRPr="00CC33E4">
      <w:rPr>
        <w:rStyle w:val="PageNumber"/>
        <w:color w:val="1F497D"/>
      </w:rPr>
      <w:fldChar w:fldCharType="separate"/>
    </w:r>
    <w:r w:rsidR="00B2652C">
      <w:rPr>
        <w:rStyle w:val="PageNumber"/>
        <w:noProof/>
        <w:color w:val="1F497D"/>
      </w:rPr>
      <w:t>89</w:t>
    </w:r>
    <w:r w:rsidR="00893E3D" w:rsidRPr="00CC33E4">
      <w:rPr>
        <w:rStyle w:val="PageNumber"/>
        <w:color w:val="1F497D"/>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E804CC" w:rsidRDefault="00893E3D" w:rsidP="00E804CC">
    <w:pPr>
      <w:pStyle w:val="Footer"/>
    </w:pPr>
    <w:r w:rsidRPr="00E804CC">
      <w:rPr>
        <w:rStyle w:val="PageNumber"/>
        <w:color w:val="003E74" w:themeColor="text2"/>
      </w:rPr>
      <w:fldChar w:fldCharType="begin"/>
    </w:r>
    <w:r w:rsidR="00170CF8" w:rsidRPr="00E804CC">
      <w:rPr>
        <w:rStyle w:val="PageNumber"/>
        <w:color w:val="003E74" w:themeColor="text2"/>
      </w:rPr>
      <w:instrText xml:space="preserve"> PAGE </w:instrText>
    </w:r>
    <w:r w:rsidRPr="00E804CC">
      <w:rPr>
        <w:rStyle w:val="PageNumber"/>
        <w:color w:val="003E74" w:themeColor="text2"/>
      </w:rPr>
      <w:fldChar w:fldCharType="separate"/>
    </w:r>
    <w:r w:rsidR="00170CF8">
      <w:rPr>
        <w:rStyle w:val="PageNumber"/>
        <w:noProof/>
        <w:color w:val="003E74" w:themeColor="text2"/>
      </w:rPr>
      <w:t>B-2</w:t>
    </w:r>
    <w:r w:rsidRPr="00E804CC">
      <w:rPr>
        <w:rStyle w:val="PageNumber"/>
        <w:color w:val="003E74" w:themeColor="text2"/>
      </w:rPr>
      <w:fldChar w:fldCharType="end"/>
    </w:r>
    <w:r w:rsidR="00170CF8" w:rsidRPr="00E804CC">
      <w:rPr>
        <w:rStyle w:val="PageNumber"/>
        <w:color w:val="003E74" w:themeColor="text2"/>
      </w:rPr>
      <w:tab/>
      <w:t>www.gepllc.com</w:t>
    </w:r>
    <w:r w:rsidR="00170CF8">
      <w:rPr>
        <w:rStyle w:val="PageNumber"/>
        <w:color w:val="003E74" w:themeColor="text2"/>
      </w:rPr>
      <w:t>Appl</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8F1C8F" w:rsidRDefault="00170CF8" w:rsidP="00490DBC">
    <w:pPr>
      <w:pStyle w:val="Footer"/>
      <w:pBdr>
        <w:top w:val="single" w:sz="4" w:space="0" w:color="999999"/>
      </w:pBdr>
      <w:rPr>
        <w:rStyle w:val="PageNumber"/>
        <w:color w:val="003E74" w:themeColor="text2"/>
      </w:rPr>
    </w:pPr>
    <w:r>
      <w:t>Applied Energy Group, Inc.</w:t>
    </w:r>
    <w:r w:rsidRPr="008F1C8F">
      <w:tab/>
    </w:r>
    <w:r w:rsidR="00893E3D">
      <w:rPr>
        <w:rStyle w:val="PageNumber"/>
        <w:color w:val="003E74" w:themeColor="text2"/>
      </w:rPr>
      <w:fldChar w:fldCharType="begin"/>
    </w:r>
    <w:r>
      <w:rPr>
        <w:rStyle w:val="PageNumber"/>
        <w:color w:val="003E74" w:themeColor="text2"/>
      </w:rPr>
      <w:instrText xml:space="preserve"> PAGE  \* Arabic </w:instrText>
    </w:r>
    <w:r w:rsidR="00893E3D">
      <w:rPr>
        <w:rStyle w:val="PageNumber"/>
        <w:color w:val="003E74" w:themeColor="text2"/>
      </w:rPr>
      <w:fldChar w:fldCharType="separate"/>
    </w:r>
    <w:r w:rsidR="00B2652C">
      <w:rPr>
        <w:rStyle w:val="PageNumber"/>
        <w:noProof/>
        <w:color w:val="003E74" w:themeColor="text2"/>
      </w:rPr>
      <w:t>123</w:t>
    </w:r>
    <w:r w:rsidR="00893E3D">
      <w:rPr>
        <w:rStyle w:val="PageNumber"/>
        <w:color w:val="003E74" w:themeColor="text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E804CC" w:rsidRDefault="00170CF8" w:rsidP="00487467">
    <w:pPr>
      <w:pStyle w:val="Footer"/>
      <w:pBdr>
        <w:top w:val="single" w:sz="4" w:space="0" w:color="999999"/>
      </w:pBdr>
      <w:rPr>
        <w:rStyle w:val="PageNumber"/>
        <w:color w:val="003E74" w:themeColor="text2"/>
      </w:rPr>
    </w:pPr>
    <w:r>
      <w:t>Applied Energy Group, Inc.</w:t>
    </w:r>
    <w:r w:rsidRPr="00E804CC">
      <w:tab/>
    </w:r>
    <w:r w:rsidR="00893E3D">
      <w:rPr>
        <w:rStyle w:val="PageNumber"/>
        <w:color w:val="003E74" w:themeColor="text2"/>
      </w:rPr>
      <w:fldChar w:fldCharType="begin"/>
    </w:r>
    <w:r>
      <w:rPr>
        <w:rStyle w:val="PageNumber"/>
        <w:color w:val="003E74" w:themeColor="text2"/>
      </w:rPr>
      <w:instrText xml:space="preserve"> PAGE  \* Arabic </w:instrText>
    </w:r>
    <w:r w:rsidR="00893E3D">
      <w:rPr>
        <w:rStyle w:val="PageNumber"/>
        <w:color w:val="003E74" w:themeColor="text2"/>
      </w:rPr>
      <w:fldChar w:fldCharType="separate"/>
    </w:r>
    <w:r w:rsidR="00B2652C">
      <w:rPr>
        <w:rStyle w:val="PageNumber"/>
        <w:noProof/>
        <w:color w:val="003E74" w:themeColor="text2"/>
      </w:rPr>
      <w:t>122</w:t>
    </w:r>
    <w:r w:rsidR="00893E3D">
      <w:rPr>
        <w:rStyle w:val="PageNumber"/>
        <w:color w:val="003E74" w:themeColor="text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8F1C8F" w:rsidRDefault="00170CF8" w:rsidP="00891057">
    <w:pPr>
      <w:pStyle w:val="Footer"/>
      <w:pBdr>
        <w:top w:val="none" w:sz="0" w:space="0" w:color="auto"/>
      </w:pBdr>
      <w:rPr>
        <w:rStyle w:val="PageNumber"/>
        <w:color w:val="003E74" w:themeColor="text2"/>
      </w:rPr>
    </w:pPr>
    <w:r w:rsidRPr="008F1C8F">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D200C9" w:rsidRDefault="00170CF8" w:rsidP="00D200C9">
    <w:pPr>
      <w:pStyle w:val="Footer"/>
      <w:pBdr>
        <w:top w:val="none" w:sz="0" w:space="0" w:color="auto"/>
      </w:pBdr>
      <w:rPr>
        <w:rStyle w:val="PageNumber"/>
        <w:color w:val="003E74" w:themeColor="text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207907" w:rsidRDefault="00170CF8" w:rsidP="00207907">
    <w:pPr>
      <w:pStyle w:val="Footer"/>
      <w:pBdr>
        <w:top w:val="none" w:sz="0" w:space="0" w:color="auto"/>
      </w:pBdr>
      <w:rPr>
        <w:rStyle w:val="PageNumber"/>
        <w:color w:val="003E74" w:themeColor="text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172E4" w:rsidRDefault="00170CF8" w:rsidP="00A172E4">
    <w:pPr>
      <w:pStyle w:val="Footer"/>
      <w:pBdr>
        <w:top w:val="none" w:sz="0" w:space="0" w:color="auto"/>
      </w:pBdr>
      <w:rPr>
        <w:rStyle w:val="PageNumber"/>
        <w:color w:val="003E74" w:themeColor="text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172E4" w:rsidRDefault="00170CF8" w:rsidP="00A172E4">
    <w:pPr>
      <w:pStyle w:val="Footer"/>
      <w:pBdr>
        <w:top w:val="none" w:sz="0" w:space="0" w:color="auto"/>
      </w:pBdr>
      <w:rPr>
        <w:rStyle w:val="PageNumber"/>
        <w:color w:val="003E74" w:themeColor="text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172E4" w:rsidRDefault="00170CF8" w:rsidP="00A172E4">
    <w:pPr>
      <w:pStyle w:val="Footer"/>
      <w:pBdr>
        <w:top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172E4" w:rsidRDefault="00170CF8" w:rsidP="00A172E4">
    <w:pPr>
      <w:pStyle w:val="Footer"/>
      <w:rPr>
        <w:color w:val="1F497D"/>
      </w:rPr>
    </w:pPr>
    <w:r>
      <w:rPr>
        <w:color w:val="1F497D"/>
      </w:rPr>
      <w:t>Applied Energy Group, Inc.</w:t>
    </w:r>
    <w:r>
      <w:rPr>
        <w:color w:val="1F497D"/>
      </w:rPr>
      <w:tab/>
    </w:r>
    <w:r w:rsidR="00893E3D" w:rsidRPr="00CC33E4">
      <w:rPr>
        <w:rStyle w:val="PageNumber"/>
        <w:color w:val="1F497D"/>
      </w:rPr>
      <w:fldChar w:fldCharType="begin"/>
    </w:r>
    <w:r w:rsidRPr="00CC33E4">
      <w:rPr>
        <w:rStyle w:val="PageNumber"/>
        <w:color w:val="1F497D"/>
      </w:rPr>
      <w:instrText xml:space="preserve"> PAGE </w:instrText>
    </w:r>
    <w:r w:rsidR="00893E3D" w:rsidRPr="00CC33E4">
      <w:rPr>
        <w:rStyle w:val="PageNumber"/>
        <w:color w:val="1F497D"/>
      </w:rPr>
      <w:fldChar w:fldCharType="separate"/>
    </w:r>
    <w:r w:rsidR="00B2652C">
      <w:rPr>
        <w:rStyle w:val="PageNumber"/>
        <w:noProof/>
        <w:color w:val="1F497D"/>
      </w:rPr>
      <w:t>14</w:t>
    </w:r>
    <w:r w:rsidR="00893E3D" w:rsidRPr="00CC33E4">
      <w:rPr>
        <w:rStyle w:val="PageNumber"/>
        <w:color w:val="1F497D"/>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8F5AC8" w:rsidRDefault="00170CF8" w:rsidP="008F5AC8">
    <w:pPr>
      <w:pStyle w:val="Footer"/>
      <w:rPr>
        <w:rStyle w:val="PageNumber"/>
        <w:color w:val="1F497D"/>
      </w:rPr>
    </w:pPr>
    <w:r>
      <w:rPr>
        <w:color w:val="1F497D"/>
      </w:rPr>
      <w:t>Applied Energy Group, Inc.</w:t>
    </w:r>
    <w:r>
      <w:rPr>
        <w:color w:val="1F497D"/>
      </w:rPr>
      <w:tab/>
    </w:r>
    <w:r w:rsidR="00893E3D" w:rsidRPr="00CC33E4">
      <w:rPr>
        <w:rStyle w:val="PageNumber"/>
        <w:color w:val="1F497D"/>
      </w:rPr>
      <w:fldChar w:fldCharType="begin"/>
    </w:r>
    <w:r w:rsidRPr="00CC33E4">
      <w:rPr>
        <w:rStyle w:val="PageNumber"/>
        <w:color w:val="1F497D"/>
      </w:rPr>
      <w:instrText xml:space="preserve"> PAGE </w:instrText>
    </w:r>
    <w:r w:rsidR="00893E3D" w:rsidRPr="00CC33E4">
      <w:rPr>
        <w:rStyle w:val="PageNumber"/>
        <w:color w:val="1F497D"/>
      </w:rPr>
      <w:fldChar w:fldCharType="separate"/>
    </w:r>
    <w:r w:rsidR="00B2652C">
      <w:rPr>
        <w:rStyle w:val="PageNumber"/>
        <w:noProof/>
        <w:color w:val="1F497D"/>
      </w:rPr>
      <w:t>4</w:t>
    </w:r>
    <w:r w:rsidR="00893E3D" w:rsidRPr="00CC33E4">
      <w:rPr>
        <w:rStyle w:val="PageNumber"/>
        <w:color w:val="1F497D"/>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93407D" w:rsidRDefault="00170CF8" w:rsidP="00A172E4">
    <w:pPr>
      <w:pStyle w:val="Footer"/>
      <w:tabs>
        <w:tab w:val="clear" w:pos="9009"/>
        <w:tab w:val="right" w:pos="13500"/>
      </w:tabs>
      <w:rPr>
        <w:color w:val="1A1D5D"/>
      </w:rPr>
    </w:pPr>
    <w:r w:rsidRPr="0093407D">
      <w:rPr>
        <w:color w:val="1A1D5D"/>
      </w:rPr>
      <w:t>Applied Energy Group, Inc.</w:t>
    </w:r>
    <w:r w:rsidRPr="0093407D">
      <w:rPr>
        <w:color w:val="1A1D5D"/>
      </w:rPr>
      <w:tab/>
    </w:r>
    <w:r w:rsidR="00893E3D" w:rsidRPr="0093407D">
      <w:rPr>
        <w:rStyle w:val="PageNumber"/>
        <w:color w:val="1A1D5D"/>
      </w:rPr>
      <w:fldChar w:fldCharType="begin"/>
    </w:r>
    <w:r w:rsidRPr="0093407D">
      <w:rPr>
        <w:rStyle w:val="PageNumber"/>
        <w:color w:val="1A1D5D"/>
      </w:rPr>
      <w:instrText xml:space="preserve"> PAGE </w:instrText>
    </w:r>
    <w:r w:rsidR="00893E3D" w:rsidRPr="0093407D">
      <w:rPr>
        <w:rStyle w:val="PageNumber"/>
        <w:color w:val="1A1D5D"/>
      </w:rPr>
      <w:fldChar w:fldCharType="separate"/>
    </w:r>
    <w:r w:rsidR="00B2652C">
      <w:rPr>
        <w:rStyle w:val="PageNumber"/>
        <w:noProof/>
        <w:color w:val="1A1D5D"/>
      </w:rPr>
      <w:t>22</w:t>
    </w:r>
    <w:r w:rsidR="00893E3D" w:rsidRPr="0093407D">
      <w:rPr>
        <w:rStyle w:val="PageNumber"/>
        <w:color w:val="1A1D5D"/>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8F5AC8" w:rsidRDefault="00170CF8" w:rsidP="00A172E4">
    <w:pPr>
      <w:pStyle w:val="Footer"/>
      <w:tabs>
        <w:tab w:val="clear" w:pos="9009"/>
        <w:tab w:val="right" w:pos="13500"/>
      </w:tabs>
      <w:rPr>
        <w:rStyle w:val="PageNumber"/>
        <w:color w:val="1F497D"/>
      </w:rPr>
    </w:pPr>
    <w:r>
      <w:rPr>
        <w:color w:val="1F497D"/>
      </w:rPr>
      <w:t>Applied Energy Group, Inc.</w:t>
    </w:r>
    <w:r>
      <w:rPr>
        <w:color w:val="1F497D"/>
      </w:rPr>
      <w:tab/>
    </w:r>
    <w:r w:rsidR="00893E3D" w:rsidRPr="00CC33E4">
      <w:rPr>
        <w:rStyle w:val="PageNumber"/>
        <w:color w:val="1F497D"/>
      </w:rPr>
      <w:fldChar w:fldCharType="begin"/>
    </w:r>
    <w:r w:rsidRPr="00CC33E4">
      <w:rPr>
        <w:rStyle w:val="PageNumber"/>
        <w:color w:val="1F497D"/>
      </w:rPr>
      <w:instrText xml:space="preserve"> PAGE </w:instrText>
    </w:r>
    <w:r w:rsidR="00893E3D" w:rsidRPr="00CC33E4">
      <w:rPr>
        <w:rStyle w:val="PageNumber"/>
        <w:color w:val="1F497D"/>
      </w:rPr>
      <w:fldChar w:fldCharType="separate"/>
    </w:r>
    <w:r w:rsidR="00B2652C">
      <w:rPr>
        <w:rStyle w:val="PageNumber"/>
        <w:noProof/>
        <w:color w:val="1F497D"/>
      </w:rPr>
      <w:t>21</w:t>
    </w:r>
    <w:r w:rsidR="00893E3D" w:rsidRPr="00CC33E4">
      <w:rPr>
        <w:rStyle w:val="PageNumber"/>
        <w:color w:val="1F497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CD6" w:rsidRDefault="00512CD6">
      <w:r>
        <w:separator/>
      </w:r>
    </w:p>
    <w:p w:rsidR="00512CD6" w:rsidRDefault="00512CD6"/>
    <w:p w:rsidR="00512CD6" w:rsidRDefault="00512CD6"/>
  </w:footnote>
  <w:footnote w:type="continuationSeparator" w:id="0">
    <w:p w:rsidR="00512CD6" w:rsidRDefault="00512CD6">
      <w:r>
        <w:continuationSeparator/>
      </w:r>
    </w:p>
    <w:p w:rsidR="00512CD6" w:rsidRDefault="00512CD6"/>
    <w:p w:rsidR="00512CD6" w:rsidRDefault="00512CD6"/>
  </w:footnote>
  <w:footnote w:id="1">
    <w:p w:rsidR="00170CF8" w:rsidRDefault="00170CF8" w:rsidP="00157E2A">
      <w:pPr>
        <w:pStyle w:val="FootnoteText"/>
      </w:pPr>
      <w:r>
        <w:rPr>
          <w:rStyle w:val="FootnoteReference"/>
        </w:rPr>
        <w:footnoteRef/>
      </w:r>
      <w:r>
        <w:t xml:space="preserve"> The model computes energy and peak-demand forecasts for each type of potential for each end use as an intermediate calculation. Annual-energy and peak-demand savings are calculated as the difference between the value in the baseline projection and the value in the potential forecast (e.g., the technical potential forecast).</w:t>
      </w:r>
    </w:p>
  </w:footnote>
  <w:footnote w:id="2">
    <w:p w:rsidR="00170CF8" w:rsidRDefault="00170CF8" w:rsidP="00157E2A">
      <w:pPr>
        <w:pStyle w:val="FootnoteText"/>
      </w:pPr>
      <w:r>
        <w:rPr>
          <w:rStyle w:val="FootnoteReference"/>
        </w:rPr>
        <w:footnoteRef/>
      </w:r>
      <w:r>
        <w:t xml:space="preserve"> The applicability factors take into account whether the measure is applicable to a particular building type and whether it is feasible to install the measure. For instance, attic fans are not applicable to homes where there is insufficient space in the attic or there is no attic at all.</w:t>
      </w:r>
    </w:p>
  </w:footnote>
  <w:footnote w:id="3">
    <w:p w:rsidR="00170CF8" w:rsidRDefault="00170CF8" w:rsidP="00157E2A">
      <w:pPr>
        <w:pStyle w:val="FootnoteText"/>
      </w:pPr>
      <w:r>
        <w:rPr>
          <w:rStyle w:val="FootnoteReference"/>
        </w:rPr>
        <w:footnoteRef/>
      </w:r>
      <w:r>
        <w:t xml:space="preserve"> Note that saturation levels reflected for the base year change over time as more measures are adopted. </w:t>
      </w:r>
    </w:p>
  </w:footnote>
  <w:footnote w:id="4">
    <w:p w:rsidR="00170CF8" w:rsidRDefault="00170CF8" w:rsidP="00157E2A">
      <w:pPr>
        <w:pStyle w:val="FootnoteText"/>
      </w:pPr>
      <w:r>
        <w:rPr>
          <w:rStyle w:val="FootnoteReference"/>
        </w:rPr>
        <w:footnoteRef/>
      </w:r>
      <w:r>
        <w:t xml:space="preserve"> National Action Plan for Energy Efficiency (2007). </w:t>
      </w:r>
      <w:r>
        <w:rPr>
          <w:i/>
        </w:rPr>
        <w:t xml:space="preserve">National Action Plan for Energy Efficiency Vision for 2025: </w:t>
      </w:r>
      <w:r w:rsidRPr="005062E4">
        <w:rPr>
          <w:i/>
        </w:rPr>
        <w:t>Developing a Framework for Change</w:t>
      </w:r>
      <w:r>
        <w:t xml:space="preserve">. </w:t>
      </w:r>
      <w:hyperlink r:id="rId1" w:history="1">
        <w:r w:rsidRPr="00FC3671">
          <w:rPr>
            <w:rStyle w:val="Hyperlink"/>
          </w:rPr>
          <w:t>www.epa.gov/eeactionplan</w:t>
        </w:r>
      </w:hyperlink>
      <w:r>
        <w:t>.</w:t>
      </w:r>
    </w:p>
  </w:footnote>
  <w:footnote w:id="5">
    <w:p w:rsidR="00170CF8" w:rsidRPr="008B76DA" w:rsidRDefault="00170CF8" w:rsidP="00157E2A">
      <w:pPr>
        <w:pStyle w:val="BulletedListIndent"/>
        <w:numPr>
          <w:ilvl w:val="0"/>
          <w:numId w:val="0"/>
        </w:numPr>
        <w:spacing w:after="0"/>
        <w:ind w:left="360"/>
        <w:rPr>
          <w:sz w:val="16"/>
        </w:rPr>
      </w:pPr>
      <w:r>
        <w:rPr>
          <w:rStyle w:val="FootnoteReference"/>
        </w:rPr>
        <w:footnoteRef/>
      </w:r>
      <w:r>
        <w:t xml:space="preserve"> </w:t>
      </w:r>
      <w:r>
        <w:rPr>
          <w:sz w:val="16"/>
        </w:rPr>
        <w:t>AEG</w:t>
      </w:r>
      <w:r w:rsidRPr="008B76DA">
        <w:rPr>
          <w:sz w:val="16"/>
        </w:rPr>
        <w:t xml:space="preserve"> staff </w:t>
      </w:r>
      <w:r>
        <w:rPr>
          <w:sz w:val="16"/>
        </w:rPr>
        <w:t>has</w:t>
      </w:r>
      <w:r w:rsidRPr="008B76DA">
        <w:rPr>
          <w:sz w:val="16"/>
        </w:rPr>
        <w:t xml:space="preserve"> prepared three white papers on the topic of factors that affect U.S. electricity consumption, including appliance standards and building codes. Links to all three white papers are provided: </w:t>
      </w:r>
      <w:hyperlink r:id="rId2" w:history="1">
        <w:r w:rsidRPr="008B76DA">
          <w:rPr>
            <w:rStyle w:val="Hyperlink"/>
            <w:sz w:val="16"/>
          </w:rPr>
          <w:t>http://www.edisonfoundation.net/IEE/Documents/IEE_RohmundApplianceStandardsEfficiencyCodes1209.pdf</w:t>
        </w:r>
      </w:hyperlink>
    </w:p>
    <w:p w:rsidR="00170CF8" w:rsidRPr="008B76DA" w:rsidRDefault="00512CD6" w:rsidP="00157E2A">
      <w:pPr>
        <w:pStyle w:val="BulletedListIndent"/>
        <w:numPr>
          <w:ilvl w:val="0"/>
          <w:numId w:val="0"/>
        </w:numPr>
        <w:spacing w:after="0"/>
        <w:ind w:left="360"/>
        <w:rPr>
          <w:sz w:val="16"/>
        </w:rPr>
      </w:pPr>
      <w:hyperlink r:id="rId3" w:history="1">
        <w:r w:rsidR="00170CF8" w:rsidRPr="008B76DA">
          <w:rPr>
            <w:rStyle w:val="Hyperlink"/>
            <w:sz w:val="16"/>
          </w:rPr>
          <w:t>http://www.edisonfoundation.net/iee/Documents/IEE_CodesandStandardsAssessment_2010-2025_UPDATE.pdf</w:t>
        </w:r>
      </w:hyperlink>
      <w:r w:rsidR="00170CF8" w:rsidRPr="008B76DA">
        <w:rPr>
          <w:sz w:val="16"/>
        </w:rPr>
        <w:t xml:space="preserve">. </w:t>
      </w:r>
    </w:p>
    <w:p w:rsidR="00170CF8" w:rsidRDefault="00512CD6" w:rsidP="00157E2A">
      <w:pPr>
        <w:pStyle w:val="BulletedListIndent"/>
        <w:numPr>
          <w:ilvl w:val="0"/>
          <w:numId w:val="0"/>
        </w:numPr>
        <w:spacing w:after="0"/>
        <w:ind w:left="360"/>
      </w:pPr>
      <w:hyperlink r:id="rId4" w:history="1">
        <w:r w:rsidR="00170CF8" w:rsidRPr="008B76DA">
          <w:rPr>
            <w:rStyle w:val="Hyperlink"/>
            <w:sz w:val="16"/>
          </w:rPr>
          <w:t>http://www.edisonfoundation.net/iee/Documents/IEE_FactorsAffectingUSElecConsumption_Final.pdf</w:t>
        </w:r>
      </w:hyperlink>
      <w:r w:rsidR="00170CF8" w:rsidRPr="008B76DA">
        <w:rPr>
          <w:sz w:val="16"/>
        </w:rPr>
        <w:t xml:space="preserve"> </w:t>
      </w:r>
    </w:p>
    <w:p w:rsidR="00170CF8" w:rsidRDefault="00170CF8" w:rsidP="00157E2A">
      <w:pPr>
        <w:pStyle w:val="FootnoteText"/>
      </w:pPr>
    </w:p>
  </w:footnote>
  <w:footnote w:id="6">
    <w:p w:rsidR="00170CF8" w:rsidRDefault="00170CF8" w:rsidP="00157E2A">
      <w:pPr>
        <w:pStyle w:val="FootnoteText"/>
      </w:pPr>
      <w:r>
        <w:rPr>
          <w:rStyle w:val="FootnoteReference"/>
        </w:rPr>
        <w:footnoteRef/>
      </w:r>
      <w:r>
        <w:t xml:space="preserve"> We developed b</w:t>
      </w:r>
      <w:r w:rsidRPr="00FE0C18">
        <w:t xml:space="preserve">aseline purchase decisions </w:t>
      </w:r>
      <w:r>
        <w:t xml:space="preserve">using </w:t>
      </w:r>
      <w:r w:rsidRPr="00FE0C18">
        <w:t xml:space="preserve">the Energy Information Agency’s </w:t>
      </w:r>
      <w:r w:rsidRPr="00802C3F">
        <w:rPr>
          <w:i/>
        </w:rPr>
        <w:t>Annual Energy Outlook</w:t>
      </w:r>
      <w:r w:rsidRPr="00FE0C18">
        <w:t xml:space="preserve"> report (20</w:t>
      </w:r>
      <w:r>
        <w:t>13</w:t>
      </w:r>
      <w:r w:rsidRPr="00FE0C18">
        <w:t xml:space="preserve">), which utilizes the National Energy Modeling System (NEMS) to produce a self-consistent supply and demand economic model. </w:t>
      </w:r>
      <w:r>
        <w:t>We calibrated e</w:t>
      </w:r>
      <w:r w:rsidRPr="00FE0C18">
        <w:t xml:space="preserve">quipment purchase options </w:t>
      </w:r>
      <w:r>
        <w:t xml:space="preserve">to match manufacturer </w:t>
      </w:r>
      <w:r w:rsidRPr="00FE0C18">
        <w:t xml:space="preserve">shipment data for recent years and </w:t>
      </w:r>
      <w:r>
        <w:t xml:space="preserve">then held values constant for the study period. This removes any effects of naturally occurring conservation or effects of future EE programs that may be embedded in the AEO forecasts. </w:t>
      </w:r>
    </w:p>
  </w:footnote>
  <w:footnote w:id="7">
    <w:p w:rsidR="00170CF8" w:rsidRDefault="00170CF8">
      <w:pPr>
        <w:pStyle w:val="FootnoteText"/>
      </w:pPr>
      <w:r>
        <w:rPr>
          <w:rStyle w:val="FootnoteReference"/>
        </w:rPr>
        <w:footnoteRef/>
      </w:r>
      <w:r>
        <w:t xml:space="preserve"> The assumptions tables here extend through 2025, after which all standards are assumed to hold steady.</w:t>
      </w:r>
    </w:p>
  </w:footnote>
  <w:footnote w:id="8">
    <w:p w:rsidR="00170CF8" w:rsidRDefault="00170CF8">
      <w:pPr>
        <w:pStyle w:val="FootnoteText"/>
      </w:pPr>
      <w:r>
        <w:rPr>
          <w:rStyle w:val="FootnoteReference"/>
        </w:rPr>
        <w:footnoteRef/>
      </w:r>
      <w:r>
        <w:t xml:space="preserve"> The assumptions tables here extend through 2025, after which all standards are assumed to hold steady.</w:t>
      </w:r>
    </w:p>
  </w:footnote>
  <w:footnote w:id="9">
    <w:p w:rsidR="00170CF8" w:rsidRDefault="00170CF8">
      <w:pPr>
        <w:pStyle w:val="FootnoteText"/>
      </w:pPr>
      <w:r>
        <w:rPr>
          <w:rStyle w:val="FootnoteReference"/>
        </w:rPr>
        <w:footnoteRef/>
      </w:r>
      <w:r>
        <w:t xml:space="preserve"> The assumptions tables here extend through 2025, after which all standards are assumed to hold steady.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77F07" w:rsidRDefault="00170CF8" w:rsidP="00A77F07">
    <w:pPr>
      <w:pStyle w:val="Header"/>
      <w:pBdr>
        <w:bottom w:val="single" w:sz="4" w:space="0" w:color="auto"/>
      </w:pBdr>
      <w:jc w:val="center"/>
      <w:rPr>
        <w:rFonts w:cstheme="minorHAnsi"/>
        <w:color w:val="1A1D5D"/>
        <w:sz w:val="4"/>
      </w:rPr>
    </w:pPr>
    <w:r>
      <w:rPr>
        <w:rFonts w:cstheme="minorHAnsi"/>
        <w:color w:val="1A1D5D"/>
        <w:spacing w:val="4"/>
      </w:rPr>
      <w:t>EE Potential Study and Action Plan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FE613D" w:rsidRDefault="00170CF8" w:rsidP="00920F44">
    <w:pPr>
      <w:pStyle w:val="Header"/>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172E4" w:rsidRDefault="00170CF8" w:rsidP="00A172E4">
    <w:pPr>
      <w:pStyle w:val="Header"/>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Default="00512CD6" w:rsidP="00C539AC">
    <w:pPr>
      <w:pStyle w:val="Header"/>
    </w:pPr>
    <w:r>
      <w:fldChar w:fldCharType="begin"/>
    </w:r>
    <w:r>
      <w:instrText xml:space="preserve"> STYLEREF  "Appendix Title"  \* MERGEFORMAT </w:instrText>
    </w:r>
    <w:r>
      <w:fldChar w:fldCharType="separate"/>
    </w:r>
    <w:r w:rsidR="00B2652C">
      <w:rPr>
        <w:noProof/>
      </w:rPr>
      <w:t>Market Profiles</w:t>
    </w:r>
    <w:r>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891057" w:rsidRDefault="00170CF8" w:rsidP="00891057">
    <w:pPr>
      <w:pStyle w:val="Header"/>
      <w:pBdr>
        <w:bottom w:val="none" w:sz="0" w:space="0"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B461A3" w:rsidRDefault="00170CF8" w:rsidP="00B461A3">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77F07" w:rsidRDefault="00170CF8" w:rsidP="00A77F07">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0B03CF" w:rsidRDefault="00170CF8" w:rsidP="000B03CF">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802C4" w:rsidRDefault="00170CF8" w:rsidP="00A802C4">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A802C4" w:rsidRDefault="00170CF8" w:rsidP="00A802C4">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93407D" w:rsidRDefault="00170CF8" w:rsidP="0093407D">
    <w:pPr>
      <w:pStyle w:val="Header"/>
      <w:pBdr>
        <w:bottom w:val="single" w:sz="4" w:space="1" w:color="auto"/>
      </w:pBdr>
      <w:jc w:val="center"/>
      <w:rPr>
        <w:rFonts w:cstheme="minorHAnsi"/>
        <w:color w:val="1A1D5D"/>
        <w:sz w:val="4"/>
      </w:rPr>
    </w:pPr>
    <w:r>
      <w:rPr>
        <w:rFonts w:cstheme="minorHAnsi"/>
        <w:color w:val="1A1D5D"/>
        <w:spacing w:val="4"/>
      </w:rPr>
      <w:t>Energy Efficiency Potential Study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920F44" w:rsidRDefault="00170CF8" w:rsidP="00920F44">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920F44" w:rsidRDefault="00170CF8" w:rsidP="00920F44">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CF8" w:rsidRPr="00920F44" w:rsidRDefault="00170CF8" w:rsidP="00920F44">
    <w:pPr>
      <w:pStyle w:val="Header"/>
      <w:pBdr>
        <w:bottom w:val="single" w:sz="4" w:space="1" w:color="auto"/>
      </w:pBdr>
      <w:jc w:val="center"/>
      <w:rPr>
        <w:rFonts w:cstheme="minorHAnsi"/>
        <w:color w:val="1A1D5D"/>
        <w:sz w:val="4"/>
      </w:rPr>
    </w:pPr>
    <w:r>
      <w:rPr>
        <w:rFonts w:cstheme="minorHAnsi"/>
        <w:color w:val="1A1D5D"/>
        <w:spacing w:val="4"/>
      </w:rPr>
      <w:t>Energy Efficiency Potential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5pt;height:20.5pt" o:bullet="t">
        <v:imagedata r:id="rId1" o:title="art3EC3"/>
      </v:shape>
    </w:pict>
  </w:numPicBullet>
  <w:abstractNum w:abstractNumId="0" w15:restartNumberingAfterBreak="0">
    <w:nsid w:val="FFFFFF7C"/>
    <w:multiLevelType w:val="singleLevel"/>
    <w:tmpl w:val="A6D26CC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122F7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A48E41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3E7E5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32982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7020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638A90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7239A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C265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F636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70216"/>
    <w:multiLevelType w:val="hybridMultilevel"/>
    <w:tmpl w:val="7876DCF8"/>
    <w:lvl w:ilvl="0" w:tplc="A8CAC0DC">
      <w:start w:val="1"/>
      <w:numFmt w:val="bullet"/>
      <w:lvlText w:val=""/>
      <w:lvlPicBulletId w:val="0"/>
      <w:lvlJc w:val="left"/>
      <w:pPr>
        <w:tabs>
          <w:tab w:val="num" w:pos="720"/>
        </w:tabs>
        <w:ind w:left="720" w:hanging="360"/>
      </w:pPr>
      <w:rPr>
        <w:rFonts w:ascii="Symbol" w:hAnsi="Symbol" w:hint="default"/>
      </w:rPr>
    </w:lvl>
    <w:lvl w:ilvl="1" w:tplc="39AA776E">
      <w:start w:val="1"/>
      <w:numFmt w:val="bullet"/>
      <w:lvlText w:val=""/>
      <w:lvlPicBulletId w:val="0"/>
      <w:lvlJc w:val="left"/>
      <w:pPr>
        <w:tabs>
          <w:tab w:val="num" w:pos="1440"/>
        </w:tabs>
        <w:ind w:left="1440" w:hanging="360"/>
      </w:pPr>
      <w:rPr>
        <w:rFonts w:ascii="Symbol" w:hAnsi="Symbol" w:hint="default"/>
      </w:rPr>
    </w:lvl>
    <w:lvl w:ilvl="2" w:tplc="12269EFC" w:tentative="1">
      <w:start w:val="1"/>
      <w:numFmt w:val="bullet"/>
      <w:lvlText w:val=""/>
      <w:lvlPicBulletId w:val="0"/>
      <w:lvlJc w:val="left"/>
      <w:pPr>
        <w:tabs>
          <w:tab w:val="num" w:pos="2160"/>
        </w:tabs>
        <w:ind w:left="2160" w:hanging="360"/>
      </w:pPr>
      <w:rPr>
        <w:rFonts w:ascii="Symbol" w:hAnsi="Symbol" w:hint="default"/>
      </w:rPr>
    </w:lvl>
    <w:lvl w:ilvl="3" w:tplc="CCE29C90" w:tentative="1">
      <w:start w:val="1"/>
      <w:numFmt w:val="bullet"/>
      <w:lvlText w:val=""/>
      <w:lvlPicBulletId w:val="0"/>
      <w:lvlJc w:val="left"/>
      <w:pPr>
        <w:tabs>
          <w:tab w:val="num" w:pos="2880"/>
        </w:tabs>
        <w:ind w:left="2880" w:hanging="360"/>
      </w:pPr>
      <w:rPr>
        <w:rFonts w:ascii="Symbol" w:hAnsi="Symbol" w:hint="default"/>
      </w:rPr>
    </w:lvl>
    <w:lvl w:ilvl="4" w:tplc="D138D550" w:tentative="1">
      <w:start w:val="1"/>
      <w:numFmt w:val="bullet"/>
      <w:lvlText w:val=""/>
      <w:lvlPicBulletId w:val="0"/>
      <w:lvlJc w:val="left"/>
      <w:pPr>
        <w:tabs>
          <w:tab w:val="num" w:pos="3600"/>
        </w:tabs>
        <w:ind w:left="3600" w:hanging="360"/>
      </w:pPr>
      <w:rPr>
        <w:rFonts w:ascii="Symbol" w:hAnsi="Symbol" w:hint="default"/>
      </w:rPr>
    </w:lvl>
    <w:lvl w:ilvl="5" w:tplc="F37C6FFC" w:tentative="1">
      <w:start w:val="1"/>
      <w:numFmt w:val="bullet"/>
      <w:lvlText w:val=""/>
      <w:lvlPicBulletId w:val="0"/>
      <w:lvlJc w:val="left"/>
      <w:pPr>
        <w:tabs>
          <w:tab w:val="num" w:pos="4320"/>
        </w:tabs>
        <w:ind w:left="4320" w:hanging="360"/>
      </w:pPr>
      <w:rPr>
        <w:rFonts w:ascii="Symbol" w:hAnsi="Symbol" w:hint="default"/>
      </w:rPr>
    </w:lvl>
    <w:lvl w:ilvl="6" w:tplc="99FAB0AE" w:tentative="1">
      <w:start w:val="1"/>
      <w:numFmt w:val="bullet"/>
      <w:lvlText w:val=""/>
      <w:lvlPicBulletId w:val="0"/>
      <w:lvlJc w:val="left"/>
      <w:pPr>
        <w:tabs>
          <w:tab w:val="num" w:pos="5040"/>
        </w:tabs>
        <w:ind w:left="5040" w:hanging="360"/>
      </w:pPr>
      <w:rPr>
        <w:rFonts w:ascii="Symbol" w:hAnsi="Symbol" w:hint="default"/>
      </w:rPr>
    </w:lvl>
    <w:lvl w:ilvl="7" w:tplc="96E07AFC" w:tentative="1">
      <w:start w:val="1"/>
      <w:numFmt w:val="bullet"/>
      <w:lvlText w:val=""/>
      <w:lvlPicBulletId w:val="0"/>
      <w:lvlJc w:val="left"/>
      <w:pPr>
        <w:tabs>
          <w:tab w:val="num" w:pos="5760"/>
        </w:tabs>
        <w:ind w:left="5760" w:hanging="360"/>
      </w:pPr>
      <w:rPr>
        <w:rFonts w:ascii="Symbol" w:hAnsi="Symbol" w:hint="default"/>
      </w:rPr>
    </w:lvl>
    <w:lvl w:ilvl="8" w:tplc="7CB0CBAC"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12C661A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2F8798F"/>
    <w:multiLevelType w:val="hybridMultilevel"/>
    <w:tmpl w:val="83E8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717A08"/>
    <w:multiLevelType w:val="hybridMultilevel"/>
    <w:tmpl w:val="46E63B86"/>
    <w:lvl w:ilvl="0" w:tplc="FB78B350">
      <w:start w:val="1"/>
      <w:numFmt w:val="bullet"/>
      <w:lvlText w:val=""/>
      <w:lvlJc w:val="left"/>
      <w:pPr>
        <w:ind w:left="1080" w:hanging="360"/>
      </w:pPr>
      <w:rPr>
        <w:rFonts w:ascii="Symbol" w:hAnsi="Symbol" w:hint="default"/>
      </w:rPr>
    </w:lvl>
    <w:lvl w:ilvl="1" w:tplc="06BCB0C2">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BA82089"/>
    <w:multiLevelType w:val="hybridMultilevel"/>
    <w:tmpl w:val="9BF828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D02128"/>
    <w:multiLevelType w:val="hybridMultilevel"/>
    <w:tmpl w:val="6B0AC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861012"/>
    <w:multiLevelType w:val="hybridMultilevel"/>
    <w:tmpl w:val="134E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785239"/>
    <w:multiLevelType w:val="hybridMultilevel"/>
    <w:tmpl w:val="2310A4B8"/>
    <w:lvl w:ilvl="0" w:tplc="3A0640D2">
      <w:start w:val="1"/>
      <w:numFmt w:val="decimal"/>
      <w:lvlText w:val="%1."/>
      <w:lvlJc w:val="left"/>
      <w:pPr>
        <w:tabs>
          <w:tab w:val="num" w:pos="360"/>
        </w:tabs>
        <w:ind w:left="360" w:hanging="360"/>
      </w:pPr>
      <w:rPr>
        <w:rFonts w:ascii="Verdana" w:hAnsi="Verdana"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3F474E"/>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A565445"/>
    <w:multiLevelType w:val="hybridMultilevel"/>
    <w:tmpl w:val="D15C5A8A"/>
    <w:lvl w:ilvl="0" w:tplc="D3D63836">
      <w:start w:val="1"/>
      <w:numFmt w:val="bullet"/>
      <w:pStyle w:val="BulletedListIndent"/>
      <w:lvlText w:val="o"/>
      <w:lvlJc w:val="left"/>
      <w:pPr>
        <w:ind w:left="720" w:hanging="360"/>
      </w:pPr>
      <w:rPr>
        <w:rFonts w:ascii="Courier New" w:hAnsi="Courier New" w:cs="Courier New" w:hint="default"/>
        <w:sz w:val="20"/>
        <w:szCs w:val="18"/>
      </w:rPr>
    </w:lvl>
    <w:lvl w:ilvl="1" w:tplc="04090001">
      <w:start w:val="1"/>
      <w:numFmt w:val="bullet"/>
      <w:lvlText w:val=""/>
      <w:lvlJc w:val="left"/>
      <w:pPr>
        <w:tabs>
          <w:tab w:val="num" w:pos="1440"/>
        </w:tabs>
        <w:ind w:left="1440" w:hanging="360"/>
      </w:pPr>
      <w:rPr>
        <w:rFonts w:ascii="Symbol" w:hAnsi="Symbol" w:hint="default"/>
        <w:sz w:val="16"/>
        <w:szCs w:val="16"/>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DA6A0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FB153D8"/>
    <w:multiLevelType w:val="hybridMultilevel"/>
    <w:tmpl w:val="BF86FDCE"/>
    <w:lvl w:ilvl="0" w:tplc="4E2EB1EC">
      <w:start w:val="1"/>
      <w:numFmt w:val="bullet"/>
      <w:pStyle w:val="Bulletedlistlevel2"/>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1D60B2E"/>
    <w:multiLevelType w:val="hybridMultilevel"/>
    <w:tmpl w:val="C896D9DE"/>
    <w:lvl w:ilvl="0" w:tplc="BC84A9AE">
      <w:start w:val="1"/>
      <w:numFmt w:val="upperLetter"/>
      <w:pStyle w:val="TOC6"/>
      <w:lvlText w:val="%1"/>
      <w:lvlJc w:val="left"/>
      <w:pPr>
        <w:ind w:left="360" w:hanging="360"/>
      </w:pPr>
      <w:rPr>
        <w:rFonts w:ascii="Verdana" w:hAnsi="Verdana" w:hint="default"/>
        <w:b/>
        <w:i w:val="0"/>
        <w:sz w:val="20"/>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3" w15:restartNumberingAfterBreak="0">
    <w:nsid w:val="34850A4D"/>
    <w:multiLevelType w:val="multilevel"/>
    <w:tmpl w:val="92C88418"/>
    <w:lvl w:ilvl="0">
      <w:start w:val="1"/>
      <w:numFmt w:val="decimal"/>
      <w:pStyle w:val="Heading1"/>
      <w:suff w:val="nothing"/>
      <w:lvlText w:val="%1"/>
      <w:lvlJc w:val="left"/>
      <w:pPr>
        <w:ind w:left="547" w:hanging="432"/>
      </w:pPr>
      <w:rPr>
        <w:rFonts w:hint="default"/>
      </w:rPr>
    </w:lvl>
    <w:lvl w:ilvl="1">
      <w:start w:val="1"/>
      <w:numFmt w:val="decimal"/>
      <w:lvlText w:val="%1.%2"/>
      <w:lvlJc w:val="left"/>
      <w:pPr>
        <w:tabs>
          <w:tab w:val="num" w:pos="691"/>
        </w:tabs>
        <w:ind w:left="691" w:hanging="576"/>
      </w:pPr>
      <w:rPr>
        <w:rFonts w:hint="default"/>
      </w:rPr>
    </w:lvl>
    <w:lvl w:ilvl="2">
      <w:start w:val="1"/>
      <w:numFmt w:val="decimal"/>
      <w:lvlText w:val="%1.%2.%3"/>
      <w:lvlJc w:val="left"/>
      <w:pPr>
        <w:tabs>
          <w:tab w:val="num" w:pos="835"/>
        </w:tabs>
        <w:ind w:left="835" w:hanging="720"/>
      </w:pPr>
      <w:rPr>
        <w:rFonts w:hint="default"/>
      </w:rPr>
    </w:lvl>
    <w:lvl w:ilvl="3">
      <w:start w:val="1"/>
      <w:numFmt w:val="decimal"/>
      <w:lvlText w:val="%1.%2.%3.%4"/>
      <w:lvlJc w:val="left"/>
      <w:pPr>
        <w:tabs>
          <w:tab w:val="num" w:pos="979"/>
        </w:tabs>
        <w:ind w:left="979" w:hanging="864"/>
      </w:pPr>
      <w:rPr>
        <w:rFonts w:hint="default"/>
      </w:rPr>
    </w:lvl>
    <w:lvl w:ilvl="4">
      <w:start w:val="1"/>
      <w:numFmt w:val="decimal"/>
      <w:lvlText w:val="%1.%2.%3.%4.%5"/>
      <w:lvlJc w:val="left"/>
      <w:pPr>
        <w:tabs>
          <w:tab w:val="num" w:pos="1123"/>
        </w:tabs>
        <w:ind w:left="1123" w:hanging="1008"/>
      </w:pPr>
      <w:rPr>
        <w:rFonts w:hint="default"/>
      </w:rPr>
    </w:lvl>
    <w:lvl w:ilvl="5">
      <w:start w:val="1"/>
      <w:numFmt w:val="decimal"/>
      <w:lvlText w:val="%1.%2.%3.%4.%5.%6"/>
      <w:lvlJc w:val="left"/>
      <w:pPr>
        <w:tabs>
          <w:tab w:val="num" w:pos="1267"/>
        </w:tabs>
        <w:ind w:left="1267" w:hanging="1152"/>
      </w:pPr>
      <w:rPr>
        <w:rFonts w:hint="default"/>
      </w:rPr>
    </w:lvl>
    <w:lvl w:ilvl="6">
      <w:start w:val="1"/>
      <w:numFmt w:val="decimal"/>
      <w:pStyle w:val="Heading7"/>
      <w:lvlText w:val="%1.%2.%3.%4.%5.%6.%7"/>
      <w:lvlJc w:val="left"/>
      <w:pPr>
        <w:tabs>
          <w:tab w:val="num" w:pos="1411"/>
        </w:tabs>
        <w:ind w:left="1411" w:hanging="1296"/>
      </w:pPr>
      <w:rPr>
        <w:rFonts w:hint="default"/>
      </w:rPr>
    </w:lvl>
    <w:lvl w:ilvl="7">
      <w:start w:val="1"/>
      <w:numFmt w:val="decimal"/>
      <w:pStyle w:val="Heading8"/>
      <w:lvlText w:val="%1.%2.%3.%4.%5.%6.%7.%8"/>
      <w:lvlJc w:val="left"/>
      <w:pPr>
        <w:tabs>
          <w:tab w:val="num" w:pos="1555"/>
        </w:tabs>
        <w:ind w:left="1555" w:hanging="1440"/>
      </w:pPr>
      <w:rPr>
        <w:rFonts w:hint="default"/>
      </w:rPr>
    </w:lvl>
    <w:lvl w:ilvl="8">
      <w:start w:val="1"/>
      <w:numFmt w:val="decimal"/>
      <w:pStyle w:val="Heading9"/>
      <w:lvlText w:val="%1.%2.%3.%4.%5.%6.%7.%8.%9"/>
      <w:lvlJc w:val="left"/>
      <w:pPr>
        <w:tabs>
          <w:tab w:val="num" w:pos="1699"/>
        </w:tabs>
        <w:ind w:left="1699" w:hanging="1584"/>
      </w:pPr>
      <w:rPr>
        <w:rFonts w:hint="default"/>
      </w:rPr>
    </w:lvl>
  </w:abstractNum>
  <w:abstractNum w:abstractNumId="24" w15:restartNumberingAfterBreak="0">
    <w:nsid w:val="42ED4F8E"/>
    <w:multiLevelType w:val="hybridMultilevel"/>
    <w:tmpl w:val="726E8394"/>
    <w:lvl w:ilvl="0" w:tplc="C2DA9C7C">
      <w:start w:val="1"/>
      <w:numFmt w:val="bullet"/>
      <w:pStyle w:val="Bulletedlist"/>
      <w:lvlText w:val=""/>
      <w:lvlJc w:val="left"/>
      <w:pPr>
        <w:tabs>
          <w:tab w:val="num" w:pos="725"/>
        </w:tabs>
        <w:ind w:left="725" w:hanging="360"/>
      </w:pPr>
      <w:rPr>
        <w:rFonts w:ascii="Symbol" w:hAnsi="Symbol" w:hint="default"/>
        <w:color w:val="auto"/>
      </w:rPr>
    </w:lvl>
    <w:lvl w:ilvl="1" w:tplc="04090001">
      <w:start w:val="1"/>
      <w:numFmt w:val="bullet"/>
      <w:lvlText w:val="o"/>
      <w:lvlJc w:val="left"/>
      <w:pPr>
        <w:tabs>
          <w:tab w:val="num" w:pos="1445"/>
        </w:tabs>
        <w:ind w:left="1445" w:hanging="360"/>
      </w:pPr>
      <w:rPr>
        <w:rFonts w:ascii="Courier New" w:hAnsi="Courier New" w:hint="default"/>
      </w:rPr>
    </w:lvl>
    <w:lvl w:ilvl="2" w:tplc="FFFFFFFF" w:tentative="1">
      <w:start w:val="1"/>
      <w:numFmt w:val="bullet"/>
      <w:lvlText w:val=""/>
      <w:lvlJc w:val="left"/>
      <w:pPr>
        <w:tabs>
          <w:tab w:val="num" w:pos="2165"/>
        </w:tabs>
        <w:ind w:left="2165" w:hanging="360"/>
      </w:pPr>
      <w:rPr>
        <w:rFonts w:ascii="Wingdings" w:hAnsi="Wingdings" w:hint="default"/>
      </w:rPr>
    </w:lvl>
    <w:lvl w:ilvl="3" w:tplc="FFFFFFFF" w:tentative="1">
      <w:start w:val="1"/>
      <w:numFmt w:val="bullet"/>
      <w:lvlText w:val=""/>
      <w:lvlJc w:val="left"/>
      <w:pPr>
        <w:tabs>
          <w:tab w:val="num" w:pos="2885"/>
        </w:tabs>
        <w:ind w:left="2885" w:hanging="360"/>
      </w:pPr>
      <w:rPr>
        <w:rFonts w:ascii="Symbol" w:hAnsi="Symbol" w:hint="default"/>
      </w:rPr>
    </w:lvl>
    <w:lvl w:ilvl="4" w:tplc="FFFFFFFF" w:tentative="1">
      <w:start w:val="1"/>
      <w:numFmt w:val="bullet"/>
      <w:lvlText w:val="o"/>
      <w:lvlJc w:val="left"/>
      <w:pPr>
        <w:tabs>
          <w:tab w:val="num" w:pos="3605"/>
        </w:tabs>
        <w:ind w:left="3605" w:hanging="360"/>
      </w:pPr>
      <w:rPr>
        <w:rFonts w:ascii="Courier New" w:hAnsi="Courier New" w:hint="default"/>
      </w:rPr>
    </w:lvl>
    <w:lvl w:ilvl="5" w:tplc="FFFFFFFF" w:tentative="1">
      <w:start w:val="1"/>
      <w:numFmt w:val="bullet"/>
      <w:lvlText w:val=""/>
      <w:lvlJc w:val="left"/>
      <w:pPr>
        <w:tabs>
          <w:tab w:val="num" w:pos="4325"/>
        </w:tabs>
        <w:ind w:left="4325" w:hanging="360"/>
      </w:pPr>
      <w:rPr>
        <w:rFonts w:ascii="Wingdings" w:hAnsi="Wingdings" w:hint="default"/>
      </w:rPr>
    </w:lvl>
    <w:lvl w:ilvl="6" w:tplc="FFFFFFFF" w:tentative="1">
      <w:start w:val="1"/>
      <w:numFmt w:val="bullet"/>
      <w:lvlText w:val=""/>
      <w:lvlJc w:val="left"/>
      <w:pPr>
        <w:tabs>
          <w:tab w:val="num" w:pos="5045"/>
        </w:tabs>
        <w:ind w:left="5045" w:hanging="360"/>
      </w:pPr>
      <w:rPr>
        <w:rFonts w:ascii="Symbol" w:hAnsi="Symbol" w:hint="default"/>
      </w:rPr>
    </w:lvl>
    <w:lvl w:ilvl="7" w:tplc="FFFFFFFF" w:tentative="1">
      <w:start w:val="1"/>
      <w:numFmt w:val="bullet"/>
      <w:lvlText w:val="o"/>
      <w:lvlJc w:val="left"/>
      <w:pPr>
        <w:tabs>
          <w:tab w:val="num" w:pos="5765"/>
        </w:tabs>
        <w:ind w:left="5765" w:hanging="360"/>
      </w:pPr>
      <w:rPr>
        <w:rFonts w:ascii="Courier New" w:hAnsi="Courier New" w:hint="default"/>
      </w:rPr>
    </w:lvl>
    <w:lvl w:ilvl="8" w:tplc="FFFFFFFF" w:tentative="1">
      <w:start w:val="1"/>
      <w:numFmt w:val="bullet"/>
      <w:lvlText w:val=""/>
      <w:lvlJc w:val="left"/>
      <w:pPr>
        <w:tabs>
          <w:tab w:val="num" w:pos="6485"/>
        </w:tabs>
        <w:ind w:left="6485" w:hanging="360"/>
      </w:pPr>
      <w:rPr>
        <w:rFonts w:ascii="Wingdings" w:hAnsi="Wingdings" w:hint="default"/>
      </w:rPr>
    </w:lvl>
  </w:abstractNum>
  <w:abstractNum w:abstractNumId="25" w15:restartNumberingAfterBreak="0">
    <w:nsid w:val="47683071"/>
    <w:multiLevelType w:val="hybridMultilevel"/>
    <w:tmpl w:val="48485978"/>
    <w:lvl w:ilvl="0" w:tplc="463CD996">
      <w:start w:val="1"/>
      <w:numFmt w:val="decimal"/>
      <w:lvlText w:val="%1."/>
      <w:lvlJc w:val="left"/>
      <w:pPr>
        <w:tabs>
          <w:tab w:val="num" w:pos="360"/>
        </w:tabs>
        <w:ind w:left="360" w:hanging="360"/>
      </w:pPr>
      <w:rPr>
        <w:rFonts w:ascii="Verdana" w:hAnsi="Verdana" w:hint="default"/>
        <w:sz w:val="20"/>
        <w:szCs w:val="16"/>
      </w:rPr>
    </w:lvl>
    <w:lvl w:ilvl="1" w:tplc="0409000F">
      <w:start w:val="1"/>
      <w:numFmt w:val="decimal"/>
      <w:lvlText w:val="%2."/>
      <w:lvlJc w:val="left"/>
      <w:pPr>
        <w:tabs>
          <w:tab w:val="num" w:pos="1440"/>
        </w:tabs>
        <w:ind w:left="1440" w:hanging="360"/>
      </w:pPr>
      <w:rPr>
        <w:rFonts w:hint="default"/>
        <w:sz w:val="16"/>
        <w:szCs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6407A6"/>
    <w:multiLevelType w:val="hybridMultilevel"/>
    <w:tmpl w:val="553EC48A"/>
    <w:lvl w:ilvl="0" w:tplc="C3FA01F0">
      <w:start w:val="1"/>
      <w:numFmt w:val="decimal"/>
      <w:pStyle w:val="TOC1"/>
      <w:lvlText w:val="%1"/>
      <w:lvlJc w:val="left"/>
      <w:pPr>
        <w:tabs>
          <w:tab w:val="num" w:pos="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1C10E9"/>
    <w:multiLevelType w:val="hybridMultilevel"/>
    <w:tmpl w:val="E9446C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E52EAFF4">
      <w:numFmt w:val="bullet"/>
      <w:lvlText w:val="•"/>
      <w:lvlJc w:val="left"/>
      <w:pPr>
        <w:ind w:left="2880" w:hanging="720"/>
      </w:pPr>
      <w:rPr>
        <w:rFonts w:ascii="Tahoma" w:eastAsia="Times New Roman" w:hAnsi="Tahoma" w:cs="Tahoma"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79C534A"/>
    <w:multiLevelType w:val="hybridMultilevel"/>
    <w:tmpl w:val="0FA0EE00"/>
    <w:lvl w:ilvl="0" w:tplc="C2DA9C7C">
      <w:numFmt w:val="bullet"/>
      <w:lvlText w:val="•"/>
      <w:lvlJc w:val="left"/>
      <w:pPr>
        <w:ind w:left="1080" w:hanging="720"/>
      </w:pPr>
      <w:rPr>
        <w:rFonts w:ascii="Tahoma" w:eastAsia="Times New Roman" w:hAnsi="Tahoma" w:cs="Tahoma" w:hint="default"/>
      </w:rPr>
    </w:lvl>
    <w:lvl w:ilvl="1" w:tplc="04090001"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26B6E46"/>
    <w:multiLevelType w:val="hybridMultilevel"/>
    <w:tmpl w:val="AA3E944A"/>
    <w:lvl w:ilvl="0" w:tplc="C2DA9C7C">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064C2F"/>
    <w:multiLevelType w:val="hybridMultilevel"/>
    <w:tmpl w:val="C8E4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76D8E"/>
    <w:multiLevelType w:val="hybridMultilevel"/>
    <w:tmpl w:val="62640272"/>
    <w:lvl w:ilvl="0" w:tplc="28883E34">
      <w:start w:val="1"/>
      <w:numFmt w:val="bullet"/>
      <w:pStyle w:val="BulletedListIndent2"/>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A52903"/>
    <w:multiLevelType w:val="hybridMultilevel"/>
    <w:tmpl w:val="1A34A406"/>
    <w:lvl w:ilvl="0" w:tplc="463CD996">
      <w:start w:val="1"/>
      <w:numFmt w:val="decimal"/>
      <w:lvlText w:val="%1."/>
      <w:lvlJc w:val="left"/>
      <w:pPr>
        <w:ind w:left="360" w:hanging="360"/>
      </w:pPr>
      <w:rPr>
        <w:rFonts w:ascii="Verdana" w:hAnsi="Verdana" w:hint="default"/>
        <w:sz w:val="20"/>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D354E66"/>
    <w:multiLevelType w:val="hybridMultilevel"/>
    <w:tmpl w:val="D6341B00"/>
    <w:lvl w:ilvl="0" w:tplc="378A39E2">
      <w:start w:val="1"/>
      <w:numFmt w:val="bullet"/>
      <w:pStyle w:val="BulletedList0"/>
      <w:lvlText w:val=""/>
      <w:lvlJc w:val="left"/>
      <w:pPr>
        <w:tabs>
          <w:tab w:val="num" w:pos="360"/>
        </w:tabs>
        <w:ind w:left="360" w:hanging="360"/>
      </w:pPr>
      <w:rPr>
        <w:rFonts w:ascii="Symbol" w:hAnsi="Symbol" w:hint="default"/>
        <w:sz w:val="20"/>
        <w:szCs w:val="18"/>
      </w:rPr>
    </w:lvl>
    <w:lvl w:ilvl="1" w:tplc="31B43296">
      <w:start w:val="1"/>
      <w:numFmt w:val="decimal"/>
      <w:lvlText w:val="%2."/>
      <w:lvlJc w:val="left"/>
      <w:pPr>
        <w:tabs>
          <w:tab w:val="num" w:pos="1080"/>
        </w:tabs>
        <w:ind w:left="1080" w:hanging="360"/>
      </w:pPr>
      <w:rPr>
        <w:rFonts w:ascii="Verdana" w:hAnsi="Verdana" w:hint="default"/>
        <w:sz w:val="16"/>
        <w:szCs w:val="16"/>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45E7DFA"/>
    <w:multiLevelType w:val="hybridMultilevel"/>
    <w:tmpl w:val="6632E25A"/>
    <w:lvl w:ilvl="0" w:tplc="3954A8A2">
      <w:start w:val="1"/>
      <w:numFmt w:val="bullet"/>
      <w:lvlText w:val=""/>
      <w:lvlPicBulletId w:val="0"/>
      <w:lvlJc w:val="left"/>
      <w:pPr>
        <w:tabs>
          <w:tab w:val="num" w:pos="720"/>
        </w:tabs>
        <w:ind w:left="720" w:hanging="360"/>
      </w:pPr>
      <w:rPr>
        <w:rFonts w:ascii="Symbol" w:hAnsi="Symbol" w:hint="default"/>
      </w:rPr>
    </w:lvl>
    <w:lvl w:ilvl="1" w:tplc="C4EACBEA">
      <w:start w:val="1"/>
      <w:numFmt w:val="bullet"/>
      <w:lvlText w:val=""/>
      <w:lvlPicBulletId w:val="0"/>
      <w:lvlJc w:val="left"/>
      <w:pPr>
        <w:tabs>
          <w:tab w:val="num" w:pos="1440"/>
        </w:tabs>
        <w:ind w:left="1440" w:hanging="360"/>
      </w:pPr>
      <w:rPr>
        <w:rFonts w:ascii="Symbol" w:hAnsi="Symbol" w:hint="default"/>
      </w:rPr>
    </w:lvl>
    <w:lvl w:ilvl="2" w:tplc="61E4DD7E" w:tentative="1">
      <w:start w:val="1"/>
      <w:numFmt w:val="bullet"/>
      <w:lvlText w:val=""/>
      <w:lvlPicBulletId w:val="0"/>
      <w:lvlJc w:val="left"/>
      <w:pPr>
        <w:tabs>
          <w:tab w:val="num" w:pos="2160"/>
        </w:tabs>
        <w:ind w:left="2160" w:hanging="360"/>
      </w:pPr>
      <w:rPr>
        <w:rFonts w:ascii="Symbol" w:hAnsi="Symbol" w:hint="default"/>
      </w:rPr>
    </w:lvl>
    <w:lvl w:ilvl="3" w:tplc="B29213C6" w:tentative="1">
      <w:start w:val="1"/>
      <w:numFmt w:val="bullet"/>
      <w:lvlText w:val=""/>
      <w:lvlPicBulletId w:val="0"/>
      <w:lvlJc w:val="left"/>
      <w:pPr>
        <w:tabs>
          <w:tab w:val="num" w:pos="2880"/>
        </w:tabs>
        <w:ind w:left="2880" w:hanging="360"/>
      </w:pPr>
      <w:rPr>
        <w:rFonts w:ascii="Symbol" w:hAnsi="Symbol" w:hint="default"/>
      </w:rPr>
    </w:lvl>
    <w:lvl w:ilvl="4" w:tplc="FAA05A0A" w:tentative="1">
      <w:start w:val="1"/>
      <w:numFmt w:val="bullet"/>
      <w:lvlText w:val=""/>
      <w:lvlPicBulletId w:val="0"/>
      <w:lvlJc w:val="left"/>
      <w:pPr>
        <w:tabs>
          <w:tab w:val="num" w:pos="3600"/>
        </w:tabs>
        <w:ind w:left="3600" w:hanging="360"/>
      </w:pPr>
      <w:rPr>
        <w:rFonts w:ascii="Symbol" w:hAnsi="Symbol" w:hint="default"/>
      </w:rPr>
    </w:lvl>
    <w:lvl w:ilvl="5" w:tplc="BF804A20" w:tentative="1">
      <w:start w:val="1"/>
      <w:numFmt w:val="bullet"/>
      <w:lvlText w:val=""/>
      <w:lvlPicBulletId w:val="0"/>
      <w:lvlJc w:val="left"/>
      <w:pPr>
        <w:tabs>
          <w:tab w:val="num" w:pos="4320"/>
        </w:tabs>
        <w:ind w:left="4320" w:hanging="360"/>
      </w:pPr>
      <w:rPr>
        <w:rFonts w:ascii="Symbol" w:hAnsi="Symbol" w:hint="default"/>
      </w:rPr>
    </w:lvl>
    <w:lvl w:ilvl="6" w:tplc="1164997C" w:tentative="1">
      <w:start w:val="1"/>
      <w:numFmt w:val="bullet"/>
      <w:lvlText w:val=""/>
      <w:lvlPicBulletId w:val="0"/>
      <w:lvlJc w:val="left"/>
      <w:pPr>
        <w:tabs>
          <w:tab w:val="num" w:pos="5040"/>
        </w:tabs>
        <w:ind w:left="5040" w:hanging="360"/>
      </w:pPr>
      <w:rPr>
        <w:rFonts w:ascii="Symbol" w:hAnsi="Symbol" w:hint="default"/>
      </w:rPr>
    </w:lvl>
    <w:lvl w:ilvl="7" w:tplc="C8CCE43C" w:tentative="1">
      <w:start w:val="1"/>
      <w:numFmt w:val="bullet"/>
      <w:lvlText w:val=""/>
      <w:lvlPicBulletId w:val="0"/>
      <w:lvlJc w:val="left"/>
      <w:pPr>
        <w:tabs>
          <w:tab w:val="num" w:pos="5760"/>
        </w:tabs>
        <w:ind w:left="5760" w:hanging="360"/>
      </w:pPr>
      <w:rPr>
        <w:rFonts w:ascii="Symbol" w:hAnsi="Symbol" w:hint="default"/>
      </w:rPr>
    </w:lvl>
    <w:lvl w:ilvl="8" w:tplc="7E76FC9C"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760F64EB"/>
    <w:multiLevelType w:val="hybridMultilevel"/>
    <w:tmpl w:val="2126085C"/>
    <w:lvl w:ilvl="0" w:tplc="ED16E81C">
      <w:start w:val="1"/>
      <w:numFmt w:val="upperLetter"/>
      <w:pStyle w:val="Heading6"/>
      <w:lvlText w:val="%1"/>
      <w:lvlJc w:val="left"/>
      <w:pPr>
        <w:ind w:left="360" w:hanging="360"/>
      </w:pPr>
      <w:rPr>
        <w:rFonts w:ascii="Verdana" w:hAnsi="Verdana" w:cs="Times New Roman" w:hint="default"/>
        <w:b/>
        <w:bCs w:val="0"/>
        <w:i w:val="0"/>
        <w:iCs w:val="0"/>
        <w:smallCaps w:val="0"/>
        <w:strike w:val="0"/>
        <w:dstrike w:val="0"/>
        <w:noProof w:val="0"/>
        <w:vanish w:val="0"/>
        <w:color w:val="808080" w:themeColor="background1" w:themeShade="80"/>
        <w:spacing w:val="0"/>
        <w:kern w:val="0"/>
        <w:position w:val="0"/>
        <w:sz w:val="22"/>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A9671F"/>
    <w:multiLevelType w:val="hybridMultilevel"/>
    <w:tmpl w:val="B8E6FE4E"/>
    <w:lvl w:ilvl="0" w:tplc="36E2E92C">
      <w:start w:val="1"/>
      <w:numFmt w:val="decimal"/>
      <w:pStyle w:val="NumberedList"/>
      <w:lvlText w:val="%1."/>
      <w:lvlJc w:val="left"/>
      <w:pPr>
        <w:tabs>
          <w:tab w:val="num" w:pos="360"/>
        </w:tabs>
        <w:ind w:left="360" w:hanging="360"/>
      </w:pPr>
      <w:rPr>
        <w:rFonts w:ascii="Verdana" w:hAnsi="Verdana" w:hint="default"/>
        <w:sz w:val="20"/>
        <w:szCs w:val="16"/>
      </w:rPr>
    </w:lvl>
    <w:lvl w:ilvl="1" w:tplc="0409000F">
      <w:start w:val="1"/>
      <w:numFmt w:val="decimal"/>
      <w:lvlText w:val="%2."/>
      <w:lvlJc w:val="left"/>
      <w:pPr>
        <w:tabs>
          <w:tab w:val="num" w:pos="1440"/>
        </w:tabs>
        <w:ind w:left="1440" w:hanging="360"/>
      </w:pPr>
      <w:rPr>
        <w:rFonts w:hint="default"/>
        <w:sz w:val="16"/>
        <w:szCs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B5E1B60"/>
    <w:multiLevelType w:val="hybridMultilevel"/>
    <w:tmpl w:val="5D8C4888"/>
    <w:lvl w:ilvl="0" w:tplc="28883E34">
      <w:start w:val="1"/>
      <w:numFmt w:val="bullet"/>
      <w:pStyle w:val="Bulletlistindent1"/>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E52EAFF4">
      <w:numFmt w:val="bullet"/>
      <w:lvlText w:val="•"/>
      <w:lvlJc w:val="left"/>
      <w:pPr>
        <w:ind w:left="2880" w:hanging="720"/>
      </w:pPr>
      <w:rPr>
        <w:rFonts w:ascii="Tahoma" w:eastAsia="Times New Roman" w:hAnsi="Tahoma" w:cs="Tahoma"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3"/>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26"/>
  </w:num>
  <w:num w:numId="15">
    <w:abstractNumId w:val="11"/>
  </w:num>
  <w:num w:numId="16">
    <w:abstractNumId w:val="18"/>
  </w:num>
  <w:num w:numId="17">
    <w:abstractNumId w:val="35"/>
  </w:num>
  <w:num w:numId="18">
    <w:abstractNumId w:val="22"/>
  </w:num>
  <w:num w:numId="19">
    <w:abstractNumId w:val="19"/>
  </w:num>
  <w:num w:numId="20">
    <w:abstractNumId w:val="17"/>
  </w:num>
  <w:num w:numId="21">
    <w:abstractNumId w:val="32"/>
  </w:num>
  <w:num w:numId="22">
    <w:abstractNumId w:val="36"/>
  </w:num>
  <w:num w:numId="23">
    <w:abstractNumId w:val="31"/>
  </w:num>
  <w:num w:numId="24">
    <w:abstractNumId w:val="14"/>
  </w:num>
  <w:num w:numId="25">
    <w:abstractNumId w:val="36"/>
    <w:lvlOverride w:ilvl="0">
      <w:startOverride w:val="1"/>
    </w:lvlOverride>
  </w:num>
  <w:num w:numId="26">
    <w:abstractNumId w:val="24"/>
  </w:num>
  <w:num w:numId="27">
    <w:abstractNumId w:val="37"/>
  </w:num>
  <w:num w:numId="28">
    <w:abstractNumId w:val="21"/>
  </w:num>
  <w:num w:numId="29">
    <w:abstractNumId w:val="12"/>
  </w:num>
  <w:num w:numId="30">
    <w:abstractNumId w:val="27"/>
  </w:num>
  <w:num w:numId="31">
    <w:abstractNumId w:val="33"/>
  </w:num>
  <w:num w:numId="32">
    <w:abstractNumId w:val="28"/>
  </w:num>
  <w:num w:numId="33">
    <w:abstractNumId w:val="13"/>
  </w:num>
  <w:num w:numId="34">
    <w:abstractNumId w:val="29"/>
  </w:num>
  <w:num w:numId="35">
    <w:abstractNumId w:val="15"/>
  </w:num>
  <w:num w:numId="36">
    <w:abstractNumId w:val="30"/>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0"/>
  </w:num>
  <w:num w:numId="40">
    <w:abstractNumId w:val="34"/>
  </w:num>
  <w:num w:numId="41">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rawingGridVerticalSpacing w:val="14"/>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3AC"/>
    <w:rsid w:val="00001E90"/>
    <w:rsid w:val="00004CE5"/>
    <w:rsid w:val="00006250"/>
    <w:rsid w:val="000065E1"/>
    <w:rsid w:val="00006849"/>
    <w:rsid w:val="0001239A"/>
    <w:rsid w:val="00012DF2"/>
    <w:rsid w:val="00013147"/>
    <w:rsid w:val="00014CCF"/>
    <w:rsid w:val="0001644E"/>
    <w:rsid w:val="0001703F"/>
    <w:rsid w:val="00020372"/>
    <w:rsid w:val="000251CE"/>
    <w:rsid w:val="00030BD7"/>
    <w:rsid w:val="00031CA9"/>
    <w:rsid w:val="000345F2"/>
    <w:rsid w:val="00034D03"/>
    <w:rsid w:val="00042BC1"/>
    <w:rsid w:val="000513AC"/>
    <w:rsid w:val="00056237"/>
    <w:rsid w:val="00056B58"/>
    <w:rsid w:val="0005755C"/>
    <w:rsid w:val="0006097D"/>
    <w:rsid w:val="000626BF"/>
    <w:rsid w:val="00062C43"/>
    <w:rsid w:val="0006362F"/>
    <w:rsid w:val="000645B9"/>
    <w:rsid w:val="00065DD0"/>
    <w:rsid w:val="00067F6E"/>
    <w:rsid w:val="000700B6"/>
    <w:rsid w:val="00070E6C"/>
    <w:rsid w:val="00071AA0"/>
    <w:rsid w:val="000721A2"/>
    <w:rsid w:val="00072331"/>
    <w:rsid w:val="0007342F"/>
    <w:rsid w:val="00076B0A"/>
    <w:rsid w:val="0007775A"/>
    <w:rsid w:val="00080540"/>
    <w:rsid w:val="0008482C"/>
    <w:rsid w:val="00084E5A"/>
    <w:rsid w:val="00085E04"/>
    <w:rsid w:val="00087A50"/>
    <w:rsid w:val="00087E05"/>
    <w:rsid w:val="00090967"/>
    <w:rsid w:val="000923FB"/>
    <w:rsid w:val="00092BAB"/>
    <w:rsid w:val="000939B7"/>
    <w:rsid w:val="00095D24"/>
    <w:rsid w:val="0009613D"/>
    <w:rsid w:val="000A28E9"/>
    <w:rsid w:val="000A3EC7"/>
    <w:rsid w:val="000A4B5B"/>
    <w:rsid w:val="000A7571"/>
    <w:rsid w:val="000B03CF"/>
    <w:rsid w:val="000B500C"/>
    <w:rsid w:val="000B564B"/>
    <w:rsid w:val="000B5DDF"/>
    <w:rsid w:val="000B6DE8"/>
    <w:rsid w:val="000D00BE"/>
    <w:rsid w:val="000D261D"/>
    <w:rsid w:val="000D2FB6"/>
    <w:rsid w:val="000D3019"/>
    <w:rsid w:val="000D30A8"/>
    <w:rsid w:val="000D3152"/>
    <w:rsid w:val="000D3554"/>
    <w:rsid w:val="000D470C"/>
    <w:rsid w:val="000E039A"/>
    <w:rsid w:val="000E0598"/>
    <w:rsid w:val="000E2224"/>
    <w:rsid w:val="000E380A"/>
    <w:rsid w:val="000E512F"/>
    <w:rsid w:val="000E73C8"/>
    <w:rsid w:val="000F04E2"/>
    <w:rsid w:val="000F3259"/>
    <w:rsid w:val="000F4CA5"/>
    <w:rsid w:val="001003C0"/>
    <w:rsid w:val="001009A7"/>
    <w:rsid w:val="00103A85"/>
    <w:rsid w:val="00104EE6"/>
    <w:rsid w:val="00111CBE"/>
    <w:rsid w:val="00112262"/>
    <w:rsid w:val="00114296"/>
    <w:rsid w:val="001147F7"/>
    <w:rsid w:val="00115DD0"/>
    <w:rsid w:val="00117D1B"/>
    <w:rsid w:val="00120E5A"/>
    <w:rsid w:val="001250B9"/>
    <w:rsid w:val="00125362"/>
    <w:rsid w:val="001259EB"/>
    <w:rsid w:val="00125F3F"/>
    <w:rsid w:val="00126804"/>
    <w:rsid w:val="00126CA6"/>
    <w:rsid w:val="00132BB4"/>
    <w:rsid w:val="001332EC"/>
    <w:rsid w:val="00141419"/>
    <w:rsid w:val="00144C38"/>
    <w:rsid w:val="00144F91"/>
    <w:rsid w:val="001522E3"/>
    <w:rsid w:val="00157088"/>
    <w:rsid w:val="00157E2A"/>
    <w:rsid w:val="001629CB"/>
    <w:rsid w:val="001635E5"/>
    <w:rsid w:val="001648F8"/>
    <w:rsid w:val="001659B9"/>
    <w:rsid w:val="00167B97"/>
    <w:rsid w:val="00170C8B"/>
    <w:rsid w:val="00170CF8"/>
    <w:rsid w:val="00170EF2"/>
    <w:rsid w:val="00170FF1"/>
    <w:rsid w:val="0017103B"/>
    <w:rsid w:val="00173579"/>
    <w:rsid w:val="001752EB"/>
    <w:rsid w:val="001756F7"/>
    <w:rsid w:val="00175BC2"/>
    <w:rsid w:val="0017672B"/>
    <w:rsid w:val="00183DFE"/>
    <w:rsid w:val="00184364"/>
    <w:rsid w:val="00184D00"/>
    <w:rsid w:val="001879D6"/>
    <w:rsid w:val="001914B5"/>
    <w:rsid w:val="001941C2"/>
    <w:rsid w:val="0019686A"/>
    <w:rsid w:val="001A0079"/>
    <w:rsid w:val="001A0383"/>
    <w:rsid w:val="001A4998"/>
    <w:rsid w:val="001A5519"/>
    <w:rsid w:val="001A66EE"/>
    <w:rsid w:val="001A6E5F"/>
    <w:rsid w:val="001B1F7B"/>
    <w:rsid w:val="001B22C7"/>
    <w:rsid w:val="001B53DA"/>
    <w:rsid w:val="001B77D4"/>
    <w:rsid w:val="001C58F5"/>
    <w:rsid w:val="001C6DD0"/>
    <w:rsid w:val="001C74BB"/>
    <w:rsid w:val="001C7792"/>
    <w:rsid w:val="001C78AD"/>
    <w:rsid w:val="001C7B63"/>
    <w:rsid w:val="001D0B61"/>
    <w:rsid w:val="001D2529"/>
    <w:rsid w:val="001D2A8D"/>
    <w:rsid w:val="001D3B0B"/>
    <w:rsid w:val="001D6107"/>
    <w:rsid w:val="001D615B"/>
    <w:rsid w:val="001D66AB"/>
    <w:rsid w:val="001D6E21"/>
    <w:rsid w:val="001D7982"/>
    <w:rsid w:val="001E1315"/>
    <w:rsid w:val="001E2270"/>
    <w:rsid w:val="001E33F6"/>
    <w:rsid w:val="001E54DC"/>
    <w:rsid w:val="001E5661"/>
    <w:rsid w:val="001E57DA"/>
    <w:rsid w:val="001F3A53"/>
    <w:rsid w:val="001F3DC7"/>
    <w:rsid w:val="001F5029"/>
    <w:rsid w:val="00207907"/>
    <w:rsid w:val="002171D7"/>
    <w:rsid w:val="002178DA"/>
    <w:rsid w:val="00222776"/>
    <w:rsid w:val="002227E6"/>
    <w:rsid w:val="00223CE2"/>
    <w:rsid w:val="00224652"/>
    <w:rsid w:val="002251B8"/>
    <w:rsid w:val="00225883"/>
    <w:rsid w:val="00226B92"/>
    <w:rsid w:val="002334B1"/>
    <w:rsid w:val="002342AF"/>
    <w:rsid w:val="0024017D"/>
    <w:rsid w:val="00242747"/>
    <w:rsid w:val="00242987"/>
    <w:rsid w:val="0024451F"/>
    <w:rsid w:val="002447E6"/>
    <w:rsid w:val="002452D2"/>
    <w:rsid w:val="002535C4"/>
    <w:rsid w:val="00261E92"/>
    <w:rsid w:val="00264357"/>
    <w:rsid w:val="00265004"/>
    <w:rsid w:val="00267026"/>
    <w:rsid w:val="00273F88"/>
    <w:rsid w:val="00274498"/>
    <w:rsid w:val="002744C4"/>
    <w:rsid w:val="00274E20"/>
    <w:rsid w:val="00275F1A"/>
    <w:rsid w:val="00277564"/>
    <w:rsid w:val="00277E32"/>
    <w:rsid w:val="00280628"/>
    <w:rsid w:val="0028101B"/>
    <w:rsid w:val="002812B9"/>
    <w:rsid w:val="0028245F"/>
    <w:rsid w:val="00283424"/>
    <w:rsid w:val="00283429"/>
    <w:rsid w:val="00283B9F"/>
    <w:rsid w:val="00284D7C"/>
    <w:rsid w:val="002900CD"/>
    <w:rsid w:val="00291988"/>
    <w:rsid w:val="0029418A"/>
    <w:rsid w:val="00295DC0"/>
    <w:rsid w:val="002A0145"/>
    <w:rsid w:val="002A2FF9"/>
    <w:rsid w:val="002A41A1"/>
    <w:rsid w:val="002A579A"/>
    <w:rsid w:val="002B1A0C"/>
    <w:rsid w:val="002B41DF"/>
    <w:rsid w:val="002B6ADE"/>
    <w:rsid w:val="002B6DB1"/>
    <w:rsid w:val="002B70F5"/>
    <w:rsid w:val="002B795A"/>
    <w:rsid w:val="002C1F25"/>
    <w:rsid w:val="002D0700"/>
    <w:rsid w:val="002D3C0E"/>
    <w:rsid w:val="002D5A87"/>
    <w:rsid w:val="002D7FCF"/>
    <w:rsid w:val="002E0104"/>
    <w:rsid w:val="002E1393"/>
    <w:rsid w:val="002E25DA"/>
    <w:rsid w:val="002E2D25"/>
    <w:rsid w:val="002E3F7D"/>
    <w:rsid w:val="002E5B78"/>
    <w:rsid w:val="002F06B7"/>
    <w:rsid w:val="002F1331"/>
    <w:rsid w:val="002F144B"/>
    <w:rsid w:val="002F33BC"/>
    <w:rsid w:val="002F638E"/>
    <w:rsid w:val="00301359"/>
    <w:rsid w:val="003026B1"/>
    <w:rsid w:val="003051B0"/>
    <w:rsid w:val="00310204"/>
    <w:rsid w:val="003110A8"/>
    <w:rsid w:val="00311BCC"/>
    <w:rsid w:val="00313456"/>
    <w:rsid w:val="00320E65"/>
    <w:rsid w:val="00323AA2"/>
    <w:rsid w:val="0032475F"/>
    <w:rsid w:val="00324E7D"/>
    <w:rsid w:val="00325AAC"/>
    <w:rsid w:val="003273BD"/>
    <w:rsid w:val="00330765"/>
    <w:rsid w:val="0033125D"/>
    <w:rsid w:val="003319FB"/>
    <w:rsid w:val="00331CD2"/>
    <w:rsid w:val="003331CB"/>
    <w:rsid w:val="00335036"/>
    <w:rsid w:val="00335C0D"/>
    <w:rsid w:val="003405E4"/>
    <w:rsid w:val="0034194B"/>
    <w:rsid w:val="003456B9"/>
    <w:rsid w:val="00350EC0"/>
    <w:rsid w:val="00351A80"/>
    <w:rsid w:val="003527ED"/>
    <w:rsid w:val="00354B11"/>
    <w:rsid w:val="003570DF"/>
    <w:rsid w:val="003600E1"/>
    <w:rsid w:val="00360CFC"/>
    <w:rsid w:val="003621AF"/>
    <w:rsid w:val="003627AC"/>
    <w:rsid w:val="00362F73"/>
    <w:rsid w:val="00363180"/>
    <w:rsid w:val="00365C82"/>
    <w:rsid w:val="00366188"/>
    <w:rsid w:val="00367D0E"/>
    <w:rsid w:val="0037110F"/>
    <w:rsid w:val="003713CE"/>
    <w:rsid w:val="00371EE5"/>
    <w:rsid w:val="003752AB"/>
    <w:rsid w:val="003754EB"/>
    <w:rsid w:val="00376A12"/>
    <w:rsid w:val="00376F6A"/>
    <w:rsid w:val="00380738"/>
    <w:rsid w:val="00381109"/>
    <w:rsid w:val="00383A68"/>
    <w:rsid w:val="0039017A"/>
    <w:rsid w:val="00391D61"/>
    <w:rsid w:val="00393DAE"/>
    <w:rsid w:val="00393EDE"/>
    <w:rsid w:val="003940D2"/>
    <w:rsid w:val="00396D6D"/>
    <w:rsid w:val="003975B6"/>
    <w:rsid w:val="003A0741"/>
    <w:rsid w:val="003A450B"/>
    <w:rsid w:val="003A5535"/>
    <w:rsid w:val="003A6C57"/>
    <w:rsid w:val="003A7F74"/>
    <w:rsid w:val="003B2722"/>
    <w:rsid w:val="003B2D57"/>
    <w:rsid w:val="003B3FDC"/>
    <w:rsid w:val="003B6CF7"/>
    <w:rsid w:val="003C2E02"/>
    <w:rsid w:val="003C32D1"/>
    <w:rsid w:val="003C44ED"/>
    <w:rsid w:val="003D3D72"/>
    <w:rsid w:val="003D4A00"/>
    <w:rsid w:val="003D56FB"/>
    <w:rsid w:val="003D622C"/>
    <w:rsid w:val="003D7CFC"/>
    <w:rsid w:val="003E2AF2"/>
    <w:rsid w:val="003E4D14"/>
    <w:rsid w:val="003E6268"/>
    <w:rsid w:val="003E7A1D"/>
    <w:rsid w:val="003F0A5B"/>
    <w:rsid w:val="003F0BD9"/>
    <w:rsid w:val="003F7D8B"/>
    <w:rsid w:val="004010A6"/>
    <w:rsid w:val="004014F9"/>
    <w:rsid w:val="004015AC"/>
    <w:rsid w:val="00403FB1"/>
    <w:rsid w:val="00404736"/>
    <w:rsid w:val="004048AF"/>
    <w:rsid w:val="00407265"/>
    <w:rsid w:val="00407A01"/>
    <w:rsid w:val="0041184B"/>
    <w:rsid w:val="004139A8"/>
    <w:rsid w:val="0041428D"/>
    <w:rsid w:val="00414BFE"/>
    <w:rsid w:val="004166E6"/>
    <w:rsid w:val="00421143"/>
    <w:rsid w:val="00421418"/>
    <w:rsid w:val="004219BC"/>
    <w:rsid w:val="004244A6"/>
    <w:rsid w:val="00424A9A"/>
    <w:rsid w:val="00424C18"/>
    <w:rsid w:val="004258DA"/>
    <w:rsid w:val="00426769"/>
    <w:rsid w:val="00426D99"/>
    <w:rsid w:val="00431472"/>
    <w:rsid w:val="004330A2"/>
    <w:rsid w:val="00433CA8"/>
    <w:rsid w:val="004359DE"/>
    <w:rsid w:val="0045496D"/>
    <w:rsid w:val="00456475"/>
    <w:rsid w:val="00457276"/>
    <w:rsid w:val="00463464"/>
    <w:rsid w:val="00466ED2"/>
    <w:rsid w:val="00467B53"/>
    <w:rsid w:val="00473AC8"/>
    <w:rsid w:val="00476DB9"/>
    <w:rsid w:val="00477A53"/>
    <w:rsid w:val="00481DC3"/>
    <w:rsid w:val="00482B2B"/>
    <w:rsid w:val="00484103"/>
    <w:rsid w:val="004847A3"/>
    <w:rsid w:val="00486B13"/>
    <w:rsid w:val="00487467"/>
    <w:rsid w:val="00490DBC"/>
    <w:rsid w:val="00491A4F"/>
    <w:rsid w:val="00492E25"/>
    <w:rsid w:val="0049565F"/>
    <w:rsid w:val="00496593"/>
    <w:rsid w:val="004A20DB"/>
    <w:rsid w:val="004A2E7F"/>
    <w:rsid w:val="004A6834"/>
    <w:rsid w:val="004B01D0"/>
    <w:rsid w:val="004B24D2"/>
    <w:rsid w:val="004B466A"/>
    <w:rsid w:val="004C0DD3"/>
    <w:rsid w:val="004C1F76"/>
    <w:rsid w:val="004C6B3F"/>
    <w:rsid w:val="004D1722"/>
    <w:rsid w:val="004D385F"/>
    <w:rsid w:val="004D7EE9"/>
    <w:rsid w:val="004E16D2"/>
    <w:rsid w:val="004E1AFC"/>
    <w:rsid w:val="004E4774"/>
    <w:rsid w:val="004E50D4"/>
    <w:rsid w:val="004E6DA7"/>
    <w:rsid w:val="004E70A6"/>
    <w:rsid w:val="004F371A"/>
    <w:rsid w:val="004F5D22"/>
    <w:rsid w:val="004F5D26"/>
    <w:rsid w:val="00500201"/>
    <w:rsid w:val="00500407"/>
    <w:rsid w:val="00500D80"/>
    <w:rsid w:val="00502CE0"/>
    <w:rsid w:val="00503726"/>
    <w:rsid w:val="005061C5"/>
    <w:rsid w:val="00512CD6"/>
    <w:rsid w:val="00513762"/>
    <w:rsid w:val="00514160"/>
    <w:rsid w:val="00514A5F"/>
    <w:rsid w:val="00515C94"/>
    <w:rsid w:val="00524158"/>
    <w:rsid w:val="005263BB"/>
    <w:rsid w:val="00527FA8"/>
    <w:rsid w:val="00533432"/>
    <w:rsid w:val="00533786"/>
    <w:rsid w:val="00534D78"/>
    <w:rsid w:val="00535EB3"/>
    <w:rsid w:val="00537672"/>
    <w:rsid w:val="00541701"/>
    <w:rsid w:val="00541F00"/>
    <w:rsid w:val="0054327B"/>
    <w:rsid w:val="00544B36"/>
    <w:rsid w:val="0055114B"/>
    <w:rsid w:val="005575E0"/>
    <w:rsid w:val="005610CA"/>
    <w:rsid w:val="005639C3"/>
    <w:rsid w:val="0056593B"/>
    <w:rsid w:val="00570468"/>
    <w:rsid w:val="0057103C"/>
    <w:rsid w:val="00574B31"/>
    <w:rsid w:val="0058020F"/>
    <w:rsid w:val="00581636"/>
    <w:rsid w:val="00582D3A"/>
    <w:rsid w:val="00583848"/>
    <w:rsid w:val="00584417"/>
    <w:rsid w:val="0058492A"/>
    <w:rsid w:val="005868D4"/>
    <w:rsid w:val="00586F1C"/>
    <w:rsid w:val="0058757D"/>
    <w:rsid w:val="00590EBD"/>
    <w:rsid w:val="005928EF"/>
    <w:rsid w:val="00594493"/>
    <w:rsid w:val="00596094"/>
    <w:rsid w:val="00596285"/>
    <w:rsid w:val="00596864"/>
    <w:rsid w:val="00596C86"/>
    <w:rsid w:val="005A0025"/>
    <w:rsid w:val="005A1DD9"/>
    <w:rsid w:val="005A259E"/>
    <w:rsid w:val="005A37B7"/>
    <w:rsid w:val="005A722C"/>
    <w:rsid w:val="005B269B"/>
    <w:rsid w:val="005B52EC"/>
    <w:rsid w:val="005B67C1"/>
    <w:rsid w:val="005C4A03"/>
    <w:rsid w:val="005D2487"/>
    <w:rsid w:val="005D457A"/>
    <w:rsid w:val="005D54E3"/>
    <w:rsid w:val="005D7EFE"/>
    <w:rsid w:val="005E24E2"/>
    <w:rsid w:val="005E2C79"/>
    <w:rsid w:val="005E757A"/>
    <w:rsid w:val="005F18E7"/>
    <w:rsid w:val="005F1A24"/>
    <w:rsid w:val="005F1DE8"/>
    <w:rsid w:val="005F3DA4"/>
    <w:rsid w:val="0060217C"/>
    <w:rsid w:val="00603229"/>
    <w:rsid w:val="006037C1"/>
    <w:rsid w:val="00606D25"/>
    <w:rsid w:val="00607D5C"/>
    <w:rsid w:val="006107C4"/>
    <w:rsid w:val="00610F6D"/>
    <w:rsid w:val="00611679"/>
    <w:rsid w:val="00611704"/>
    <w:rsid w:val="006117FD"/>
    <w:rsid w:val="00611C8F"/>
    <w:rsid w:val="00613059"/>
    <w:rsid w:val="0061596A"/>
    <w:rsid w:val="006160E0"/>
    <w:rsid w:val="00634203"/>
    <w:rsid w:val="0063474C"/>
    <w:rsid w:val="00636E75"/>
    <w:rsid w:val="0063756A"/>
    <w:rsid w:val="00641F69"/>
    <w:rsid w:val="00643C83"/>
    <w:rsid w:val="00644A17"/>
    <w:rsid w:val="00644F9A"/>
    <w:rsid w:val="0064518C"/>
    <w:rsid w:val="00646BB1"/>
    <w:rsid w:val="00647CE4"/>
    <w:rsid w:val="00651D76"/>
    <w:rsid w:val="00653B31"/>
    <w:rsid w:val="00660E83"/>
    <w:rsid w:val="00661A93"/>
    <w:rsid w:val="00665926"/>
    <w:rsid w:val="00666C80"/>
    <w:rsid w:val="00667282"/>
    <w:rsid w:val="00671209"/>
    <w:rsid w:val="00672024"/>
    <w:rsid w:val="006734AB"/>
    <w:rsid w:val="00674297"/>
    <w:rsid w:val="00674C43"/>
    <w:rsid w:val="00675BF9"/>
    <w:rsid w:val="00676490"/>
    <w:rsid w:val="006771C8"/>
    <w:rsid w:val="0068064B"/>
    <w:rsid w:val="00681BAE"/>
    <w:rsid w:val="00682722"/>
    <w:rsid w:val="00682C31"/>
    <w:rsid w:val="00683FE4"/>
    <w:rsid w:val="00684A2F"/>
    <w:rsid w:val="006907EA"/>
    <w:rsid w:val="006911E0"/>
    <w:rsid w:val="006924DF"/>
    <w:rsid w:val="00692E94"/>
    <w:rsid w:val="00695B11"/>
    <w:rsid w:val="006A4E7D"/>
    <w:rsid w:val="006A5B1D"/>
    <w:rsid w:val="006A5F01"/>
    <w:rsid w:val="006B1F7B"/>
    <w:rsid w:val="006B2E7C"/>
    <w:rsid w:val="006B33CC"/>
    <w:rsid w:val="006B61B7"/>
    <w:rsid w:val="006B72CD"/>
    <w:rsid w:val="006B772B"/>
    <w:rsid w:val="006C11FE"/>
    <w:rsid w:val="006C1B4D"/>
    <w:rsid w:val="006C4C99"/>
    <w:rsid w:val="006C58F7"/>
    <w:rsid w:val="006C7D36"/>
    <w:rsid w:val="006D0B5A"/>
    <w:rsid w:val="006D177F"/>
    <w:rsid w:val="006D3368"/>
    <w:rsid w:val="006D5AE9"/>
    <w:rsid w:val="006D5F62"/>
    <w:rsid w:val="006D6DC7"/>
    <w:rsid w:val="006D7CE9"/>
    <w:rsid w:val="006E11A7"/>
    <w:rsid w:val="006E3A65"/>
    <w:rsid w:val="006E439C"/>
    <w:rsid w:val="006E4E7B"/>
    <w:rsid w:val="006E60DF"/>
    <w:rsid w:val="006E727A"/>
    <w:rsid w:val="006E79ED"/>
    <w:rsid w:val="006F06AC"/>
    <w:rsid w:val="006F1A67"/>
    <w:rsid w:val="006F1ED1"/>
    <w:rsid w:val="006F3F7D"/>
    <w:rsid w:val="006F6492"/>
    <w:rsid w:val="006F7424"/>
    <w:rsid w:val="006F76B2"/>
    <w:rsid w:val="006F77F9"/>
    <w:rsid w:val="007036E2"/>
    <w:rsid w:val="00710C9C"/>
    <w:rsid w:val="00710CD5"/>
    <w:rsid w:val="00711A6B"/>
    <w:rsid w:val="00712C18"/>
    <w:rsid w:val="00712E20"/>
    <w:rsid w:val="007140C2"/>
    <w:rsid w:val="0071522D"/>
    <w:rsid w:val="00716B7D"/>
    <w:rsid w:val="007173C5"/>
    <w:rsid w:val="00720029"/>
    <w:rsid w:val="00720C7F"/>
    <w:rsid w:val="00721C0F"/>
    <w:rsid w:val="00725BB1"/>
    <w:rsid w:val="0072640E"/>
    <w:rsid w:val="007264DA"/>
    <w:rsid w:val="00727D5C"/>
    <w:rsid w:val="007317E6"/>
    <w:rsid w:val="00731958"/>
    <w:rsid w:val="00731B17"/>
    <w:rsid w:val="00732BAB"/>
    <w:rsid w:val="0073383F"/>
    <w:rsid w:val="007350E8"/>
    <w:rsid w:val="00735397"/>
    <w:rsid w:val="007355AC"/>
    <w:rsid w:val="007378AF"/>
    <w:rsid w:val="00745916"/>
    <w:rsid w:val="00745F25"/>
    <w:rsid w:val="00752405"/>
    <w:rsid w:val="00752704"/>
    <w:rsid w:val="00754ED4"/>
    <w:rsid w:val="00765034"/>
    <w:rsid w:val="007654C6"/>
    <w:rsid w:val="00765AA4"/>
    <w:rsid w:val="0077223E"/>
    <w:rsid w:val="007725CE"/>
    <w:rsid w:val="007732A9"/>
    <w:rsid w:val="007734ED"/>
    <w:rsid w:val="007777B9"/>
    <w:rsid w:val="00781854"/>
    <w:rsid w:val="00781FD7"/>
    <w:rsid w:val="0078356A"/>
    <w:rsid w:val="007855D1"/>
    <w:rsid w:val="007903B4"/>
    <w:rsid w:val="00793F54"/>
    <w:rsid w:val="00794BD9"/>
    <w:rsid w:val="00795EE1"/>
    <w:rsid w:val="007A018C"/>
    <w:rsid w:val="007A1AAD"/>
    <w:rsid w:val="007A277C"/>
    <w:rsid w:val="007A2961"/>
    <w:rsid w:val="007B00B8"/>
    <w:rsid w:val="007B20DE"/>
    <w:rsid w:val="007B2E56"/>
    <w:rsid w:val="007C1F9A"/>
    <w:rsid w:val="007C70E9"/>
    <w:rsid w:val="007D35F9"/>
    <w:rsid w:val="007D3618"/>
    <w:rsid w:val="007D435F"/>
    <w:rsid w:val="007D5CF0"/>
    <w:rsid w:val="007D72B1"/>
    <w:rsid w:val="007E0387"/>
    <w:rsid w:val="007E1FA1"/>
    <w:rsid w:val="007E3620"/>
    <w:rsid w:val="007E3DD0"/>
    <w:rsid w:val="007E59F0"/>
    <w:rsid w:val="007E5F2B"/>
    <w:rsid w:val="007E6EF7"/>
    <w:rsid w:val="007E7C7C"/>
    <w:rsid w:val="007F1BF0"/>
    <w:rsid w:val="007F2553"/>
    <w:rsid w:val="007F2DD4"/>
    <w:rsid w:val="007F4CC7"/>
    <w:rsid w:val="007F6688"/>
    <w:rsid w:val="007F73CC"/>
    <w:rsid w:val="00801944"/>
    <w:rsid w:val="00801E8D"/>
    <w:rsid w:val="00805E6E"/>
    <w:rsid w:val="008115B5"/>
    <w:rsid w:val="008139DD"/>
    <w:rsid w:val="00813D7B"/>
    <w:rsid w:val="00815D3B"/>
    <w:rsid w:val="00815EDD"/>
    <w:rsid w:val="00816275"/>
    <w:rsid w:val="00816BD1"/>
    <w:rsid w:val="00824208"/>
    <w:rsid w:val="008353B7"/>
    <w:rsid w:val="00837C13"/>
    <w:rsid w:val="00842F0B"/>
    <w:rsid w:val="00845684"/>
    <w:rsid w:val="008515E5"/>
    <w:rsid w:val="00854C0B"/>
    <w:rsid w:val="008554E6"/>
    <w:rsid w:val="00857628"/>
    <w:rsid w:val="0086496E"/>
    <w:rsid w:val="008654DF"/>
    <w:rsid w:val="008655C3"/>
    <w:rsid w:val="00866A5C"/>
    <w:rsid w:val="00866F3D"/>
    <w:rsid w:val="00871EEF"/>
    <w:rsid w:val="008728AD"/>
    <w:rsid w:val="00872933"/>
    <w:rsid w:val="00872B36"/>
    <w:rsid w:val="00873C91"/>
    <w:rsid w:val="00877B98"/>
    <w:rsid w:val="008818B0"/>
    <w:rsid w:val="00883EF4"/>
    <w:rsid w:val="00885865"/>
    <w:rsid w:val="008858ED"/>
    <w:rsid w:val="00886DBA"/>
    <w:rsid w:val="00887727"/>
    <w:rsid w:val="00891057"/>
    <w:rsid w:val="008914C7"/>
    <w:rsid w:val="00893B12"/>
    <w:rsid w:val="00893E3D"/>
    <w:rsid w:val="0089529D"/>
    <w:rsid w:val="008A1717"/>
    <w:rsid w:val="008A28AA"/>
    <w:rsid w:val="008A34E8"/>
    <w:rsid w:val="008A45B3"/>
    <w:rsid w:val="008A4956"/>
    <w:rsid w:val="008A76D1"/>
    <w:rsid w:val="008A786B"/>
    <w:rsid w:val="008A7960"/>
    <w:rsid w:val="008A79C3"/>
    <w:rsid w:val="008B06B1"/>
    <w:rsid w:val="008B2FBA"/>
    <w:rsid w:val="008B561C"/>
    <w:rsid w:val="008C4BFF"/>
    <w:rsid w:val="008C5603"/>
    <w:rsid w:val="008C57BB"/>
    <w:rsid w:val="008C6807"/>
    <w:rsid w:val="008D0076"/>
    <w:rsid w:val="008D01F0"/>
    <w:rsid w:val="008D1A63"/>
    <w:rsid w:val="008D22C6"/>
    <w:rsid w:val="008D2D2A"/>
    <w:rsid w:val="008D363A"/>
    <w:rsid w:val="008D4213"/>
    <w:rsid w:val="008D449B"/>
    <w:rsid w:val="008D54BB"/>
    <w:rsid w:val="008E1C2D"/>
    <w:rsid w:val="008E2653"/>
    <w:rsid w:val="008E3AB1"/>
    <w:rsid w:val="008E3B9A"/>
    <w:rsid w:val="008E3BFF"/>
    <w:rsid w:val="008E550D"/>
    <w:rsid w:val="008F0231"/>
    <w:rsid w:val="008F0283"/>
    <w:rsid w:val="008F0AD1"/>
    <w:rsid w:val="008F1C8F"/>
    <w:rsid w:val="008F2252"/>
    <w:rsid w:val="008F2CE0"/>
    <w:rsid w:val="008F4468"/>
    <w:rsid w:val="008F59CA"/>
    <w:rsid w:val="008F5AC8"/>
    <w:rsid w:val="008F7923"/>
    <w:rsid w:val="009005F4"/>
    <w:rsid w:val="0090270F"/>
    <w:rsid w:val="0090317B"/>
    <w:rsid w:val="00903BA9"/>
    <w:rsid w:val="00904934"/>
    <w:rsid w:val="009052F9"/>
    <w:rsid w:val="00906C3F"/>
    <w:rsid w:val="00907506"/>
    <w:rsid w:val="009076AC"/>
    <w:rsid w:val="009076C6"/>
    <w:rsid w:val="0090787C"/>
    <w:rsid w:val="009078BF"/>
    <w:rsid w:val="00910233"/>
    <w:rsid w:val="00912625"/>
    <w:rsid w:val="0091318E"/>
    <w:rsid w:val="0091549A"/>
    <w:rsid w:val="00916761"/>
    <w:rsid w:val="00917BE6"/>
    <w:rsid w:val="00920F44"/>
    <w:rsid w:val="009219CD"/>
    <w:rsid w:val="00923C85"/>
    <w:rsid w:val="009254C3"/>
    <w:rsid w:val="00932228"/>
    <w:rsid w:val="0093407D"/>
    <w:rsid w:val="009359A4"/>
    <w:rsid w:val="0094179C"/>
    <w:rsid w:val="009422D1"/>
    <w:rsid w:val="009427D5"/>
    <w:rsid w:val="00944D49"/>
    <w:rsid w:val="00944F70"/>
    <w:rsid w:val="00946ECF"/>
    <w:rsid w:val="00950AF3"/>
    <w:rsid w:val="00955F32"/>
    <w:rsid w:val="00962295"/>
    <w:rsid w:val="00964944"/>
    <w:rsid w:val="00966D27"/>
    <w:rsid w:val="009675C9"/>
    <w:rsid w:val="00970D88"/>
    <w:rsid w:val="00970EA3"/>
    <w:rsid w:val="0097248B"/>
    <w:rsid w:val="00977340"/>
    <w:rsid w:val="0098166F"/>
    <w:rsid w:val="009864D3"/>
    <w:rsid w:val="00987B24"/>
    <w:rsid w:val="00997E1B"/>
    <w:rsid w:val="009A115A"/>
    <w:rsid w:val="009A49F8"/>
    <w:rsid w:val="009A4A34"/>
    <w:rsid w:val="009A6F01"/>
    <w:rsid w:val="009A7BB7"/>
    <w:rsid w:val="009B217D"/>
    <w:rsid w:val="009B396D"/>
    <w:rsid w:val="009B3FEA"/>
    <w:rsid w:val="009B74E4"/>
    <w:rsid w:val="009C4F3D"/>
    <w:rsid w:val="009C54C2"/>
    <w:rsid w:val="009C5D54"/>
    <w:rsid w:val="009C5DEE"/>
    <w:rsid w:val="009D1F66"/>
    <w:rsid w:val="009D3258"/>
    <w:rsid w:val="009D340F"/>
    <w:rsid w:val="009D53BF"/>
    <w:rsid w:val="009D772E"/>
    <w:rsid w:val="009E4AFA"/>
    <w:rsid w:val="009E6846"/>
    <w:rsid w:val="009E71A7"/>
    <w:rsid w:val="009F4054"/>
    <w:rsid w:val="009F528C"/>
    <w:rsid w:val="009F5A3E"/>
    <w:rsid w:val="009F648A"/>
    <w:rsid w:val="009F6770"/>
    <w:rsid w:val="00A02899"/>
    <w:rsid w:val="00A079F7"/>
    <w:rsid w:val="00A132D5"/>
    <w:rsid w:val="00A16140"/>
    <w:rsid w:val="00A172E4"/>
    <w:rsid w:val="00A1738B"/>
    <w:rsid w:val="00A17798"/>
    <w:rsid w:val="00A1786B"/>
    <w:rsid w:val="00A20C17"/>
    <w:rsid w:val="00A23A9D"/>
    <w:rsid w:val="00A260CD"/>
    <w:rsid w:val="00A26CF4"/>
    <w:rsid w:val="00A309E9"/>
    <w:rsid w:val="00A31E6C"/>
    <w:rsid w:val="00A33346"/>
    <w:rsid w:val="00A37D95"/>
    <w:rsid w:val="00A4122C"/>
    <w:rsid w:val="00A4211D"/>
    <w:rsid w:val="00A461B8"/>
    <w:rsid w:val="00A551A9"/>
    <w:rsid w:val="00A566CA"/>
    <w:rsid w:val="00A56751"/>
    <w:rsid w:val="00A56B34"/>
    <w:rsid w:val="00A5711B"/>
    <w:rsid w:val="00A60537"/>
    <w:rsid w:val="00A60A06"/>
    <w:rsid w:val="00A610E1"/>
    <w:rsid w:val="00A63B16"/>
    <w:rsid w:val="00A6496E"/>
    <w:rsid w:val="00A65ACB"/>
    <w:rsid w:val="00A67106"/>
    <w:rsid w:val="00A673E7"/>
    <w:rsid w:val="00A7027B"/>
    <w:rsid w:val="00A71C8A"/>
    <w:rsid w:val="00A74F44"/>
    <w:rsid w:val="00A76F57"/>
    <w:rsid w:val="00A77F07"/>
    <w:rsid w:val="00A802C4"/>
    <w:rsid w:val="00A81CE5"/>
    <w:rsid w:val="00A84685"/>
    <w:rsid w:val="00A85B37"/>
    <w:rsid w:val="00A8710B"/>
    <w:rsid w:val="00A87E4F"/>
    <w:rsid w:val="00A914B8"/>
    <w:rsid w:val="00A92597"/>
    <w:rsid w:val="00A940D3"/>
    <w:rsid w:val="00A95C50"/>
    <w:rsid w:val="00A960C1"/>
    <w:rsid w:val="00A961A3"/>
    <w:rsid w:val="00AA1A97"/>
    <w:rsid w:val="00AA23C2"/>
    <w:rsid w:val="00AA2B4A"/>
    <w:rsid w:val="00AA36E6"/>
    <w:rsid w:val="00AA4EA9"/>
    <w:rsid w:val="00AA51FB"/>
    <w:rsid w:val="00AA71E5"/>
    <w:rsid w:val="00AB266D"/>
    <w:rsid w:val="00AB3965"/>
    <w:rsid w:val="00AB3FD3"/>
    <w:rsid w:val="00AB45C1"/>
    <w:rsid w:val="00AB54A6"/>
    <w:rsid w:val="00AB703E"/>
    <w:rsid w:val="00AC2757"/>
    <w:rsid w:val="00AC4B05"/>
    <w:rsid w:val="00AC5CAB"/>
    <w:rsid w:val="00AC608A"/>
    <w:rsid w:val="00AC68B6"/>
    <w:rsid w:val="00AC7713"/>
    <w:rsid w:val="00AC7DC6"/>
    <w:rsid w:val="00AD1526"/>
    <w:rsid w:val="00AD2038"/>
    <w:rsid w:val="00AD2709"/>
    <w:rsid w:val="00AD2F21"/>
    <w:rsid w:val="00AD3FC3"/>
    <w:rsid w:val="00AD4FB3"/>
    <w:rsid w:val="00AD6AE7"/>
    <w:rsid w:val="00AE0C9B"/>
    <w:rsid w:val="00AE2107"/>
    <w:rsid w:val="00AE2EA7"/>
    <w:rsid w:val="00AE3D9F"/>
    <w:rsid w:val="00AE565E"/>
    <w:rsid w:val="00AE6637"/>
    <w:rsid w:val="00AE6DC0"/>
    <w:rsid w:val="00AF02BE"/>
    <w:rsid w:val="00AF4355"/>
    <w:rsid w:val="00AF6861"/>
    <w:rsid w:val="00B03215"/>
    <w:rsid w:val="00B03AF3"/>
    <w:rsid w:val="00B106F8"/>
    <w:rsid w:val="00B108B1"/>
    <w:rsid w:val="00B16F29"/>
    <w:rsid w:val="00B17827"/>
    <w:rsid w:val="00B17E8C"/>
    <w:rsid w:val="00B22A5A"/>
    <w:rsid w:val="00B22B37"/>
    <w:rsid w:val="00B22B44"/>
    <w:rsid w:val="00B23A4E"/>
    <w:rsid w:val="00B24640"/>
    <w:rsid w:val="00B254C2"/>
    <w:rsid w:val="00B25679"/>
    <w:rsid w:val="00B2652C"/>
    <w:rsid w:val="00B26AA6"/>
    <w:rsid w:val="00B26E46"/>
    <w:rsid w:val="00B30831"/>
    <w:rsid w:val="00B30AB1"/>
    <w:rsid w:val="00B32362"/>
    <w:rsid w:val="00B3398E"/>
    <w:rsid w:val="00B3447E"/>
    <w:rsid w:val="00B34E36"/>
    <w:rsid w:val="00B41AC7"/>
    <w:rsid w:val="00B42ACC"/>
    <w:rsid w:val="00B44FD7"/>
    <w:rsid w:val="00B461A3"/>
    <w:rsid w:val="00B51553"/>
    <w:rsid w:val="00B524FA"/>
    <w:rsid w:val="00B53EEE"/>
    <w:rsid w:val="00B56387"/>
    <w:rsid w:val="00B5739B"/>
    <w:rsid w:val="00B604D8"/>
    <w:rsid w:val="00B60CB9"/>
    <w:rsid w:val="00B614F2"/>
    <w:rsid w:val="00B629D3"/>
    <w:rsid w:val="00B63129"/>
    <w:rsid w:val="00B70023"/>
    <w:rsid w:val="00B71114"/>
    <w:rsid w:val="00B714E7"/>
    <w:rsid w:val="00B77C97"/>
    <w:rsid w:val="00B808BC"/>
    <w:rsid w:val="00B812F6"/>
    <w:rsid w:val="00B81D05"/>
    <w:rsid w:val="00B83304"/>
    <w:rsid w:val="00B84BA9"/>
    <w:rsid w:val="00B85716"/>
    <w:rsid w:val="00B87CBB"/>
    <w:rsid w:val="00B9280D"/>
    <w:rsid w:val="00BA0367"/>
    <w:rsid w:val="00BA12FC"/>
    <w:rsid w:val="00BA1430"/>
    <w:rsid w:val="00BA33FF"/>
    <w:rsid w:val="00BA3C81"/>
    <w:rsid w:val="00BA6110"/>
    <w:rsid w:val="00BA69DF"/>
    <w:rsid w:val="00BB0031"/>
    <w:rsid w:val="00BB077C"/>
    <w:rsid w:val="00BB3538"/>
    <w:rsid w:val="00BB37F4"/>
    <w:rsid w:val="00BB42B4"/>
    <w:rsid w:val="00BB5540"/>
    <w:rsid w:val="00BB5A5F"/>
    <w:rsid w:val="00BC12D3"/>
    <w:rsid w:val="00BC1CA5"/>
    <w:rsid w:val="00BC384C"/>
    <w:rsid w:val="00BD0E72"/>
    <w:rsid w:val="00BD1C84"/>
    <w:rsid w:val="00BD1F69"/>
    <w:rsid w:val="00BD533E"/>
    <w:rsid w:val="00BD5CFD"/>
    <w:rsid w:val="00BD61BE"/>
    <w:rsid w:val="00BE02EC"/>
    <w:rsid w:val="00BE0CBC"/>
    <w:rsid w:val="00BE71AB"/>
    <w:rsid w:val="00BF1060"/>
    <w:rsid w:val="00BF2B6F"/>
    <w:rsid w:val="00C02911"/>
    <w:rsid w:val="00C02E44"/>
    <w:rsid w:val="00C04725"/>
    <w:rsid w:val="00C052C9"/>
    <w:rsid w:val="00C05329"/>
    <w:rsid w:val="00C06D38"/>
    <w:rsid w:val="00C0774C"/>
    <w:rsid w:val="00C122EB"/>
    <w:rsid w:val="00C22F60"/>
    <w:rsid w:val="00C255EC"/>
    <w:rsid w:val="00C27252"/>
    <w:rsid w:val="00C27786"/>
    <w:rsid w:val="00C302D7"/>
    <w:rsid w:val="00C31503"/>
    <w:rsid w:val="00C37896"/>
    <w:rsid w:val="00C37EFA"/>
    <w:rsid w:val="00C4084E"/>
    <w:rsid w:val="00C449BF"/>
    <w:rsid w:val="00C539AC"/>
    <w:rsid w:val="00C54060"/>
    <w:rsid w:val="00C557FD"/>
    <w:rsid w:val="00C55AF2"/>
    <w:rsid w:val="00C55B34"/>
    <w:rsid w:val="00C56444"/>
    <w:rsid w:val="00C56638"/>
    <w:rsid w:val="00C6073D"/>
    <w:rsid w:val="00C612DE"/>
    <w:rsid w:val="00C61D7A"/>
    <w:rsid w:val="00C62120"/>
    <w:rsid w:val="00C63553"/>
    <w:rsid w:val="00C63B79"/>
    <w:rsid w:val="00C63F81"/>
    <w:rsid w:val="00C65EBB"/>
    <w:rsid w:val="00C74EFB"/>
    <w:rsid w:val="00C7651C"/>
    <w:rsid w:val="00C80048"/>
    <w:rsid w:val="00C8121F"/>
    <w:rsid w:val="00C81F15"/>
    <w:rsid w:val="00C821EA"/>
    <w:rsid w:val="00C82695"/>
    <w:rsid w:val="00C84429"/>
    <w:rsid w:val="00C87592"/>
    <w:rsid w:val="00C91023"/>
    <w:rsid w:val="00C92294"/>
    <w:rsid w:val="00C92B0B"/>
    <w:rsid w:val="00C946E2"/>
    <w:rsid w:val="00C9486E"/>
    <w:rsid w:val="00C95EBA"/>
    <w:rsid w:val="00CA04F9"/>
    <w:rsid w:val="00CA1FDF"/>
    <w:rsid w:val="00CA586A"/>
    <w:rsid w:val="00CA5BE6"/>
    <w:rsid w:val="00CA71F1"/>
    <w:rsid w:val="00CB13CF"/>
    <w:rsid w:val="00CB28E0"/>
    <w:rsid w:val="00CB51BA"/>
    <w:rsid w:val="00CB5FF3"/>
    <w:rsid w:val="00CC33E4"/>
    <w:rsid w:val="00CC7FE8"/>
    <w:rsid w:val="00CD07E1"/>
    <w:rsid w:val="00CD3A28"/>
    <w:rsid w:val="00CD3C39"/>
    <w:rsid w:val="00CD4432"/>
    <w:rsid w:val="00CD50EE"/>
    <w:rsid w:val="00CE04D9"/>
    <w:rsid w:val="00CE2039"/>
    <w:rsid w:val="00CE5E9E"/>
    <w:rsid w:val="00CE5FB6"/>
    <w:rsid w:val="00CE6866"/>
    <w:rsid w:val="00CF6113"/>
    <w:rsid w:val="00CF72C4"/>
    <w:rsid w:val="00CF7686"/>
    <w:rsid w:val="00D004A4"/>
    <w:rsid w:val="00D011CD"/>
    <w:rsid w:val="00D0122D"/>
    <w:rsid w:val="00D0183A"/>
    <w:rsid w:val="00D031CB"/>
    <w:rsid w:val="00D03D42"/>
    <w:rsid w:val="00D03E07"/>
    <w:rsid w:val="00D07F8D"/>
    <w:rsid w:val="00D106C4"/>
    <w:rsid w:val="00D156E0"/>
    <w:rsid w:val="00D200C9"/>
    <w:rsid w:val="00D22D49"/>
    <w:rsid w:val="00D27171"/>
    <w:rsid w:val="00D310BF"/>
    <w:rsid w:val="00D31EFB"/>
    <w:rsid w:val="00D33176"/>
    <w:rsid w:val="00D378AB"/>
    <w:rsid w:val="00D44CC1"/>
    <w:rsid w:val="00D44D4B"/>
    <w:rsid w:val="00D44E76"/>
    <w:rsid w:val="00D47D3B"/>
    <w:rsid w:val="00D51092"/>
    <w:rsid w:val="00D52073"/>
    <w:rsid w:val="00D526E2"/>
    <w:rsid w:val="00D547DC"/>
    <w:rsid w:val="00D55A07"/>
    <w:rsid w:val="00D57B75"/>
    <w:rsid w:val="00D61376"/>
    <w:rsid w:val="00D633CC"/>
    <w:rsid w:val="00D64079"/>
    <w:rsid w:val="00D6425F"/>
    <w:rsid w:val="00D6546C"/>
    <w:rsid w:val="00D65EF9"/>
    <w:rsid w:val="00D65F77"/>
    <w:rsid w:val="00D67908"/>
    <w:rsid w:val="00D67AA5"/>
    <w:rsid w:val="00D70EC0"/>
    <w:rsid w:val="00D7289F"/>
    <w:rsid w:val="00D75A6A"/>
    <w:rsid w:val="00D7742C"/>
    <w:rsid w:val="00D80132"/>
    <w:rsid w:val="00D80E5D"/>
    <w:rsid w:val="00D8175B"/>
    <w:rsid w:val="00D85DDA"/>
    <w:rsid w:val="00D90C29"/>
    <w:rsid w:val="00D90CE2"/>
    <w:rsid w:val="00D90FA8"/>
    <w:rsid w:val="00D910EB"/>
    <w:rsid w:val="00D92BC0"/>
    <w:rsid w:val="00D92CA2"/>
    <w:rsid w:val="00D944B1"/>
    <w:rsid w:val="00D95930"/>
    <w:rsid w:val="00D97C75"/>
    <w:rsid w:val="00DA2C9E"/>
    <w:rsid w:val="00DA4C1A"/>
    <w:rsid w:val="00DA6E7B"/>
    <w:rsid w:val="00DA6F13"/>
    <w:rsid w:val="00DC09CC"/>
    <w:rsid w:val="00DC0BD3"/>
    <w:rsid w:val="00DC148E"/>
    <w:rsid w:val="00DD055F"/>
    <w:rsid w:val="00DD08CA"/>
    <w:rsid w:val="00DD1CCA"/>
    <w:rsid w:val="00DD1E0C"/>
    <w:rsid w:val="00DD6B7A"/>
    <w:rsid w:val="00DD6C1D"/>
    <w:rsid w:val="00DD7E4B"/>
    <w:rsid w:val="00DE19B3"/>
    <w:rsid w:val="00DE3ED9"/>
    <w:rsid w:val="00DE40AE"/>
    <w:rsid w:val="00DF04C6"/>
    <w:rsid w:val="00DF1839"/>
    <w:rsid w:val="00DF5911"/>
    <w:rsid w:val="00DF6803"/>
    <w:rsid w:val="00DF7B1B"/>
    <w:rsid w:val="00E0023E"/>
    <w:rsid w:val="00E02217"/>
    <w:rsid w:val="00E02D35"/>
    <w:rsid w:val="00E02DA2"/>
    <w:rsid w:val="00E04468"/>
    <w:rsid w:val="00E04ACE"/>
    <w:rsid w:val="00E11849"/>
    <w:rsid w:val="00E13161"/>
    <w:rsid w:val="00E14955"/>
    <w:rsid w:val="00E15208"/>
    <w:rsid w:val="00E1575B"/>
    <w:rsid w:val="00E16BC9"/>
    <w:rsid w:val="00E23B4C"/>
    <w:rsid w:val="00E25B79"/>
    <w:rsid w:val="00E3107D"/>
    <w:rsid w:val="00E31E70"/>
    <w:rsid w:val="00E32910"/>
    <w:rsid w:val="00E33919"/>
    <w:rsid w:val="00E357F3"/>
    <w:rsid w:val="00E35832"/>
    <w:rsid w:val="00E35EDC"/>
    <w:rsid w:val="00E3691F"/>
    <w:rsid w:val="00E3792A"/>
    <w:rsid w:val="00E379BF"/>
    <w:rsid w:val="00E40062"/>
    <w:rsid w:val="00E429E5"/>
    <w:rsid w:val="00E43B5C"/>
    <w:rsid w:val="00E46B43"/>
    <w:rsid w:val="00E527F2"/>
    <w:rsid w:val="00E52D00"/>
    <w:rsid w:val="00E563BD"/>
    <w:rsid w:val="00E571AF"/>
    <w:rsid w:val="00E617DD"/>
    <w:rsid w:val="00E64BFE"/>
    <w:rsid w:val="00E70AA9"/>
    <w:rsid w:val="00E72CB2"/>
    <w:rsid w:val="00E72EAB"/>
    <w:rsid w:val="00E74A6F"/>
    <w:rsid w:val="00E77449"/>
    <w:rsid w:val="00E77CE0"/>
    <w:rsid w:val="00E804CC"/>
    <w:rsid w:val="00E818F8"/>
    <w:rsid w:val="00E83D3E"/>
    <w:rsid w:val="00E84801"/>
    <w:rsid w:val="00E9073F"/>
    <w:rsid w:val="00E92F2B"/>
    <w:rsid w:val="00E95C2C"/>
    <w:rsid w:val="00E97736"/>
    <w:rsid w:val="00EA22EB"/>
    <w:rsid w:val="00EA2B8E"/>
    <w:rsid w:val="00EA319C"/>
    <w:rsid w:val="00EA3924"/>
    <w:rsid w:val="00EA3DB2"/>
    <w:rsid w:val="00EB1962"/>
    <w:rsid w:val="00EB19CB"/>
    <w:rsid w:val="00EB2A2B"/>
    <w:rsid w:val="00EB313D"/>
    <w:rsid w:val="00EB429A"/>
    <w:rsid w:val="00EB516D"/>
    <w:rsid w:val="00EC2090"/>
    <w:rsid w:val="00EC2CA5"/>
    <w:rsid w:val="00EC3BCB"/>
    <w:rsid w:val="00EC5392"/>
    <w:rsid w:val="00EC6D97"/>
    <w:rsid w:val="00EC7093"/>
    <w:rsid w:val="00ED2203"/>
    <w:rsid w:val="00ED2450"/>
    <w:rsid w:val="00ED27D0"/>
    <w:rsid w:val="00ED3E55"/>
    <w:rsid w:val="00ED52B7"/>
    <w:rsid w:val="00ED6738"/>
    <w:rsid w:val="00EE162E"/>
    <w:rsid w:val="00EE1632"/>
    <w:rsid w:val="00EE1964"/>
    <w:rsid w:val="00EF0891"/>
    <w:rsid w:val="00EF1C6C"/>
    <w:rsid w:val="00EF25A7"/>
    <w:rsid w:val="00EF3903"/>
    <w:rsid w:val="00EF5DAD"/>
    <w:rsid w:val="00EF6BAF"/>
    <w:rsid w:val="00F02110"/>
    <w:rsid w:val="00F05D23"/>
    <w:rsid w:val="00F06ADF"/>
    <w:rsid w:val="00F07F49"/>
    <w:rsid w:val="00F15265"/>
    <w:rsid w:val="00F152F1"/>
    <w:rsid w:val="00F1568C"/>
    <w:rsid w:val="00F21AC4"/>
    <w:rsid w:val="00F22B60"/>
    <w:rsid w:val="00F232D6"/>
    <w:rsid w:val="00F23AB8"/>
    <w:rsid w:val="00F26290"/>
    <w:rsid w:val="00F301DF"/>
    <w:rsid w:val="00F319B3"/>
    <w:rsid w:val="00F34F85"/>
    <w:rsid w:val="00F360BC"/>
    <w:rsid w:val="00F36BD8"/>
    <w:rsid w:val="00F36E51"/>
    <w:rsid w:val="00F37D53"/>
    <w:rsid w:val="00F406FB"/>
    <w:rsid w:val="00F409F9"/>
    <w:rsid w:val="00F41C9E"/>
    <w:rsid w:val="00F42128"/>
    <w:rsid w:val="00F42BBC"/>
    <w:rsid w:val="00F44920"/>
    <w:rsid w:val="00F44FF1"/>
    <w:rsid w:val="00F460E3"/>
    <w:rsid w:val="00F46235"/>
    <w:rsid w:val="00F46881"/>
    <w:rsid w:val="00F46BEB"/>
    <w:rsid w:val="00F47F23"/>
    <w:rsid w:val="00F50B8F"/>
    <w:rsid w:val="00F51BCF"/>
    <w:rsid w:val="00F52021"/>
    <w:rsid w:val="00F53B12"/>
    <w:rsid w:val="00F53DDE"/>
    <w:rsid w:val="00F55853"/>
    <w:rsid w:val="00F562C2"/>
    <w:rsid w:val="00F56CA3"/>
    <w:rsid w:val="00F577E5"/>
    <w:rsid w:val="00F61C81"/>
    <w:rsid w:val="00F64C75"/>
    <w:rsid w:val="00F71296"/>
    <w:rsid w:val="00F73552"/>
    <w:rsid w:val="00F750CA"/>
    <w:rsid w:val="00F76BBE"/>
    <w:rsid w:val="00F812D9"/>
    <w:rsid w:val="00F839A8"/>
    <w:rsid w:val="00F85104"/>
    <w:rsid w:val="00F87DA8"/>
    <w:rsid w:val="00F93554"/>
    <w:rsid w:val="00F97B5A"/>
    <w:rsid w:val="00FA219D"/>
    <w:rsid w:val="00FA31ED"/>
    <w:rsid w:val="00FA3B77"/>
    <w:rsid w:val="00FA537B"/>
    <w:rsid w:val="00FA6129"/>
    <w:rsid w:val="00FA64E1"/>
    <w:rsid w:val="00FB0A5E"/>
    <w:rsid w:val="00FB28E3"/>
    <w:rsid w:val="00FB2B0D"/>
    <w:rsid w:val="00FB49AC"/>
    <w:rsid w:val="00FB7041"/>
    <w:rsid w:val="00FC0708"/>
    <w:rsid w:val="00FC18C3"/>
    <w:rsid w:val="00FC2658"/>
    <w:rsid w:val="00FC3602"/>
    <w:rsid w:val="00FC4718"/>
    <w:rsid w:val="00FC633D"/>
    <w:rsid w:val="00FD33F2"/>
    <w:rsid w:val="00FD4D54"/>
    <w:rsid w:val="00FD5585"/>
    <w:rsid w:val="00FE0A9F"/>
    <w:rsid w:val="00FE235E"/>
    <w:rsid w:val="00FE41A9"/>
    <w:rsid w:val="00FE613D"/>
    <w:rsid w:val="00FE630A"/>
    <w:rsid w:val="00FF0886"/>
    <w:rsid w:val="00FF198E"/>
    <w:rsid w:val="00FF313C"/>
    <w:rsid w:val="00FF4187"/>
    <w:rsid w:val="00FF4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BD456B7-2FC9-4348-BB65-EA988585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2128"/>
    <w:rPr>
      <w:rFonts w:ascii="Tahoma" w:hAnsi="Tahoma"/>
      <w:szCs w:val="24"/>
    </w:rPr>
  </w:style>
  <w:style w:type="paragraph" w:styleId="Heading1">
    <w:name w:val="heading 1"/>
    <w:aliases w:val="Chap Num,Chapter Level"/>
    <w:basedOn w:val="Normal"/>
    <w:next w:val="Normal"/>
    <w:link w:val="Heading1Char"/>
    <w:rsid w:val="00274498"/>
    <w:pPr>
      <w:numPr>
        <w:numId w:val="2"/>
      </w:numPr>
      <w:ind w:left="432"/>
      <w:outlineLvl w:val="0"/>
    </w:pPr>
    <w:rPr>
      <w:rFonts w:ascii="Verdana" w:hAnsi="Verdana"/>
      <w:b/>
      <w:caps/>
      <w:color w:val="808080"/>
      <w:sz w:val="22"/>
      <w:szCs w:val="22"/>
    </w:rPr>
  </w:style>
  <w:style w:type="paragraph" w:styleId="Heading2">
    <w:name w:val="heading 2"/>
    <w:aliases w:val="1st Lvl Head"/>
    <w:basedOn w:val="Normal"/>
    <w:next w:val="BodyText"/>
    <w:link w:val="Heading2Char"/>
    <w:qFormat/>
    <w:rsid w:val="00AA23C2"/>
    <w:pPr>
      <w:keepNext/>
      <w:spacing w:before="240" w:after="40"/>
      <w:outlineLvl w:val="1"/>
    </w:pPr>
    <w:rPr>
      <w:b/>
      <w:color w:val="1A1D5D"/>
      <w:sz w:val="26"/>
      <w:szCs w:val="20"/>
    </w:rPr>
  </w:style>
  <w:style w:type="paragraph" w:styleId="Heading3">
    <w:name w:val="heading 3"/>
    <w:aliases w:val="2nd Lvl Head"/>
    <w:basedOn w:val="Normal"/>
    <w:next w:val="BodyText"/>
    <w:link w:val="Heading3Char"/>
    <w:autoRedefine/>
    <w:qFormat/>
    <w:rsid w:val="00BD0E72"/>
    <w:pPr>
      <w:keepNext/>
      <w:spacing w:before="240" w:after="40"/>
      <w:outlineLvl w:val="2"/>
    </w:pPr>
    <w:rPr>
      <w:rFonts w:cs="Arial"/>
      <w:b/>
      <w:bCs/>
      <w:sz w:val="22"/>
      <w:szCs w:val="18"/>
    </w:rPr>
  </w:style>
  <w:style w:type="paragraph" w:styleId="Heading4">
    <w:name w:val="heading 4"/>
    <w:aliases w:val="3rd Lvl Head"/>
    <w:basedOn w:val="Normal"/>
    <w:next w:val="BodyText"/>
    <w:link w:val="Heading4Char"/>
    <w:qFormat/>
    <w:rsid w:val="00C55AF2"/>
    <w:pPr>
      <w:keepNext/>
      <w:spacing w:before="240" w:after="40"/>
      <w:outlineLvl w:val="3"/>
    </w:pPr>
    <w:rPr>
      <w:b/>
      <w:bCs/>
      <w:i/>
      <w:szCs w:val="18"/>
    </w:rPr>
  </w:style>
  <w:style w:type="paragraph" w:styleId="Heading5">
    <w:name w:val="heading 5"/>
    <w:basedOn w:val="Normal"/>
    <w:next w:val="Normal"/>
    <w:link w:val="Heading5Char"/>
    <w:qFormat/>
    <w:rsid w:val="00AA23C2"/>
    <w:pPr>
      <w:spacing w:before="240" w:after="60"/>
      <w:outlineLvl w:val="4"/>
    </w:pPr>
    <w:rPr>
      <w:b/>
      <w:bCs/>
      <w:iCs/>
      <w:color w:val="1A1D5D"/>
      <w:szCs w:val="26"/>
    </w:rPr>
  </w:style>
  <w:style w:type="paragraph" w:styleId="Heading6">
    <w:name w:val="heading 6"/>
    <w:aliases w:val="Appendix Level"/>
    <w:basedOn w:val="ChapterTitle"/>
    <w:next w:val="BodyText"/>
    <w:link w:val="Heading6Char"/>
    <w:autoRedefine/>
    <w:rsid w:val="00FB28E3"/>
    <w:pPr>
      <w:numPr>
        <w:numId w:val="17"/>
      </w:numPr>
      <w:outlineLvl w:val="5"/>
    </w:pPr>
    <w:rPr>
      <w:rFonts w:ascii="Verdana" w:hAnsi="Verdana"/>
      <w:bCs/>
      <w:color w:val="808080" w:themeColor="background1" w:themeShade="80"/>
      <w:sz w:val="22"/>
      <w:szCs w:val="22"/>
    </w:rPr>
  </w:style>
  <w:style w:type="paragraph" w:styleId="Heading7">
    <w:name w:val="heading 7"/>
    <w:basedOn w:val="Normal"/>
    <w:next w:val="Normal"/>
    <w:link w:val="Heading7Char"/>
    <w:rsid w:val="00274498"/>
    <w:pPr>
      <w:numPr>
        <w:ilvl w:val="6"/>
        <w:numId w:val="2"/>
      </w:numPr>
      <w:spacing w:before="240" w:after="60"/>
      <w:outlineLvl w:val="6"/>
    </w:pPr>
  </w:style>
  <w:style w:type="paragraph" w:styleId="Heading8">
    <w:name w:val="heading 8"/>
    <w:basedOn w:val="Normal"/>
    <w:next w:val="Normal"/>
    <w:link w:val="Heading8Char"/>
    <w:rsid w:val="00274498"/>
    <w:pPr>
      <w:numPr>
        <w:ilvl w:val="7"/>
        <w:numId w:val="2"/>
      </w:numPr>
      <w:spacing w:before="240" w:after="60"/>
      <w:outlineLvl w:val="7"/>
    </w:pPr>
    <w:rPr>
      <w:i/>
      <w:iCs/>
    </w:rPr>
  </w:style>
  <w:style w:type="paragraph" w:styleId="Heading9">
    <w:name w:val="heading 9"/>
    <w:basedOn w:val="Normal"/>
    <w:next w:val="Normal"/>
    <w:link w:val="Heading9Char"/>
    <w:rsid w:val="00274498"/>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AC5CAB"/>
    <w:pPr>
      <w:spacing w:before="3480" w:line="312" w:lineRule="auto"/>
    </w:pPr>
    <w:rPr>
      <w:b/>
      <w:caps/>
      <w:sz w:val="36"/>
      <w:szCs w:val="40"/>
    </w:rPr>
  </w:style>
  <w:style w:type="table" w:customStyle="1" w:styleId="LightShading1">
    <w:name w:val="Light Shading1"/>
    <w:basedOn w:val="TableNormal"/>
    <w:uiPriority w:val="60"/>
    <w:rsid w:val="0024017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mpanyInformation">
    <w:name w:val="Company Information"/>
    <w:basedOn w:val="Normal"/>
    <w:link w:val="CompanyInformationChar"/>
    <w:semiHidden/>
    <w:rsid w:val="00794BD9"/>
    <w:rPr>
      <w:rFonts w:ascii="Verdana" w:hAnsi="Verdana"/>
      <w:color w:val="808080"/>
      <w:sz w:val="15"/>
      <w:szCs w:val="20"/>
    </w:rPr>
  </w:style>
  <w:style w:type="character" w:customStyle="1" w:styleId="CompanyInformationChar">
    <w:name w:val="Company Information Char"/>
    <w:basedOn w:val="DefaultParagraphFont"/>
    <w:link w:val="CompanyInformation"/>
    <w:rsid w:val="00794BD9"/>
    <w:rPr>
      <w:rFonts w:ascii="Verdana" w:hAnsi="Verdana"/>
      <w:color w:val="808080"/>
      <w:sz w:val="15"/>
      <w:lang w:val="en-US" w:eastAsia="en-US" w:bidi="ar-SA"/>
    </w:rPr>
  </w:style>
  <w:style w:type="paragraph" w:customStyle="1" w:styleId="CompanyInformationBold">
    <w:name w:val="Company Information Bold"/>
    <w:basedOn w:val="CompanyInformation"/>
    <w:semiHidden/>
    <w:rsid w:val="00794BD9"/>
    <w:rPr>
      <w:b/>
    </w:rPr>
  </w:style>
  <w:style w:type="paragraph" w:customStyle="1" w:styleId="CompanyInformationItalic">
    <w:name w:val="Company Information Italic"/>
    <w:basedOn w:val="CompanyInformation"/>
    <w:link w:val="CompanyInformationItalicChar"/>
    <w:semiHidden/>
    <w:rsid w:val="00794BD9"/>
    <w:rPr>
      <w:i/>
    </w:rPr>
  </w:style>
  <w:style w:type="character" w:customStyle="1" w:styleId="CompanyInformationItalicChar">
    <w:name w:val="Company Information Italic Char"/>
    <w:basedOn w:val="CompanyInformationChar"/>
    <w:link w:val="CompanyInformationItalic"/>
    <w:rsid w:val="00794BD9"/>
    <w:rPr>
      <w:rFonts w:ascii="Verdana" w:hAnsi="Verdana"/>
      <w:i/>
      <w:color w:val="808080"/>
      <w:sz w:val="15"/>
      <w:lang w:val="en-US" w:eastAsia="en-US" w:bidi="ar-SA"/>
    </w:rPr>
  </w:style>
  <w:style w:type="paragraph" w:customStyle="1" w:styleId="InsideTitle">
    <w:name w:val="Inside Title"/>
    <w:basedOn w:val="Normal"/>
    <w:link w:val="InsideTitleChar"/>
    <w:semiHidden/>
    <w:rsid w:val="005F1DE8"/>
    <w:pPr>
      <w:keepNext/>
      <w:spacing w:before="3480"/>
    </w:pPr>
    <w:rPr>
      <w:rFonts w:ascii="Verdana" w:hAnsi="Verdana"/>
      <w:b/>
      <w:sz w:val="32"/>
      <w:szCs w:val="20"/>
    </w:rPr>
  </w:style>
  <w:style w:type="paragraph" w:customStyle="1" w:styleId="InsideSubtitle">
    <w:name w:val="Inside Subtitle"/>
    <w:basedOn w:val="Normal"/>
    <w:semiHidden/>
    <w:rsid w:val="0006362F"/>
    <w:pPr>
      <w:spacing w:before="120" w:after="200"/>
    </w:pPr>
    <w:rPr>
      <w:rFonts w:ascii="Verdana" w:hAnsi="Verdana"/>
      <w:b/>
      <w:i/>
      <w:color w:val="008000"/>
      <w:sz w:val="22"/>
      <w:szCs w:val="22"/>
    </w:rPr>
  </w:style>
  <w:style w:type="paragraph" w:customStyle="1" w:styleId="BulletedList0">
    <w:name w:val="Bulleted List"/>
    <w:basedOn w:val="Normal"/>
    <w:link w:val="BulletedListCharChar"/>
    <w:qFormat/>
    <w:rsid w:val="00904934"/>
    <w:pPr>
      <w:numPr>
        <w:numId w:val="1"/>
      </w:numPr>
      <w:spacing w:after="120" w:line="240" w:lineRule="atLeast"/>
    </w:pPr>
    <w:rPr>
      <w:rFonts w:cs="Tahoma"/>
      <w:spacing w:val="4"/>
      <w:szCs w:val="18"/>
    </w:rPr>
  </w:style>
  <w:style w:type="character" w:customStyle="1" w:styleId="BulletedListCharChar">
    <w:name w:val="Bulleted List Char Char"/>
    <w:basedOn w:val="DefaultParagraphFont"/>
    <w:link w:val="BulletedList0"/>
    <w:rsid w:val="00904934"/>
    <w:rPr>
      <w:rFonts w:ascii="Tahoma" w:hAnsi="Tahoma" w:cs="Tahoma"/>
      <w:spacing w:val="4"/>
      <w:szCs w:val="18"/>
    </w:rPr>
  </w:style>
  <w:style w:type="paragraph" w:customStyle="1" w:styleId="NumberedList">
    <w:name w:val="Numbered List"/>
    <w:link w:val="NumberedListCharChar"/>
    <w:qFormat/>
    <w:rsid w:val="00805E6E"/>
    <w:pPr>
      <w:numPr>
        <w:numId w:val="22"/>
      </w:numPr>
      <w:spacing w:after="120" w:line="240" w:lineRule="atLeast"/>
    </w:pPr>
    <w:rPr>
      <w:rFonts w:ascii="Tahoma" w:hAnsi="Tahoma" w:cs="Tahoma"/>
      <w:spacing w:val="4"/>
      <w:szCs w:val="18"/>
    </w:rPr>
  </w:style>
  <w:style w:type="character" w:customStyle="1" w:styleId="NumberedListCharChar">
    <w:name w:val="Numbered List Char Char"/>
    <w:basedOn w:val="DefaultParagraphFont"/>
    <w:link w:val="NumberedList"/>
    <w:rsid w:val="00805E6E"/>
    <w:rPr>
      <w:rFonts w:ascii="Tahoma" w:hAnsi="Tahoma" w:cs="Tahoma"/>
      <w:spacing w:val="4"/>
      <w:szCs w:val="18"/>
    </w:rPr>
  </w:style>
  <w:style w:type="character" w:customStyle="1" w:styleId="BodyTextChar">
    <w:name w:val="Body Text Char"/>
    <w:basedOn w:val="DefaultParagraphFont"/>
    <w:link w:val="BodyText"/>
    <w:rsid w:val="008B2FBA"/>
    <w:rPr>
      <w:rFonts w:ascii="Tahoma" w:hAnsi="Tahoma"/>
      <w:spacing w:val="4"/>
      <w:szCs w:val="18"/>
    </w:rPr>
  </w:style>
  <w:style w:type="paragraph" w:styleId="BodyText">
    <w:name w:val="Body Text"/>
    <w:basedOn w:val="Normal"/>
    <w:link w:val="BodyTextChar"/>
    <w:qFormat/>
    <w:rsid w:val="008B2FBA"/>
    <w:pPr>
      <w:spacing w:after="120" w:line="240" w:lineRule="atLeast"/>
    </w:pPr>
    <w:rPr>
      <w:spacing w:val="4"/>
      <w:szCs w:val="18"/>
    </w:rPr>
  </w:style>
  <w:style w:type="paragraph" w:customStyle="1" w:styleId="BlockQuotation">
    <w:name w:val="Block Quotation"/>
    <w:basedOn w:val="Normal"/>
    <w:link w:val="BlockQuotationChar"/>
    <w:rsid w:val="00AC5CAB"/>
    <w:pPr>
      <w:spacing w:before="80" w:after="80" w:line="312" w:lineRule="auto"/>
      <w:ind w:left="720"/>
    </w:pPr>
    <w:rPr>
      <w:rFonts w:cs="Tahoma"/>
      <w:spacing w:val="-4"/>
      <w:sz w:val="17"/>
      <w:szCs w:val="17"/>
    </w:rPr>
  </w:style>
  <w:style w:type="character" w:customStyle="1" w:styleId="BlockQuotationChar">
    <w:name w:val="Block Quotation Char"/>
    <w:basedOn w:val="DefaultParagraphFont"/>
    <w:link w:val="BlockQuotation"/>
    <w:rsid w:val="00AC5CAB"/>
    <w:rPr>
      <w:rFonts w:ascii="Tahoma" w:hAnsi="Tahoma" w:cs="Tahoma"/>
      <w:spacing w:val="-4"/>
      <w:sz w:val="17"/>
      <w:szCs w:val="17"/>
    </w:rPr>
  </w:style>
  <w:style w:type="paragraph" w:customStyle="1" w:styleId="TableCaption">
    <w:name w:val="Table Caption"/>
    <w:basedOn w:val="Normal"/>
    <w:link w:val="TableCaptionChar"/>
    <w:rsid w:val="00D7742C"/>
    <w:pPr>
      <w:keepNext/>
      <w:spacing w:before="360" w:after="60"/>
      <w:ind w:left="1440" w:hanging="1440"/>
    </w:pPr>
    <w:rPr>
      <w:b/>
      <w:i/>
      <w:sz w:val="18"/>
      <w:szCs w:val="16"/>
    </w:rPr>
  </w:style>
  <w:style w:type="paragraph" w:customStyle="1" w:styleId="TableText">
    <w:name w:val="Table Text"/>
    <w:basedOn w:val="Normal"/>
    <w:link w:val="TableTextChar"/>
    <w:qFormat/>
    <w:rsid w:val="00675BF9"/>
    <w:pPr>
      <w:jc w:val="center"/>
    </w:pPr>
    <w:rPr>
      <w:rFonts w:ascii="Calibri" w:hAnsi="Calibri" w:cs="Tahoma"/>
      <w:szCs w:val="20"/>
    </w:rPr>
  </w:style>
  <w:style w:type="paragraph" w:customStyle="1" w:styleId="TableHeadings">
    <w:name w:val="Table Headings"/>
    <w:basedOn w:val="TableText"/>
    <w:link w:val="TableHeadingsChar"/>
    <w:rsid w:val="003627AC"/>
    <w:pPr>
      <w:spacing w:before="40" w:after="40"/>
    </w:pPr>
    <w:rPr>
      <w:b/>
      <w:color w:val="FFFFFF" w:themeColor="background1"/>
    </w:rPr>
  </w:style>
  <w:style w:type="paragraph" w:customStyle="1" w:styleId="IndentedBodyText">
    <w:name w:val="Indented Body Text"/>
    <w:basedOn w:val="Normal"/>
    <w:link w:val="IndentedBodyTextChar"/>
    <w:semiHidden/>
    <w:rsid w:val="00C63553"/>
    <w:pPr>
      <w:spacing w:after="120" w:line="240" w:lineRule="atLeast"/>
      <w:ind w:left="360"/>
    </w:pPr>
    <w:rPr>
      <w:rFonts w:cs="Tahoma"/>
      <w:spacing w:val="4"/>
      <w:sz w:val="18"/>
      <w:szCs w:val="18"/>
    </w:rPr>
  </w:style>
  <w:style w:type="character" w:customStyle="1" w:styleId="IndentedBodyTextChar">
    <w:name w:val="Indented Body Text Char"/>
    <w:basedOn w:val="DefaultParagraphFont"/>
    <w:link w:val="IndentedBodyText"/>
    <w:rsid w:val="00C63553"/>
    <w:rPr>
      <w:rFonts w:ascii="Tahoma" w:hAnsi="Tahoma" w:cs="Tahoma"/>
      <w:spacing w:val="4"/>
      <w:sz w:val="18"/>
      <w:szCs w:val="18"/>
      <w:lang w:val="en-US" w:eastAsia="en-US" w:bidi="ar-SA"/>
    </w:rPr>
  </w:style>
  <w:style w:type="paragraph" w:customStyle="1" w:styleId="Chapter">
    <w:name w:val="Chapter"/>
    <w:basedOn w:val="Normal"/>
    <w:semiHidden/>
    <w:rsid w:val="00500201"/>
    <w:pPr>
      <w:framePr w:hSpace="187" w:wrap="around" w:vAnchor="page" w:hAnchor="margin" w:y="1081"/>
    </w:pPr>
    <w:rPr>
      <w:rFonts w:ascii="Verdana" w:hAnsi="Verdana"/>
      <w:caps/>
      <w:color w:val="808080"/>
      <w:sz w:val="22"/>
      <w:szCs w:val="22"/>
    </w:rPr>
  </w:style>
  <w:style w:type="paragraph" w:customStyle="1" w:styleId="ESHeading">
    <w:name w:val="ES Heading"/>
    <w:next w:val="BodyText"/>
    <w:rsid w:val="00AA23C2"/>
    <w:pPr>
      <w:spacing w:before="240" w:after="40"/>
    </w:pPr>
    <w:rPr>
      <w:rFonts w:ascii="Tahoma" w:hAnsi="Tahoma"/>
      <w:b/>
      <w:color w:val="1A1D5D"/>
      <w:sz w:val="22"/>
    </w:rPr>
  </w:style>
  <w:style w:type="paragraph" w:customStyle="1" w:styleId="BulletedListBold">
    <w:name w:val="Bulleted List Bold"/>
    <w:basedOn w:val="BulletedList0"/>
    <w:link w:val="BulletedListBoldChar"/>
    <w:semiHidden/>
    <w:rsid w:val="00794BD9"/>
    <w:rPr>
      <w:b/>
      <w:bCs/>
    </w:rPr>
  </w:style>
  <w:style w:type="character" w:customStyle="1" w:styleId="BulletedListBoldChar">
    <w:name w:val="Bulleted List Bold Char"/>
    <w:basedOn w:val="BulletedListCharChar"/>
    <w:link w:val="BulletedListBold"/>
    <w:semiHidden/>
    <w:rsid w:val="00794BD9"/>
    <w:rPr>
      <w:rFonts w:ascii="Tahoma" w:hAnsi="Tahoma" w:cs="Tahoma"/>
      <w:b/>
      <w:bCs/>
      <w:spacing w:val="4"/>
      <w:szCs w:val="18"/>
    </w:rPr>
  </w:style>
  <w:style w:type="paragraph" w:customStyle="1" w:styleId="NumberedListBold">
    <w:name w:val="Numbered List Bold"/>
    <w:basedOn w:val="NumberedList"/>
    <w:link w:val="NumberedListBoldChar"/>
    <w:semiHidden/>
    <w:rsid w:val="00794BD9"/>
    <w:rPr>
      <w:b/>
      <w:bCs/>
    </w:rPr>
  </w:style>
  <w:style w:type="character" w:customStyle="1" w:styleId="NumberedListBoldChar">
    <w:name w:val="Numbered List Bold Char"/>
    <w:basedOn w:val="NumberedListCharChar"/>
    <w:link w:val="NumberedListBold"/>
    <w:semiHidden/>
    <w:rsid w:val="00794BD9"/>
    <w:rPr>
      <w:rFonts w:ascii="Tahoma" w:hAnsi="Tahoma" w:cs="Tahoma"/>
      <w:b/>
      <w:bCs/>
      <w:spacing w:val="4"/>
      <w:szCs w:val="18"/>
    </w:rPr>
  </w:style>
  <w:style w:type="paragraph" w:styleId="Header">
    <w:name w:val="header"/>
    <w:basedOn w:val="Normal"/>
    <w:link w:val="HeaderChar"/>
    <w:uiPriority w:val="99"/>
    <w:rsid w:val="00D97C75"/>
    <w:pPr>
      <w:pBdr>
        <w:bottom w:val="single" w:sz="4" w:space="1" w:color="999999"/>
      </w:pBdr>
      <w:tabs>
        <w:tab w:val="center" w:pos="4320"/>
        <w:tab w:val="right" w:pos="8640"/>
      </w:tabs>
    </w:pPr>
    <w:rPr>
      <w:rFonts w:ascii="Verdana" w:hAnsi="Verdana"/>
      <w:color w:val="003E74" w:themeColor="text2"/>
      <w:sz w:val="16"/>
      <w:szCs w:val="16"/>
    </w:rPr>
  </w:style>
  <w:style w:type="paragraph" w:styleId="Footer">
    <w:name w:val="footer"/>
    <w:basedOn w:val="Normal"/>
    <w:link w:val="FooterChar"/>
    <w:uiPriority w:val="99"/>
    <w:rsid w:val="00D97C75"/>
    <w:pPr>
      <w:pBdr>
        <w:top w:val="single" w:sz="4" w:space="1" w:color="999999"/>
      </w:pBdr>
      <w:tabs>
        <w:tab w:val="right" w:pos="9009"/>
      </w:tabs>
    </w:pPr>
    <w:rPr>
      <w:rFonts w:ascii="Verdana" w:hAnsi="Verdana"/>
      <w:color w:val="003E74" w:themeColor="text2"/>
      <w:sz w:val="16"/>
      <w:szCs w:val="16"/>
    </w:rPr>
  </w:style>
  <w:style w:type="paragraph" w:customStyle="1" w:styleId="ReportNumber">
    <w:name w:val="Report Number"/>
    <w:basedOn w:val="Normal"/>
    <w:next w:val="ReportDate"/>
    <w:semiHidden/>
    <w:rsid w:val="005F1DE8"/>
    <w:pPr>
      <w:spacing w:before="600"/>
    </w:pPr>
    <w:rPr>
      <w:rFonts w:ascii="Verdana" w:hAnsi="Verdana"/>
      <w:b/>
      <w:color w:val="808080"/>
      <w:sz w:val="18"/>
      <w:szCs w:val="18"/>
    </w:rPr>
  </w:style>
  <w:style w:type="paragraph" w:customStyle="1" w:styleId="ReportDate">
    <w:name w:val="Report Date"/>
    <w:basedOn w:val="ReportNumber"/>
    <w:semiHidden/>
    <w:rsid w:val="005F1DE8"/>
    <w:rPr>
      <w:b w:val="0"/>
    </w:rPr>
  </w:style>
  <w:style w:type="paragraph" w:customStyle="1" w:styleId="ProjectManager">
    <w:name w:val="Project Manager"/>
    <w:basedOn w:val="ReportDate"/>
    <w:semiHidden/>
    <w:rsid w:val="006E11A7"/>
    <w:pPr>
      <w:spacing w:before="3000" w:line="312" w:lineRule="auto"/>
    </w:pPr>
  </w:style>
  <w:style w:type="paragraph" w:customStyle="1" w:styleId="ChapterTitle">
    <w:name w:val="Chapter Title"/>
    <w:basedOn w:val="InsideTitle"/>
    <w:next w:val="BodyText"/>
    <w:link w:val="ChapterTitleChar"/>
    <w:rsid w:val="003627AC"/>
    <w:pPr>
      <w:spacing w:before="600" w:after="600"/>
    </w:pPr>
    <w:rPr>
      <w:rFonts w:ascii="Tahoma" w:hAnsi="Tahoma"/>
      <w:szCs w:val="28"/>
    </w:rPr>
  </w:style>
  <w:style w:type="paragraph" w:styleId="TOC1">
    <w:name w:val="toc 1"/>
    <w:basedOn w:val="ChapterTitle"/>
    <w:next w:val="Normal"/>
    <w:uiPriority w:val="39"/>
    <w:rsid w:val="00D7742C"/>
    <w:pPr>
      <w:numPr>
        <w:numId w:val="14"/>
      </w:numPr>
      <w:tabs>
        <w:tab w:val="left" w:pos="720"/>
        <w:tab w:val="right" w:leader="dot" w:pos="9000"/>
      </w:tabs>
      <w:spacing w:before="240" w:after="0"/>
    </w:pPr>
    <w:rPr>
      <w:sz w:val="20"/>
      <w:szCs w:val="20"/>
    </w:rPr>
  </w:style>
  <w:style w:type="paragraph" w:styleId="TOC2">
    <w:name w:val="toc 2"/>
    <w:basedOn w:val="Heading2"/>
    <w:next w:val="Normal"/>
    <w:uiPriority w:val="39"/>
    <w:rsid w:val="00C55AF2"/>
    <w:pPr>
      <w:keepNext w:val="0"/>
      <w:tabs>
        <w:tab w:val="right" w:leader="dot" w:pos="9000"/>
      </w:tabs>
      <w:spacing w:before="40" w:after="60"/>
      <w:ind w:left="1440" w:hanging="720"/>
    </w:pPr>
    <w:rPr>
      <w:b w:val="0"/>
      <w:color w:val="auto"/>
      <w:sz w:val="20"/>
    </w:rPr>
  </w:style>
  <w:style w:type="paragraph" w:styleId="TOC3">
    <w:name w:val="toc 3"/>
    <w:basedOn w:val="Normal"/>
    <w:next w:val="Normal"/>
    <w:link w:val="TOC3Char"/>
    <w:autoRedefine/>
    <w:uiPriority w:val="39"/>
    <w:rsid w:val="00351A80"/>
    <w:pPr>
      <w:tabs>
        <w:tab w:val="right" w:leader="dot" w:pos="9000"/>
      </w:tabs>
      <w:ind w:left="2347" w:hanging="907"/>
    </w:pPr>
  </w:style>
  <w:style w:type="character" w:styleId="Hyperlink">
    <w:name w:val="Hyperlink"/>
    <w:basedOn w:val="DefaultParagraphFont"/>
    <w:uiPriority w:val="99"/>
    <w:rsid w:val="008554E6"/>
    <w:rPr>
      <w:color w:val="0000FF"/>
      <w:u w:val="single"/>
    </w:rPr>
  </w:style>
  <w:style w:type="paragraph" w:customStyle="1" w:styleId="ContentsTitle">
    <w:name w:val="Contents Title"/>
    <w:basedOn w:val="ChapterTitle"/>
    <w:semiHidden/>
    <w:rsid w:val="007140C2"/>
  </w:style>
  <w:style w:type="character" w:styleId="PageNumber">
    <w:name w:val="page number"/>
    <w:basedOn w:val="DefaultParagraphFont"/>
    <w:rsid w:val="00AE565E"/>
    <w:rPr>
      <w:rFonts w:ascii="Verdana" w:hAnsi="Verdana"/>
      <w:color w:val="008000"/>
      <w:sz w:val="16"/>
    </w:rPr>
  </w:style>
  <w:style w:type="numbering" w:styleId="111111">
    <w:name w:val="Outline List 2"/>
    <w:basedOn w:val="NoList"/>
    <w:semiHidden/>
    <w:rsid w:val="00FD5585"/>
    <w:pPr>
      <w:numPr>
        <w:numId w:val="13"/>
      </w:numPr>
    </w:pPr>
  </w:style>
  <w:style w:type="table" w:customStyle="1" w:styleId="AEGReportTable">
    <w:name w:val="AEG Report Table"/>
    <w:basedOn w:val="TableNormal"/>
    <w:rsid w:val="00E32910"/>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vAlign w:val="center"/>
    </w:tcPr>
    <w:tblStylePr w:type="firstRow">
      <w:pPr>
        <w:jc w:val="center"/>
      </w:pPr>
      <w:rPr>
        <w:rFonts w:ascii="Calibri" w:hAnsi="Calibri"/>
        <w:b/>
        <w:color w:val="FFFFFF" w:themeColor="background1"/>
        <w:sz w:val="20"/>
      </w:rPr>
      <w:tblPr/>
      <w:tcPr>
        <w:shd w:val="clear" w:color="auto" w:fill="003E74" w:themeFill="text2"/>
        <w:vAlign w:val="bottom"/>
      </w:tcPr>
    </w:tblStylePr>
  </w:style>
  <w:style w:type="paragraph" w:styleId="BodyText2">
    <w:name w:val="Body Text 2"/>
    <w:basedOn w:val="Normal"/>
    <w:link w:val="BodyText2Char"/>
    <w:semiHidden/>
    <w:rsid w:val="00FD5585"/>
    <w:pPr>
      <w:spacing w:after="120" w:line="480" w:lineRule="auto"/>
    </w:pPr>
  </w:style>
  <w:style w:type="paragraph" w:styleId="BodyText3">
    <w:name w:val="Body Text 3"/>
    <w:basedOn w:val="Normal"/>
    <w:link w:val="BodyText3Char"/>
    <w:semiHidden/>
    <w:rsid w:val="00FD5585"/>
    <w:pPr>
      <w:spacing w:after="120"/>
    </w:pPr>
    <w:rPr>
      <w:sz w:val="16"/>
      <w:szCs w:val="16"/>
    </w:rPr>
  </w:style>
  <w:style w:type="table" w:styleId="TableColorful2">
    <w:name w:val="Table Colorful 2"/>
    <w:basedOn w:val="TableNormal"/>
    <w:semiHidden/>
    <w:rsid w:val="00FD558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558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558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558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558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558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558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558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558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5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558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558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558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558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558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558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558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558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558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558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558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558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558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558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558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558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558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558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558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558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558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558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5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558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558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558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TOC2"/>
    <w:next w:val="Normal"/>
    <w:uiPriority w:val="99"/>
    <w:rsid w:val="00634203"/>
    <w:pPr>
      <w:ind w:left="1274" w:hanging="1274"/>
    </w:pPr>
  </w:style>
  <w:style w:type="paragraph" w:customStyle="1" w:styleId="Figure">
    <w:name w:val="Figure"/>
    <w:basedOn w:val="BodyText"/>
    <w:rsid w:val="008A786B"/>
    <w:pPr>
      <w:keepNext/>
      <w:spacing w:before="240" w:after="0" w:line="240" w:lineRule="auto"/>
    </w:pPr>
  </w:style>
  <w:style w:type="paragraph" w:customStyle="1" w:styleId="FigureCaption">
    <w:name w:val="Figure Caption"/>
    <w:basedOn w:val="TableCaption"/>
    <w:next w:val="BodyText"/>
    <w:rsid w:val="00B16F29"/>
    <w:pPr>
      <w:keepNext w:val="0"/>
      <w:spacing w:before="60" w:after="240"/>
    </w:pPr>
  </w:style>
  <w:style w:type="paragraph" w:styleId="FootnoteText">
    <w:name w:val="footnote text"/>
    <w:aliases w:val="TBG Style,Footnote Text1 Char,Footnote Text Char Ch,ALTS FOOTNOTE,Footnote Text 2,fn,Footnote text,FOOTNOTE"/>
    <w:link w:val="FootnoteTextChar"/>
    <w:rsid w:val="00D156E0"/>
    <w:rPr>
      <w:rFonts w:ascii="Tahoma" w:hAnsi="Tahoma"/>
      <w:sz w:val="15"/>
      <w:szCs w:val="15"/>
    </w:rPr>
  </w:style>
  <w:style w:type="character" w:styleId="FootnoteReference">
    <w:name w:val="footnote reference"/>
    <w:basedOn w:val="DefaultParagraphFont"/>
    <w:rsid w:val="00C122EB"/>
    <w:rPr>
      <w:rFonts w:ascii="Tahoma" w:hAnsi="Tahoma"/>
      <w:dstrike w:val="0"/>
      <w:sz w:val="16"/>
      <w:szCs w:val="18"/>
      <w:vertAlign w:val="superscript"/>
    </w:rPr>
  </w:style>
  <w:style w:type="numbering" w:styleId="1ai">
    <w:name w:val="Outline List 1"/>
    <w:basedOn w:val="NoList"/>
    <w:semiHidden/>
    <w:rsid w:val="00DF1839"/>
    <w:pPr>
      <w:numPr>
        <w:numId w:val="15"/>
      </w:numPr>
    </w:pPr>
  </w:style>
  <w:style w:type="numbering" w:styleId="ArticleSection">
    <w:name w:val="Outline List 3"/>
    <w:basedOn w:val="NoList"/>
    <w:semiHidden/>
    <w:rsid w:val="00DF1839"/>
    <w:pPr>
      <w:numPr>
        <w:numId w:val="16"/>
      </w:numPr>
    </w:pPr>
  </w:style>
  <w:style w:type="paragraph" w:styleId="BlockText">
    <w:name w:val="Block Text"/>
    <w:basedOn w:val="Normal"/>
    <w:semiHidden/>
    <w:rsid w:val="00DF1839"/>
    <w:pPr>
      <w:spacing w:after="120"/>
      <w:ind w:left="1440" w:right="1440"/>
    </w:pPr>
  </w:style>
  <w:style w:type="paragraph" w:styleId="BodyTextFirstIndent">
    <w:name w:val="Body Text First Indent"/>
    <w:basedOn w:val="BodyText"/>
    <w:link w:val="BodyTextFirstIndentChar"/>
    <w:semiHidden/>
    <w:rsid w:val="00DF1839"/>
    <w:pPr>
      <w:spacing w:line="240" w:lineRule="auto"/>
      <w:ind w:firstLine="210"/>
    </w:pPr>
    <w:rPr>
      <w:rFonts w:ascii="Times New Roman" w:hAnsi="Times New Roman"/>
      <w:spacing w:val="0"/>
      <w:sz w:val="24"/>
      <w:szCs w:val="24"/>
    </w:rPr>
  </w:style>
  <w:style w:type="paragraph" w:styleId="BodyTextIndent">
    <w:name w:val="Body Text Indent"/>
    <w:basedOn w:val="Normal"/>
    <w:link w:val="BodyTextIndentChar"/>
    <w:semiHidden/>
    <w:rsid w:val="00DF1839"/>
    <w:pPr>
      <w:spacing w:after="120"/>
      <w:ind w:left="360"/>
    </w:pPr>
  </w:style>
  <w:style w:type="paragraph" w:styleId="BodyTextFirstIndent2">
    <w:name w:val="Body Text First Indent 2"/>
    <w:basedOn w:val="BodyTextIndent"/>
    <w:link w:val="BodyTextFirstIndent2Char"/>
    <w:semiHidden/>
    <w:rsid w:val="00DF1839"/>
    <w:pPr>
      <w:ind w:firstLine="210"/>
    </w:pPr>
  </w:style>
  <w:style w:type="paragraph" w:styleId="BodyTextIndent2">
    <w:name w:val="Body Text Indent 2"/>
    <w:basedOn w:val="Normal"/>
    <w:link w:val="BodyTextIndent2Char"/>
    <w:semiHidden/>
    <w:rsid w:val="00DF1839"/>
    <w:pPr>
      <w:spacing w:after="120" w:line="480" w:lineRule="auto"/>
      <w:ind w:left="360"/>
    </w:pPr>
  </w:style>
  <w:style w:type="paragraph" w:styleId="BodyTextIndent3">
    <w:name w:val="Body Text Indent 3"/>
    <w:basedOn w:val="Normal"/>
    <w:link w:val="BodyTextIndent3Char"/>
    <w:semiHidden/>
    <w:rsid w:val="00DF1839"/>
    <w:pPr>
      <w:spacing w:after="120"/>
      <w:ind w:left="360"/>
    </w:pPr>
    <w:rPr>
      <w:sz w:val="16"/>
      <w:szCs w:val="16"/>
    </w:rPr>
  </w:style>
  <w:style w:type="paragraph" w:styleId="Closing">
    <w:name w:val="Closing"/>
    <w:basedOn w:val="Normal"/>
    <w:link w:val="ClosingChar"/>
    <w:semiHidden/>
    <w:rsid w:val="00DF1839"/>
    <w:pPr>
      <w:ind w:left="4320"/>
    </w:pPr>
  </w:style>
  <w:style w:type="paragraph" w:styleId="E-mailSignature">
    <w:name w:val="E-mail Signature"/>
    <w:basedOn w:val="Normal"/>
    <w:link w:val="E-mailSignatureChar"/>
    <w:semiHidden/>
    <w:rsid w:val="00DF1839"/>
  </w:style>
  <w:style w:type="character" w:styleId="Emphasis">
    <w:name w:val="Emphasis"/>
    <w:basedOn w:val="DefaultParagraphFont"/>
    <w:uiPriority w:val="99"/>
    <w:qFormat/>
    <w:rsid w:val="00AA23C2"/>
    <w:rPr>
      <w:rFonts w:ascii="Tahoma" w:hAnsi="Tahoma"/>
      <w:b/>
      <w:iCs/>
      <w:color w:val="1A1D5D"/>
      <w:sz w:val="20"/>
    </w:rPr>
  </w:style>
  <w:style w:type="paragraph" w:styleId="EnvelopeAddress">
    <w:name w:val="envelope address"/>
    <w:basedOn w:val="Normal"/>
    <w:semiHidden/>
    <w:rsid w:val="00DF183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F1839"/>
    <w:rPr>
      <w:rFonts w:ascii="Arial" w:hAnsi="Arial" w:cs="Arial"/>
      <w:szCs w:val="20"/>
    </w:rPr>
  </w:style>
  <w:style w:type="character" w:styleId="FollowedHyperlink">
    <w:name w:val="FollowedHyperlink"/>
    <w:basedOn w:val="DefaultParagraphFont"/>
    <w:uiPriority w:val="99"/>
    <w:semiHidden/>
    <w:rsid w:val="00DF1839"/>
    <w:rPr>
      <w:color w:val="800080"/>
      <w:u w:val="single"/>
    </w:rPr>
  </w:style>
  <w:style w:type="character" w:styleId="HTMLAcronym">
    <w:name w:val="HTML Acronym"/>
    <w:basedOn w:val="DefaultParagraphFont"/>
    <w:semiHidden/>
    <w:rsid w:val="00DF1839"/>
  </w:style>
  <w:style w:type="paragraph" w:styleId="HTMLAddress">
    <w:name w:val="HTML Address"/>
    <w:basedOn w:val="Normal"/>
    <w:link w:val="HTMLAddressChar"/>
    <w:semiHidden/>
    <w:rsid w:val="00DF1839"/>
    <w:rPr>
      <w:i/>
      <w:iCs/>
    </w:rPr>
  </w:style>
  <w:style w:type="character" w:styleId="HTMLCite">
    <w:name w:val="HTML Cite"/>
    <w:basedOn w:val="DefaultParagraphFont"/>
    <w:semiHidden/>
    <w:rsid w:val="00DF1839"/>
    <w:rPr>
      <w:i/>
      <w:iCs/>
    </w:rPr>
  </w:style>
  <w:style w:type="character" w:styleId="HTMLCode">
    <w:name w:val="HTML Code"/>
    <w:basedOn w:val="DefaultParagraphFont"/>
    <w:semiHidden/>
    <w:rsid w:val="00DF1839"/>
    <w:rPr>
      <w:rFonts w:ascii="Courier New" w:hAnsi="Courier New" w:cs="Courier New"/>
      <w:sz w:val="20"/>
      <w:szCs w:val="20"/>
    </w:rPr>
  </w:style>
  <w:style w:type="character" w:styleId="HTMLDefinition">
    <w:name w:val="HTML Definition"/>
    <w:basedOn w:val="DefaultParagraphFont"/>
    <w:semiHidden/>
    <w:rsid w:val="00DF1839"/>
    <w:rPr>
      <w:i/>
      <w:iCs/>
    </w:rPr>
  </w:style>
  <w:style w:type="character" w:styleId="HTMLKeyboard">
    <w:name w:val="HTML Keyboard"/>
    <w:basedOn w:val="DefaultParagraphFont"/>
    <w:semiHidden/>
    <w:rsid w:val="00DF1839"/>
    <w:rPr>
      <w:rFonts w:ascii="Courier New" w:hAnsi="Courier New" w:cs="Courier New"/>
      <w:sz w:val="20"/>
      <w:szCs w:val="20"/>
    </w:rPr>
  </w:style>
  <w:style w:type="paragraph" w:styleId="HTMLPreformatted">
    <w:name w:val="HTML Preformatted"/>
    <w:basedOn w:val="Normal"/>
    <w:link w:val="HTMLPreformattedChar"/>
    <w:semiHidden/>
    <w:rsid w:val="00DF1839"/>
    <w:rPr>
      <w:rFonts w:ascii="Courier New" w:hAnsi="Courier New" w:cs="Courier New"/>
      <w:szCs w:val="20"/>
    </w:rPr>
  </w:style>
  <w:style w:type="character" w:styleId="HTMLSample">
    <w:name w:val="HTML Sample"/>
    <w:basedOn w:val="DefaultParagraphFont"/>
    <w:semiHidden/>
    <w:rsid w:val="00DF1839"/>
    <w:rPr>
      <w:rFonts w:ascii="Courier New" w:hAnsi="Courier New" w:cs="Courier New"/>
    </w:rPr>
  </w:style>
  <w:style w:type="character" w:styleId="HTMLTypewriter">
    <w:name w:val="HTML Typewriter"/>
    <w:basedOn w:val="DefaultParagraphFont"/>
    <w:semiHidden/>
    <w:rsid w:val="00DF1839"/>
    <w:rPr>
      <w:rFonts w:ascii="Courier New" w:hAnsi="Courier New" w:cs="Courier New"/>
      <w:sz w:val="20"/>
      <w:szCs w:val="20"/>
    </w:rPr>
  </w:style>
  <w:style w:type="character" w:styleId="HTMLVariable">
    <w:name w:val="HTML Variable"/>
    <w:basedOn w:val="DefaultParagraphFont"/>
    <w:semiHidden/>
    <w:rsid w:val="00DF1839"/>
    <w:rPr>
      <w:i/>
      <w:iCs/>
    </w:rPr>
  </w:style>
  <w:style w:type="character" w:styleId="LineNumber">
    <w:name w:val="line number"/>
    <w:basedOn w:val="DefaultParagraphFont"/>
    <w:semiHidden/>
    <w:rsid w:val="00DF1839"/>
  </w:style>
  <w:style w:type="paragraph" w:styleId="List">
    <w:name w:val="List"/>
    <w:basedOn w:val="Normal"/>
    <w:semiHidden/>
    <w:rsid w:val="00DF1839"/>
    <w:pPr>
      <w:ind w:left="360" w:hanging="360"/>
    </w:pPr>
  </w:style>
  <w:style w:type="paragraph" w:styleId="List2">
    <w:name w:val="List 2"/>
    <w:basedOn w:val="Normal"/>
    <w:semiHidden/>
    <w:rsid w:val="00DF1839"/>
    <w:pPr>
      <w:ind w:left="720" w:hanging="360"/>
    </w:pPr>
  </w:style>
  <w:style w:type="paragraph" w:styleId="List3">
    <w:name w:val="List 3"/>
    <w:basedOn w:val="Normal"/>
    <w:semiHidden/>
    <w:rsid w:val="00DF1839"/>
    <w:pPr>
      <w:ind w:left="1080" w:hanging="360"/>
    </w:pPr>
  </w:style>
  <w:style w:type="paragraph" w:styleId="List4">
    <w:name w:val="List 4"/>
    <w:basedOn w:val="Normal"/>
    <w:semiHidden/>
    <w:rsid w:val="00DF1839"/>
    <w:pPr>
      <w:ind w:left="1440" w:hanging="360"/>
    </w:pPr>
  </w:style>
  <w:style w:type="paragraph" w:styleId="List5">
    <w:name w:val="List 5"/>
    <w:basedOn w:val="Normal"/>
    <w:semiHidden/>
    <w:rsid w:val="00DF1839"/>
    <w:pPr>
      <w:ind w:left="1800" w:hanging="360"/>
    </w:pPr>
  </w:style>
  <w:style w:type="paragraph" w:styleId="ListBullet">
    <w:name w:val="List Bullet"/>
    <w:basedOn w:val="Normal"/>
    <w:semiHidden/>
    <w:rsid w:val="00DF1839"/>
    <w:pPr>
      <w:numPr>
        <w:numId w:val="3"/>
      </w:numPr>
    </w:pPr>
  </w:style>
  <w:style w:type="paragraph" w:styleId="ListBullet2">
    <w:name w:val="List Bullet 2"/>
    <w:basedOn w:val="Normal"/>
    <w:semiHidden/>
    <w:rsid w:val="00DF1839"/>
    <w:pPr>
      <w:numPr>
        <w:numId w:val="4"/>
      </w:numPr>
    </w:pPr>
  </w:style>
  <w:style w:type="paragraph" w:styleId="ListBullet3">
    <w:name w:val="List Bullet 3"/>
    <w:basedOn w:val="Normal"/>
    <w:semiHidden/>
    <w:rsid w:val="00DF1839"/>
    <w:pPr>
      <w:numPr>
        <w:numId w:val="5"/>
      </w:numPr>
    </w:pPr>
  </w:style>
  <w:style w:type="paragraph" w:styleId="ListBullet4">
    <w:name w:val="List Bullet 4"/>
    <w:basedOn w:val="Normal"/>
    <w:semiHidden/>
    <w:rsid w:val="00DF1839"/>
    <w:pPr>
      <w:numPr>
        <w:numId w:val="6"/>
      </w:numPr>
    </w:pPr>
  </w:style>
  <w:style w:type="paragraph" w:styleId="ListBullet5">
    <w:name w:val="List Bullet 5"/>
    <w:basedOn w:val="Normal"/>
    <w:semiHidden/>
    <w:rsid w:val="00DF1839"/>
    <w:pPr>
      <w:numPr>
        <w:numId w:val="7"/>
      </w:numPr>
    </w:pPr>
  </w:style>
  <w:style w:type="paragraph" w:styleId="ListContinue">
    <w:name w:val="List Continue"/>
    <w:basedOn w:val="Normal"/>
    <w:semiHidden/>
    <w:rsid w:val="00DF1839"/>
    <w:pPr>
      <w:spacing w:after="120"/>
      <w:ind w:left="360"/>
    </w:pPr>
  </w:style>
  <w:style w:type="paragraph" w:styleId="ListContinue2">
    <w:name w:val="List Continue 2"/>
    <w:basedOn w:val="Normal"/>
    <w:semiHidden/>
    <w:rsid w:val="00DF1839"/>
    <w:pPr>
      <w:spacing w:after="120"/>
      <w:ind w:left="720"/>
    </w:pPr>
  </w:style>
  <w:style w:type="paragraph" w:styleId="ListContinue3">
    <w:name w:val="List Continue 3"/>
    <w:basedOn w:val="Normal"/>
    <w:semiHidden/>
    <w:rsid w:val="00DF1839"/>
    <w:pPr>
      <w:spacing w:after="120"/>
      <w:ind w:left="1080"/>
    </w:pPr>
  </w:style>
  <w:style w:type="paragraph" w:styleId="ListContinue4">
    <w:name w:val="List Continue 4"/>
    <w:basedOn w:val="Normal"/>
    <w:semiHidden/>
    <w:rsid w:val="00DF1839"/>
    <w:pPr>
      <w:spacing w:after="120"/>
      <w:ind w:left="1440"/>
    </w:pPr>
  </w:style>
  <w:style w:type="paragraph" w:styleId="ListContinue5">
    <w:name w:val="List Continue 5"/>
    <w:basedOn w:val="Normal"/>
    <w:semiHidden/>
    <w:rsid w:val="00DF1839"/>
    <w:pPr>
      <w:spacing w:after="120"/>
      <w:ind w:left="1800"/>
    </w:pPr>
  </w:style>
  <w:style w:type="paragraph" w:styleId="ListNumber">
    <w:name w:val="List Number"/>
    <w:basedOn w:val="Normal"/>
    <w:semiHidden/>
    <w:rsid w:val="00DF1839"/>
    <w:pPr>
      <w:numPr>
        <w:numId w:val="8"/>
      </w:numPr>
    </w:pPr>
  </w:style>
  <w:style w:type="paragraph" w:styleId="ListNumber2">
    <w:name w:val="List Number 2"/>
    <w:basedOn w:val="Normal"/>
    <w:semiHidden/>
    <w:rsid w:val="00DF1839"/>
    <w:pPr>
      <w:numPr>
        <w:numId w:val="9"/>
      </w:numPr>
    </w:pPr>
  </w:style>
  <w:style w:type="paragraph" w:styleId="ListNumber3">
    <w:name w:val="List Number 3"/>
    <w:basedOn w:val="Normal"/>
    <w:semiHidden/>
    <w:rsid w:val="00DF1839"/>
    <w:pPr>
      <w:numPr>
        <w:numId w:val="10"/>
      </w:numPr>
    </w:pPr>
  </w:style>
  <w:style w:type="paragraph" w:styleId="ListNumber4">
    <w:name w:val="List Number 4"/>
    <w:basedOn w:val="Normal"/>
    <w:semiHidden/>
    <w:rsid w:val="00DF1839"/>
    <w:pPr>
      <w:numPr>
        <w:numId w:val="11"/>
      </w:numPr>
    </w:pPr>
  </w:style>
  <w:style w:type="paragraph" w:styleId="ListNumber5">
    <w:name w:val="List Number 5"/>
    <w:basedOn w:val="Normal"/>
    <w:semiHidden/>
    <w:rsid w:val="00DF1839"/>
    <w:pPr>
      <w:numPr>
        <w:numId w:val="12"/>
      </w:numPr>
    </w:pPr>
  </w:style>
  <w:style w:type="paragraph" w:styleId="MessageHeader">
    <w:name w:val="Message Header"/>
    <w:basedOn w:val="Normal"/>
    <w:link w:val="MessageHeaderChar"/>
    <w:semiHidden/>
    <w:rsid w:val="00DF18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F1839"/>
  </w:style>
  <w:style w:type="paragraph" w:styleId="NormalIndent">
    <w:name w:val="Normal Indent"/>
    <w:basedOn w:val="Normal"/>
    <w:semiHidden/>
    <w:rsid w:val="00DF1839"/>
    <w:pPr>
      <w:ind w:left="720"/>
    </w:pPr>
  </w:style>
  <w:style w:type="paragraph" w:styleId="NoteHeading">
    <w:name w:val="Note Heading"/>
    <w:basedOn w:val="Normal"/>
    <w:next w:val="Normal"/>
    <w:link w:val="NoteHeadingChar"/>
    <w:semiHidden/>
    <w:rsid w:val="00DF1839"/>
  </w:style>
  <w:style w:type="paragraph" w:styleId="PlainText">
    <w:name w:val="Plain Text"/>
    <w:basedOn w:val="Normal"/>
    <w:link w:val="PlainTextChar"/>
    <w:semiHidden/>
    <w:rsid w:val="00DF1839"/>
    <w:rPr>
      <w:rFonts w:ascii="Courier New" w:hAnsi="Courier New" w:cs="Courier New"/>
      <w:szCs w:val="20"/>
    </w:rPr>
  </w:style>
  <w:style w:type="paragraph" w:styleId="Salutation">
    <w:name w:val="Salutation"/>
    <w:basedOn w:val="Normal"/>
    <w:next w:val="Normal"/>
    <w:link w:val="SalutationChar"/>
    <w:semiHidden/>
    <w:rsid w:val="00DF1839"/>
  </w:style>
  <w:style w:type="paragraph" w:styleId="Signature">
    <w:name w:val="Signature"/>
    <w:basedOn w:val="Normal"/>
    <w:link w:val="SignatureChar"/>
    <w:semiHidden/>
    <w:rsid w:val="00DF1839"/>
    <w:pPr>
      <w:ind w:left="4320"/>
    </w:pPr>
  </w:style>
  <w:style w:type="paragraph" w:styleId="TOC4">
    <w:name w:val="toc 4"/>
    <w:basedOn w:val="Normal"/>
    <w:next w:val="Normal"/>
    <w:autoRedefine/>
    <w:uiPriority w:val="39"/>
    <w:rsid w:val="00351A80"/>
    <w:pPr>
      <w:spacing w:after="100"/>
      <w:ind w:left="600"/>
    </w:pPr>
  </w:style>
  <w:style w:type="table" w:styleId="Table3Deffects1">
    <w:name w:val="Table 3D effects 1"/>
    <w:basedOn w:val="TableNormal"/>
    <w:semiHidden/>
    <w:rsid w:val="00DF183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183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183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183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183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183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183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183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Date">
    <w:name w:val="Date"/>
    <w:basedOn w:val="Normal"/>
    <w:next w:val="Normal"/>
    <w:link w:val="DateChar"/>
    <w:semiHidden/>
    <w:rsid w:val="00DF1839"/>
  </w:style>
  <w:style w:type="character" w:customStyle="1" w:styleId="BodyTextChar1">
    <w:name w:val="Body Text Char1"/>
    <w:basedOn w:val="DefaultParagraphFont"/>
    <w:rsid w:val="00AA71E5"/>
    <w:rPr>
      <w:rFonts w:ascii="Tahoma" w:hAnsi="Tahoma"/>
      <w:spacing w:val="4"/>
      <w:sz w:val="18"/>
      <w:szCs w:val="18"/>
      <w:lang w:val="en-US" w:eastAsia="en-US" w:bidi="ar-SA"/>
    </w:rPr>
  </w:style>
  <w:style w:type="paragraph" w:styleId="BalloonText">
    <w:name w:val="Balloon Text"/>
    <w:basedOn w:val="Normal"/>
    <w:link w:val="BalloonTextChar"/>
    <w:rsid w:val="00944D49"/>
    <w:rPr>
      <w:rFonts w:cs="Tahoma"/>
      <w:sz w:val="16"/>
      <w:szCs w:val="16"/>
    </w:rPr>
  </w:style>
  <w:style w:type="character" w:customStyle="1" w:styleId="BalloonTextChar">
    <w:name w:val="Balloon Text Char"/>
    <w:basedOn w:val="DefaultParagraphFont"/>
    <w:link w:val="BalloonText"/>
    <w:rsid w:val="00944D49"/>
    <w:rPr>
      <w:rFonts w:ascii="Tahoma" w:hAnsi="Tahoma" w:cs="Tahoma"/>
      <w:sz w:val="16"/>
      <w:szCs w:val="16"/>
    </w:rPr>
  </w:style>
  <w:style w:type="paragraph" w:customStyle="1" w:styleId="AppendixTitle">
    <w:name w:val="Appendix Title"/>
    <w:basedOn w:val="ChapterTitle"/>
    <w:next w:val="BodyText"/>
    <w:link w:val="AppendixTitleChar"/>
    <w:rsid w:val="00351A80"/>
  </w:style>
  <w:style w:type="paragraph" w:styleId="TOC6">
    <w:name w:val="toc 6"/>
    <w:basedOn w:val="AppendixTitle"/>
    <w:next w:val="Normal"/>
    <w:autoRedefine/>
    <w:uiPriority w:val="39"/>
    <w:rsid w:val="00B71114"/>
    <w:pPr>
      <w:keepNext w:val="0"/>
      <w:numPr>
        <w:numId w:val="18"/>
      </w:numPr>
      <w:tabs>
        <w:tab w:val="right" w:leader="dot" w:pos="9000"/>
      </w:tabs>
      <w:spacing w:before="240" w:after="100"/>
    </w:pPr>
    <w:rPr>
      <w:noProof/>
      <w:sz w:val="20"/>
    </w:rPr>
  </w:style>
  <w:style w:type="character" w:customStyle="1" w:styleId="InsideTitleChar">
    <w:name w:val="Inside Title Char"/>
    <w:basedOn w:val="DefaultParagraphFont"/>
    <w:link w:val="InsideTitle"/>
    <w:semiHidden/>
    <w:rsid w:val="009A6F01"/>
    <w:rPr>
      <w:rFonts w:ascii="Verdana" w:hAnsi="Verdana"/>
      <w:b/>
      <w:sz w:val="32"/>
    </w:rPr>
  </w:style>
  <w:style w:type="character" w:customStyle="1" w:styleId="ChapterTitleChar">
    <w:name w:val="Chapter Title Char"/>
    <w:basedOn w:val="InsideTitleChar"/>
    <w:link w:val="ChapterTitle"/>
    <w:rsid w:val="003627AC"/>
    <w:rPr>
      <w:rFonts w:ascii="Tahoma" w:hAnsi="Tahoma"/>
      <w:b/>
      <w:sz w:val="32"/>
      <w:szCs w:val="28"/>
    </w:rPr>
  </w:style>
  <w:style w:type="character" w:customStyle="1" w:styleId="Heading6Char">
    <w:name w:val="Heading 6 Char"/>
    <w:aliases w:val="Appendix Level Char"/>
    <w:basedOn w:val="ChapterTitleChar"/>
    <w:link w:val="Heading6"/>
    <w:rsid w:val="00FB28E3"/>
    <w:rPr>
      <w:rFonts w:ascii="Verdana" w:hAnsi="Verdana"/>
      <w:b/>
      <w:bCs/>
      <w:color w:val="808080" w:themeColor="background1" w:themeShade="80"/>
      <w:sz w:val="22"/>
      <w:szCs w:val="22"/>
    </w:rPr>
  </w:style>
  <w:style w:type="character" w:customStyle="1" w:styleId="AppendixTitleChar">
    <w:name w:val="Appendix Title Char"/>
    <w:basedOn w:val="ChapterTitleChar"/>
    <w:link w:val="AppendixTitle"/>
    <w:rsid w:val="00351A80"/>
    <w:rPr>
      <w:rFonts w:ascii="Tahoma" w:hAnsi="Tahoma"/>
      <w:b/>
      <w:caps w:val="0"/>
      <w:sz w:val="28"/>
      <w:szCs w:val="28"/>
    </w:rPr>
  </w:style>
  <w:style w:type="character" w:customStyle="1" w:styleId="Heading3Char">
    <w:name w:val="Heading 3 Char"/>
    <w:aliases w:val="2nd Lvl Head Char"/>
    <w:basedOn w:val="DefaultParagraphFont"/>
    <w:link w:val="Heading3"/>
    <w:rsid w:val="00BD0E72"/>
    <w:rPr>
      <w:rFonts w:ascii="Tahoma" w:hAnsi="Tahoma" w:cs="Arial"/>
      <w:b/>
      <w:bCs/>
      <w:sz w:val="22"/>
      <w:szCs w:val="18"/>
    </w:rPr>
  </w:style>
  <w:style w:type="character" w:customStyle="1" w:styleId="TOC3Char">
    <w:name w:val="TOC 3 Char"/>
    <w:basedOn w:val="Heading3Char"/>
    <w:link w:val="TOC3"/>
    <w:uiPriority w:val="39"/>
    <w:rsid w:val="00351A80"/>
    <w:rPr>
      <w:rFonts w:ascii="Tahoma" w:hAnsi="Tahoma" w:cs="Arial"/>
      <w:b/>
      <w:bCs/>
      <w:sz w:val="22"/>
      <w:szCs w:val="24"/>
    </w:rPr>
  </w:style>
  <w:style w:type="paragraph" w:styleId="TOCHeading">
    <w:name w:val="TOC Heading"/>
    <w:basedOn w:val="Heading1"/>
    <w:next w:val="Normal"/>
    <w:uiPriority w:val="39"/>
    <w:unhideWhenUsed/>
    <w:rsid w:val="001B22C7"/>
    <w:pPr>
      <w:keepNext/>
      <w:keepLines/>
      <w:numPr>
        <w:numId w:val="0"/>
      </w:numPr>
      <w:spacing w:before="480" w:line="276" w:lineRule="auto"/>
      <w:outlineLvl w:val="9"/>
    </w:pPr>
    <w:rPr>
      <w:rFonts w:asciiTheme="majorHAnsi" w:eastAsiaTheme="majorEastAsia" w:hAnsiTheme="majorHAnsi" w:cstheme="majorBidi"/>
      <w:bCs/>
      <w:caps w:val="0"/>
      <w:color w:val="000060"/>
      <w:sz w:val="28"/>
      <w:szCs w:val="28"/>
    </w:rPr>
  </w:style>
  <w:style w:type="table" w:customStyle="1" w:styleId="LightShading-Accent11">
    <w:name w:val="Light Shading - Accent 11"/>
    <w:basedOn w:val="TableNormal"/>
    <w:uiPriority w:val="60"/>
    <w:rsid w:val="00184364"/>
    <w:rPr>
      <w:color w:val="395975" w:themeColor="accent1" w:themeShade="BF"/>
    </w:rPr>
    <w:tblPr>
      <w:tblStyleRowBandSize w:val="1"/>
      <w:tblStyleColBandSize w:val="1"/>
      <w:tblBorders>
        <w:top w:val="single" w:sz="8" w:space="0" w:color="4C789D" w:themeColor="accent1"/>
        <w:bottom w:val="single" w:sz="8" w:space="0" w:color="4C789D" w:themeColor="accent1"/>
      </w:tblBorders>
    </w:tblPr>
    <w:tblStylePr w:type="firstRow">
      <w:pPr>
        <w:spacing w:before="0" w:after="0" w:line="240" w:lineRule="auto"/>
      </w:pPr>
      <w:rPr>
        <w:b/>
        <w:bCs/>
      </w:rPr>
      <w:tblPr/>
      <w:tcPr>
        <w:tcBorders>
          <w:top w:val="single" w:sz="8" w:space="0" w:color="4C789D" w:themeColor="accent1"/>
          <w:left w:val="nil"/>
          <w:bottom w:val="single" w:sz="8" w:space="0" w:color="4C789D" w:themeColor="accent1"/>
          <w:right w:val="nil"/>
          <w:insideH w:val="nil"/>
          <w:insideV w:val="nil"/>
        </w:tcBorders>
      </w:tcPr>
    </w:tblStylePr>
    <w:tblStylePr w:type="lastRow">
      <w:pPr>
        <w:spacing w:before="0" w:after="0" w:line="240" w:lineRule="auto"/>
      </w:pPr>
      <w:rPr>
        <w:b/>
        <w:bCs/>
      </w:rPr>
      <w:tblPr/>
      <w:tcPr>
        <w:tcBorders>
          <w:top w:val="single" w:sz="8" w:space="0" w:color="4C789D" w:themeColor="accent1"/>
          <w:left w:val="nil"/>
          <w:bottom w:val="single" w:sz="8" w:space="0" w:color="4C789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8" w:themeFill="accent1" w:themeFillTint="3F"/>
      </w:tcPr>
    </w:tblStylePr>
    <w:tblStylePr w:type="band1Horz">
      <w:tblPr/>
      <w:tcPr>
        <w:tcBorders>
          <w:left w:val="nil"/>
          <w:right w:val="nil"/>
          <w:insideH w:val="nil"/>
          <w:insideV w:val="nil"/>
        </w:tcBorders>
        <w:shd w:val="clear" w:color="auto" w:fill="D0DDE8" w:themeFill="accent1" w:themeFillTint="3F"/>
      </w:tcPr>
    </w:tblStylePr>
  </w:style>
  <w:style w:type="paragraph" w:customStyle="1" w:styleId="ReportTitle">
    <w:name w:val="Report Title"/>
    <w:basedOn w:val="Normal"/>
    <w:rsid w:val="00AA23C2"/>
    <w:rPr>
      <w:color w:val="1A1D5D"/>
      <w:sz w:val="24"/>
    </w:rPr>
  </w:style>
  <w:style w:type="paragraph" w:customStyle="1" w:styleId="ReportData">
    <w:name w:val="Report Data"/>
    <w:basedOn w:val="Normal"/>
    <w:rsid w:val="00AA23C2"/>
    <w:rPr>
      <w:color w:val="1A1D5D"/>
    </w:rPr>
  </w:style>
  <w:style w:type="paragraph" w:customStyle="1" w:styleId="ESTitle">
    <w:name w:val="ES Title"/>
    <w:basedOn w:val="ContentsTitle"/>
    <w:rsid w:val="00FC2658"/>
  </w:style>
  <w:style w:type="paragraph" w:styleId="TOC7">
    <w:name w:val="toc 7"/>
    <w:basedOn w:val="Normal"/>
    <w:next w:val="Normal"/>
    <w:autoRedefine/>
    <w:uiPriority w:val="39"/>
    <w:rsid w:val="00765034"/>
    <w:pPr>
      <w:spacing w:after="100"/>
      <w:ind w:firstLine="720"/>
    </w:pPr>
    <w:rPr>
      <w:b/>
      <w:caps/>
    </w:rPr>
  </w:style>
  <w:style w:type="paragraph" w:customStyle="1" w:styleId="BulletedListIndent">
    <w:name w:val="Bulleted List Indent"/>
    <w:basedOn w:val="BulletedList0"/>
    <w:qFormat/>
    <w:rsid w:val="00A260CD"/>
    <w:pPr>
      <w:numPr>
        <w:numId w:val="19"/>
      </w:numPr>
    </w:pPr>
  </w:style>
  <w:style w:type="paragraph" w:styleId="ListParagraph">
    <w:name w:val="List Paragraph"/>
    <w:basedOn w:val="Normal"/>
    <w:uiPriority w:val="34"/>
    <w:rsid w:val="00042BC1"/>
    <w:pPr>
      <w:ind w:left="720"/>
      <w:contextualSpacing/>
    </w:pPr>
  </w:style>
  <w:style w:type="paragraph" w:customStyle="1" w:styleId="BulletedListIndent2">
    <w:name w:val="Bulleted List Indent 2"/>
    <w:basedOn w:val="Normal"/>
    <w:qFormat/>
    <w:rsid w:val="00A260CD"/>
    <w:pPr>
      <w:numPr>
        <w:numId w:val="23"/>
      </w:numPr>
      <w:spacing w:after="240"/>
      <w:ind w:left="1080"/>
    </w:pPr>
  </w:style>
  <w:style w:type="character" w:styleId="CommentReference">
    <w:name w:val="annotation reference"/>
    <w:basedOn w:val="DefaultParagraphFont"/>
    <w:uiPriority w:val="99"/>
    <w:rsid w:val="00A260CD"/>
    <w:rPr>
      <w:sz w:val="16"/>
      <w:szCs w:val="16"/>
    </w:rPr>
  </w:style>
  <w:style w:type="paragraph" w:styleId="CommentText">
    <w:name w:val="annotation text"/>
    <w:basedOn w:val="Normal"/>
    <w:link w:val="CommentTextChar"/>
    <w:uiPriority w:val="99"/>
    <w:rsid w:val="00A260CD"/>
    <w:rPr>
      <w:szCs w:val="20"/>
    </w:rPr>
  </w:style>
  <w:style w:type="character" w:customStyle="1" w:styleId="CommentTextChar">
    <w:name w:val="Comment Text Char"/>
    <w:basedOn w:val="DefaultParagraphFont"/>
    <w:link w:val="CommentText"/>
    <w:uiPriority w:val="99"/>
    <w:rsid w:val="00A260CD"/>
    <w:rPr>
      <w:rFonts w:ascii="Tahoma" w:hAnsi="Tahoma"/>
    </w:rPr>
  </w:style>
  <w:style w:type="paragraph" w:styleId="CommentSubject">
    <w:name w:val="annotation subject"/>
    <w:basedOn w:val="CommentText"/>
    <w:next w:val="CommentText"/>
    <w:link w:val="CommentSubjectChar"/>
    <w:rsid w:val="00A260CD"/>
    <w:rPr>
      <w:b/>
      <w:bCs/>
    </w:rPr>
  </w:style>
  <w:style w:type="character" w:customStyle="1" w:styleId="CommentSubjectChar">
    <w:name w:val="Comment Subject Char"/>
    <w:basedOn w:val="CommentTextChar"/>
    <w:link w:val="CommentSubject"/>
    <w:rsid w:val="00A260CD"/>
    <w:rPr>
      <w:rFonts w:ascii="Tahoma" w:hAnsi="Tahoma"/>
      <w:b/>
      <w:bCs/>
    </w:rPr>
  </w:style>
  <w:style w:type="paragraph" w:customStyle="1" w:styleId="ReportSubtitle">
    <w:name w:val="Report Subtitle"/>
    <w:rsid w:val="00AA23C2"/>
    <w:pPr>
      <w:spacing w:before="60" w:after="180"/>
    </w:pPr>
    <w:rPr>
      <w:rFonts w:ascii="Tahoma" w:hAnsi="Tahoma"/>
      <w:i/>
      <w:color w:val="1A1D5D"/>
      <w:sz w:val="22"/>
      <w:szCs w:val="24"/>
    </w:rPr>
  </w:style>
  <w:style w:type="character" w:customStyle="1" w:styleId="FooterChar">
    <w:name w:val="Footer Char"/>
    <w:basedOn w:val="DefaultParagraphFont"/>
    <w:link w:val="Footer"/>
    <w:uiPriority w:val="99"/>
    <w:rsid w:val="001E54DC"/>
    <w:rPr>
      <w:rFonts w:ascii="Verdana" w:hAnsi="Verdana"/>
      <w:color w:val="003E74" w:themeColor="text2"/>
      <w:sz w:val="16"/>
      <w:szCs w:val="16"/>
    </w:rPr>
  </w:style>
  <w:style w:type="paragraph" w:customStyle="1" w:styleId="TableFigureCaption">
    <w:name w:val="Table &amp; Figure Caption"/>
    <w:basedOn w:val="Normal"/>
    <w:next w:val="BodyText"/>
    <w:rsid w:val="00157E2A"/>
    <w:pPr>
      <w:keepNext/>
      <w:spacing w:before="360" w:after="60"/>
      <w:ind w:left="1080" w:hanging="1080"/>
    </w:pPr>
    <w:rPr>
      <w:b/>
      <w:i/>
      <w:sz w:val="18"/>
      <w:szCs w:val="16"/>
    </w:rPr>
  </w:style>
  <w:style w:type="table" w:customStyle="1" w:styleId="EnerNOCReportTable">
    <w:name w:val="EnerNOC Report Table"/>
    <w:basedOn w:val="TableNormal"/>
    <w:rsid w:val="00157E2A"/>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vAlign w:val="center"/>
    </w:tcPr>
    <w:tblStylePr w:type="firstRow">
      <w:pPr>
        <w:jc w:val="center"/>
      </w:pPr>
      <w:rPr>
        <w:rFonts w:ascii="Calibri" w:hAnsi="Calibri"/>
        <w:b/>
        <w:color w:val="FFFFFF" w:themeColor="background1"/>
        <w:sz w:val="20"/>
      </w:rPr>
      <w:tblPr/>
      <w:tcPr>
        <w:shd w:val="clear" w:color="auto" w:fill="003E74" w:themeFill="text2"/>
        <w:vAlign w:val="bottom"/>
      </w:tcPr>
    </w:tblStylePr>
  </w:style>
  <w:style w:type="character" w:customStyle="1" w:styleId="TableCaptionChar">
    <w:name w:val="Table Caption Char"/>
    <w:basedOn w:val="DefaultParagraphFont"/>
    <w:link w:val="TableCaption"/>
    <w:locked/>
    <w:rsid w:val="00157E2A"/>
    <w:rPr>
      <w:rFonts w:ascii="Tahoma" w:hAnsi="Tahoma"/>
      <w:b/>
      <w:i/>
      <w:sz w:val="18"/>
      <w:szCs w:val="16"/>
    </w:rPr>
  </w:style>
  <w:style w:type="character" w:customStyle="1" w:styleId="FootnoteTextChar">
    <w:name w:val="Footnote Text Char"/>
    <w:aliases w:val="TBG Style Char,Footnote Text1 Char Char,Footnote Text Char Ch Char,ALTS FOOTNOTE Char,Footnote Text 2 Char,fn Char,Footnote text Char,FOOTNOTE Char"/>
    <w:basedOn w:val="DefaultParagraphFont"/>
    <w:link w:val="FootnoteText"/>
    <w:uiPriority w:val="99"/>
    <w:locked/>
    <w:rsid w:val="00157E2A"/>
    <w:rPr>
      <w:rFonts w:ascii="Tahoma" w:hAnsi="Tahoma"/>
      <w:sz w:val="15"/>
      <w:szCs w:val="15"/>
    </w:rPr>
  </w:style>
  <w:style w:type="character" w:customStyle="1" w:styleId="TableTextChar">
    <w:name w:val="Table Text Char"/>
    <w:basedOn w:val="DefaultParagraphFont"/>
    <w:link w:val="TableText"/>
    <w:locked/>
    <w:rsid w:val="00157E2A"/>
    <w:rPr>
      <w:rFonts w:ascii="Calibri" w:hAnsi="Calibri" w:cs="Tahoma"/>
    </w:rPr>
  </w:style>
  <w:style w:type="character" w:customStyle="1" w:styleId="Heading4Char">
    <w:name w:val="Heading 4 Char"/>
    <w:aliases w:val="3rd Lvl Head Char"/>
    <w:basedOn w:val="DefaultParagraphFont"/>
    <w:link w:val="Heading4"/>
    <w:locked/>
    <w:rsid w:val="00157E2A"/>
    <w:rPr>
      <w:rFonts w:ascii="Tahoma" w:hAnsi="Tahoma"/>
      <w:b/>
      <w:bCs/>
      <w:i/>
      <w:szCs w:val="18"/>
    </w:rPr>
  </w:style>
  <w:style w:type="character" w:customStyle="1" w:styleId="TableHeadingsChar">
    <w:name w:val="Table Headings Char"/>
    <w:basedOn w:val="TableTextChar"/>
    <w:link w:val="TableHeadings"/>
    <w:uiPriority w:val="99"/>
    <w:locked/>
    <w:rsid w:val="00157E2A"/>
    <w:rPr>
      <w:rFonts w:ascii="Calibri" w:hAnsi="Calibri" w:cs="Tahoma"/>
      <w:b/>
      <w:color w:val="FFFFFF" w:themeColor="background1"/>
    </w:rPr>
  </w:style>
  <w:style w:type="paragraph" w:customStyle="1" w:styleId="Tabletext0">
    <w:name w:val="Table text"/>
    <w:basedOn w:val="BodyText"/>
    <w:rsid w:val="00157E2A"/>
    <w:pPr>
      <w:spacing w:after="180"/>
      <w:contextualSpacing/>
    </w:pPr>
    <w:rPr>
      <w:rFonts w:ascii="Verdana" w:hAnsi="Verdana"/>
      <w:b/>
      <w:bCs/>
      <w:sz w:val="16"/>
      <w:szCs w:val="16"/>
    </w:rPr>
  </w:style>
  <w:style w:type="paragraph" w:customStyle="1" w:styleId="Bulletedlistlevel2">
    <w:name w:val="Bulleted list level 2"/>
    <w:basedOn w:val="Normal"/>
    <w:link w:val="Bulletedlistlevel2Char"/>
    <w:rsid w:val="00157E2A"/>
    <w:pPr>
      <w:numPr>
        <w:numId w:val="28"/>
      </w:numPr>
      <w:tabs>
        <w:tab w:val="num" w:pos="1440"/>
      </w:tabs>
      <w:spacing w:after="180" w:line="240" w:lineRule="atLeast"/>
    </w:pPr>
    <w:rPr>
      <w:spacing w:val="4"/>
      <w:szCs w:val="18"/>
    </w:rPr>
  </w:style>
  <w:style w:type="character" w:customStyle="1" w:styleId="Bulletedlistlevel2Char">
    <w:name w:val="Bulleted list level 2 Char"/>
    <w:basedOn w:val="DefaultParagraphFont"/>
    <w:link w:val="Bulletedlistlevel2"/>
    <w:rsid w:val="00157E2A"/>
    <w:rPr>
      <w:rFonts w:ascii="Tahoma" w:hAnsi="Tahoma"/>
      <w:spacing w:val="4"/>
      <w:szCs w:val="18"/>
    </w:rPr>
  </w:style>
  <w:style w:type="character" w:customStyle="1" w:styleId="BulletedListChar">
    <w:name w:val="Bulleted List Char"/>
    <w:basedOn w:val="DefaultParagraphFont"/>
    <w:rsid w:val="00157E2A"/>
    <w:rPr>
      <w:rFonts w:ascii="Tahoma" w:hAnsi="Tahoma" w:cs="Tahoma"/>
      <w:spacing w:val="4"/>
      <w:sz w:val="18"/>
      <w:szCs w:val="18"/>
    </w:rPr>
  </w:style>
  <w:style w:type="paragraph" w:styleId="Revision">
    <w:name w:val="Revision"/>
    <w:hidden/>
    <w:uiPriority w:val="99"/>
    <w:semiHidden/>
    <w:rsid w:val="00157E2A"/>
    <w:rPr>
      <w:rFonts w:ascii="Tahoma" w:hAnsi="Tahoma"/>
      <w:szCs w:val="24"/>
    </w:rPr>
  </w:style>
  <w:style w:type="table" w:customStyle="1" w:styleId="LightList-Accent11">
    <w:name w:val="Light List - Accent 11"/>
    <w:basedOn w:val="TableNormal"/>
    <w:uiPriority w:val="61"/>
    <w:rsid w:val="00157E2A"/>
    <w:tblPr>
      <w:tblStyleRowBandSize w:val="1"/>
      <w:tblStyleColBandSize w:val="1"/>
      <w:tblBorders>
        <w:top w:val="single" w:sz="8" w:space="0" w:color="4C789D"/>
        <w:left w:val="single" w:sz="8" w:space="0" w:color="4C789D"/>
        <w:bottom w:val="single" w:sz="8" w:space="0" w:color="4C789D"/>
        <w:right w:val="single" w:sz="8" w:space="0" w:color="4C789D"/>
      </w:tblBorders>
    </w:tblPr>
    <w:tblStylePr w:type="firstRow">
      <w:pPr>
        <w:spacing w:before="0" w:after="0" w:line="240" w:lineRule="auto"/>
      </w:pPr>
      <w:rPr>
        <w:b/>
        <w:bCs/>
        <w:color w:val="FFFFFF"/>
      </w:rPr>
      <w:tblPr/>
      <w:tcPr>
        <w:shd w:val="clear" w:color="auto" w:fill="4C789D"/>
      </w:tcPr>
    </w:tblStylePr>
    <w:tblStylePr w:type="lastRow">
      <w:pPr>
        <w:spacing w:before="0" w:after="0" w:line="240" w:lineRule="auto"/>
      </w:pPr>
      <w:rPr>
        <w:b/>
        <w:bCs/>
      </w:rPr>
      <w:tblPr/>
      <w:tcPr>
        <w:tcBorders>
          <w:top w:val="double" w:sz="6" w:space="0" w:color="4C789D"/>
          <w:left w:val="single" w:sz="8" w:space="0" w:color="4C789D"/>
          <w:bottom w:val="single" w:sz="8" w:space="0" w:color="4C789D"/>
          <w:right w:val="single" w:sz="8" w:space="0" w:color="4C789D"/>
        </w:tcBorders>
      </w:tcPr>
    </w:tblStylePr>
    <w:tblStylePr w:type="firstCol">
      <w:rPr>
        <w:b/>
        <w:bCs/>
      </w:rPr>
    </w:tblStylePr>
    <w:tblStylePr w:type="lastCol">
      <w:rPr>
        <w:b/>
        <w:bCs/>
      </w:rPr>
    </w:tblStylePr>
    <w:tblStylePr w:type="band1Vert">
      <w:tblPr/>
      <w:tcPr>
        <w:tcBorders>
          <w:top w:val="single" w:sz="8" w:space="0" w:color="4C789D"/>
          <w:left w:val="single" w:sz="8" w:space="0" w:color="4C789D"/>
          <w:bottom w:val="single" w:sz="8" w:space="0" w:color="4C789D"/>
          <w:right w:val="single" w:sz="8" w:space="0" w:color="4C789D"/>
        </w:tcBorders>
      </w:tcPr>
    </w:tblStylePr>
    <w:tblStylePr w:type="band1Horz">
      <w:tblPr/>
      <w:tcPr>
        <w:tcBorders>
          <w:top w:val="single" w:sz="8" w:space="0" w:color="4C789D"/>
          <w:left w:val="single" w:sz="8" w:space="0" w:color="4C789D"/>
          <w:bottom w:val="single" w:sz="8" w:space="0" w:color="4C789D"/>
          <w:right w:val="single" w:sz="8" w:space="0" w:color="4C789D"/>
        </w:tcBorders>
      </w:tcPr>
    </w:tblStylePr>
  </w:style>
  <w:style w:type="table" w:customStyle="1" w:styleId="EnerNOCReportTable2">
    <w:name w:val="EnerNOC Report Table 2"/>
    <w:basedOn w:val="EnerNOCReportTable"/>
    <w:uiPriority w:val="99"/>
    <w:qFormat/>
    <w:rsid w:val="00157E2A"/>
    <w:rPr>
      <w:sz w:val="18"/>
    </w:rPr>
    <w:tblPr>
      <w:tblStyleRowBandSize w:val="1"/>
      <w:tblStyleColBandSize w:val="1"/>
    </w:tblPr>
    <w:trPr>
      <w:cantSplit/>
    </w:trPr>
    <w:tcPr>
      <w:shd w:val="clear" w:color="auto" w:fill="FFFFFF"/>
      <w:tcMar>
        <w:top w:w="14" w:type="dxa"/>
        <w:bottom w:w="14" w:type="dxa"/>
      </w:tcMar>
    </w:tcPr>
    <w:tblStylePr w:type="firstRow">
      <w:pPr>
        <w:jc w:val="center"/>
      </w:pPr>
      <w:rPr>
        <w:rFonts w:ascii="Calibri" w:hAnsi="Calibri"/>
        <w:b/>
        <w:color w:val="FFFFFF"/>
        <w:sz w:val="18"/>
      </w:rPr>
      <w:tblPr/>
      <w:trPr>
        <w:cantSplit w:val="0"/>
      </w:trPr>
      <w:tcPr>
        <w:shd w:val="clear" w:color="auto" w:fill="003E74"/>
        <w:vAlign w:val="bottom"/>
      </w:tcPr>
    </w:tblStylePr>
    <w:tblStylePr w:type="lastRow">
      <w:rPr>
        <w:rFonts w:ascii="Calibri" w:hAnsi="Calibri"/>
        <w:sz w:val="20"/>
      </w:rPr>
    </w:tblStylePr>
    <w:tblStylePr w:type="firstCol">
      <w:pPr>
        <w:jc w:val="left"/>
      </w:pPr>
      <w:rPr>
        <w:rFonts w:ascii="Calibri" w:hAnsi="Calibri"/>
        <w:sz w:val="18"/>
      </w:rPr>
      <w:tblPr/>
      <w:trPr>
        <w:cantSplit w:val="0"/>
      </w:trPr>
    </w:tblStylePr>
    <w:tblStylePr w:type="band1Vert">
      <w:pPr>
        <w:jc w:val="left"/>
      </w:pPr>
      <w:rPr>
        <w:rFonts w:ascii="Calibri" w:hAnsi="Calibri"/>
        <w:sz w:val="18"/>
      </w:rPr>
      <w:tblPr/>
      <w:trPr>
        <w:cantSplit w:val="0"/>
      </w:trPr>
    </w:tblStylePr>
    <w:tblStylePr w:type="band2Vert">
      <w:pPr>
        <w:jc w:val="left"/>
      </w:pPr>
      <w:rPr>
        <w:rFonts w:ascii="Calibri" w:hAnsi="Calibri"/>
        <w:sz w:val="18"/>
      </w:rPr>
      <w:tblPr/>
      <w:trPr>
        <w:cantSplit w:val="0"/>
      </w:trPr>
    </w:tblStylePr>
    <w:tblStylePr w:type="band1Horz">
      <w:rPr>
        <w:rFonts w:ascii="Calibri" w:hAnsi="Calibri"/>
        <w:sz w:val="18"/>
      </w:rPr>
      <w:tblPr/>
      <w:trPr>
        <w:cantSplit w:val="0"/>
      </w:trPr>
    </w:tblStylePr>
    <w:tblStylePr w:type="band2Horz">
      <w:pPr>
        <w:jc w:val="left"/>
      </w:pPr>
      <w:rPr>
        <w:rFonts w:ascii="Calibri" w:hAnsi="Calibri"/>
        <w:sz w:val="18"/>
      </w:rPr>
      <w:tblPr/>
      <w:trPr>
        <w:cantSplit w:val="0"/>
      </w:trPr>
      <w:tcPr>
        <w:vAlign w:val="top"/>
      </w:tcPr>
    </w:tblStylePr>
  </w:style>
  <w:style w:type="character" w:customStyle="1" w:styleId="BulletedListChar2">
    <w:name w:val="Bulleted List Char2"/>
    <w:basedOn w:val="DefaultParagraphFont"/>
    <w:rsid w:val="00157E2A"/>
    <w:rPr>
      <w:rFonts w:ascii="Tahoma" w:hAnsi="Tahoma" w:cs="Tahoma"/>
      <w:spacing w:val="4"/>
      <w:szCs w:val="18"/>
    </w:rPr>
  </w:style>
  <w:style w:type="paragraph" w:customStyle="1" w:styleId="FigureorTableCaption">
    <w:name w:val="Figure or Table Caption"/>
    <w:basedOn w:val="Normal"/>
    <w:next w:val="BodyText"/>
    <w:rsid w:val="00157E2A"/>
    <w:pPr>
      <w:keepNext/>
      <w:spacing w:before="240" w:after="80"/>
      <w:ind w:left="1080" w:hanging="1080"/>
    </w:pPr>
    <w:rPr>
      <w:b/>
      <w:i/>
      <w:szCs w:val="16"/>
    </w:rPr>
  </w:style>
  <w:style w:type="paragraph" w:customStyle="1" w:styleId="FigureorTableTitle">
    <w:name w:val="Figure or Table Title"/>
    <w:basedOn w:val="Normal"/>
    <w:rsid w:val="00157E2A"/>
    <w:pPr>
      <w:keepNext/>
      <w:tabs>
        <w:tab w:val="left" w:pos="1152"/>
      </w:tabs>
      <w:spacing w:before="240" w:after="40"/>
    </w:pPr>
    <w:rPr>
      <w:rFonts w:cs="Calibri"/>
      <w:b/>
      <w:bCs/>
      <w:i/>
      <w:iCs/>
      <w:szCs w:val="22"/>
    </w:rPr>
  </w:style>
  <w:style w:type="paragraph" w:styleId="Caption">
    <w:name w:val="caption"/>
    <w:basedOn w:val="Normal"/>
    <w:next w:val="Normal"/>
    <w:unhideWhenUsed/>
    <w:rsid w:val="00157E2A"/>
    <w:pPr>
      <w:spacing w:after="200"/>
    </w:pPr>
    <w:rPr>
      <w:b/>
      <w:bCs/>
      <w:color w:val="4C789D" w:themeColor="accent1"/>
      <w:sz w:val="18"/>
      <w:szCs w:val="18"/>
    </w:rPr>
  </w:style>
  <w:style w:type="character" w:customStyle="1" w:styleId="HeaderChar">
    <w:name w:val="Header Char"/>
    <w:basedOn w:val="DefaultParagraphFont"/>
    <w:link w:val="Header"/>
    <w:uiPriority w:val="99"/>
    <w:rsid w:val="00157E2A"/>
    <w:rPr>
      <w:rFonts w:ascii="Verdana" w:hAnsi="Verdana"/>
      <w:color w:val="003E74" w:themeColor="text2"/>
      <w:sz w:val="16"/>
      <w:szCs w:val="16"/>
    </w:rPr>
  </w:style>
  <w:style w:type="paragraph" w:customStyle="1" w:styleId="Belowbulletindent">
    <w:name w:val="Below bullet indent"/>
    <w:basedOn w:val="BulletedList0"/>
    <w:rsid w:val="00157E2A"/>
    <w:pPr>
      <w:numPr>
        <w:numId w:val="0"/>
      </w:numPr>
      <w:ind w:left="720"/>
    </w:pPr>
    <w:rPr>
      <w:color w:val="000000"/>
    </w:rPr>
  </w:style>
  <w:style w:type="paragraph" w:customStyle="1" w:styleId="Tablenote">
    <w:name w:val="Table note"/>
    <w:basedOn w:val="BodyText"/>
    <w:rsid w:val="00157E2A"/>
    <w:rPr>
      <w:i/>
      <w:sz w:val="18"/>
    </w:rPr>
  </w:style>
  <w:style w:type="character" w:customStyle="1" w:styleId="BodyTextChar2">
    <w:name w:val="Body Text Char2"/>
    <w:basedOn w:val="DefaultParagraphFont"/>
    <w:rsid w:val="00157E2A"/>
    <w:rPr>
      <w:rFonts w:ascii="Tahoma" w:hAnsi="Tahoma"/>
      <w:spacing w:val="4"/>
      <w:szCs w:val="18"/>
      <w:lang w:val="en-US" w:eastAsia="en-US" w:bidi="ar-SA"/>
    </w:rPr>
  </w:style>
  <w:style w:type="paragraph" w:customStyle="1" w:styleId="Bulletedlist">
    <w:name w:val="Bulleted list"/>
    <w:basedOn w:val="BodyText"/>
    <w:rsid w:val="00157E2A"/>
    <w:pPr>
      <w:numPr>
        <w:numId w:val="26"/>
      </w:numPr>
    </w:pPr>
  </w:style>
  <w:style w:type="paragraph" w:customStyle="1" w:styleId="xl63">
    <w:name w:val="xl63"/>
    <w:basedOn w:val="Normal"/>
    <w:rsid w:val="00157E2A"/>
    <w:pPr>
      <w:pBdr>
        <w:top w:val="single" w:sz="4" w:space="0" w:color="7F7F7F"/>
        <w:left w:val="single" w:sz="4" w:space="0" w:color="7F7F7F"/>
        <w:bottom w:val="single" w:sz="4" w:space="0" w:color="7F7F7F"/>
        <w:right w:val="single" w:sz="4" w:space="0" w:color="7F7F7F"/>
      </w:pBdr>
      <w:shd w:val="clear" w:color="000000" w:fill="1F497D"/>
      <w:spacing w:before="100" w:beforeAutospacing="1" w:after="100" w:afterAutospacing="1"/>
      <w:jc w:val="center"/>
    </w:pPr>
    <w:rPr>
      <w:rFonts w:ascii="Times New Roman" w:hAnsi="Times New Roman"/>
      <w:b/>
      <w:bCs/>
      <w:color w:val="FFFFFF"/>
      <w:sz w:val="16"/>
      <w:szCs w:val="16"/>
    </w:rPr>
  </w:style>
  <w:style w:type="paragraph" w:customStyle="1" w:styleId="xl64">
    <w:name w:val="xl64"/>
    <w:basedOn w:val="Normal"/>
    <w:rsid w:val="00157E2A"/>
    <w:pPr>
      <w:pBdr>
        <w:top w:val="single" w:sz="4" w:space="0" w:color="7F7F7F"/>
        <w:left w:val="single" w:sz="4" w:space="0" w:color="7F7F7F"/>
        <w:bottom w:val="single" w:sz="4" w:space="0" w:color="7F7F7F"/>
        <w:right w:val="single" w:sz="4" w:space="0" w:color="7F7F7F"/>
      </w:pBdr>
      <w:spacing w:before="100" w:beforeAutospacing="1" w:after="100" w:afterAutospacing="1"/>
    </w:pPr>
    <w:rPr>
      <w:rFonts w:ascii="Times New Roman" w:hAnsi="Times New Roman"/>
      <w:sz w:val="16"/>
      <w:szCs w:val="16"/>
    </w:rPr>
  </w:style>
  <w:style w:type="paragraph" w:customStyle="1" w:styleId="xl65">
    <w:name w:val="xl65"/>
    <w:basedOn w:val="Normal"/>
    <w:rsid w:val="00157E2A"/>
    <w:pPr>
      <w:pBdr>
        <w:top w:val="single" w:sz="4" w:space="0" w:color="7F7F7F"/>
        <w:left w:val="single" w:sz="4" w:space="0" w:color="7F7F7F"/>
        <w:bottom w:val="single" w:sz="4" w:space="0" w:color="7F7F7F"/>
        <w:right w:val="single" w:sz="4" w:space="0" w:color="7F7F7F"/>
      </w:pBdr>
      <w:spacing w:before="100" w:beforeAutospacing="1" w:after="100" w:afterAutospacing="1"/>
    </w:pPr>
    <w:rPr>
      <w:rFonts w:ascii="Times New Roman" w:hAnsi="Times New Roman"/>
      <w:sz w:val="16"/>
      <w:szCs w:val="16"/>
    </w:rPr>
  </w:style>
  <w:style w:type="paragraph" w:customStyle="1" w:styleId="xl66">
    <w:name w:val="xl66"/>
    <w:basedOn w:val="Normal"/>
    <w:rsid w:val="00157E2A"/>
    <w:pPr>
      <w:pBdr>
        <w:top w:val="single" w:sz="4" w:space="0" w:color="7F7F7F"/>
        <w:left w:val="single" w:sz="4" w:space="0" w:color="7F7F7F"/>
        <w:bottom w:val="single" w:sz="4" w:space="0" w:color="7F7F7F"/>
        <w:right w:val="single" w:sz="4" w:space="0" w:color="7F7F7F"/>
      </w:pBdr>
      <w:spacing w:before="100" w:beforeAutospacing="1" w:after="100" w:afterAutospacing="1"/>
    </w:pPr>
    <w:rPr>
      <w:rFonts w:ascii="Times New Roman" w:hAnsi="Times New Roman"/>
      <w:sz w:val="16"/>
      <w:szCs w:val="16"/>
    </w:rPr>
  </w:style>
  <w:style w:type="paragraph" w:customStyle="1" w:styleId="xl67">
    <w:name w:val="xl67"/>
    <w:basedOn w:val="Normal"/>
    <w:rsid w:val="00157E2A"/>
    <w:pPr>
      <w:pBdr>
        <w:top w:val="single" w:sz="4" w:space="0" w:color="7F7F7F"/>
        <w:left w:val="single" w:sz="4" w:space="0" w:color="7F7F7F"/>
        <w:bottom w:val="single" w:sz="4" w:space="0" w:color="7F7F7F"/>
        <w:right w:val="single" w:sz="4" w:space="0" w:color="7F7F7F"/>
      </w:pBdr>
      <w:spacing w:before="100" w:beforeAutospacing="1" w:after="100" w:afterAutospacing="1"/>
    </w:pPr>
    <w:rPr>
      <w:rFonts w:ascii="Times New Roman" w:hAnsi="Times New Roman"/>
      <w:sz w:val="18"/>
      <w:szCs w:val="18"/>
    </w:rPr>
  </w:style>
  <w:style w:type="paragraph" w:customStyle="1" w:styleId="xl68">
    <w:name w:val="xl68"/>
    <w:basedOn w:val="Normal"/>
    <w:rsid w:val="00157E2A"/>
    <w:pPr>
      <w:pBdr>
        <w:top w:val="single" w:sz="4" w:space="0" w:color="7F7F7F"/>
        <w:left w:val="single" w:sz="4" w:space="0" w:color="7F7F7F"/>
        <w:bottom w:val="single" w:sz="4" w:space="0" w:color="7F7F7F"/>
        <w:right w:val="single" w:sz="4" w:space="0" w:color="7F7F7F"/>
      </w:pBdr>
      <w:spacing w:before="100" w:beforeAutospacing="1" w:after="100" w:afterAutospacing="1"/>
    </w:pPr>
    <w:rPr>
      <w:rFonts w:ascii="Times New Roman" w:hAnsi="Times New Roman"/>
      <w:sz w:val="18"/>
      <w:szCs w:val="18"/>
    </w:rPr>
  </w:style>
  <w:style w:type="paragraph" w:customStyle="1" w:styleId="xl69">
    <w:name w:val="xl69"/>
    <w:basedOn w:val="Normal"/>
    <w:rsid w:val="00157E2A"/>
    <w:pPr>
      <w:pBdr>
        <w:top w:val="single" w:sz="4" w:space="0" w:color="7F7F7F"/>
        <w:left w:val="single" w:sz="4" w:space="0" w:color="7F7F7F"/>
        <w:bottom w:val="single" w:sz="4" w:space="0" w:color="7F7F7F"/>
        <w:right w:val="single" w:sz="4" w:space="0" w:color="7F7F7F"/>
      </w:pBdr>
      <w:spacing w:before="100" w:beforeAutospacing="1" w:after="100" w:afterAutospacing="1"/>
      <w:jc w:val="right"/>
      <w:textAlignment w:val="center"/>
    </w:pPr>
    <w:rPr>
      <w:rFonts w:ascii="Times New Roman" w:hAnsi="Times New Roman"/>
      <w:sz w:val="18"/>
      <w:szCs w:val="18"/>
    </w:rPr>
  </w:style>
  <w:style w:type="paragraph" w:customStyle="1" w:styleId="xl70">
    <w:name w:val="xl70"/>
    <w:basedOn w:val="Normal"/>
    <w:rsid w:val="00157E2A"/>
    <w:pPr>
      <w:pBdr>
        <w:top w:val="single" w:sz="4" w:space="0" w:color="7F7F7F"/>
        <w:left w:val="single" w:sz="4" w:space="0" w:color="7F7F7F"/>
        <w:bottom w:val="single" w:sz="4" w:space="0" w:color="7F7F7F"/>
        <w:right w:val="single" w:sz="4" w:space="0" w:color="7F7F7F"/>
      </w:pBdr>
      <w:spacing w:before="100" w:beforeAutospacing="1" w:after="100" w:afterAutospacing="1"/>
      <w:jc w:val="center"/>
      <w:textAlignment w:val="center"/>
    </w:pPr>
    <w:rPr>
      <w:rFonts w:ascii="Times New Roman" w:hAnsi="Times New Roman"/>
      <w:sz w:val="18"/>
      <w:szCs w:val="18"/>
    </w:rPr>
  </w:style>
  <w:style w:type="paragraph" w:customStyle="1" w:styleId="xl71">
    <w:name w:val="xl71"/>
    <w:basedOn w:val="Normal"/>
    <w:rsid w:val="00157E2A"/>
    <w:pPr>
      <w:pBdr>
        <w:top w:val="single" w:sz="4" w:space="0" w:color="7F7F7F"/>
        <w:left w:val="single" w:sz="4" w:space="0" w:color="7F7F7F"/>
        <w:bottom w:val="single" w:sz="4" w:space="0" w:color="7F7F7F"/>
        <w:right w:val="single" w:sz="4" w:space="0" w:color="7F7F7F"/>
      </w:pBdr>
      <w:spacing w:before="100" w:beforeAutospacing="1" w:after="100" w:afterAutospacing="1"/>
      <w:textAlignment w:val="center"/>
    </w:pPr>
    <w:rPr>
      <w:rFonts w:ascii="Times New Roman" w:hAnsi="Times New Roman"/>
      <w:sz w:val="18"/>
      <w:szCs w:val="18"/>
    </w:rPr>
  </w:style>
  <w:style w:type="character" w:customStyle="1" w:styleId="Heading1Char">
    <w:name w:val="Heading 1 Char"/>
    <w:aliases w:val="Chap Num Char,Chapter Level Char"/>
    <w:basedOn w:val="DefaultParagraphFont"/>
    <w:link w:val="Heading1"/>
    <w:rsid w:val="00157E2A"/>
    <w:rPr>
      <w:rFonts w:ascii="Verdana" w:hAnsi="Verdana"/>
      <w:b/>
      <w:caps/>
      <w:color w:val="808080"/>
      <w:sz w:val="22"/>
      <w:szCs w:val="22"/>
    </w:rPr>
  </w:style>
  <w:style w:type="character" w:customStyle="1" w:styleId="Heading2Char">
    <w:name w:val="Heading 2 Char"/>
    <w:aliases w:val="1st Lvl Head Char"/>
    <w:basedOn w:val="DefaultParagraphFont"/>
    <w:link w:val="Heading2"/>
    <w:rsid w:val="00AA23C2"/>
    <w:rPr>
      <w:rFonts w:ascii="Tahoma" w:hAnsi="Tahoma"/>
      <w:b/>
      <w:color w:val="1A1D5D"/>
      <w:sz w:val="26"/>
    </w:rPr>
  </w:style>
  <w:style w:type="character" w:customStyle="1" w:styleId="Heading5Char">
    <w:name w:val="Heading 5 Char"/>
    <w:basedOn w:val="DefaultParagraphFont"/>
    <w:link w:val="Heading5"/>
    <w:rsid w:val="00AA23C2"/>
    <w:rPr>
      <w:rFonts w:ascii="Tahoma" w:hAnsi="Tahoma"/>
      <w:b/>
      <w:bCs/>
      <w:iCs/>
      <w:color w:val="1A1D5D"/>
      <w:szCs w:val="26"/>
    </w:rPr>
  </w:style>
  <w:style w:type="character" w:customStyle="1" w:styleId="Heading7Char">
    <w:name w:val="Heading 7 Char"/>
    <w:basedOn w:val="DefaultParagraphFont"/>
    <w:link w:val="Heading7"/>
    <w:rsid w:val="00157E2A"/>
    <w:rPr>
      <w:rFonts w:ascii="Tahoma" w:hAnsi="Tahoma"/>
      <w:szCs w:val="24"/>
    </w:rPr>
  </w:style>
  <w:style w:type="character" w:customStyle="1" w:styleId="Heading8Char">
    <w:name w:val="Heading 8 Char"/>
    <w:basedOn w:val="DefaultParagraphFont"/>
    <w:link w:val="Heading8"/>
    <w:rsid w:val="00157E2A"/>
    <w:rPr>
      <w:rFonts w:ascii="Tahoma" w:hAnsi="Tahoma"/>
      <w:i/>
      <w:iCs/>
      <w:szCs w:val="24"/>
    </w:rPr>
  </w:style>
  <w:style w:type="character" w:customStyle="1" w:styleId="Heading9Char">
    <w:name w:val="Heading 9 Char"/>
    <w:basedOn w:val="DefaultParagraphFont"/>
    <w:link w:val="Heading9"/>
    <w:rsid w:val="00157E2A"/>
    <w:rPr>
      <w:rFonts w:ascii="Arial" w:hAnsi="Arial" w:cs="Arial"/>
      <w:sz w:val="22"/>
      <w:szCs w:val="22"/>
    </w:rPr>
  </w:style>
  <w:style w:type="character" w:customStyle="1" w:styleId="TitleChar">
    <w:name w:val="Title Char"/>
    <w:basedOn w:val="DefaultParagraphFont"/>
    <w:link w:val="Title"/>
    <w:rsid w:val="00157E2A"/>
    <w:rPr>
      <w:rFonts w:ascii="Tahoma" w:hAnsi="Tahoma"/>
      <w:b/>
      <w:caps/>
      <w:sz w:val="36"/>
      <w:szCs w:val="40"/>
    </w:rPr>
  </w:style>
  <w:style w:type="character" w:customStyle="1" w:styleId="BodyText2Char">
    <w:name w:val="Body Text 2 Char"/>
    <w:basedOn w:val="DefaultParagraphFont"/>
    <w:link w:val="BodyText2"/>
    <w:semiHidden/>
    <w:rsid w:val="00157E2A"/>
    <w:rPr>
      <w:rFonts w:ascii="Tahoma" w:hAnsi="Tahoma"/>
      <w:szCs w:val="24"/>
    </w:rPr>
  </w:style>
  <w:style w:type="character" w:customStyle="1" w:styleId="BodyText3Char">
    <w:name w:val="Body Text 3 Char"/>
    <w:basedOn w:val="DefaultParagraphFont"/>
    <w:link w:val="BodyText3"/>
    <w:semiHidden/>
    <w:rsid w:val="00157E2A"/>
    <w:rPr>
      <w:rFonts w:ascii="Tahoma" w:hAnsi="Tahoma"/>
      <w:sz w:val="16"/>
      <w:szCs w:val="16"/>
    </w:rPr>
  </w:style>
  <w:style w:type="character" w:customStyle="1" w:styleId="BodyTextFirstIndentChar">
    <w:name w:val="Body Text First Indent Char"/>
    <w:basedOn w:val="BodyTextChar1"/>
    <w:link w:val="BodyTextFirstIndent"/>
    <w:semiHidden/>
    <w:rsid w:val="00157E2A"/>
    <w:rPr>
      <w:rFonts w:ascii="Tahoma" w:hAnsi="Tahoma"/>
      <w:spacing w:val="4"/>
      <w:sz w:val="24"/>
      <w:szCs w:val="24"/>
      <w:lang w:val="en-US" w:eastAsia="en-US" w:bidi="ar-SA"/>
    </w:rPr>
  </w:style>
  <w:style w:type="character" w:customStyle="1" w:styleId="BodyTextIndentChar">
    <w:name w:val="Body Text Indent Char"/>
    <w:basedOn w:val="DefaultParagraphFont"/>
    <w:link w:val="BodyTextIndent"/>
    <w:semiHidden/>
    <w:rsid w:val="00157E2A"/>
    <w:rPr>
      <w:rFonts w:ascii="Tahoma" w:hAnsi="Tahoma"/>
      <w:szCs w:val="24"/>
    </w:rPr>
  </w:style>
  <w:style w:type="character" w:customStyle="1" w:styleId="BodyTextFirstIndent2Char">
    <w:name w:val="Body Text First Indent 2 Char"/>
    <w:basedOn w:val="BodyTextIndentChar"/>
    <w:link w:val="BodyTextFirstIndent2"/>
    <w:semiHidden/>
    <w:rsid w:val="00157E2A"/>
    <w:rPr>
      <w:rFonts w:ascii="Tahoma" w:hAnsi="Tahoma"/>
      <w:szCs w:val="24"/>
    </w:rPr>
  </w:style>
  <w:style w:type="character" w:customStyle="1" w:styleId="BodyTextIndent2Char">
    <w:name w:val="Body Text Indent 2 Char"/>
    <w:basedOn w:val="DefaultParagraphFont"/>
    <w:link w:val="BodyTextIndent2"/>
    <w:semiHidden/>
    <w:rsid w:val="00157E2A"/>
    <w:rPr>
      <w:rFonts w:ascii="Tahoma" w:hAnsi="Tahoma"/>
      <w:szCs w:val="24"/>
    </w:rPr>
  </w:style>
  <w:style w:type="character" w:customStyle="1" w:styleId="BodyTextIndent3Char">
    <w:name w:val="Body Text Indent 3 Char"/>
    <w:basedOn w:val="DefaultParagraphFont"/>
    <w:link w:val="BodyTextIndent3"/>
    <w:semiHidden/>
    <w:rsid w:val="00157E2A"/>
    <w:rPr>
      <w:rFonts w:ascii="Tahoma" w:hAnsi="Tahoma"/>
      <w:sz w:val="16"/>
      <w:szCs w:val="16"/>
    </w:rPr>
  </w:style>
  <w:style w:type="character" w:customStyle="1" w:styleId="ClosingChar">
    <w:name w:val="Closing Char"/>
    <w:basedOn w:val="DefaultParagraphFont"/>
    <w:link w:val="Closing"/>
    <w:semiHidden/>
    <w:rsid w:val="00157E2A"/>
    <w:rPr>
      <w:rFonts w:ascii="Tahoma" w:hAnsi="Tahoma"/>
      <w:szCs w:val="24"/>
    </w:rPr>
  </w:style>
  <w:style w:type="character" w:customStyle="1" w:styleId="E-mailSignatureChar">
    <w:name w:val="E-mail Signature Char"/>
    <w:basedOn w:val="DefaultParagraphFont"/>
    <w:link w:val="E-mailSignature"/>
    <w:semiHidden/>
    <w:rsid w:val="00157E2A"/>
    <w:rPr>
      <w:rFonts w:ascii="Tahoma" w:hAnsi="Tahoma"/>
      <w:szCs w:val="24"/>
    </w:rPr>
  </w:style>
  <w:style w:type="character" w:customStyle="1" w:styleId="HTMLAddressChar">
    <w:name w:val="HTML Address Char"/>
    <w:basedOn w:val="DefaultParagraphFont"/>
    <w:link w:val="HTMLAddress"/>
    <w:semiHidden/>
    <w:rsid w:val="00157E2A"/>
    <w:rPr>
      <w:rFonts w:ascii="Tahoma" w:hAnsi="Tahoma"/>
      <w:i/>
      <w:iCs/>
      <w:szCs w:val="24"/>
    </w:rPr>
  </w:style>
  <w:style w:type="character" w:customStyle="1" w:styleId="HTMLPreformattedChar">
    <w:name w:val="HTML Preformatted Char"/>
    <w:basedOn w:val="DefaultParagraphFont"/>
    <w:link w:val="HTMLPreformatted"/>
    <w:semiHidden/>
    <w:rsid w:val="00157E2A"/>
    <w:rPr>
      <w:rFonts w:ascii="Courier New" w:hAnsi="Courier New" w:cs="Courier New"/>
    </w:rPr>
  </w:style>
  <w:style w:type="character" w:customStyle="1" w:styleId="MessageHeaderChar">
    <w:name w:val="Message Header Char"/>
    <w:basedOn w:val="DefaultParagraphFont"/>
    <w:link w:val="MessageHeader"/>
    <w:semiHidden/>
    <w:rsid w:val="00157E2A"/>
    <w:rPr>
      <w:rFonts w:ascii="Arial" w:hAnsi="Arial" w:cs="Arial"/>
      <w:szCs w:val="24"/>
      <w:shd w:val="pct20" w:color="auto" w:fill="auto"/>
    </w:rPr>
  </w:style>
  <w:style w:type="character" w:customStyle="1" w:styleId="NoteHeadingChar">
    <w:name w:val="Note Heading Char"/>
    <w:basedOn w:val="DefaultParagraphFont"/>
    <w:link w:val="NoteHeading"/>
    <w:semiHidden/>
    <w:rsid w:val="00157E2A"/>
    <w:rPr>
      <w:rFonts w:ascii="Tahoma" w:hAnsi="Tahoma"/>
      <w:szCs w:val="24"/>
    </w:rPr>
  </w:style>
  <w:style w:type="character" w:customStyle="1" w:styleId="PlainTextChar">
    <w:name w:val="Plain Text Char"/>
    <w:basedOn w:val="DefaultParagraphFont"/>
    <w:link w:val="PlainText"/>
    <w:semiHidden/>
    <w:rsid w:val="00157E2A"/>
    <w:rPr>
      <w:rFonts w:ascii="Courier New" w:hAnsi="Courier New" w:cs="Courier New"/>
    </w:rPr>
  </w:style>
  <w:style w:type="character" w:customStyle="1" w:styleId="SalutationChar">
    <w:name w:val="Salutation Char"/>
    <w:basedOn w:val="DefaultParagraphFont"/>
    <w:link w:val="Salutation"/>
    <w:semiHidden/>
    <w:rsid w:val="00157E2A"/>
    <w:rPr>
      <w:rFonts w:ascii="Tahoma" w:hAnsi="Tahoma"/>
      <w:szCs w:val="24"/>
    </w:rPr>
  </w:style>
  <w:style w:type="character" w:customStyle="1" w:styleId="SignatureChar">
    <w:name w:val="Signature Char"/>
    <w:basedOn w:val="DefaultParagraphFont"/>
    <w:link w:val="Signature"/>
    <w:semiHidden/>
    <w:rsid w:val="00157E2A"/>
    <w:rPr>
      <w:rFonts w:ascii="Tahoma" w:hAnsi="Tahoma"/>
      <w:szCs w:val="24"/>
    </w:rPr>
  </w:style>
  <w:style w:type="character" w:customStyle="1" w:styleId="DateChar">
    <w:name w:val="Date Char"/>
    <w:basedOn w:val="DefaultParagraphFont"/>
    <w:link w:val="Date"/>
    <w:semiHidden/>
    <w:rsid w:val="00157E2A"/>
    <w:rPr>
      <w:rFonts w:ascii="Tahoma" w:hAnsi="Tahoma"/>
      <w:szCs w:val="24"/>
    </w:rPr>
  </w:style>
  <w:style w:type="paragraph" w:customStyle="1" w:styleId="table">
    <w:name w:val="table"/>
    <w:basedOn w:val="Normal"/>
    <w:rsid w:val="00157E2A"/>
    <w:pPr>
      <w:ind w:right="144"/>
      <w:jc w:val="right"/>
    </w:pPr>
    <w:rPr>
      <w:rFonts w:ascii="Calibri" w:hAnsi="Calibri"/>
      <w:color w:val="000000"/>
      <w:sz w:val="16"/>
      <w:szCs w:val="16"/>
    </w:rPr>
  </w:style>
  <w:style w:type="paragraph" w:customStyle="1" w:styleId="Bulletlistindent1">
    <w:name w:val="Bullet list indent 1"/>
    <w:basedOn w:val="BulletedList0"/>
    <w:rsid w:val="00157E2A"/>
    <w:pPr>
      <w:numPr>
        <w:numId w:val="27"/>
      </w:numPr>
      <w:tabs>
        <w:tab w:val="left" w:pos="360"/>
      </w:tabs>
      <w:ind w:left="720"/>
    </w:pPr>
    <w:rPr>
      <w:sz w:val="18"/>
    </w:rPr>
  </w:style>
  <w:style w:type="paragraph" w:customStyle="1" w:styleId="FigureorTableheading">
    <w:name w:val="Figure or Table heading"/>
    <w:basedOn w:val="Normal"/>
    <w:qFormat/>
    <w:rsid w:val="001B77D4"/>
    <w:pPr>
      <w:keepNext/>
      <w:tabs>
        <w:tab w:val="left" w:pos="1152"/>
      </w:tabs>
      <w:spacing w:before="240" w:after="40"/>
    </w:pPr>
    <w:rPr>
      <w:rFonts w:cs="Calibri"/>
      <w:b/>
      <w:bCs/>
      <w:i/>
      <w:i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7448">
      <w:bodyDiv w:val="1"/>
      <w:marLeft w:val="0"/>
      <w:marRight w:val="0"/>
      <w:marTop w:val="0"/>
      <w:marBottom w:val="0"/>
      <w:divBdr>
        <w:top w:val="none" w:sz="0" w:space="0" w:color="auto"/>
        <w:left w:val="none" w:sz="0" w:space="0" w:color="auto"/>
        <w:bottom w:val="none" w:sz="0" w:space="0" w:color="auto"/>
        <w:right w:val="none" w:sz="0" w:space="0" w:color="auto"/>
      </w:divBdr>
    </w:div>
    <w:div w:id="34043137">
      <w:bodyDiv w:val="1"/>
      <w:marLeft w:val="0"/>
      <w:marRight w:val="0"/>
      <w:marTop w:val="0"/>
      <w:marBottom w:val="0"/>
      <w:divBdr>
        <w:top w:val="none" w:sz="0" w:space="0" w:color="auto"/>
        <w:left w:val="none" w:sz="0" w:space="0" w:color="auto"/>
        <w:bottom w:val="none" w:sz="0" w:space="0" w:color="auto"/>
        <w:right w:val="none" w:sz="0" w:space="0" w:color="auto"/>
      </w:divBdr>
    </w:div>
    <w:div w:id="54403551">
      <w:bodyDiv w:val="1"/>
      <w:marLeft w:val="0"/>
      <w:marRight w:val="0"/>
      <w:marTop w:val="0"/>
      <w:marBottom w:val="0"/>
      <w:divBdr>
        <w:top w:val="none" w:sz="0" w:space="0" w:color="auto"/>
        <w:left w:val="none" w:sz="0" w:space="0" w:color="auto"/>
        <w:bottom w:val="none" w:sz="0" w:space="0" w:color="auto"/>
        <w:right w:val="none" w:sz="0" w:space="0" w:color="auto"/>
      </w:divBdr>
    </w:div>
    <w:div w:id="122309394">
      <w:bodyDiv w:val="1"/>
      <w:marLeft w:val="0"/>
      <w:marRight w:val="0"/>
      <w:marTop w:val="0"/>
      <w:marBottom w:val="0"/>
      <w:divBdr>
        <w:top w:val="none" w:sz="0" w:space="0" w:color="auto"/>
        <w:left w:val="none" w:sz="0" w:space="0" w:color="auto"/>
        <w:bottom w:val="none" w:sz="0" w:space="0" w:color="auto"/>
        <w:right w:val="none" w:sz="0" w:space="0" w:color="auto"/>
      </w:divBdr>
    </w:div>
    <w:div w:id="135072574">
      <w:bodyDiv w:val="1"/>
      <w:marLeft w:val="0"/>
      <w:marRight w:val="0"/>
      <w:marTop w:val="0"/>
      <w:marBottom w:val="0"/>
      <w:divBdr>
        <w:top w:val="none" w:sz="0" w:space="0" w:color="auto"/>
        <w:left w:val="none" w:sz="0" w:space="0" w:color="auto"/>
        <w:bottom w:val="none" w:sz="0" w:space="0" w:color="auto"/>
        <w:right w:val="none" w:sz="0" w:space="0" w:color="auto"/>
      </w:divBdr>
    </w:div>
    <w:div w:id="229123438">
      <w:bodyDiv w:val="1"/>
      <w:marLeft w:val="0"/>
      <w:marRight w:val="0"/>
      <w:marTop w:val="0"/>
      <w:marBottom w:val="0"/>
      <w:divBdr>
        <w:top w:val="none" w:sz="0" w:space="0" w:color="auto"/>
        <w:left w:val="none" w:sz="0" w:space="0" w:color="auto"/>
        <w:bottom w:val="none" w:sz="0" w:space="0" w:color="auto"/>
        <w:right w:val="none" w:sz="0" w:space="0" w:color="auto"/>
      </w:divBdr>
    </w:div>
    <w:div w:id="390813445">
      <w:bodyDiv w:val="1"/>
      <w:marLeft w:val="0"/>
      <w:marRight w:val="0"/>
      <w:marTop w:val="0"/>
      <w:marBottom w:val="0"/>
      <w:divBdr>
        <w:top w:val="none" w:sz="0" w:space="0" w:color="auto"/>
        <w:left w:val="none" w:sz="0" w:space="0" w:color="auto"/>
        <w:bottom w:val="none" w:sz="0" w:space="0" w:color="auto"/>
        <w:right w:val="none" w:sz="0" w:space="0" w:color="auto"/>
      </w:divBdr>
    </w:div>
    <w:div w:id="547685473">
      <w:bodyDiv w:val="1"/>
      <w:marLeft w:val="0"/>
      <w:marRight w:val="0"/>
      <w:marTop w:val="0"/>
      <w:marBottom w:val="0"/>
      <w:divBdr>
        <w:top w:val="none" w:sz="0" w:space="0" w:color="auto"/>
        <w:left w:val="none" w:sz="0" w:space="0" w:color="auto"/>
        <w:bottom w:val="none" w:sz="0" w:space="0" w:color="auto"/>
        <w:right w:val="none" w:sz="0" w:space="0" w:color="auto"/>
      </w:divBdr>
    </w:div>
    <w:div w:id="562377423">
      <w:bodyDiv w:val="1"/>
      <w:marLeft w:val="0"/>
      <w:marRight w:val="0"/>
      <w:marTop w:val="0"/>
      <w:marBottom w:val="0"/>
      <w:divBdr>
        <w:top w:val="none" w:sz="0" w:space="0" w:color="auto"/>
        <w:left w:val="none" w:sz="0" w:space="0" w:color="auto"/>
        <w:bottom w:val="none" w:sz="0" w:space="0" w:color="auto"/>
        <w:right w:val="none" w:sz="0" w:space="0" w:color="auto"/>
      </w:divBdr>
      <w:divsChild>
        <w:div w:id="1734542180">
          <w:marLeft w:val="136"/>
          <w:marRight w:val="136"/>
          <w:marTop w:val="204"/>
          <w:marBottom w:val="0"/>
          <w:divBdr>
            <w:top w:val="none" w:sz="0" w:space="0" w:color="auto"/>
            <w:left w:val="none" w:sz="0" w:space="0" w:color="auto"/>
            <w:bottom w:val="none" w:sz="0" w:space="0" w:color="auto"/>
            <w:right w:val="none" w:sz="0" w:space="0" w:color="auto"/>
          </w:divBdr>
          <w:divsChild>
            <w:div w:id="15878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6162">
      <w:bodyDiv w:val="1"/>
      <w:marLeft w:val="0"/>
      <w:marRight w:val="0"/>
      <w:marTop w:val="0"/>
      <w:marBottom w:val="0"/>
      <w:divBdr>
        <w:top w:val="none" w:sz="0" w:space="0" w:color="auto"/>
        <w:left w:val="none" w:sz="0" w:space="0" w:color="auto"/>
        <w:bottom w:val="none" w:sz="0" w:space="0" w:color="auto"/>
        <w:right w:val="none" w:sz="0" w:space="0" w:color="auto"/>
      </w:divBdr>
    </w:div>
    <w:div w:id="857357497">
      <w:bodyDiv w:val="1"/>
      <w:marLeft w:val="0"/>
      <w:marRight w:val="0"/>
      <w:marTop w:val="0"/>
      <w:marBottom w:val="0"/>
      <w:divBdr>
        <w:top w:val="none" w:sz="0" w:space="0" w:color="auto"/>
        <w:left w:val="none" w:sz="0" w:space="0" w:color="auto"/>
        <w:bottom w:val="none" w:sz="0" w:space="0" w:color="auto"/>
        <w:right w:val="none" w:sz="0" w:space="0" w:color="auto"/>
      </w:divBdr>
    </w:div>
    <w:div w:id="885992963">
      <w:bodyDiv w:val="1"/>
      <w:marLeft w:val="0"/>
      <w:marRight w:val="0"/>
      <w:marTop w:val="0"/>
      <w:marBottom w:val="0"/>
      <w:divBdr>
        <w:top w:val="none" w:sz="0" w:space="0" w:color="auto"/>
        <w:left w:val="none" w:sz="0" w:space="0" w:color="auto"/>
        <w:bottom w:val="none" w:sz="0" w:space="0" w:color="auto"/>
        <w:right w:val="none" w:sz="0" w:space="0" w:color="auto"/>
      </w:divBdr>
    </w:div>
    <w:div w:id="940533184">
      <w:bodyDiv w:val="1"/>
      <w:marLeft w:val="0"/>
      <w:marRight w:val="0"/>
      <w:marTop w:val="0"/>
      <w:marBottom w:val="0"/>
      <w:divBdr>
        <w:top w:val="none" w:sz="0" w:space="0" w:color="auto"/>
        <w:left w:val="none" w:sz="0" w:space="0" w:color="auto"/>
        <w:bottom w:val="none" w:sz="0" w:space="0" w:color="auto"/>
        <w:right w:val="none" w:sz="0" w:space="0" w:color="auto"/>
      </w:divBdr>
    </w:div>
    <w:div w:id="1112744439">
      <w:bodyDiv w:val="1"/>
      <w:marLeft w:val="0"/>
      <w:marRight w:val="0"/>
      <w:marTop w:val="0"/>
      <w:marBottom w:val="0"/>
      <w:divBdr>
        <w:top w:val="none" w:sz="0" w:space="0" w:color="auto"/>
        <w:left w:val="none" w:sz="0" w:space="0" w:color="auto"/>
        <w:bottom w:val="none" w:sz="0" w:space="0" w:color="auto"/>
        <w:right w:val="none" w:sz="0" w:space="0" w:color="auto"/>
      </w:divBdr>
    </w:div>
    <w:div w:id="1194344393">
      <w:bodyDiv w:val="1"/>
      <w:marLeft w:val="0"/>
      <w:marRight w:val="0"/>
      <w:marTop w:val="0"/>
      <w:marBottom w:val="0"/>
      <w:divBdr>
        <w:top w:val="none" w:sz="0" w:space="0" w:color="auto"/>
        <w:left w:val="none" w:sz="0" w:space="0" w:color="auto"/>
        <w:bottom w:val="none" w:sz="0" w:space="0" w:color="auto"/>
        <w:right w:val="none" w:sz="0" w:space="0" w:color="auto"/>
      </w:divBdr>
    </w:div>
    <w:div w:id="1521434129">
      <w:bodyDiv w:val="1"/>
      <w:marLeft w:val="0"/>
      <w:marRight w:val="0"/>
      <w:marTop w:val="0"/>
      <w:marBottom w:val="0"/>
      <w:divBdr>
        <w:top w:val="none" w:sz="0" w:space="0" w:color="auto"/>
        <w:left w:val="none" w:sz="0" w:space="0" w:color="auto"/>
        <w:bottom w:val="none" w:sz="0" w:space="0" w:color="auto"/>
        <w:right w:val="none" w:sz="0" w:space="0" w:color="auto"/>
      </w:divBdr>
    </w:div>
    <w:div w:id="1527524673">
      <w:bodyDiv w:val="1"/>
      <w:marLeft w:val="0"/>
      <w:marRight w:val="0"/>
      <w:marTop w:val="0"/>
      <w:marBottom w:val="0"/>
      <w:divBdr>
        <w:top w:val="none" w:sz="0" w:space="0" w:color="auto"/>
        <w:left w:val="none" w:sz="0" w:space="0" w:color="auto"/>
        <w:bottom w:val="none" w:sz="0" w:space="0" w:color="auto"/>
        <w:right w:val="none" w:sz="0" w:space="0" w:color="auto"/>
      </w:divBdr>
    </w:div>
    <w:div w:id="1622029971">
      <w:bodyDiv w:val="1"/>
      <w:marLeft w:val="0"/>
      <w:marRight w:val="0"/>
      <w:marTop w:val="0"/>
      <w:marBottom w:val="0"/>
      <w:divBdr>
        <w:top w:val="none" w:sz="0" w:space="0" w:color="auto"/>
        <w:left w:val="none" w:sz="0" w:space="0" w:color="auto"/>
        <w:bottom w:val="none" w:sz="0" w:space="0" w:color="auto"/>
        <w:right w:val="none" w:sz="0" w:space="0" w:color="auto"/>
      </w:divBdr>
    </w:div>
    <w:div w:id="1656835874">
      <w:bodyDiv w:val="1"/>
      <w:marLeft w:val="0"/>
      <w:marRight w:val="0"/>
      <w:marTop w:val="0"/>
      <w:marBottom w:val="0"/>
      <w:divBdr>
        <w:top w:val="none" w:sz="0" w:space="0" w:color="auto"/>
        <w:left w:val="none" w:sz="0" w:space="0" w:color="auto"/>
        <w:bottom w:val="none" w:sz="0" w:space="0" w:color="auto"/>
        <w:right w:val="none" w:sz="0" w:space="0" w:color="auto"/>
      </w:divBdr>
      <w:divsChild>
        <w:div w:id="316540057">
          <w:marLeft w:val="0"/>
          <w:marRight w:val="0"/>
          <w:marTop w:val="0"/>
          <w:marBottom w:val="0"/>
          <w:divBdr>
            <w:top w:val="single" w:sz="2" w:space="0" w:color="800080"/>
            <w:left w:val="single" w:sz="2" w:space="0" w:color="800080"/>
            <w:bottom w:val="single" w:sz="2" w:space="0" w:color="800080"/>
            <w:right w:val="single" w:sz="2" w:space="0" w:color="800080"/>
          </w:divBdr>
          <w:divsChild>
            <w:div w:id="1044136978">
              <w:marLeft w:val="0"/>
              <w:marRight w:val="0"/>
              <w:marTop w:val="0"/>
              <w:marBottom w:val="0"/>
              <w:divBdr>
                <w:top w:val="none" w:sz="0" w:space="0" w:color="auto"/>
                <w:left w:val="none" w:sz="0" w:space="0" w:color="auto"/>
                <w:bottom w:val="none" w:sz="0" w:space="0" w:color="auto"/>
                <w:right w:val="none" w:sz="0" w:space="0" w:color="auto"/>
              </w:divBdr>
              <w:divsChild>
                <w:div w:id="858740567">
                  <w:marLeft w:val="0"/>
                  <w:marRight w:val="0"/>
                  <w:marTop w:val="0"/>
                  <w:marBottom w:val="0"/>
                  <w:divBdr>
                    <w:top w:val="none" w:sz="0" w:space="0" w:color="auto"/>
                    <w:left w:val="none" w:sz="0" w:space="0" w:color="auto"/>
                    <w:bottom w:val="none" w:sz="0" w:space="0" w:color="auto"/>
                    <w:right w:val="none" w:sz="0" w:space="0" w:color="auto"/>
                  </w:divBdr>
                  <w:divsChild>
                    <w:div w:id="1929577794">
                      <w:marLeft w:val="0"/>
                      <w:marRight w:val="0"/>
                      <w:marTop w:val="0"/>
                      <w:marBottom w:val="0"/>
                      <w:divBdr>
                        <w:top w:val="none" w:sz="0" w:space="0" w:color="auto"/>
                        <w:left w:val="none" w:sz="0" w:space="0" w:color="auto"/>
                        <w:bottom w:val="none" w:sz="0" w:space="0" w:color="auto"/>
                        <w:right w:val="none" w:sz="0" w:space="0" w:color="auto"/>
                      </w:divBdr>
                      <w:divsChild>
                        <w:div w:id="9285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9873">
                  <w:marLeft w:val="0"/>
                  <w:marRight w:val="0"/>
                  <w:marTop w:val="0"/>
                  <w:marBottom w:val="0"/>
                  <w:divBdr>
                    <w:top w:val="none" w:sz="0" w:space="0" w:color="auto"/>
                    <w:left w:val="none" w:sz="0" w:space="0" w:color="auto"/>
                    <w:bottom w:val="none" w:sz="0" w:space="0" w:color="auto"/>
                    <w:right w:val="none" w:sz="0" w:space="0" w:color="auto"/>
                  </w:divBdr>
                  <w:divsChild>
                    <w:div w:id="1249385530">
                      <w:marLeft w:val="-69"/>
                      <w:marRight w:val="0"/>
                      <w:marTop w:val="138"/>
                      <w:marBottom w:val="208"/>
                      <w:divBdr>
                        <w:top w:val="none" w:sz="0" w:space="0" w:color="auto"/>
                        <w:left w:val="none" w:sz="0" w:space="0" w:color="auto"/>
                        <w:bottom w:val="none" w:sz="0" w:space="0" w:color="auto"/>
                        <w:right w:val="none" w:sz="0" w:space="0" w:color="auto"/>
                      </w:divBdr>
                    </w:div>
                    <w:div w:id="1679892770">
                      <w:marLeft w:val="0"/>
                      <w:marRight w:val="0"/>
                      <w:marTop w:val="0"/>
                      <w:marBottom w:val="0"/>
                      <w:divBdr>
                        <w:top w:val="single" w:sz="2" w:space="0" w:color="82E682"/>
                        <w:left w:val="none" w:sz="0" w:space="0" w:color="auto"/>
                        <w:bottom w:val="none" w:sz="0" w:space="0" w:color="auto"/>
                        <w:right w:val="none" w:sz="0" w:space="0" w:color="auto"/>
                      </w:divBdr>
                    </w:div>
                  </w:divsChild>
                </w:div>
              </w:divsChild>
            </w:div>
          </w:divsChild>
        </w:div>
        <w:div w:id="615333286">
          <w:marLeft w:val="3738"/>
          <w:marRight w:val="0"/>
          <w:marTop w:val="138"/>
          <w:marBottom w:val="0"/>
          <w:divBdr>
            <w:top w:val="none" w:sz="0" w:space="0" w:color="auto"/>
            <w:left w:val="none" w:sz="0" w:space="0" w:color="auto"/>
            <w:bottom w:val="none" w:sz="0" w:space="0" w:color="auto"/>
            <w:right w:val="none" w:sz="0" w:space="0" w:color="auto"/>
          </w:divBdr>
        </w:div>
      </w:divsChild>
    </w:div>
    <w:div w:id="1658026604">
      <w:bodyDiv w:val="1"/>
      <w:marLeft w:val="0"/>
      <w:marRight w:val="0"/>
      <w:marTop w:val="0"/>
      <w:marBottom w:val="0"/>
      <w:divBdr>
        <w:top w:val="none" w:sz="0" w:space="0" w:color="auto"/>
        <w:left w:val="none" w:sz="0" w:space="0" w:color="auto"/>
        <w:bottom w:val="none" w:sz="0" w:space="0" w:color="auto"/>
        <w:right w:val="none" w:sz="0" w:space="0" w:color="auto"/>
      </w:divBdr>
    </w:div>
    <w:div w:id="1710646660">
      <w:bodyDiv w:val="1"/>
      <w:marLeft w:val="0"/>
      <w:marRight w:val="0"/>
      <w:marTop w:val="0"/>
      <w:marBottom w:val="0"/>
      <w:divBdr>
        <w:top w:val="none" w:sz="0" w:space="0" w:color="auto"/>
        <w:left w:val="none" w:sz="0" w:space="0" w:color="auto"/>
        <w:bottom w:val="none" w:sz="0" w:space="0" w:color="auto"/>
        <w:right w:val="none" w:sz="0" w:space="0" w:color="auto"/>
      </w:divBdr>
    </w:div>
    <w:div w:id="1774282790">
      <w:bodyDiv w:val="1"/>
      <w:marLeft w:val="0"/>
      <w:marRight w:val="0"/>
      <w:marTop w:val="0"/>
      <w:marBottom w:val="0"/>
      <w:divBdr>
        <w:top w:val="none" w:sz="0" w:space="0" w:color="auto"/>
        <w:left w:val="none" w:sz="0" w:space="0" w:color="auto"/>
        <w:bottom w:val="none" w:sz="0" w:space="0" w:color="auto"/>
        <w:right w:val="none" w:sz="0" w:space="0" w:color="auto"/>
      </w:divBdr>
      <w:divsChild>
        <w:div w:id="1707217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header" Target="header7.xml"/><Relationship Id="rId42" Type="http://schemas.openxmlformats.org/officeDocument/2006/relationships/image" Target="media/image16.emf"/><Relationship Id="rId63" Type="http://schemas.openxmlformats.org/officeDocument/2006/relationships/image" Target="media/image36.emf"/><Relationship Id="rId84" Type="http://schemas.openxmlformats.org/officeDocument/2006/relationships/image" Target="media/image57.emf"/><Relationship Id="rId138" Type="http://schemas.openxmlformats.org/officeDocument/2006/relationships/header" Target="header14.xml"/><Relationship Id="rId107" Type="http://schemas.openxmlformats.org/officeDocument/2006/relationships/image" Target="media/image78.emf"/><Relationship Id="rId11" Type="http://schemas.openxmlformats.org/officeDocument/2006/relationships/header" Target="header2.xml"/><Relationship Id="rId32" Type="http://schemas.openxmlformats.org/officeDocument/2006/relationships/header" Target="header9.xml"/><Relationship Id="rId53" Type="http://schemas.openxmlformats.org/officeDocument/2006/relationships/image" Target="media/image27.emf"/><Relationship Id="rId74" Type="http://schemas.openxmlformats.org/officeDocument/2006/relationships/image" Target="media/image47.emf"/><Relationship Id="rId128" Type="http://schemas.openxmlformats.org/officeDocument/2006/relationships/image" Target="media/image99.emf"/><Relationship Id="rId149" Type="http://schemas.openxmlformats.org/officeDocument/2006/relationships/customXml" Target="../customXml/item3.xml"/><Relationship Id="rId5" Type="http://schemas.openxmlformats.org/officeDocument/2006/relationships/webSettings" Target="webSettings.xml"/><Relationship Id="rId95" Type="http://schemas.openxmlformats.org/officeDocument/2006/relationships/image" Target="media/image68.emf"/><Relationship Id="rId22" Type="http://schemas.openxmlformats.org/officeDocument/2006/relationships/footer" Target="footer7.xml"/><Relationship Id="rId27" Type="http://schemas.openxmlformats.org/officeDocument/2006/relationships/header" Target="header8.xml"/><Relationship Id="rId43" Type="http://schemas.openxmlformats.org/officeDocument/2006/relationships/image" Target="media/image17.emf"/><Relationship Id="rId48" Type="http://schemas.openxmlformats.org/officeDocument/2006/relationships/image" Target="media/image22.emf"/><Relationship Id="rId64" Type="http://schemas.openxmlformats.org/officeDocument/2006/relationships/image" Target="media/image37.emf"/><Relationship Id="rId69" Type="http://schemas.openxmlformats.org/officeDocument/2006/relationships/image" Target="media/image42.emf"/><Relationship Id="rId113" Type="http://schemas.openxmlformats.org/officeDocument/2006/relationships/image" Target="media/image84.emf"/><Relationship Id="rId118" Type="http://schemas.openxmlformats.org/officeDocument/2006/relationships/image" Target="media/image89.emf"/><Relationship Id="rId134" Type="http://schemas.openxmlformats.org/officeDocument/2006/relationships/header" Target="header12.xml"/><Relationship Id="rId139" Type="http://schemas.openxmlformats.org/officeDocument/2006/relationships/footer" Target="footer14.xml"/><Relationship Id="rId80" Type="http://schemas.openxmlformats.org/officeDocument/2006/relationships/image" Target="media/image53.emf"/><Relationship Id="rId85" Type="http://schemas.openxmlformats.org/officeDocument/2006/relationships/image" Target="media/image58.emf"/><Relationship Id="rId150" Type="http://schemas.openxmlformats.org/officeDocument/2006/relationships/customXml" Target="../customXml/item4.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footer" Target="footer9.xml"/><Relationship Id="rId38" Type="http://schemas.openxmlformats.org/officeDocument/2006/relationships/image" Target="media/image12.emf"/><Relationship Id="rId59" Type="http://schemas.openxmlformats.org/officeDocument/2006/relationships/image" Target="media/image32.emf"/><Relationship Id="rId103" Type="http://schemas.openxmlformats.org/officeDocument/2006/relationships/image" Target="media/image74.emf"/><Relationship Id="rId108" Type="http://schemas.openxmlformats.org/officeDocument/2006/relationships/image" Target="media/image79.emf"/><Relationship Id="rId124" Type="http://schemas.openxmlformats.org/officeDocument/2006/relationships/image" Target="media/image95.emf"/><Relationship Id="rId129" Type="http://schemas.openxmlformats.org/officeDocument/2006/relationships/image" Target="media/image100.emf"/><Relationship Id="rId54" Type="http://schemas.openxmlformats.org/officeDocument/2006/relationships/image" Target="media/image28.emf"/><Relationship Id="rId70" Type="http://schemas.openxmlformats.org/officeDocument/2006/relationships/image" Target="media/image43.emf"/><Relationship Id="rId75" Type="http://schemas.openxmlformats.org/officeDocument/2006/relationships/image" Target="media/image48.emf"/><Relationship Id="rId91" Type="http://schemas.openxmlformats.org/officeDocument/2006/relationships/image" Target="media/image64.emf"/><Relationship Id="rId96" Type="http://schemas.openxmlformats.org/officeDocument/2006/relationships/image" Target="media/image69.emf"/><Relationship Id="rId140" Type="http://schemas.openxmlformats.org/officeDocument/2006/relationships/image" Target="media/image103.emf"/><Relationship Id="rId14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5.emf"/><Relationship Id="rId49" Type="http://schemas.openxmlformats.org/officeDocument/2006/relationships/image" Target="media/image23.emf"/><Relationship Id="rId114" Type="http://schemas.openxmlformats.org/officeDocument/2006/relationships/image" Target="media/image85.emf"/><Relationship Id="rId119" Type="http://schemas.openxmlformats.org/officeDocument/2006/relationships/image" Target="media/image90.emf"/><Relationship Id="rId44" Type="http://schemas.openxmlformats.org/officeDocument/2006/relationships/image" Target="media/image18.emf"/><Relationship Id="rId60" Type="http://schemas.openxmlformats.org/officeDocument/2006/relationships/image" Target="media/image33.emf"/><Relationship Id="rId65" Type="http://schemas.openxmlformats.org/officeDocument/2006/relationships/image" Target="media/image38.emf"/><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image" Target="media/image101.emf"/><Relationship Id="rId135" Type="http://schemas.openxmlformats.org/officeDocument/2006/relationships/header" Target="header13.xml"/><Relationship Id="rId151" Type="http://schemas.openxmlformats.org/officeDocument/2006/relationships/customXml" Target="../customXml/item5.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3.emf"/><Relationship Id="rId109" Type="http://schemas.openxmlformats.org/officeDocument/2006/relationships/image" Target="media/image80.emf"/><Relationship Id="rId34" Type="http://schemas.openxmlformats.org/officeDocument/2006/relationships/image" Target="media/image8.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9.emf"/><Relationship Id="rId97" Type="http://schemas.openxmlformats.org/officeDocument/2006/relationships/footer" Target="footer10.xml"/><Relationship Id="rId104" Type="http://schemas.openxmlformats.org/officeDocument/2006/relationships/image" Target="media/image75.emf"/><Relationship Id="rId120" Type="http://schemas.openxmlformats.org/officeDocument/2006/relationships/image" Target="media/image91.emf"/><Relationship Id="rId125" Type="http://schemas.openxmlformats.org/officeDocument/2006/relationships/image" Target="media/image96.emf"/><Relationship Id="rId141" Type="http://schemas.openxmlformats.org/officeDocument/2006/relationships/package" Target="embeddings/Microsoft_Excel_Worksheet2.xlsx"/><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image" Target="media/image4.emf"/><Relationship Id="rId40" Type="http://schemas.openxmlformats.org/officeDocument/2006/relationships/image" Target="media/image14.emf"/><Relationship Id="rId45" Type="http://schemas.openxmlformats.org/officeDocument/2006/relationships/image" Target="media/image19.emf"/><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1.emf"/><Relationship Id="rId115" Type="http://schemas.openxmlformats.org/officeDocument/2006/relationships/image" Target="media/image86.emf"/><Relationship Id="rId131" Type="http://schemas.openxmlformats.org/officeDocument/2006/relationships/footer" Target="footer11.xml"/><Relationship Id="rId136" Type="http://schemas.openxmlformats.org/officeDocument/2006/relationships/footer" Target="footer12.xml"/><Relationship Id="rId61" Type="http://schemas.openxmlformats.org/officeDocument/2006/relationships/image" Target="media/image34.emf"/><Relationship Id="rId82" Type="http://schemas.openxmlformats.org/officeDocument/2006/relationships/image" Target="media/image55.emf"/><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7.emf"/><Relationship Id="rId35" Type="http://schemas.openxmlformats.org/officeDocument/2006/relationships/image" Target="media/image9.emf"/><Relationship Id="rId56" Type="http://schemas.openxmlformats.org/officeDocument/2006/relationships/header" Target="header10.xml"/><Relationship Id="rId77" Type="http://schemas.openxmlformats.org/officeDocument/2006/relationships/image" Target="media/image50.emf"/><Relationship Id="rId100" Type="http://schemas.openxmlformats.org/officeDocument/2006/relationships/image" Target="media/image71.emf"/><Relationship Id="rId105" Type="http://schemas.openxmlformats.org/officeDocument/2006/relationships/image" Target="media/image76.emf"/><Relationship Id="rId126" Type="http://schemas.openxmlformats.org/officeDocument/2006/relationships/image" Target="media/image97.emf"/><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5.emf"/><Relationship Id="rId72" Type="http://schemas.openxmlformats.org/officeDocument/2006/relationships/image" Target="media/image45.emf"/><Relationship Id="rId93" Type="http://schemas.openxmlformats.org/officeDocument/2006/relationships/image" Target="media/image66.emf"/><Relationship Id="rId98" Type="http://schemas.openxmlformats.org/officeDocument/2006/relationships/header" Target="header11.xml"/><Relationship Id="rId121" Type="http://schemas.openxmlformats.org/officeDocument/2006/relationships/image" Target="media/image92.emf"/><Relationship Id="rId142" Type="http://schemas.openxmlformats.org/officeDocument/2006/relationships/image" Target="media/image104.emf"/><Relationship Id="rId3" Type="http://schemas.openxmlformats.org/officeDocument/2006/relationships/styles" Target="styles.xml"/><Relationship Id="rId25" Type="http://schemas.openxmlformats.org/officeDocument/2006/relationships/hyperlink" Target="http://www.nwcouncil.org/energy/powerplan/6/supplycurves/default.htm%20" TargetMode="External"/><Relationship Id="rId46" Type="http://schemas.openxmlformats.org/officeDocument/2006/relationships/image" Target="media/image20.emf"/><Relationship Id="rId67" Type="http://schemas.openxmlformats.org/officeDocument/2006/relationships/image" Target="media/image40.emf"/><Relationship Id="rId116" Type="http://schemas.openxmlformats.org/officeDocument/2006/relationships/image" Target="media/image87.emf"/><Relationship Id="rId137" Type="http://schemas.openxmlformats.org/officeDocument/2006/relationships/footer" Target="footer13.xml"/><Relationship Id="rId20" Type="http://schemas.openxmlformats.org/officeDocument/2006/relationships/footer" Target="footer6.xml"/><Relationship Id="rId41" Type="http://schemas.openxmlformats.org/officeDocument/2006/relationships/image" Target="media/image15.emf"/><Relationship Id="rId62" Type="http://schemas.openxmlformats.org/officeDocument/2006/relationships/image" Target="media/image35.emf"/><Relationship Id="rId83" Type="http://schemas.openxmlformats.org/officeDocument/2006/relationships/image" Target="media/image56.emf"/><Relationship Id="rId88" Type="http://schemas.openxmlformats.org/officeDocument/2006/relationships/image" Target="media/image61.emf"/><Relationship Id="rId111" Type="http://schemas.openxmlformats.org/officeDocument/2006/relationships/image" Target="media/image82.emf"/><Relationship Id="rId132" Type="http://schemas.openxmlformats.org/officeDocument/2006/relationships/image" Target="media/image102.emf"/><Relationship Id="rId15" Type="http://schemas.openxmlformats.org/officeDocument/2006/relationships/header" Target="header4.xml"/><Relationship Id="rId36" Type="http://schemas.openxmlformats.org/officeDocument/2006/relationships/image" Target="media/image10.emf"/><Relationship Id="rId57" Type="http://schemas.openxmlformats.org/officeDocument/2006/relationships/image" Target="media/image30.emf"/><Relationship Id="rId106" Type="http://schemas.openxmlformats.org/officeDocument/2006/relationships/image" Target="media/image77.emf"/><Relationship Id="rId127" Type="http://schemas.openxmlformats.org/officeDocument/2006/relationships/image" Target="media/image98.emf"/><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image" Target="media/image26.emf"/><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image" Target="media/image67.emf"/><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image" Target="media/image93.emf"/><Relationship Id="rId143" Type="http://schemas.openxmlformats.org/officeDocument/2006/relationships/package" Target="embeddings/Microsoft_Excel_Worksheet3.xlsx"/><Relationship Id="rId14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nwcouncil.org/energy/rtf/measures/Default.asp%20" TargetMode="External"/><Relationship Id="rId47" Type="http://schemas.openxmlformats.org/officeDocument/2006/relationships/image" Target="media/image21.emf"/><Relationship Id="rId68" Type="http://schemas.openxmlformats.org/officeDocument/2006/relationships/image" Target="media/image41.emf"/><Relationship Id="rId89" Type="http://schemas.openxmlformats.org/officeDocument/2006/relationships/image" Target="media/image62.emf"/><Relationship Id="rId112" Type="http://schemas.openxmlformats.org/officeDocument/2006/relationships/image" Target="media/image83.emf"/><Relationship Id="rId133" Type="http://schemas.openxmlformats.org/officeDocument/2006/relationships/package" Target="embeddings/Microsoft_Excel_Worksheet1.xlsx"/><Relationship Id="rId16" Type="http://schemas.openxmlformats.org/officeDocument/2006/relationships/footer" Target="footer4.xml"/><Relationship Id="rId37" Type="http://schemas.openxmlformats.org/officeDocument/2006/relationships/image" Target="media/image11.emf"/><Relationship Id="rId58" Type="http://schemas.openxmlformats.org/officeDocument/2006/relationships/image" Target="media/image31.emf"/><Relationship Id="rId79" Type="http://schemas.openxmlformats.org/officeDocument/2006/relationships/image" Target="media/image52.emf"/><Relationship Id="rId102" Type="http://schemas.openxmlformats.org/officeDocument/2006/relationships/image" Target="media/image73.emf"/><Relationship Id="rId123" Type="http://schemas.openxmlformats.org/officeDocument/2006/relationships/image" Target="media/image94.emf"/><Relationship Id="rId144" Type="http://schemas.openxmlformats.org/officeDocument/2006/relationships/footer" Target="footer15.xml"/><Relationship Id="rId90" Type="http://schemas.openxmlformats.org/officeDocument/2006/relationships/image" Target="media/image63.emf"/></Relationships>
</file>

<file path=word/_rels/footnotes.xml.rels><?xml version="1.0" encoding="UTF-8" standalone="yes"?>
<Relationships xmlns="http://schemas.openxmlformats.org/package/2006/relationships"><Relationship Id="rId3" Type="http://schemas.openxmlformats.org/officeDocument/2006/relationships/hyperlink" Target="http://www.edisonfoundation.net/iee/Documents/IEE_CodesandStandardsAssessment_2010-2025_UPDATE.pdf" TargetMode="External"/><Relationship Id="rId2" Type="http://schemas.openxmlformats.org/officeDocument/2006/relationships/hyperlink" Target="http://www.edisonfoundation.net/IEE/Documents/IEE_RohmundApplianceStandardsEfficiencyCodes1209.pdf" TargetMode="External"/><Relationship Id="rId1" Type="http://schemas.openxmlformats.org/officeDocument/2006/relationships/hyperlink" Target="http://www.epa.gov/eeactionplan" TargetMode="External"/><Relationship Id="rId4" Type="http://schemas.openxmlformats.org/officeDocument/2006/relationships/hyperlink" Target="http://www.edisonfoundation.net/iee/Documents/IEE_FactorsAffectingUSElecConsumption_Final.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nerNOC">
      <a:dk1>
        <a:sysClr val="windowText" lastClr="000000"/>
      </a:dk1>
      <a:lt1>
        <a:sysClr val="window" lastClr="FFFFFF"/>
      </a:lt1>
      <a:dk2>
        <a:srgbClr val="003E74"/>
      </a:dk2>
      <a:lt2>
        <a:srgbClr val="EEECE1"/>
      </a:lt2>
      <a:accent1>
        <a:srgbClr val="4C789D"/>
      </a:accent1>
      <a:accent2>
        <a:srgbClr val="7F9EB9"/>
      </a:accent2>
      <a:accent3>
        <a:srgbClr val="CCD8E3"/>
      </a:accent3>
      <a:accent4>
        <a:srgbClr val="DEB408"/>
      </a:accent4>
      <a:accent5>
        <a:srgbClr val="919195"/>
      </a:accent5>
      <a:accent6>
        <a:srgbClr val="F2F5F8"/>
      </a:accent6>
      <a:hlink>
        <a:srgbClr val="0000FF"/>
      </a:hlink>
      <a:folHlink>
        <a:srgbClr val="800080"/>
      </a:folHlink>
    </a:clrScheme>
    <a:fontScheme name="EnerNOC">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BDAEF87628CA64BBBFC454776DE17F8" ma:contentTypeVersion="175" ma:contentTypeDescription="" ma:contentTypeScope="" ma:versionID="c5907669075eff8e2198c6987ee5907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Plan</CaseType>
    <IndustryCode xmlns="dc463f71-b30c-4ab2-9473-d307f9d35888">140</IndustryCode>
    <CaseStatus xmlns="dc463f71-b30c-4ab2-9473-d307f9d35888">Closed</CaseStatus>
    <OpenedDate xmlns="dc463f71-b30c-4ab2-9473-d307f9d35888">2014-08-29T07:00:00+00:00</OpenedDate>
    <Date1 xmlns="dc463f71-b30c-4ab2-9473-d307f9d35888">2015-08-31T07:00:00+00:00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143214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E8F0103E-84F7-4124-B733-2DC85F96D607}"/>
</file>

<file path=customXml/itemProps2.xml><?xml version="1.0" encoding="utf-8"?>
<ds:datastoreItem xmlns:ds="http://schemas.openxmlformats.org/officeDocument/2006/customXml" ds:itemID="{BB77844E-E993-4971-9679-7866BE8311EF}"/>
</file>

<file path=customXml/itemProps3.xml><?xml version="1.0" encoding="utf-8"?>
<ds:datastoreItem xmlns:ds="http://schemas.openxmlformats.org/officeDocument/2006/customXml" ds:itemID="{C92C8CE6-8EDF-4A81-A925-737B465B11F0}"/>
</file>

<file path=customXml/itemProps4.xml><?xml version="1.0" encoding="utf-8"?>
<ds:datastoreItem xmlns:ds="http://schemas.openxmlformats.org/officeDocument/2006/customXml" ds:itemID="{A9906F6D-5458-4517-B93C-2A33EF872211}"/>
</file>

<file path=customXml/itemProps5.xml><?xml version="1.0" encoding="utf-8"?>
<ds:datastoreItem xmlns:ds="http://schemas.openxmlformats.org/officeDocument/2006/customXml" ds:itemID="{6F513777-7483-4AD8-9AB8-9FE48FDB0BB0}"/>
</file>

<file path=docProps/app.xml><?xml version="1.0" encoding="utf-8"?>
<Properties xmlns="http://schemas.openxmlformats.org/officeDocument/2006/extended-properties" xmlns:vt="http://schemas.openxmlformats.org/officeDocument/2006/docPropsVTypes">
  <Template>Normal</Template>
  <TotalTime>0</TotalTime>
  <Pages>132</Pages>
  <Words>21677</Words>
  <Characters>123559</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REPORT TITLE</vt:lpstr>
    </vt:vector>
  </TitlesOfParts>
  <Company>GEP</Company>
  <LinksUpToDate>false</LinksUpToDate>
  <CharactersWithSpaces>144947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Rev'd 12/18/2006</dc:subject>
  <dc:creator>Kester, Bridget</dc:creator>
  <cp:keywords/>
  <dc:description/>
  <cp:lastModifiedBy>Snyder, Jennifer (UTC)</cp:lastModifiedBy>
  <cp:revision>2</cp:revision>
  <cp:lastPrinted>2015-12-22T23:40:00Z</cp:lastPrinted>
  <dcterms:created xsi:type="dcterms:W3CDTF">2015-12-22T23:42:00Z</dcterms:created>
  <dcterms:modified xsi:type="dcterms:W3CDTF">2015-12-22T23:42:00Z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0x0101006E56B4D1795A2E4DB2F0B01679ED314A001BDAEF87628CA64BBBFC454776DE17F8</vt:lpwstr>
  </property>
  <property fmtid="{D5CDD505-2E9C-101B-9397-08002B2CF9AE}" pid="3" name="_docset_NoMedatataSyncRequired">
    <vt:lpwstr>False</vt:lpwstr>
  </property>
</Properties>
</file>