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2B" w:rsidRPr="00F56F2B" w:rsidRDefault="00F56F2B" w:rsidP="00A513C0">
      <w:pPr>
        <w:keepNext/>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Does United have an obligation to serve every customer in every location within its service area?</w:t>
      </w:r>
    </w:p>
    <w:p w:rsidR="00F56F2B" w:rsidRPr="00F56F2B" w:rsidRDefault="00F56F2B" w:rsidP="00A513C0">
      <w:pPr>
        <w:keepNext/>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No.</w:t>
      </w:r>
      <w:r w:rsidR="00D43AC4">
        <w:rPr>
          <w:rFonts w:ascii="Times New Roman" w:hAnsi="Times New Roman"/>
        </w:rPr>
        <w:t xml:space="preserve"> </w:t>
      </w:r>
      <w:r w:rsidRPr="00F56F2B">
        <w:rPr>
          <w:rFonts w:ascii="Times New Roman" w:hAnsi="Times New Roman"/>
        </w:rPr>
        <w:t xml:space="preserve"> As Mr. </w:t>
      </w:r>
      <w:proofErr w:type="spellStart"/>
      <w:r w:rsidRPr="00F56F2B">
        <w:rPr>
          <w:rFonts w:ascii="Times New Roman" w:hAnsi="Times New Roman"/>
        </w:rPr>
        <w:t>Felz</w:t>
      </w:r>
      <w:proofErr w:type="spellEnd"/>
      <w:r w:rsidRPr="00F56F2B">
        <w:rPr>
          <w:rFonts w:ascii="Times New Roman" w:hAnsi="Times New Roman"/>
        </w:rPr>
        <w:t xml:space="preserve"> notes, the obligation to serve is found in RCW 80.36.090. </w:t>
      </w:r>
      <w:r w:rsidR="005F013E">
        <w:rPr>
          <w:rFonts w:ascii="Times New Roman" w:hAnsi="Times New Roman"/>
        </w:rPr>
        <w:t xml:space="preserve"> </w:t>
      </w:r>
      <w:r w:rsidRPr="00F56F2B">
        <w:rPr>
          <w:rFonts w:ascii="Times New Roman" w:hAnsi="Times New Roman"/>
        </w:rPr>
        <w:t>This statute requires companies such as United to provide service to those customers “who may be reasonably entitled” to service. The law does not place an absolute or unreasonable obligation to serve on United. As a practical matter, the Commission has interpreted this statute in a way that does not require service to all applicants in all locations. The Commission has recognized that in some circumstances the cost of serving a location would be an unreasonable use of society’s resources and that in some circumstances other service providers could meet the applicant’s needs more cost-effectively. Moreover, the obligation to serve that United bears is one that is shared with other companies that have been designated as eligible telecommunications carriers under federal universal service law.</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Could you provide an example of how the Commission has implemented this policy of limiting incumbent carriers’ obligation to serve?</w:t>
      </w:r>
    </w:p>
    <w:p w:rsidR="001049AA" w:rsidRDefault="00F56F2B" w:rsidP="00F56F2B">
      <w:pPr>
        <w:spacing w:line="480" w:lineRule="auto"/>
        <w:ind w:left="720" w:hanging="720"/>
        <w:rPr>
          <w:rFonts w:ascii="Times New Roman" w:hAnsi="Times New Roman"/>
        </w:rPr>
        <w:sectPr w:rsidR="001049AA" w:rsidSect="00A063CD">
          <w:footerReference w:type="default" r:id="rId8"/>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Yes.</w:t>
      </w:r>
      <w:r w:rsidR="00D43AC4">
        <w:rPr>
          <w:rFonts w:ascii="Times New Roman" w:hAnsi="Times New Roman"/>
        </w:rPr>
        <w:t xml:space="preserve"> </w:t>
      </w:r>
      <w:r w:rsidRPr="00F56F2B">
        <w:rPr>
          <w:rFonts w:ascii="Times New Roman" w:hAnsi="Times New Roman"/>
        </w:rPr>
        <w:t xml:space="preserve"> The line extension rule (WAC 480-120-071) sets out the obligations and process of a company such as United when an applicant requests basic residential service at a location where the company has no existing distribution plant. The rule allows a company 13 months to complete an extension, and it allows the </w:t>
      </w:r>
      <w:proofErr w:type="spellStart"/>
      <w:r w:rsidRPr="00263BC6">
        <w:rPr>
          <w:rFonts w:ascii="Times New Roman" w:hAnsi="Times New Roman"/>
          <w:b/>
          <w:strike/>
        </w:rPr>
        <w:t>customer</w:t>
      </w:r>
      <w:r w:rsidR="00132D5E" w:rsidRPr="00263BC6">
        <w:rPr>
          <w:rFonts w:ascii="Times New Roman" w:hAnsi="Times New Roman"/>
          <w:b/>
          <w:u w:val="single"/>
        </w:rPr>
        <w:t>company</w:t>
      </w:r>
      <w:proofErr w:type="spellEnd"/>
      <w:r w:rsidRPr="00F56F2B">
        <w:rPr>
          <w:rFonts w:ascii="Times New Roman" w:hAnsi="Times New Roman"/>
        </w:rPr>
        <w:t xml:space="preserve"> to charge the applicant for costs beyond the first 1,000 feet of an extension. The company can even charge the applicant for any extraordinary costs incurred in constructing the first 1,000 feet of an extension.</w:t>
      </w:r>
    </w:p>
    <w:p w:rsidR="00F56F2B" w:rsidRPr="00F56F2B" w:rsidRDefault="00F56F2B" w:rsidP="00F56F2B">
      <w:pPr>
        <w:spacing w:line="480" w:lineRule="auto"/>
        <w:ind w:left="720" w:hanging="720"/>
        <w:rPr>
          <w:rFonts w:ascii="Times New Roman" w:hAnsi="Times New Roman"/>
          <w:b/>
          <w:bCs/>
        </w:rPr>
      </w:pPr>
      <w:r w:rsidRPr="00F56F2B">
        <w:rPr>
          <w:rFonts w:ascii="Times New Roman" w:hAnsi="Times New Roman"/>
          <w:b/>
          <w:bCs/>
        </w:rPr>
        <w:lastRenderedPageBreak/>
        <w:t>Q.</w:t>
      </w:r>
      <w:r w:rsidRPr="00F56F2B">
        <w:rPr>
          <w:rFonts w:ascii="Times New Roman" w:hAnsi="Times New Roman"/>
          <w:b/>
          <w:bCs/>
        </w:rPr>
        <w:tab/>
        <w:t>Using this approach, what is your conclusion regarding United’s originating access rates?</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United’s originating rates are excessive. As the Commission concluded in 2002 with respect to Verizon Northwest, it is inappropriate for a local exchange company to use high originating access charges when interexchange carriers are expected to charge uniform statewide rates. United is able to use its originating rates to export a portion of its costs to the customers in other parts of the state who make intrastate toll calls. United should be required to reduce its originating access rates to the level charged by </w:t>
      </w:r>
      <w:r w:rsidRPr="00263BC6">
        <w:rPr>
          <w:rFonts w:ascii="Times New Roman" w:hAnsi="Times New Roman"/>
          <w:b/>
          <w:strike/>
        </w:rPr>
        <w:t xml:space="preserve">Qwest </w:t>
      </w:r>
      <w:proofErr w:type="spellStart"/>
      <w:r w:rsidRPr="00263BC6">
        <w:rPr>
          <w:rFonts w:ascii="Times New Roman" w:hAnsi="Times New Roman"/>
          <w:b/>
          <w:strike/>
        </w:rPr>
        <w:t>Corporation</w:t>
      </w:r>
      <w:r w:rsidR="00132D5E" w:rsidRPr="00263BC6">
        <w:rPr>
          <w:rFonts w:ascii="Times New Roman" w:hAnsi="Times New Roman"/>
          <w:b/>
          <w:u w:val="single"/>
        </w:rPr>
        <w:t>Verizon</w:t>
      </w:r>
      <w:proofErr w:type="spellEnd"/>
      <w:r w:rsidR="00132D5E" w:rsidRPr="00263BC6">
        <w:rPr>
          <w:rFonts w:ascii="Times New Roman" w:hAnsi="Times New Roman"/>
          <w:b/>
          <w:u w:val="single"/>
        </w:rPr>
        <w:t xml:space="preserve"> Northwest</w:t>
      </w:r>
      <w:r w:rsidRPr="00F56F2B">
        <w:rPr>
          <w:rFonts w:ascii="Times New Roman" w:hAnsi="Times New Roman"/>
        </w:rPr>
        <w:t>, which is $0.</w:t>
      </w:r>
      <w:r w:rsidR="00132D5E" w:rsidRPr="00263BC6">
        <w:rPr>
          <w:rFonts w:ascii="Times New Roman" w:hAnsi="Times New Roman"/>
          <w:b/>
          <w:u w:val="single"/>
        </w:rPr>
        <w:t>0</w:t>
      </w:r>
      <w:r w:rsidRPr="00F56F2B">
        <w:rPr>
          <w:rFonts w:ascii="Times New Roman" w:hAnsi="Times New Roman"/>
        </w:rPr>
        <w:t xml:space="preserve">15817 per minute. This should be accomplished by eliminating United’s carrier common line charge, which is $0.01 per minute, and by lowering United’s </w:t>
      </w:r>
      <w:proofErr w:type="spellStart"/>
      <w:r w:rsidRPr="00F56F2B">
        <w:rPr>
          <w:rFonts w:ascii="Times New Roman" w:hAnsi="Times New Roman"/>
        </w:rPr>
        <w:t>LS1</w:t>
      </w:r>
      <w:proofErr w:type="spellEnd"/>
      <w:r w:rsidRPr="00F56F2B">
        <w:rPr>
          <w:rFonts w:ascii="Times New Roman" w:hAnsi="Times New Roman"/>
        </w:rPr>
        <w:t xml:space="preserve"> and </w:t>
      </w:r>
      <w:proofErr w:type="spellStart"/>
      <w:r w:rsidRPr="00F56F2B">
        <w:rPr>
          <w:rFonts w:ascii="Times New Roman" w:hAnsi="Times New Roman"/>
        </w:rPr>
        <w:t>LS2</w:t>
      </w:r>
      <w:proofErr w:type="spellEnd"/>
      <w:r w:rsidRPr="00F56F2B">
        <w:rPr>
          <w:rFonts w:ascii="Times New Roman" w:hAnsi="Times New Roman"/>
        </w:rPr>
        <w:t xml:space="preserve"> originating premium access rate from $0.020740 per minute to $0.015817 per minute. At this level, United’s originating access service will still be priced above incremental cost and therefore will provide a contribution to the recovery of shared and common costs of the network. </w:t>
      </w:r>
    </w:p>
    <w:p w:rsidR="00F56F2B" w:rsidRPr="00F56F2B" w:rsidRDefault="00F56F2B" w:rsidP="00F56F2B">
      <w:pPr>
        <w:spacing w:line="480" w:lineRule="auto"/>
        <w:rPr>
          <w:rFonts w:ascii="Times New Roman" w:hAnsi="Times New Roman"/>
        </w:rPr>
      </w:pPr>
    </w:p>
    <w:p w:rsidR="00F56F2B" w:rsidRDefault="00EB539E" w:rsidP="00EB539E">
      <w:pPr>
        <w:numPr>
          <w:ilvl w:val="0"/>
          <w:numId w:val="15"/>
        </w:numPr>
        <w:spacing w:line="480" w:lineRule="auto"/>
        <w:jc w:val="center"/>
        <w:rPr>
          <w:rFonts w:ascii="Times New Roman" w:hAnsi="Times New Roman"/>
          <w:b/>
          <w:bCs/>
          <w:color w:val="000000" w:themeColor="text1"/>
        </w:rPr>
      </w:pPr>
      <w:r>
        <w:rPr>
          <w:rFonts w:ascii="Times New Roman" w:hAnsi="Times New Roman"/>
          <w:b/>
          <w:bCs/>
          <w:color w:val="000000" w:themeColor="text1"/>
        </w:rPr>
        <w:tab/>
      </w:r>
      <w:r w:rsidRPr="00EB539E">
        <w:rPr>
          <w:rFonts w:ascii="Times New Roman" w:hAnsi="Times New Roman"/>
          <w:b/>
          <w:bCs/>
          <w:color w:val="000000" w:themeColor="text1"/>
        </w:rPr>
        <w:t>UNITED’S COST ANALYSIS</w:t>
      </w:r>
    </w:p>
    <w:p w:rsidR="00EB539E" w:rsidRPr="00EB539E" w:rsidRDefault="00EB539E" w:rsidP="00EB539E">
      <w:pPr>
        <w:spacing w:line="480" w:lineRule="auto"/>
        <w:rPr>
          <w:rFonts w:ascii="Times New Roman" w:hAnsi="Times New Roman"/>
          <w:b/>
          <w:bCs/>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 xml:space="preserve">United’s witness, Mr. Roth, contends that the company’s access charges are justified because the cost of access service is greater than the revenues it receives from access service. </w:t>
      </w:r>
      <w:r w:rsidR="00D43AC4">
        <w:rPr>
          <w:rFonts w:ascii="Times New Roman" w:hAnsi="Times New Roman"/>
          <w:b/>
        </w:rPr>
        <w:t xml:space="preserve"> </w:t>
      </w:r>
      <w:r w:rsidRPr="00F56F2B">
        <w:rPr>
          <w:rFonts w:ascii="Times New Roman" w:hAnsi="Times New Roman"/>
          <w:b/>
        </w:rPr>
        <w:t>Is this contention supported by United’s testimony and exhibits?</w:t>
      </w:r>
    </w:p>
    <w:p w:rsidR="0047046A" w:rsidRPr="00F56F2B" w:rsidRDefault="00F56F2B" w:rsidP="009D466B">
      <w:pPr>
        <w:autoSpaceDE w:val="0"/>
        <w:spacing w:line="480" w:lineRule="auto"/>
        <w:ind w:left="720" w:hanging="720"/>
        <w:rPr>
          <w:rFonts w:ascii="Times New Roman" w:hAnsi="Times New Roman"/>
          <w:b/>
        </w:rPr>
      </w:pPr>
      <w:r w:rsidRPr="00F56F2B">
        <w:rPr>
          <w:rFonts w:ascii="Times New Roman" w:hAnsi="Times New Roman"/>
        </w:rPr>
        <w:t>A.</w:t>
      </w:r>
      <w:r w:rsidRPr="00F56F2B">
        <w:rPr>
          <w:rFonts w:ascii="Times New Roman" w:hAnsi="Times New Roman"/>
        </w:rPr>
        <w:tab/>
        <w:t>Mr. Roth asserts that “costs exceed the revenue associated with [intrastate access] services in Washington, therefore, […] United’s current intrastate switched access r</w:t>
      </w:r>
      <w:r w:rsidR="006360E1">
        <w:rPr>
          <w:rFonts w:ascii="Times New Roman" w:hAnsi="Times New Roman"/>
        </w:rPr>
        <w:t xml:space="preserve">ates are just and reasonable.” </w:t>
      </w:r>
      <w:r w:rsidR="00082295">
        <w:rPr>
          <w:rFonts w:ascii="Times New Roman" w:hAnsi="Times New Roman"/>
        </w:rPr>
        <w:t>(</w:t>
      </w:r>
      <w:r w:rsidRPr="00F56F2B">
        <w:rPr>
          <w:rFonts w:ascii="Times New Roman" w:hAnsi="Times New Roman"/>
        </w:rPr>
        <w:t>Exhibit</w:t>
      </w:r>
      <w:r w:rsidR="006360E1">
        <w:rPr>
          <w:rFonts w:ascii="Times New Roman" w:hAnsi="Times New Roman"/>
        </w:rPr>
        <w:t xml:space="preserve"> No. ___ (</w:t>
      </w:r>
      <w:proofErr w:type="spellStart"/>
      <w:r w:rsidRPr="00F56F2B">
        <w:rPr>
          <w:rFonts w:ascii="Times New Roman" w:hAnsi="Times New Roman"/>
        </w:rPr>
        <w:t>HJR-1T</w:t>
      </w:r>
      <w:proofErr w:type="spellEnd"/>
      <w:r w:rsidR="006360E1">
        <w:rPr>
          <w:rFonts w:ascii="Times New Roman" w:hAnsi="Times New Roman"/>
        </w:rPr>
        <w:t>)</w:t>
      </w:r>
      <w:r w:rsidRPr="00F56F2B">
        <w:rPr>
          <w:rFonts w:ascii="Times New Roman" w:hAnsi="Times New Roman"/>
        </w:rPr>
        <w:t>, p</w:t>
      </w:r>
      <w:r w:rsidR="00A85B34">
        <w:rPr>
          <w:rFonts w:ascii="Times New Roman" w:hAnsi="Times New Roman"/>
        </w:rPr>
        <w:t>age</w:t>
      </w:r>
      <w:r w:rsidRPr="00F56F2B">
        <w:rPr>
          <w:rFonts w:ascii="Times New Roman" w:hAnsi="Times New Roman"/>
        </w:rPr>
        <w:t xml:space="preserve"> 6, l</w:t>
      </w:r>
      <w:r w:rsidR="00A85B34">
        <w:rPr>
          <w:rFonts w:ascii="Times New Roman" w:hAnsi="Times New Roman"/>
        </w:rPr>
        <w:t>ine</w:t>
      </w:r>
      <w:r w:rsidRPr="00F56F2B">
        <w:rPr>
          <w:rFonts w:ascii="Times New Roman" w:hAnsi="Times New Roman"/>
        </w:rPr>
        <w:t xml:space="preserve"> 5</w:t>
      </w:r>
      <w:r w:rsidR="005F013E">
        <w:rPr>
          <w:rFonts w:ascii="Times New Roman" w:hAnsi="Times New Roman"/>
        </w:rPr>
        <w:t>.</w:t>
      </w:r>
      <w:r w:rsidR="00082295">
        <w:rPr>
          <w:rFonts w:ascii="Times New Roman" w:hAnsi="Times New Roman"/>
        </w:rPr>
        <w:t>)</w:t>
      </w:r>
      <w:r w:rsidR="006360E1">
        <w:rPr>
          <w:rFonts w:ascii="Times New Roman" w:hAnsi="Times New Roman"/>
        </w:rPr>
        <w:t xml:space="preserve"> </w:t>
      </w:r>
      <w:r w:rsidR="009D466B">
        <w:rPr>
          <w:rFonts w:ascii="Times New Roman" w:hAnsi="Times New Roman"/>
        </w:rPr>
        <w:t xml:space="preserve"> Later, he states:</w:t>
      </w:r>
    </w:p>
    <w:sectPr w:rsidR="0047046A" w:rsidRPr="00F56F2B" w:rsidSect="00A063CD">
      <w:footerReference w:type="default" r:id="rId9"/>
      <w:pgSz w:w="12240" w:h="15840" w:code="1"/>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5E" w:rsidRDefault="00132D5E">
      <w:r>
        <w:separator/>
      </w:r>
    </w:p>
  </w:endnote>
  <w:endnote w:type="continuationSeparator" w:id="0">
    <w:p w:rsidR="00132D5E" w:rsidRDefault="00132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AA" w:rsidRPr="00630502" w:rsidRDefault="001049AA"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1049AA" w:rsidRDefault="001049AA"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r>
    <w:r w:rsidRPr="00132D5E">
      <w:rPr>
        <w:rFonts w:ascii="Times New Roman" w:hAnsi="Times New Roman"/>
        <w:b/>
      </w:rPr>
      <w:t>REVISED 6-24-09,</w:t>
    </w:r>
    <w:r>
      <w:rPr>
        <w:rFonts w:ascii="Times New Roman" w:hAnsi="Times New Roman"/>
      </w:rPr>
      <w:t xml:space="preserve"> </w:t>
    </w:r>
    <w:r w:rsidRPr="00630502">
      <w:rPr>
        <w:rFonts w:ascii="Times New Roman" w:hAnsi="Times New Roman"/>
      </w:rPr>
      <w:t xml:space="preserve">Page </w:t>
    </w:r>
    <w:r w:rsidR="00AA7CDE"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AA7CDE" w:rsidRPr="00630502">
      <w:rPr>
        <w:rStyle w:val="PageNumber"/>
        <w:rFonts w:ascii="Times New Roman" w:hAnsi="Times New Roman"/>
      </w:rPr>
      <w:fldChar w:fldCharType="separate"/>
    </w:r>
    <w:r w:rsidR="00635931">
      <w:rPr>
        <w:rStyle w:val="PageNumber"/>
        <w:rFonts w:ascii="Times New Roman" w:hAnsi="Times New Roman"/>
        <w:noProof/>
      </w:rPr>
      <w:t>1</w:t>
    </w:r>
    <w:r w:rsidR="00AA7CDE" w:rsidRPr="00630502">
      <w:rPr>
        <w:rStyle w:val="PageNumber"/>
        <w:rFonts w:ascii="Times New Roman" w:hAnsi="Times New Roman"/>
      </w:rPr>
      <w:fldChar w:fldCharType="end"/>
    </w:r>
    <w:r w:rsidR="009D466B">
      <w:rPr>
        <w:rStyle w:val="PageNumber"/>
        <w:rFonts w:ascii="Times New Roman" w:hAnsi="Times New Roman"/>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5E" w:rsidRPr="00630502" w:rsidRDefault="00132D5E"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132D5E" w:rsidRDefault="00132D5E"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r>
    <w:r w:rsidR="00635931">
      <w:rPr>
        <w:rFonts w:ascii="Times New Roman" w:hAnsi="Times New Roman"/>
        <w:b/>
      </w:rPr>
      <w:t xml:space="preserve">REVISED 6-24-09, </w:t>
    </w:r>
    <w:r w:rsidRPr="00630502">
      <w:rPr>
        <w:rFonts w:ascii="Times New Roman" w:hAnsi="Times New Roman"/>
      </w:rPr>
      <w:t xml:space="preserve">Page </w:t>
    </w:r>
    <w:r w:rsidR="009D466B">
      <w:rPr>
        <w:rStyle w:val="PageNumber"/>
        <w:rFonts w:ascii="Times New Roman" w:hAnsi="Times New Roman"/>
      </w:rP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5E" w:rsidRDefault="00132D5E">
      <w:r>
        <w:separator/>
      </w:r>
    </w:p>
  </w:footnote>
  <w:footnote w:type="continuationSeparator" w:id="0">
    <w:p w:rsidR="00132D5E" w:rsidRDefault="00132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2">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3">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4">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5">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6">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7">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8">
    <w:nsid w:val="45AA6066"/>
    <w:multiLevelType w:val="hybridMultilevel"/>
    <w:tmpl w:val="725007AA"/>
    <w:lvl w:ilvl="0" w:tplc="1242B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1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14">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6"/>
  </w:num>
  <w:num w:numId="4">
    <w:abstractNumId w:val="1"/>
  </w:num>
  <w:num w:numId="5">
    <w:abstractNumId w:val="7"/>
  </w:num>
  <w:num w:numId="6">
    <w:abstractNumId w:val="5"/>
  </w:num>
  <w:num w:numId="7">
    <w:abstractNumId w:val="0"/>
  </w:num>
  <w:num w:numId="8">
    <w:abstractNumId w:val="4"/>
  </w:num>
  <w:num w:numId="9">
    <w:abstractNumId w:val="9"/>
  </w:num>
  <w:num w:numId="10">
    <w:abstractNumId w:val="2"/>
  </w:num>
  <w:num w:numId="11">
    <w:abstractNumId w:val="10"/>
  </w:num>
  <w:num w:numId="12">
    <w:abstractNumId w:val="13"/>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745"/>
    <w:rsid w:val="00000B82"/>
    <w:rsid w:val="00000C41"/>
    <w:rsid w:val="00006524"/>
    <w:rsid w:val="00010BCB"/>
    <w:rsid w:val="00012C47"/>
    <w:rsid w:val="00026C24"/>
    <w:rsid w:val="00082295"/>
    <w:rsid w:val="000B2EEF"/>
    <w:rsid w:val="000B3DF2"/>
    <w:rsid w:val="000F294E"/>
    <w:rsid w:val="00103512"/>
    <w:rsid w:val="001049AA"/>
    <w:rsid w:val="00106CDE"/>
    <w:rsid w:val="00132D5E"/>
    <w:rsid w:val="00174BB0"/>
    <w:rsid w:val="00176691"/>
    <w:rsid w:val="00194DDB"/>
    <w:rsid w:val="001A6B1B"/>
    <w:rsid w:val="001B0C8A"/>
    <w:rsid w:val="001D00F9"/>
    <w:rsid w:val="001E28AF"/>
    <w:rsid w:val="001F608D"/>
    <w:rsid w:val="002156E2"/>
    <w:rsid w:val="002227CE"/>
    <w:rsid w:val="002245FC"/>
    <w:rsid w:val="00244A9E"/>
    <w:rsid w:val="00245484"/>
    <w:rsid w:val="00261485"/>
    <w:rsid w:val="0026246F"/>
    <w:rsid w:val="00263BC6"/>
    <w:rsid w:val="00267565"/>
    <w:rsid w:val="002847D3"/>
    <w:rsid w:val="0028785C"/>
    <w:rsid w:val="002A1E65"/>
    <w:rsid w:val="002B42A0"/>
    <w:rsid w:val="002E0D2C"/>
    <w:rsid w:val="00301E74"/>
    <w:rsid w:val="00313F92"/>
    <w:rsid w:val="00315A06"/>
    <w:rsid w:val="00322C5A"/>
    <w:rsid w:val="003238C3"/>
    <w:rsid w:val="00396C6F"/>
    <w:rsid w:val="003B2C52"/>
    <w:rsid w:val="003D253D"/>
    <w:rsid w:val="003E7515"/>
    <w:rsid w:val="003F7692"/>
    <w:rsid w:val="00415799"/>
    <w:rsid w:val="00415DFE"/>
    <w:rsid w:val="004169F7"/>
    <w:rsid w:val="00417321"/>
    <w:rsid w:val="004327CC"/>
    <w:rsid w:val="0045243D"/>
    <w:rsid w:val="004650E1"/>
    <w:rsid w:val="0047046A"/>
    <w:rsid w:val="00474E69"/>
    <w:rsid w:val="004877F0"/>
    <w:rsid w:val="0049220E"/>
    <w:rsid w:val="004C2016"/>
    <w:rsid w:val="004C38F5"/>
    <w:rsid w:val="004C3D46"/>
    <w:rsid w:val="004D13B2"/>
    <w:rsid w:val="004E7ADA"/>
    <w:rsid w:val="004F0383"/>
    <w:rsid w:val="005024AA"/>
    <w:rsid w:val="00503BF7"/>
    <w:rsid w:val="00511EB3"/>
    <w:rsid w:val="00531A8F"/>
    <w:rsid w:val="00535B6D"/>
    <w:rsid w:val="005620CD"/>
    <w:rsid w:val="00565F4C"/>
    <w:rsid w:val="00580B1A"/>
    <w:rsid w:val="005C6F1B"/>
    <w:rsid w:val="005C75F7"/>
    <w:rsid w:val="005D5554"/>
    <w:rsid w:val="005E4A92"/>
    <w:rsid w:val="005F013E"/>
    <w:rsid w:val="005F4E50"/>
    <w:rsid w:val="00630502"/>
    <w:rsid w:val="00635931"/>
    <w:rsid w:val="006360E1"/>
    <w:rsid w:val="006875CC"/>
    <w:rsid w:val="006A7D42"/>
    <w:rsid w:val="006B369C"/>
    <w:rsid w:val="006B7A49"/>
    <w:rsid w:val="006F1CDA"/>
    <w:rsid w:val="00714745"/>
    <w:rsid w:val="00784C57"/>
    <w:rsid w:val="00791C7F"/>
    <w:rsid w:val="007B15C6"/>
    <w:rsid w:val="007B2940"/>
    <w:rsid w:val="007F326C"/>
    <w:rsid w:val="00817385"/>
    <w:rsid w:val="00821DAF"/>
    <w:rsid w:val="008247FC"/>
    <w:rsid w:val="00843640"/>
    <w:rsid w:val="0085683D"/>
    <w:rsid w:val="00874334"/>
    <w:rsid w:val="00883AC8"/>
    <w:rsid w:val="00895FDD"/>
    <w:rsid w:val="008A0104"/>
    <w:rsid w:val="008A5F2D"/>
    <w:rsid w:val="008B140C"/>
    <w:rsid w:val="008B4AA8"/>
    <w:rsid w:val="008C50C6"/>
    <w:rsid w:val="008D7CBA"/>
    <w:rsid w:val="008E7A98"/>
    <w:rsid w:val="008F0DED"/>
    <w:rsid w:val="008F410D"/>
    <w:rsid w:val="008F5752"/>
    <w:rsid w:val="0090316C"/>
    <w:rsid w:val="00922B53"/>
    <w:rsid w:val="009234CF"/>
    <w:rsid w:val="009539D2"/>
    <w:rsid w:val="00955C84"/>
    <w:rsid w:val="00992F5C"/>
    <w:rsid w:val="009C799D"/>
    <w:rsid w:val="009D2D9E"/>
    <w:rsid w:val="009D466B"/>
    <w:rsid w:val="009D586D"/>
    <w:rsid w:val="009E6CE4"/>
    <w:rsid w:val="00A0151E"/>
    <w:rsid w:val="00A063CD"/>
    <w:rsid w:val="00A24023"/>
    <w:rsid w:val="00A251C0"/>
    <w:rsid w:val="00A513C0"/>
    <w:rsid w:val="00A54D4C"/>
    <w:rsid w:val="00A56927"/>
    <w:rsid w:val="00A73F8A"/>
    <w:rsid w:val="00A8188F"/>
    <w:rsid w:val="00A85B34"/>
    <w:rsid w:val="00A87DD1"/>
    <w:rsid w:val="00AA7CDE"/>
    <w:rsid w:val="00AB6A70"/>
    <w:rsid w:val="00AC696A"/>
    <w:rsid w:val="00AD25C4"/>
    <w:rsid w:val="00AF047B"/>
    <w:rsid w:val="00B20533"/>
    <w:rsid w:val="00B32D4D"/>
    <w:rsid w:val="00B3631B"/>
    <w:rsid w:val="00B40496"/>
    <w:rsid w:val="00B432FC"/>
    <w:rsid w:val="00B5217A"/>
    <w:rsid w:val="00B5223D"/>
    <w:rsid w:val="00B73521"/>
    <w:rsid w:val="00BB565E"/>
    <w:rsid w:val="00BC6261"/>
    <w:rsid w:val="00BD28D0"/>
    <w:rsid w:val="00C070CF"/>
    <w:rsid w:val="00C31EB9"/>
    <w:rsid w:val="00C66BE5"/>
    <w:rsid w:val="00C67C64"/>
    <w:rsid w:val="00C70355"/>
    <w:rsid w:val="00C84676"/>
    <w:rsid w:val="00C87F97"/>
    <w:rsid w:val="00CB31F4"/>
    <w:rsid w:val="00CD5FD7"/>
    <w:rsid w:val="00D12CC1"/>
    <w:rsid w:val="00D2221B"/>
    <w:rsid w:val="00D30225"/>
    <w:rsid w:val="00D31423"/>
    <w:rsid w:val="00D35FAD"/>
    <w:rsid w:val="00D40BC0"/>
    <w:rsid w:val="00D43AC4"/>
    <w:rsid w:val="00D4443B"/>
    <w:rsid w:val="00D453A9"/>
    <w:rsid w:val="00D63F87"/>
    <w:rsid w:val="00D80428"/>
    <w:rsid w:val="00D84099"/>
    <w:rsid w:val="00DB5700"/>
    <w:rsid w:val="00DD0042"/>
    <w:rsid w:val="00DD5554"/>
    <w:rsid w:val="00DF032E"/>
    <w:rsid w:val="00DF2446"/>
    <w:rsid w:val="00DF3300"/>
    <w:rsid w:val="00E4006D"/>
    <w:rsid w:val="00E46F89"/>
    <w:rsid w:val="00E47DD9"/>
    <w:rsid w:val="00E50DEC"/>
    <w:rsid w:val="00E7069E"/>
    <w:rsid w:val="00E721F2"/>
    <w:rsid w:val="00E773D5"/>
    <w:rsid w:val="00EA53A3"/>
    <w:rsid w:val="00EB088B"/>
    <w:rsid w:val="00EB539E"/>
    <w:rsid w:val="00ED53B1"/>
    <w:rsid w:val="00ED793A"/>
    <w:rsid w:val="00EF5983"/>
    <w:rsid w:val="00F00517"/>
    <w:rsid w:val="00F021E3"/>
    <w:rsid w:val="00F34328"/>
    <w:rsid w:val="00F56F2B"/>
    <w:rsid w:val="00F90336"/>
    <w:rsid w:val="00FA7AEE"/>
    <w:rsid w:val="00FC699C"/>
    <w:rsid w:val="00FD43AA"/>
    <w:rsid w:val="00FF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link w:val="Heading3Char"/>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semiHidden/>
    <w:rsid w:val="00176691"/>
    <w:rPr>
      <w:sz w:val="20"/>
      <w:szCs w:val="20"/>
    </w:rPr>
  </w:style>
  <w:style w:type="character" w:styleId="FootnoteReference">
    <w:name w:val="footnote reference"/>
    <w:basedOn w:val="DefaultParagraphFont"/>
    <w:semiHidden/>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Heading3Char">
    <w:name w:val="Heading 3 Char"/>
    <w:basedOn w:val="DefaultParagraphFont"/>
    <w:link w:val="Heading3"/>
    <w:rsid w:val="00F56F2B"/>
    <w:rPr>
      <w:rFonts w:ascii="Palatino Linotype" w:hAnsi="Palatino Linotype"/>
      <w:b/>
      <w:bCs/>
      <w:sz w:val="24"/>
      <w:szCs w:val="24"/>
    </w:rPr>
  </w:style>
  <w:style w:type="character" w:customStyle="1" w:styleId="BodyTextIndent2Char">
    <w:name w:val="Body Text Indent 2 Char"/>
    <w:basedOn w:val="DefaultParagraphFont"/>
    <w:link w:val="BodyTextIndent2"/>
    <w:rsid w:val="00F56F2B"/>
    <w:rPr>
      <w:rFonts w:ascii="Palatino Linotype" w:hAnsi="Palatino Linotype"/>
      <w:sz w:val="24"/>
      <w:szCs w:val="24"/>
    </w:rPr>
  </w:style>
  <w:style w:type="character" w:customStyle="1" w:styleId="FootnoteTextChar">
    <w:name w:val="Footnote Text Char"/>
    <w:basedOn w:val="DefaultParagraphFont"/>
    <w:link w:val="FootnoteText"/>
    <w:semiHidden/>
    <w:rsid w:val="00F56F2B"/>
    <w:rPr>
      <w:rFonts w:ascii="Palatino Linotype" w:hAnsi="Palatino Linoty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2009-06-24T07:00:00+00:00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C36C9-A13E-4005-ADF6-A09257611FF3}"/>
</file>

<file path=customXml/itemProps2.xml><?xml version="1.0" encoding="utf-8"?>
<ds:datastoreItem xmlns:ds="http://schemas.openxmlformats.org/officeDocument/2006/customXml" ds:itemID="{FC7193DD-94FE-401D-BC50-F05731FFE7AE}"/>
</file>

<file path=customXml/itemProps3.xml><?xml version="1.0" encoding="utf-8"?>
<ds:datastoreItem xmlns:ds="http://schemas.openxmlformats.org/officeDocument/2006/customXml" ds:itemID="{C2756A27-34DF-4FB4-B6DF-BDD0482F7515}"/>
</file>

<file path=customXml/itemProps4.xml><?xml version="1.0" encoding="utf-8"?>
<ds:datastoreItem xmlns:ds="http://schemas.openxmlformats.org/officeDocument/2006/customXml" ds:itemID="{23A1520E-6CED-4ADE-94BD-83ADC1789520}"/>
</file>

<file path=customXml/itemProps5.xml><?xml version="1.0" encoding="utf-8"?>
<ds:datastoreItem xmlns:ds="http://schemas.openxmlformats.org/officeDocument/2006/customXml" ds:itemID="{C5556391-ECF3-4430-8622-5CAFC9A7E573}"/>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3307</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4</cp:revision>
  <cp:lastPrinted>2009-06-04T20:15:00Z</cp:lastPrinted>
  <dcterms:created xsi:type="dcterms:W3CDTF">2009-06-24T22:34:00Z</dcterms:created>
  <dcterms:modified xsi:type="dcterms:W3CDTF">2009-06-24T22:37:00Z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