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9CFC" w14:textId="77777777" w:rsidR="00142338" w:rsidRDefault="005D3F37" w:rsidP="00142338">
      <w:pPr>
        <w:rPr>
          <w:sz w:val="24"/>
        </w:rPr>
      </w:pPr>
      <w:bookmarkStart w:id="0" w:name="_GoBack"/>
      <w:bookmarkEnd w:id="0"/>
      <w:r>
        <w:rPr>
          <w:sz w:val="24"/>
        </w:rPr>
        <w:t>November</w:t>
      </w:r>
      <w:r w:rsidR="00B2159B">
        <w:rPr>
          <w:sz w:val="24"/>
        </w:rPr>
        <w:t xml:space="preserve"> </w:t>
      </w:r>
      <w:r>
        <w:rPr>
          <w:sz w:val="24"/>
        </w:rPr>
        <w:t>30</w:t>
      </w:r>
      <w:r w:rsidR="006306F1">
        <w:rPr>
          <w:sz w:val="24"/>
        </w:rPr>
        <w:t>, 2017</w:t>
      </w:r>
    </w:p>
    <w:p w14:paraId="632E433D" w14:textId="77777777" w:rsidR="00142338" w:rsidRDefault="00142338" w:rsidP="00142338">
      <w:pPr>
        <w:rPr>
          <w:sz w:val="24"/>
        </w:rPr>
      </w:pPr>
    </w:p>
    <w:p w14:paraId="00D6773F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3EA95792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019151EA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3F001CBB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025AF78C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76D76AFB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41301712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  <w:r w:rsidR="005D3F37">
        <w:rPr>
          <w:b/>
          <w:spacing w:val="-2"/>
          <w:sz w:val="24"/>
        </w:rPr>
        <w:t xml:space="preserve"> under Docket UG-171010</w:t>
      </w:r>
    </w:p>
    <w:p w14:paraId="6CF1F011" w14:textId="77777777" w:rsidR="00142338" w:rsidRDefault="00142338" w:rsidP="00142338">
      <w:pPr>
        <w:pStyle w:val="Subtitle"/>
      </w:pPr>
    </w:p>
    <w:p w14:paraId="1893B6E9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75DCD07F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33379FC2" w14:textId="77777777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5D3F37">
        <w:rPr>
          <w:sz w:val="24"/>
        </w:rPr>
        <w:t>October</w:t>
      </w:r>
      <w:r w:rsidR="005F45D4" w:rsidRPr="005F45D4">
        <w:rPr>
          <w:sz w:val="24"/>
        </w:rPr>
        <w:t xml:space="preserve"> 2017. This information is being supplied </w:t>
      </w:r>
      <w:r w:rsidR="00245142">
        <w:rPr>
          <w:sz w:val="24"/>
        </w:rPr>
        <w:t xml:space="preserve">pursuant to </w:t>
      </w:r>
      <w:r w:rsidR="008C260D">
        <w:rPr>
          <w:sz w:val="24"/>
        </w:rPr>
        <w:t>WAC 480-90-233 under Docket UG-1</w:t>
      </w:r>
      <w:r w:rsidR="005D3F37">
        <w:rPr>
          <w:sz w:val="24"/>
        </w:rPr>
        <w:t>71010</w:t>
      </w:r>
      <w:r w:rsidR="008C260D">
        <w:rPr>
          <w:sz w:val="24"/>
        </w:rPr>
        <w:t>.</w:t>
      </w:r>
    </w:p>
    <w:p w14:paraId="77F8A69F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191D171A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5D3F37">
        <w:rPr>
          <w:sz w:val="24"/>
        </w:rPr>
        <w:t>s</w:t>
      </w:r>
      <w:r w:rsidR="008334C3">
        <w:rPr>
          <w:sz w:val="24"/>
        </w:rPr>
        <w:t xml:space="preserve"> </w:t>
      </w:r>
      <w:r w:rsidR="009341A4">
        <w:rPr>
          <w:sz w:val="24"/>
        </w:rPr>
        <w:t>are</w:t>
      </w:r>
      <w:r>
        <w:rPr>
          <w:sz w:val="24"/>
        </w:rPr>
        <w:t xml:space="preserve"> </w:t>
      </w:r>
      <w:r w:rsidR="008334C3">
        <w:rPr>
          <w:sz w:val="24"/>
        </w:rPr>
        <w:t>electronically submitted as part of this filing:</w:t>
      </w:r>
    </w:p>
    <w:p w14:paraId="0C0C054F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44345867" w14:textId="77777777" w:rsidR="008334C3" w:rsidRDefault="005D3F37" w:rsidP="005D3F37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5D3F37">
        <w:rPr>
          <w:sz w:val="24"/>
          <w:u w:val="single"/>
        </w:rPr>
        <w:t>UG-171010 CNGC Monthly PGA Rpt Thru October 2017, 11.30.2017.xlsx</w:t>
      </w:r>
      <w:r w:rsidR="000F0B7F"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>
        <w:rPr>
          <w:sz w:val="24"/>
        </w:rPr>
        <w:t>October</w:t>
      </w:r>
      <w:r w:rsidR="008334C3" w:rsidRPr="008334C3">
        <w:rPr>
          <w:sz w:val="24"/>
        </w:rPr>
        <w:t xml:space="preserve"> 2017.</w:t>
      </w:r>
    </w:p>
    <w:p w14:paraId="273043CE" w14:textId="77777777" w:rsidR="00F06A31" w:rsidRPr="008334C3" w:rsidRDefault="005D3F37" w:rsidP="005D3F37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5D3F37">
        <w:rPr>
          <w:sz w:val="24"/>
          <w:u w:val="single"/>
        </w:rPr>
        <w:t>UG-171010 CNGC Core GC Allocations Supporting Calculations October 2017, 11.30.2017.xlsx</w:t>
      </w:r>
      <w:r w:rsidR="000F0B7F">
        <w:rPr>
          <w:sz w:val="24"/>
        </w:rPr>
        <w:t>– This is an Excel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>
        <w:rPr>
          <w:sz w:val="24"/>
        </w:rPr>
        <w:t>October</w:t>
      </w:r>
      <w:r w:rsidR="00F06A31">
        <w:rPr>
          <w:sz w:val="24"/>
        </w:rPr>
        <w:t xml:space="preserve"> 2017.</w:t>
      </w:r>
    </w:p>
    <w:p w14:paraId="01A60E41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5A7D93FA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1EA2B8C9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6397C997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511D8623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74AFD636" w14:textId="77777777" w:rsidR="00710172" w:rsidRDefault="00710172" w:rsidP="00710172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18B9CC3B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DCBB97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7115669F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5D0EC8A3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1B33FE31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Grandridge Blvd</w:t>
      </w:r>
      <w:r w:rsidR="00294F99">
        <w:rPr>
          <w:sz w:val="24"/>
        </w:rPr>
        <w:t>.</w:t>
      </w:r>
    </w:p>
    <w:p w14:paraId="34AB63A3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2E1A22C8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3BB51FD5" w14:textId="77777777" w:rsidR="00257D14" w:rsidRDefault="00257D14" w:rsidP="00257D14">
      <w:pPr>
        <w:jc w:val="both"/>
        <w:rPr>
          <w:sz w:val="24"/>
        </w:rPr>
      </w:pPr>
    </w:p>
    <w:p w14:paraId="2E930BAB" w14:textId="77777777" w:rsidR="00FB4661" w:rsidRDefault="007D62D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712470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C3">
        <w:rPr>
          <w:sz w:val="24"/>
        </w:rPr>
        <w:t>Attachment</w:t>
      </w:r>
      <w:r w:rsidR="00F06A31">
        <w:rPr>
          <w:sz w:val="24"/>
        </w:rPr>
        <w:t>s</w:t>
      </w:r>
    </w:p>
    <w:sectPr w:rsidR="00FB4661" w:rsidSect="00142338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321E3" w14:textId="77777777" w:rsidR="00412F14" w:rsidRDefault="00412F14" w:rsidP="00261259">
      <w:r>
        <w:separator/>
      </w:r>
    </w:p>
  </w:endnote>
  <w:endnote w:type="continuationSeparator" w:id="0">
    <w:p w14:paraId="3327CA39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DDBB4" w14:textId="77777777" w:rsidR="00412F14" w:rsidRDefault="00412F14" w:rsidP="00261259">
      <w:r>
        <w:separator/>
      </w:r>
    </w:p>
  </w:footnote>
  <w:footnote w:type="continuationSeparator" w:id="0">
    <w:p w14:paraId="72625065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22F2D4DF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7EC65FCF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1B568E06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62933F8A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45F97649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0E3BB09B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58DD2914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51777"/>
    <w:rsid w:val="0008121F"/>
    <w:rsid w:val="00095DE4"/>
    <w:rsid w:val="000F0B7F"/>
    <w:rsid w:val="00100007"/>
    <w:rsid w:val="0012681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45142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D3F37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710172"/>
    <w:rsid w:val="007474F0"/>
    <w:rsid w:val="0077522A"/>
    <w:rsid w:val="007845E7"/>
    <w:rsid w:val="0079510B"/>
    <w:rsid w:val="007975E0"/>
    <w:rsid w:val="007B648C"/>
    <w:rsid w:val="007D62DC"/>
    <w:rsid w:val="007E135B"/>
    <w:rsid w:val="00812099"/>
    <w:rsid w:val="0082321C"/>
    <w:rsid w:val="008334C3"/>
    <w:rsid w:val="00836FD4"/>
    <w:rsid w:val="00855B83"/>
    <w:rsid w:val="00860AE1"/>
    <w:rsid w:val="0088167D"/>
    <w:rsid w:val="008A1ADF"/>
    <w:rsid w:val="008A46E3"/>
    <w:rsid w:val="008C260D"/>
    <w:rsid w:val="008E5469"/>
    <w:rsid w:val="00902932"/>
    <w:rsid w:val="00904B3A"/>
    <w:rsid w:val="00916EF1"/>
    <w:rsid w:val="009341A4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261F8"/>
    <w:rsid w:val="00A56FA3"/>
    <w:rsid w:val="00A63BFD"/>
    <w:rsid w:val="00A80CD6"/>
    <w:rsid w:val="00AA1232"/>
    <w:rsid w:val="00AB5843"/>
    <w:rsid w:val="00AF721E"/>
    <w:rsid w:val="00B01693"/>
    <w:rsid w:val="00B15BF6"/>
    <w:rsid w:val="00B2159B"/>
    <w:rsid w:val="00B22E51"/>
    <w:rsid w:val="00B52234"/>
    <w:rsid w:val="00B5234C"/>
    <w:rsid w:val="00B5582E"/>
    <w:rsid w:val="00B80AAF"/>
    <w:rsid w:val="00BA5F93"/>
    <w:rsid w:val="00BB3742"/>
    <w:rsid w:val="00BB6A57"/>
    <w:rsid w:val="00C01858"/>
    <w:rsid w:val="00C45A69"/>
    <w:rsid w:val="00C53925"/>
    <w:rsid w:val="00C5769A"/>
    <w:rsid w:val="00C74467"/>
    <w:rsid w:val="00CE0380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7BA4"/>
    <w:rsid w:val="00E80E22"/>
    <w:rsid w:val="00EB1081"/>
    <w:rsid w:val="00EB5565"/>
    <w:rsid w:val="00EB653F"/>
    <w:rsid w:val="00EE2A65"/>
    <w:rsid w:val="00EE735D"/>
    <w:rsid w:val="00EE7D10"/>
    <w:rsid w:val="00F06A31"/>
    <w:rsid w:val="00F15C11"/>
    <w:rsid w:val="00F53CC2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25281"/>
    <o:shapelayout v:ext="edit">
      <o:idmap v:ext="edit" data="1"/>
    </o:shapelayout>
  </w:shapeDefaults>
  <w:decimalSymbol w:val="."/>
  <w:listSeparator w:val=","/>
  <w14:docId w14:val="1C03BFA6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2017-09-29T07:00:00+00:00</OpenedDate>
    <Date1 xmlns="dc463f71-b30c-4ab2-9473-d307f9d35888">2017-11-30T08:00:00+00:00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171010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5600CA756744297A19A21C6C98AEB" ma:contentTypeVersion="104" ma:contentTypeDescription="" ma:contentTypeScope="" ma:versionID="ed2233ef10eeb664c97b23a25dbbdc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B9D0CBE-4EB1-49BC-BA2D-E9C01FA8EF8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0DFE3F-C492-4957-A4AB-2EE481F1A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57291-CFC5-4846-8D8E-C58E3ADA1E72}"/>
</file>

<file path=customXml/itemProps4.xml><?xml version="1.0" encoding="utf-8"?>
<ds:datastoreItem xmlns:ds="http://schemas.openxmlformats.org/officeDocument/2006/customXml" ds:itemID="{6F8E7B52-E853-4551-A2A1-52904D581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1225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Huey, Lorilyn (UTC)</cp:lastModifiedBy>
  <cp:revision>2</cp:revision>
  <cp:lastPrinted>2017-11-20T17:04:00Z</cp:lastPrinted>
  <dcterms:created xsi:type="dcterms:W3CDTF">2017-11-30T19:41:00Z</dcterms:created>
  <dcterms:modified xsi:type="dcterms:W3CDTF">2017-11-30T19:41:00Z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0x0101006E56B4D1795A2E4DB2F0B01679ED314A00CDD5600CA756744297A19A21C6C98AEB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