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D" w:rsidRDefault="00E2471A" w:rsidP="00AB3632">
      <w:pPr>
        <w:spacing w:after="0"/>
        <w:rPr>
          <w:b/>
        </w:rPr>
      </w:pPr>
      <w:r w:rsidRPr="009B3455">
        <w:rPr>
          <w:b/>
        </w:rPr>
        <w:t>A</w:t>
      </w:r>
      <w:r w:rsidR="00DA77E7">
        <w:rPr>
          <w:b/>
        </w:rPr>
        <w:t>vista</w:t>
      </w:r>
      <w:r w:rsidRPr="009B3455">
        <w:rPr>
          <w:b/>
        </w:rPr>
        <w:t xml:space="preserve"> BCP Adjustments Analysis</w:t>
      </w:r>
      <w:r w:rsidR="009B3455">
        <w:rPr>
          <w:b/>
        </w:rPr>
        <w:t>:</w:t>
      </w:r>
    </w:p>
    <w:p w:rsidR="009B3455" w:rsidRDefault="009B3455" w:rsidP="00AB3632">
      <w:pPr>
        <w:spacing w:after="0"/>
      </w:pPr>
      <w:r>
        <w:t xml:space="preserve">This analysis </w:t>
      </w:r>
      <w:r w:rsidR="00036E57">
        <w:t>updates the assumptions used for the</w:t>
      </w:r>
      <w:r>
        <w:t xml:space="preserve"> CPA analysis for the 2016-2017 Biennium</w:t>
      </w:r>
      <w:r w:rsidR="00036E57">
        <w:t xml:space="preserve"> with </w:t>
      </w:r>
      <w:r w:rsidR="00295086">
        <w:t>figures from</w:t>
      </w:r>
      <w:r w:rsidR="00036E57">
        <w:t xml:space="preserve"> the RTF and Draft 7</w:t>
      </w:r>
      <w:r w:rsidR="00036E57" w:rsidRPr="00036E57">
        <w:rPr>
          <w:vertAlign w:val="superscript"/>
        </w:rPr>
        <w:t>th</w:t>
      </w:r>
      <w:r w:rsidR="00036E57">
        <w:t xml:space="preserve"> Power Plan</w:t>
      </w:r>
      <w:r w:rsidR="00FD4845">
        <w:t>. All adjusted and CPA savings amounts are 20% of the 10 year cumulative CPA savings.</w:t>
      </w:r>
    </w:p>
    <w:p w:rsidR="00DA77E7" w:rsidRDefault="00DA77E7" w:rsidP="00AB3632">
      <w:pPr>
        <w:spacing w:after="0"/>
      </w:pPr>
    </w:p>
    <w:p w:rsidR="00FD4845" w:rsidRDefault="00FD4845" w:rsidP="00AB3632">
      <w:pPr>
        <w:spacing w:after="0"/>
        <w:rPr>
          <w:u w:val="single"/>
        </w:rPr>
      </w:pPr>
      <w:r>
        <w:rPr>
          <w:u w:val="single"/>
        </w:rPr>
        <w:t>Residential Light Bulb UES Comparison</w:t>
      </w:r>
    </w:p>
    <w:p w:rsidR="00FD4845" w:rsidRDefault="00FD4845" w:rsidP="00AB3632">
      <w:pPr>
        <w:spacing w:after="0"/>
      </w:pPr>
      <w:r>
        <w:t>To adjust the CPA the Ratio of Updated UES/CPA UES was applied to the annual savings for that specific measure. The install is assumed to be 50/50 CFL/LED</w:t>
      </w:r>
      <w:r w:rsidR="00AB3632">
        <w:t xml:space="preserve"> since there is only a single measure type in the CPA.</w:t>
      </w:r>
    </w:p>
    <w:p w:rsidR="00DA77E7" w:rsidRDefault="00DA77E7" w:rsidP="00DA77E7">
      <w:pPr>
        <w:spacing w:after="0"/>
        <w:jc w:val="center"/>
        <w:rPr>
          <w:b/>
        </w:rPr>
      </w:pPr>
      <w:r w:rsidRPr="00DA77E7">
        <w:rPr>
          <w:b/>
        </w:rPr>
        <w:t>Table 1</w:t>
      </w:r>
      <w:r w:rsidR="00B7165B">
        <w:rPr>
          <w:b/>
        </w:rPr>
        <w:t>: Residential Lighting UES Updates</w:t>
      </w:r>
    </w:p>
    <w:p w:rsidR="00B7165B" w:rsidRPr="00DA77E7" w:rsidRDefault="00B7165B" w:rsidP="00DA77E7">
      <w:pPr>
        <w:spacing w:after="0"/>
        <w:jc w:val="center"/>
        <w:rPr>
          <w:b/>
        </w:rPr>
      </w:pPr>
    </w:p>
    <w:tbl>
      <w:tblPr>
        <w:tblW w:w="13148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57"/>
        <w:gridCol w:w="1168"/>
        <w:gridCol w:w="943"/>
        <w:gridCol w:w="735"/>
        <w:gridCol w:w="1670"/>
        <w:gridCol w:w="3868"/>
        <w:gridCol w:w="3707"/>
      </w:tblGrid>
      <w:tr w:rsidR="00FD4845" w:rsidRPr="00432C28" w:rsidTr="00FD4845">
        <w:trPr>
          <w:trHeight w:val="305"/>
          <w:jc w:val="center"/>
        </w:trPr>
        <w:tc>
          <w:tcPr>
            <w:tcW w:w="3903" w:type="dxa"/>
            <w:gridSpan w:val="4"/>
            <w:vAlign w:val="center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CPA</w:t>
            </w:r>
          </w:p>
        </w:tc>
        <w:tc>
          <w:tcPr>
            <w:tcW w:w="5538" w:type="dxa"/>
            <w:gridSpan w:val="2"/>
            <w:vAlign w:val="center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RTF (</w:t>
            </w:r>
            <w:r w:rsidRPr="002770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ResLighting_Bulbs_v4_0.xlsm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7" w:type="dxa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Adjusted Ratio</w:t>
            </w:r>
          </w:p>
        </w:tc>
      </w:tr>
      <w:tr w:rsidR="00FD4845" w:rsidRPr="00432C28" w:rsidTr="00FD4845">
        <w:trPr>
          <w:trHeight w:val="305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943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Lamp Type</w:t>
            </w:r>
          </w:p>
        </w:tc>
        <w:tc>
          <w:tcPr>
            <w:tcW w:w="735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1670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Updated UES (kWh)</w:t>
            </w:r>
          </w:p>
        </w:tc>
        <w:tc>
          <w:tcPr>
            <w:tcW w:w="3868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3707" w:type="dxa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D4845" w:rsidRPr="00432C28" w:rsidTr="00FD4845">
        <w:trPr>
          <w:trHeight w:val="138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77044">
              <w:rPr>
                <w:rFonts w:cs="Times New Roman"/>
                <w:color w:val="000000"/>
                <w:sz w:val="20"/>
                <w:szCs w:val="20"/>
              </w:rPr>
              <w:t>Retail_CFL_General</w:t>
            </w:r>
            <w:proofErr w:type="spellEnd"/>
            <w:r w:rsidRPr="00277044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277044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.39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77044">
              <w:rPr>
                <w:rFonts w:cs="Times New Roman"/>
                <w:color w:val="000000"/>
                <w:sz w:val="20"/>
                <w:szCs w:val="20"/>
              </w:rPr>
              <w:t>Retail_LED_General</w:t>
            </w:r>
            <w:proofErr w:type="spellEnd"/>
            <w:r w:rsidRPr="00277044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277044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.71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Specialty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Retail_CFL_Reflectors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and Outdoor_250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1.75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Specialty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3734D">
              <w:rPr>
                <w:rFonts w:cs="Times New Roman"/>
                <w:color w:val="000000"/>
                <w:sz w:val="20"/>
                <w:szCs w:val="20"/>
              </w:rPr>
              <w:t>Retail_LED_Globe_250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Retail_CFL_General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.16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Retail_LED_General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.3</w:t>
            </w:r>
          </w:p>
        </w:tc>
      </w:tr>
    </w:tbl>
    <w:p w:rsidR="00FD4845" w:rsidRDefault="00FD4845">
      <w:pPr>
        <w:rPr>
          <w:u w:val="single"/>
        </w:rPr>
      </w:pPr>
    </w:p>
    <w:p w:rsidR="00DA77E7" w:rsidRDefault="00DA77E7">
      <w:pPr>
        <w:rPr>
          <w:u w:val="single"/>
        </w:rPr>
      </w:pPr>
    </w:p>
    <w:p w:rsidR="00DA77E7" w:rsidRPr="00DA77E7" w:rsidRDefault="00DA77E7" w:rsidP="00DA77E7">
      <w:pPr>
        <w:jc w:val="center"/>
        <w:rPr>
          <w:b/>
        </w:rPr>
      </w:pPr>
      <w:r w:rsidRPr="00DA77E7">
        <w:rPr>
          <w:b/>
        </w:rPr>
        <w:lastRenderedPageBreak/>
        <w:t>Table 2</w:t>
      </w:r>
      <w:r w:rsidR="00B7165B">
        <w:rPr>
          <w:b/>
        </w:rPr>
        <w:t>: Residential Lighting Potential Adjustments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Interior Specialty Lighting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916.2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1259.74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343.56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Interior General Purpose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7685.8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4227.2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-3458.6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Exterior General Purpose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2370.1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545.1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-1825.0</w:t>
            </w:r>
          </w:p>
        </w:tc>
      </w:tr>
    </w:tbl>
    <w:p w:rsidR="00AB3632" w:rsidRDefault="00AB3632" w:rsidP="00384FF2">
      <w:pPr>
        <w:spacing w:after="0"/>
        <w:rPr>
          <w:u w:val="single"/>
        </w:rPr>
      </w:pPr>
    </w:p>
    <w:p w:rsidR="00AB3632" w:rsidRDefault="00AB3632" w:rsidP="00384FF2">
      <w:pPr>
        <w:spacing w:after="0"/>
        <w:rPr>
          <w:u w:val="single"/>
        </w:rPr>
      </w:pPr>
      <w:r>
        <w:rPr>
          <w:u w:val="single"/>
        </w:rPr>
        <w:t>Residential Heat Pump Water Heaters</w:t>
      </w:r>
    </w:p>
    <w:p w:rsidR="00384FF2" w:rsidRDefault="00384FF2" w:rsidP="00384FF2">
      <w:pPr>
        <w:spacing w:after="0"/>
      </w:pPr>
      <w:r>
        <w:t>To adjust the CPA the Ratio of Updated UES/CPA UES was applied to the annual savings for that specific measure.</w:t>
      </w:r>
    </w:p>
    <w:p w:rsidR="00384FF2" w:rsidRPr="000E395F" w:rsidRDefault="00384FF2" w:rsidP="00384FF2">
      <w:pPr>
        <w:jc w:val="center"/>
        <w:rPr>
          <w:rFonts w:cs="Times New Roman"/>
          <w:b/>
          <w:szCs w:val="24"/>
        </w:rPr>
      </w:pPr>
      <w:r w:rsidRPr="000E395F">
        <w:rPr>
          <w:rFonts w:cs="Times New Roman"/>
          <w:b/>
          <w:szCs w:val="24"/>
        </w:rPr>
        <w:t xml:space="preserve">Table </w:t>
      </w:r>
      <w:r w:rsidR="00DA77E7">
        <w:rPr>
          <w:rFonts w:cs="Times New Roman"/>
          <w:b/>
          <w:szCs w:val="24"/>
        </w:rPr>
        <w:t>3</w:t>
      </w:r>
      <w:r w:rsidR="00B7165B">
        <w:rPr>
          <w:rFonts w:cs="Times New Roman"/>
          <w:b/>
          <w:szCs w:val="24"/>
        </w:rPr>
        <w:t>: Water Heater UES Updates</w:t>
      </w:r>
    </w:p>
    <w:tbl>
      <w:tblPr>
        <w:tblW w:w="8528" w:type="dxa"/>
        <w:jc w:val="center"/>
        <w:tblInd w:w="1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19"/>
        <w:gridCol w:w="772"/>
        <w:gridCol w:w="3738"/>
        <w:gridCol w:w="772"/>
        <w:gridCol w:w="927"/>
      </w:tblGrid>
      <w:tr w:rsidR="00384FF2" w:rsidRPr="00432C28" w:rsidTr="00B1042A">
        <w:trPr>
          <w:trHeight w:val="305"/>
          <w:jc w:val="center"/>
        </w:trPr>
        <w:tc>
          <w:tcPr>
            <w:tcW w:w="3091" w:type="dxa"/>
            <w:gridSpan w:val="2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CPA</w:t>
            </w:r>
          </w:p>
        </w:tc>
        <w:tc>
          <w:tcPr>
            <w:tcW w:w="5437" w:type="dxa"/>
            <w:gridSpan w:val="3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RTF </w:t>
            </w:r>
            <w:r w:rsidRPr="0087438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Copy of Res_HPWH_v3_0.xlsm</w:t>
            </w:r>
          </w:p>
        </w:tc>
      </w:tr>
      <w:tr w:rsidR="00384FF2" w:rsidRPr="00432C28" w:rsidTr="00B1042A">
        <w:trPr>
          <w:trHeight w:val="305"/>
          <w:jc w:val="center"/>
        </w:trPr>
        <w:tc>
          <w:tcPr>
            <w:tcW w:w="2319" w:type="dxa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772" w:type="dxa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3738" w:type="dxa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772" w:type="dxa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927" w:type="dxa"/>
            <w:vAlign w:val="center"/>
          </w:tcPr>
          <w:p w:rsidR="00384FF2" w:rsidRPr="00262F0C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Average UES</w:t>
            </w:r>
          </w:p>
        </w:tc>
      </w:tr>
      <w:tr w:rsidR="00384FF2" w:rsidRPr="00432C28" w:rsidTr="00B1042A">
        <w:trPr>
          <w:trHeight w:val="138"/>
          <w:jc w:val="center"/>
        </w:trPr>
        <w:tc>
          <w:tcPr>
            <w:tcW w:w="2319" w:type="dxa"/>
            <w:vMerge w:val="restart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Heat Pump Water Heater &lt;= 55 Gallons</w:t>
            </w:r>
          </w:p>
        </w:tc>
        <w:tc>
          <w:tcPr>
            <w:tcW w:w="772" w:type="dxa"/>
            <w:vMerge w:val="restart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Tier1_garage_HZ1_0-55gallons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927" w:type="dxa"/>
            <w:vMerge w:val="restart"/>
            <w:vAlign w:val="center"/>
          </w:tcPr>
          <w:p w:rsidR="00384FF2" w:rsidRPr="00FD1988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1,335</w:t>
            </w: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Tier1_basmnt_HZ1_0-55gallons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Tier1_indor2_HZ1_gas_0-55gallons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Tier1_indor2_HZ1_resistheat_0-55gallons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Tier1_indor2_HZ1_hp85_0-55gallons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Tier2_garage_HZ1_0-55gallons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Tier2_basmnt_HZ1_0-55gallons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Tier2_indor2_HZ1_gas_0-55gallons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Tier2_indor2_HZ1_resistheat_0-55gallons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Tier2_indor2_HZ1_hp85_0-55gallons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384FF2" w:rsidRDefault="00384FF2">
      <w:pPr>
        <w:rPr>
          <w:u w:val="single"/>
        </w:rPr>
      </w:pPr>
    </w:p>
    <w:p w:rsidR="00AE6B54" w:rsidRPr="00AE6B54" w:rsidRDefault="00AE6B54" w:rsidP="00AE6B54">
      <w:pPr>
        <w:jc w:val="center"/>
        <w:rPr>
          <w:b/>
        </w:rPr>
      </w:pPr>
      <w:r w:rsidRPr="00AE6B54">
        <w:rPr>
          <w:b/>
        </w:rPr>
        <w:t>Table 4</w:t>
      </w:r>
      <w:r w:rsidR="00036E57">
        <w:rPr>
          <w:b/>
        </w:rPr>
        <w:t>: Water Heating Potential Adjustments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E6B54" w:rsidRPr="00AB3632" w:rsidTr="00EC2820"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AE6B54" w:rsidRPr="00AB3632" w:rsidTr="00EC2820"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Water Heating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357.7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265.4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-92.3</w:t>
            </w:r>
          </w:p>
        </w:tc>
      </w:tr>
    </w:tbl>
    <w:p w:rsidR="00AE6B54" w:rsidRDefault="00AE6B54">
      <w:pPr>
        <w:rPr>
          <w:u w:val="single"/>
        </w:rPr>
      </w:pPr>
    </w:p>
    <w:p w:rsidR="00384FF2" w:rsidRDefault="00384FF2" w:rsidP="00384FF2">
      <w:pPr>
        <w:spacing w:after="0" w:line="240" w:lineRule="auto"/>
        <w:rPr>
          <w:u w:val="single"/>
        </w:rPr>
      </w:pPr>
      <w:r>
        <w:rPr>
          <w:u w:val="single"/>
        </w:rPr>
        <w:t>Residential Behavior Program</w:t>
      </w:r>
    </w:p>
    <w:p w:rsidR="00384FF2" w:rsidRDefault="00384FF2" w:rsidP="00384FF2">
      <w:pPr>
        <w:spacing w:after="0" w:line="240" w:lineRule="auto"/>
      </w:pPr>
      <w:r>
        <w:t xml:space="preserve">Remove the </w:t>
      </w:r>
      <w:proofErr w:type="spellStart"/>
      <w:r>
        <w:t>ProRata</w:t>
      </w:r>
      <w:proofErr w:type="spellEnd"/>
      <w:r>
        <w:t xml:space="preserve"> Share from the CPA and add in estimated savings for next Biennium.</w:t>
      </w:r>
    </w:p>
    <w:p w:rsidR="00384FF2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t>Table 5</w:t>
      </w:r>
      <w:r w:rsidR="00036E57">
        <w:rPr>
          <w:b/>
        </w:rPr>
        <w:t>: Residential Behavior Program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Residential Behavior Program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185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13,110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12,925</w:t>
            </w:r>
          </w:p>
        </w:tc>
      </w:tr>
    </w:tbl>
    <w:p w:rsidR="00384FF2" w:rsidRDefault="00384FF2" w:rsidP="00384FF2">
      <w:pPr>
        <w:spacing w:after="0" w:line="240" w:lineRule="auto"/>
      </w:pPr>
    </w:p>
    <w:p w:rsidR="00384FF2" w:rsidRDefault="00384FF2" w:rsidP="00384FF2">
      <w:pPr>
        <w:spacing w:after="0" w:line="240" w:lineRule="auto"/>
        <w:rPr>
          <w:u w:val="single"/>
        </w:rPr>
      </w:pPr>
      <w:r>
        <w:rPr>
          <w:u w:val="single"/>
        </w:rPr>
        <w:t>Clothes Washers</w:t>
      </w:r>
    </w:p>
    <w:p w:rsidR="00384FF2" w:rsidRDefault="00384FF2" w:rsidP="00384FF2">
      <w:pPr>
        <w:spacing w:after="0" w:line="240" w:lineRule="auto"/>
      </w:pPr>
      <w:r>
        <w:t>When clothes washers were updated at the RTF and NEBs were proper included it would adjust the BCP target higher.</w:t>
      </w:r>
    </w:p>
    <w:p w:rsidR="00AE6B54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t>Table 6</w:t>
      </w:r>
      <w:r w:rsidR="00036E57">
        <w:rPr>
          <w:b/>
        </w:rPr>
        <w:t>: Residential Clothes Washers Potential Adjustments</w:t>
      </w:r>
    </w:p>
    <w:p w:rsidR="00384FF2" w:rsidRDefault="00384FF2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Clothes Washers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0</w:t>
            </w:r>
          </w:p>
        </w:tc>
        <w:tc>
          <w:tcPr>
            <w:tcW w:w="3294" w:type="dxa"/>
          </w:tcPr>
          <w:p w:rsidR="00384FF2" w:rsidRPr="00AB3632" w:rsidRDefault="00E80E57" w:rsidP="00B1042A">
            <w:pPr>
              <w:jc w:val="center"/>
            </w:pPr>
            <w:r>
              <w:t>157</w:t>
            </w:r>
          </w:p>
        </w:tc>
        <w:tc>
          <w:tcPr>
            <w:tcW w:w="3294" w:type="dxa"/>
          </w:tcPr>
          <w:p w:rsidR="00384FF2" w:rsidRPr="00AB3632" w:rsidRDefault="00E80E57" w:rsidP="00B1042A">
            <w:pPr>
              <w:jc w:val="center"/>
            </w:pPr>
            <w:r>
              <w:t>157</w:t>
            </w:r>
          </w:p>
        </w:tc>
      </w:tr>
    </w:tbl>
    <w:p w:rsidR="00384FF2" w:rsidRDefault="00384FF2" w:rsidP="00384FF2">
      <w:pPr>
        <w:spacing w:after="0" w:line="240" w:lineRule="auto"/>
      </w:pPr>
    </w:p>
    <w:p w:rsidR="00E80E57" w:rsidRDefault="00E80E57" w:rsidP="00384FF2">
      <w:pPr>
        <w:spacing w:after="0" w:line="240" w:lineRule="auto"/>
        <w:rPr>
          <w:u w:val="single"/>
        </w:rPr>
      </w:pPr>
      <w:r>
        <w:rPr>
          <w:u w:val="single"/>
        </w:rPr>
        <w:t>Residential Ductless Heat Pumps</w:t>
      </w:r>
    </w:p>
    <w:p w:rsidR="00E80E57" w:rsidRDefault="00E80E57" w:rsidP="00384FF2">
      <w:pPr>
        <w:spacing w:after="0" w:line="240" w:lineRule="auto"/>
      </w:pPr>
      <w:r>
        <w:t>Like Pacific Corp the CPA initially had 0 due to cost effectiveness, but this was not adjusted up by Avista</w:t>
      </w:r>
      <w:r w:rsidR="00E515F8">
        <w:t>, because they were not cost effective (TRC =0.77)</w:t>
      </w:r>
      <w:r>
        <w:t>.</w:t>
      </w:r>
    </w:p>
    <w:p w:rsidR="00E80E57" w:rsidRDefault="00E80E57" w:rsidP="00384FF2">
      <w:pPr>
        <w:spacing w:after="0" w:line="240" w:lineRule="auto"/>
      </w:pPr>
    </w:p>
    <w:p w:rsidR="00E80E57" w:rsidRDefault="00E80E57" w:rsidP="00384FF2">
      <w:pPr>
        <w:spacing w:after="0" w:line="240" w:lineRule="auto"/>
        <w:rPr>
          <w:u w:val="single"/>
        </w:rPr>
      </w:pPr>
      <w:r>
        <w:rPr>
          <w:u w:val="single"/>
        </w:rPr>
        <w:t>Appliance Recycling</w:t>
      </w:r>
    </w:p>
    <w:p w:rsidR="00E80E57" w:rsidRDefault="00E80E57" w:rsidP="00384FF2">
      <w:pPr>
        <w:spacing w:after="0" w:line="240" w:lineRule="auto"/>
      </w:pPr>
      <w:r>
        <w:t>As older models have been replaced and only newer models left the RTF revised the savings estimates downward which made this measure not cost-effective and discontinued mid 2015.</w:t>
      </w:r>
    </w:p>
    <w:p w:rsidR="00AE6B54" w:rsidRDefault="00AE6B54" w:rsidP="00384FF2">
      <w:pPr>
        <w:spacing w:after="0" w:line="240" w:lineRule="auto"/>
      </w:pPr>
    </w:p>
    <w:p w:rsidR="00AE6B54" w:rsidRDefault="00AE6B54" w:rsidP="00384FF2">
      <w:pPr>
        <w:spacing w:after="0" w:line="240" w:lineRule="auto"/>
      </w:pPr>
    </w:p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E80E57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Table 7</w:t>
      </w:r>
      <w:r w:rsidR="00036E57">
        <w:rPr>
          <w:b/>
        </w:rPr>
        <w:t>: Residential Appliance Recycling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E80E57" w:rsidRPr="00AB3632" w:rsidTr="00B1042A"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E80E57" w:rsidRPr="00AB3632" w:rsidTr="00B1042A">
        <w:tc>
          <w:tcPr>
            <w:tcW w:w="3294" w:type="dxa"/>
          </w:tcPr>
          <w:p w:rsidR="00E80E57" w:rsidRPr="00AB3632" w:rsidRDefault="00095093" w:rsidP="00B1042A">
            <w:pPr>
              <w:jc w:val="center"/>
            </w:pPr>
            <w:r>
              <w:t>Appliance Recycling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464.7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0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-464.7</w:t>
            </w:r>
          </w:p>
        </w:tc>
      </w:tr>
    </w:tbl>
    <w:p w:rsidR="00E80E57" w:rsidRDefault="00E80E57" w:rsidP="00384FF2">
      <w:pPr>
        <w:spacing w:after="0" w:line="240" w:lineRule="auto"/>
      </w:pPr>
    </w:p>
    <w:p w:rsidR="007644B2" w:rsidRDefault="007644B2" w:rsidP="00384FF2">
      <w:pPr>
        <w:spacing w:after="0" w:line="240" w:lineRule="auto"/>
      </w:pPr>
    </w:p>
    <w:p w:rsidR="007644B2" w:rsidRDefault="007644B2" w:rsidP="00384FF2">
      <w:pPr>
        <w:spacing w:after="0" w:line="240" w:lineRule="auto"/>
        <w:rPr>
          <w:u w:val="single"/>
        </w:rPr>
      </w:pPr>
      <w:r>
        <w:rPr>
          <w:u w:val="single"/>
        </w:rPr>
        <w:t>Non-Residential Solid State Lighting</w:t>
      </w:r>
    </w:p>
    <w:p w:rsidR="007644B2" w:rsidRDefault="007644B2" w:rsidP="00384FF2">
      <w:pPr>
        <w:spacing w:after="0" w:line="240" w:lineRule="auto"/>
      </w:pPr>
      <w:r>
        <w:t xml:space="preserve">When the CPA was performed it was based off of an EIA study from December </w:t>
      </w:r>
      <w:proofErr w:type="gramStart"/>
      <w:r>
        <w:t>2012, that</w:t>
      </w:r>
      <w:proofErr w:type="gramEnd"/>
      <w:r>
        <w:t xml:space="preserve"> forecasted an increase in efficacy and decrease in cost of LED fixtures. These figures were updated with information from the upcoming 7</w:t>
      </w:r>
      <w:r w:rsidRPr="007644B2">
        <w:rPr>
          <w:vertAlign w:val="superscript"/>
        </w:rPr>
        <w:t>th</w:t>
      </w:r>
      <w:r>
        <w:t xml:space="preserve"> Power Plan. The savings we adjusted by the ratio of the 7</w:t>
      </w:r>
      <w:r w:rsidRPr="007644B2">
        <w:rPr>
          <w:vertAlign w:val="superscript"/>
        </w:rPr>
        <w:t>th</w:t>
      </w:r>
      <w:r>
        <w:t xml:space="preserve"> Power Plan/CPA.</w:t>
      </w:r>
    </w:p>
    <w:p w:rsidR="007644B2" w:rsidRDefault="007644B2" w:rsidP="00384FF2">
      <w:pPr>
        <w:spacing w:after="0" w:line="240" w:lineRule="auto"/>
      </w:pPr>
    </w:p>
    <w:p w:rsidR="007644B2" w:rsidRPr="000E395F" w:rsidRDefault="007644B2" w:rsidP="007644B2">
      <w:pPr>
        <w:jc w:val="center"/>
        <w:rPr>
          <w:rFonts w:cs="Times New Roman"/>
          <w:b/>
          <w:szCs w:val="24"/>
        </w:rPr>
      </w:pPr>
      <w:r w:rsidRPr="000E395F">
        <w:rPr>
          <w:rFonts w:cs="Times New Roman"/>
          <w:b/>
          <w:szCs w:val="24"/>
        </w:rPr>
        <w:t xml:space="preserve">Table </w:t>
      </w:r>
      <w:r w:rsidR="00AE6B54">
        <w:rPr>
          <w:rFonts w:cs="Times New Roman"/>
          <w:b/>
          <w:szCs w:val="24"/>
        </w:rPr>
        <w:t>8</w:t>
      </w:r>
      <w:r w:rsidR="00036E57">
        <w:rPr>
          <w:rFonts w:cs="Times New Roman"/>
          <w:b/>
          <w:szCs w:val="24"/>
        </w:rPr>
        <w:t>: Non-Residential Efficacy Adjustment based off of the 7</w:t>
      </w:r>
      <w:r w:rsidR="00036E57" w:rsidRPr="00036E57">
        <w:rPr>
          <w:rFonts w:cs="Times New Roman"/>
          <w:b/>
          <w:szCs w:val="24"/>
          <w:vertAlign w:val="superscript"/>
        </w:rPr>
        <w:t>th</w:t>
      </w:r>
      <w:r w:rsidR="00036E57">
        <w:rPr>
          <w:rFonts w:cs="Times New Roman"/>
          <w:b/>
          <w:szCs w:val="24"/>
        </w:rPr>
        <w:t xml:space="preserve"> Power Plan</w:t>
      </w:r>
    </w:p>
    <w:tbl>
      <w:tblPr>
        <w:tblW w:w="9056" w:type="dxa"/>
        <w:jc w:val="center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3"/>
        <w:gridCol w:w="91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7644B2" w:rsidRPr="00432C28" w:rsidTr="00B7165B">
        <w:trPr>
          <w:trHeight w:val="305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913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7644B2" w:rsidRPr="00432C28" w:rsidTr="00B7165B">
        <w:trPr>
          <w:trHeight w:val="66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Linear Fluorescent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 Bay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Screw-in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</w:tr>
    </w:tbl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7644B2" w:rsidRPr="00AE6B54" w:rsidRDefault="00AE6B54" w:rsidP="00AE6B54">
      <w:pPr>
        <w:spacing w:after="0" w:line="240" w:lineRule="auto"/>
        <w:jc w:val="center"/>
        <w:rPr>
          <w:b/>
        </w:rPr>
      </w:pPr>
      <w:r w:rsidRPr="00AE6B54">
        <w:rPr>
          <w:b/>
        </w:rPr>
        <w:t>Table 9</w:t>
      </w:r>
      <w:r w:rsidR="00036E57">
        <w:rPr>
          <w:b/>
        </w:rPr>
        <w:t>: Non-Residential Lighting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LF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14036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9573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-4464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HB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3123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2874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-249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4488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2607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-1881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LF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2142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1461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-681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HID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2143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1961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-181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120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176</w:t>
            </w:r>
          </w:p>
        </w:tc>
        <w:tc>
          <w:tcPr>
            <w:tcW w:w="3294" w:type="dxa"/>
          </w:tcPr>
          <w:p w:rsidR="007644B2" w:rsidRDefault="007644B2" w:rsidP="007644B2">
            <w:pPr>
              <w:jc w:val="center"/>
            </w:pPr>
            <w:r>
              <w:t>56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LF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883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526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-357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HB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719</w:t>
            </w:r>
          </w:p>
        </w:tc>
        <w:tc>
          <w:tcPr>
            <w:tcW w:w="3294" w:type="dxa"/>
          </w:tcPr>
          <w:p w:rsidR="007644B2" w:rsidRDefault="007644B2" w:rsidP="007644B2">
            <w:pPr>
              <w:jc w:val="center"/>
            </w:pPr>
            <w:r>
              <w:t>698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-21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169.2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126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-43.2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LF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119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71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-48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HID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104.1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101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-3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23.6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43.3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19.8</w:t>
            </w:r>
          </w:p>
        </w:tc>
      </w:tr>
    </w:tbl>
    <w:p w:rsidR="007644B2" w:rsidRDefault="007644B2" w:rsidP="00384FF2">
      <w:pPr>
        <w:spacing w:after="0" w:line="240" w:lineRule="auto"/>
      </w:pPr>
    </w:p>
    <w:p w:rsidR="00AE6B54" w:rsidRDefault="00AE6B54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AE6B54" w:rsidRDefault="00AE6B54" w:rsidP="00AE6B54">
      <w:pPr>
        <w:spacing w:after="0" w:line="240" w:lineRule="auto"/>
        <w:jc w:val="center"/>
        <w:rPr>
          <w:b/>
        </w:rPr>
      </w:pPr>
      <w:r w:rsidRPr="00AE6B54">
        <w:rPr>
          <w:b/>
        </w:rPr>
        <w:t>Table 10</w:t>
      </w:r>
      <w:r w:rsidR="00036E57">
        <w:rPr>
          <w:b/>
        </w:rPr>
        <w:t>: Summary of adjustments to the Potential Savings</w:t>
      </w:r>
    </w:p>
    <w:p w:rsidR="00B7165B" w:rsidRDefault="00B7165B" w:rsidP="00AE6B54">
      <w:pPr>
        <w:spacing w:after="0" w:line="240" w:lineRule="auto"/>
        <w:jc w:val="center"/>
        <w:rPr>
          <w:b/>
        </w:rPr>
      </w:pPr>
    </w:p>
    <w:tbl>
      <w:tblPr>
        <w:tblW w:w="7360" w:type="dxa"/>
        <w:jc w:val="center"/>
        <w:tblInd w:w="93" w:type="dxa"/>
        <w:tblLook w:val="04A0"/>
      </w:tblPr>
      <w:tblGrid>
        <w:gridCol w:w="2740"/>
        <w:gridCol w:w="1600"/>
        <w:gridCol w:w="1660"/>
        <w:gridCol w:w="1360"/>
      </w:tblGrid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 Year Pro Rata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 Year Pro Rata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Measure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CPA (MWh)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Adjusted (MWh)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Net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Water Heating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-93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Specialty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General Purpose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-3459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Ext General Purpose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-1825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Clothes Washers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Second Refrigerator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-465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CPA Behavioral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Behavioral Estimate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13110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14036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9572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-4464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High-Bay Fixtures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-249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-1881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-681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HID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-182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High-Bay Fixtures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-357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HID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Screw-in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-48</w:t>
            </w:r>
          </w:p>
        </w:tc>
      </w:tr>
      <w:tr w:rsidR="00B7165B" w:rsidRPr="00B7165B" w:rsidTr="00B7165B">
        <w:trPr>
          <w:trHeight w:val="33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Total 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-270</w:t>
            </w:r>
          </w:p>
        </w:tc>
      </w:tr>
    </w:tbl>
    <w:p w:rsidR="00AE6B54" w:rsidRPr="007644B2" w:rsidRDefault="00AE6B54" w:rsidP="00BF3D31">
      <w:pPr>
        <w:spacing w:after="0" w:line="240" w:lineRule="auto"/>
        <w:rPr>
          <w:u w:val="single"/>
        </w:rPr>
      </w:pPr>
    </w:p>
    <w:sectPr w:rsidR="00AE6B54" w:rsidRPr="007644B2" w:rsidSect="00FD48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471A"/>
    <w:rsid w:val="00036E57"/>
    <w:rsid w:val="00095093"/>
    <w:rsid w:val="001339F2"/>
    <w:rsid w:val="00295086"/>
    <w:rsid w:val="002D16B6"/>
    <w:rsid w:val="00384FF2"/>
    <w:rsid w:val="003C3E8D"/>
    <w:rsid w:val="00655DE8"/>
    <w:rsid w:val="007644B2"/>
    <w:rsid w:val="008248CF"/>
    <w:rsid w:val="00872C3D"/>
    <w:rsid w:val="008C08DB"/>
    <w:rsid w:val="009B3455"/>
    <w:rsid w:val="00AB3632"/>
    <w:rsid w:val="00AE6B54"/>
    <w:rsid w:val="00B7165B"/>
    <w:rsid w:val="00BF3D31"/>
    <w:rsid w:val="00CD654E"/>
    <w:rsid w:val="00D30002"/>
    <w:rsid w:val="00D3229B"/>
    <w:rsid w:val="00D337FC"/>
    <w:rsid w:val="00DA77E7"/>
    <w:rsid w:val="00E2471A"/>
    <w:rsid w:val="00E37DBD"/>
    <w:rsid w:val="00E515F8"/>
    <w:rsid w:val="00E80E57"/>
    <w:rsid w:val="00E83666"/>
    <w:rsid w:val="00F62B51"/>
    <w:rsid w:val="00F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D37D3-4C53-4AA1-B135-68470911A72E}"/>
</file>

<file path=customXml/itemProps2.xml><?xml version="1.0" encoding="utf-8"?>
<ds:datastoreItem xmlns:ds="http://schemas.openxmlformats.org/officeDocument/2006/customXml" ds:itemID="{EC73D6BF-F992-4FB8-9484-46C2806D9B29}"/>
</file>

<file path=customXml/itemProps3.xml><?xml version="1.0" encoding="utf-8"?>
<ds:datastoreItem xmlns:ds="http://schemas.openxmlformats.org/officeDocument/2006/customXml" ds:itemID="{BDE4F815-5AB8-4831-9312-842E22D017F9}"/>
</file>

<file path=customXml/itemProps4.xml><?xml version="1.0" encoding="utf-8"?>
<ds:datastoreItem xmlns:ds="http://schemas.openxmlformats.org/officeDocument/2006/customXml" ds:itemID="{FFE9D39D-516B-4A81-8573-3B55E532CF60}"/>
</file>

<file path=customXml/itemProps5.xml><?xml version="1.0" encoding="utf-8"?>
<ds:datastoreItem xmlns:ds="http://schemas.openxmlformats.org/officeDocument/2006/customXml" ds:itemID="{21CCDF36-6D4D-41AD-AD7A-DB5354E3F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2016-01-05T17:35:00Z</dcterms:created>
  <dcterms:modified xsi:type="dcterms:W3CDTF">2016-01-05T17:35:00Z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