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6E1DDF29" wp14:editId="0B071D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261259" w:rsidRPr="008C0D1D" w:rsidRDefault="00261259">
      <w:pPr>
        <w:jc w:val="both"/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8C0D1D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8C0D1D" w:rsidRDefault="003A452B" w:rsidP="008C0D1D">
      <w:pPr>
        <w:rPr>
          <w:rFonts w:asciiTheme="minorHAnsi" w:hAnsiTheme="minorHAnsi"/>
          <w:sz w:val="24"/>
          <w:szCs w:val="24"/>
        </w:rPr>
      </w:pPr>
      <w:hyperlink r:id="rId9" w:history="1">
        <w:r w:rsidR="008C0D1D" w:rsidRPr="008C0D1D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D53F89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2</w:t>
      </w:r>
      <w:r w:rsidR="003A452B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, 2015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Records Center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>Olympia, WA  98504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  <w:r w:rsidRPr="008C0D1D">
        <w:rPr>
          <w:rFonts w:asciiTheme="minorHAnsi" w:hAnsiTheme="minorHAnsi"/>
          <w:sz w:val="24"/>
          <w:szCs w:val="24"/>
        </w:rPr>
        <w:t xml:space="preserve">Re:  </w:t>
      </w:r>
      <w:r w:rsidR="002142C6">
        <w:rPr>
          <w:rFonts w:asciiTheme="minorHAnsi" w:hAnsiTheme="minorHAnsi"/>
          <w:sz w:val="24"/>
          <w:szCs w:val="24"/>
        </w:rPr>
        <w:t xml:space="preserve">U-144155 – Cascade Natural Gas’s </w:t>
      </w:r>
      <w:r w:rsidR="00D53F89">
        <w:rPr>
          <w:rFonts w:asciiTheme="minorHAnsi" w:hAnsiTheme="minorHAnsi"/>
          <w:sz w:val="24"/>
          <w:szCs w:val="24"/>
        </w:rPr>
        <w:t xml:space="preserve">Supplemental </w:t>
      </w:r>
      <w:r w:rsidR="002142C6">
        <w:rPr>
          <w:rFonts w:asciiTheme="minorHAnsi" w:hAnsiTheme="minorHAnsi"/>
          <w:sz w:val="24"/>
          <w:szCs w:val="24"/>
        </w:rPr>
        <w:t>Comments</w:t>
      </w:r>
    </w:p>
    <w:p w:rsidR="008C0D1D" w:rsidRP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B625FC" w:rsidRPr="008C0D1D" w:rsidRDefault="002142C6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B625FC" w:rsidRPr="008C0D1D">
        <w:rPr>
          <w:rFonts w:asciiTheme="minorHAnsi" w:hAnsiTheme="minorHAnsi"/>
          <w:sz w:val="24"/>
          <w:szCs w:val="24"/>
        </w:rPr>
        <w:t>Cas</w:t>
      </w:r>
      <w:r w:rsidR="00D53F89">
        <w:rPr>
          <w:rFonts w:asciiTheme="minorHAnsi" w:hAnsiTheme="minorHAnsi"/>
          <w:sz w:val="24"/>
          <w:szCs w:val="24"/>
        </w:rPr>
        <w:t xml:space="preserve">cade Natural Gas Corporation submitted </w:t>
      </w:r>
      <w:r>
        <w:rPr>
          <w:rFonts w:asciiTheme="minorHAnsi" w:hAnsiTheme="minorHAnsi"/>
          <w:sz w:val="24"/>
          <w:szCs w:val="24"/>
        </w:rPr>
        <w:t>comments</w:t>
      </w:r>
      <w:r w:rsidR="00D53F89">
        <w:rPr>
          <w:rFonts w:asciiTheme="minorHAnsi" w:hAnsiTheme="minorHAnsi"/>
          <w:sz w:val="24"/>
          <w:szCs w:val="24"/>
        </w:rPr>
        <w:t xml:space="preserve"> on May 14, 2015, i</w:t>
      </w:r>
      <w:r>
        <w:rPr>
          <w:rFonts w:asciiTheme="minorHAnsi" w:hAnsiTheme="minorHAnsi"/>
          <w:sz w:val="24"/>
          <w:szCs w:val="24"/>
        </w:rPr>
        <w:t xml:space="preserve">n response to </w:t>
      </w:r>
      <w:r w:rsidR="004E2439">
        <w:rPr>
          <w:rFonts w:asciiTheme="minorHAnsi" w:hAnsiTheme="minorHAnsi"/>
          <w:sz w:val="24"/>
          <w:szCs w:val="24"/>
        </w:rPr>
        <w:t xml:space="preserve">the </w:t>
      </w:r>
      <w:r w:rsidR="004E2439" w:rsidRPr="008C0D1D">
        <w:rPr>
          <w:rFonts w:asciiTheme="minorHAnsi" w:hAnsiTheme="minorHAnsi"/>
          <w:sz w:val="24"/>
          <w:szCs w:val="24"/>
        </w:rPr>
        <w:t>Washington</w:t>
      </w:r>
      <w:r w:rsidR="00B625FC" w:rsidRPr="008C0D1D">
        <w:rPr>
          <w:rFonts w:asciiTheme="minorHAnsi" w:hAnsiTheme="minorHAnsi"/>
          <w:sz w:val="24"/>
          <w:szCs w:val="24"/>
        </w:rPr>
        <w:t xml:space="preserve"> Utilities and Transportation Commission’s (WUTC’s) Notice of Opportunity to </w:t>
      </w:r>
      <w:r>
        <w:rPr>
          <w:rFonts w:asciiTheme="minorHAnsi" w:hAnsiTheme="minorHAnsi"/>
          <w:sz w:val="24"/>
          <w:szCs w:val="24"/>
        </w:rPr>
        <w:t>Submit Written C</w:t>
      </w:r>
      <w:r w:rsidR="00B625FC" w:rsidRPr="008C0D1D">
        <w:rPr>
          <w:rFonts w:asciiTheme="minorHAnsi" w:hAnsiTheme="minorHAnsi"/>
          <w:sz w:val="24"/>
          <w:szCs w:val="24"/>
        </w:rPr>
        <w:t xml:space="preserve">omments, issued in Docket No. </w:t>
      </w:r>
      <w:proofErr w:type="gramStart"/>
      <w:r w:rsidR="00B625FC" w:rsidRPr="008C0D1D">
        <w:rPr>
          <w:rFonts w:asciiTheme="minorHAnsi" w:hAnsiTheme="minorHAnsi"/>
          <w:sz w:val="24"/>
          <w:szCs w:val="24"/>
        </w:rPr>
        <w:t>U-144155.</w:t>
      </w:r>
      <w:proofErr w:type="gramEnd"/>
      <w:r w:rsidR="00D53F89">
        <w:rPr>
          <w:rFonts w:asciiTheme="minorHAnsi" w:hAnsiTheme="minorHAnsi"/>
          <w:sz w:val="24"/>
          <w:szCs w:val="24"/>
        </w:rPr>
        <w:t xml:space="preserve">  The Company now supplements its initial </w:t>
      </w:r>
      <w:r w:rsidR="00F3166D">
        <w:rPr>
          <w:rFonts w:asciiTheme="minorHAnsi" w:hAnsiTheme="minorHAnsi"/>
          <w:sz w:val="24"/>
          <w:szCs w:val="24"/>
        </w:rPr>
        <w:t>response to question number 2</w:t>
      </w:r>
      <w:r w:rsidR="00D53F89">
        <w:rPr>
          <w:rFonts w:asciiTheme="minorHAnsi" w:hAnsiTheme="minorHAnsi"/>
          <w:sz w:val="24"/>
          <w:szCs w:val="24"/>
        </w:rPr>
        <w:t xml:space="preserve"> with the following data </w:t>
      </w:r>
      <w:r w:rsidR="00F3166D">
        <w:rPr>
          <w:rFonts w:asciiTheme="minorHAnsi" w:hAnsiTheme="minorHAnsi"/>
          <w:sz w:val="24"/>
          <w:szCs w:val="24"/>
        </w:rPr>
        <w:t>on stopped meters</w:t>
      </w:r>
      <w:r w:rsidR="00D53F89">
        <w:rPr>
          <w:rFonts w:asciiTheme="minorHAnsi" w:hAnsiTheme="minorHAnsi"/>
          <w:sz w:val="24"/>
          <w:szCs w:val="24"/>
        </w:rPr>
        <w:t xml:space="preserve">.  </w:t>
      </w:r>
    </w:p>
    <w:p w:rsidR="00B625FC" w:rsidRDefault="00B625FC" w:rsidP="00B625FC">
      <w:pPr>
        <w:spacing w:line="264" w:lineRule="auto"/>
        <w:rPr>
          <w:rFonts w:asciiTheme="minorHAnsi" w:hAnsiTheme="minorHAnsi"/>
          <w:b/>
          <w:szCs w:val="24"/>
        </w:rPr>
      </w:pPr>
    </w:p>
    <w:p w:rsidR="00241C69" w:rsidRPr="00F3166D" w:rsidRDefault="00F3166D" w:rsidP="00B625FC">
      <w:pPr>
        <w:spacing w:line="264" w:lineRule="auto"/>
        <w:rPr>
          <w:rFonts w:asciiTheme="minorHAnsi" w:hAnsiTheme="minorHAnsi"/>
          <w:b/>
          <w:sz w:val="24"/>
          <w:szCs w:val="24"/>
          <w:u w:val="single"/>
        </w:rPr>
      </w:pPr>
      <w:r w:rsidRPr="00F3166D">
        <w:rPr>
          <w:rFonts w:asciiTheme="minorHAnsi" w:hAnsiTheme="minorHAnsi"/>
          <w:b/>
          <w:sz w:val="24"/>
          <w:szCs w:val="24"/>
          <w:u w:val="single"/>
        </w:rPr>
        <w:t>Comments</w:t>
      </w:r>
    </w:p>
    <w:p w:rsidR="00EF66E5" w:rsidRPr="00F3166D" w:rsidRDefault="00EF66E5" w:rsidP="00241C69">
      <w:pPr>
        <w:pStyle w:val="NoSpacing"/>
        <w:spacing w:line="264" w:lineRule="auto"/>
        <w:ind w:left="1080"/>
        <w:rPr>
          <w:rFonts w:asciiTheme="minorHAnsi" w:eastAsia="Times New Roman" w:hAnsiTheme="minorHAnsi"/>
          <w:szCs w:val="24"/>
        </w:rPr>
      </w:pPr>
    </w:p>
    <w:p w:rsidR="00FE67AB" w:rsidRDefault="00EF66E5" w:rsidP="00F3166D">
      <w:pPr>
        <w:pStyle w:val="NoSpacing"/>
        <w:spacing w:line="264" w:lineRule="auto"/>
        <w:ind w:firstLine="720"/>
        <w:rPr>
          <w:rFonts w:asciiTheme="minorHAnsi" w:eastAsia="Times New Roman" w:hAnsiTheme="minorHAnsi"/>
          <w:szCs w:val="24"/>
        </w:rPr>
      </w:pPr>
      <w:r w:rsidRPr="00F3166D">
        <w:rPr>
          <w:rFonts w:asciiTheme="minorHAnsi" w:eastAsia="Times New Roman" w:hAnsiTheme="minorHAnsi"/>
          <w:szCs w:val="24"/>
        </w:rPr>
        <w:t xml:space="preserve">As stated in the Company’s initial comments, we </w:t>
      </w:r>
      <w:r w:rsidR="00D84ABF" w:rsidRPr="00F3166D">
        <w:rPr>
          <w:rFonts w:asciiTheme="minorHAnsi" w:eastAsia="Times New Roman" w:hAnsiTheme="minorHAnsi"/>
          <w:szCs w:val="24"/>
        </w:rPr>
        <w:t xml:space="preserve">do not </w:t>
      </w:r>
      <w:r w:rsidR="00F3166D" w:rsidRPr="00F3166D">
        <w:rPr>
          <w:rFonts w:asciiTheme="minorHAnsi" w:eastAsia="Times New Roman" w:hAnsiTheme="minorHAnsi"/>
          <w:szCs w:val="24"/>
        </w:rPr>
        <w:t>h</w:t>
      </w:r>
      <w:r w:rsidR="00D84ABF" w:rsidRPr="00F3166D">
        <w:rPr>
          <w:rFonts w:asciiTheme="minorHAnsi" w:eastAsia="Times New Roman" w:hAnsiTheme="minorHAnsi"/>
          <w:szCs w:val="24"/>
        </w:rPr>
        <w:t>ave most of th</w:t>
      </w:r>
      <w:r w:rsidR="00FE67AB">
        <w:rPr>
          <w:rFonts w:asciiTheme="minorHAnsi" w:eastAsia="Times New Roman" w:hAnsiTheme="minorHAnsi"/>
          <w:szCs w:val="24"/>
        </w:rPr>
        <w:t>e requested</w:t>
      </w:r>
      <w:r w:rsidR="00D84ABF" w:rsidRPr="00F3166D">
        <w:rPr>
          <w:rFonts w:asciiTheme="minorHAnsi" w:eastAsia="Times New Roman" w:hAnsiTheme="minorHAnsi"/>
          <w:szCs w:val="24"/>
        </w:rPr>
        <w:t xml:space="preserve"> information</w:t>
      </w:r>
      <w:r w:rsidR="00FE67AB">
        <w:rPr>
          <w:rFonts w:asciiTheme="minorHAnsi" w:eastAsia="Times New Roman" w:hAnsiTheme="minorHAnsi"/>
          <w:szCs w:val="24"/>
        </w:rPr>
        <w:t xml:space="preserve">.  </w:t>
      </w:r>
      <w:r w:rsidRPr="00F3166D">
        <w:rPr>
          <w:rFonts w:asciiTheme="minorHAnsi" w:eastAsia="Times New Roman" w:hAnsiTheme="minorHAnsi"/>
          <w:szCs w:val="24"/>
        </w:rPr>
        <w:t xml:space="preserve">However, we have been manually tracking </w:t>
      </w:r>
      <w:r w:rsidR="00D84ABF" w:rsidRPr="00F3166D">
        <w:rPr>
          <w:rFonts w:asciiTheme="minorHAnsi" w:eastAsia="Times New Roman" w:hAnsiTheme="minorHAnsi"/>
          <w:szCs w:val="24"/>
        </w:rPr>
        <w:t>the number of investigated meters and dead meters</w:t>
      </w:r>
      <w:r w:rsidRPr="00F3166D">
        <w:rPr>
          <w:rFonts w:asciiTheme="minorHAnsi" w:eastAsia="Times New Roman" w:hAnsiTheme="minorHAnsi"/>
          <w:szCs w:val="24"/>
        </w:rPr>
        <w:t xml:space="preserve"> since 2013.   </w:t>
      </w:r>
      <w:r w:rsidR="00FE67AB">
        <w:rPr>
          <w:rFonts w:asciiTheme="minorHAnsi" w:eastAsia="Times New Roman" w:hAnsiTheme="minorHAnsi"/>
          <w:szCs w:val="24"/>
        </w:rPr>
        <w:t>The tab</w:t>
      </w:r>
      <w:r w:rsidR="00AC009A">
        <w:rPr>
          <w:rFonts w:asciiTheme="minorHAnsi" w:eastAsia="Times New Roman" w:hAnsiTheme="minorHAnsi"/>
          <w:szCs w:val="24"/>
        </w:rPr>
        <w:t>l</w:t>
      </w:r>
      <w:r w:rsidR="00FE67AB">
        <w:rPr>
          <w:rFonts w:asciiTheme="minorHAnsi" w:eastAsia="Times New Roman" w:hAnsiTheme="minorHAnsi"/>
          <w:szCs w:val="24"/>
        </w:rPr>
        <w:t>e below provides the counts we have:</w:t>
      </w:r>
    </w:p>
    <w:p w:rsidR="00FE67AB" w:rsidRDefault="00FE67AB" w:rsidP="00F3166D">
      <w:pPr>
        <w:pStyle w:val="NoSpacing"/>
        <w:spacing w:line="264" w:lineRule="auto"/>
        <w:ind w:firstLine="720"/>
        <w:rPr>
          <w:rFonts w:asciiTheme="minorHAnsi" w:eastAsia="Times New Roman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109"/>
        <w:gridCol w:w="1530"/>
        <w:gridCol w:w="1442"/>
        <w:gridCol w:w="1503"/>
        <w:gridCol w:w="1351"/>
        <w:gridCol w:w="1362"/>
      </w:tblGrid>
      <w:tr w:rsidR="00FE67AB" w:rsidTr="00B20CEC">
        <w:tc>
          <w:tcPr>
            <w:tcW w:w="1279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Number of meters</w:t>
            </w:r>
          </w:p>
        </w:tc>
        <w:tc>
          <w:tcPr>
            <w:tcW w:w="1530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# of meters investigated in the field</w:t>
            </w:r>
          </w:p>
        </w:tc>
        <w:tc>
          <w:tcPr>
            <w:tcW w:w="1442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# of  checked meters operating correctly</w:t>
            </w:r>
          </w:p>
        </w:tc>
        <w:tc>
          <w:tcPr>
            <w:tcW w:w="1503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# of meters off for remodeling</w:t>
            </w:r>
          </w:p>
        </w:tc>
        <w:tc>
          <w:tcPr>
            <w:tcW w:w="1351" w:type="dxa"/>
          </w:tcPr>
          <w:p w:rsidR="00184034" w:rsidRDefault="00FE67AB" w:rsidP="00B20CEC">
            <w:pPr>
              <w:tabs>
                <w:tab w:val="left" w:pos="450"/>
              </w:tabs>
              <w:jc w:val="center"/>
              <w:rPr>
                <w:rFonts w:eastAsia="Calibri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# of remaining </w:t>
            </w:r>
            <w:r w:rsidR="009F2CE9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meters with zero read</w:t>
            </w:r>
          </w:p>
        </w:tc>
        <w:tc>
          <w:tcPr>
            <w:tcW w:w="1362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% of dead meters</w:t>
            </w:r>
          </w:p>
        </w:tc>
      </w:tr>
      <w:tr w:rsidR="00FE67AB" w:rsidTr="00B20CEC">
        <w:tc>
          <w:tcPr>
            <w:tcW w:w="1279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2013</w:t>
            </w:r>
          </w:p>
        </w:tc>
        <w:tc>
          <w:tcPr>
            <w:tcW w:w="1109" w:type="dxa"/>
          </w:tcPr>
          <w:p w:rsidR="00FE67AB" w:rsidRDefault="00FE67AB" w:rsidP="00B20CEC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203,214</w:t>
            </w:r>
          </w:p>
        </w:tc>
        <w:tc>
          <w:tcPr>
            <w:tcW w:w="1530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1533</w:t>
            </w:r>
          </w:p>
        </w:tc>
        <w:tc>
          <w:tcPr>
            <w:tcW w:w="1442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815</w:t>
            </w:r>
          </w:p>
        </w:tc>
        <w:tc>
          <w:tcPr>
            <w:tcW w:w="1503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52</w:t>
            </w:r>
          </w:p>
        </w:tc>
        <w:tc>
          <w:tcPr>
            <w:tcW w:w="1351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186</w:t>
            </w:r>
          </w:p>
        </w:tc>
        <w:tc>
          <w:tcPr>
            <w:tcW w:w="1362" w:type="dxa"/>
            <w:vAlign w:val="center"/>
          </w:tcPr>
          <w:p w:rsidR="00FE67AB" w:rsidRPr="001E3D37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E3D37">
              <w:rPr>
                <w:rFonts w:asciiTheme="minorHAnsi" w:eastAsia="Calibri" w:hAnsiTheme="minorHAnsi"/>
                <w:sz w:val="24"/>
                <w:szCs w:val="24"/>
              </w:rPr>
              <w:t>0.09%</w:t>
            </w:r>
          </w:p>
        </w:tc>
      </w:tr>
      <w:tr w:rsidR="00FE67AB" w:rsidTr="00B20CEC">
        <w:tc>
          <w:tcPr>
            <w:tcW w:w="1279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FE67AB" w:rsidRDefault="00FE67AB" w:rsidP="00B20CEC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206,107</w:t>
            </w:r>
          </w:p>
        </w:tc>
        <w:tc>
          <w:tcPr>
            <w:tcW w:w="1530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3074</w:t>
            </w:r>
          </w:p>
        </w:tc>
        <w:tc>
          <w:tcPr>
            <w:tcW w:w="1442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1530</w:t>
            </w:r>
          </w:p>
        </w:tc>
        <w:tc>
          <w:tcPr>
            <w:tcW w:w="1503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82</w:t>
            </w:r>
          </w:p>
        </w:tc>
        <w:tc>
          <w:tcPr>
            <w:tcW w:w="1351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410</w:t>
            </w:r>
          </w:p>
        </w:tc>
        <w:tc>
          <w:tcPr>
            <w:tcW w:w="1362" w:type="dxa"/>
            <w:vAlign w:val="center"/>
          </w:tcPr>
          <w:p w:rsidR="00FE67AB" w:rsidRPr="001E3D37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E3D37">
              <w:rPr>
                <w:rFonts w:asciiTheme="minorHAnsi" w:eastAsia="Calibri" w:hAnsiTheme="minorHAnsi"/>
                <w:sz w:val="24"/>
                <w:szCs w:val="24"/>
              </w:rPr>
              <w:t>0.20%</w:t>
            </w:r>
          </w:p>
        </w:tc>
      </w:tr>
      <w:tr w:rsidR="00FE67AB" w:rsidTr="00B20CEC">
        <w:tc>
          <w:tcPr>
            <w:tcW w:w="1279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YTD 2015</w:t>
            </w:r>
          </w:p>
        </w:tc>
        <w:tc>
          <w:tcPr>
            <w:tcW w:w="1109" w:type="dxa"/>
          </w:tcPr>
          <w:p w:rsidR="00FE67AB" w:rsidRDefault="00FE67AB" w:rsidP="00B20CEC">
            <w:pPr>
              <w:pStyle w:val="NoSpacing"/>
              <w:spacing w:line="264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208,408</w:t>
            </w:r>
          </w:p>
        </w:tc>
        <w:tc>
          <w:tcPr>
            <w:tcW w:w="1530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1761</w:t>
            </w:r>
          </w:p>
        </w:tc>
        <w:tc>
          <w:tcPr>
            <w:tcW w:w="1442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1017</w:t>
            </w:r>
          </w:p>
        </w:tc>
        <w:tc>
          <w:tcPr>
            <w:tcW w:w="1503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41</w:t>
            </w:r>
          </w:p>
        </w:tc>
        <w:tc>
          <w:tcPr>
            <w:tcW w:w="1351" w:type="dxa"/>
          </w:tcPr>
          <w:p w:rsidR="00FE67AB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213</w:t>
            </w:r>
          </w:p>
        </w:tc>
        <w:tc>
          <w:tcPr>
            <w:tcW w:w="1362" w:type="dxa"/>
            <w:vAlign w:val="center"/>
          </w:tcPr>
          <w:p w:rsidR="00FE67AB" w:rsidRPr="001E3D37" w:rsidRDefault="00FE67AB" w:rsidP="00B20CEC">
            <w:pPr>
              <w:tabs>
                <w:tab w:val="left" w:pos="450"/>
              </w:tabs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E3D37">
              <w:rPr>
                <w:rFonts w:asciiTheme="minorHAnsi" w:eastAsia="Calibri" w:hAnsiTheme="minorHAnsi"/>
                <w:sz w:val="24"/>
                <w:szCs w:val="24"/>
              </w:rPr>
              <w:t>0.10%</w:t>
            </w:r>
          </w:p>
        </w:tc>
      </w:tr>
    </w:tbl>
    <w:p w:rsidR="00D84ABF" w:rsidRPr="00F3166D" w:rsidRDefault="00D84ABF" w:rsidP="00F3166D">
      <w:pPr>
        <w:pStyle w:val="NoSpacing"/>
        <w:spacing w:line="264" w:lineRule="auto"/>
        <w:rPr>
          <w:rFonts w:asciiTheme="minorHAnsi" w:eastAsia="Times New Roman" w:hAnsiTheme="minorHAnsi"/>
          <w:szCs w:val="24"/>
        </w:rPr>
      </w:pPr>
    </w:p>
    <w:p w:rsidR="00EF66E5" w:rsidRPr="00F3166D" w:rsidRDefault="00EF66E5" w:rsidP="00F3166D">
      <w:pPr>
        <w:pStyle w:val="NoSpacing"/>
        <w:spacing w:line="264" w:lineRule="auto"/>
        <w:ind w:firstLine="720"/>
        <w:rPr>
          <w:rFonts w:asciiTheme="minorHAnsi" w:eastAsia="Times New Roman" w:hAnsiTheme="minorHAnsi"/>
          <w:szCs w:val="24"/>
        </w:rPr>
      </w:pPr>
      <w:r w:rsidRPr="00F3166D">
        <w:rPr>
          <w:rFonts w:asciiTheme="minorHAnsi" w:eastAsia="Times New Roman" w:hAnsiTheme="minorHAnsi"/>
          <w:szCs w:val="24"/>
        </w:rPr>
        <w:lastRenderedPageBreak/>
        <w:t xml:space="preserve">Also, as mentioned, at the May 2, 2015, workshop, the Company </w:t>
      </w:r>
      <w:r w:rsidR="00FE67AB">
        <w:rPr>
          <w:rFonts w:asciiTheme="minorHAnsi" w:eastAsia="Times New Roman" w:hAnsiTheme="minorHAnsi"/>
          <w:szCs w:val="24"/>
        </w:rPr>
        <w:t>is planning to make changes</w:t>
      </w:r>
      <w:r w:rsidRPr="00F3166D">
        <w:rPr>
          <w:rFonts w:asciiTheme="minorHAnsi" w:eastAsia="Times New Roman" w:hAnsiTheme="minorHAnsi"/>
          <w:szCs w:val="24"/>
        </w:rPr>
        <w:t xml:space="preserve"> to its billing system</w:t>
      </w:r>
      <w:r w:rsidR="00D84ABF" w:rsidRPr="00F3166D">
        <w:rPr>
          <w:rFonts w:asciiTheme="minorHAnsi" w:eastAsia="Times New Roman" w:hAnsiTheme="minorHAnsi"/>
          <w:szCs w:val="24"/>
        </w:rPr>
        <w:t xml:space="preserve"> in Q4 of this year that will allow us to track the number of dead meters we have experienced </w:t>
      </w:r>
      <w:r w:rsidR="00FE67AB">
        <w:rPr>
          <w:rFonts w:asciiTheme="minorHAnsi" w:eastAsia="Times New Roman" w:hAnsiTheme="minorHAnsi"/>
          <w:szCs w:val="24"/>
        </w:rPr>
        <w:t>in</w:t>
      </w:r>
      <w:r w:rsidR="00D84ABF" w:rsidRPr="00F3166D">
        <w:rPr>
          <w:rFonts w:asciiTheme="minorHAnsi" w:eastAsia="Times New Roman" w:hAnsiTheme="minorHAnsi"/>
          <w:szCs w:val="24"/>
        </w:rPr>
        <w:t xml:space="preserve"> the field. </w:t>
      </w:r>
      <w:r w:rsidRPr="00F3166D">
        <w:rPr>
          <w:rFonts w:asciiTheme="minorHAnsi" w:eastAsia="Times New Roman" w:hAnsiTheme="minorHAnsi"/>
          <w:szCs w:val="24"/>
        </w:rPr>
        <w:t xml:space="preserve"> </w:t>
      </w:r>
    </w:p>
    <w:p w:rsidR="00EF66E5" w:rsidRPr="00F3166D" w:rsidRDefault="00EF66E5" w:rsidP="00F3166D">
      <w:pPr>
        <w:pStyle w:val="NoSpacing"/>
        <w:spacing w:line="264" w:lineRule="auto"/>
        <w:rPr>
          <w:rFonts w:asciiTheme="minorHAnsi" w:eastAsia="Times New Roman" w:hAnsiTheme="minorHAnsi"/>
          <w:szCs w:val="24"/>
        </w:rPr>
      </w:pPr>
    </w:p>
    <w:p w:rsidR="001E3D37" w:rsidRDefault="00D84ABF" w:rsidP="00F3166D">
      <w:pPr>
        <w:pStyle w:val="NoSpacing"/>
        <w:spacing w:line="264" w:lineRule="auto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 do not have </w:t>
      </w:r>
      <w:r w:rsidR="00FE67AB">
        <w:rPr>
          <w:rFonts w:asciiTheme="minorHAnsi" w:hAnsiTheme="minorHAnsi"/>
          <w:szCs w:val="24"/>
        </w:rPr>
        <w:t xml:space="preserve">a </w:t>
      </w:r>
      <w:r>
        <w:rPr>
          <w:rFonts w:asciiTheme="minorHAnsi" w:hAnsiTheme="minorHAnsi"/>
          <w:szCs w:val="24"/>
        </w:rPr>
        <w:t>manual count of meters investigated for</w:t>
      </w:r>
      <w:r w:rsidR="00FE67AB">
        <w:rPr>
          <w:rFonts w:asciiTheme="minorHAnsi" w:hAnsiTheme="minorHAnsi"/>
          <w:szCs w:val="24"/>
        </w:rPr>
        <w:t xml:space="preserve"> unidentified </w:t>
      </w:r>
      <w:r>
        <w:rPr>
          <w:rFonts w:asciiTheme="minorHAnsi" w:hAnsiTheme="minorHAnsi"/>
          <w:szCs w:val="24"/>
        </w:rPr>
        <w:t>usage.  As mentioned in our comments, any meter with unidentified usage is flagged for investigation immediately.</w:t>
      </w:r>
      <w:r w:rsidR="001E3D37">
        <w:rPr>
          <w:rFonts w:asciiTheme="minorHAnsi" w:hAnsiTheme="minorHAnsi"/>
          <w:szCs w:val="24"/>
        </w:rPr>
        <w:t xml:space="preserve">  We do not have minimum usage </w:t>
      </w:r>
      <w:r w:rsidR="00FE67AB">
        <w:rPr>
          <w:rFonts w:asciiTheme="minorHAnsi" w:hAnsiTheme="minorHAnsi"/>
          <w:szCs w:val="24"/>
        </w:rPr>
        <w:t>threshold before we provide</w:t>
      </w:r>
      <w:r w:rsidR="001E3D37">
        <w:rPr>
          <w:rFonts w:asciiTheme="minorHAnsi" w:hAnsiTheme="minorHAnsi"/>
          <w:szCs w:val="24"/>
        </w:rPr>
        <w:t xml:space="preserve"> notice at the premise, telling the occupant to establish an account or expect to be disconnected in 48 hours.  Our policy on managing these is aggressive.  </w:t>
      </w:r>
    </w:p>
    <w:p w:rsidR="0006788E" w:rsidRDefault="0006788E" w:rsidP="00F3166D">
      <w:pPr>
        <w:ind w:firstLine="720"/>
        <w:jc w:val="both"/>
        <w:rPr>
          <w:rFonts w:asciiTheme="minorHAnsi" w:eastAsia="Calibri" w:hAnsiTheme="minorHAnsi"/>
          <w:sz w:val="24"/>
          <w:szCs w:val="24"/>
        </w:rPr>
      </w:pPr>
    </w:p>
    <w:p w:rsidR="0006788E" w:rsidRPr="007B495B" w:rsidRDefault="0006788E" w:rsidP="00F3166D">
      <w:pPr>
        <w:ind w:firstLine="720"/>
        <w:jc w:val="both"/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If you have any questions regarding this report, please contact me at (509) 734-4593.</w:t>
      </w:r>
    </w:p>
    <w:p w:rsidR="0006788E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06788E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Sincerely,</w:t>
      </w:r>
    </w:p>
    <w:p w:rsidR="00142338" w:rsidRPr="007B495B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Default="00142338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8A0B19" w:rsidRPr="007B495B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Michael Parvinen</w:t>
      </w:r>
    </w:p>
    <w:p w:rsidR="00142338" w:rsidRPr="007B495B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7B495B">
        <w:rPr>
          <w:rFonts w:asciiTheme="minorHAnsi" w:eastAsia="Calibri" w:hAnsiTheme="minorHAnsi"/>
          <w:sz w:val="24"/>
          <w:szCs w:val="24"/>
        </w:rPr>
        <w:t>Director, Regulatory Affairs</w:t>
      </w:r>
    </w:p>
    <w:p w:rsidR="00436CAD" w:rsidRPr="007B495B" w:rsidRDefault="00436CAD">
      <w:pPr>
        <w:jc w:val="both"/>
        <w:rPr>
          <w:rFonts w:asciiTheme="minorHAnsi" w:eastAsia="Calibri" w:hAnsiTheme="minorHAnsi"/>
          <w:sz w:val="24"/>
          <w:szCs w:val="24"/>
        </w:rPr>
      </w:pPr>
    </w:p>
    <w:sectPr w:rsidR="00436CAD" w:rsidRPr="007B495B" w:rsidSect="007B4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B2D379A" wp14:editId="00BAC81F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A-144155, CNG’s </w:t>
    </w:r>
    <w:r w:rsidR="00EF66E5">
      <w:rPr>
        <w:rFonts w:asciiTheme="minorHAnsi" w:hAnsiTheme="minorHAnsi"/>
        <w:sz w:val="24"/>
        <w:szCs w:val="24"/>
      </w:rPr>
      <w:t xml:space="preserve">Supplemental </w:t>
    </w:r>
    <w:r w:rsidRPr="00473FCA">
      <w:rPr>
        <w:rFonts w:asciiTheme="minorHAnsi" w:hAnsiTheme="minorHAnsi"/>
        <w:sz w:val="24"/>
        <w:szCs w:val="24"/>
      </w:rPr>
      <w:t>Comments</w:t>
    </w:r>
  </w:p>
  <w:p w:rsidR="00473FCA" w:rsidRPr="00473FCA" w:rsidRDefault="00473FCA">
    <w:pPr>
      <w:pStyle w:val="Header"/>
      <w:rPr>
        <w:rFonts w:asciiTheme="minorHAnsi" w:hAnsiTheme="minorHAnsi"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>May</w:t>
    </w:r>
    <w:r w:rsidR="003A452B">
      <w:rPr>
        <w:rFonts w:asciiTheme="minorHAnsi" w:hAnsiTheme="minorHAnsi"/>
        <w:sz w:val="24"/>
        <w:szCs w:val="24"/>
      </w:rPr>
      <w:t xml:space="preserve"> </w:t>
    </w:r>
    <w:r w:rsidR="003A452B">
      <w:rPr>
        <w:rFonts w:asciiTheme="minorHAnsi" w:hAnsiTheme="minorHAnsi"/>
        <w:sz w:val="24"/>
        <w:szCs w:val="24"/>
      </w:rPr>
      <w:t>28</w:t>
    </w:r>
    <w:bookmarkStart w:id="0" w:name="_GoBack"/>
    <w:bookmarkEnd w:id="0"/>
    <w:r w:rsidRPr="00473FCA">
      <w:rPr>
        <w:rFonts w:asciiTheme="minorHAnsi" w:hAnsiTheme="minorHAnsi"/>
        <w:sz w:val="24"/>
        <w:szCs w:val="24"/>
      </w:rPr>
      <w:t>, 2015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3A452B">
      <w:rPr>
        <w:rFonts w:asciiTheme="minorHAnsi" w:hAnsiTheme="minorHAnsi"/>
        <w:noProof/>
        <w:sz w:val="24"/>
        <w:szCs w:val="24"/>
      </w:rPr>
      <w:t>2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2B" w:rsidRDefault="003A4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357AB"/>
    <w:rsid w:val="0006788E"/>
    <w:rsid w:val="00095DE4"/>
    <w:rsid w:val="000A798E"/>
    <w:rsid w:val="000C677F"/>
    <w:rsid w:val="00142338"/>
    <w:rsid w:val="00184034"/>
    <w:rsid w:val="001A6090"/>
    <w:rsid w:val="001C0532"/>
    <w:rsid w:val="001C2949"/>
    <w:rsid w:val="001D4C42"/>
    <w:rsid w:val="001E3D37"/>
    <w:rsid w:val="001F4634"/>
    <w:rsid w:val="002142C6"/>
    <w:rsid w:val="00224BAF"/>
    <w:rsid w:val="00241C69"/>
    <w:rsid w:val="00261259"/>
    <w:rsid w:val="002745E2"/>
    <w:rsid w:val="00281273"/>
    <w:rsid w:val="002850C2"/>
    <w:rsid w:val="00296C59"/>
    <w:rsid w:val="002B12F4"/>
    <w:rsid w:val="002B2D6A"/>
    <w:rsid w:val="002C5834"/>
    <w:rsid w:val="002F336B"/>
    <w:rsid w:val="002F47FD"/>
    <w:rsid w:val="00301CFD"/>
    <w:rsid w:val="00327305"/>
    <w:rsid w:val="003533B3"/>
    <w:rsid w:val="00394493"/>
    <w:rsid w:val="00397FF1"/>
    <w:rsid w:val="003A452B"/>
    <w:rsid w:val="003E3A49"/>
    <w:rsid w:val="003F25D1"/>
    <w:rsid w:val="004000F2"/>
    <w:rsid w:val="004016C0"/>
    <w:rsid w:val="00412F14"/>
    <w:rsid w:val="00436CAD"/>
    <w:rsid w:val="00441C07"/>
    <w:rsid w:val="00456801"/>
    <w:rsid w:val="00460398"/>
    <w:rsid w:val="00473FCA"/>
    <w:rsid w:val="00482484"/>
    <w:rsid w:val="00497470"/>
    <w:rsid w:val="004C7AFE"/>
    <w:rsid w:val="004E2439"/>
    <w:rsid w:val="00503C10"/>
    <w:rsid w:val="00505720"/>
    <w:rsid w:val="005263D6"/>
    <w:rsid w:val="005370B6"/>
    <w:rsid w:val="005B44E0"/>
    <w:rsid w:val="005C5895"/>
    <w:rsid w:val="005C76D1"/>
    <w:rsid w:val="005D3761"/>
    <w:rsid w:val="005F31EA"/>
    <w:rsid w:val="006058C1"/>
    <w:rsid w:val="006E4E4B"/>
    <w:rsid w:val="006E537D"/>
    <w:rsid w:val="006F1A4E"/>
    <w:rsid w:val="00713353"/>
    <w:rsid w:val="00723CC0"/>
    <w:rsid w:val="0075226E"/>
    <w:rsid w:val="00777453"/>
    <w:rsid w:val="007975E0"/>
    <w:rsid w:val="007B495B"/>
    <w:rsid w:val="007B648C"/>
    <w:rsid w:val="007D6517"/>
    <w:rsid w:val="00800ECE"/>
    <w:rsid w:val="00825528"/>
    <w:rsid w:val="00860AE1"/>
    <w:rsid w:val="008A0B19"/>
    <w:rsid w:val="008B35BE"/>
    <w:rsid w:val="008C0D1D"/>
    <w:rsid w:val="00904B3A"/>
    <w:rsid w:val="00916E3A"/>
    <w:rsid w:val="00952ADB"/>
    <w:rsid w:val="00964C01"/>
    <w:rsid w:val="00974BF1"/>
    <w:rsid w:val="009A2265"/>
    <w:rsid w:val="009B5735"/>
    <w:rsid w:val="009F2CE9"/>
    <w:rsid w:val="00A63BFD"/>
    <w:rsid w:val="00A80CD6"/>
    <w:rsid w:val="00AA1F94"/>
    <w:rsid w:val="00AC009A"/>
    <w:rsid w:val="00B01693"/>
    <w:rsid w:val="00B15BF6"/>
    <w:rsid w:val="00B5582E"/>
    <w:rsid w:val="00B625FC"/>
    <w:rsid w:val="00BB6A57"/>
    <w:rsid w:val="00C46A29"/>
    <w:rsid w:val="00C74467"/>
    <w:rsid w:val="00CC62E7"/>
    <w:rsid w:val="00CE0380"/>
    <w:rsid w:val="00D07E55"/>
    <w:rsid w:val="00D46C5E"/>
    <w:rsid w:val="00D53F89"/>
    <w:rsid w:val="00D84ABF"/>
    <w:rsid w:val="00D87378"/>
    <w:rsid w:val="00DA4C1C"/>
    <w:rsid w:val="00DB5F7D"/>
    <w:rsid w:val="00DF2B45"/>
    <w:rsid w:val="00E0715E"/>
    <w:rsid w:val="00E21A27"/>
    <w:rsid w:val="00E371C5"/>
    <w:rsid w:val="00E50840"/>
    <w:rsid w:val="00E67BA4"/>
    <w:rsid w:val="00EB5565"/>
    <w:rsid w:val="00EE2A65"/>
    <w:rsid w:val="00EF66E5"/>
    <w:rsid w:val="00F21D78"/>
    <w:rsid w:val="00F3166D"/>
    <w:rsid w:val="00F924CC"/>
    <w:rsid w:val="00F9645E"/>
    <w:rsid w:val="00FB4661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2014-12-24T08:00:00+00:00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B5F8F-A90D-4BF6-ABB2-D7AE8C563DA8}"/>
</file>

<file path=customXml/itemProps2.xml><?xml version="1.0" encoding="utf-8"?>
<ds:datastoreItem xmlns:ds="http://schemas.openxmlformats.org/officeDocument/2006/customXml" ds:itemID="{2AD22BF6-CFDE-4901-B05C-D77096A9DB2B}"/>
</file>

<file path=customXml/itemProps3.xml><?xml version="1.0" encoding="utf-8"?>
<ds:datastoreItem xmlns:ds="http://schemas.openxmlformats.org/officeDocument/2006/customXml" ds:itemID="{2EC94732-5F88-4EE3-8EB7-F308EF784D02}"/>
</file>

<file path=customXml/itemProps4.xml><?xml version="1.0" encoding="utf-8"?>
<ds:datastoreItem xmlns:ds="http://schemas.openxmlformats.org/officeDocument/2006/customXml" ds:itemID="{4B68BC4A-4660-43D0-A3A7-F9EEEBB4C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314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2076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9</cp:revision>
  <cp:lastPrinted>2015-05-21T18:06:00Z</cp:lastPrinted>
  <dcterms:created xsi:type="dcterms:W3CDTF">2015-05-21T16:48:00Z</dcterms:created>
  <dcterms:modified xsi:type="dcterms:W3CDTF">2015-05-27T20:13:00Z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_docset_NoMedatataSyncRequired">
    <vt:lpwstr>False</vt:lpwstr>
  </property>
</Properties>
</file>