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2101D8" w14:textId="77777777" w:rsidR="00B12366" w:rsidRDefault="00B12366" w:rsidP="00B12366">
      <w:pPr>
        <w:pStyle w:val="IRPtitl"/>
      </w:pPr>
    </w:p>
    <w:p w14:paraId="6050AFAE" w14:textId="77777777" w:rsidR="00045148" w:rsidRPr="00862469" w:rsidRDefault="00862469" w:rsidP="00862469">
      <w:pPr>
        <w:pStyle w:val="IRPsecthead1serif"/>
        <w:rPr>
          <w:rFonts w:ascii="Palatino" w:hAnsi="Palatino"/>
          <w:color w:val="006C71"/>
        </w:rPr>
      </w:pPr>
      <w:r w:rsidRPr="00862469">
        <w:rPr>
          <w:color w:val="006C71"/>
          <w:sz w:val="48"/>
          <w:szCs w:val="48"/>
        </w:rPr>
        <w:t>GAS ANALYSIS</w:t>
      </w:r>
      <w:r w:rsidR="00045148" w:rsidRPr="00862469">
        <w:rPr>
          <w:color w:val="006C71"/>
        </w:rPr>
        <w:br/>
      </w:r>
    </w:p>
    <w:p w14:paraId="12709BED" w14:textId="3ED829C2" w:rsidR="00862469" w:rsidRPr="00862469" w:rsidRDefault="009D7D51" w:rsidP="00862469">
      <w:pPr>
        <w:pStyle w:val="IRPseriftextbig"/>
      </w:pPr>
      <w:r>
        <w:rPr>
          <w:rFonts w:ascii="Arial" w:hAnsi="Arial"/>
          <w:noProof/>
          <w:color w:val="006C71"/>
          <w:lang w:eastAsia="en-US"/>
        </w:rPr>
        <mc:AlternateContent>
          <mc:Choice Requires="wps">
            <w:drawing>
              <wp:anchor distT="0" distB="0" distL="0" distR="182880" simplePos="0" relativeHeight="251661312" behindDoc="0" locked="0" layoutInCell="1" allowOverlap="1" wp14:anchorId="4D12EBEC" wp14:editId="3DA2755E">
                <wp:simplePos x="0" y="0"/>
                <wp:positionH relativeFrom="margin">
                  <wp:posOffset>46990</wp:posOffset>
                </wp:positionH>
                <wp:positionV relativeFrom="line">
                  <wp:posOffset>20320</wp:posOffset>
                </wp:positionV>
                <wp:extent cx="3090545" cy="7404100"/>
                <wp:effectExtent l="0" t="0" r="8255" b="12700"/>
                <wp:wrapThrough wrapText="right">
                  <wp:wrapPolygon edited="0">
                    <wp:start x="0" y="0"/>
                    <wp:lineTo x="0" y="21563"/>
                    <wp:lineTo x="21480" y="21563"/>
                    <wp:lineTo x="21480" y="0"/>
                    <wp:lineTo x="0" y="0"/>
                  </wp:wrapPolygon>
                </wp:wrapThrough>
                <wp:docPr id="54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7404100"/>
                        </a:xfrm>
                        <a:prstGeom prst="rect">
                          <a:avLst/>
                        </a:prstGeom>
                        <a:solidFill>
                          <a:srgbClr val="71BB32"/>
                        </a:solidFill>
                        <a:ln>
                          <a:noFill/>
                        </a:ln>
                        <a:extLst/>
                      </wps:spPr>
                      <wps:txbx>
                        <w:txbxContent>
                          <w:p w14:paraId="540C77E2" w14:textId="77777777" w:rsidR="00CD3F21" w:rsidRPr="00862469" w:rsidRDefault="00CD3F21" w:rsidP="00601E72">
                            <w:pPr>
                              <w:pStyle w:val="IRPsub1"/>
                              <w:rPr>
                                <w:rFonts w:cs="Arial"/>
                                <w:i w:val="0"/>
                                <w:sz w:val="32"/>
                                <w:szCs w:val="32"/>
                              </w:rPr>
                            </w:pPr>
                            <w:r w:rsidRPr="00862469">
                              <w:rPr>
                                <w:rFonts w:cs="Arial"/>
                                <w:i w:val="0"/>
                                <w:sz w:val="32"/>
                                <w:szCs w:val="32"/>
                              </w:rPr>
                              <w:t>Contents</w:t>
                            </w:r>
                          </w:p>
                          <w:p w14:paraId="7D6001B3" w14:textId="77777777" w:rsidR="00CD3F21" w:rsidRPr="00862469" w:rsidRDefault="00CD3F21" w:rsidP="00F67D2D">
                            <w:pPr>
                              <w:spacing w:before="80" w:after="80"/>
                              <w:rPr>
                                <w:rFonts w:ascii="Arial" w:hAnsi="Arial" w:cs="Arial"/>
                                <w:b/>
                                <w:i/>
                                <w:color w:val="0A005C"/>
                                <w:sz w:val="22"/>
                                <w:szCs w:val="22"/>
                              </w:rPr>
                            </w:pPr>
                            <w:r>
                              <w:rPr>
                                <w:rFonts w:ascii="Arial" w:hAnsi="Arial" w:cs="Arial"/>
                                <w:b/>
                                <w:i/>
                                <w:color w:val="0A005C"/>
                                <w:sz w:val="22"/>
                                <w:szCs w:val="22"/>
                              </w:rPr>
                              <w:t xml:space="preserve">7-2. GAS SALES </w:t>
                            </w:r>
                            <w:r w:rsidRPr="00862469">
                              <w:rPr>
                                <w:rFonts w:ascii="Arial" w:hAnsi="Arial" w:cs="Arial"/>
                                <w:b/>
                                <w:i/>
                                <w:color w:val="0A005C"/>
                                <w:sz w:val="22"/>
                                <w:szCs w:val="22"/>
                              </w:rPr>
                              <w:t xml:space="preserve">RESOURCE NEED </w:t>
                            </w:r>
                            <w:r>
                              <w:rPr>
                                <w:rFonts w:ascii="Arial" w:hAnsi="Arial" w:cs="Arial"/>
                                <w:b/>
                                <w:i/>
                                <w:color w:val="0A005C"/>
                                <w:sz w:val="22"/>
                                <w:szCs w:val="22"/>
                              </w:rPr>
                              <w:br/>
                              <w:t xml:space="preserve">      &amp;</w:t>
                            </w:r>
                            <w:r w:rsidR="001071D9">
                              <w:rPr>
                                <w:rFonts w:ascii="Arial" w:hAnsi="Arial" w:cs="Arial"/>
                                <w:b/>
                                <w:i/>
                                <w:color w:val="0A005C"/>
                                <w:sz w:val="22"/>
                                <w:szCs w:val="22"/>
                              </w:rPr>
                              <w:t xml:space="preserve"> KEY ISSUE</w:t>
                            </w:r>
                          </w:p>
                          <w:p w14:paraId="672E1FBE" w14:textId="77777777" w:rsidR="00CD3F21" w:rsidRPr="00862469" w:rsidRDefault="00CD3F21" w:rsidP="00F67D2D">
                            <w:pPr>
                              <w:numPr>
                                <w:ilvl w:val="0"/>
                                <w:numId w:val="2"/>
                              </w:numPr>
                              <w:spacing w:before="80" w:after="80"/>
                              <w:ind w:firstLine="0"/>
                              <w:rPr>
                                <w:rFonts w:ascii="Arial" w:hAnsi="Arial" w:cs="Arial"/>
                                <w:i/>
                                <w:color w:val="0A005C"/>
                                <w:sz w:val="22"/>
                                <w:szCs w:val="22"/>
                              </w:rPr>
                            </w:pPr>
                            <w:r w:rsidRPr="00862469">
                              <w:rPr>
                                <w:rFonts w:ascii="Arial" w:hAnsi="Arial" w:cs="Arial"/>
                                <w:i/>
                                <w:color w:val="0A005C"/>
                                <w:sz w:val="22"/>
                                <w:szCs w:val="22"/>
                              </w:rPr>
                              <w:t>Gas Sales Need</w:t>
                            </w:r>
                          </w:p>
                          <w:p w14:paraId="6F84B5A1" w14:textId="77777777" w:rsidR="00CD3F21" w:rsidRPr="00862469" w:rsidRDefault="00CD3F21" w:rsidP="00F67D2D">
                            <w:pPr>
                              <w:numPr>
                                <w:ilvl w:val="0"/>
                                <w:numId w:val="2"/>
                              </w:numPr>
                              <w:spacing w:before="80" w:after="80"/>
                              <w:ind w:firstLine="0"/>
                              <w:rPr>
                                <w:rFonts w:ascii="Arial" w:hAnsi="Arial" w:cs="Arial"/>
                                <w:i/>
                                <w:color w:val="0A005C"/>
                                <w:sz w:val="22"/>
                                <w:szCs w:val="22"/>
                              </w:rPr>
                            </w:pPr>
                            <w:r>
                              <w:rPr>
                                <w:rFonts w:ascii="Arial" w:hAnsi="Arial" w:cs="Arial"/>
                                <w:i/>
                                <w:color w:val="0A005C"/>
                                <w:sz w:val="22"/>
                                <w:szCs w:val="22"/>
                              </w:rPr>
                              <w:t xml:space="preserve">Gas Sales </w:t>
                            </w:r>
                            <w:r w:rsidRPr="00862469">
                              <w:rPr>
                                <w:rFonts w:ascii="Arial" w:hAnsi="Arial" w:cs="Arial"/>
                                <w:i/>
                                <w:color w:val="0A005C"/>
                                <w:sz w:val="22"/>
                                <w:szCs w:val="22"/>
                              </w:rPr>
                              <w:t>Key Issue</w:t>
                            </w:r>
                          </w:p>
                          <w:p w14:paraId="5138DA1F" w14:textId="77777777" w:rsidR="00CD3F21" w:rsidRPr="00862469" w:rsidRDefault="00CD3F21" w:rsidP="00F67D2D">
                            <w:pPr>
                              <w:spacing w:before="80" w:after="80"/>
                              <w:rPr>
                                <w:rFonts w:ascii="Arial" w:hAnsi="Arial" w:cs="Arial"/>
                                <w:b/>
                                <w:i/>
                                <w:color w:val="0A005C"/>
                                <w:sz w:val="22"/>
                                <w:szCs w:val="22"/>
                              </w:rPr>
                            </w:pPr>
                            <w:r w:rsidRPr="00862469">
                              <w:rPr>
                                <w:rFonts w:ascii="Arial" w:hAnsi="Arial" w:cs="Arial"/>
                                <w:b/>
                                <w:i/>
                                <w:color w:val="0A005C"/>
                                <w:sz w:val="22"/>
                                <w:szCs w:val="22"/>
                              </w:rPr>
                              <w:t>7-</w:t>
                            </w:r>
                            <w:r>
                              <w:rPr>
                                <w:rFonts w:ascii="Arial" w:hAnsi="Arial" w:cs="Arial"/>
                                <w:b/>
                                <w:i/>
                                <w:color w:val="0A005C"/>
                                <w:sz w:val="22"/>
                                <w:szCs w:val="22"/>
                              </w:rPr>
                              <w:t>4</w:t>
                            </w:r>
                            <w:r w:rsidRPr="00862469">
                              <w:rPr>
                                <w:rFonts w:ascii="Arial" w:hAnsi="Arial" w:cs="Arial"/>
                                <w:b/>
                                <w:i/>
                                <w:color w:val="0A005C"/>
                                <w:sz w:val="22"/>
                                <w:szCs w:val="22"/>
                              </w:rPr>
                              <w:t xml:space="preserve">. GAS SALES ANALYTIC </w:t>
                            </w:r>
                            <w:r>
                              <w:rPr>
                                <w:rFonts w:ascii="Arial" w:hAnsi="Arial" w:cs="Arial"/>
                                <w:b/>
                                <w:i/>
                                <w:color w:val="0A005C"/>
                                <w:sz w:val="22"/>
                                <w:szCs w:val="22"/>
                              </w:rPr>
                              <w:br/>
                            </w:r>
                            <w:proofErr w:type="gramStart"/>
                            <w:r>
                              <w:rPr>
                                <w:rFonts w:ascii="Arial" w:hAnsi="Arial" w:cs="Arial"/>
                                <w:b/>
                                <w:i/>
                                <w:color w:val="0A005C"/>
                                <w:sz w:val="22"/>
                                <w:szCs w:val="22"/>
                              </w:rPr>
                              <w:t xml:space="preserve">      </w:t>
                            </w:r>
                            <w:r w:rsidRPr="00862469">
                              <w:rPr>
                                <w:rFonts w:ascii="Arial" w:hAnsi="Arial" w:cs="Arial"/>
                                <w:b/>
                                <w:i/>
                                <w:color w:val="0A005C"/>
                                <w:sz w:val="22"/>
                                <w:szCs w:val="22"/>
                              </w:rPr>
                              <w:t>METHODOLOGY</w:t>
                            </w:r>
                            <w:proofErr w:type="gramEnd"/>
                          </w:p>
                          <w:p w14:paraId="0D14C230" w14:textId="77777777" w:rsidR="00CD3F21" w:rsidRPr="00862469" w:rsidRDefault="00CD3F21" w:rsidP="00F67D2D">
                            <w:pPr>
                              <w:numPr>
                                <w:ilvl w:val="0"/>
                                <w:numId w:val="3"/>
                              </w:numPr>
                              <w:spacing w:before="80" w:after="80"/>
                              <w:ind w:firstLine="0"/>
                              <w:rPr>
                                <w:rFonts w:ascii="Arial" w:hAnsi="Arial" w:cs="Arial"/>
                                <w:i/>
                                <w:color w:val="0A005C"/>
                                <w:sz w:val="22"/>
                                <w:szCs w:val="22"/>
                              </w:rPr>
                            </w:pPr>
                            <w:r w:rsidRPr="00862469">
                              <w:rPr>
                                <w:rFonts w:ascii="Arial" w:hAnsi="Arial" w:cs="Arial"/>
                                <w:i/>
                                <w:color w:val="0A005C"/>
                                <w:sz w:val="22"/>
                                <w:szCs w:val="22"/>
                              </w:rPr>
                              <w:t>Optimization Analysis Tools</w:t>
                            </w:r>
                          </w:p>
                          <w:p w14:paraId="706A66A1" w14:textId="77777777" w:rsidR="00CD3F21" w:rsidRPr="00862469" w:rsidRDefault="00CD3F21" w:rsidP="00F67D2D">
                            <w:pPr>
                              <w:numPr>
                                <w:ilvl w:val="0"/>
                                <w:numId w:val="3"/>
                              </w:numPr>
                              <w:spacing w:before="80" w:after="80"/>
                              <w:ind w:firstLine="0"/>
                              <w:rPr>
                                <w:rFonts w:ascii="Arial" w:hAnsi="Arial" w:cs="Arial"/>
                                <w:i/>
                                <w:color w:val="0A005C"/>
                                <w:sz w:val="22"/>
                                <w:szCs w:val="22"/>
                              </w:rPr>
                            </w:pPr>
                            <w:r w:rsidRPr="00862469">
                              <w:rPr>
                                <w:rFonts w:ascii="Arial" w:hAnsi="Arial" w:cs="Arial"/>
                                <w:i/>
                                <w:color w:val="0A005C"/>
                                <w:sz w:val="22"/>
                                <w:szCs w:val="22"/>
                              </w:rPr>
                              <w:t>Deterministic Optimization Analysis</w:t>
                            </w:r>
                          </w:p>
                          <w:p w14:paraId="3CF01B5C" w14:textId="77777777" w:rsidR="00CD3F21" w:rsidRPr="00862469" w:rsidRDefault="00CD3F21" w:rsidP="00F67D2D">
                            <w:pPr>
                              <w:spacing w:before="80" w:after="80"/>
                              <w:rPr>
                                <w:rFonts w:ascii="Arial" w:hAnsi="Arial" w:cs="Arial"/>
                                <w:b/>
                                <w:i/>
                                <w:color w:val="0A005C"/>
                                <w:sz w:val="22"/>
                                <w:szCs w:val="22"/>
                              </w:rPr>
                            </w:pPr>
                            <w:r>
                              <w:rPr>
                                <w:rFonts w:ascii="Arial" w:hAnsi="Arial" w:cs="Arial"/>
                                <w:b/>
                                <w:i/>
                                <w:color w:val="0A005C"/>
                                <w:sz w:val="22"/>
                                <w:szCs w:val="22"/>
                              </w:rPr>
                              <w:t xml:space="preserve">7-6. GAS SALES </w:t>
                            </w:r>
                            <w:r w:rsidRPr="00862469">
                              <w:rPr>
                                <w:rFonts w:ascii="Arial" w:hAnsi="Arial" w:cs="Arial"/>
                                <w:b/>
                                <w:i/>
                                <w:color w:val="0A005C"/>
                                <w:sz w:val="22"/>
                                <w:szCs w:val="22"/>
                              </w:rPr>
                              <w:t>EXISTING SUPPLY-</w:t>
                            </w:r>
                            <w:r>
                              <w:rPr>
                                <w:rFonts w:ascii="Arial" w:hAnsi="Arial" w:cs="Arial"/>
                                <w:b/>
                                <w:i/>
                                <w:color w:val="0A005C"/>
                                <w:sz w:val="22"/>
                                <w:szCs w:val="22"/>
                              </w:rPr>
                              <w:br/>
                            </w:r>
                            <w:proofErr w:type="gramStart"/>
                            <w:r>
                              <w:rPr>
                                <w:rFonts w:ascii="Arial" w:hAnsi="Arial" w:cs="Arial"/>
                                <w:b/>
                                <w:i/>
                                <w:color w:val="0A005C"/>
                                <w:sz w:val="22"/>
                                <w:szCs w:val="22"/>
                              </w:rPr>
                              <w:t xml:space="preserve">      </w:t>
                            </w:r>
                            <w:r w:rsidRPr="00862469">
                              <w:rPr>
                                <w:rFonts w:ascii="Arial" w:hAnsi="Arial" w:cs="Arial"/>
                                <w:b/>
                                <w:i/>
                                <w:color w:val="0A005C"/>
                                <w:sz w:val="22"/>
                                <w:szCs w:val="22"/>
                              </w:rPr>
                              <w:t>SIDE</w:t>
                            </w:r>
                            <w:proofErr w:type="gramEnd"/>
                            <w:r w:rsidRPr="00862469">
                              <w:rPr>
                                <w:rFonts w:ascii="Arial" w:hAnsi="Arial" w:cs="Arial"/>
                                <w:b/>
                                <w:i/>
                                <w:color w:val="0A005C"/>
                                <w:sz w:val="22"/>
                                <w:szCs w:val="22"/>
                              </w:rPr>
                              <w:t xml:space="preserve"> RESOURCES</w:t>
                            </w:r>
                          </w:p>
                          <w:p w14:paraId="62566F69"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Existing Pipeline Capacity</w:t>
                            </w:r>
                          </w:p>
                          <w:p w14:paraId="28FD0AEE"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Transportation Types</w:t>
                            </w:r>
                          </w:p>
                          <w:p w14:paraId="0E9902A3"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Existing Storage Resources</w:t>
                            </w:r>
                          </w:p>
                          <w:p w14:paraId="1F06E735"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Existing Peaking Supply </w:t>
                            </w:r>
                            <w:r w:rsidRPr="00862469">
                              <w:rPr>
                                <w:rFonts w:ascii="Arial" w:hAnsi="Arial" w:cs="Arial"/>
                                <w:i/>
                                <w:color w:val="0A005C"/>
                                <w:sz w:val="22"/>
                                <w:szCs w:val="22"/>
                              </w:rPr>
                              <w:br/>
                            </w:r>
                            <w:proofErr w:type="gramStart"/>
                            <w:r w:rsidRPr="00862469">
                              <w:rPr>
                                <w:rFonts w:ascii="Arial" w:hAnsi="Arial" w:cs="Arial"/>
                                <w:i/>
                                <w:color w:val="0A005C"/>
                                <w:sz w:val="22"/>
                                <w:szCs w:val="22"/>
                              </w:rPr>
                              <w:t xml:space="preserve">      and</w:t>
                            </w:r>
                            <w:proofErr w:type="gramEnd"/>
                            <w:r w:rsidRPr="00862469">
                              <w:rPr>
                                <w:rFonts w:ascii="Arial" w:hAnsi="Arial" w:cs="Arial"/>
                                <w:i/>
                                <w:color w:val="0A005C"/>
                                <w:sz w:val="22"/>
                                <w:szCs w:val="22"/>
                              </w:rPr>
                              <w:t xml:space="preserve"> Capacity Resources</w:t>
                            </w:r>
                          </w:p>
                          <w:p w14:paraId="66E09460"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Existing Gas Supplies</w:t>
                            </w:r>
                          </w:p>
                          <w:p w14:paraId="50A90296"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Existing Demand-side Resources </w:t>
                            </w:r>
                          </w:p>
                          <w:p w14:paraId="7ED51AEA" w14:textId="77777777" w:rsidR="00CD3F21" w:rsidRPr="00862469" w:rsidRDefault="00CD3F21" w:rsidP="00F67D2D">
                            <w:pPr>
                              <w:spacing w:before="80" w:after="80"/>
                              <w:rPr>
                                <w:rFonts w:ascii="Arial" w:hAnsi="Arial" w:cs="Arial"/>
                                <w:b/>
                                <w:i/>
                                <w:color w:val="0A005C"/>
                                <w:sz w:val="22"/>
                                <w:szCs w:val="22"/>
                              </w:rPr>
                            </w:pPr>
                            <w:r>
                              <w:rPr>
                                <w:rFonts w:ascii="Arial" w:hAnsi="Arial" w:cs="Arial"/>
                                <w:b/>
                                <w:i/>
                                <w:color w:val="0A005C"/>
                                <w:sz w:val="22"/>
                                <w:szCs w:val="22"/>
                              </w:rPr>
                              <w:t xml:space="preserve">7-19. </w:t>
                            </w:r>
                            <w:r w:rsidRPr="00862469">
                              <w:rPr>
                                <w:rFonts w:ascii="Arial" w:hAnsi="Arial" w:cs="Arial"/>
                                <w:b/>
                                <w:i/>
                                <w:color w:val="0A005C"/>
                                <w:sz w:val="22"/>
                                <w:szCs w:val="22"/>
                              </w:rPr>
                              <w:t xml:space="preserve">GAS SALES RESOURCE </w:t>
                            </w:r>
                            <w:r>
                              <w:rPr>
                                <w:rFonts w:ascii="Arial" w:hAnsi="Arial" w:cs="Arial"/>
                                <w:b/>
                                <w:i/>
                                <w:color w:val="0A005C"/>
                                <w:sz w:val="22"/>
                                <w:szCs w:val="22"/>
                              </w:rPr>
                              <w:br/>
                            </w:r>
                            <w:proofErr w:type="gramStart"/>
                            <w:r>
                              <w:rPr>
                                <w:rFonts w:ascii="Arial" w:hAnsi="Arial" w:cs="Arial"/>
                                <w:b/>
                                <w:i/>
                                <w:color w:val="0A005C"/>
                                <w:sz w:val="22"/>
                                <w:szCs w:val="22"/>
                              </w:rPr>
                              <w:t xml:space="preserve">      </w:t>
                            </w:r>
                            <w:r w:rsidRPr="00862469">
                              <w:rPr>
                                <w:rFonts w:ascii="Arial" w:hAnsi="Arial" w:cs="Arial"/>
                                <w:b/>
                                <w:i/>
                                <w:color w:val="0A005C"/>
                                <w:sz w:val="22"/>
                                <w:szCs w:val="22"/>
                              </w:rPr>
                              <w:t>ALTERNATIVES</w:t>
                            </w:r>
                            <w:proofErr w:type="gramEnd"/>
                          </w:p>
                          <w:p w14:paraId="50768ED3" w14:textId="77777777" w:rsidR="00CD3F21" w:rsidRPr="00862469" w:rsidRDefault="00CD3F21" w:rsidP="00F67D2D">
                            <w:pPr>
                              <w:numPr>
                                <w:ilvl w:val="0"/>
                                <w:numId w:val="5"/>
                              </w:numPr>
                              <w:spacing w:before="80" w:after="80"/>
                              <w:ind w:firstLine="0"/>
                              <w:rPr>
                                <w:rFonts w:ascii="Arial" w:hAnsi="Arial" w:cs="Arial"/>
                                <w:i/>
                                <w:color w:val="0A005C"/>
                                <w:sz w:val="22"/>
                                <w:szCs w:val="22"/>
                              </w:rPr>
                            </w:pPr>
                            <w:r w:rsidRPr="00862469">
                              <w:rPr>
                                <w:rFonts w:ascii="Arial" w:hAnsi="Arial" w:cs="Arial"/>
                                <w:i/>
                                <w:color w:val="0A005C"/>
                                <w:sz w:val="22"/>
                                <w:szCs w:val="22"/>
                              </w:rPr>
                              <w:t>Combinations Considered</w:t>
                            </w:r>
                          </w:p>
                          <w:p w14:paraId="6F520C64" w14:textId="77777777" w:rsidR="00CD3F21" w:rsidRPr="00862469" w:rsidRDefault="00CD3F21" w:rsidP="00F67D2D">
                            <w:pPr>
                              <w:numPr>
                                <w:ilvl w:val="0"/>
                                <w:numId w:val="5"/>
                              </w:numPr>
                              <w:spacing w:before="80" w:after="80"/>
                              <w:ind w:firstLine="0"/>
                              <w:rPr>
                                <w:rFonts w:ascii="Arial" w:hAnsi="Arial" w:cs="Arial"/>
                                <w:i/>
                                <w:color w:val="0A005C"/>
                                <w:sz w:val="22"/>
                                <w:szCs w:val="22"/>
                              </w:rPr>
                            </w:pPr>
                            <w:proofErr w:type="spellStart"/>
                            <w:r w:rsidRPr="00862469">
                              <w:rPr>
                                <w:rFonts w:ascii="Arial" w:hAnsi="Arial" w:cs="Arial"/>
                                <w:i/>
                                <w:color w:val="0A005C"/>
                                <w:sz w:val="22"/>
                                <w:szCs w:val="22"/>
                              </w:rPr>
                              <w:t>Baseload</w:t>
                            </w:r>
                            <w:proofErr w:type="spellEnd"/>
                            <w:r w:rsidRPr="00862469">
                              <w:rPr>
                                <w:rFonts w:ascii="Arial" w:hAnsi="Arial" w:cs="Arial"/>
                                <w:i/>
                                <w:color w:val="0A005C"/>
                                <w:sz w:val="22"/>
                                <w:szCs w:val="22"/>
                              </w:rPr>
                              <w:t xml:space="preserve"> Capacity Alternatives</w:t>
                            </w:r>
                          </w:p>
                          <w:p w14:paraId="39B24D11" w14:textId="77777777" w:rsidR="00CD3F21" w:rsidRPr="00862469" w:rsidRDefault="00CD3F21" w:rsidP="00F67D2D">
                            <w:pPr>
                              <w:numPr>
                                <w:ilvl w:val="0"/>
                                <w:numId w:val="5"/>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Storage and Peaking Capacity </w:t>
                            </w:r>
                            <w:r>
                              <w:rPr>
                                <w:rFonts w:ascii="Arial" w:hAnsi="Arial" w:cs="Arial"/>
                                <w:i/>
                                <w:color w:val="0A005C"/>
                                <w:sz w:val="22"/>
                                <w:szCs w:val="22"/>
                              </w:rPr>
                              <w:br/>
                            </w:r>
                            <w:proofErr w:type="gramStart"/>
                            <w:r>
                              <w:rPr>
                                <w:rFonts w:ascii="Arial" w:hAnsi="Arial" w:cs="Arial"/>
                                <w:i/>
                                <w:color w:val="0A005C"/>
                                <w:sz w:val="22"/>
                                <w:szCs w:val="22"/>
                              </w:rPr>
                              <w:t xml:space="preserve">      </w:t>
                            </w:r>
                            <w:r w:rsidRPr="00862469">
                              <w:rPr>
                                <w:rFonts w:ascii="Arial" w:hAnsi="Arial" w:cs="Arial"/>
                                <w:i/>
                                <w:color w:val="0A005C"/>
                                <w:sz w:val="22"/>
                                <w:szCs w:val="22"/>
                              </w:rPr>
                              <w:t>Alternatives</w:t>
                            </w:r>
                            <w:proofErr w:type="gramEnd"/>
                          </w:p>
                          <w:p w14:paraId="08435F05" w14:textId="77777777" w:rsidR="00CD3F21" w:rsidRPr="00862469" w:rsidRDefault="00CD3F21" w:rsidP="00F67D2D">
                            <w:pPr>
                              <w:numPr>
                                <w:ilvl w:val="0"/>
                                <w:numId w:val="5"/>
                              </w:numPr>
                              <w:spacing w:before="80" w:after="80"/>
                              <w:ind w:firstLine="0"/>
                              <w:rPr>
                                <w:rFonts w:ascii="Arial" w:hAnsi="Arial" w:cs="Arial"/>
                                <w:i/>
                                <w:color w:val="0A005C"/>
                                <w:sz w:val="22"/>
                                <w:szCs w:val="22"/>
                              </w:rPr>
                            </w:pPr>
                            <w:r w:rsidRPr="00862469">
                              <w:rPr>
                                <w:rFonts w:ascii="Arial" w:hAnsi="Arial" w:cs="Arial"/>
                                <w:i/>
                                <w:color w:val="0A005C"/>
                                <w:sz w:val="22"/>
                                <w:szCs w:val="22"/>
                              </w:rPr>
                              <w:t>Gas Supply Alternatives</w:t>
                            </w:r>
                          </w:p>
                          <w:p w14:paraId="1BA0EE21" w14:textId="77777777" w:rsidR="00CD3F21" w:rsidRPr="00862469" w:rsidRDefault="00CD3F21" w:rsidP="00F67D2D">
                            <w:pPr>
                              <w:numPr>
                                <w:ilvl w:val="0"/>
                                <w:numId w:val="5"/>
                              </w:numPr>
                              <w:spacing w:before="80" w:after="80"/>
                              <w:ind w:firstLine="0"/>
                              <w:rPr>
                                <w:rFonts w:ascii="Arial" w:hAnsi="Arial" w:cs="Arial"/>
                                <w:i/>
                                <w:color w:val="0A005C"/>
                                <w:sz w:val="22"/>
                                <w:szCs w:val="22"/>
                              </w:rPr>
                            </w:pPr>
                            <w:r w:rsidRPr="00862469">
                              <w:rPr>
                                <w:rFonts w:ascii="Arial" w:hAnsi="Arial" w:cs="Arial"/>
                                <w:i/>
                                <w:color w:val="0A005C"/>
                                <w:sz w:val="22"/>
                                <w:szCs w:val="22"/>
                              </w:rPr>
                              <w:t>Demand-side Resource Alternatives</w:t>
                            </w:r>
                          </w:p>
                          <w:p w14:paraId="07DC1B05" w14:textId="77777777" w:rsidR="00CD3F21" w:rsidRPr="00862469" w:rsidRDefault="00CD3F21" w:rsidP="00F67D2D">
                            <w:pPr>
                              <w:spacing w:before="80" w:after="80"/>
                              <w:rPr>
                                <w:rFonts w:ascii="Arial" w:hAnsi="Arial" w:cs="Arial"/>
                                <w:b/>
                                <w:i/>
                                <w:color w:val="0A005C"/>
                                <w:sz w:val="22"/>
                                <w:szCs w:val="22"/>
                              </w:rPr>
                            </w:pPr>
                            <w:r>
                              <w:rPr>
                                <w:rFonts w:ascii="Arial" w:hAnsi="Arial" w:cs="Arial"/>
                                <w:b/>
                                <w:i/>
                                <w:color w:val="0A005C"/>
                                <w:sz w:val="22"/>
                                <w:szCs w:val="22"/>
                              </w:rPr>
                              <w:t xml:space="preserve">7-31. </w:t>
                            </w:r>
                            <w:r w:rsidRPr="00862469">
                              <w:rPr>
                                <w:rFonts w:ascii="Arial" w:hAnsi="Arial" w:cs="Arial"/>
                                <w:b/>
                                <w:i/>
                                <w:color w:val="0A005C"/>
                                <w:sz w:val="22"/>
                                <w:szCs w:val="22"/>
                              </w:rPr>
                              <w:t>GAS SALES ANALYSIS RESULTS</w:t>
                            </w:r>
                          </w:p>
                          <w:p w14:paraId="220536AE" w14:textId="77777777" w:rsidR="00CD3F21" w:rsidRPr="00862469" w:rsidRDefault="00CD3F21" w:rsidP="00F67D2D">
                            <w:pPr>
                              <w:numPr>
                                <w:ilvl w:val="0"/>
                                <w:numId w:val="6"/>
                              </w:numPr>
                              <w:spacing w:before="80" w:after="80"/>
                              <w:ind w:firstLine="0"/>
                              <w:rPr>
                                <w:rFonts w:ascii="Arial" w:hAnsi="Arial" w:cs="Arial"/>
                                <w:i/>
                                <w:color w:val="0A005C"/>
                                <w:sz w:val="22"/>
                                <w:szCs w:val="22"/>
                              </w:rPr>
                            </w:pPr>
                            <w:r w:rsidRPr="00862469">
                              <w:rPr>
                                <w:rFonts w:ascii="Arial" w:hAnsi="Arial" w:cs="Arial"/>
                                <w:i/>
                                <w:color w:val="0A005C"/>
                                <w:sz w:val="22"/>
                                <w:szCs w:val="22"/>
                              </w:rPr>
                              <w:t>Key Findings</w:t>
                            </w:r>
                          </w:p>
                          <w:p w14:paraId="3D0F7CF7" w14:textId="77777777" w:rsidR="00CD3F21" w:rsidRPr="00862469" w:rsidRDefault="00CD3F21" w:rsidP="00F67D2D">
                            <w:pPr>
                              <w:numPr>
                                <w:ilvl w:val="0"/>
                                <w:numId w:val="6"/>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Gas Sales Portfolio Resource </w:t>
                            </w:r>
                            <w:r>
                              <w:rPr>
                                <w:rFonts w:ascii="Arial" w:hAnsi="Arial" w:cs="Arial"/>
                                <w:i/>
                                <w:color w:val="0A005C"/>
                                <w:sz w:val="22"/>
                                <w:szCs w:val="22"/>
                              </w:rPr>
                              <w:br/>
                            </w:r>
                            <w:proofErr w:type="gramStart"/>
                            <w:r>
                              <w:rPr>
                                <w:rFonts w:ascii="Arial" w:hAnsi="Arial" w:cs="Arial"/>
                                <w:i/>
                                <w:color w:val="0A005C"/>
                                <w:sz w:val="22"/>
                                <w:szCs w:val="22"/>
                              </w:rPr>
                              <w:t xml:space="preserve">      </w:t>
                            </w:r>
                            <w:r w:rsidRPr="00862469">
                              <w:rPr>
                                <w:rFonts w:ascii="Arial" w:hAnsi="Arial" w:cs="Arial"/>
                                <w:i/>
                                <w:color w:val="0A005C"/>
                                <w:sz w:val="22"/>
                                <w:szCs w:val="22"/>
                              </w:rPr>
                              <w:t>Additions</w:t>
                            </w:r>
                            <w:proofErr w:type="gramEnd"/>
                            <w:r>
                              <w:rPr>
                                <w:rFonts w:ascii="Arial" w:hAnsi="Arial" w:cs="Arial"/>
                                <w:i/>
                                <w:color w:val="0A005C"/>
                                <w:sz w:val="22"/>
                                <w:szCs w:val="22"/>
                              </w:rPr>
                              <w:t xml:space="preserve"> Forecast</w:t>
                            </w:r>
                          </w:p>
                          <w:p w14:paraId="1639DBB6" w14:textId="77777777" w:rsidR="00CD3F21" w:rsidRPr="00862469" w:rsidRDefault="00CD3F21" w:rsidP="00F67D2D">
                            <w:pPr>
                              <w:numPr>
                                <w:ilvl w:val="0"/>
                                <w:numId w:val="6"/>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Complete Picture: Gas Sales Base </w:t>
                            </w:r>
                            <w:r w:rsidRPr="00862469">
                              <w:rPr>
                                <w:rFonts w:ascii="Arial" w:hAnsi="Arial" w:cs="Arial"/>
                                <w:i/>
                                <w:color w:val="0A005C"/>
                                <w:sz w:val="22"/>
                                <w:szCs w:val="22"/>
                              </w:rPr>
                              <w:br/>
                            </w:r>
                            <w:proofErr w:type="gramStart"/>
                            <w:r w:rsidRPr="00862469">
                              <w:rPr>
                                <w:rFonts w:ascii="Arial" w:hAnsi="Arial" w:cs="Arial"/>
                                <w:i/>
                                <w:color w:val="0A005C"/>
                                <w:sz w:val="22"/>
                                <w:szCs w:val="22"/>
                              </w:rPr>
                              <w:t xml:space="preserve">      Scenario</w:t>
                            </w:r>
                            <w:proofErr w:type="gramEnd"/>
                          </w:p>
                          <w:p w14:paraId="44AE8FA3" w14:textId="77777777" w:rsidR="00CD3F21" w:rsidRPr="00862469" w:rsidRDefault="00CD3F21" w:rsidP="00F67D2D">
                            <w:pPr>
                              <w:numPr>
                                <w:ilvl w:val="0"/>
                                <w:numId w:val="6"/>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Average Annual Portfolio Cost </w:t>
                            </w:r>
                            <w:r w:rsidRPr="00862469">
                              <w:rPr>
                                <w:rFonts w:ascii="Arial" w:hAnsi="Arial" w:cs="Arial"/>
                                <w:i/>
                                <w:color w:val="0A005C"/>
                                <w:sz w:val="22"/>
                                <w:szCs w:val="22"/>
                              </w:rPr>
                              <w:br/>
                            </w:r>
                            <w:proofErr w:type="gramStart"/>
                            <w:r w:rsidRPr="00862469">
                              <w:rPr>
                                <w:rFonts w:ascii="Arial" w:hAnsi="Arial" w:cs="Arial"/>
                                <w:i/>
                                <w:color w:val="0A005C"/>
                                <w:sz w:val="22"/>
                                <w:szCs w:val="22"/>
                              </w:rPr>
                              <w:t xml:space="preserve">      Comparisons</w:t>
                            </w:r>
                            <w:proofErr w:type="gramEnd"/>
                          </w:p>
                          <w:p w14:paraId="77C934BB" w14:textId="77777777" w:rsidR="00CD3F21" w:rsidRPr="00862469" w:rsidRDefault="00CD3F21" w:rsidP="00F67D2D">
                            <w:pPr>
                              <w:numPr>
                                <w:ilvl w:val="0"/>
                                <w:numId w:val="6"/>
                              </w:numPr>
                              <w:spacing w:before="80" w:after="80"/>
                              <w:ind w:firstLine="0"/>
                              <w:rPr>
                                <w:rFonts w:ascii="Arial" w:hAnsi="Arial" w:cs="Arial"/>
                                <w:i/>
                                <w:color w:val="0A005C"/>
                                <w:sz w:val="22"/>
                                <w:szCs w:val="22"/>
                              </w:rPr>
                            </w:pPr>
                            <w:r w:rsidRPr="00862469">
                              <w:rPr>
                                <w:rFonts w:ascii="Arial" w:hAnsi="Arial" w:cs="Arial"/>
                                <w:i/>
                                <w:color w:val="0A005C"/>
                                <w:sz w:val="22"/>
                                <w:szCs w:val="22"/>
                              </w:rPr>
                              <w:t>Sensitivity Analyses</w:t>
                            </w:r>
                          </w:p>
                          <w:p w14:paraId="7CF8E5F0" w14:textId="77777777" w:rsidR="00CD3F21" w:rsidRPr="00862469" w:rsidRDefault="00CD3F21" w:rsidP="00B12366">
                            <w:pPr>
                              <w:pStyle w:val="IRPsub1"/>
                              <w:spacing w:before="80" w:after="80"/>
                              <w:ind w:firstLine="270"/>
                              <w:rPr>
                                <w:rFonts w:cs="Arial"/>
                                <w:color w:val="02265C"/>
                              </w:rPr>
                            </w:pPr>
                          </w:p>
                          <w:p w14:paraId="739A19B3" w14:textId="77777777" w:rsidR="00CD3F21" w:rsidRPr="00862469" w:rsidRDefault="00CD3F21" w:rsidP="00601E72">
                            <w:pPr>
                              <w:pStyle w:val="IRPsub1"/>
                              <w:rPr>
                                <w:rFonts w:cs="Arial"/>
                              </w:rPr>
                            </w:pPr>
                          </w:p>
                          <w:p w14:paraId="79D8EF6B" w14:textId="77777777" w:rsidR="00CD3F21" w:rsidRPr="00862469" w:rsidRDefault="00CD3F21" w:rsidP="00601E72">
                            <w:pPr>
                              <w:pStyle w:val="IRPsub1"/>
                              <w:rPr>
                                <w:rFonts w:cs="Arial"/>
                              </w:rPr>
                            </w:pP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7" o:spid="_x0000_s1026" type="#_x0000_t202" style="position:absolute;margin-left:3.7pt;margin-top:1.6pt;width:243.35pt;height:583pt;z-index:251661312;visibility:visible;mso-wrap-style:square;mso-width-percent:0;mso-height-percent:0;mso-wrap-distance-left:0;mso-wrap-distance-top:0;mso-wrap-distance-right:14.4pt;mso-wrap-distance-bottom:0;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" fillcolor="#71bb32" stroked="f">
                <v:textbox inset="14.4pt,7.2pt,,7.2pt">
                  <w:txbxContent>
                    <w:p w14:paraId="540C77E2" w14:textId="77777777" w:rsidR="00CD3F21" w:rsidRPr="00862469" w:rsidRDefault="00CD3F21" w:rsidP="00601E72">
                      <w:pPr>
                        <w:pStyle w:val="IRPsub1"/>
                        <w:rPr>
                          <w:rFonts w:cs="Arial"/>
                          <w:i w:val="0"/>
                          <w:sz w:val="32"/>
                          <w:szCs w:val="32"/>
                        </w:rPr>
                      </w:pPr>
                      <w:r w:rsidRPr="00862469">
                        <w:rPr>
                          <w:rFonts w:cs="Arial"/>
                          <w:i w:val="0"/>
                          <w:sz w:val="32"/>
                          <w:szCs w:val="32"/>
                        </w:rPr>
                        <w:t>Contents</w:t>
                      </w:r>
                    </w:p>
                    <w:p w14:paraId="7D6001B3" w14:textId="77777777" w:rsidR="00CD3F21" w:rsidRPr="00862469" w:rsidRDefault="00CD3F21" w:rsidP="00F67D2D">
                      <w:pPr>
                        <w:spacing w:before="80" w:after="80"/>
                        <w:rPr>
                          <w:rFonts w:ascii="Arial" w:hAnsi="Arial" w:cs="Arial"/>
                          <w:b/>
                          <w:i/>
                          <w:color w:val="0A005C"/>
                          <w:sz w:val="22"/>
                          <w:szCs w:val="22"/>
                        </w:rPr>
                      </w:pPr>
                      <w:r>
                        <w:rPr>
                          <w:rFonts w:ascii="Arial" w:hAnsi="Arial" w:cs="Arial"/>
                          <w:b/>
                          <w:i/>
                          <w:color w:val="0A005C"/>
                          <w:sz w:val="22"/>
                          <w:szCs w:val="22"/>
                        </w:rPr>
                        <w:t xml:space="preserve">7-2. GAS SALES </w:t>
                      </w:r>
                      <w:r w:rsidRPr="00862469">
                        <w:rPr>
                          <w:rFonts w:ascii="Arial" w:hAnsi="Arial" w:cs="Arial"/>
                          <w:b/>
                          <w:i/>
                          <w:color w:val="0A005C"/>
                          <w:sz w:val="22"/>
                          <w:szCs w:val="22"/>
                        </w:rPr>
                        <w:t xml:space="preserve">RESOURCE NEED </w:t>
                      </w:r>
                      <w:r>
                        <w:rPr>
                          <w:rFonts w:ascii="Arial" w:hAnsi="Arial" w:cs="Arial"/>
                          <w:b/>
                          <w:i/>
                          <w:color w:val="0A005C"/>
                          <w:sz w:val="22"/>
                          <w:szCs w:val="22"/>
                        </w:rPr>
                        <w:br/>
                        <w:t xml:space="preserve">      &amp;</w:t>
                      </w:r>
                      <w:r w:rsidR="001071D9">
                        <w:rPr>
                          <w:rFonts w:ascii="Arial" w:hAnsi="Arial" w:cs="Arial"/>
                          <w:b/>
                          <w:i/>
                          <w:color w:val="0A005C"/>
                          <w:sz w:val="22"/>
                          <w:szCs w:val="22"/>
                        </w:rPr>
                        <w:t xml:space="preserve"> KEY ISSUE</w:t>
                      </w:r>
                    </w:p>
                    <w:p w14:paraId="672E1FBE" w14:textId="77777777" w:rsidR="00CD3F21" w:rsidRPr="00862469" w:rsidRDefault="00CD3F21" w:rsidP="00F67D2D">
                      <w:pPr>
                        <w:numPr>
                          <w:ilvl w:val="0"/>
                          <w:numId w:val="2"/>
                        </w:numPr>
                        <w:spacing w:before="80" w:after="80"/>
                        <w:ind w:firstLine="0"/>
                        <w:rPr>
                          <w:rFonts w:ascii="Arial" w:hAnsi="Arial" w:cs="Arial"/>
                          <w:i/>
                          <w:color w:val="0A005C"/>
                          <w:sz w:val="22"/>
                          <w:szCs w:val="22"/>
                        </w:rPr>
                      </w:pPr>
                      <w:r w:rsidRPr="00862469">
                        <w:rPr>
                          <w:rFonts w:ascii="Arial" w:hAnsi="Arial" w:cs="Arial"/>
                          <w:i/>
                          <w:color w:val="0A005C"/>
                          <w:sz w:val="22"/>
                          <w:szCs w:val="22"/>
                        </w:rPr>
                        <w:t>Gas Sales Need</w:t>
                      </w:r>
                    </w:p>
                    <w:p w14:paraId="6F84B5A1" w14:textId="77777777" w:rsidR="00CD3F21" w:rsidRPr="00862469" w:rsidRDefault="00CD3F21" w:rsidP="00F67D2D">
                      <w:pPr>
                        <w:numPr>
                          <w:ilvl w:val="0"/>
                          <w:numId w:val="2"/>
                        </w:numPr>
                        <w:spacing w:before="80" w:after="80"/>
                        <w:ind w:firstLine="0"/>
                        <w:rPr>
                          <w:rFonts w:ascii="Arial" w:hAnsi="Arial" w:cs="Arial"/>
                          <w:i/>
                          <w:color w:val="0A005C"/>
                          <w:sz w:val="22"/>
                          <w:szCs w:val="22"/>
                        </w:rPr>
                      </w:pPr>
                      <w:r>
                        <w:rPr>
                          <w:rFonts w:ascii="Arial" w:hAnsi="Arial" w:cs="Arial"/>
                          <w:i/>
                          <w:color w:val="0A005C"/>
                          <w:sz w:val="22"/>
                          <w:szCs w:val="22"/>
                        </w:rPr>
                        <w:t xml:space="preserve">Gas Sales </w:t>
                      </w:r>
                      <w:r w:rsidRPr="00862469">
                        <w:rPr>
                          <w:rFonts w:ascii="Arial" w:hAnsi="Arial" w:cs="Arial"/>
                          <w:i/>
                          <w:color w:val="0A005C"/>
                          <w:sz w:val="22"/>
                          <w:szCs w:val="22"/>
                        </w:rPr>
                        <w:t>Key Issue</w:t>
                      </w:r>
                    </w:p>
                    <w:p w14:paraId="5138DA1F" w14:textId="77777777" w:rsidR="00CD3F21" w:rsidRPr="00862469" w:rsidRDefault="00CD3F21" w:rsidP="00F67D2D">
                      <w:pPr>
                        <w:spacing w:before="80" w:after="80"/>
                        <w:rPr>
                          <w:rFonts w:ascii="Arial" w:hAnsi="Arial" w:cs="Arial"/>
                          <w:b/>
                          <w:i/>
                          <w:color w:val="0A005C"/>
                          <w:sz w:val="22"/>
                          <w:szCs w:val="22"/>
                        </w:rPr>
                      </w:pPr>
                      <w:r w:rsidRPr="00862469">
                        <w:rPr>
                          <w:rFonts w:ascii="Arial" w:hAnsi="Arial" w:cs="Arial"/>
                          <w:b/>
                          <w:i/>
                          <w:color w:val="0A005C"/>
                          <w:sz w:val="22"/>
                          <w:szCs w:val="22"/>
                        </w:rPr>
                        <w:t>7-</w:t>
                      </w:r>
                      <w:r>
                        <w:rPr>
                          <w:rFonts w:ascii="Arial" w:hAnsi="Arial" w:cs="Arial"/>
                          <w:b/>
                          <w:i/>
                          <w:color w:val="0A005C"/>
                          <w:sz w:val="22"/>
                          <w:szCs w:val="22"/>
                        </w:rPr>
                        <w:t>4</w:t>
                      </w:r>
                      <w:r w:rsidRPr="00862469">
                        <w:rPr>
                          <w:rFonts w:ascii="Arial" w:hAnsi="Arial" w:cs="Arial"/>
                          <w:b/>
                          <w:i/>
                          <w:color w:val="0A005C"/>
                          <w:sz w:val="22"/>
                          <w:szCs w:val="22"/>
                        </w:rPr>
                        <w:t xml:space="preserve">. GAS SALES ANALYTIC </w:t>
                      </w:r>
                      <w:r>
                        <w:rPr>
                          <w:rFonts w:ascii="Arial" w:hAnsi="Arial" w:cs="Arial"/>
                          <w:b/>
                          <w:i/>
                          <w:color w:val="0A005C"/>
                          <w:sz w:val="22"/>
                          <w:szCs w:val="22"/>
                        </w:rPr>
                        <w:br/>
                      </w:r>
                      <w:proofErr w:type="gramStart"/>
                      <w:r>
                        <w:rPr>
                          <w:rFonts w:ascii="Arial" w:hAnsi="Arial" w:cs="Arial"/>
                          <w:b/>
                          <w:i/>
                          <w:color w:val="0A005C"/>
                          <w:sz w:val="22"/>
                          <w:szCs w:val="22"/>
                        </w:rPr>
                        <w:t xml:space="preserve">      </w:t>
                      </w:r>
                      <w:r w:rsidRPr="00862469">
                        <w:rPr>
                          <w:rFonts w:ascii="Arial" w:hAnsi="Arial" w:cs="Arial"/>
                          <w:b/>
                          <w:i/>
                          <w:color w:val="0A005C"/>
                          <w:sz w:val="22"/>
                          <w:szCs w:val="22"/>
                        </w:rPr>
                        <w:t>METHODOLOGY</w:t>
                      </w:r>
                      <w:proofErr w:type="gramEnd"/>
                    </w:p>
                    <w:p w14:paraId="0D14C230" w14:textId="77777777" w:rsidR="00CD3F21" w:rsidRPr="00862469" w:rsidRDefault="00CD3F21" w:rsidP="00F67D2D">
                      <w:pPr>
                        <w:numPr>
                          <w:ilvl w:val="0"/>
                          <w:numId w:val="3"/>
                        </w:numPr>
                        <w:spacing w:before="80" w:after="80"/>
                        <w:ind w:firstLine="0"/>
                        <w:rPr>
                          <w:rFonts w:ascii="Arial" w:hAnsi="Arial" w:cs="Arial"/>
                          <w:i/>
                          <w:color w:val="0A005C"/>
                          <w:sz w:val="22"/>
                          <w:szCs w:val="22"/>
                        </w:rPr>
                      </w:pPr>
                      <w:r w:rsidRPr="00862469">
                        <w:rPr>
                          <w:rFonts w:ascii="Arial" w:hAnsi="Arial" w:cs="Arial"/>
                          <w:i/>
                          <w:color w:val="0A005C"/>
                          <w:sz w:val="22"/>
                          <w:szCs w:val="22"/>
                        </w:rPr>
                        <w:t>Optimization Analysis Tools</w:t>
                      </w:r>
                    </w:p>
                    <w:p w14:paraId="706A66A1" w14:textId="77777777" w:rsidR="00CD3F21" w:rsidRPr="00862469" w:rsidRDefault="00CD3F21" w:rsidP="00F67D2D">
                      <w:pPr>
                        <w:numPr>
                          <w:ilvl w:val="0"/>
                          <w:numId w:val="3"/>
                        </w:numPr>
                        <w:spacing w:before="80" w:after="80"/>
                        <w:ind w:firstLine="0"/>
                        <w:rPr>
                          <w:rFonts w:ascii="Arial" w:hAnsi="Arial" w:cs="Arial"/>
                          <w:i/>
                          <w:color w:val="0A005C"/>
                          <w:sz w:val="22"/>
                          <w:szCs w:val="22"/>
                        </w:rPr>
                      </w:pPr>
                      <w:r w:rsidRPr="00862469">
                        <w:rPr>
                          <w:rFonts w:ascii="Arial" w:hAnsi="Arial" w:cs="Arial"/>
                          <w:i/>
                          <w:color w:val="0A005C"/>
                          <w:sz w:val="22"/>
                          <w:szCs w:val="22"/>
                        </w:rPr>
                        <w:t>Deterministic Optimization Analysis</w:t>
                      </w:r>
                    </w:p>
                    <w:p w14:paraId="3CF01B5C" w14:textId="77777777" w:rsidR="00CD3F21" w:rsidRPr="00862469" w:rsidRDefault="00CD3F21" w:rsidP="00F67D2D">
                      <w:pPr>
                        <w:spacing w:before="80" w:after="80"/>
                        <w:rPr>
                          <w:rFonts w:ascii="Arial" w:hAnsi="Arial" w:cs="Arial"/>
                          <w:b/>
                          <w:i/>
                          <w:color w:val="0A005C"/>
                          <w:sz w:val="22"/>
                          <w:szCs w:val="22"/>
                        </w:rPr>
                      </w:pPr>
                      <w:r>
                        <w:rPr>
                          <w:rFonts w:ascii="Arial" w:hAnsi="Arial" w:cs="Arial"/>
                          <w:b/>
                          <w:i/>
                          <w:color w:val="0A005C"/>
                          <w:sz w:val="22"/>
                          <w:szCs w:val="22"/>
                        </w:rPr>
                        <w:t xml:space="preserve">7-6. GAS SALES </w:t>
                      </w:r>
                      <w:r w:rsidRPr="00862469">
                        <w:rPr>
                          <w:rFonts w:ascii="Arial" w:hAnsi="Arial" w:cs="Arial"/>
                          <w:b/>
                          <w:i/>
                          <w:color w:val="0A005C"/>
                          <w:sz w:val="22"/>
                          <w:szCs w:val="22"/>
                        </w:rPr>
                        <w:t>EXISTING SUPPLY-</w:t>
                      </w:r>
                      <w:r>
                        <w:rPr>
                          <w:rFonts w:ascii="Arial" w:hAnsi="Arial" w:cs="Arial"/>
                          <w:b/>
                          <w:i/>
                          <w:color w:val="0A005C"/>
                          <w:sz w:val="22"/>
                          <w:szCs w:val="22"/>
                        </w:rPr>
                        <w:br/>
                      </w:r>
                      <w:proofErr w:type="gramStart"/>
                      <w:r>
                        <w:rPr>
                          <w:rFonts w:ascii="Arial" w:hAnsi="Arial" w:cs="Arial"/>
                          <w:b/>
                          <w:i/>
                          <w:color w:val="0A005C"/>
                          <w:sz w:val="22"/>
                          <w:szCs w:val="22"/>
                        </w:rPr>
                        <w:t xml:space="preserve">      </w:t>
                      </w:r>
                      <w:r w:rsidRPr="00862469">
                        <w:rPr>
                          <w:rFonts w:ascii="Arial" w:hAnsi="Arial" w:cs="Arial"/>
                          <w:b/>
                          <w:i/>
                          <w:color w:val="0A005C"/>
                          <w:sz w:val="22"/>
                          <w:szCs w:val="22"/>
                        </w:rPr>
                        <w:t>SIDE</w:t>
                      </w:r>
                      <w:proofErr w:type="gramEnd"/>
                      <w:r w:rsidRPr="00862469">
                        <w:rPr>
                          <w:rFonts w:ascii="Arial" w:hAnsi="Arial" w:cs="Arial"/>
                          <w:b/>
                          <w:i/>
                          <w:color w:val="0A005C"/>
                          <w:sz w:val="22"/>
                          <w:szCs w:val="22"/>
                        </w:rPr>
                        <w:t xml:space="preserve"> RESOURCES</w:t>
                      </w:r>
                    </w:p>
                    <w:p w14:paraId="62566F69"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Existing Pipeline Capacity</w:t>
                      </w:r>
                    </w:p>
                    <w:p w14:paraId="28FD0AEE"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Transportation Types</w:t>
                      </w:r>
                    </w:p>
                    <w:p w14:paraId="0E9902A3"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Existing Storage Resources</w:t>
                      </w:r>
                    </w:p>
                    <w:p w14:paraId="1F06E735"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Existing Peaking Supply </w:t>
                      </w:r>
                      <w:r w:rsidRPr="00862469">
                        <w:rPr>
                          <w:rFonts w:ascii="Arial" w:hAnsi="Arial" w:cs="Arial"/>
                          <w:i/>
                          <w:color w:val="0A005C"/>
                          <w:sz w:val="22"/>
                          <w:szCs w:val="22"/>
                        </w:rPr>
                        <w:br/>
                      </w:r>
                      <w:proofErr w:type="gramStart"/>
                      <w:r w:rsidRPr="00862469">
                        <w:rPr>
                          <w:rFonts w:ascii="Arial" w:hAnsi="Arial" w:cs="Arial"/>
                          <w:i/>
                          <w:color w:val="0A005C"/>
                          <w:sz w:val="22"/>
                          <w:szCs w:val="22"/>
                        </w:rPr>
                        <w:t xml:space="preserve">      and</w:t>
                      </w:r>
                      <w:proofErr w:type="gramEnd"/>
                      <w:r w:rsidRPr="00862469">
                        <w:rPr>
                          <w:rFonts w:ascii="Arial" w:hAnsi="Arial" w:cs="Arial"/>
                          <w:i/>
                          <w:color w:val="0A005C"/>
                          <w:sz w:val="22"/>
                          <w:szCs w:val="22"/>
                        </w:rPr>
                        <w:t xml:space="preserve"> Capacity Resources</w:t>
                      </w:r>
                    </w:p>
                    <w:p w14:paraId="66E09460"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Existing Gas Supplies</w:t>
                      </w:r>
                    </w:p>
                    <w:p w14:paraId="50A90296"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Existing Demand-side Resources </w:t>
                      </w:r>
                    </w:p>
                    <w:p w14:paraId="7ED51AEA" w14:textId="77777777" w:rsidR="00CD3F21" w:rsidRPr="00862469" w:rsidRDefault="00CD3F21" w:rsidP="00F67D2D">
                      <w:pPr>
                        <w:spacing w:before="80" w:after="80"/>
                        <w:rPr>
                          <w:rFonts w:ascii="Arial" w:hAnsi="Arial" w:cs="Arial"/>
                          <w:b/>
                          <w:i/>
                          <w:color w:val="0A005C"/>
                          <w:sz w:val="22"/>
                          <w:szCs w:val="22"/>
                        </w:rPr>
                      </w:pPr>
                      <w:r>
                        <w:rPr>
                          <w:rFonts w:ascii="Arial" w:hAnsi="Arial" w:cs="Arial"/>
                          <w:b/>
                          <w:i/>
                          <w:color w:val="0A005C"/>
                          <w:sz w:val="22"/>
                          <w:szCs w:val="22"/>
                        </w:rPr>
                        <w:t xml:space="preserve">7-19. </w:t>
                      </w:r>
                      <w:r w:rsidRPr="00862469">
                        <w:rPr>
                          <w:rFonts w:ascii="Arial" w:hAnsi="Arial" w:cs="Arial"/>
                          <w:b/>
                          <w:i/>
                          <w:color w:val="0A005C"/>
                          <w:sz w:val="22"/>
                          <w:szCs w:val="22"/>
                        </w:rPr>
                        <w:t xml:space="preserve">GAS SALES RESOURCE </w:t>
                      </w:r>
                      <w:r>
                        <w:rPr>
                          <w:rFonts w:ascii="Arial" w:hAnsi="Arial" w:cs="Arial"/>
                          <w:b/>
                          <w:i/>
                          <w:color w:val="0A005C"/>
                          <w:sz w:val="22"/>
                          <w:szCs w:val="22"/>
                        </w:rPr>
                        <w:br/>
                      </w:r>
                      <w:proofErr w:type="gramStart"/>
                      <w:r>
                        <w:rPr>
                          <w:rFonts w:ascii="Arial" w:hAnsi="Arial" w:cs="Arial"/>
                          <w:b/>
                          <w:i/>
                          <w:color w:val="0A005C"/>
                          <w:sz w:val="22"/>
                          <w:szCs w:val="22"/>
                        </w:rPr>
                        <w:t xml:space="preserve">      </w:t>
                      </w:r>
                      <w:r w:rsidRPr="00862469">
                        <w:rPr>
                          <w:rFonts w:ascii="Arial" w:hAnsi="Arial" w:cs="Arial"/>
                          <w:b/>
                          <w:i/>
                          <w:color w:val="0A005C"/>
                          <w:sz w:val="22"/>
                          <w:szCs w:val="22"/>
                        </w:rPr>
                        <w:t>ALTERNATIVES</w:t>
                      </w:r>
                      <w:proofErr w:type="gramEnd"/>
                    </w:p>
                    <w:p w14:paraId="50768ED3" w14:textId="77777777" w:rsidR="00CD3F21" w:rsidRPr="00862469" w:rsidRDefault="00CD3F21" w:rsidP="00F67D2D">
                      <w:pPr>
                        <w:numPr>
                          <w:ilvl w:val="0"/>
                          <w:numId w:val="5"/>
                        </w:numPr>
                        <w:spacing w:before="80" w:after="80"/>
                        <w:ind w:firstLine="0"/>
                        <w:rPr>
                          <w:rFonts w:ascii="Arial" w:hAnsi="Arial" w:cs="Arial"/>
                          <w:i/>
                          <w:color w:val="0A005C"/>
                          <w:sz w:val="22"/>
                          <w:szCs w:val="22"/>
                        </w:rPr>
                      </w:pPr>
                      <w:r w:rsidRPr="00862469">
                        <w:rPr>
                          <w:rFonts w:ascii="Arial" w:hAnsi="Arial" w:cs="Arial"/>
                          <w:i/>
                          <w:color w:val="0A005C"/>
                          <w:sz w:val="22"/>
                          <w:szCs w:val="22"/>
                        </w:rPr>
                        <w:t>Combinations Considered</w:t>
                      </w:r>
                    </w:p>
                    <w:p w14:paraId="6F520C64" w14:textId="77777777" w:rsidR="00CD3F21" w:rsidRPr="00862469" w:rsidRDefault="00CD3F21" w:rsidP="00F67D2D">
                      <w:pPr>
                        <w:numPr>
                          <w:ilvl w:val="0"/>
                          <w:numId w:val="5"/>
                        </w:numPr>
                        <w:spacing w:before="80" w:after="80"/>
                        <w:ind w:firstLine="0"/>
                        <w:rPr>
                          <w:rFonts w:ascii="Arial" w:hAnsi="Arial" w:cs="Arial"/>
                          <w:i/>
                          <w:color w:val="0A005C"/>
                          <w:sz w:val="22"/>
                          <w:szCs w:val="22"/>
                        </w:rPr>
                      </w:pPr>
                      <w:proofErr w:type="spellStart"/>
                      <w:r w:rsidRPr="00862469">
                        <w:rPr>
                          <w:rFonts w:ascii="Arial" w:hAnsi="Arial" w:cs="Arial"/>
                          <w:i/>
                          <w:color w:val="0A005C"/>
                          <w:sz w:val="22"/>
                          <w:szCs w:val="22"/>
                        </w:rPr>
                        <w:t>Baseload</w:t>
                      </w:r>
                      <w:proofErr w:type="spellEnd"/>
                      <w:r w:rsidRPr="00862469">
                        <w:rPr>
                          <w:rFonts w:ascii="Arial" w:hAnsi="Arial" w:cs="Arial"/>
                          <w:i/>
                          <w:color w:val="0A005C"/>
                          <w:sz w:val="22"/>
                          <w:szCs w:val="22"/>
                        </w:rPr>
                        <w:t xml:space="preserve"> Capacity Alternatives</w:t>
                      </w:r>
                    </w:p>
                    <w:p w14:paraId="39B24D11" w14:textId="77777777" w:rsidR="00CD3F21" w:rsidRPr="00862469" w:rsidRDefault="00CD3F21" w:rsidP="00F67D2D">
                      <w:pPr>
                        <w:numPr>
                          <w:ilvl w:val="0"/>
                          <w:numId w:val="5"/>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Storage and Peaking Capacity </w:t>
                      </w:r>
                      <w:r>
                        <w:rPr>
                          <w:rFonts w:ascii="Arial" w:hAnsi="Arial" w:cs="Arial"/>
                          <w:i/>
                          <w:color w:val="0A005C"/>
                          <w:sz w:val="22"/>
                          <w:szCs w:val="22"/>
                        </w:rPr>
                        <w:br/>
                      </w:r>
                      <w:proofErr w:type="gramStart"/>
                      <w:r>
                        <w:rPr>
                          <w:rFonts w:ascii="Arial" w:hAnsi="Arial" w:cs="Arial"/>
                          <w:i/>
                          <w:color w:val="0A005C"/>
                          <w:sz w:val="22"/>
                          <w:szCs w:val="22"/>
                        </w:rPr>
                        <w:t xml:space="preserve">      </w:t>
                      </w:r>
                      <w:r w:rsidRPr="00862469">
                        <w:rPr>
                          <w:rFonts w:ascii="Arial" w:hAnsi="Arial" w:cs="Arial"/>
                          <w:i/>
                          <w:color w:val="0A005C"/>
                          <w:sz w:val="22"/>
                          <w:szCs w:val="22"/>
                        </w:rPr>
                        <w:t>Alternatives</w:t>
                      </w:r>
                      <w:proofErr w:type="gramEnd"/>
                    </w:p>
                    <w:p w14:paraId="08435F05" w14:textId="77777777" w:rsidR="00CD3F21" w:rsidRPr="00862469" w:rsidRDefault="00CD3F21" w:rsidP="00F67D2D">
                      <w:pPr>
                        <w:numPr>
                          <w:ilvl w:val="0"/>
                          <w:numId w:val="5"/>
                        </w:numPr>
                        <w:spacing w:before="80" w:after="80"/>
                        <w:ind w:firstLine="0"/>
                        <w:rPr>
                          <w:rFonts w:ascii="Arial" w:hAnsi="Arial" w:cs="Arial"/>
                          <w:i/>
                          <w:color w:val="0A005C"/>
                          <w:sz w:val="22"/>
                          <w:szCs w:val="22"/>
                        </w:rPr>
                      </w:pPr>
                      <w:r w:rsidRPr="00862469">
                        <w:rPr>
                          <w:rFonts w:ascii="Arial" w:hAnsi="Arial" w:cs="Arial"/>
                          <w:i/>
                          <w:color w:val="0A005C"/>
                          <w:sz w:val="22"/>
                          <w:szCs w:val="22"/>
                        </w:rPr>
                        <w:t>Gas Supply Alternatives</w:t>
                      </w:r>
                    </w:p>
                    <w:p w14:paraId="1BA0EE21" w14:textId="77777777" w:rsidR="00CD3F21" w:rsidRPr="00862469" w:rsidRDefault="00CD3F21" w:rsidP="00F67D2D">
                      <w:pPr>
                        <w:numPr>
                          <w:ilvl w:val="0"/>
                          <w:numId w:val="5"/>
                        </w:numPr>
                        <w:spacing w:before="80" w:after="80"/>
                        <w:ind w:firstLine="0"/>
                        <w:rPr>
                          <w:rFonts w:ascii="Arial" w:hAnsi="Arial" w:cs="Arial"/>
                          <w:i/>
                          <w:color w:val="0A005C"/>
                          <w:sz w:val="22"/>
                          <w:szCs w:val="22"/>
                        </w:rPr>
                      </w:pPr>
                      <w:r w:rsidRPr="00862469">
                        <w:rPr>
                          <w:rFonts w:ascii="Arial" w:hAnsi="Arial" w:cs="Arial"/>
                          <w:i/>
                          <w:color w:val="0A005C"/>
                          <w:sz w:val="22"/>
                          <w:szCs w:val="22"/>
                        </w:rPr>
                        <w:t>Demand-side Resource Alternatives</w:t>
                      </w:r>
                    </w:p>
                    <w:p w14:paraId="07DC1B05" w14:textId="77777777" w:rsidR="00CD3F21" w:rsidRPr="00862469" w:rsidRDefault="00CD3F21" w:rsidP="00F67D2D">
                      <w:pPr>
                        <w:spacing w:before="80" w:after="80"/>
                        <w:rPr>
                          <w:rFonts w:ascii="Arial" w:hAnsi="Arial" w:cs="Arial"/>
                          <w:b/>
                          <w:i/>
                          <w:color w:val="0A005C"/>
                          <w:sz w:val="22"/>
                          <w:szCs w:val="22"/>
                        </w:rPr>
                      </w:pPr>
                      <w:r>
                        <w:rPr>
                          <w:rFonts w:ascii="Arial" w:hAnsi="Arial" w:cs="Arial"/>
                          <w:b/>
                          <w:i/>
                          <w:color w:val="0A005C"/>
                          <w:sz w:val="22"/>
                          <w:szCs w:val="22"/>
                        </w:rPr>
                        <w:t xml:space="preserve">7-31. </w:t>
                      </w:r>
                      <w:r w:rsidRPr="00862469">
                        <w:rPr>
                          <w:rFonts w:ascii="Arial" w:hAnsi="Arial" w:cs="Arial"/>
                          <w:b/>
                          <w:i/>
                          <w:color w:val="0A005C"/>
                          <w:sz w:val="22"/>
                          <w:szCs w:val="22"/>
                        </w:rPr>
                        <w:t>GAS SALES ANALYSIS RESULTS</w:t>
                      </w:r>
                    </w:p>
                    <w:p w14:paraId="220536AE" w14:textId="77777777" w:rsidR="00CD3F21" w:rsidRPr="00862469" w:rsidRDefault="00CD3F21" w:rsidP="00F67D2D">
                      <w:pPr>
                        <w:numPr>
                          <w:ilvl w:val="0"/>
                          <w:numId w:val="6"/>
                        </w:numPr>
                        <w:spacing w:before="80" w:after="80"/>
                        <w:ind w:firstLine="0"/>
                        <w:rPr>
                          <w:rFonts w:ascii="Arial" w:hAnsi="Arial" w:cs="Arial"/>
                          <w:i/>
                          <w:color w:val="0A005C"/>
                          <w:sz w:val="22"/>
                          <w:szCs w:val="22"/>
                        </w:rPr>
                      </w:pPr>
                      <w:r w:rsidRPr="00862469">
                        <w:rPr>
                          <w:rFonts w:ascii="Arial" w:hAnsi="Arial" w:cs="Arial"/>
                          <w:i/>
                          <w:color w:val="0A005C"/>
                          <w:sz w:val="22"/>
                          <w:szCs w:val="22"/>
                        </w:rPr>
                        <w:t>Key Findings</w:t>
                      </w:r>
                    </w:p>
                    <w:p w14:paraId="3D0F7CF7" w14:textId="77777777" w:rsidR="00CD3F21" w:rsidRPr="00862469" w:rsidRDefault="00CD3F21" w:rsidP="00F67D2D">
                      <w:pPr>
                        <w:numPr>
                          <w:ilvl w:val="0"/>
                          <w:numId w:val="6"/>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Gas Sales Portfolio Resource </w:t>
                      </w:r>
                      <w:r>
                        <w:rPr>
                          <w:rFonts w:ascii="Arial" w:hAnsi="Arial" w:cs="Arial"/>
                          <w:i/>
                          <w:color w:val="0A005C"/>
                          <w:sz w:val="22"/>
                          <w:szCs w:val="22"/>
                        </w:rPr>
                        <w:br/>
                      </w:r>
                      <w:proofErr w:type="gramStart"/>
                      <w:r>
                        <w:rPr>
                          <w:rFonts w:ascii="Arial" w:hAnsi="Arial" w:cs="Arial"/>
                          <w:i/>
                          <w:color w:val="0A005C"/>
                          <w:sz w:val="22"/>
                          <w:szCs w:val="22"/>
                        </w:rPr>
                        <w:t xml:space="preserve">      </w:t>
                      </w:r>
                      <w:r w:rsidRPr="00862469">
                        <w:rPr>
                          <w:rFonts w:ascii="Arial" w:hAnsi="Arial" w:cs="Arial"/>
                          <w:i/>
                          <w:color w:val="0A005C"/>
                          <w:sz w:val="22"/>
                          <w:szCs w:val="22"/>
                        </w:rPr>
                        <w:t>Additions</w:t>
                      </w:r>
                      <w:proofErr w:type="gramEnd"/>
                      <w:r>
                        <w:rPr>
                          <w:rFonts w:ascii="Arial" w:hAnsi="Arial" w:cs="Arial"/>
                          <w:i/>
                          <w:color w:val="0A005C"/>
                          <w:sz w:val="22"/>
                          <w:szCs w:val="22"/>
                        </w:rPr>
                        <w:t xml:space="preserve"> Forecast</w:t>
                      </w:r>
                    </w:p>
                    <w:p w14:paraId="1639DBB6" w14:textId="77777777" w:rsidR="00CD3F21" w:rsidRPr="00862469" w:rsidRDefault="00CD3F21" w:rsidP="00F67D2D">
                      <w:pPr>
                        <w:numPr>
                          <w:ilvl w:val="0"/>
                          <w:numId w:val="6"/>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Complete Picture: Gas Sales Base </w:t>
                      </w:r>
                      <w:r w:rsidRPr="00862469">
                        <w:rPr>
                          <w:rFonts w:ascii="Arial" w:hAnsi="Arial" w:cs="Arial"/>
                          <w:i/>
                          <w:color w:val="0A005C"/>
                          <w:sz w:val="22"/>
                          <w:szCs w:val="22"/>
                        </w:rPr>
                        <w:br/>
                      </w:r>
                      <w:proofErr w:type="gramStart"/>
                      <w:r w:rsidRPr="00862469">
                        <w:rPr>
                          <w:rFonts w:ascii="Arial" w:hAnsi="Arial" w:cs="Arial"/>
                          <w:i/>
                          <w:color w:val="0A005C"/>
                          <w:sz w:val="22"/>
                          <w:szCs w:val="22"/>
                        </w:rPr>
                        <w:t xml:space="preserve">      Scenario</w:t>
                      </w:r>
                      <w:proofErr w:type="gramEnd"/>
                    </w:p>
                    <w:p w14:paraId="44AE8FA3" w14:textId="77777777" w:rsidR="00CD3F21" w:rsidRPr="00862469" w:rsidRDefault="00CD3F21" w:rsidP="00F67D2D">
                      <w:pPr>
                        <w:numPr>
                          <w:ilvl w:val="0"/>
                          <w:numId w:val="6"/>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Average Annual Portfolio Cost </w:t>
                      </w:r>
                      <w:r w:rsidRPr="00862469">
                        <w:rPr>
                          <w:rFonts w:ascii="Arial" w:hAnsi="Arial" w:cs="Arial"/>
                          <w:i/>
                          <w:color w:val="0A005C"/>
                          <w:sz w:val="22"/>
                          <w:szCs w:val="22"/>
                        </w:rPr>
                        <w:br/>
                      </w:r>
                      <w:proofErr w:type="gramStart"/>
                      <w:r w:rsidRPr="00862469">
                        <w:rPr>
                          <w:rFonts w:ascii="Arial" w:hAnsi="Arial" w:cs="Arial"/>
                          <w:i/>
                          <w:color w:val="0A005C"/>
                          <w:sz w:val="22"/>
                          <w:szCs w:val="22"/>
                        </w:rPr>
                        <w:t xml:space="preserve">      Comparisons</w:t>
                      </w:r>
                      <w:proofErr w:type="gramEnd"/>
                    </w:p>
                    <w:p w14:paraId="77C934BB" w14:textId="77777777" w:rsidR="00CD3F21" w:rsidRPr="00862469" w:rsidRDefault="00CD3F21" w:rsidP="00F67D2D">
                      <w:pPr>
                        <w:numPr>
                          <w:ilvl w:val="0"/>
                          <w:numId w:val="6"/>
                        </w:numPr>
                        <w:spacing w:before="80" w:after="80"/>
                        <w:ind w:firstLine="0"/>
                        <w:rPr>
                          <w:rFonts w:ascii="Arial" w:hAnsi="Arial" w:cs="Arial"/>
                          <w:i/>
                          <w:color w:val="0A005C"/>
                          <w:sz w:val="22"/>
                          <w:szCs w:val="22"/>
                        </w:rPr>
                      </w:pPr>
                      <w:r w:rsidRPr="00862469">
                        <w:rPr>
                          <w:rFonts w:ascii="Arial" w:hAnsi="Arial" w:cs="Arial"/>
                          <w:i/>
                          <w:color w:val="0A005C"/>
                          <w:sz w:val="22"/>
                          <w:szCs w:val="22"/>
                        </w:rPr>
                        <w:t>Sensitivity Analyses</w:t>
                      </w:r>
                    </w:p>
                    <w:p w14:paraId="7CF8E5F0" w14:textId="77777777" w:rsidR="00CD3F21" w:rsidRPr="00862469" w:rsidRDefault="00CD3F21" w:rsidP="00B12366">
                      <w:pPr>
                        <w:pStyle w:val="IRPsub1"/>
                        <w:spacing w:before="80" w:after="80"/>
                        <w:ind w:firstLine="270"/>
                        <w:rPr>
                          <w:rFonts w:cs="Arial"/>
                          <w:color w:val="02265C"/>
                        </w:rPr>
                      </w:pPr>
                    </w:p>
                    <w:p w14:paraId="739A19B3" w14:textId="77777777" w:rsidR="00CD3F21" w:rsidRPr="00862469" w:rsidRDefault="00CD3F21" w:rsidP="00601E72">
                      <w:pPr>
                        <w:pStyle w:val="IRPsub1"/>
                        <w:rPr>
                          <w:rFonts w:cs="Arial"/>
                        </w:rPr>
                      </w:pPr>
                    </w:p>
                    <w:p w14:paraId="79D8EF6B" w14:textId="77777777" w:rsidR="00CD3F21" w:rsidRPr="00862469" w:rsidRDefault="00CD3F21" w:rsidP="00601E72">
                      <w:pPr>
                        <w:pStyle w:val="IRPsub1"/>
                        <w:rPr>
                          <w:rFonts w:cs="Arial"/>
                        </w:rPr>
                      </w:pPr>
                    </w:p>
                  </w:txbxContent>
                </v:textbox>
                <w10:wrap type="through" side="right" anchorx="margin" anchory="line"/>
              </v:shape>
            </w:pict>
          </mc:Fallback>
        </mc:AlternateContent>
      </w:r>
      <w:r w:rsidR="00862469" w:rsidRPr="00862469">
        <w:t xml:space="preserve">More than </w:t>
      </w:r>
      <w:r w:rsidR="00D134C8" w:rsidRPr="00862469">
        <w:t>7</w:t>
      </w:r>
      <w:r w:rsidR="00D134C8">
        <w:t>9</w:t>
      </w:r>
      <w:r w:rsidR="00D134C8" w:rsidRPr="00862469">
        <w:t>0</w:t>
      </w:r>
      <w:r w:rsidR="00862469" w:rsidRPr="00862469">
        <w:t xml:space="preserve">,000 customers in Washington </w:t>
      </w:r>
      <w:proofErr w:type="gramStart"/>
      <w:r w:rsidR="00862469" w:rsidRPr="00862469">
        <w:t>state</w:t>
      </w:r>
      <w:proofErr w:type="gramEnd"/>
      <w:r w:rsidR="00862469" w:rsidRPr="00862469">
        <w:t xml:space="preserve"> depend on PSE for safe, reliable and affordable natural gas services. The IRP analysis in this chapter enables PSE to develop valuable foresight about how resource decisions </w:t>
      </w:r>
      <w:r w:rsidR="0014203C">
        <w:t xml:space="preserve">to serve our natural gas customers </w:t>
      </w:r>
      <w:r w:rsidR="00862469" w:rsidRPr="00862469">
        <w:t>may unfold over the next 20 years in conditions that depict a wide range of futures.</w:t>
      </w:r>
    </w:p>
    <w:p w14:paraId="051A944A" w14:textId="77777777" w:rsidR="00C12FBA" w:rsidRDefault="00C12FBA">
      <w:pPr>
        <w:rPr>
          <w:rFonts w:ascii="Arial" w:hAnsi="Arial"/>
        </w:rPr>
      </w:pPr>
      <w:r>
        <w:br w:type="page"/>
      </w:r>
    </w:p>
    <w:p w14:paraId="67B78F68" w14:textId="77777777" w:rsidR="00882098" w:rsidRDefault="00882098" w:rsidP="00601E72">
      <w:pPr>
        <w:pStyle w:val="IRPsanstext"/>
      </w:pPr>
    </w:p>
    <w:p w14:paraId="08056F49" w14:textId="77777777" w:rsidR="00882098" w:rsidRDefault="00D8339F" w:rsidP="00882098">
      <w:pPr>
        <w:pStyle w:val="IRPsecthead2sans"/>
      </w:pPr>
      <w:r>
        <w:t xml:space="preserve">GAS SALES </w:t>
      </w:r>
      <w:r w:rsidR="001071D9">
        <w:t>RESOURCE NEED AND KEY ISSUE</w:t>
      </w:r>
    </w:p>
    <w:p w14:paraId="538B0994" w14:textId="77777777" w:rsidR="00882098" w:rsidRPr="007F2800" w:rsidRDefault="00882098" w:rsidP="007F2800">
      <w:pPr>
        <w:pStyle w:val="IRPsanstext"/>
      </w:pPr>
    </w:p>
    <w:p w14:paraId="17FB463D" w14:textId="77777777" w:rsidR="00862469" w:rsidRPr="00302B16" w:rsidRDefault="00862469" w:rsidP="00862469">
      <w:pPr>
        <w:pStyle w:val="IRPtitle"/>
        <w:rPr>
          <w:rFonts w:ascii="Arial" w:hAnsi="Arial"/>
          <w:sz w:val="32"/>
        </w:rPr>
      </w:pPr>
      <w:r w:rsidRPr="00302B16">
        <w:rPr>
          <w:rFonts w:ascii="Arial" w:hAnsi="Arial"/>
          <w:sz w:val="32"/>
        </w:rPr>
        <w:t>Gas Sales Need</w:t>
      </w:r>
    </w:p>
    <w:p w14:paraId="1DC252FA" w14:textId="77777777" w:rsidR="00862469" w:rsidRDefault="00862469" w:rsidP="00862469">
      <w:pPr>
        <w:pStyle w:val="IRPsanstext"/>
      </w:pPr>
    </w:p>
    <w:p w14:paraId="42F5F8DE" w14:textId="77777777" w:rsidR="00862469" w:rsidRDefault="00862469" w:rsidP="00862469">
      <w:pPr>
        <w:pStyle w:val="IRPsanstext"/>
      </w:pPr>
      <w:r>
        <w:t>Figure 7-1</w:t>
      </w:r>
      <w:r w:rsidRPr="002627DD">
        <w:t xml:space="preserve"> illustrates gas </w:t>
      </w:r>
      <w:r>
        <w:t xml:space="preserve">sales </w:t>
      </w:r>
      <w:r w:rsidR="00193B59">
        <w:t xml:space="preserve">peak </w:t>
      </w:r>
      <w:r>
        <w:t>resource</w:t>
      </w:r>
      <w:r w:rsidRPr="002627DD">
        <w:t xml:space="preserve"> need over the 20-year planning horizon</w:t>
      </w:r>
      <w:r w:rsidR="0014203C">
        <w:t xml:space="preserve"> for the three demand scenarios modeled in this IRP</w:t>
      </w:r>
      <w:r w:rsidRPr="002627DD">
        <w:t xml:space="preserve">. The lines rising toward the right indicate </w:t>
      </w:r>
      <w:r>
        <w:t>peak day customer demand before demand-side resources</w:t>
      </w:r>
      <w:r w:rsidR="00D52668">
        <w:t xml:space="preserve"> </w:t>
      </w:r>
      <w:r>
        <w:t>(DSR)</w:t>
      </w:r>
      <w:r>
        <w:rPr>
          <w:rStyle w:val="FootnoteReference"/>
        </w:rPr>
        <w:footnoteReference w:id="1"/>
      </w:r>
      <w:r>
        <w:t xml:space="preserve"> and the bars represent existing </w:t>
      </w:r>
      <w:r w:rsidR="00504B9A">
        <w:t xml:space="preserve">gas supply resources such as </w:t>
      </w:r>
      <w:r w:rsidR="001D31E6">
        <w:t xml:space="preserve">storage facilities, </w:t>
      </w:r>
      <w:r w:rsidR="00504B9A">
        <w:t xml:space="preserve">peaking </w:t>
      </w:r>
      <w:r w:rsidR="00882948">
        <w:t>supply resources</w:t>
      </w:r>
      <w:r w:rsidR="001D31E6">
        <w:t xml:space="preserve"> </w:t>
      </w:r>
      <w:r w:rsidR="00504B9A">
        <w:t xml:space="preserve">and contracts </w:t>
      </w:r>
      <w:r w:rsidRPr="002627DD">
        <w:t xml:space="preserve">for </w:t>
      </w:r>
      <w:r>
        <w:t>transportation of gas to customers from receipt points at various gas supply locations such as gas supply hubs</w:t>
      </w:r>
      <w:r w:rsidR="00504B9A">
        <w:t xml:space="preserve"> and</w:t>
      </w:r>
      <w:r>
        <w:t xml:space="preserve"> storage </w:t>
      </w:r>
      <w:r w:rsidR="00504B9A">
        <w:t>facilities</w:t>
      </w:r>
      <w:r>
        <w:t>. The gap between the demand and the existing resources represents the resource need.</w:t>
      </w:r>
    </w:p>
    <w:p w14:paraId="71593164" w14:textId="77777777" w:rsidR="00FE5D0C" w:rsidRDefault="00FE5D0C" w:rsidP="00862469">
      <w:pPr>
        <w:pStyle w:val="IRPsanstext"/>
      </w:pPr>
    </w:p>
    <w:p w14:paraId="05C8B3E1" w14:textId="77777777" w:rsidR="009570A3" w:rsidRDefault="00862469" w:rsidP="00D8076D">
      <w:pPr>
        <w:pStyle w:val="IRPFigureSub"/>
        <w:spacing w:line="240" w:lineRule="auto"/>
      </w:pPr>
      <w:r w:rsidRPr="00FE5D0C">
        <w:t xml:space="preserve">Figure 7-1: Gas </w:t>
      </w:r>
      <w:r w:rsidR="00FE5D0C" w:rsidRPr="00FE5D0C">
        <w:t xml:space="preserve">Sales </w:t>
      </w:r>
      <w:r w:rsidR="0014203C">
        <w:t xml:space="preserve">Peak </w:t>
      </w:r>
      <w:r w:rsidR="00FE5D0C" w:rsidRPr="00FE5D0C">
        <w:t xml:space="preserve">Resource Need before DSR </w:t>
      </w:r>
    </w:p>
    <w:p w14:paraId="7FA97D99" w14:textId="77777777" w:rsidR="009570A3" w:rsidRDefault="00862469" w:rsidP="00D8076D">
      <w:pPr>
        <w:pStyle w:val="IRPFigureSub"/>
        <w:spacing w:line="240" w:lineRule="auto"/>
      </w:pPr>
      <w:r w:rsidRPr="00FE5D0C">
        <w:t>Existing Resources Compared to Peak Day Demand</w:t>
      </w:r>
      <w:r w:rsidR="00FE5D0C">
        <w:t xml:space="preserve"> </w:t>
      </w:r>
    </w:p>
    <w:p w14:paraId="244465FF" w14:textId="77777777" w:rsidR="00862469" w:rsidRDefault="00D52668" w:rsidP="00D8076D">
      <w:pPr>
        <w:pStyle w:val="IRPFigureSub"/>
        <w:spacing w:after="120" w:line="240" w:lineRule="auto"/>
      </w:pPr>
      <w:r>
        <w:t xml:space="preserve"> </w:t>
      </w:r>
      <w:r w:rsidR="00862469">
        <w:t>(</w:t>
      </w:r>
      <w:r w:rsidR="009570A3">
        <w:t xml:space="preserve">Meeting </w:t>
      </w:r>
      <w:r w:rsidR="00862469">
        <w:t>need on the coldest day of the year)</w:t>
      </w:r>
    </w:p>
    <w:p w14:paraId="6F09B496" w14:textId="77777777" w:rsidR="00D52668" w:rsidRDefault="0014203C" w:rsidP="00543F27">
      <w:pPr>
        <w:pStyle w:val="IRPFigureSub"/>
        <w:spacing w:after="120" w:line="240" w:lineRule="auto"/>
      </w:pPr>
      <w:r>
        <w:rPr>
          <w:noProof/>
          <w:lang w:eastAsia="en-US"/>
        </w:rPr>
        <w:drawing>
          <wp:inline distT="0" distB="0" distL="0" distR="0" wp14:anchorId="69F19885" wp14:editId="747513B5">
            <wp:extent cx="5282712" cy="3687311"/>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4258" cy="3688390"/>
                    </a:xfrm>
                    <a:prstGeom prst="rect">
                      <a:avLst/>
                    </a:prstGeom>
                    <a:noFill/>
                  </pic:spPr>
                </pic:pic>
              </a:graphicData>
            </a:graphic>
          </wp:inline>
        </w:drawing>
      </w:r>
    </w:p>
    <w:p w14:paraId="6261CD3C" w14:textId="77777777" w:rsidR="00862469" w:rsidRDefault="00862469" w:rsidP="00543F27">
      <w:pPr>
        <w:pStyle w:val="IRPsanstext"/>
        <w:spacing w:line="240" w:lineRule="auto"/>
      </w:pPr>
    </w:p>
    <w:p w14:paraId="5D0B629E" w14:textId="77777777" w:rsidR="00D8076D" w:rsidRDefault="00D8076D">
      <w:pPr>
        <w:rPr>
          <w:rFonts w:ascii="Arial" w:hAnsi="Arial"/>
          <w:sz w:val="20"/>
          <w:szCs w:val="20"/>
        </w:rPr>
      </w:pPr>
      <w:r>
        <w:br w:type="page"/>
      </w:r>
    </w:p>
    <w:p w14:paraId="18D32FDA" w14:textId="77777777" w:rsidR="00FE2597" w:rsidRDefault="00FE2597" w:rsidP="00FE5D0C">
      <w:pPr>
        <w:pStyle w:val="IRPsanstext"/>
      </w:pPr>
    </w:p>
    <w:p w14:paraId="78DF799C" w14:textId="77777777" w:rsidR="00862469" w:rsidRDefault="00FC2848" w:rsidP="00FE5D0C">
      <w:pPr>
        <w:pStyle w:val="IRPsanstext"/>
      </w:pPr>
      <w:r>
        <w:t>PSE’s g</w:t>
      </w:r>
      <w:r w:rsidR="00862469" w:rsidRPr="00EC3015">
        <w:t>as sales</w:t>
      </w:r>
      <w:r w:rsidR="00862469">
        <w:t xml:space="preserve"> need is driven by two factors: peak day demand per customer and the number of customers. </w:t>
      </w:r>
      <w:r w:rsidR="00FE2597">
        <w:t>Our</w:t>
      </w:r>
      <w:r>
        <w:t xml:space="preserve"> gas sales planning standard is based on </w:t>
      </w:r>
      <w:r w:rsidR="00862469">
        <w:t>peak day demand</w:t>
      </w:r>
      <w:r w:rsidR="00FE2597">
        <w:t>,</w:t>
      </w:r>
      <w:r>
        <w:t xml:space="preserve"> which</w:t>
      </w:r>
      <w:r w:rsidR="00862469">
        <w:t xml:space="preserve"> occurs in the winter</w:t>
      </w:r>
      <w:r w:rsidR="00862469">
        <w:rPr>
          <w:rStyle w:val="FootnoteReference"/>
        </w:rPr>
        <w:footnoteReference w:id="2"/>
      </w:r>
      <w:r w:rsidR="00862469">
        <w:t xml:space="preserve"> when temperatures are lowest and heating needs are highest. The heating season and number of lowest-temperature days in the year remain fairly constant</w:t>
      </w:r>
      <w:r w:rsidR="00BC4FD3" w:rsidRPr="00BC4FD3">
        <w:t xml:space="preserve"> </w:t>
      </w:r>
      <w:r w:rsidR="00BC4FD3">
        <w:t>and the use per customer is not growing much, if at all</w:t>
      </w:r>
      <w:r w:rsidR="00862469">
        <w:t>, so</w:t>
      </w:r>
      <w:r w:rsidR="00BC4FD3">
        <w:t xml:space="preserve"> the growth in</w:t>
      </w:r>
      <w:r w:rsidR="00862469">
        <w:t xml:space="preserve"> customer count is the biggest factor in determining load growth.</w:t>
      </w:r>
    </w:p>
    <w:p w14:paraId="30495773" w14:textId="77777777" w:rsidR="00862469" w:rsidRDefault="00862469" w:rsidP="00FE5D0C">
      <w:pPr>
        <w:pStyle w:val="IRPsanstext"/>
      </w:pPr>
    </w:p>
    <w:p w14:paraId="08ACA156" w14:textId="77777777" w:rsidR="00862469" w:rsidRDefault="00862469" w:rsidP="00FE5D0C">
      <w:pPr>
        <w:pStyle w:val="IRPsanstext"/>
      </w:pPr>
      <w:r>
        <w:t xml:space="preserve">The IRP analysis tested three customer demand forecasts over the 20-year planning horizon: the </w:t>
      </w:r>
      <w:r w:rsidRPr="008E3831">
        <w:t>201</w:t>
      </w:r>
      <w:r>
        <w:t>5</w:t>
      </w:r>
      <w:r w:rsidRPr="008E3831">
        <w:t xml:space="preserve"> IRP Base Demand Forecast, the 201</w:t>
      </w:r>
      <w:r>
        <w:t>5</w:t>
      </w:r>
      <w:r w:rsidRPr="008E3831">
        <w:t xml:space="preserve"> IRP High Demand Forecast, and the 201</w:t>
      </w:r>
      <w:r>
        <w:t>5</w:t>
      </w:r>
      <w:r w:rsidRPr="008E3831">
        <w:t xml:space="preserve"> IRP Low Demand Forecast</w:t>
      </w:r>
      <w:r>
        <w:t>.</w:t>
      </w:r>
      <w:r>
        <w:rPr>
          <w:rStyle w:val="FootnoteReference"/>
        </w:rPr>
        <w:footnoteReference w:id="3"/>
      </w:r>
      <w:r w:rsidRPr="008E3831">
        <w:t xml:space="preserve"> </w:t>
      </w:r>
      <w:r w:rsidR="00893189">
        <w:t>In the high case, w</w:t>
      </w:r>
      <w:r>
        <w:t xml:space="preserve">e </w:t>
      </w:r>
      <w:r w:rsidR="00BC4FD3">
        <w:t>have a current need for additional firm resources to meet peak day need</w:t>
      </w:r>
      <w:r w:rsidR="00893189">
        <w:t>;</w:t>
      </w:r>
      <w:r w:rsidR="00BC4FD3">
        <w:t xml:space="preserve"> in the </w:t>
      </w:r>
      <w:r w:rsidR="00893189">
        <w:t xml:space="preserve">base </w:t>
      </w:r>
      <w:r w:rsidR="00BC4FD3">
        <w:t xml:space="preserve">demand case, </w:t>
      </w:r>
      <w:r w:rsidR="00893189">
        <w:t xml:space="preserve">we </w:t>
      </w:r>
      <w:r w:rsidRPr="004F0631">
        <w:t xml:space="preserve">have sufficient </w:t>
      </w:r>
      <w:r w:rsidR="006A1768">
        <w:t xml:space="preserve">firm </w:t>
      </w:r>
      <w:r w:rsidRPr="004F0631">
        <w:t>resources to meet peak day need until</w:t>
      </w:r>
      <w:r>
        <w:t xml:space="preserve"> the winter of 2016-17</w:t>
      </w:r>
      <w:r w:rsidR="00893189">
        <w:t>; and</w:t>
      </w:r>
      <w:r>
        <w:t xml:space="preserve"> in the </w:t>
      </w:r>
      <w:r w:rsidR="00893189">
        <w:t xml:space="preserve">low </w:t>
      </w:r>
      <w:r>
        <w:t xml:space="preserve">demand case, </w:t>
      </w:r>
      <w:r w:rsidR="00893189">
        <w:t xml:space="preserve">we have sufficient firm resources to meet peak day need </w:t>
      </w:r>
      <w:r>
        <w:t xml:space="preserve">until the winter of 2017-18. </w:t>
      </w:r>
    </w:p>
    <w:p w14:paraId="61B60973" w14:textId="77777777" w:rsidR="00862469" w:rsidRDefault="00862469" w:rsidP="00FE5D0C">
      <w:pPr>
        <w:pStyle w:val="IRPsanstext"/>
      </w:pPr>
    </w:p>
    <w:p w14:paraId="1F957D3C" w14:textId="77777777" w:rsidR="00862469" w:rsidRPr="00302B16" w:rsidRDefault="00D8339F" w:rsidP="00FE5D0C">
      <w:pPr>
        <w:pStyle w:val="IRPsanstext"/>
        <w:spacing w:before="120"/>
        <w:rPr>
          <w:sz w:val="32"/>
        </w:rPr>
      </w:pPr>
      <w:r>
        <w:rPr>
          <w:sz w:val="32"/>
        </w:rPr>
        <w:t xml:space="preserve">Gas Sales </w:t>
      </w:r>
      <w:r w:rsidR="00862469" w:rsidRPr="00302B16">
        <w:rPr>
          <w:sz w:val="32"/>
        </w:rPr>
        <w:t>Key Issue</w:t>
      </w:r>
    </w:p>
    <w:p w14:paraId="44F23552" w14:textId="77777777" w:rsidR="00862469" w:rsidRDefault="00862469" w:rsidP="00FE5D0C">
      <w:pPr>
        <w:pStyle w:val="IRPsanstext"/>
        <w:rPr>
          <w:b/>
          <w:color w:val="3366FF"/>
          <w:sz w:val="28"/>
        </w:rPr>
      </w:pPr>
    </w:p>
    <w:p w14:paraId="1AF4726B" w14:textId="77777777" w:rsidR="00C264AA" w:rsidRDefault="00862469" w:rsidP="00C264AA">
      <w:pPr>
        <w:pStyle w:val="IRPsanstext"/>
        <w:rPr>
          <w:spacing w:val="1"/>
          <w:w w:val="105"/>
        </w:rPr>
      </w:pPr>
      <w:proofErr w:type="gramStart"/>
      <w:r w:rsidRPr="00FE5D0C">
        <w:rPr>
          <w:b/>
          <w:color w:val="006C71"/>
          <w:sz w:val="28"/>
        </w:rPr>
        <w:t>Market Reliance on Sumas.</w:t>
      </w:r>
      <w:proofErr w:type="gramEnd"/>
      <w:r>
        <w:t xml:space="preserve"> </w:t>
      </w:r>
      <w:r w:rsidR="00C264AA">
        <w:t>Sumas is essentially an interconnect</w:t>
      </w:r>
      <w:r w:rsidR="00504B9A">
        <w:t>ion</w:t>
      </w:r>
      <w:r w:rsidR="00C264AA">
        <w:t xml:space="preserve"> between </w:t>
      </w:r>
      <w:proofErr w:type="spellStart"/>
      <w:r w:rsidR="00C264AA">
        <w:t>Westcoast</w:t>
      </w:r>
      <w:proofErr w:type="spellEnd"/>
      <w:r w:rsidR="00C264AA">
        <w:t xml:space="preserve"> Pipeline (</w:t>
      </w:r>
      <w:proofErr w:type="spellStart"/>
      <w:r w:rsidR="00C264AA">
        <w:t>Westcoast</w:t>
      </w:r>
      <w:proofErr w:type="spellEnd"/>
      <w:r w:rsidR="00C264AA">
        <w:t xml:space="preserve">) and Northwest Pipeline (NWP).  Unlike other market hubs, there is no gas production and no convergence of several pipelines.  For years, </w:t>
      </w:r>
      <w:proofErr w:type="spellStart"/>
      <w:r w:rsidR="00C264AA">
        <w:t>Westcoast</w:t>
      </w:r>
      <w:proofErr w:type="spellEnd"/>
      <w:r w:rsidR="00C264AA">
        <w:t xml:space="preserve"> has had surplus capacity, meaning that even on very cold days, there was sufficient infrastructure to bring gas from production areas in Northern </w:t>
      </w:r>
      <w:r w:rsidR="00FE2597">
        <w:t>British Columbia (</w:t>
      </w:r>
      <w:r w:rsidR="00C264AA">
        <w:t>B.C.</w:t>
      </w:r>
      <w:r w:rsidR="00FE2597">
        <w:t>) south to Sumas</w:t>
      </w:r>
      <w:r w:rsidR="00B914FA">
        <w:t>;</w:t>
      </w:r>
      <w:r w:rsidR="00640365">
        <w:t xml:space="preserve"> </w:t>
      </w:r>
      <w:r w:rsidR="00C264AA">
        <w:t xml:space="preserve">PSE did not have to pay in advance for that pipeline capacity.  </w:t>
      </w:r>
      <w:r>
        <w:rPr>
          <w:spacing w:val="1"/>
          <w:w w:val="105"/>
        </w:rPr>
        <w:t>But,</w:t>
      </w:r>
      <w:r w:rsidRPr="001522BC">
        <w:rPr>
          <w:spacing w:val="1"/>
          <w:w w:val="105"/>
        </w:rPr>
        <w:t xml:space="preserve"> as </w:t>
      </w:r>
      <w:r>
        <w:rPr>
          <w:spacing w:val="1"/>
          <w:w w:val="105"/>
        </w:rPr>
        <w:t xml:space="preserve">the </w:t>
      </w:r>
      <w:r w:rsidRPr="001522BC">
        <w:rPr>
          <w:spacing w:val="1"/>
          <w:w w:val="105"/>
        </w:rPr>
        <w:t xml:space="preserve">demand </w:t>
      </w:r>
      <w:r>
        <w:rPr>
          <w:spacing w:val="1"/>
          <w:w w:val="105"/>
        </w:rPr>
        <w:t xml:space="preserve">for </w:t>
      </w:r>
      <w:r w:rsidRPr="001522BC">
        <w:rPr>
          <w:spacing w:val="1"/>
          <w:w w:val="105"/>
        </w:rPr>
        <w:t>natural gas to serve gas customer growth and electric generation fuel needs</w:t>
      </w:r>
      <w:r w:rsidRPr="000D6948">
        <w:rPr>
          <w:spacing w:val="1"/>
          <w:w w:val="105"/>
        </w:rPr>
        <w:t xml:space="preserve"> </w:t>
      </w:r>
      <w:r>
        <w:rPr>
          <w:spacing w:val="1"/>
          <w:w w:val="105"/>
        </w:rPr>
        <w:t xml:space="preserve">has </w:t>
      </w:r>
      <w:r w:rsidRPr="001522BC">
        <w:rPr>
          <w:spacing w:val="1"/>
          <w:w w:val="105"/>
        </w:rPr>
        <w:t>increase</w:t>
      </w:r>
      <w:r>
        <w:rPr>
          <w:spacing w:val="1"/>
          <w:w w:val="105"/>
        </w:rPr>
        <w:t>d</w:t>
      </w:r>
      <w:r w:rsidR="00FE2597">
        <w:rPr>
          <w:spacing w:val="1"/>
          <w:w w:val="105"/>
        </w:rPr>
        <w:t xml:space="preserve"> in the Pacific Northwest</w:t>
      </w:r>
      <w:r>
        <w:rPr>
          <w:spacing w:val="1"/>
          <w:w w:val="105"/>
        </w:rPr>
        <w:t xml:space="preserve">, </w:t>
      </w:r>
      <w:r w:rsidRPr="001522BC">
        <w:rPr>
          <w:spacing w:val="1"/>
          <w:w w:val="105"/>
        </w:rPr>
        <w:t xml:space="preserve">less </w:t>
      </w:r>
      <w:r>
        <w:rPr>
          <w:spacing w:val="1"/>
          <w:w w:val="105"/>
        </w:rPr>
        <w:t>non-firm</w:t>
      </w:r>
      <w:r w:rsidRPr="001522BC">
        <w:rPr>
          <w:spacing w:val="1"/>
          <w:w w:val="105"/>
        </w:rPr>
        <w:t xml:space="preserve"> pipeline capacity is available</w:t>
      </w:r>
      <w:r w:rsidR="00C264AA">
        <w:rPr>
          <w:spacing w:val="1"/>
          <w:w w:val="105"/>
        </w:rPr>
        <w:t>.</w:t>
      </w:r>
      <w:r>
        <w:rPr>
          <w:spacing w:val="1"/>
          <w:w w:val="105"/>
        </w:rPr>
        <w:t xml:space="preserve"> </w:t>
      </w:r>
      <w:r w:rsidR="00C264AA">
        <w:rPr>
          <w:spacing w:val="1"/>
          <w:w w:val="105"/>
        </w:rPr>
        <w:t xml:space="preserve">Throughput on </w:t>
      </w:r>
      <w:proofErr w:type="spellStart"/>
      <w:r w:rsidR="00C264AA">
        <w:rPr>
          <w:spacing w:val="1"/>
          <w:w w:val="105"/>
        </w:rPr>
        <w:t>Westcoast</w:t>
      </w:r>
      <w:proofErr w:type="spellEnd"/>
      <w:r w:rsidR="00C264AA">
        <w:rPr>
          <w:spacing w:val="1"/>
          <w:w w:val="105"/>
        </w:rPr>
        <w:t xml:space="preserve"> is beginning to hit that pipeline’s design planning limit. That means PSE cannot rely on spot market supplies at Sumas to meet our peak loads</w:t>
      </w:r>
      <w:r w:rsidR="00F109EA">
        <w:rPr>
          <w:spacing w:val="1"/>
          <w:w w:val="105"/>
        </w:rPr>
        <w:t>,</w:t>
      </w:r>
      <w:r w:rsidR="001D31E6">
        <w:rPr>
          <w:spacing w:val="1"/>
          <w:w w:val="105"/>
        </w:rPr>
        <w:t xml:space="preserve"> </w:t>
      </w:r>
      <w:r w:rsidR="00504B9A">
        <w:rPr>
          <w:spacing w:val="1"/>
          <w:w w:val="105"/>
        </w:rPr>
        <w:t>but</w:t>
      </w:r>
      <w:r w:rsidR="002158C8">
        <w:rPr>
          <w:spacing w:val="1"/>
          <w:w w:val="105"/>
        </w:rPr>
        <w:t xml:space="preserve"> must </w:t>
      </w:r>
      <w:r w:rsidR="00C264AA">
        <w:rPr>
          <w:spacing w:val="1"/>
          <w:w w:val="105"/>
        </w:rPr>
        <w:t>acquir</w:t>
      </w:r>
      <w:r w:rsidR="002158C8">
        <w:rPr>
          <w:spacing w:val="1"/>
          <w:w w:val="105"/>
        </w:rPr>
        <w:t>e</w:t>
      </w:r>
      <w:r w:rsidR="00C264AA">
        <w:rPr>
          <w:spacing w:val="1"/>
          <w:w w:val="105"/>
        </w:rPr>
        <w:t xml:space="preserve"> upstream pipeline capacity on </w:t>
      </w:r>
      <w:proofErr w:type="spellStart"/>
      <w:r w:rsidR="00C264AA">
        <w:rPr>
          <w:spacing w:val="1"/>
          <w:w w:val="105"/>
        </w:rPr>
        <w:t>Westcoast</w:t>
      </w:r>
      <w:proofErr w:type="spellEnd"/>
      <w:r w:rsidR="00C264AA">
        <w:rPr>
          <w:spacing w:val="1"/>
          <w:w w:val="105"/>
        </w:rPr>
        <w:t xml:space="preserve"> to ensure reliable gas supplies will be available to meet our customers’ needs. Therefore, in this IRP, we are not considering pipeline capacity on NWP</w:t>
      </w:r>
      <w:r w:rsidR="00FE2597">
        <w:rPr>
          <w:spacing w:val="1"/>
          <w:w w:val="105"/>
        </w:rPr>
        <w:t xml:space="preserve"> to Sumas alone as a resource</w:t>
      </w:r>
      <w:r w:rsidR="00640365">
        <w:rPr>
          <w:spacing w:val="1"/>
          <w:w w:val="105"/>
        </w:rPr>
        <w:t xml:space="preserve">; </w:t>
      </w:r>
      <w:r w:rsidR="000430C1">
        <w:rPr>
          <w:spacing w:val="1"/>
          <w:w w:val="105"/>
        </w:rPr>
        <w:t xml:space="preserve">rather, </w:t>
      </w:r>
      <w:r w:rsidR="00640365">
        <w:rPr>
          <w:spacing w:val="1"/>
          <w:w w:val="105"/>
        </w:rPr>
        <w:t>NWP capacity</w:t>
      </w:r>
      <w:r w:rsidR="00C264AA">
        <w:rPr>
          <w:spacing w:val="1"/>
          <w:w w:val="105"/>
        </w:rPr>
        <w:t xml:space="preserve"> must be coupled with pipeline capacity on </w:t>
      </w:r>
      <w:proofErr w:type="spellStart"/>
      <w:r w:rsidR="00C264AA">
        <w:rPr>
          <w:spacing w:val="1"/>
          <w:w w:val="105"/>
        </w:rPr>
        <w:t>Westcoast</w:t>
      </w:r>
      <w:proofErr w:type="spellEnd"/>
      <w:r w:rsidR="000430C1">
        <w:rPr>
          <w:spacing w:val="1"/>
          <w:w w:val="105"/>
        </w:rPr>
        <w:t xml:space="preserve"> to be deemed a reliable resource </w:t>
      </w:r>
      <w:r w:rsidR="00893189">
        <w:rPr>
          <w:spacing w:val="1"/>
          <w:w w:val="105"/>
        </w:rPr>
        <w:t xml:space="preserve">for </w:t>
      </w:r>
      <w:r w:rsidR="000430C1">
        <w:rPr>
          <w:spacing w:val="1"/>
          <w:w w:val="105"/>
        </w:rPr>
        <w:t>meet</w:t>
      </w:r>
      <w:r w:rsidR="00893189">
        <w:rPr>
          <w:spacing w:val="1"/>
          <w:w w:val="105"/>
        </w:rPr>
        <w:t>ing</w:t>
      </w:r>
      <w:r w:rsidR="000430C1">
        <w:rPr>
          <w:spacing w:val="1"/>
          <w:w w:val="105"/>
        </w:rPr>
        <w:t xml:space="preserve"> gas customer peaking needs</w:t>
      </w:r>
      <w:r w:rsidR="00C264AA">
        <w:rPr>
          <w:spacing w:val="1"/>
          <w:w w:val="105"/>
        </w:rPr>
        <w:t>.</w:t>
      </w:r>
      <w:r w:rsidR="00C264AA" w:rsidRPr="005669FC">
        <w:rPr>
          <w:spacing w:val="1"/>
          <w:w w:val="105"/>
        </w:rPr>
        <w:t xml:space="preserve"> </w:t>
      </w:r>
    </w:p>
    <w:p w14:paraId="2ED62E5E" w14:textId="77777777" w:rsidR="00E02579" w:rsidRDefault="00E02579">
      <w:pPr>
        <w:rPr>
          <w:rFonts w:ascii="Arial" w:hAnsi="Arial"/>
          <w:szCs w:val="20"/>
        </w:rPr>
      </w:pPr>
      <w:r>
        <w:br w:type="page"/>
      </w:r>
    </w:p>
    <w:p w14:paraId="69BD882A" w14:textId="77777777" w:rsidR="00862469" w:rsidRPr="00130BCA" w:rsidRDefault="00862469" w:rsidP="00FE5D0C">
      <w:pPr>
        <w:pStyle w:val="IRPsanstext"/>
        <w:rPr>
          <w:sz w:val="24"/>
        </w:rPr>
      </w:pPr>
    </w:p>
    <w:p w14:paraId="271DA00E" w14:textId="77777777" w:rsidR="00862469" w:rsidRPr="00FE5D0C" w:rsidRDefault="00862469" w:rsidP="00FE5D0C">
      <w:pPr>
        <w:pStyle w:val="IRPsanstext"/>
        <w:rPr>
          <w:b/>
          <w:color w:val="006C71"/>
          <w:sz w:val="32"/>
          <w:szCs w:val="32"/>
        </w:rPr>
      </w:pPr>
      <w:r w:rsidRPr="00FE5D0C">
        <w:rPr>
          <w:b/>
          <w:color w:val="006C71"/>
          <w:sz w:val="32"/>
          <w:szCs w:val="32"/>
        </w:rPr>
        <w:t>GAS SALES ANALYTIC METHODOLOGY</w:t>
      </w:r>
    </w:p>
    <w:p w14:paraId="36920909" w14:textId="77777777" w:rsidR="00862469" w:rsidRDefault="00862469" w:rsidP="00FE5D0C">
      <w:pPr>
        <w:pStyle w:val="IRPsanstext"/>
      </w:pPr>
    </w:p>
    <w:p w14:paraId="1B7170D8" w14:textId="77777777" w:rsidR="00862469" w:rsidRDefault="00862469" w:rsidP="00FE5D0C">
      <w:pPr>
        <w:pStyle w:val="IRPsanstext"/>
      </w:pPr>
      <w:r>
        <w:t xml:space="preserve">In general, analysis of the gas supply portfolio begins with an estimate of resource need that is derived by comparing 20-year demand forecasts with existing resources. Once need has been identified, a variety of planning tools, optimization analyses and input assumptions help PSE identify the lowest-reasonable-cost portfolio of gas resources in a variety of scenarios. </w:t>
      </w:r>
    </w:p>
    <w:p w14:paraId="6A02C863" w14:textId="77777777" w:rsidR="00862469" w:rsidRDefault="00862469" w:rsidP="00FE5D0C">
      <w:pPr>
        <w:pStyle w:val="IRPsanstext"/>
      </w:pPr>
    </w:p>
    <w:p w14:paraId="07CE6778" w14:textId="77777777" w:rsidR="00862469" w:rsidRPr="00302B16" w:rsidRDefault="00862469" w:rsidP="00E02579">
      <w:pPr>
        <w:pStyle w:val="IRPsanstext"/>
        <w:spacing w:before="120"/>
        <w:rPr>
          <w:sz w:val="32"/>
        </w:rPr>
      </w:pPr>
      <w:r w:rsidRPr="00302B16">
        <w:rPr>
          <w:sz w:val="32"/>
        </w:rPr>
        <w:t>Optimization Analysis Tools</w:t>
      </w:r>
    </w:p>
    <w:p w14:paraId="1464107B" w14:textId="77777777" w:rsidR="00862469" w:rsidRDefault="00862469" w:rsidP="00FE5D0C">
      <w:pPr>
        <w:pStyle w:val="IRPsanstext"/>
      </w:pPr>
    </w:p>
    <w:p w14:paraId="5DD906C3" w14:textId="77777777" w:rsidR="00862469" w:rsidRDefault="00862469" w:rsidP="00FE5D0C">
      <w:pPr>
        <w:pStyle w:val="IRPsanstext"/>
      </w:pPr>
      <w:r>
        <w:t>PSE uses a gas portfolio model (GPM) to model gas resources for long-term planning and long-term gas resource acquisition activities. The current GPM is SENDOUT</w:t>
      </w:r>
      <w:r w:rsidRPr="007E1BE0">
        <w:t xml:space="preserve"> </w:t>
      </w:r>
      <w:r w:rsidR="00B83FC2">
        <w:t xml:space="preserve">Version 14.2.0 </w:t>
      </w:r>
      <w:r>
        <w:t xml:space="preserve">from ABB </w:t>
      </w:r>
      <w:proofErr w:type="spellStart"/>
      <w:r>
        <w:t>Ventyx</w:t>
      </w:r>
      <w:proofErr w:type="spellEnd"/>
      <w:r>
        <w:t xml:space="preserve">, a </w:t>
      </w:r>
      <w:proofErr w:type="gramStart"/>
      <w:r>
        <w:t>widely-used</w:t>
      </w:r>
      <w:proofErr w:type="gramEnd"/>
      <w:r>
        <w:t xml:space="preserve"> model that employs a linear programming algorithm to help identify the long-term, least-cost combination of </w:t>
      </w:r>
      <w:r w:rsidR="00FE2597">
        <w:t xml:space="preserve">integrated supply- and demand-side </w:t>
      </w:r>
      <w:r>
        <w:t xml:space="preserve">resources that will meet stated loads. While the deterministic linear programming approach used in this analysis is a helpful analytical tool, it is important to acknowledge this technique provides the model with "perfect foresight" – meaning that its theoretical results may not be achievable. For example, the model knows the exact load and price for every day throughout a winter period, and can therefore minimize cost in a way that is not possible in the real world. Numerous critical factors about the future will always be </w:t>
      </w:r>
      <w:r w:rsidR="009570A3">
        <w:t>uncertain;</w:t>
      </w:r>
      <w:r>
        <w:t xml:space="preserve"> therefore we rely on linear programming analysis to help </w:t>
      </w:r>
      <w:r w:rsidRPr="00DA79B4">
        <w:rPr>
          <w:i/>
        </w:rPr>
        <w:t>inform</w:t>
      </w:r>
      <w:r>
        <w:t xml:space="preserve"> decisions, not to </w:t>
      </w:r>
      <w:r w:rsidRPr="00DA79B4">
        <w:rPr>
          <w:i/>
        </w:rPr>
        <w:t>make</w:t>
      </w:r>
      <w:r>
        <w:t xml:space="preserve"> them.</w:t>
      </w:r>
      <w:r w:rsidR="00B83FC2" w:rsidRPr="00B83FC2">
        <w:t xml:space="preserve"> </w:t>
      </w:r>
      <w:r w:rsidR="00B83FC2">
        <w:t xml:space="preserve">See Appendix </w:t>
      </w:r>
      <w:r w:rsidR="00B83FC2" w:rsidRPr="00312635">
        <w:t>O,</w:t>
      </w:r>
      <w:r w:rsidR="00B83FC2">
        <w:t xml:space="preserve"> Gas Analysis, for a more complete description of the SENDOUT gas portfolio model.</w:t>
      </w:r>
    </w:p>
    <w:p w14:paraId="69E55D00" w14:textId="77777777" w:rsidR="00862469" w:rsidRDefault="00862469" w:rsidP="00FE5D0C">
      <w:pPr>
        <w:pStyle w:val="IRPsanstext"/>
      </w:pPr>
    </w:p>
    <w:p w14:paraId="1F2DB400" w14:textId="77777777" w:rsidR="00862469" w:rsidRPr="00E02579" w:rsidRDefault="00862469" w:rsidP="00E02579">
      <w:pPr>
        <w:rPr>
          <w:rFonts w:ascii="Arial" w:hAnsi="Arial"/>
          <w:sz w:val="20"/>
          <w:szCs w:val="20"/>
        </w:rPr>
      </w:pPr>
      <w:r>
        <w:br w:type="page"/>
      </w:r>
    </w:p>
    <w:p w14:paraId="375F262A" w14:textId="77777777" w:rsidR="00862469" w:rsidRPr="00302B16" w:rsidRDefault="00E02579" w:rsidP="00862469">
      <w:pPr>
        <w:pStyle w:val="IRPsanstext"/>
        <w:spacing w:line="240" w:lineRule="auto"/>
        <w:rPr>
          <w:sz w:val="32"/>
        </w:rPr>
      </w:pPr>
      <w:r>
        <w:rPr>
          <w:sz w:val="32"/>
        </w:rPr>
        <w:lastRenderedPageBreak/>
        <w:br/>
      </w:r>
      <w:r w:rsidR="00862469" w:rsidRPr="00302B16">
        <w:rPr>
          <w:sz w:val="32"/>
        </w:rPr>
        <w:t>Deterministic Optimization Analysis</w:t>
      </w:r>
    </w:p>
    <w:p w14:paraId="5847DBA5" w14:textId="77777777" w:rsidR="00862469" w:rsidRDefault="00862469" w:rsidP="00862469">
      <w:pPr>
        <w:pStyle w:val="IRPsanstext"/>
      </w:pPr>
    </w:p>
    <w:p w14:paraId="57C2203B" w14:textId="77777777" w:rsidR="00862469" w:rsidRDefault="00862469" w:rsidP="00862469">
      <w:pPr>
        <w:pStyle w:val="IRPsanstext"/>
      </w:pPr>
      <w:r>
        <w:t>As described in Chapter 4, Key Analytical Assumptions, PSE developed 10</w:t>
      </w:r>
      <w:r w:rsidRPr="00CD2A5F">
        <w:t xml:space="preserve"> scenarios</w:t>
      </w:r>
      <w:r>
        <w:t xml:space="preserve"> for this IRP.  Scenario analysis allows the company to understand how different resources perform across a variety of economic and regulatory conditions that may occur in the future. Scenario analysis also clarifies the robustness of a particular resource strategy. In other words, it helps determine if a particular strategy is reasonable under a wide range of possible circumstances.  </w:t>
      </w:r>
    </w:p>
    <w:p w14:paraId="4D5B68BA" w14:textId="77777777" w:rsidR="00862469" w:rsidRDefault="00862469" w:rsidP="00862469">
      <w:pPr>
        <w:pStyle w:val="IRPsanstext"/>
      </w:pPr>
    </w:p>
    <w:p w14:paraId="46CD739F" w14:textId="77777777" w:rsidR="00FA348A" w:rsidRDefault="00862469" w:rsidP="00862469">
      <w:pPr>
        <w:pStyle w:val="IRPsanstext"/>
      </w:pPr>
      <w:r>
        <w:t>PSE also tested two sensitivities in the gas sales analysis; these are described below. Sensitivity analysis allows us to isolate the effect a singl</w:t>
      </w:r>
      <w:r w:rsidR="00FA348A">
        <w:t>e resource has on the portfolio.</w:t>
      </w:r>
    </w:p>
    <w:p w14:paraId="52D9829D" w14:textId="77777777" w:rsidR="00862469" w:rsidRDefault="00862469" w:rsidP="00862469">
      <w:pPr>
        <w:pStyle w:val="IRPsanstext"/>
      </w:pPr>
      <w:r>
        <w:t xml:space="preserve"> </w:t>
      </w:r>
    </w:p>
    <w:p w14:paraId="7D74916E" w14:textId="77777777" w:rsidR="00D52668" w:rsidRDefault="00862469" w:rsidP="00D8076D">
      <w:pPr>
        <w:pStyle w:val="IRPsanstext"/>
        <w:numPr>
          <w:ilvl w:val="0"/>
          <w:numId w:val="21"/>
        </w:numPr>
      </w:pPr>
      <w:r>
        <w:t xml:space="preserve">How does the timing of pipeline expansions affect resource choices? </w:t>
      </w:r>
      <w:r>
        <w:rPr>
          <w:rFonts w:cs="Arial"/>
        </w:rPr>
        <w:t>This sensitivity allows pipeline expansions in every year, versus a baseline of every four years</w:t>
      </w:r>
      <w:r w:rsidR="00FE2597">
        <w:rPr>
          <w:rFonts w:cs="Arial"/>
        </w:rPr>
        <w:t>.</w:t>
      </w:r>
      <w:r>
        <w:rPr>
          <w:rFonts w:cs="Arial"/>
        </w:rPr>
        <w:t xml:space="preserve"> </w:t>
      </w:r>
    </w:p>
    <w:p w14:paraId="7BFC2557" w14:textId="77777777" w:rsidR="00862469" w:rsidRDefault="00862469" w:rsidP="00FA348A">
      <w:pPr>
        <w:pStyle w:val="IRPsanstext"/>
        <w:numPr>
          <w:ilvl w:val="0"/>
          <w:numId w:val="21"/>
        </w:numPr>
        <w:rPr>
          <w:rFonts w:cs="Arial"/>
        </w:rPr>
      </w:pPr>
      <w:r>
        <w:t>How does the discount rate affect the amount of cost</w:t>
      </w:r>
      <w:r w:rsidR="00FE2597">
        <w:t>-</w:t>
      </w:r>
      <w:r>
        <w:t xml:space="preserve">effective DSR? This </w:t>
      </w:r>
      <w:r w:rsidR="009570A3">
        <w:t>sensitivity</w:t>
      </w:r>
      <w:r>
        <w:t xml:space="preserve"> applies an alternate discount rate that is lower than PSE’s approved weighted a</w:t>
      </w:r>
      <w:r w:rsidR="00F36970">
        <w:t xml:space="preserve">verage cost of capital (WACC). </w:t>
      </w:r>
    </w:p>
    <w:p w14:paraId="13316887" w14:textId="77777777" w:rsidR="00862469" w:rsidRDefault="00862469" w:rsidP="00862469">
      <w:pPr>
        <w:pStyle w:val="IRPsanstext"/>
      </w:pPr>
    </w:p>
    <w:p w14:paraId="6983C880" w14:textId="77777777" w:rsidR="00862469" w:rsidRDefault="00862469" w:rsidP="00862469">
      <w:pPr>
        <w:pStyle w:val="IRPsanstext"/>
      </w:pPr>
      <w:r>
        <w:t>Gas portfolio analysis is discussed in more detail in Appendix O, Gas Analysis.</w:t>
      </w:r>
    </w:p>
    <w:p w14:paraId="7FAFBEF2" w14:textId="77777777" w:rsidR="00862469" w:rsidRDefault="00862469" w:rsidP="00862469">
      <w:pPr>
        <w:pStyle w:val="IRPsecthead1serif"/>
      </w:pPr>
    </w:p>
    <w:p w14:paraId="143D5210" w14:textId="77777777" w:rsidR="00E02579" w:rsidRDefault="00862469" w:rsidP="00862469">
      <w:pPr>
        <w:pStyle w:val="IRPsecthead1serif"/>
      </w:pPr>
      <w:r>
        <w:br w:type="page"/>
      </w:r>
    </w:p>
    <w:p w14:paraId="0F81E4F1" w14:textId="77777777" w:rsidR="00E02579" w:rsidRDefault="00E02579" w:rsidP="00862469">
      <w:pPr>
        <w:pStyle w:val="IRPsecthead1serif"/>
      </w:pPr>
    </w:p>
    <w:p w14:paraId="05389CB7" w14:textId="77777777" w:rsidR="00862469" w:rsidRPr="00E02579" w:rsidRDefault="00D52668" w:rsidP="00862469">
      <w:pPr>
        <w:pStyle w:val="IRPsecthead1serif"/>
        <w:rPr>
          <w:b/>
          <w:color w:val="006C71"/>
        </w:rPr>
      </w:pPr>
      <w:r>
        <w:rPr>
          <w:b/>
          <w:color w:val="006C71"/>
        </w:rPr>
        <w:t xml:space="preserve">GAS SALES </w:t>
      </w:r>
      <w:r w:rsidR="00862469" w:rsidRPr="00E02579">
        <w:rPr>
          <w:b/>
          <w:color w:val="006C71"/>
        </w:rPr>
        <w:t>EXISTING SUPPLY-SIDE RESOURCES</w:t>
      </w:r>
    </w:p>
    <w:p w14:paraId="67E0BD91" w14:textId="77777777" w:rsidR="00862469" w:rsidRDefault="00862469" w:rsidP="00862469">
      <w:pPr>
        <w:spacing w:line="320" w:lineRule="exact"/>
        <w:rPr>
          <w:rFonts w:ascii="Arial" w:hAnsi="Arial"/>
          <w:sz w:val="20"/>
          <w:szCs w:val="20"/>
        </w:rPr>
      </w:pPr>
    </w:p>
    <w:p w14:paraId="33D56082" w14:textId="77777777" w:rsidR="00862469" w:rsidRDefault="00862469" w:rsidP="005D27A7">
      <w:pPr>
        <w:pStyle w:val="IRPsanstext"/>
      </w:pPr>
      <w:r>
        <w:t xml:space="preserve">Existing gas sales resources consist of </w:t>
      </w:r>
      <w:r w:rsidRPr="00891D84">
        <w:t>pipeline capacity, storage capacity, pea</w:t>
      </w:r>
      <w:r>
        <w:t xml:space="preserve">king capacity, gas supplies and demand-side resources. </w:t>
      </w:r>
    </w:p>
    <w:p w14:paraId="1BE4263B" w14:textId="77777777" w:rsidR="00862469" w:rsidRDefault="00862469" w:rsidP="005D27A7">
      <w:pPr>
        <w:pStyle w:val="IRPsanstext"/>
      </w:pPr>
    </w:p>
    <w:p w14:paraId="1A9B7875" w14:textId="77777777" w:rsidR="00862469" w:rsidRDefault="00862469" w:rsidP="005D27A7">
      <w:pPr>
        <w:pStyle w:val="IRPsanstext"/>
        <w:rPr>
          <w:sz w:val="32"/>
        </w:rPr>
      </w:pPr>
      <w:r w:rsidRPr="00230272">
        <w:rPr>
          <w:rFonts w:ascii="Helvetica" w:hAnsi="Helvetica" w:cs="Arial"/>
          <w:bCs/>
          <w:iCs/>
          <w:sz w:val="32"/>
        </w:rPr>
        <w:t xml:space="preserve">Existing Pipeline Capacity </w:t>
      </w:r>
    </w:p>
    <w:p w14:paraId="5968DDDE" w14:textId="77777777" w:rsidR="00862469" w:rsidRDefault="00862469" w:rsidP="005D27A7">
      <w:pPr>
        <w:pStyle w:val="IRPsanstext"/>
      </w:pPr>
    </w:p>
    <w:p w14:paraId="271484C9" w14:textId="77777777" w:rsidR="00862469" w:rsidRDefault="00862469" w:rsidP="005D27A7">
      <w:pPr>
        <w:pStyle w:val="IRPsanstext"/>
      </w:pPr>
      <w:r w:rsidRPr="00891D84">
        <w:t xml:space="preserve">There are two types of pipeline capacity. “Direct-connect” pipelines deliver supplies directly to PSE’s local distribution system from production areas, storage facilities or interconnections with other pipelines. “Upstream” pipelines deliver gas to the direct pipeline from remote production areas, market centers and storage facilities. </w:t>
      </w:r>
    </w:p>
    <w:p w14:paraId="5936E584" w14:textId="77777777" w:rsidR="00862469" w:rsidRDefault="00862469" w:rsidP="005D27A7">
      <w:pPr>
        <w:pStyle w:val="IRPsanstext"/>
      </w:pPr>
    </w:p>
    <w:p w14:paraId="2A0FD245" w14:textId="77777777" w:rsidR="00FA348A" w:rsidRDefault="00862469" w:rsidP="005D27A7">
      <w:pPr>
        <w:pStyle w:val="IRPsanstext"/>
      </w:pPr>
      <w:proofErr w:type="gramStart"/>
      <w:r w:rsidRPr="005D27A7">
        <w:rPr>
          <w:b/>
          <w:color w:val="006C71"/>
          <w:sz w:val="28"/>
          <w:szCs w:val="28"/>
        </w:rPr>
        <w:t>Direct-connect Pipeline Capacity.</w:t>
      </w:r>
      <w:proofErr w:type="gramEnd"/>
      <w:r w:rsidRPr="00B44DE2">
        <w:rPr>
          <w:b/>
        </w:rPr>
        <w:t xml:space="preserve"> </w:t>
      </w:r>
      <w:r w:rsidRPr="00B44DE2">
        <w:t xml:space="preserve">All gas delivered to our gas distribution system is handled last by PSE’s only direct-connect pipeline, Northwest Pipeline (NWP). We hold </w:t>
      </w:r>
      <w:r w:rsidR="00D52668">
        <w:t>nearly one million dekatherms (</w:t>
      </w:r>
      <w:proofErr w:type="spellStart"/>
      <w:r w:rsidR="00D52668">
        <w:t>Dth</w:t>
      </w:r>
      <w:proofErr w:type="spellEnd"/>
      <w:r w:rsidR="00D52668">
        <w:t>) of</w:t>
      </w:r>
      <w:r w:rsidRPr="00B44DE2">
        <w:t xml:space="preserve"> capacity with NWP.</w:t>
      </w:r>
    </w:p>
    <w:p w14:paraId="3C026853" w14:textId="77777777" w:rsidR="00862469" w:rsidRPr="005D27A7" w:rsidRDefault="00862469" w:rsidP="005D27A7">
      <w:pPr>
        <w:pStyle w:val="IRPsanstext"/>
      </w:pPr>
    </w:p>
    <w:p w14:paraId="43690807" w14:textId="77777777" w:rsidR="00862469" w:rsidRPr="005669FC" w:rsidRDefault="00862469" w:rsidP="005D27A7">
      <w:pPr>
        <w:pStyle w:val="IRPsanstext"/>
        <w:numPr>
          <w:ilvl w:val="0"/>
          <w:numId w:val="17"/>
        </w:numPr>
      </w:pPr>
      <w:r w:rsidRPr="00AE4587">
        <w:t xml:space="preserve">532,872 </w:t>
      </w:r>
      <w:proofErr w:type="spellStart"/>
      <w:r w:rsidRPr="005669FC">
        <w:t>Dth</w:t>
      </w:r>
      <w:proofErr w:type="spellEnd"/>
      <w:r w:rsidRPr="005669FC">
        <w:t xml:space="preserve"> per day of year-round TF-1 (firm) transportation capacity</w:t>
      </w:r>
    </w:p>
    <w:p w14:paraId="2F65C026" w14:textId="77777777" w:rsidR="00862469" w:rsidRDefault="00862469" w:rsidP="005D27A7">
      <w:pPr>
        <w:pStyle w:val="IRPsanstext"/>
        <w:numPr>
          <w:ilvl w:val="0"/>
          <w:numId w:val="17"/>
        </w:numPr>
      </w:pPr>
      <w:r w:rsidRPr="00AE4587">
        <w:t xml:space="preserve">447,057 </w:t>
      </w:r>
      <w:proofErr w:type="spellStart"/>
      <w:r w:rsidRPr="005669FC">
        <w:t>Dth</w:t>
      </w:r>
      <w:proofErr w:type="spellEnd"/>
      <w:r w:rsidRPr="005669FC">
        <w:t xml:space="preserve"> per day</w:t>
      </w:r>
      <w:r w:rsidRPr="00B44DE2">
        <w:t xml:space="preserve"> of </w:t>
      </w:r>
      <w:r>
        <w:t>NWP-Jackson Prairie storage redelivery service</w:t>
      </w:r>
    </w:p>
    <w:p w14:paraId="6D892FD8" w14:textId="77777777" w:rsidR="00862469" w:rsidRPr="00B44DE2" w:rsidRDefault="00862469" w:rsidP="005D27A7">
      <w:pPr>
        <w:pStyle w:val="IRPsanstext"/>
      </w:pPr>
    </w:p>
    <w:p w14:paraId="42FD5A98" w14:textId="77777777" w:rsidR="00862469" w:rsidRPr="00B44DE2" w:rsidRDefault="00862469" w:rsidP="005D27A7">
      <w:pPr>
        <w:pStyle w:val="IRPsanstext"/>
      </w:pPr>
      <w:r w:rsidRPr="00B44DE2">
        <w:t xml:space="preserve">Receipt points on the NWP </w:t>
      </w:r>
      <w:r>
        <w:t xml:space="preserve">transportation </w:t>
      </w:r>
      <w:r w:rsidRPr="00B44DE2">
        <w:t>contracts access supplies from four production regions: British Columbia</w:t>
      </w:r>
      <w:r>
        <w:t>, Canada</w:t>
      </w:r>
      <w:r w:rsidRPr="00B44DE2">
        <w:t xml:space="preserve"> (B</w:t>
      </w:r>
      <w:r>
        <w:t>.</w:t>
      </w:r>
      <w:r w:rsidRPr="00B44DE2">
        <w:t>C</w:t>
      </w:r>
      <w:r>
        <w:t>.</w:t>
      </w:r>
      <w:r w:rsidRPr="00B44DE2">
        <w:t>)</w:t>
      </w:r>
      <w:r>
        <w:t>;</w:t>
      </w:r>
      <w:r w:rsidRPr="00B44DE2">
        <w:t xml:space="preserve"> Alberta, </w:t>
      </w:r>
      <w:r>
        <w:t xml:space="preserve">Canada; </w:t>
      </w:r>
      <w:r w:rsidRPr="00B44DE2">
        <w:t xml:space="preserve">the Rocky Mountain </w:t>
      </w:r>
      <w:r w:rsidR="002B4D55">
        <w:t xml:space="preserve">Basin </w:t>
      </w:r>
      <w:r w:rsidRPr="00B44DE2">
        <w:t>and the San Juan Basin. This provides valuable flexibility, including the ability to source gas from different regions on a day-to-day basis in some contracts.</w:t>
      </w:r>
    </w:p>
    <w:p w14:paraId="0C894D11" w14:textId="77777777" w:rsidR="00862469" w:rsidRPr="00B44DE2" w:rsidRDefault="00862469" w:rsidP="005D27A7">
      <w:pPr>
        <w:pStyle w:val="IRPsanstext"/>
      </w:pPr>
    </w:p>
    <w:p w14:paraId="0A5E4279" w14:textId="77777777" w:rsidR="00862469" w:rsidRPr="00B44DE2" w:rsidRDefault="00862469" w:rsidP="005D27A7">
      <w:pPr>
        <w:pStyle w:val="IRPsanstext"/>
        <w:rPr>
          <w:b/>
        </w:rPr>
      </w:pPr>
      <w:proofErr w:type="gramStart"/>
      <w:r w:rsidRPr="005D27A7">
        <w:rPr>
          <w:b/>
          <w:color w:val="006C71"/>
          <w:sz w:val="28"/>
        </w:rPr>
        <w:t>Upstream Pipeline Capacity.</w:t>
      </w:r>
      <w:proofErr w:type="gramEnd"/>
      <w:r w:rsidRPr="00B44DE2">
        <w:rPr>
          <w:b/>
        </w:rPr>
        <w:t xml:space="preserve"> </w:t>
      </w:r>
      <w:r w:rsidRPr="00B44DE2">
        <w:t xml:space="preserve">To transport gas supply from production basins or trading hubs to the direct-connect NWP system, PSE holds capacity on several upstream pipelines. </w:t>
      </w:r>
    </w:p>
    <w:p w14:paraId="5D28BF66" w14:textId="77777777" w:rsidR="00FB4821" w:rsidRDefault="00FB4821"/>
    <w:p w14:paraId="7F4382AB" w14:textId="77777777" w:rsidR="005D27A7" w:rsidRDefault="00A86E89" w:rsidP="00FE2597">
      <w:pPr>
        <w:pStyle w:val="IRPsanstext"/>
      </w:pPr>
      <w:r>
        <w:t>A schematic of the gas pipeline</w:t>
      </w:r>
      <w:r w:rsidR="00405338">
        <w:t>s</w:t>
      </w:r>
      <w:r>
        <w:t xml:space="preserve"> for the Pacific Northwest region is provided in Figure 7-2 below.  In addition, please see Figure 7-3 for details of PSE’s gas sales pipeline capacity.</w:t>
      </w:r>
      <w:r w:rsidR="005D27A7">
        <w:br w:type="page"/>
      </w:r>
    </w:p>
    <w:p w14:paraId="5BF8D96C" w14:textId="77777777" w:rsidR="00862469" w:rsidRPr="00891D84" w:rsidRDefault="00862469" w:rsidP="005D27A7">
      <w:pPr>
        <w:pStyle w:val="IRPsanstext"/>
      </w:pPr>
    </w:p>
    <w:p w14:paraId="74B9F573" w14:textId="77777777" w:rsidR="00862469" w:rsidRPr="005D27A7" w:rsidRDefault="00862469" w:rsidP="005D27A7">
      <w:pPr>
        <w:spacing w:after="120" w:line="240" w:lineRule="exact"/>
        <w:jc w:val="center"/>
        <w:rPr>
          <w:rFonts w:ascii="Arial" w:hAnsi="Arial"/>
          <w:i/>
          <w:color w:val="000000"/>
          <w:sz w:val="20"/>
        </w:rPr>
      </w:pPr>
      <w:r w:rsidRPr="00891D84">
        <w:rPr>
          <w:rFonts w:ascii="Arial" w:hAnsi="Arial"/>
          <w:i/>
          <w:color w:val="000000"/>
          <w:sz w:val="20"/>
        </w:rPr>
        <w:t xml:space="preserve">Figure </w:t>
      </w:r>
      <w:r>
        <w:rPr>
          <w:rFonts w:ascii="Arial" w:hAnsi="Arial"/>
          <w:i/>
          <w:color w:val="000000"/>
          <w:sz w:val="20"/>
        </w:rPr>
        <w:t xml:space="preserve">7-2: </w:t>
      </w:r>
      <w:r w:rsidRPr="00891D84">
        <w:rPr>
          <w:rFonts w:ascii="Arial" w:hAnsi="Arial"/>
          <w:i/>
          <w:color w:val="000000"/>
          <w:sz w:val="20"/>
        </w:rPr>
        <w:t xml:space="preserve">Pacific Northwest Regional Gas Pipeline Map </w:t>
      </w:r>
    </w:p>
    <w:p w14:paraId="1D0A283A" w14:textId="77777777" w:rsidR="00862469" w:rsidRDefault="005D27A7" w:rsidP="00862469">
      <w:pPr>
        <w:tabs>
          <w:tab w:val="left" w:pos="144"/>
        </w:tabs>
        <w:ind w:left="-90"/>
        <w:rPr>
          <w:rFonts w:ascii="Arial Narrow" w:hAnsi="Arial Narrow"/>
          <w:i/>
          <w:sz w:val="16"/>
          <w:szCs w:val="16"/>
        </w:rPr>
      </w:pPr>
      <w:r>
        <w:rPr>
          <w:rFonts w:ascii="Arial Narrow" w:hAnsi="Arial Narrow"/>
          <w:i/>
          <w:noProof/>
          <w:sz w:val="16"/>
          <w:szCs w:val="16"/>
          <w:lang w:eastAsia="en-US"/>
        </w:rPr>
        <w:drawing>
          <wp:inline distT="0" distB="0" distL="0" distR="0" wp14:anchorId="4A820E73" wp14:editId="7A7129D1">
            <wp:extent cx="5474335" cy="4179208"/>
            <wp:effectExtent l="0" t="0" r="12065" b="12065"/>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4347" cy="4179217"/>
                    </a:xfrm>
                    <a:prstGeom prst="rect">
                      <a:avLst/>
                    </a:prstGeom>
                    <a:solidFill>
                      <a:srgbClr val="FFFFFF"/>
                    </a:solidFill>
                  </pic:spPr>
                </pic:pic>
              </a:graphicData>
            </a:graphic>
          </wp:inline>
        </w:drawing>
      </w:r>
    </w:p>
    <w:p w14:paraId="29B5FED5" w14:textId="77777777" w:rsidR="00862469" w:rsidRDefault="00862469" w:rsidP="00862469">
      <w:pPr>
        <w:tabs>
          <w:tab w:val="left" w:pos="144"/>
        </w:tabs>
        <w:ind w:left="-90"/>
        <w:rPr>
          <w:rFonts w:ascii="Arial Narrow" w:hAnsi="Arial Narrow"/>
          <w:i/>
          <w:sz w:val="16"/>
          <w:szCs w:val="16"/>
        </w:rPr>
      </w:pPr>
    </w:p>
    <w:p w14:paraId="45FDE8FA" w14:textId="77777777" w:rsidR="00862469" w:rsidRDefault="00862469" w:rsidP="00862469">
      <w:pPr>
        <w:tabs>
          <w:tab w:val="left" w:pos="144"/>
        </w:tabs>
        <w:ind w:left="-90"/>
        <w:rPr>
          <w:rFonts w:ascii="Arial Narrow" w:hAnsi="Arial Narrow"/>
          <w:i/>
          <w:sz w:val="16"/>
          <w:szCs w:val="16"/>
        </w:rPr>
      </w:pPr>
    </w:p>
    <w:p w14:paraId="38DF901E" w14:textId="77777777" w:rsidR="00862469" w:rsidRDefault="00862469" w:rsidP="00862469">
      <w:pPr>
        <w:tabs>
          <w:tab w:val="left" w:pos="144"/>
        </w:tabs>
        <w:ind w:left="-90"/>
        <w:rPr>
          <w:rFonts w:ascii="Arial Narrow" w:hAnsi="Arial Narrow"/>
          <w:i/>
          <w:sz w:val="16"/>
          <w:szCs w:val="16"/>
        </w:rPr>
      </w:pPr>
    </w:p>
    <w:p w14:paraId="73A8ABCF" w14:textId="77777777" w:rsidR="00862469" w:rsidRDefault="00862469" w:rsidP="00862469">
      <w:pPr>
        <w:tabs>
          <w:tab w:val="left" w:pos="144"/>
        </w:tabs>
        <w:ind w:left="-90"/>
        <w:rPr>
          <w:rFonts w:ascii="Arial Narrow" w:hAnsi="Arial Narrow"/>
          <w:i/>
          <w:sz w:val="16"/>
          <w:szCs w:val="16"/>
        </w:rPr>
      </w:pPr>
    </w:p>
    <w:p w14:paraId="28D40708" w14:textId="77777777" w:rsidR="00862469" w:rsidRDefault="00862469" w:rsidP="00862469">
      <w:pPr>
        <w:tabs>
          <w:tab w:val="left" w:pos="144"/>
        </w:tabs>
        <w:ind w:left="-90"/>
        <w:rPr>
          <w:rFonts w:ascii="Arial Narrow" w:hAnsi="Arial Narrow"/>
          <w:i/>
          <w:sz w:val="16"/>
          <w:szCs w:val="16"/>
        </w:rPr>
      </w:pPr>
    </w:p>
    <w:p w14:paraId="691E87DC" w14:textId="77777777" w:rsidR="00862469" w:rsidRDefault="00862469" w:rsidP="00862469">
      <w:pPr>
        <w:tabs>
          <w:tab w:val="left" w:pos="144"/>
        </w:tabs>
        <w:ind w:left="-90"/>
        <w:rPr>
          <w:rFonts w:ascii="Arial Narrow" w:hAnsi="Arial Narrow"/>
          <w:i/>
          <w:sz w:val="16"/>
          <w:szCs w:val="16"/>
        </w:rPr>
      </w:pPr>
    </w:p>
    <w:p w14:paraId="534EE77A" w14:textId="77777777" w:rsidR="00862469" w:rsidRDefault="00862469" w:rsidP="00862469">
      <w:pPr>
        <w:tabs>
          <w:tab w:val="left" w:pos="144"/>
        </w:tabs>
        <w:ind w:left="-90"/>
        <w:rPr>
          <w:rFonts w:ascii="Arial Narrow" w:hAnsi="Arial Narrow"/>
          <w:i/>
          <w:sz w:val="16"/>
          <w:szCs w:val="16"/>
        </w:rPr>
      </w:pPr>
    </w:p>
    <w:p w14:paraId="15130405" w14:textId="77777777" w:rsidR="00862469" w:rsidRDefault="00862469" w:rsidP="00862469">
      <w:pPr>
        <w:tabs>
          <w:tab w:val="left" w:pos="144"/>
        </w:tabs>
        <w:ind w:left="-90"/>
        <w:rPr>
          <w:rFonts w:ascii="Arial Narrow" w:hAnsi="Arial Narrow"/>
          <w:i/>
          <w:sz w:val="16"/>
          <w:szCs w:val="16"/>
        </w:rPr>
      </w:pPr>
    </w:p>
    <w:p w14:paraId="158DFF59" w14:textId="77777777" w:rsidR="00862469" w:rsidRDefault="00862469" w:rsidP="00862469">
      <w:pPr>
        <w:tabs>
          <w:tab w:val="left" w:pos="144"/>
        </w:tabs>
        <w:ind w:left="-90"/>
        <w:rPr>
          <w:rFonts w:ascii="Arial Narrow" w:hAnsi="Arial Narrow"/>
          <w:i/>
          <w:sz w:val="16"/>
          <w:szCs w:val="16"/>
        </w:rPr>
      </w:pPr>
    </w:p>
    <w:p w14:paraId="0389B069" w14:textId="77777777" w:rsidR="00862469" w:rsidRDefault="00862469" w:rsidP="00862469">
      <w:pPr>
        <w:tabs>
          <w:tab w:val="left" w:pos="144"/>
        </w:tabs>
        <w:ind w:left="-90"/>
        <w:rPr>
          <w:rFonts w:ascii="Arial Narrow" w:hAnsi="Arial Narrow"/>
          <w:i/>
          <w:sz w:val="16"/>
          <w:szCs w:val="16"/>
        </w:rPr>
      </w:pPr>
    </w:p>
    <w:p w14:paraId="54414CAA" w14:textId="77777777" w:rsidR="00862469" w:rsidRDefault="00862469" w:rsidP="00862469">
      <w:pPr>
        <w:tabs>
          <w:tab w:val="left" w:pos="144"/>
        </w:tabs>
        <w:ind w:left="-90"/>
        <w:rPr>
          <w:rFonts w:ascii="Arial Narrow" w:hAnsi="Arial Narrow"/>
          <w:i/>
          <w:sz w:val="16"/>
          <w:szCs w:val="16"/>
        </w:rPr>
      </w:pPr>
    </w:p>
    <w:p w14:paraId="6826E927" w14:textId="77777777" w:rsidR="00862469" w:rsidRPr="00891D84" w:rsidRDefault="00862469" w:rsidP="00862469">
      <w:pPr>
        <w:tabs>
          <w:tab w:val="left" w:pos="144"/>
        </w:tabs>
        <w:ind w:left="-90"/>
        <w:rPr>
          <w:rFonts w:ascii="Arial Narrow" w:hAnsi="Arial Narrow"/>
          <w:i/>
          <w:sz w:val="16"/>
          <w:szCs w:val="16"/>
        </w:rPr>
      </w:pPr>
    </w:p>
    <w:p w14:paraId="37CB5D60" w14:textId="77777777" w:rsidR="00862469" w:rsidRPr="00891D84" w:rsidRDefault="00862469" w:rsidP="00862469">
      <w:pPr>
        <w:tabs>
          <w:tab w:val="left" w:pos="144"/>
        </w:tabs>
        <w:ind w:left="-90"/>
        <w:rPr>
          <w:rFonts w:ascii="Arial Narrow" w:hAnsi="Arial Narrow"/>
          <w:i/>
          <w:sz w:val="16"/>
          <w:szCs w:val="16"/>
        </w:rPr>
      </w:pPr>
    </w:p>
    <w:p w14:paraId="0FCA0E69" w14:textId="77777777" w:rsidR="00862469" w:rsidRPr="00891D84" w:rsidRDefault="00862469" w:rsidP="00862469">
      <w:pPr>
        <w:tabs>
          <w:tab w:val="left" w:pos="144"/>
        </w:tabs>
        <w:rPr>
          <w:rFonts w:ascii="Arial Narrow" w:hAnsi="Arial Narrow"/>
          <w:i/>
          <w:sz w:val="16"/>
          <w:szCs w:val="16"/>
        </w:rPr>
      </w:pPr>
    </w:p>
    <w:p w14:paraId="55978026" w14:textId="77777777" w:rsidR="00862469" w:rsidRPr="00891D84" w:rsidRDefault="00862469" w:rsidP="00862469">
      <w:pPr>
        <w:tabs>
          <w:tab w:val="left" w:pos="144"/>
        </w:tabs>
        <w:rPr>
          <w:rFonts w:ascii="Arial Narrow" w:hAnsi="Arial Narrow"/>
          <w:i/>
          <w:sz w:val="16"/>
          <w:szCs w:val="16"/>
        </w:rPr>
      </w:pPr>
    </w:p>
    <w:p w14:paraId="301C1FE0" w14:textId="77777777" w:rsidR="00862469" w:rsidRPr="00891D84" w:rsidRDefault="00862469" w:rsidP="00862469">
      <w:pPr>
        <w:tabs>
          <w:tab w:val="left" w:pos="144"/>
        </w:tabs>
        <w:rPr>
          <w:rFonts w:ascii="Arial Narrow" w:hAnsi="Arial Narrow"/>
          <w:i/>
          <w:sz w:val="16"/>
          <w:szCs w:val="16"/>
        </w:rPr>
      </w:pPr>
    </w:p>
    <w:p w14:paraId="41FFA7B2" w14:textId="77777777" w:rsidR="00862469" w:rsidRPr="00891D84" w:rsidRDefault="00862469" w:rsidP="00862469">
      <w:pPr>
        <w:tabs>
          <w:tab w:val="left" w:pos="144"/>
        </w:tabs>
        <w:rPr>
          <w:rFonts w:ascii="Arial Narrow" w:hAnsi="Arial Narrow"/>
          <w:i/>
          <w:sz w:val="16"/>
          <w:szCs w:val="16"/>
        </w:rPr>
      </w:pPr>
    </w:p>
    <w:p w14:paraId="07D130E8" w14:textId="77777777" w:rsidR="00862469" w:rsidRPr="00130BCA" w:rsidRDefault="00862469" w:rsidP="00862469">
      <w:pPr>
        <w:tabs>
          <w:tab w:val="left" w:pos="144"/>
        </w:tabs>
        <w:rPr>
          <w:rFonts w:ascii="Arial Narrow" w:hAnsi="Arial Narrow"/>
          <w:i/>
          <w:sz w:val="16"/>
          <w:szCs w:val="16"/>
        </w:rPr>
      </w:pPr>
    </w:p>
    <w:p w14:paraId="7F4DF491" w14:textId="77777777" w:rsidR="00862469" w:rsidRDefault="00862469" w:rsidP="005D27A7">
      <w:pPr>
        <w:pStyle w:val="IRPFigureSub"/>
        <w:spacing w:after="120"/>
      </w:pPr>
      <w:r w:rsidRPr="00891D84">
        <w:rPr>
          <w:rFonts w:ascii="Helvetica" w:hAnsi="Helvetica" w:cs="Arial"/>
          <w:b/>
          <w:bCs/>
          <w:iCs/>
          <w:color w:val="007163"/>
          <w:sz w:val="28"/>
        </w:rPr>
        <w:br w:type="page"/>
      </w:r>
      <w:r w:rsidR="005D27A7">
        <w:rPr>
          <w:rFonts w:ascii="Helvetica" w:hAnsi="Helvetica" w:cs="Arial"/>
          <w:b/>
          <w:bCs/>
          <w:iCs/>
          <w:color w:val="007163"/>
          <w:sz w:val="28"/>
        </w:rPr>
        <w:lastRenderedPageBreak/>
        <w:br/>
      </w:r>
      <w:r w:rsidRPr="00B44DE2">
        <w:t xml:space="preserve">Figure </w:t>
      </w:r>
      <w:r>
        <w:t xml:space="preserve">7-3: </w:t>
      </w:r>
      <w:r w:rsidRPr="00B44DE2">
        <w:t>Gas</w:t>
      </w:r>
      <w:r>
        <w:t xml:space="preserve"> Sales Pipeline Capacity </w:t>
      </w:r>
      <w:r w:rsidRPr="00B44DE2">
        <w:t>(</w:t>
      </w:r>
      <w:proofErr w:type="spellStart"/>
      <w:r w:rsidRPr="00B44DE2">
        <w:t>Dth</w:t>
      </w:r>
      <w:proofErr w:type="spellEnd"/>
      <w:r w:rsidRPr="00B44DE2">
        <w:t xml:space="preserve">/day) </w:t>
      </w:r>
    </w:p>
    <w:tbl>
      <w:tblPr>
        <w:tblW w:w="8920" w:type="dxa"/>
        <w:tblInd w:w="98" w:type="dxa"/>
        <w:tblLayout w:type="fixed"/>
        <w:tblLook w:val="04A0" w:firstRow="1" w:lastRow="0" w:firstColumn="1" w:lastColumn="0" w:noHBand="0" w:noVBand="1"/>
      </w:tblPr>
      <w:tblGrid>
        <w:gridCol w:w="2890"/>
        <w:gridCol w:w="48"/>
        <w:gridCol w:w="278"/>
        <w:gridCol w:w="671"/>
        <w:gridCol w:w="236"/>
        <w:gridCol w:w="42"/>
        <w:gridCol w:w="236"/>
        <w:gridCol w:w="236"/>
        <w:gridCol w:w="459"/>
        <w:gridCol w:w="221"/>
        <w:gridCol w:w="499"/>
        <w:gridCol w:w="323"/>
        <w:gridCol w:w="220"/>
        <w:gridCol w:w="499"/>
        <w:gridCol w:w="258"/>
        <w:gridCol w:w="221"/>
        <w:gridCol w:w="499"/>
        <w:gridCol w:w="364"/>
        <w:gridCol w:w="720"/>
      </w:tblGrid>
      <w:tr w:rsidR="005D27A7" w:rsidRPr="005D27A7" w14:paraId="046B66B5" w14:textId="77777777">
        <w:trPr>
          <w:gridAfter w:val="1"/>
          <w:wAfter w:w="720" w:type="dxa"/>
          <w:trHeight w:val="481"/>
        </w:trPr>
        <w:tc>
          <w:tcPr>
            <w:tcW w:w="2890" w:type="dxa"/>
            <w:vMerge w:val="restart"/>
            <w:tcBorders>
              <w:top w:val="single" w:sz="8" w:space="0" w:color="auto"/>
              <w:left w:val="single" w:sz="8" w:space="0" w:color="auto"/>
              <w:bottom w:val="single" w:sz="12" w:space="0" w:color="000000"/>
              <w:right w:val="nil"/>
            </w:tcBorders>
            <w:shd w:val="clear" w:color="000000" w:fill="006A71"/>
            <w:vAlign w:val="bottom"/>
          </w:tcPr>
          <w:p w14:paraId="6CAC5908"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Pipeline/Receipt Point</w:t>
            </w:r>
          </w:p>
        </w:tc>
        <w:tc>
          <w:tcPr>
            <w:tcW w:w="997" w:type="dxa"/>
            <w:gridSpan w:val="3"/>
            <w:vMerge w:val="restart"/>
            <w:tcBorders>
              <w:top w:val="single" w:sz="8" w:space="0" w:color="auto"/>
              <w:left w:val="nil"/>
              <w:bottom w:val="single" w:sz="12" w:space="0" w:color="000000"/>
              <w:right w:val="nil"/>
            </w:tcBorders>
            <w:shd w:val="clear" w:color="000000" w:fill="006A71"/>
            <w:vAlign w:val="bottom"/>
          </w:tcPr>
          <w:p w14:paraId="2AE07993" w14:textId="77777777" w:rsidR="00862469" w:rsidRPr="005D27A7" w:rsidRDefault="00862469" w:rsidP="00543F27">
            <w:pPr>
              <w:ind w:left="841" w:right="215" w:hanging="477"/>
              <w:jc w:val="center"/>
              <w:rPr>
                <w:rFonts w:ascii="Arial" w:hAnsi="Arial" w:cs="Arial"/>
                <w:b/>
                <w:bCs/>
                <w:color w:val="FFFFFF"/>
                <w:sz w:val="20"/>
                <w:szCs w:val="20"/>
              </w:rPr>
            </w:pPr>
            <w:r w:rsidRPr="005D27A7">
              <w:rPr>
                <w:rFonts w:ascii="Arial" w:hAnsi="Arial" w:cs="Arial"/>
                <w:b/>
                <w:bCs/>
                <w:color w:val="FFFFFF"/>
                <w:sz w:val="20"/>
                <w:szCs w:val="20"/>
              </w:rPr>
              <w:t>Note</w:t>
            </w:r>
          </w:p>
        </w:tc>
        <w:tc>
          <w:tcPr>
            <w:tcW w:w="1209" w:type="dxa"/>
            <w:gridSpan w:val="5"/>
            <w:vMerge w:val="restart"/>
            <w:tcBorders>
              <w:top w:val="single" w:sz="8" w:space="0" w:color="auto"/>
              <w:left w:val="nil"/>
              <w:bottom w:val="single" w:sz="12" w:space="0" w:color="000000"/>
              <w:right w:val="nil"/>
            </w:tcBorders>
            <w:shd w:val="clear" w:color="000000" w:fill="006A71"/>
            <w:vAlign w:val="bottom"/>
          </w:tcPr>
          <w:p w14:paraId="00A4C503"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Total</w:t>
            </w:r>
          </w:p>
        </w:tc>
        <w:tc>
          <w:tcPr>
            <w:tcW w:w="3104" w:type="dxa"/>
            <w:gridSpan w:val="9"/>
            <w:tcBorders>
              <w:top w:val="single" w:sz="8" w:space="0" w:color="auto"/>
              <w:left w:val="nil"/>
              <w:bottom w:val="nil"/>
              <w:right w:val="single" w:sz="8" w:space="0" w:color="000000"/>
            </w:tcBorders>
            <w:shd w:val="clear" w:color="000000" w:fill="006A71"/>
            <w:vAlign w:val="bottom"/>
          </w:tcPr>
          <w:p w14:paraId="4C26B7F1"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Year of Expiration</w:t>
            </w:r>
          </w:p>
        </w:tc>
      </w:tr>
      <w:tr w:rsidR="005D27A7" w:rsidRPr="005D27A7" w14:paraId="66E6E33C" w14:textId="77777777">
        <w:trPr>
          <w:gridAfter w:val="1"/>
          <w:wAfter w:w="720" w:type="dxa"/>
          <w:trHeight w:val="262"/>
        </w:trPr>
        <w:tc>
          <w:tcPr>
            <w:tcW w:w="2890" w:type="dxa"/>
            <w:vMerge/>
            <w:tcBorders>
              <w:top w:val="single" w:sz="8" w:space="0" w:color="auto"/>
              <w:left w:val="single" w:sz="8" w:space="0" w:color="auto"/>
              <w:bottom w:val="single" w:sz="12" w:space="0" w:color="000000"/>
              <w:right w:val="nil"/>
            </w:tcBorders>
            <w:vAlign w:val="center"/>
          </w:tcPr>
          <w:p w14:paraId="274FD7A4" w14:textId="77777777" w:rsidR="00862469" w:rsidRPr="005D27A7" w:rsidRDefault="00862469" w:rsidP="00862469">
            <w:pPr>
              <w:rPr>
                <w:rFonts w:ascii="Arial" w:hAnsi="Arial" w:cs="Arial"/>
                <w:b/>
                <w:bCs/>
                <w:color w:val="FFFFFF"/>
                <w:sz w:val="20"/>
                <w:szCs w:val="20"/>
              </w:rPr>
            </w:pPr>
          </w:p>
        </w:tc>
        <w:tc>
          <w:tcPr>
            <w:tcW w:w="997" w:type="dxa"/>
            <w:gridSpan w:val="3"/>
            <w:vMerge/>
            <w:tcBorders>
              <w:top w:val="single" w:sz="8" w:space="0" w:color="auto"/>
              <w:left w:val="nil"/>
              <w:bottom w:val="single" w:sz="12" w:space="0" w:color="000000"/>
              <w:right w:val="nil"/>
            </w:tcBorders>
            <w:vAlign w:val="center"/>
          </w:tcPr>
          <w:p w14:paraId="3D1076A9" w14:textId="77777777" w:rsidR="00862469" w:rsidRPr="005D27A7" w:rsidRDefault="00862469" w:rsidP="005D27A7">
            <w:pPr>
              <w:ind w:right="215" w:hanging="477"/>
              <w:rPr>
                <w:rFonts w:ascii="Arial" w:hAnsi="Arial" w:cs="Arial"/>
                <w:b/>
                <w:bCs/>
                <w:color w:val="FFFFFF"/>
                <w:sz w:val="20"/>
                <w:szCs w:val="20"/>
              </w:rPr>
            </w:pPr>
          </w:p>
        </w:tc>
        <w:tc>
          <w:tcPr>
            <w:tcW w:w="1209" w:type="dxa"/>
            <w:gridSpan w:val="5"/>
            <w:vMerge/>
            <w:tcBorders>
              <w:top w:val="single" w:sz="8" w:space="0" w:color="auto"/>
              <w:left w:val="nil"/>
              <w:bottom w:val="single" w:sz="12" w:space="0" w:color="000000"/>
              <w:right w:val="nil"/>
            </w:tcBorders>
            <w:vAlign w:val="center"/>
          </w:tcPr>
          <w:p w14:paraId="3BA50132" w14:textId="77777777" w:rsidR="00862469" w:rsidRPr="005D27A7" w:rsidRDefault="00862469" w:rsidP="00862469">
            <w:pPr>
              <w:rPr>
                <w:rFonts w:ascii="Arial" w:hAnsi="Arial" w:cs="Arial"/>
                <w:b/>
                <w:bCs/>
                <w:color w:val="FFFFFF"/>
                <w:sz w:val="20"/>
                <w:szCs w:val="20"/>
              </w:rPr>
            </w:pPr>
          </w:p>
        </w:tc>
        <w:tc>
          <w:tcPr>
            <w:tcW w:w="1043" w:type="dxa"/>
            <w:gridSpan w:val="3"/>
            <w:tcBorders>
              <w:top w:val="nil"/>
              <w:left w:val="nil"/>
              <w:bottom w:val="single" w:sz="12" w:space="0" w:color="auto"/>
              <w:right w:val="nil"/>
            </w:tcBorders>
            <w:shd w:val="clear" w:color="000000" w:fill="006A71"/>
            <w:vAlign w:val="bottom"/>
          </w:tcPr>
          <w:p w14:paraId="442B9FCC"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2016</w:t>
            </w:r>
          </w:p>
        </w:tc>
        <w:tc>
          <w:tcPr>
            <w:tcW w:w="977" w:type="dxa"/>
            <w:gridSpan w:val="3"/>
            <w:tcBorders>
              <w:top w:val="nil"/>
              <w:left w:val="nil"/>
              <w:bottom w:val="single" w:sz="12" w:space="0" w:color="auto"/>
              <w:right w:val="nil"/>
            </w:tcBorders>
            <w:shd w:val="clear" w:color="000000" w:fill="006A71"/>
            <w:vAlign w:val="bottom"/>
          </w:tcPr>
          <w:p w14:paraId="589E3DA2"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2017-20</w:t>
            </w:r>
          </w:p>
        </w:tc>
        <w:tc>
          <w:tcPr>
            <w:tcW w:w="1084" w:type="dxa"/>
            <w:gridSpan w:val="3"/>
            <w:tcBorders>
              <w:top w:val="nil"/>
              <w:left w:val="nil"/>
              <w:bottom w:val="single" w:sz="12" w:space="0" w:color="auto"/>
              <w:right w:val="single" w:sz="8" w:space="0" w:color="auto"/>
            </w:tcBorders>
            <w:shd w:val="clear" w:color="000000" w:fill="006A71"/>
            <w:vAlign w:val="bottom"/>
          </w:tcPr>
          <w:p w14:paraId="49AF589A" w14:textId="77777777" w:rsidR="00862469" w:rsidRPr="005D27A7" w:rsidRDefault="00862469" w:rsidP="001D31E6">
            <w:pPr>
              <w:jc w:val="center"/>
              <w:rPr>
                <w:rFonts w:ascii="Arial" w:hAnsi="Arial" w:cs="Arial"/>
                <w:b/>
                <w:bCs/>
                <w:color w:val="FFFFFF"/>
                <w:sz w:val="20"/>
                <w:szCs w:val="20"/>
              </w:rPr>
            </w:pPr>
            <w:r w:rsidRPr="005D27A7">
              <w:rPr>
                <w:rFonts w:ascii="Arial" w:hAnsi="Arial" w:cs="Arial"/>
                <w:b/>
                <w:bCs/>
                <w:color w:val="FFFFFF"/>
                <w:sz w:val="20"/>
                <w:szCs w:val="20"/>
              </w:rPr>
              <w:t>202</w:t>
            </w:r>
            <w:r w:rsidR="001D31E6">
              <w:rPr>
                <w:rFonts w:ascii="Arial" w:hAnsi="Arial" w:cs="Arial"/>
                <w:b/>
                <w:bCs/>
                <w:color w:val="FFFFFF"/>
                <w:sz w:val="20"/>
                <w:szCs w:val="20"/>
              </w:rPr>
              <w:t>1</w:t>
            </w:r>
            <w:r w:rsidRPr="005D27A7">
              <w:rPr>
                <w:rFonts w:ascii="Arial" w:hAnsi="Arial" w:cs="Arial"/>
                <w:b/>
                <w:bCs/>
                <w:color w:val="FFFFFF"/>
                <w:sz w:val="20"/>
                <w:szCs w:val="20"/>
              </w:rPr>
              <w:t>-35</w:t>
            </w:r>
          </w:p>
        </w:tc>
      </w:tr>
      <w:tr w:rsidR="005D27A7" w:rsidRPr="005D27A7" w14:paraId="29351683" w14:textId="77777777">
        <w:trPr>
          <w:gridAfter w:val="1"/>
          <w:wAfter w:w="720" w:type="dxa"/>
          <w:trHeight w:val="262"/>
        </w:trPr>
        <w:tc>
          <w:tcPr>
            <w:tcW w:w="2938" w:type="dxa"/>
            <w:gridSpan w:val="2"/>
            <w:tcBorders>
              <w:top w:val="single" w:sz="12" w:space="0" w:color="auto"/>
              <w:left w:val="single" w:sz="8" w:space="0" w:color="auto"/>
              <w:bottom w:val="nil"/>
              <w:right w:val="nil"/>
            </w:tcBorders>
            <w:shd w:val="clear" w:color="000000" w:fill="807F83"/>
            <w:vAlign w:val="bottom"/>
          </w:tcPr>
          <w:p w14:paraId="42A86617" w14:textId="77777777" w:rsidR="00862469" w:rsidRPr="005D27A7" w:rsidRDefault="00862469" w:rsidP="00862469">
            <w:pPr>
              <w:rPr>
                <w:rFonts w:ascii="Arial" w:hAnsi="Arial" w:cs="Arial"/>
                <w:b/>
                <w:bCs/>
                <w:i/>
                <w:iCs/>
                <w:color w:val="FFFFFF"/>
                <w:sz w:val="20"/>
                <w:szCs w:val="20"/>
              </w:rPr>
            </w:pPr>
            <w:r w:rsidRPr="005D27A7">
              <w:rPr>
                <w:rFonts w:ascii="Arial" w:hAnsi="Arial" w:cs="Arial"/>
                <w:b/>
                <w:bCs/>
                <w:i/>
                <w:iCs/>
                <w:color w:val="FFFFFF"/>
                <w:sz w:val="20"/>
                <w:szCs w:val="20"/>
              </w:rPr>
              <w:t>Direct</w:t>
            </w:r>
            <w:r w:rsidR="00FE2597">
              <w:rPr>
                <w:rFonts w:ascii="Arial" w:hAnsi="Arial" w:cs="Arial"/>
                <w:b/>
                <w:bCs/>
                <w:i/>
                <w:iCs/>
                <w:color w:val="FFFFFF"/>
                <w:sz w:val="20"/>
                <w:szCs w:val="20"/>
              </w:rPr>
              <w:t>-c</w:t>
            </w:r>
            <w:r w:rsidRPr="005D27A7">
              <w:rPr>
                <w:rFonts w:ascii="Arial" w:hAnsi="Arial" w:cs="Arial"/>
                <w:b/>
                <w:bCs/>
                <w:i/>
                <w:iCs/>
                <w:color w:val="FFFFFF"/>
                <w:sz w:val="20"/>
                <w:szCs w:val="20"/>
              </w:rPr>
              <w:t xml:space="preserve">onnect </w:t>
            </w:r>
          </w:p>
        </w:tc>
        <w:tc>
          <w:tcPr>
            <w:tcW w:w="949" w:type="dxa"/>
            <w:gridSpan w:val="2"/>
            <w:tcBorders>
              <w:top w:val="single" w:sz="12" w:space="0" w:color="auto"/>
              <w:left w:val="nil"/>
              <w:bottom w:val="nil"/>
              <w:right w:val="nil"/>
            </w:tcBorders>
            <w:shd w:val="clear" w:color="000000" w:fill="807F83"/>
            <w:vAlign w:val="bottom"/>
          </w:tcPr>
          <w:p w14:paraId="51614C68" w14:textId="77777777" w:rsidR="00862469" w:rsidRPr="005D27A7" w:rsidRDefault="00862469" w:rsidP="005D27A7">
            <w:pPr>
              <w:ind w:right="215" w:hanging="477"/>
              <w:rPr>
                <w:rFonts w:ascii="Arial" w:hAnsi="Arial" w:cs="Arial"/>
                <w:i/>
                <w:iCs/>
                <w:sz w:val="20"/>
                <w:szCs w:val="20"/>
              </w:rPr>
            </w:pPr>
            <w:r w:rsidRPr="005D27A7">
              <w:rPr>
                <w:rFonts w:ascii="Arial" w:hAnsi="Arial" w:cs="Arial"/>
                <w:i/>
                <w:iCs/>
                <w:sz w:val="20"/>
                <w:szCs w:val="20"/>
              </w:rPr>
              <w:t> </w:t>
            </w:r>
          </w:p>
        </w:tc>
        <w:tc>
          <w:tcPr>
            <w:tcW w:w="1209" w:type="dxa"/>
            <w:gridSpan w:val="5"/>
            <w:tcBorders>
              <w:top w:val="single" w:sz="12" w:space="0" w:color="auto"/>
              <w:left w:val="nil"/>
              <w:bottom w:val="nil"/>
              <w:right w:val="nil"/>
            </w:tcBorders>
            <w:shd w:val="clear" w:color="000000" w:fill="807F83"/>
            <w:vAlign w:val="bottom"/>
          </w:tcPr>
          <w:p w14:paraId="1CBD19A2" w14:textId="77777777" w:rsidR="00862469" w:rsidRPr="005D27A7" w:rsidRDefault="00862469" w:rsidP="00862469">
            <w:pPr>
              <w:rPr>
                <w:rFonts w:ascii="Arial" w:hAnsi="Arial" w:cs="Arial"/>
                <w:i/>
                <w:iCs/>
                <w:sz w:val="20"/>
                <w:szCs w:val="20"/>
              </w:rPr>
            </w:pPr>
            <w:r w:rsidRPr="005D27A7">
              <w:rPr>
                <w:rFonts w:ascii="Arial" w:hAnsi="Arial" w:cs="Arial"/>
                <w:i/>
                <w:iCs/>
                <w:sz w:val="20"/>
                <w:szCs w:val="20"/>
              </w:rPr>
              <w:t> </w:t>
            </w:r>
          </w:p>
        </w:tc>
        <w:tc>
          <w:tcPr>
            <w:tcW w:w="1043" w:type="dxa"/>
            <w:gridSpan w:val="3"/>
            <w:tcBorders>
              <w:top w:val="nil"/>
              <w:left w:val="nil"/>
              <w:bottom w:val="nil"/>
              <w:right w:val="nil"/>
            </w:tcBorders>
            <w:shd w:val="clear" w:color="000000" w:fill="807F83"/>
            <w:vAlign w:val="bottom"/>
          </w:tcPr>
          <w:p w14:paraId="1D8D2C41" w14:textId="77777777" w:rsidR="00862469" w:rsidRPr="005D27A7" w:rsidRDefault="00862469" w:rsidP="00862469">
            <w:pPr>
              <w:rPr>
                <w:rFonts w:ascii="Arial" w:hAnsi="Arial" w:cs="Arial"/>
                <w:i/>
                <w:iCs/>
                <w:sz w:val="20"/>
                <w:szCs w:val="20"/>
              </w:rPr>
            </w:pPr>
            <w:r w:rsidRPr="005D27A7">
              <w:rPr>
                <w:rFonts w:ascii="Arial" w:hAnsi="Arial" w:cs="Arial"/>
                <w:i/>
                <w:iCs/>
                <w:sz w:val="20"/>
                <w:szCs w:val="20"/>
              </w:rPr>
              <w:t> </w:t>
            </w:r>
          </w:p>
        </w:tc>
        <w:tc>
          <w:tcPr>
            <w:tcW w:w="977" w:type="dxa"/>
            <w:gridSpan w:val="3"/>
            <w:tcBorders>
              <w:top w:val="nil"/>
              <w:left w:val="nil"/>
              <w:bottom w:val="nil"/>
              <w:right w:val="nil"/>
            </w:tcBorders>
            <w:shd w:val="clear" w:color="000000" w:fill="807F83"/>
            <w:vAlign w:val="bottom"/>
          </w:tcPr>
          <w:p w14:paraId="4BE76944" w14:textId="77777777" w:rsidR="00862469" w:rsidRPr="005D27A7" w:rsidRDefault="00862469" w:rsidP="00862469">
            <w:pPr>
              <w:rPr>
                <w:rFonts w:ascii="Arial" w:hAnsi="Arial" w:cs="Arial"/>
                <w:i/>
                <w:iCs/>
                <w:sz w:val="20"/>
                <w:szCs w:val="20"/>
              </w:rPr>
            </w:pPr>
            <w:r w:rsidRPr="005D27A7">
              <w:rPr>
                <w:rFonts w:ascii="Arial" w:hAnsi="Arial" w:cs="Arial"/>
                <w:i/>
                <w:iCs/>
                <w:sz w:val="20"/>
                <w:szCs w:val="20"/>
              </w:rPr>
              <w:t> </w:t>
            </w:r>
          </w:p>
        </w:tc>
        <w:tc>
          <w:tcPr>
            <w:tcW w:w="1084" w:type="dxa"/>
            <w:gridSpan w:val="3"/>
            <w:tcBorders>
              <w:top w:val="nil"/>
              <w:left w:val="nil"/>
              <w:bottom w:val="nil"/>
              <w:right w:val="single" w:sz="8" w:space="0" w:color="auto"/>
            </w:tcBorders>
            <w:shd w:val="clear" w:color="000000" w:fill="807F83"/>
            <w:vAlign w:val="bottom"/>
          </w:tcPr>
          <w:p w14:paraId="07BE43A0" w14:textId="77777777" w:rsidR="00862469" w:rsidRPr="005D27A7" w:rsidRDefault="00862469" w:rsidP="00862469">
            <w:pPr>
              <w:rPr>
                <w:rFonts w:ascii="Arial" w:hAnsi="Arial" w:cs="Arial"/>
                <w:i/>
                <w:iCs/>
                <w:sz w:val="20"/>
                <w:szCs w:val="20"/>
              </w:rPr>
            </w:pPr>
            <w:r w:rsidRPr="005D27A7">
              <w:rPr>
                <w:rFonts w:ascii="Arial" w:hAnsi="Arial" w:cs="Arial"/>
                <w:i/>
                <w:iCs/>
                <w:sz w:val="20"/>
                <w:szCs w:val="20"/>
              </w:rPr>
              <w:t> </w:t>
            </w:r>
          </w:p>
        </w:tc>
      </w:tr>
      <w:tr w:rsidR="005D27A7" w:rsidRPr="005D27A7" w14:paraId="225784AA" w14:textId="77777777">
        <w:trPr>
          <w:gridAfter w:val="1"/>
          <w:wAfter w:w="720" w:type="dxa"/>
          <w:trHeight w:val="248"/>
        </w:trPr>
        <w:tc>
          <w:tcPr>
            <w:tcW w:w="2938" w:type="dxa"/>
            <w:gridSpan w:val="2"/>
            <w:vMerge w:val="restart"/>
            <w:tcBorders>
              <w:top w:val="nil"/>
              <w:left w:val="single" w:sz="8" w:space="0" w:color="auto"/>
              <w:bottom w:val="nil"/>
              <w:right w:val="nil"/>
            </w:tcBorders>
            <w:shd w:val="clear" w:color="auto" w:fill="auto"/>
          </w:tcPr>
          <w:p w14:paraId="74AD5AB5" w14:textId="77777777" w:rsidR="00862469" w:rsidRPr="005D27A7" w:rsidRDefault="00862469" w:rsidP="00862469">
            <w:pPr>
              <w:rPr>
                <w:rFonts w:ascii="Arial" w:hAnsi="Arial" w:cs="Arial"/>
                <w:sz w:val="20"/>
                <w:szCs w:val="20"/>
              </w:rPr>
            </w:pPr>
            <w:r w:rsidRPr="005D27A7">
              <w:rPr>
                <w:rFonts w:ascii="Arial" w:hAnsi="Arial" w:cs="Arial"/>
                <w:sz w:val="20"/>
                <w:szCs w:val="20"/>
              </w:rPr>
              <w:t>NWP/</w:t>
            </w:r>
            <w:proofErr w:type="spellStart"/>
            <w:r w:rsidRPr="005D27A7">
              <w:rPr>
                <w:rFonts w:ascii="Arial" w:hAnsi="Arial" w:cs="Arial"/>
                <w:sz w:val="20"/>
                <w:szCs w:val="20"/>
              </w:rPr>
              <w:t>Westcoast</w:t>
            </w:r>
            <w:proofErr w:type="spellEnd"/>
            <w:r w:rsidRPr="005D27A7">
              <w:rPr>
                <w:rFonts w:ascii="Arial" w:hAnsi="Arial" w:cs="Arial"/>
                <w:sz w:val="20"/>
                <w:szCs w:val="20"/>
              </w:rPr>
              <w:t xml:space="preserve"> Interconnect (Sumas)</w:t>
            </w:r>
          </w:p>
        </w:tc>
        <w:tc>
          <w:tcPr>
            <w:tcW w:w="949" w:type="dxa"/>
            <w:gridSpan w:val="2"/>
            <w:vMerge w:val="restart"/>
            <w:tcBorders>
              <w:top w:val="nil"/>
              <w:left w:val="nil"/>
              <w:bottom w:val="nil"/>
              <w:right w:val="nil"/>
            </w:tcBorders>
            <w:shd w:val="clear" w:color="auto" w:fill="auto"/>
            <w:vAlign w:val="center"/>
          </w:tcPr>
          <w:p w14:paraId="397DB7A8" w14:textId="77777777" w:rsidR="00862469" w:rsidRPr="005D27A7" w:rsidRDefault="00862469" w:rsidP="00882948">
            <w:pPr>
              <w:ind w:right="215" w:hanging="477"/>
              <w:jc w:val="center"/>
              <w:rPr>
                <w:rFonts w:ascii="Arial" w:hAnsi="Arial" w:cs="Arial"/>
                <w:sz w:val="20"/>
                <w:szCs w:val="20"/>
              </w:rPr>
            </w:pPr>
            <w:r w:rsidRPr="005D27A7">
              <w:rPr>
                <w:rFonts w:ascii="Arial" w:hAnsi="Arial" w:cs="Arial"/>
                <w:sz w:val="20"/>
                <w:szCs w:val="20"/>
              </w:rPr>
              <w:t>1</w:t>
            </w:r>
          </w:p>
        </w:tc>
        <w:tc>
          <w:tcPr>
            <w:tcW w:w="1209" w:type="dxa"/>
            <w:gridSpan w:val="5"/>
            <w:vMerge w:val="restart"/>
            <w:tcBorders>
              <w:top w:val="nil"/>
              <w:left w:val="nil"/>
              <w:bottom w:val="nil"/>
              <w:right w:val="nil"/>
            </w:tcBorders>
            <w:shd w:val="clear" w:color="auto" w:fill="auto"/>
            <w:vAlign w:val="center"/>
          </w:tcPr>
          <w:p w14:paraId="26FB8312"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269,181</w:t>
            </w:r>
          </w:p>
        </w:tc>
        <w:tc>
          <w:tcPr>
            <w:tcW w:w="1043" w:type="dxa"/>
            <w:gridSpan w:val="3"/>
            <w:vMerge w:val="restart"/>
            <w:tcBorders>
              <w:top w:val="nil"/>
              <w:left w:val="nil"/>
              <w:bottom w:val="nil"/>
              <w:right w:val="nil"/>
            </w:tcBorders>
            <w:shd w:val="clear" w:color="auto" w:fill="auto"/>
            <w:vAlign w:val="center"/>
          </w:tcPr>
          <w:p w14:paraId="19E0179E"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8,386</w:t>
            </w:r>
          </w:p>
        </w:tc>
        <w:tc>
          <w:tcPr>
            <w:tcW w:w="977" w:type="dxa"/>
            <w:gridSpan w:val="3"/>
            <w:vMerge w:val="restart"/>
            <w:tcBorders>
              <w:top w:val="nil"/>
              <w:left w:val="nil"/>
              <w:bottom w:val="nil"/>
              <w:right w:val="nil"/>
            </w:tcBorders>
            <w:shd w:val="clear" w:color="auto" w:fill="auto"/>
            <w:vAlign w:val="center"/>
          </w:tcPr>
          <w:p w14:paraId="44F6C637"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254,645</w:t>
            </w:r>
          </w:p>
        </w:tc>
        <w:tc>
          <w:tcPr>
            <w:tcW w:w="1084" w:type="dxa"/>
            <w:gridSpan w:val="3"/>
            <w:vMerge w:val="restart"/>
            <w:tcBorders>
              <w:top w:val="nil"/>
              <w:left w:val="nil"/>
              <w:bottom w:val="nil"/>
              <w:right w:val="single" w:sz="8" w:space="0" w:color="auto"/>
            </w:tcBorders>
            <w:shd w:val="clear" w:color="auto" w:fill="auto"/>
            <w:vAlign w:val="center"/>
          </w:tcPr>
          <w:p w14:paraId="4A1F0033"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6,150</w:t>
            </w:r>
          </w:p>
        </w:tc>
      </w:tr>
      <w:tr w:rsidR="005D27A7" w:rsidRPr="005D27A7" w14:paraId="0AF91706" w14:textId="77777777">
        <w:trPr>
          <w:gridAfter w:val="1"/>
          <w:wAfter w:w="720" w:type="dxa"/>
          <w:trHeight w:val="248"/>
        </w:trPr>
        <w:tc>
          <w:tcPr>
            <w:tcW w:w="2938" w:type="dxa"/>
            <w:gridSpan w:val="2"/>
            <w:vMerge/>
            <w:tcBorders>
              <w:top w:val="nil"/>
              <w:left w:val="single" w:sz="8" w:space="0" w:color="auto"/>
              <w:bottom w:val="nil"/>
              <w:right w:val="nil"/>
            </w:tcBorders>
            <w:vAlign w:val="center"/>
          </w:tcPr>
          <w:p w14:paraId="128922F6" w14:textId="77777777" w:rsidR="00862469" w:rsidRPr="005D27A7" w:rsidRDefault="00862469" w:rsidP="00862469">
            <w:pPr>
              <w:rPr>
                <w:rFonts w:ascii="Arial" w:hAnsi="Arial" w:cs="Arial"/>
                <w:sz w:val="20"/>
                <w:szCs w:val="20"/>
              </w:rPr>
            </w:pPr>
          </w:p>
        </w:tc>
        <w:tc>
          <w:tcPr>
            <w:tcW w:w="949" w:type="dxa"/>
            <w:gridSpan w:val="2"/>
            <w:vMerge/>
            <w:tcBorders>
              <w:top w:val="nil"/>
              <w:left w:val="nil"/>
              <w:bottom w:val="nil"/>
              <w:right w:val="nil"/>
            </w:tcBorders>
            <w:vAlign w:val="center"/>
          </w:tcPr>
          <w:p w14:paraId="320EE97F" w14:textId="77777777" w:rsidR="00862469" w:rsidRPr="005D27A7" w:rsidRDefault="00862469" w:rsidP="00882948">
            <w:pPr>
              <w:ind w:right="215" w:hanging="477"/>
              <w:jc w:val="center"/>
              <w:rPr>
                <w:rFonts w:ascii="Arial" w:hAnsi="Arial" w:cs="Arial"/>
                <w:sz w:val="20"/>
                <w:szCs w:val="20"/>
              </w:rPr>
            </w:pPr>
          </w:p>
        </w:tc>
        <w:tc>
          <w:tcPr>
            <w:tcW w:w="1209" w:type="dxa"/>
            <w:gridSpan w:val="5"/>
            <w:vMerge/>
            <w:tcBorders>
              <w:top w:val="nil"/>
              <w:left w:val="nil"/>
              <w:bottom w:val="nil"/>
              <w:right w:val="nil"/>
            </w:tcBorders>
            <w:vAlign w:val="center"/>
          </w:tcPr>
          <w:p w14:paraId="01207479" w14:textId="77777777" w:rsidR="00862469" w:rsidRPr="005D27A7" w:rsidRDefault="00862469" w:rsidP="00862469">
            <w:pPr>
              <w:rPr>
                <w:rFonts w:ascii="Arial" w:hAnsi="Arial" w:cs="Arial"/>
                <w:sz w:val="20"/>
                <w:szCs w:val="20"/>
              </w:rPr>
            </w:pPr>
          </w:p>
        </w:tc>
        <w:tc>
          <w:tcPr>
            <w:tcW w:w="1043" w:type="dxa"/>
            <w:gridSpan w:val="3"/>
            <w:vMerge/>
            <w:tcBorders>
              <w:top w:val="nil"/>
              <w:left w:val="nil"/>
              <w:bottom w:val="nil"/>
              <w:right w:val="nil"/>
            </w:tcBorders>
            <w:vAlign w:val="center"/>
          </w:tcPr>
          <w:p w14:paraId="5520F66F" w14:textId="77777777" w:rsidR="00862469" w:rsidRPr="005D27A7" w:rsidRDefault="00862469" w:rsidP="00862469">
            <w:pPr>
              <w:rPr>
                <w:rFonts w:ascii="Arial" w:hAnsi="Arial" w:cs="Arial"/>
                <w:sz w:val="20"/>
                <w:szCs w:val="20"/>
              </w:rPr>
            </w:pPr>
          </w:p>
        </w:tc>
        <w:tc>
          <w:tcPr>
            <w:tcW w:w="977" w:type="dxa"/>
            <w:gridSpan w:val="3"/>
            <w:vMerge/>
            <w:tcBorders>
              <w:top w:val="nil"/>
              <w:left w:val="nil"/>
              <w:bottom w:val="nil"/>
              <w:right w:val="nil"/>
            </w:tcBorders>
            <w:vAlign w:val="center"/>
          </w:tcPr>
          <w:p w14:paraId="6C9AEE2B" w14:textId="77777777" w:rsidR="00862469" w:rsidRPr="005D27A7" w:rsidRDefault="00862469" w:rsidP="00862469">
            <w:pPr>
              <w:rPr>
                <w:rFonts w:ascii="Arial" w:hAnsi="Arial" w:cs="Arial"/>
                <w:sz w:val="20"/>
                <w:szCs w:val="20"/>
              </w:rPr>
            </w:pPr>
          </w:p>
        </w:tc>
        <w:tc>
          <w:tcPr>
            <w:tcW w:w="1084" w:type="dxa"/>
            <w:gridSpan w:val="3"/>
            <w:vMerge/>
            <w:tcBorders>
              <w:top w:val="nil"/>
              <w:left w:val="nil"/>
              <w:bottom w:val="nil"/>
              <w:right w:val="single" w:sz="8" w:space="0" w:color="auto"/>
            </w:tcBorders>
            <w:vAlign w:val="center"/>
          </w:tcPr>
          <w:p w14:paraId="0EAFD7DE" w14:textId="77777777" w:rsidR="00862469" w:rsidRPr="005D27A7" w:rsidRDefault="00862469" w:rsidP="00862469">
            <w:pPr>
              <w:rPr>
                <w:rFonts w:ascii="Arial" w:hAnsi="Arial" w:cs="Arial"/>
                <w:sz w:val="20"/>
                <w:szCs w:val="20"/>
              </w:rPr>
            </w:pPr>
          </w:p>
        </w:tc>
      </w:tr>
      <w:tr w:rsidR="005D27A7" w:rsidRPr="005D27A7" w14:paraId="0C74BF09" w14:textId="77777777">
        <w:trPr>
          <w:gridAfter w:val="1"/>
          <w:wAfter w:w="720" w:type="dxa"/>
          <w:trHeight w:val="437"/>
        </w:trPr>
        <w:tc>
          <w:tcPr>
            <w:tcW w:w="2938" w:type="dxa"/>
            <w:gridSpan w:val="2"/>
            <w:tcBorders>
              <w:top w:val="nil"/>
              <w:left w:val="single" w:sz="8" w:space="0" w:color="auto"/>
              <w:bottom w:val="nil"/>
              <w:right w:val="nil"/>
            </w:tcBorders>
            <w:shd w:val="clear" w:color="auto" w:fill="auto"/>
          </w:tcPr>
          <w:p w14:paraId="10F4FD93" w14:textId="77777777" w:rsidR="00862469" w:rsidRPr="005D27A7" w:rsidRDefault="00862469" w:rsidP="00862469">
            <w:pPr>
              <w:rPr>
                <w:rFonts w:ascii="Arial" w:hAnsi="Arial" w:cs="Arial"/>
                <w:sz w:val="20"/>
                <w:szCs w:val="20"/>
              </w:rPr>
            </w:pPr>
            <w:r w:rsidRPr="005D27A7">
              <w:rPr>
                <w:rFonts w:ascii="Arial" w:hAnsi="Arial" w:cs="Arial"/>
                <w:sz w:val="20"/>
                <w:szCs w:val="20"/>
              </w:rPr>
              <w:t>NWP/TC-GTN Interconnect (Spokane)</w:t>
            </w:r>
          </w:p>
        </w:tc>
        <w:tc>
          <w:tcPr>
            <w:tcW w:w="949" w:type="dxa"/>
            <w:gridSpan w:val="2"/>
            <w:tcBorders>
              <w:top w:val="nil"/>
              <w:left w:val="nil"/>
              <w:bottom w:val="nil"/>
              <w:right w:val="nil"/>
            </w:tcBorders>
            <w:shd w:val="clear" w:color="auto" w:fill="auto"/>
            <w:vAlign w:val="center"/>
          </w:tcPr>
          <w:p w14:paraId="21B0B351" w14:textId="77777777" w:rsidR="00862469" w:rsidRPr="005D27A7" w:rsidRDefault="00862469" w:rsidP="00882948">
            <w:pPr>
              <w:ind w:right="215" w:hanging="477"/>
              <w:jc w:val="center"/>
              <w:rPr>
                <w:rFonts w:ascii="Arial" w:hAnsi="Arial" w:cs="Arial"/>
                <w:sz w:val="20"/>
                <w:szCs w:val="20"/>
              </w:rPr>
            </w:pPr>
            <w:r w:rsidRPr="005D27A7">
              <w:rPr>
                <w:rFonts w:ascii="Arial" w:hAnsi="Arial" w:cs="Arial"/>
                <w:sz w:val="20"/>
                <w:szCs w:val="20"/>
              </w:rPr>
              <w:t>1</w:t>
            </w:r>
          </w:p>
        </w:tc>
        <w:tc>
          <w:tcPr>
            <w:tcW w:w="1209" w:type="dxa"/>
            <w:gridSpan w:val="5"/>
            <w:tcBorders>
              <w:top w:val="nil"/>
              <w:left w:val="nil"/>
              <w:bottom w:val="nil"/>
              <w:right w:val="nil"/>
            </w:tcBorders>
            <w:shd w:val="clear" w:color="auto" w:fill="auto"/>
            <w:vAlign w:val="center"/>
          </w:tcPr>
          <w:p w14:paraId="12DBE5C6"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75,936</w:t>
            </w:r>
          </w:p>
        </w:tc>
        <w:tc>
          <w:tcPr>
            <w:tcW w:w="1043" w:type="dxa"/>
            <w:gridSpan w:val="3"/>
            <w:tcBorders>
              <w:top w:val="nil"/>
              <w:left w:val="nil"/>
              <w:bottom w:val="nil"/>
              <w:right w:val="nil"/>
            </w:tcBorders>
            <w:shd w:val="clear" w:color="auto" w:fill="auto"/>
            <w:vAlign w:val="center"/>
          </w:tcPr>
          <w:p w14:paraId="190A8B03"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c>
          <w:tcPr>
            <w:tcW w:w="977" w:type="dxa"/>
            <w:gridSpan w:val="3"/>
            <w:tcBorders>
              <w:top w:val="nil"/>
              <w:left w:val="nil"/>
              <w:bottom w:val="nil"/>
              <w:right w:val="nil"/>
            </w:tcBorders>
            <w:shd w:val="clear" w:color="auto" w:fill="auto"/>
            <w:vAlign w:val="center"/>
          </w:tcPr>
          <w:p w14:paraId="4483C0C4"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75,936</w:t>
            </w:r>
          </w:p>
        </w:tc>
        <w:tc>
          <w:tcPr>
            <w:tcW w:w="1084" w:type="dxa"/>
            <w:gridSpan w:val="3"/>
            <w:tcBorders>
              <w:top w:val="nil"/>
              <w:left w:val="nil"/>
              <w:bottom w:val="nil"/>
              <w:right w:val="single" w:sz="8" w:space="0" w:color="auto"/>
            </w:tcBorders>
            <w:shd w:val="clear" w:color="auto" w:fill="auto"/>
            <w:vAlign w:val="center"/>
          </w:tcPr>
          <w:p w14:paraId="0D86EE68"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r>
      <w:tr w:rsidR="005D27A7" w:rsidRPr="005D27A7" w14:paraId="7A6B4ECB" w14:textId="77777777">
        <w:trPr>
          <w:gridAfter w:val="1"/>
          <w:wAfter w:w="720" w:type="dxa"/>
          <w:trHeight w:val="248"/>
        </w:trPr>
        <w:tc>
          <w:tcPr>
            <w:tcW w:w="2938" w:type="dxa"/>
            <w:gridSpan w:val="2"/>
            <w:vMerge w:val="restart"/>
            <w:tcBorders>
              <w:top w:val="nil"/>
              <w:left w:val="single" w:sz="8" w:space="0" w:color="auto"/>
              <w:bottom w:val="nil"/>
              <w:right w:val="nil"/>
            </w:tcBorders>
            <w:shd w:val="clear" w:color="auto" w:fill="auto"/>
          </w:tcPr>
          <w:p w14:paraId="75D17909" w14:textId="77777777" w:rsidR="00862469" w:rsidRPr="005D27A7" w:rsidRDefault="00862469" w:rsidP="00862469">
            <w:pPr>
              <w:rPr>
                <w:rFonts w:ascii="Arial" w:hAnsi="Arial" w:cs="Arial"/>
                <w:sz w:val="20"/>
                <w:szCs w:val="20"/>
              </w:rPr>
            </w:pPr>
            <w:r w:rsidRPr="005D27A7">
              <w:rPr>
                <w:rFonts w:ascii="Arial" w:hAnsi="Arial" w:cs="Arial"/>
                <w:sz w:val="20"/>
                <w:szCs w:val="20"/>
              </w:rPr>
              <w:t xml:space="preserve">NWP/various Rockies </w:t>
            </w:r>
          </w:p>
        </w:tc>
        <w:tc>
          <w:tcPr>
            <w:tcW w:w="949" w:type="dxa"/>
            <w:gridSpan w:val="2"/>
            <w:vMerge w:val="restart"/>
            <w:tcBorders>
              <w:top w:val="nil"/>
              <w:left w:val="nil"/>
              <w:bottom w:val="nil"/>
              <w:right w:val="nil"/>
            </w:tcBorders>
            <w:shd w:val="clear" w:color="auto" w:fill="auto"/>
            <w:vAlign w:val="center"/>
          </w:tcPr>
          <w:p w14:paraId="001D3407" w14:textId="77777777" w:rsidR="00862469" w:rsidRPr="005D27A7" w:rsidRDefault="00862469" w:rsidP="00882948">
            <w:pPr>
              <w:ind w:right="215" w:hanging="477"/>
              <w:jc w:val="center"/>
              <w:rPr>
                <w:rFonts w:ascii="Arial" w:hAnsi="Arial" w:cs="Arial"/>
                <w:sz w:val="20"/>
                <w:szCs w:val="20"/>
              </w:rPr>
            </w:pPr>
            <w:r w:rsidRPr="005D27A7">
              <w:rPr>
                <w:rFonts w:ascii="Arial" w:hAnsi="Arial" w:cs="Arial"/>
                <w:sz w:val="20"/>
                <w:szCs w:val="20"/>
              </w:rPr>
              <w:t>1</w:t>
            </w:r>
          </w:p>
        </w:tc>
        <w:tc>
          <w:tcPr>
            <w:tcW w:w="1209" w:type="dxa"/>
            <w:gridSpan w:val="5"/>
            <w:vMerge w:val="restart"/>
            <w:tcBorders>
              <w:top w:val="nil"/>
              <w:left w:val="nil"/>
              <w:bottom w:val="nil"/>
              <w:right w:val="nil"/>
            </w:tcBorders>
            <w:shd w:val="clear" w:color="auto" w:fill="auto"/>
            <w:vAlign w:val="center"/>
          </w:tcPr>
          <w:p w14:paraId="7B61976D"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187,755</w:t>
            </w:r>
          </w:p>
        </w:tc>
        <w:tc>
          <w:tcPr>
            <w:tcW w:w="1043" w:type="dxa"/>
            <w:gridSpan w:val="3"/>
            <w:vMerge w:val="restart"/>
            <w:tcBorders>
              <w:top w:val="nil"/>
              <w:left w:val="nil"/>
              <w:bottom w:val="nil"/>
              <w:right w:val="nil"/>
            </w:tcBorders>
            <w:shd w:val="clear" w:color="auto" w:fill="auto"/>
            <w:vAlign w:val="center"/>
          </w:tcPr>
          <w:p w14:paraId="69FB3B37"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c>
          <w:tcPr>
            <w:tcW w:w="977" w:type="dxa"/>
            <w:gridSpan w:val="3"/>
            <w:vMerge w:val="restart"/>
            <w:tcBorders>
              <w:top w:val="nil"/>
              <w:left w:val="nil"/>
              <w:bottom w:val="nil"/>
              <w:right w:val="nil"/>
            </w:tcBorders>
            <w:shd w:val="clear" w:color="auto" w:fill="auto"/>
            <w:vAlign w:val="center"/>
          </w:tcPr>
          <w:p w14:paraId="661B968D"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187,755</w:t>
            </w:r>
          </w:p>
        </w:tc>
        <w:tc>
          <w:tcPr>
            <w:tcW w:w="1084" w:type="dxa"/>
            <w:gridSpan w:val="3"/>
            <w:vMerge w:val="restart"/>
            <w:tcBorders>
              <w:top w:val="nil"/>
              <w:left w:val="nil"/>
              <w:bottom w:val="nil"/>
              <w:right w:val="single" w:sz="8" w:space="0" w:color="auto"/>
            </w:tcBorders>
            <w:shd w:val="clear" w:color="auto" w:fill="auto"/>
            <w:vAlign w:val="center"/>
          </w:tcPr>
          <w:p w14:paraId="4B6B9CCD"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r>
      <w:tr w:rsidR="005D27A7" w:rsidRPr="005D27A7" w14:paraId="6D530334" w14:textId="77777777">
        <w:trPr>
          <w:gridAfter w:val="1"/>
          <w:wAfter w:w="720" w:type="dxa"/>
          <w:trHeight w:val="248"/>
        </w:trPr>
        <w:tc>
          <w:tcPr>
            <w:tcW w:w="2938" w:type="dxa"/>
            <w:gridSpan w:val="2"/>
            <w:vMerge/>
            <w:tcBorders>
              <w:top w:val="nil"/>
              <w:left w:val="single" w:sz="8" w:space="0" w:color="auto"/>
              <w:bottom w:val="nil"/>
              <w:right w:val="nil"/>
            </w:tcBorders>
            <w:vAlign w:val="center"/>
          </w:tcPr>
          <w:p w14:paraId="01BAB849" w14:textId="77777777" w:rsidR="00862469" w:rsidRPr="005D27A7" w:rsidRDefault="00862469" w:rsidP="00862469">
            <w:pPr>
              <w:rPr>
                <w:rFonts w:ascii="Arial" w:hAnsi="Arial" w:cs="Arial"/>
                <w:sz w:val="20"/>
                <w:szCs w:val="20"/>
              </w:rPr>
            </w:pPr>
          </w:p>
        </w:tc>
        <w:tc>
          <w:tcPr>
            <w:tcW w:w="949" w:type="dxa"/>
            <w:gridSpan w:val="2"/>
            <w:vMerge/>
            <w:tcBorders>
              <w:top w:val="nil"/>
              <w:left w:val="nil"/>
              <w:bottom w:val="nil"/>
              <w:right w:val="nil"/>
            </w:tcBorders>
            <w:vAlign w:val="center"/>
          </w:tcPr>
          <w:p w14:paraId="733C89C7" w14:textId="77777777" w:rsidR="00862469" w:rsidRPr="005D27A7" w:rsidRDefault="00862469" w:rsidP="00882948">
            <w:pPr>
              <w:ind w:right="215" w:hanging="477"/>
              <w:jc w:val="center"/>
              <w:rPr>
                <w:rFonts w:ascii="Arial" w:hAnsi="Arial" w:cs="Arial"/>
                <w:sz w:val="20"/>
                <w:szCs w:val="20"/>
              </w:rPr>
            </w:pPr>
          </w:p>
        </w:tc>
        <w:tc>
          <w:tcPr>
            <w:tcW w:w="1209" w:type="dxa"/>
            <w:gridSpan w:val="5"/>
            <w:vMerge/>
            <w:tcBorders>
              <w:top w:val="nil"/>
              <w:left w:val="nil"/>
              <w:bottom w:val="nil"/>
              <w:right w:val="nil"/>
            </w:tcBorders>
            <w:vAlign w:val="center"/>
          </w:tcPr>
          <w:p w14:paraId="747E9F83" w14:textId="77777777" w:rsidR="00862469" w:rsidRPr="005D27A7" w:rsidRDefault="00862469" w:rsidP="00862469">
            <w:pPr>
              <w:rPr>
                <w:rFonts w:ascii="Arial" w:hAnsi="Arial" w:cs="Arial"/>
                <w:sz w:val="20"/>
                <w:szCs w:val="20"/>
              </w:rPr>
            </w:pPr>
          </w:p>
        </w:tc>
        <w:tc>
          <w:tcPr>
            <w:tcW w:w="1043" w:type="dxa"/>
            <w:gridSpan w:val="3"/>
            <w:vMerge/>
            <w:tcBorders>
              <w:top w:val="nil"/>
              <w:left w:val="nil"/>
              <w:bottom w:val="nil"/>
              <w:right w:val="nil"/>
            </w:tcBorders>
            <w:vAlign w:val="center"/>
          </w:tcPr>
          <w:p w14:paraId="38BA5E0D" w14:textId="77777777" w:rsidR="00862469" w:rsidRPr="005D27A7" w:rsidRDefault="00862469" w:rsidP="00862469">
            <w:pPr>
              <w:rPr>
                <w:rFonts w:ascii="Arial" w:hAnsi="Arial" w:cs="Arial"/>
                <w:sz w:val="20"/>
                <w:szCs w:val="20"/>
              </w:rPr>
            </w:pPr>
          </w:p>
        </w:tc>
        <w:tc>
          <w:tcPr>
            <w:tcW w:w="977" w:type="dxa"/>
            <w:gridSpan w:val="3"/>
            <w:vMerge/>
            <w:tcBorders>
              <w:top w:val="nil"/>
              <w:left w:val="nil"/>
              <w:bottom w:val="nil"/>
              <w:right w:val="nil"/>
            </w:tcBorders>
            <w:vAlign w:val="center"/>
          </w:tcPr>
          <w:p w14:paraId="60B6DD21" w14:textId="77777777" w:rsidR="00862469" w:rsidRPr="005D27A7" w:rsidRDefault="00862469" w:rsidP="00862469">
            <w:pPr>
              <w:rPr>
                <w:rFonts w:ascii="Arial" w:hAnsi="Arial" w:cs="Arial"/>
                <w:sz w:val="20"/>
                <w:szCs w:val="20"/>
              </w:rPr>
            </w:pPr>
          </w:p>
        </w:tc>
        <w:tc>
          <w:tcPr>
            <w:tcW w:w="1084" w:type="dxa"/>
            <w:gridSpan w:val="3"/>
            <w:vMerge/>
            <w:tcBorders>
              <w:top w:val="nil"/>
              <w:left w:val="nil"/>
              <w:bottom w:val="nil"/>
              <w:right w:val="single" w:sz="8" w:space="0" w:color="auto"/>
            </w:tcBorders>
            <w:vAlign w:val="center"/>
          </w:tcPr>
          <w:p w14:paraId="624E34F8" w14:textId="77777777" w:rsidR="00862469" w:rsidRPr="005D27A7" w:rsidRDefault="00862469" w:rsidP="00862469">
            <w:pPr>
              <w:rPr>
                <w:rFonts w:ascii="Arial" w:hAnsi="Arial" w:cs="Arial"/>
                <w:sz w:val="20"/>
                <w:szCs w:val="20"/>
              </w:rPr>
            </w:pPr>
          </w:p>
        </w:tc>
      </w:tr>
      <w:tr w:rsidR="005D27A7" w:rsidRPr="005D27A7" w14:paraId="70E65AD5" w14:textId="77777777">
        <w:trPr>
          <w:gridAfter w:val="1"/>
          <w:wAfter w:w="720" w:type="dxa"/>
          <w:trHeight w:val="248"/>
        </w:trPr>
        <w:tc>
          <w:tcPr>
            <w:tcW w:w="2938" w:type="dxa"/>
            <w:gridSpan w:val="2"/>
            <w:tcBorders>
              <w:top w:val="nil"/>
              <w:left w:val="single" w:sz="8" w:space="0" w:color="auto"/>
              <w:bottom w:val="nil"/>
              <w:right w:val="nil"/>
            </w:tcBorders>
            <w:shd w:val="clear" w:color="000000" w:fill="D6CFCD"/>
            <w:vAlign w:val="bottom"/>
          </w:tcPr>
          <w:p w14:paraId="24AEDE6C" w14:textId="77777777" w:rsidR="00862469" w:rsidRPr="005D27A7" w:rsidRDefault="00862469" w:rsidP="00862469">
            <w:pPr>
              <w:rPr>
                <w:rFonts w:ascii="Arial" w:hAnsi="Arial" w:cs="Arial"/>
                <w:b/>
                <w:bCs/>
                <w:sz w:val="20"/>
                <w:szCs w:val="20"/>
              </w:rPr>
            </w:pPr>
            <w:r w:rsidRPr="005D27A7">
              <w:rPr>
                <w:rFonts w:ascii="Arial" w:hAnsi="Arial" w:cs="Arial"/>
                <w:b/>
                <w:bCs/>
                <w:sz w:val="20"/>
                <w:szCs w:val="20"/>
              </w:rPr>
              <w:t>Total TF-1</w:t>
            </w:r>
          </w:p>
        </w:tc>
        <w:tc>
          <w:tcPr>
            <w:tcW w:w="949" w:type="dxa"/>
            <w:gridSpan w:val="2"/>
            <w:tcBorders>
              <w:top w:val="nil"/>
              <w:left w:val="nil"/>
              <w:bottom w:val="nil"/>
              <w:right w:val="nil"/>
            </w:tcBorders>
            <w:shd w:val="clear" w:color="000000" w:fill="D6CFCD"/>
            <w:vAlign w:val="center"/>
          </w:tcPr>
          <w:p w14:paraId="6397AAE0" w14:textId="77777777" w:rsidR="00862469" w:rsidRPr="005D27A7" w:rsidRDefault="00862469" w:rsidP="00882948">
            <w:pPr>
              <w:ind w:right="215" w:hanging="477"/>
              <w:jc w:val="center"/>
              <w:rPr>
                <w:rFonts w:ascii="Arial" w:hAnsi="Arial" w:cs="Arial"/>
                <w:b/>
                <w:bCs/>
                <w:sz w:val="20"/>
                <w:szCs w:val="20"/>
              </w:rPr>
            </w:pPr>
          </w:p>
        </w:tc>
        <w:tc>
          <w:tcPr>
            <w:tcW w:w="1209" w:type="dxa"/>
            <w:gridSpan w:val="5"/>
            <w:tcBorders>
              <w:top w:val="nil"/>
              <w:left w:val="nil"/>
              <w:bottom w:val="nil"/>
              <w:right w:val="nil"/>
            </w:tcBorders>
            <w:shd w:val="clear" w:color="000000" w:fill="D6CFCD"/>
            <w:vAlign w:val="center"/>
          </w:tcPr>
          <w:p w14:paraId="4C8344D1" w14:textId="77777777" w:rsidR="00862469" w:rsidRPr="005D27A7" w:rsidRDefault="00862469" w:rsidP="00862469">
            <w:pPr>
              <w:jc w:val="right"/>
              <w:rPr>
                <w:rFonts w:ascii="Arial" w:hAnsi="Arial" w:cs="Arial"/>
                <w:b/>
                <w:bCs/>
                <w:sz w:val="20"/>
                <w:szCs w:val="20"/>
              </w:rPr>
            </w:pPr>
            <w:r w:rsidRPr="005D27A7">
              <w:rPr>
                <w:rFonts w:ascii="Arial" w:hAnsi="Arial" w:cs="Arial"/>
                <w:b/>
                <w:bCs/>
                <w:sz w:val="20"/>
                <w:szCs w:val="20"/>
              </w:rPr>
              <w:t>532,872</w:t>
            </w:r>
          </w:p>
        </w:tc>
        <w:tc>
          <w:tcPr>
            <w:tcW w:w="1043" w:type="dxa"/>
            <w:gridSpan w:val="3"/>
            <w:tcBorders>
              <w:top w:val="nil"/>
              <w:left w:val="nil"/>
              <w:bottom w:val="nil"/>
              <w:right w:val="nil"/>
            </w:tcBorders>
            <w:shd w:val="clear" w:color="000000" w:fill="D6CFCD"/>
            <w:vAlign w:val="center"/>
          </w:tcPr>
          <w:p w14:paraId="62F3DFEA" w14:textId="77777777" w:rsidR="00862469" w:rsidRPr="005D27A7" w:rsidRDefault="00862469" w:rsidP="00862469">
            <w:pPr>
              <w:jc w:val="right"/>
              <w:rPr>
                <w:rFonts w:ascii="Arial" w:hAnsi="Arial" w:cs="Arial"/>
                <w:b/>
                <w:bCs/>
                <w:sz w:val="20"/>
                <w:szCs w:val="20"/>
              </w:rPr>
            </w:pPr>
            <w:r w:rsidRPr="005D27A7">
              <w:rPr>
                <w:rFonts w:ascii="Arial" w:hAnsi="Arial" w:cs="Arial"/>
                <w:b/>
                <w:bCs/>
                <w:sz w:val="20"/>
                <w:szCs w:val="20"/>
              </w:rPr>
              <w:t>8,386</w:t>
            </w:r>
          </w:p>
        </w:tc>
        <w:tc>
          <w:tcPr>
            <w:tcW w:w="977" w:type="dxa"/>
            <w:gridSpan w:val="3"/>
            <w:tcBorders>
              <w:top w:val="nil"/>
              <w:left w:val="nil"/>
              <w:bottom w:val="nil"/>
              <w:right w:val="nil"/>
            </w:tcBorders>
            <w:shd w:val="clear" w:color="000000" w:fill="D6CFCD"/>
            <w:vAlign w:val="center"/>
          </w:tcPr>
          <w:p w14:paraId="40E1F39E" w14:textId="77777777" w:rsidR="00862469" w:rsidRPr="005D27A7" w:rsidRDefault="00862469" w:rsidP="00862469">
            <w:pPr>
              <w:jc w:val="right"/>
              <w:rPr>
                <w:rFonts w:ascii="Arial" w:hAnsi="Arial" w:cs="Arial"/>
                <w:b/>
                <w:bCs/>
                <w:sz w:val="20"/>
                <w:szCs w:val="20"/>
              </w:rPr>
            </w:pPr>
            <w:r w:rsidRPr="005D27A7">
              <w:rPr>
                <w:rFonts w:ascii="Arial" w:hAnsi="Arial" w:cs="Arial"/>
                <w:b/>
                <w:bCs/>
                <w:sz w:val="20"/>
                <w:szCs w:val="20"/>
              </w:rPr>
              <w:t>518,336</w:t>
            </w:r>
          </w:p>
        </w:tc>
        <w:tc>
          <w:tcPr>
            <w:tcW w:w="1084" w:type="dxa"/>
            <w:gridSpan w:val="3"/>
            <w:tcBorders>
              <w:top w:val="nil"/>
              <w:left w:val="nil"/>
              <w:bottom w:val="nil"/>
              <w:right w:val="single" w:sz="8" w:space="0" w:color="auto"/>
            </w:tcBorders>
            <w:shd w:val="clear" w:color="000000" w:fill="D6CFCD"/>
            <w:vAlign w:val="center"/>
          </w:tcPr>
          <w:p w14:paraId="374BC58C" w14:textId="77777777" w:rsidR="00862469" w:rsidRPr="005D27A7" w:rsidRDefault="00862469" w:rsidP="00862469">
            <w:pPr>
              <w:jc w:val="right"/>
              <w:rPr>
                <w:rFonts w:ascii="Arial" w:hAnsi="Arial" w:cs="Arial"/>
                <w:b/>
                <w:bCs/>
                <w:sz w:val="20"/>
                <w:szCs w:val="20"/>
              </w:rPr>
            </w:pPr>
            <w:r w:rsidRPr="005D27A7">
              <w:rPr>
                <w:rFonts w:ascii="Arial" w:hAnsi="Arial" w:cs="Arial"/>
                <w:b/>
                <w:bCs/>
                <w:sz w:val="20"/>
                <w:szCs w:val="20"/>
              </w:rPr>
              <w:t>6,150</w:t>
            </w:r>
          </w:p>
        </w:tc>
      </w:tr>
      <w:tr w:rsidR="005D27A7" w:rsidRPr="005D27A7" w14:paraId="7F3E1324" w14:textId="77777777">
        <w:trPr>
          <w:gridAfter w:val="1"/>
          <w:wAfter w:w="720" w:type="dxa"/>
          <w:trHeight w:val="248"/>
        </w:trPr>
        <w:tc>
          <w:tcPr>
            <w:tcW w:w="2938" w:type="dxa"/>
            <w:gridSpan w:val="2"/>
            <w:vMerge w:val="restart"/>
            <w:tcBorders>
              <w:top w:val="nil"/>
              <w:left w:val="single" w:sz="8" w:space="0" w:color="auto"/>
              <w:bottom w:val="nil"/>
              <w:right w:val="nil"/>
            </w:tcBorders>
            <w:shd w:val="clear" w:color="auto" w:fill="auto"/>
          </w:tcPr>
          <w:p w14:paraId="50378873" w14:textId="77777777" w:rsidR="00862469" w:rsidRPr="005D27A7" w:rsidRDefault="00862469" w:rsidP="00862469">
            <w:pPr>
              <w:rPr>
                <w:rFonts w:ascii="Arial" w:hAnsi="Arial" w:cs="Arial"/>
                <w:sz w:val="20"/>
                <w:szCs w:val="20"/>
              </w:rPr>
            </w:pPr>
            <w:r w:rsidRPr="005D27A7">
              <w:rPr>
                <w:rFonts w:ascii="Arial" w:hAnsi="Arial" w:cs="Arial"/>
                <w:sz w:val="20"/>
                <w:szCs w:val="20"/>
              </w:rPr>
              <w:t>NWP/Jackson Prairie Storage Redelivery Service</w:t>
            </w:r>
          </w:p>
        </w:tc>
        <w:tc>
          <w:tcPr>
            <w:tcW w:w="949" w:type="dxa"/>
            <w:gridSpan w:val="2"/>
            <w:vMerge w:val="restart"/>
            <w:tcBorders>
              <w:top w:val="nil"/>
              <w:left w:val="nil"/>
              <w:bottom w:val="nil"/>
              <w:right w:val="nil"/>
            </w:tcBorders>
            <w:shd w:val="clear" w:color="auto" w:fill="auto"/>
            <w:vAlign w:val="center"/>
          </w:tcPr>
          <w:p w14:paraId="7D7A9358" w14:textId="77777777" w:rsidR="00862469" w:rsidRPr="005D27A7" w:rsidRDefault="00862469" w:rsidP="00882948">
            <w:pPr>
              <w:ind w:left="4" w:right="215" w:hanging="477"/>
              <w:jc w:val="center"/>
              <w:rPr>
                <w:rFonts w:ascii="Arial" w:hAnsi="Arial" w:cs="Arial"/>
                <w:sz w:val="20"/>
                <w:szCs w:val="20"/>
              </w:rPr>
            </w:pPr>
            <w:r w:rsidRPr="005D27A7">
              <w:rPr>
                <w:rFonts w:ascii="Arial" w:hAnsi="Arial" w:cs="Arial"/>
                <w:sz w:val="20"/>
                <w:szCs w:val="20"/>
              </w:rPr>
              <w:t>1,2</w:t>
            </w:r>
          </w:p>
        </w:tc>
        <w:tc>
          <w:tcPr>
            <w:tcW w:w="1209" w:type="dxa"/>
            <w:gridSpan w:val="5"/>
            <w:vMerge w:val="restart"/>
            <w:tcBorders>
              <w:top w:val="nil"/>
              <w:left w:val="nil"/>
              <w:bottom w:val="nil"/>
              <w:right w:val="nil"/>
            </w:tcBorders>
            <w:shd w:val="clear" w:color="auto" w:fill="auto"/>
            <w:vAlign w:val="center"/>
          </w:tcPr>
          <w:p w14:paraId="62738290"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447,057</w:t>
            </w:r>
          </w:p>
        </w:tc>
        <w:tc>
          <w:tcPr>
            <w:tcW w:w="1043" w:type="dxa"/>
            <w:gridSpan w:val="3"/>
            <w:vMerge w:val="restart"/>
            <w:tcBorders>
              <w:top w:val="nil"/>
              <w:left w:val="nil"/>
              <w:bottom w:val="nil"/>
              <w:right w:val="nil"/>
            </w:tcBorders>
            <w:shd w:val="clear" w:color="auto" w:fill="auto"/>
            <w:vAlign w:val="center"/>
          </w:tcPr>
          <w:p w14:paraId="0464C83A"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c>
          <w:tcPr>
            <w:tcW w:w="977" w:type="dxa"/>
            <w:gridSpan w:val="3"/>
            <w:vMerge w:val="restart"/>
            <w:tcBorders>
              <w:top w:val="nil"/>
              <w:left w:val="nil"/>
              <w:bottom w:val="nil"/>
              <w:right w:val="nil"/>
            </w:tcBorders>
            <w:shd w:val="clear" w:color="auto" w:fill="auto"/>
            <w:vAlign w:val="center"/>
          </w:tcPr>
          <w:p w14:paraId="2961FA7D"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c>
          <w:tcPr>
            <w:tcW w:w="1084" w:type="dxa"/>
            <w:gridSpan w:val="3"/>
            <w:vMerge w:val="restart"/>
            <w:tcBorders>
              <w:top w:val="nil"/>
              <w:left w:val="nil"/>
              <w:bottom w:val="nil"/>
              <w:right w:val="single" w:sz="8" w:space="0" w:color="auto"/>
            </w:tcBorders>
            <w:shd w:val="clear" w:color="auto" w:fill="auto"/>
            <w:vAlign w:val="center"/>
          </w:tcPr>
          <w:p w14:paraId="2ED367B3" w14:textId="77777777" w:rsidR="00862469" w:rsidRPr="005D27A7" w:rsidRDefault="00882948" w:rsidP="00862469">
            <w:pPr>
              <w:jc w:val="right"/>
              <w:rPr>
                <w:rFonts w:ascii="Arial" w:hAnsi="Arial" w:cs="Arial"/>
                <w:sz w:val="20"/>
                <w:szCs w:val="20"/>
              </w:rPr>
            </w:pPr>
            <w:r>
              <w:rPr>
                <w:rFonts w:ascii="Arial" w:hAnsi="Arial" w:cs="Arial"/>
                <w:sz w:val="20"/>
                <w:szCs w:val="20"/>
              </w:rPr>
              <w:t xml:space="preserve">  </w:t>
            </w:r>
            <w:r w:rsidR="00862469" w:rsidRPr="005D27A7">
              <w:rPr>
                <w:rFonts w:ascii="Arial" w:hAnsi="Arial" w:cs="Arial"/>
                <w:sz w:val="20"/>
                <w:szCs w:val="20"/>
              </w:rPr>
              <w:t>447,057</w:t>
            </w:r>
          </w:p>
        </w:tc>
      </w:tr>
      <w:tr w:rsidR="005D27A7" w:rsidRPr="005D27A7" w14:paraId="3FF0595E" w14:textId="77777777">
        <w:trPr>
          <w:gridAfter w:val="1"/>
          <w:wAfter w:w="720" w:type="dxa"/>
          <w:trHeight w:val="248"/>
        </w:trPr>
        <w:tc>
          <w:tcPr>
            <w:tcW w:w="2938" w:type="dxa"/>
            <w:gridSpan w:val="2"/>
            <w:vMerge/>
            <w:tcBorders>
              <w:top w:val="nil"/>
              <w:left w:val="single" w:sz="8" w:space="0" w:color="auto"/>
              <w:bottom w:val="nil"/>
              <w:right w:val="nil"/>
            </w:tcBorders>
            <w:vAlign w:val="center"/>
          </w:tcPr>
          <w:p w14:paraId="0B715979" w14:textId="77777777" w:rsidR="00862469" w:rsidRPr="005D27A7" w:rsidRDefault="00862469" w:rsidP="00862469">
            <w:pPr>
              <w:rPr>
                <w:rFonts w:ascii="Arial" w:hAnsi="Arial" w:cs="Arial"/>
                <w:sz w:val="20"/>
                <w:szCs w:val="20"/>
              </w:rPr>
            </w:pPr>
          </w:p>
        </w:tc>
        <w:tc>
          <w:tcPr>
            <w:tcW w:w="949" w:type="dxa"/>
            <w:gridSpan w:val="2"/>
            <w:vMerge/>
            <w:tcBorders>
              <w:top w:val="nil"/>
              <w:left w:val="nil"/>
              <w:bottom w:val="nil"/>
              <w:right w:val="nil"/>
            </w:tcBorders>
            <w:vAlign w:val="center"/>
          </w:tcPr>
          <w:p w14:paraId="16822125" w14:textId="77777777" w:rsidR="00862469" w:rsidRPr="005D27A7" w:rsidRDefault="00862469" w:rsidP="00862469">
            <w:pPr>
              <w:rPr>
                <w:rFonts w:ascii="Arial" w:hAnsi="Arial" w:cs="Arial"/>
                <w:sz w:val="20"/>
                <w:szCs w:val="20"/>
              </w:rPr>
            </w:pPr>
          </w:p>
        </w:tc>
        <w:tc>
          <w:tcPr>
            <w:tcW w:w="1209" w:type="dxa"/>
            <w:gridSpan w:val="5"/>
            <w:vMerge/>
            <w:tcBorders>
              <w:top w:val="nil"/>
              <w:left w:val="nil"/>
              <w:bottom w:val="nil"/>
              <w:right w:val="nil"/>
            </w:tcBorders>
            <w:vAlign w:val="center"/>
          </w:tcPr>
          <w:p w14:paraId="193E4609" w14:textId="77777777" w:rsidR="00862469" w:rsidRPr="005D27A7" w:rsidRDefault="00862469" w:rsidP="00862469">
            <w:pPr>
              <w:rPr>
                <w:rFonts w:ascii="Arial" w:hAnsi="Arial" w:cs="Arial"/>
                <w:sz w:val="20"/>
                <w:szCs w:val="20"/>
              </w:rPr>
            </w:pPr>
          </w:p>
        </w:tc>
        <w:tc>
          <w:tcPr>
            <w:tcW w:w="1043" w:type="dxa"/>
            <w:gridSpan w:val="3"/>
            <w:vMerge/>
            <w:tcBorders>
              <w:top w:val="nil"/>
              <w:left w:val="nil"/>
              <w:bottom w:val="nil"/>
              <w:right w:val="nil"/>
            </w:tcBorders>
            <w:vAlign w:val="center"/>
          </w:tcPr>
          <w:p w14:paraId="05118696" w14:textId="77777777" w:rsidR="00862469" w:rsidRPr="005D27A7" w:rsidRDefault="00862469" w:rsidP="00862469">
            <w:pPr>
              <w:rPr>
                <w:rFonts w:ascii="Arial" w:hAnsi="Arial" w:cs="Arial"/>
                <w:sz w:val="20"/>
                <w:szCs w:val="20"/>
              </w:rPr>
            </w:pPr>
          </w:p>
        </w:tc>
        <w:tc>
          <w:tcPr>
            <w:tcW w:w="977" w:type="dxa"/>
            <w:gridSpan w:val="3"/>
            <w:vMerge/>
            <w:tcBorders>
              <w:top w:val="nil"/>
              <w:left w:val="nil"/>
              <w:bottom w:val="nil"/>
              <w:right w:val="nil"/>
            </w:tcBorders>
            <w:vAlign w:val="center"/>
          </w:tcPr>
          <w:p w14:paraId="0C64EEA1" w14:textId="77777777" w:rsidR="00862469" w:rsidRPr="005D27A7" w:rsidRDefault="00862469" w:rsidP="00862469">
            <w:pPr>
              <w:rPr>
                <w:rFonts w:ascii="Arial" w:hAnsi="Arial" w:cs="Arial"/>
                <w:sz w:val="20"/>
                <w:szCs w:val="20"/>
              </w:rPr>
            </w:pPr>
          </w:p>
        </w:tc>
        <w:tc>
          <w:tcPr>
            <w:tcW w:w="1084" w:type="dxa"/>
            <w:gridSpan w:val="3"/>
            <w:vMerge/>
            <w:tcBorders>
              <w:top w:val="nil"/>
              <w:left w:val="nil"/>
              <w:bottom w:val="nil"/>
              <w:right w:val="single" w:sz="8" w:space="0" w:color="auto"/>
            </w:tcBorders>
            <w:vAlign w:val="center"/>
          </w:tcPr>
          <w:p w14:paraId="17234A91" w14:textId="77777777" w:rsidR="00862469" w:rsidRPr="005D27A7" w:rsidRDefault="00862469" w:rsidP="00862469">
            <w:pPr>
              <w:rPr>
                <w:rFonts w:ascii="Arial" w:hAnsi="Arial" w:cs="Arial"/>
                <w:sz w:val="20"/>
                <w:szCs w:val="20"/>
              </w:rPr>
            </w:pPr>
          </w:p>
        </w:tc>
      </w:tr>
      <w:tr w:rsidR="005D27A7" w:rsidRPr="005D27A7" w14:paraId="33FAAB21" w14:textId="77777777">
        <w:trPr>
          <w:gridAfter w:val="1"/>
          <w:wAfter w:w="720" w:type="dxa"/>
          <w:trHeight w:val="248"/>
        </w:trPr>
        <w:tc>
          <w:tcPr>
            <w:tcW w:w="3887" w:type="dxa"/>
            <w:gridSpan w:val="4"/>
            <w:tcBorders>
              <w:top w:val="nil"/>
              <w:left w:val="single" w:sz="8" w:space="0" w:color="auto"/>
              <w:bottom w:val="nil"/>
              <w:right w:val="nil"/>
            </w:tcBorders>
            <w:shd w:val="clear" w:color="000000" w:fill="D6CFCD"/>
            <w:vAlign w:val="bottom"/>
          </w:tcPr>
          <w:p w14:paraId="02A149F0" w14:textId="77777777" w:rsidR="00862469" w:rsidRPr="005D27A7" w:rsidRDefault="00862469" w:rsidP="00862469">
            <w:pPr>
              <w:rPr>
                <w:rFonts w:ascii="Arial" w:hAnsi="Arial" w:cs="Arial"/>
                <w:b/>
                <w:bCs/>
                <w:color w:val="FF0000"/>
                <w:sz w:val="20"/>
                <w:szCs w:val="20"/>
              </w:rPr>
            </w:pPr>
            <w:r w:rsidRPr="005D27A7">
              <w:rPr>
                <w:rFonts w:ascii="Arial" w:hAnsi="Arial" w:cs="Arial"/>
                <w:b/>
                <w:bCs/>
                <w:sz w:val="20"/>
                <w:szCs w:val="20"/>
              </w:rPr>
              <w:t>Total Storage Redelivery Service</w:t>
            </w:r>
          </w:p>
        </w:tc>
        <w:tc>
          <w:tcPr>
            <w:tcW w:w="236" w:type="dxa"/>
            <w:tcBorders>
              <w:top w:val="nil"/>
              <w:left w:val="nil"/>
              <w:bottom w:val="nil"/>
              <w:right w:val="nil"/>
            </w:tcBorders>
            <w:shd w:val="clear" w:color="000000" w:fill="D6CFCD"/>
            <w:vAlign w:val="bottom"/>
          </w:tcPr>
          <w:p w14:paraId="009E270D" w14:textId="77777777" w:rsidR="00862469" w:rsidRPr="005D27A7" w:rsidRDefault="00862469" w:rsidP="00862469">
            <w:pPr>
              <w:rPr>
                <w:rFonts w:ascii="Arial" w:hAnsi="Arial" w:cs="Arial"/>
                <w:b/>
                <w:bCs/>
                <w:sz w:val="20"/>
                <w:szCs w:val="20"/>
              </w:rPr>
            </w:pPr>
            <w:r w:rsidRPr="005D27A7">
              <w:rPr>
                <w:rFonts w:ascii="Arial" w:hAnsi="Arial" w:cs="Arial"/>
                <w:b/>
                <w:bCs/>
                <w:sz w:val="20"/>
                <w:szCs w:val="20"/>
              </w:rPr>
              <w:t> </w:t>
            </w:r>
          </w:p>
        </w:tc>
        <w:tc>
          <w:tcPr>
            <w:tcW w:w="1194" w:type="dxa"/>
            <w:gridSpan w:val="5"/>
            <w:tcBorders>
              <w:top w:val="nil"/>
              <w:left w:val="nil"/>
              <w:bottom w:val="nil"/>
              <w:right w:val="nil"/>
            </w:tcBorders>
            <w:shd w:val="clear" w:color="000000" w:fill="D6CFCD"/>
            <w:vAlign w:val="bottom"/>
          </w:tcPr>
          <w:p w14:paraId="4E4CCD4E" w14:textId="77777777" w:rsidR="00862469" w:rsidRPr="005D27A7" w:rsidRDefault="00862469" w:rsidP="00CE0E54">
            <w:pPr>
              <w:ind w:left="-164" w:right="218" w:firstLine="164"/>
              <w:jc w:val="right"/>
              <w:rPr>
                <w:rFonts w:ascii="Arial" w:hAnsi="Arial" w:cs="Arial"/>
                <w:b/>
                <w:bCs/>
                <w:sz w:val="20"/>
                <w:szCs w:val="20"/>
              </w:rPr>
            </w:pPr>
            <w:r w:rsidRPr="005D27A7">
              <w:rPr>
                <w:rFonts w:ascii="Arial" w:hAnsi="Arial" w:cs="Arial"/>
                <w:b/>
                <w:bCs/>
                <w:sz w:val="20"/>
                <w:szCs w:val="20"/>
              </w:rPr>
              <w:t>447,057</w:t>
            </w:r>
          </w:p>
        </w:tc>
        <w:tc>
          <w:tcPr>
            <w:tcW w:w="1042" w:type="dxa"/>
            <w:gridSpan w:val="3"/>
            <w:tcBorders>
              <w:top w:val="nil"/>
              <w:left w:val="nil"/>
              <w:bottom w:val="nil"/>
              <w:right w:val="nil"/>
            </w:tcBorders>
            <w:shd w:val="clear" w:color="000000" w:fill="D6CFCD"/>
            <w:vAlign w:val="bottom"/>
          </w:tcPr>
          <w:p w14:paraId="736D00EB" w14:textId="77777777" w:rsidR="00862469" w:rsidRPr="005D27A7" w:rsidRDefault="00862469" w:rsidP="00CE0E54">
            <w:pPr>
              <w:tabs>
                <w:tab w:val="left" w:pos="646"/>
              </w:tabs>
              <w:ind w:left="-164" w:right="152" w:firstLine="90"/>
              <w:jc w:val="right"/>
              <w:rPr>
                <w:rFonts w:ascii="Arial" w:hAnsi="Arial" w:cs="Arial"/>
                <w:b/>
                <w:bCs/>
                <w:sz w:val="20"/>
                <w:szCs w:val="20"/>
              </w:rPr>
            </w:pPr>
            <w:r w:rsidRPr="005D27A7">
              <w:rPr>
                <w:rFonts w:ascii="Arial" w:hAnsi="Arial" w:cs="Arial"/>
                <w:b/>
                <w:bCs/>
                <w:sz w:val="20"/>
                <w:szCs w:val="20"/>
              </w:rPr>
              <w:t>-</w:t>
            </w:r>
          </w:p>
        </w:tc>
        <w:tc>
          <w:tcPr>
            <w:tcW w:w="978" w:type="dxa"/>
            <w:gridSpan w:val="3"/>
            <w:tcBorders>
              <w:top w:val="nil"/>
              <w:left w:val="nil"/>
              <w:bottom w:val="nil"/>
              <w:right w:val="nil"/>
            </w:tcBorders>
            <w:shd w:val="clear" w:color="000000" w:fill="D6CFCD"/>
            <w:vAlign w:val="bottom"/>
          </w:tcPr>
          <w:p w14:paraId="37C9316E" w14:textId="77777777" w:rsidR="00862469" w:rsidRPr="005D27A7" w:rsidRDefault="00862469" w:rsidP="00CE0E54">
            <w:pPr>
              <w:ind w:left="-18" w:firstLine="18"/>
              <w:jc w:val="right"/>
              <w:rPr>
                <w:rFonts w:ascii="Arial" w:hAnsi="Arial" w:cs="Arial"/>
                <w:b/>
                <w:bCs/>
                <w:sz w:val="20"/>
                <w:szCs w:val="20"/>
              </w:rPr>
            </w:pPr>
            <w:r w:rsidRPr="005D27A7">
              <w:rPr>
                <w:rFonts w:ascii="Arial" w:hAnsi="Arial" w:cs="Arial"/>
                <w:b/>
                <w:bCs/>
                <w:sz w:val="20"/>
                <w:szCs w:val="20"/>
              </w:rPr>
              <w:t>-</w:t>
            </w:r>
          </w:p>
        </w:tc>
        <w:tc>
          <w:tcPr>
            <w:tcW w:w="863" w:type="dxa"/>
            <w:gridSpan w:val="2"/>
            <w:tcBorders>
              <w:top w:val="nil"/>
              <w:left w:val="nil"/>
              <w:bottom w:val="nil"/>
              <w:right w:val="single" w:sz="8" w:space="0" w:color="auto"/>
            </w:tcBorders>
            <w:shd w:val="clear" w:color="000000" w:fill="D6CFCD"/>
            <w:vAlign w:val="bottom"/>
          </w:tcPr>
          <w:p w14:paraId="3C7A1EC1" w14:textId="77777777" w:rsidR="00862469" w:rsidRPr="005D27A7" w:rsidRDefault="00862469" w:rsidP="005D27A7">
            <w:pPr>
              <w:ind w:left="-254"/>
              <w:jc w:val="right"/>
              <w:rPr>
                <w:rFonts w:ascii="Arial" w:hAnsi="Arial" w:cs="Arial"/>
                <w:b/>
                <w:bCs/>
                <w:sz w:val="20"/>
                <w:szCs w:val="20"/>
              </w:rPr>
            </w:pPr>
            <w:r w:rsidRPr="005D27A7">
              <w:rPr>
                <w:rFonts w:ascii="Arial" w:hAnsi="Arial" w:cs="Arial"/>
                <w:b/>
                <w:bCs/>
                <w:sz w:val="20"/>
                <w:szCs w:val="20"/>
              </w:rPr>
              <w:t>447,057</w:t>
            </w:r>
          </w:p>
        </w:tc>
      </w:tr>
      <w:tr w:rsidR="005D27A7" w:rsidRPr="005D27A7" w14:paraId="4CE70623" w14:textId="77777777">
        <w:trPr>
          <w:gridAfter w:val="1"/>
          <w:wAfter w:w="720" w:type="dxa"/>
          <w:trHeight w:val="466"/>
        </w:trPr>
        <w:tc>
          <w:tcPr>
            <w:tcW w:w="2938" w:type="dxa"/>
            <w:gridSpan w:val="2"/>
            <w:tcBorders>
              <w:top w:val="nil"/>
              <w:left w:val="single" w:sz="8" w:space="0" w:color="auto"/>
              <w:bottom w:val="single" w:sz="8" w:space="0" w:color="auto"/>
              <w:right w:val="nil"/>
            </w:tcBorders>
            <w:shd w:val="clear" w:color="000000" w:fill="006A71"/>
            <w:vAlign w:val="bottom"/>
          </w:tcPr>
          <w:p w14:paraId="3283E2BC" w14:textId="77777777" w:rsidR="00862469" w:rsidRPr="005D27A7" w:rsidRDefault="00862469" w:rsidP="00862469">
            <w:pPr>
              <w:rPr>
                <w:rFonts w:ascii="Arial" w:hAnsi="Arial" w:cs="Arial"/>
                <w:b/>
                <w:bCs/>
                <w:color w:val="FFFFFF"/>
                <w:sz w:val="20"/>
                <w:szCs w:val="20"/>
              </w:rPr>
            </w:pPr>
            <w:r w:rsidRPr="005D27A7">
              <w:rPr>
                <w:rFonts w:ascii="Arial" w:hAnsi="Arial" w:cs="Arial"/>
                <w:b/>
                <w:bCs/>
                <w:color w:val="FFFFFF"/>
                <w:sz w:val="20"/>
                <w:szCs w:val="20"/>
              </w:rPr>
              <w:t>Total Capacity to City Gate</w:t>
            </w:r>
          </w:p>
        </w:tc>
        <w:tc>
          <w:tcPr>
            <w:tcW w:w="949" w:type="dxa"/>
            <w:gridSpan w:val="2"/>
            <w:tcBorders>
              <w:top w:val="nil"/>
              <w:left w:val="nil"/>
              <w:bottom w:val="single" w:sz="8" w:space="0" w:color="auto"/>
              <w:right w:val="nil"/>
            </w:tcBorders>
            <w:shd w:val="clear" w:color="000000" w:fill="006A71"/>
            <w:vAlign w:val="bottom"/>
          </w:tcPr>
          <w:p w14:paraId="089E26A9"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 </w:t>
            </w:r>
          </w:p>
        </w:tc>
        <w:tc>
          <w:tcPr>
            <w:tcW w:w="1209" w:type="dxa"/>
            <w:gridSpan w:val="5"/>
            <w:tcBorders>
              <w:top w:val="nil"/>
              <w:left w:val="nil"/>
              <w:bottom w:val="single" w:sz="8" w:space="0" w:color="auto"/>
              <w:right w:val="nil"/>
            </w:tcBorders>
            <w:shd w:val="clear" w:color="000000" w:fill="006A71"/>
            <w:vAlign w:val="bottom"/>
          </w:tcPr>
          <w:p w14:paraId="363DC523" w14:textId="77777777" w:rsidR="00862469" w:rsidRPr="005D27A7" w:rsidRDefault="00862469" w:rsidP="00862469">
            <w:pPr>
              <w:jc w:val="right"/>
              <w:rPr>
                <w:rFonts w:ascii="Arial" w:hAnsi="Arial" w:cs="Arial"/>
                <w:b/>
                <w:bCs/>
                <w:color w:val="FFFFFF"/>
                <w:sz w:val="20"/>
                <w:szCs w:val="20"/>
              </w:rPr>
            </w:pPr>
            <w:r w:rsidRPr="005D27A7">
              <w:rPr>
                <w:rFonts w:ascii="Arial" w:hAnsi="Arial" w:cs="Arial"/>
                <w:b/>
                <w:bCs/>
                <w:color w:val="FFFFFF"/>
                <w:sz w:val="20"/>
                <w:szCs w:val="20"/>
              </w:rPr>
              <w:t>979,929</w:t>
            </w:r>
          </w:p>
        </w:tc>
        <w:tc>
          <w:tcPr>
            <w:tcW w:w="1043" w:type="dxa"/>
            <w:gridSpan w:val="3"/>
            <w:tcBorders>
              <w:top w:val="nil"/>
              <w:left w:val="nil"/>
              <w:bottom w:val="single" w:sz="8" w:space="0" w:color="auto"/>
              <w:right w:val="nil"/>
            </w:tcBorders>
            <w:shd w:val="clear" w:color="000000" w:fill="006A71"/>
            <w:vAlign w:val="bottom"/>
          </w:tcPr>
          <w:p w14:paraId="7AC09BD7" w14:textId="77777777" w:rsidR="00862469" w:rsidRPr="005D27A7" w:rsidRDefault="00862469" w:rsidP="00862469">
            <w:pPr>
              <w:jc w:val="right"/>
              <w:rPr>
                <w:rFonts w:ascii="Arial" w:hAnsi="Arial" w:cs="Arial"/>
                <w:b/>
                <w:bCs/>
                <w:color w:val="FFFFFF"/>
                <w:sz w:val="20"/>
                <w:szCs w:val="20"/>
              </w:rPr>
            </w:pPr>
            <w:r w:rsidRPr="005D27A7">
              <w:rPr>
                <w:rFonts w:ascii="Arial" w:hAnsi="Arial" w:cs="Arial"/>
                <w:b/>
                <w:bCs/>
                <w:color w:val="FFFFFF"/>
                <w:sz w:val="20"/>
                <w:szCs w:val="20"/>
              </w:rPr>
              <w:t>8,386</w:t>
            </w:r>
          </w:p>
        </w:tc>
        <w:tc>
          <w:tcPr>
            <w:tcW w:w="977" w:type="dxa"/>
            <w:gridSpan w:val="3"/>
            <w:tcBorders>
              <w:top w:val="nil"/>
              <w:left w:val="nil"/>
              <w:bottom w:val="single" w:sz="8" w:space="0" w:color="auto"/>
              <w:right w:val="nil"/>
            </w:tcBorders>
            <w:shd w:val="clear" w:color="000000" w:fill="006A71"/>
            <w:vAlign w:val="bottom"/>
          </w:tcPr>
          <w:p w14:paraId="4A2775ED" w14:textId="77777777" w:rsidR="00862469" w:rsidRPr="005D27A7" w:rsidRDefault="00862469" w:rsidP="00862469">
            <w:pPr>
              <w:jc w:val="right"/>
              <w:rPr>
                <w:rFonts w:ascii="Arial" w:hAnsi="Arial" w:cs="Arial"/>
                <w:b/>
                <w:bCs/>
                <w:color w:val="FFFFFF"/>
                <w:sz w:val="20"/>
                <w:szCs w:val="20"/>
              </w:rPr>
            </w:pPr>
            <w:r w:rsidRPr="005D27A7">
              <w:rPr>
                <w:rFonts w:ascii="Arial" w:hAnsi="Arial" w:cs="Arial"/>
                <w:b/>
                <w:bCs/>
                <w:color w:val="FFFFFF"/>
                <w:sz w:val="20"/>
                <w:szCs w:val="20"/>
              </w:rPr>
              <w:t>518,336</w:t>
            </w:r>
          </w:p>
        </w:tc>
        <w:tc>
          <w:tcPr>
            <w:tcW w:w="1084" w:type="dxa"/>
            <w:gridSpan w:val="3"/>
            <w:tcBorders>
              <w:top w:val="nil"/>
              <w:left w:val="nil"/>
              <w:bottom w:val="single" w:sz="8" w:space="0" w:color="auto"/>
              <w:right w:val="single" w:sz="8" w:space="0" w:color="auto"/>
            </w:tcBorders>
            <w:shd w:val="clear" w:color="000000" w:fill="006A71"/>
            <w:vAlign w:val="bottom"/>
          </w:tcPr>
          <w:p w14:paraId="66E3D173" w14:textId="77777777" w:rsidR="00862469" w:rsidRPr="005D27A7" w:rsidRDefault="00862469" w:rsidP="00862469">
            <w:pPr>
              <w:jc w:val="right"/>
              <w:rPr>
                <w:rFonts w:ascii="Arial" w:hAnsi="Arial" w:cs="Arial"/>
                <w:b/>
                <w:bCs/>
                <w:color w:val="FFFFFF"/>
                <w:sz w:val="20"/>
                <w:szCs w:val="20"/>
              </w:rPr>
            </w:pPr>
            <w:r w:rsidRPr="005D27A7">
              <w:rPr>
                <w:rFonts w:ascii="Arial" w:hAnsi="Arial" w:cs="Arial"/>
                <w:b/>
                <w:bCs/>
                <w:color w:val="FFFFFF"/>
                <w:sz w:val="20"/>
                <w:szCs w:val="20"/>
              </w:rPr>
              <w:t>453,207</w:t>
            </w:r>
          </w:p>
        </w:tc>
      </w:tr>
      <w:tr w:rsidR="005D27A7" w:rsidRPr="005D27A7" w14:paraId="71E934BD" w14:textId="77777777">
        <w:trPr>
          <w:trHeight w:val="155"/>
        </w:trPr>
        <w:tc>
          <w:tcPr>
            <w:tcW w:w="2890" w:type="dxa"/>
            <w:tcBorders>
              <w:top w:val="nil"/>
              <w:left w:val="nil"/>
              <w:bottom w:val="nil"/>
              <w:right w:val="nil"/>
            </w:tcBorders>
            <w:shd w:val="clear" w:color="auto" w:fill="auto"/>
            <w:noWrap/>
            <w:vAlign w:val="bottom"/>
          </w:tcPr>
          <w:p w14:paraId="55E352FE" w14:textId="77777777" w:rsidR="00862469" w:rsidRPr="005D27A7" w:rsidRDefault="00862469" w:rsidP="00862469">
            <w:pPr>
              <w:rPr>
                <w:rFonts w:ascii="Arial" w:hAnsi="Arial" w:cs="Arial"/>
                <w:sz w:val="20"/>
                <w:szCs w:val="20"/>
              </w:rPr>
            </w:pPr>
          </w:p>
        </w:tc>
        <w:tc>
          <w:tcPr>
            <w:tcW w:w="326" w:type="dxa"/>
            <w:gridSpan w:val="2"/>
            <w:tcBorders>
              <w:top w:val="nil"/>
              <w:left w:val="nil"/>
              <w:bottom w:val="nil"/>
              <w:right w:val="nil"/>
            </w:tcBorders>
            <w:shd w:val="clear" w:color="auto" w:fill="auto"/>
            <w:noWrap/>
            <w:vAlign w:val="bottom"/>
          </w:tcPr>
          <w:p w14:paraId="0CF3B1CB" w14:textId="77777777" w:rsidR="00862469" w:rsidRPr="005D27A7" w:rsidRDefault="00862469" w:rsidP="00862469">
            <w:pPr>
              <w:rPr>
                <w:rFonts w:ascii="Arial" w:hAnsi="Arial" w:cs="Arial"/>
                <w:sz w:val="20"/>
                <w:szCs w:val="20"/>
              </w:rPr>
            </w:pPr>
          </w:p>
        </w:tc>
        <w:tc>
          <w:tcPr>
            <w:tcW w:w="949" w:type="dxa"/>
            <w:gridSpan w:val="3"/>
            <w:tcBorders>
              <w:top w:val="nil"/>
              <w:left w:val="nil"/>
              <w:bottom w:val="nil"/>
              <w:right w:val="nil"/>
            </w:tcBorders>
            <w:shd w:val="clear" w:color="auto" w:fill="auto"/>
            <w:noWrap/>
            <w:vAlign w:val="bottom"/>
          </w:tcPr>
          <w:p w14:paraId="7BF87236" w14:textId="77777777" w:rsidR="00862469" w:rsidRPr="005D27A7" w:rsidRDefault="00862469" w:rsidP="00862469">
            <w:pPr>
              <w:rPr>
                <w:rFonts w:ascii="Arial" w:hAnsi="Arial" w:cs="Arial"/>
                <w:sz w:val="20"/>
                <w:szCs w:val="20"/>
              </w:rPr>
            </w:pPr>
          </w:p>
        </w:tc>
        <w:tc>
          <w:tcPr>
            <w:tcW w:w="236" w:type="dxa"/>
            <w:tcBorders>
              <w:top w:val="nil"/>
              <w:left w:val="nil"/>
              <w:bottom w:val="nil"/>
              <w:right w:val="nil"/>
            </w:tcBorders>
            <w:shd w:val="clear" w:color="auto" w:fill="auto"/>
            <w:noWrap/>
            <w:vAlign w:val="bottom"/>
          </w:tcPr>
          <w:p w14:paraId="05428E09" w14:textId="77777777" w:rsidR="00862469" w:rsidRPr="005D27A7" w:rsidRDefault="00862469" w:rsidP="00862469">
            <w:pPr>
              <w:rPr>
                <w:rFonts w:ascii="Arial" w:hAnsi="Arial" w:cs="Arial"/>
                <w:sz w:val="20"/>
                <w:szCs w:val="20"/>
              </w:rPr>
            </w:pPr>
          </w:p>
        </w:tc>
        <w:tc>
          <w:tcPr>
            <w:tcW w:w="236" w:type="dxa"/>
            <w:tcBorders>
              <w:top w:val="nil"/>
              <w:left w:val="nil"/>
              <w:bottom w:val="nil"/>
              <w:right w:val="nil"/>
            </w:tcBorders>
            <w:shd w:val="clear" w:color="auto" w:fill="auto"/>
            <w:noWrap/>
            <w:vAlign w:val="bottom"/>
          </w:tcPr>
          <w:p w14:paraId="654FB207" w14:textId="77777777" w:rsidR="00862469" w:rsidRPr="005D27A7" w:rsidRDefault="00862469" w:rsidP="00862469">
            <w:pPr>
              <w:rPr>
                <w:rFonts w:ascii="Arial" w:hAnsi="Arial" w:cs="Arial"/>
                <w:sz w:val="20"/>
                <w:szCs w:val="20"/>
              </w:rPr>
            </w:pPr>
          </w:p>
        </w:tc>
        <w:tc>
          <w:tcPr>
            <w:tcW w:w="1179" w:type="dxa"/>
            <w:gridSpan w:val="3"/>
            <w:tcBorders>
              <w:top w:val="nil"/>
              <w:left w:val="nil"/>
              <w:bottom w:val="nil"/>
              <w:right w:val="nil"/>
            </w:tcBorders>
            <w:shd w:val="clear" w:color="auto" w:fill="auto"/>
            <w:noWrap/>
            <w:vAlign w:val="bottom"/>
          </w:tcPr>
          <w:p w14:paraId="3D6DB0AD" w14:textId="77777777" w:rsidR="00862469" w:rsidRPr="005D27A7" w:rsidRDefault="00862469" w:rsidP="00862469">
            <w:pPr>
              <w:rPr>
                <w:rFonts w:ascii="Arial" w:hAnsi="Arial" w:cs="Arial"/>
                <w:sz w:val="20"/>
                <w:szCs w:val="20"/>
              </w:rPr>
            </w:pPr>
          </w:p>
        </w:tc>
        <w:tc>
          <w:tcPr>
            <w:tcW w:w="1042" w:type="dxa"/>
            <w:gridSpan w:val="3"/>
            <w:tcBorders>
              <w:top w:val="nil"/>
              <w:left w:val="nil"/>
              <w:bottom w:val="nil"/>
              <w:right w:val="nil"/>
            </w:tcBorders>
            <w:shd w:val="clear" w:color="auto" w:fill="auto"/>
            <w:noWrap/>
            <w:vAlign w:val="bottom"/>
          </w:tcPr>
          <w:p w14:paraId="341FB989" w14:textId="77777777" w:rsidR="00862469" w:rsidRPr="005D27A7" w:rsidRDefault="00862469" w:rsidP="00862469">
            <w:pPr>
              <w:rPr>
                <w:rFonts w:ascii="Arial" w:hAnsi="Arial" w:cs="Arial"/>
                <w:sz w:val="20"/>
                <w:szCs w:val="20"/>
              </w:rPr>
            </w:pPr>
          </w:p>
        </w:tc>
        <w:tc>
          <w:tcPr>
            <w:tcW w:w="978" w:type="dxa"/>
            <w:gridSpan w:val="3"/>
            <w:tcBorders>
              <w:top w:val="nil"/>
              <w:left w:val="nil"/>
              <w:bottom w:val="nil"/>
              <w:right w:val="nil"/>
            </w:tcBorders>
            <w:shd w:val="clear" w:color="auto" w:fill="auto"/>
            <w:noWrap/>
            <w:vAlign w:val="bottom"/>
          </w:tcPr>
          <w:p w14:paraId="401D8AB2" w14:textId="77777777" w:rsidR="00862469" w:rsidRPr="005D27A7" w:rsidRDefault="00862469" w:rsidP="00862469">
            <w:pPr>
              <w:rPr>
                <w:rFonts w:ascii="Arial" w:hAnsi="Arial" w:cs="Arial"/>
                <w:sz w:val="20"/>
                <w:szCs w:val="20"/>
              </w:rPr>
            </w:pPr>
          </w:p>
        </w:tc>
        <w:tc>
          <w:tcPr>
            <w:tcW w:w="1084" w:type="dxa"/>
            <w:gridSpan w:val="2"/>
            <w:tcBorders>
              <w:top w:val="nil"/>
              <w:left w:val="nil"/>
              <w:bottom w:val="nil"/>
              <w:right w:val="nil"/>
            </w:tcBorders>
            <w:shd w:val="clear" w:color="auto" w:fill="auto"/>
            <w:noWrap/>
            <w:vAlign w:val="bottom"/>
          </w:tcPr>
          <w:p w14:paraId="485EA4E8" w14:textId="77777777" w:rsidR="00862469" w:rsidRPr="005D27A7" w:rsidRDefault="00862469" w:rsidP="00862469">
            <w:pPr>
              <w:rPr>
                <w:rFonts w:ascii="Arial" w:hAnsi="Arial" w:cs="Arial"/>
                <w:sz w:val="20"/>
                <w:szCs w:val="20"/>
              </w:rPr>
            </w:pPr>
          </w:p>
        </w:tc>
      </w:tr>
      <w:tr w:rsidR="005D27A7" w:rsidRPr="005D27A7" w14:paraId="6C6795B4" w14:textId="77777777">
        <w:trPr>
          <w:gridAfter w:val="1"/>
          <w:wAfter w:w="720" w:type="dxa"/>
          <w:trHeight w:val="278"/>
        </w:trPr>
        <w:tc>
          <w:tcPr>
            <w:tcW w:w="2890" w:type="dxa"/>
            <w:vMerge w:val="restart"/>
            <w:tcBorders>
              <w:top w:val="single" w:sz="8" w:space="0" w:color="auto"/>
              <w:left w:val="single" w:sz="8" w:space="0" w:color="auto"/>
              <w:bottom w:val="single" w:sz="12" w:space="0" w:color="000000"/>
              <w:right w:val="nil"/>
            </w:tcBorders>
            <w:shd w:val="clear" w:color="000000" w:fill="006A71"/>
            <w:vAlign w:val="bottom"/>
          </w:tcPr>
          <w:p w14:paraId="1A993C69"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Pipeline/Receipt Point</w:t>
            </w:r>
          </w:p>
        </w:tc>
        <w:tc>
          <w:tcPr>
            <w:tcW w:w="997" w:type="dxa"/>
            <w:gridSpan w:val="3"/>
            <w:vMerge w:val="restart"/>
            <w:tcBorders>
              <w:top w:val="single" w:sz="8" w:space="0" w:color="auto"/>
              <w:left w:val="nil"/>
              <w:bottom w:val="single" w:sz="12" w:space="0" w:color="000000"/>
              <w:right w:val="nil"/>
            </w:tcBorders>
            <w:shd w:val="clear" w:color="000000" w:fill="006A71"/>
            <w:vAlign w:val="bottom"/>
          </w:tcPr>
          <w:p w14:paraId="03AF4477" w14:textId="77777777" w:rsidR="00862469" w:rsidRPr="005D27A7" w:rsidRDefault="007A7FE5" w:rsidP="00862469">
            <w:pPr>
              <w:jc w:val="center"/>
              <w:rPr>
                <w:rFonts w:ascii="Arial" w:hAnsi="Arial" w:cs="Arial"/>
                <w:b/>
                <w:bCs/>
                <w:color w:val="FFFFFF"/>
                <w:sz w:val="20"/>
                <w:szCs w:val="20"/>
              </w:rPr>
            </w:pPr>
            <w:r>
              <w:rPr>
                <w:rFonts w:ascii="Arial" w:hAnsi="Arial" w:cs="Arial"/>
                <w:b/>
                <w:bCs/>
                <w:color w:val="FFFFFF"/>
                <w:sz w:val="20"/>
                <w:szCs w:val="20"/>
              </w:rPr>
              <w:t xml:space="preserve">                </w:t>
            </w:r>
            <w:r w:rsidR="00862469" w:rsidRPr="005D27A7">
              <w:rPr>
                <w:rFonts w:ascii="Arial" w:hAnsi="Arial" w:cs="Arial"/>
                <w:b/>
                <w:bCs/>
                <w:color w:val="FFFFFF"/>
                <w:sz w:val="20"/>
                <w:szCs w:val="20"/>
              </w:rPr>
              <w:t>Note</w:t>
            </w:r>
          </w:p>
        </w:tc>
        <w:tc>
          <w:tcPr>
            <w:tcW w:w="1209" w:type="dxa"/>
            <w:gridSpan w:val="5"/>
            <w:vMerge w:val="restart"/>
            <w:tcBorders>
              <w:top w:val="single" w:sz="8" w:space="0" w:color="auto"/>
              <w:left w:val="nil"/>
              <w:bottom w:val="single" w:sz="12" w:space="0" w:color="000000"/>
              <w:right w:val="nil"/>
            </w:tcBorders>
            <w:shd w:val="clear" w:color="000000" w:fill="006A71"/>
            <w:vAlign w:val="bottom"/>
          </w:tcPr>
          <w:p w14:paraId="75E2452C"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Total</w:t>
            </w:r>
          </w:p>
        </w:tc>
        <w:tc>
          <w:tcPr>
            <w:tcW w:w="3104" w:type="dxa"/>
            <w:gridSpan w:val="9"/>
            <w:tcBorders>
              <w:top w:val="single" w:sz="8" w:space="0" w:color="auto"/>
              <w:left w:val="nil"/>
              <w:bottom w:val="nil"/>
              <w:right w:val="single" w:sz="8" w:space="0" w:color="000000"/>
            </w:tcBorders>
            <w:shd w:val="clear" w:color="000000" w:fill="006A71"/>
            <w:vAlign w:val="bottom"/>
          </w:tcPr>
          <w:p w14:paraId="04848ED1"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Year of Expiration</w:t>
            </w:r>
          </w:p>
        </w:tc>
      </w:tr>
      <w:tr w:rsidR="005D27A7" w:rsidRPr="005D27A7" w14:paraId="3209E583" w14:textId="77777777">
        <w:trPr>
          <w:gridAfter w:val="1"/>
          <w:wAfter w:w="720" w:type="dxa"/>
          <w:trHeight w:val="466"/>
        </w:trPr>
        <w:tc>
          <w:tcPr>
            <w:tcW w:w="2890" w:type="dxa"/>
            <w:vMerge/>
            <w:tcBorders>
              <w:top w:val="single" w:sz="8" w:space="0" w:color="auto"/>
              <w:left w:val="single" w:sz="8" w:space="0" w:color="auto"/>
              <w:bottom w:val="single" w:sz="12" w:space="0" w:color="000000"/>
              <w:right w:val="nil"/>
            </w:tcBorders>
            <w:vAlign w:val="center"/>
          </w:tcPr>
          <w:p w14:paraId="5CE719EB" w14:textId="77777777" w:rsidR="00862469" w:rsidRPr="005D27A7" w:rsidRDefault="00862469" w:rsidP="00862469">
            <w:pPr>
              <w:rPr>
                <w:rFonts w:ascii="Arial" w:hAnsi="Arial" w:cs="Arial"/>
                <w:b/>
                <w:bCs/>
                <w:color w:val="FFFFFF"/>
                <w:sz w:val="20"/>
                <w:szCs w:val="20"/>
              </w:rPr>
            </w:pPr>
          </w:p>
        </w:tc>
        <w:tc>
          <w:tcPr>
            <w:tcW w:w="997" w:type="dxa"/>
            <w:gridSpan w:val="3"/>
            <w:vMerge/>
            <w:tcBorders>
              <w:top w:val="single" w:sz="8" w:space="0" w:color="auto"/>
              <w:left w:val="nil"/>
              <w:bottom w:val="single" w:sz="12" w:space="0" w:color="000000"/>
              <w:right w:val="nil"/>
            </w:tcBorders>
            <w:vAlign w:val="center"/>
          </w:tcPr>
          <w:p w14:paraId="28DA2C35" w14:textId="77777777" w:rsidR="00862469" w:rsidRPr="005D27A7" w:rsidRDefault="00862469" w:rsidP="00862469">
            <w:pPr>
              <w:rPr>
                <w:rFonts w:ascii="Arial" w:hAnsi="Arial" w:cs="Arial"/>
                <w:b/>
                <w:bCs/>
                <w:color w:val="FFFFFF"/>
                <w:sz w:val="20"/>
                <w:szCs w:val="20"/>
              </w:rPr>
            </w:pPr>
          </w:p>
        </w:tc>
        <w:tc>
          <w:tcPr>
            <w:tcW w:w="1209" w:type="dxa"/>
            <w:gridSpan w:val="5"/>
            <w:vMerge/>
            <w:tcBorders>
              <w:top w:val="single" w:sz="8" w:space="0" w:color="auto"/>
              <w:left w:val="nil"/>
              <w:bottom w:val="single" w:sz="12" w:space="0" w:color="000000"/>
              <w:right w:val="nil"/>
            </w:tcBorders>
            <w:vAlign w:val="center"/>
          </w:tcPr>
          <w:p w14:paraId="54DEACF1" w14:textId="77777777" w:rsidR="00862469" w:rsidRPr="005D27A7" w:rsidRDefault="00862469" w:rsidP="00862469">
            <w:pPr>
              <w:rPr>
                <w:rFonts w:ascii="Arial" w:hAnsi="Arial" w:cs="Arial"/>
                <w:b/>
                <w:bCs/>
                <w:color w:val="FFFFFF"/>
                <w:sz w:val="20"/>
                <w:szCs w:val="20"/>
              </w:rPr>
            </w:pPr>
          </w:p>
        </w:tc>
        <w:tc>
          <w:tcPr>
            <w:tcW w:w="1043" w:type="dxa"/>
            <w:gridSpan w:val="3"/>
            <w:tcBorders>
              <w:top w:val="nil"/>
              <w:left w:val="nil"/>
              <w:bottom w:val="single" w:sz="12" w:space="0" w:color="auto"/>
              <w:right w:val="nil"/>
            </w:tcBorders>
            <w:shd w:val="clear" w:color="000000" w:fill="006A71"/>
            <w:vAlign w:val="bottom"/>
          </w:tcPr>
          <w:p w14:paraId="7D9D8286"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2016</w:t>
            </w:r>
          </w:p>
        </w:tc>
        <w:tc>
          <w:tcPr>
            <w:tcW w:w="977" w:type="dxa"/>
            <w:gridSpan w:val="3"/>
            <w:tcBorders>
              <w:top w:val="nil"/>
              <w:left w:val="nil"/>
              <w:bottom w:val="single" w:sz="12" w:space="0" w:color="auto"/>
              <w:right w:val="nil"/>
            </w:tcBorders>
            <w:shd w:val="clear" w:color="000000" w:fill="006A71"/>
            <w:vAlign w:val="bottom"/>
          </w:tcPr>
          <w:p w14:paraId="1EA53AE1"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2017-20</w:t>
            </w:r>
          </w:p>
        </w:tc>
        <w:tc>
          <w:tcPr>
            <w:tcW w:w="1084" w:type="dxa"/>
            <w:gridSpan w:val="3"/>
            <w:tcBorders>
              <w:top w:val="nil"/>
              <w:left w:val="nil"/>
              <w:bottom w:val="single" w:sz="12" w:space="0" w:color="auto"/>
              <w:right w:val="single" w:sz="8" w:space="0" w:color="auto"/>
            </w:tcBorders>
            <w:shd w:val="clear" w:color="000000" w:fill="006A71"/>
            <w:vAlign w:val="bottom"/>
          </w:tcPr>
          <w:p w14:paraId="43D0884E" w14:textId="77777777" w:rsidR="00862469" w:rsidRPr="005D27A7" w:rsidRDefault="00862469" w:rsidP="001D31E6">
            <w:pPr>
              <w:jc w:val="center"/>
              <w:rPr>
                <w:rFonts w:ascii="Arial" w:hAnsi="Arial" w:cs="Arial"/>
                <w:b/>
                <w:bCs/>
                <w:color w:val="FFFFFF"/>
                <w:sz w:val="20"/>
                <w:szCs w:val="20"/>
              </w:rPr>
            </w:pPr>
            <w:r w:rsidRPr="005D27A7">
              <w:rPr>
                <w:rFonts w:ascii="Arial" w:hAnsi="Arial" w:cs="Arial"/>
                <w:b/>
                <w:bCs/>
                <w:color w:val="FFFFFF"/>
                <w:sz w:val="20"/>
                <w:szCs w:val="20"/>
              </w:rPr>
              <w:t>202</w:t>
            </w:r>
            <w:r w:rsidR="001D31E6">
              <w:rPr>
                <w:rFonts w:ascii="Arial" w:hAnsi="Arial" w:cs="Arial"/>
                <w:b/>
                <w:bCs/>
                <w:color w:val="FFFFFF"/>
                <w:sz w:val="20"/>
                <w:szCs w:val="20"/>
              </w:rPr>
              <w:t>1</w:t>
            </w:r>
            <w:r w:rsidRPr="005D27A7">
              <w:rPr>
                <w:rFonts w:ascii="Arial" w:hAnsi="Arial" w:cs="Arial"/>
                <w:b/>
                <w:bCs/>
                <w:color w:val="FFFFFF"/>
                <w:sz w:val="20"/>
                <w:szCs w:val="20"/>
              </w:rPr>
              <w:t>-35</w:t>
            </w:r>
          </w:p>
        </w:tc>
      </w:tr>
      <w:tr w:rsidR="005D27A7" w:rsidRPr="005D27A7" w14:paraId="44A3C618" w14:textId="77777777">
        <w:trPr>
          <w:gridAfter w:val="1"/>
          <w:wAfter w:w="720" w:type="dxa"/>
          <w:trHeight w:val="262"/>
        </w:trPr>
        <w:tc>
          <w:tcPr>
            <w:tcW w:w="2938" w:type="dxa"/>
            <w:gridSpan w:val="2"/>
            <w:tcBorders>
              <w:top w:val="single" w:sz="12" w:space="0" w:color="auto"/>
              <w:left w:val="single" w:sz="8" w:space="0" w:color="auto"/>
              <w:bottom w:val="nil"/>
              <w:right w:val="nil"/>
            </w:tcBorders>
            <w:shd w:val="clear" w:color="000000" w:fill="807F83"/>
            <w:vAlign w:val="bottom"/>
          </w:tcPr>
          <w:p w14:paraId="40B6AFE0" w14:textId="77777777" w:rsidR="00862469" w:rsidRPr="005D27A7" w:rsidRDefault="00862469" w:rsidP="00862469">
            <w:pPr>
              <w:rPr>
                <w:rFonts w:ascii="Arial" w:hAnsi="Arial" w:cs="Arial"/>
                <w:b/>
                <w:bCs/>
                <w:i/>
                <w:iCs/>
                <w:color w:val="FFFFFF"/>
                <w:sz w:val="20"/>
                <w:szCs w:val="20"/>
              </w:rPr>
            </w:pPr>
            <w:r w:rsidRPr="005D27A7">
              <w:rPr>
                <w:rFonts w:ascii="Arial" w:hAnsi="Arial" w:cs="Arial"/>
                <w:b/>
                <w:bCs/>
                <w:i/>
                <w:iCs/>
                <w:color w:val="FFFFFF"/>
                <w:sz w:val="20"/>
                <w:szCs w:val="20"/>
              </w:rPr>
              <w:t>Upstream Capacity</w:t>
            </w:r>
          </w:p>
        </w:tc>
        <w:tc>
          <w:tcPr>
            <w:tcW w:w="949" w:type="dxa"/>
            <w:gridSpan w:val="2"/>
            <w:tcBorders>
              <w:top w:val="single" w:sz="12" w:space="0" w:color="auto"/>
              <w:left w:val="nil"/>
              <w:bottom w:val="nil"/>
              <w:right w:val="nil"/>
            </w:tcBorders>
            <w:shd w:val="clear" w:color="000000" w:fill="807F83"/>
            <w:vAlign w:val="bottom"/>
          </w:tcPr>
          <w:p w14:paraId="3B8603AF" w14:textId="77777777" w:rsidR="00862469" w:rsidRPr="005D27A7" w:rsidRDefault="00862469" w:rsidP="00862469">
            <w:pPr>
              <w:rPr>
                <w:rFonts w:ascii="Arial" w:hAnsi="Arial" w:cs="Arial"/>
                <w:b/>
                <w:bCs/>
                <w:i/>
                <w:iCs/>
                <w:sz w:val="20"/>
                <w:szCs w:val="20"/>
              </w:rPr>
            </w:pPr>
            <w:r w:rsidRPr="005D27A7">
              <w:rPr>
                <w:rFonts w:ascii="Arial" w:hAnsi="Arial" w:cs="Arial"/>
                <w:b/>
                <w:bCs/>
                <w:i/>
                <w:iCs/>
                <w:sz w:val="20"/>
                <w:szCs w:val="20"/>
              </w:rPr>
              <w:t> </w:t>
            </w:r>
          </w:p>
        </w:tc>
        <w:tc>
          <w:tcPr>
            <w:tcW w:w="1209" w:type="dxa"/>
            <w:gridSpan w:val="5"/>
            <w:tcBorders>
              <w:top w:val="single" w:sz="12" w:space="0" w:color="auto"/>
              <w:left w:val="nil"/>
              <w:bottom w:val="nil"/>
              <w:right w:val="nil"/>
            </w:tcBorders>
            <w:shd w:val="clear" w:color="000000" w:fill="807F83"/>
            <w:vAlign w:val="bottom"/>
          </w:tcPr>
          <w:p w14:paraId="1F482C37" w14:textId="77777777" w:rsidR="00862469" w:rsidRPr="005D27A7" w:rsidRDefault="00862469" w:rsidP="00862469">
            <w:pPr>
              <w:jc w:val="right"/>
              <w:rPr>
                <w:rFonts w:ascii="Arial" w:hAnsi="Arial" w:cs="Arial"/>
                <w:b/>
                <w:bCs/>
                <w:i/>
                <w:iCs/>
                <w:sz w:val="20"/>
                <w:szCs w:val="20"/>
              </w:rPr>
            </w:pPr>
            <w:r w:rsidRPr="005D27A7">
              <w:rPr>
                <w:rFonts w:ascii="Arial" w:hAnsi="Arial" w:cs="Arial"/>
                <w:b/>
                <w:bCs/>
                <w:i/>
                <w:iCs/>
                <w:sz w:val="20"/>
                <w:szCs w:val="20"/>
              </w:rPr>
              <w:t> </w:t>
            </w:r>
          </w:p>
        </w:tc>
        <w:tc>
          <w:tcPr>
            <w:tcW w:w="1043" w:type="dxa"/>
            <w:gridSpan w:val="3"/>
            <w:tcBorders>
              <w:top w:val="nil"/>
              <w:left w:val="nil"/>
              <w:bottom w:val="nil"/>
              <w:right w:val="nil"/>
            </w:tcBorders>
            <w:shd w:val="clear" w:color="000000" w:fill="807F83"/>
            <w:vAlign w:val="bottom"/>
          </w:tcPr>
          <w:p w14:paraId="2ED4F314" w14:textId="77777777" w:rsidR="00862469" w:rsidRPr="005D27A7" w:rsidRDefault="00862469" w:rsidP="00862469">
            <w:pPr>
              <w:jc w:val="right"/>
              <w:rPr>
                <w:rFonts w:ascii="Arial" w:hAnsi="Arial" w:cs="Arial"/>
                <w:b/>
                <w:bCs/>
                <w:i/>
                <w:iCs/>
                <w:sz w:val="20"/>
                <w:szCs w:val="20"/>
              </w:rPr>
            </w:pPr>
            <w:r w:rsidRPr="005D27A7">
              <w:rPr>
                <w:rFonts w:ascii="Arial" w:hAnsi="Arial" w:cs="Arial"/>
                <w:b/>
                <w:bCs/>
                <w:i/>
                <w:iCs/>
                <w:sz w:val="20"/>
                <w:szCs w:val="20"/>
              </w:rPr>
              <w:t> </w:t>
            </w:r>
          </w:p>
        </w:tc>
        <w:tc>
          <w:tcPr>
            <w:tcW w:w="977" w:type="dxa"/>
            <w:gridSpan w:val="3"/>
            <w:tcBorders>
              <w:top w:val="nil"/>
              <w:left w:val="nil"/>
              <w:bottom w:val="nil"/>
              <w:right w:val="nil"/>
            </w:tcBorders>
            <w:shd w:val="clear" w:color="000000" w:fill="807F83"/>
            <w:vAlign w:val="bottom"/>
          </w:tcPr>
          <w:p w14:paraId="3A7E097A" w14:textId="77777777" w:rsidR="00862469" w:rsidRPr="005D27A7" w:rsidRDefault="00862469" w:rsidP="00862469">
            <w:pPr>
              <w:jc w:val="right"/>
              <w:rPr>
                <w:rFonts w:ascii="Arial" w:hAnsi="Arial" w:cs="Arial"/>
                <w:b/>
                <w:bCs/>
                <w:i/>
                <w:iCs/>
                <w:sz w:val="20"/>
                <w:szCs w:val="20"/>
              </w:rPr>
            </w:pPr>
            <w:r w:rsidRPr="005D27A7">
              <w:rPr>
                <w:rFonts w:ascii="Arial" w:hAnsi="Arial" w:cs="Arial"/>
                <w:b/>
                <w:bCs/>
                <w:i/>
                <w:iCs/>
                <w:sz w:val="20"/>
                <w:szCs w:val="20"/>
              </w:rPr>
              <w:t> </w:t>
            </w:r>
          </w:p>
        </w:tc>
        <w:tc>
          <w:tcPr>
            <w:tcW w:w="1084" w:type="dxa"/>
            <w:gridSpan w:val="3"/>
            <w:tcBorders>
              <w:top w:val="nil"/>
              <w:left w:val="nil"/>
              <w:bottom w:val="nil"/>
              <w:right w:val="single" w:sz="8" w:space="0" w:color="auto"/>
            </w:tcBorders>
            <w:shd w:val="clear" w:color="000000" w:fill="807F83"/>
            <w:vAlign w:val="bottom"/>
          </w:tcPr>
          <w:p w14:paraId="103E648A" w14:textId="77777777" w:rsidR="00862469" w:rsidRPr="005D27A7" w:rsidRDefault="00862469" w:rsidP="00862469">
            <w:pPr>
              <w:jc w:val="right"/>
              <w:rPr>
                <w:rFonts w:ascii="Arial" w:hAnsi="Arial" w:cs="Arial"/>
                <w:b/>
                <w:bCs/>
                <w:i/>
                <w:iCs/>
                <w:sz w:val="20"/>
                <w:szCs w:val="20"/>
              </w:rPr>
            </w:pPr>
            <w:r w:rsidRPr="005D27A7">
              <w:rPr>
                <w:rFonts w:ascii="Arial" w:hAnsi="Arial" w:cs="Arial"/>
                <w:b/>
                <w:bCs/>
                <w:i/>
                <w:iCs/>
                <w:sz w:val="20"/>
                <w:szCs w:val="20"/>
              </w:rPr>
              <w:t> </w:t>
            </w:r>
          </w:p>
        </w:tc>
      </w:tr>
      <w:tr w:rsidR="005D27A7" w:rsidRPr="005D27A7" w14:paraId="4BE1D249" w14:textId="77777777">
        <w:trPr>
          <w:gridAfter w:val="1"/>
          <w:wAfter w:w="720" w:type="dxa"/>
          <w:trHeight w:val="873"/>
        </w:trPr>
        <w:tc>
          <w:tcPr>
            <w:tcW w:w="2938" w:type="dxa"/>
            <w:gridSpan w:val="2"/>
            <w:tcBorders>
              <w:top w:val="nil"/>
              <w:left w:val="single" w:sz="8" w:space="0" w:color="auto"/>
              <w:bottom w:val="nil"/>
              <w:right w:val="nil"/>
            </w:tcBorders>
            <w:shd w:val="clear" w:color="auto" w:fill="auto"/>
          </w:tcPr>
          <w:p w14:paraId="59F356E4" w14:textId="77777777" w:rsidR="00862469" w:rsidRPr="005D27A7" w:rsidRDefault="00862469" w:rsidP="00862469">
            <w:pPr>
              <w:rPr>
                <w:rFonts w:ascii="Arial" w:hAnsi="Arial" w:cs="Arial"/>
                <w:sz w:val="20"/>
                <w:szCs w:val="20"/>
              </w:rPr>
            </w:pPr>
            <w:r w:rsidRPr="005D27A7">
              <w:rPr>
                <w:rFonts w:ascii="Arial" w:hAnsi="Arial" w:cs="Arial"/>
                <w:sz w:val="20"/>
                <w:szCs w:val="20"/>
              </w:rPr>
              <w:t xml:space="preserve">NOVA / from AECO to Alberta-BC Border (A-BC Border) </w:t>
            </w:r>
          </w:p>
        </w:tc>
        <w:tc>
          <w:tcPr>
            <w:tcW w:w="949" w:type="dxa"/>
            <w:gridSpan w:val="2"/>
            <w:tcBorders>
              <w:top w:val="nil"/>
              <w:left w:val="nil"/>
              <w:bottom w:val="nil"/>
              <w:right w:val="nil"/>
            </w:tcBorders>
            <w:shd w:val="clear" w:color="auto" w:fill="auto"/>
            <w:vAlign w:val="center"/>
          </w:tcPr>
          <w:p w14:paraId="6759504D" w14:textId="77777777" w:rsidR="00862469" w:rsidRPr="005D27A7" w:rsidRDefault="00862469" w:rsidP="00862469">
            <w:pPr>
              <w:jc w:val="center"/>
              <w:rPr>
                <w:rFonts w:ascii="Arial" w:hAnsi="Arial" w:cs="Arial"/>
                <w:sz w:val="20"/>
                <w:szCs w:val="20"/>
              </w:rPr>
            </w:pPr>
            <w:r w:rsidRPr="005D27A7">
              <w:rPr>
                <w:rFonts w:ascii="Arial" w:hAnsi="Arial" w:cs="Arial"/>
                <w:sz w:val="20"/>
                <w:szCs w:val="20"/>
              </w:rPr>
              <w:t>3</w:t>
            </w:r>
          </w:p>
        </w:tc>
        <w:tc>
          <w:tcPr>
            <w:tcW w:w="1209" w:type="dxa"/>
            <w:gridSpan w:val="5"/>
            <w:tcBorders>
              <w:top w:val="nil"/>
              <w:left w:val="nil"/>
              <w:bottom w:val="nil"/>
              <w:right w:val="nil"/>
            </w:tcBorders>
            <w:shd w:val="clear" w:color="auto" w:fill="auto"/>
            <w:vAlign w:val="center"/>
          </w:tcPr>
          <w:p w14:paraId="686A9441"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79,744</w:t>
            </w:r>
          </w:p>
        </w:tc>
        <w:tc>
          <w:tcPr>
            <w:tcW w:w="1043" w:type="dxa"/>
            <w:gridSpan w:val="3"/>
            <w:tcBorders>
              <w:top w:val="nil"/>
              <w:left w:val="nil"/>
              <w:bottom w:val="nil"/>
              <w:right w:val="nil"/>
            </w:tcBorders>
            <w:shd w:val="clear" w:color="auto" w:fill="auto"/>
            <w:vAlign w:val="center"/>
          </w:tcPr>
          <w:p w14:paraId="5BC66C3C"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c>
          <w:tcPr>
            <w:tcW w:w="977" w:type="dxa"/>
            <w:gridSpan w:val="3"/>
            <w:tcBorders>
              <w:top w:val="nil"/>
              <w:left w:val="nil"/>
              <w:bottom w:val="nil"/>
              <w:right w:val="nil"/>
            </w:tcBorders>
            <w:shd w:val="clear" w:color="auto" w:fill="auto"/>
            <w:vAlign w:val="center"/>
          </w:tcPr>
          <w:p w14:paraId="663325D7" w14:textId="77777777" w:rsidR="00862469" w:rsidRPr="005D27A7" w:rsidRDefault="00862469" w:rsidP="001D31E6">
            <w:pPr>
              <w:jc w:val="right"/>
              <w:rPr>
                <w:rFonts w:ascii="Arial" w:hAnsi="Arial" w:cs="Arial"/>
                <w:sz w:val="20"/>
                <w:szCs w:val="20"/>
              </w:rPr>
            </w:pPr>
            <w:r w:rsidRPr="005D27A7">
              <w:rPr>
                <w:rFonts w:ascii="Arial" w:hAnsi="Arial" w:cs="Arial"/>
                <w:sz w:val="20"/>
                <w:szCs w:val="20"/>
              </w:rPr>
              <w:t xml:space="preserve">  79,744 </w:t>
            </w:r>
          </w:p>
        </w:tc>
        <w:tc>
          <w:tcPr>
            <w:tcW w:w="1084" w:type="dxa"/>
            <w:gridSpan w:val="3"/>
            <w:tcBorders>
              <w:top w:val="nil"/>
              <w:left w:val="nil"/>
              <w:bottom w:val="nil"/>
              <w:right w:val="single" w:sz="8" w:space="0" w:color="auto"/>
            </w:tcBorders>
            <w:shd w:val="clear" w:color="auto" w:fill="auto"/>
            <w:vAlign w:val="center"/>
          </w:tcPr>
          <w:p w14:paraId="533FA676"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r>
      <w:tr w:rsidR="005D27A7" w:rsidRPr="005D27A7" w14:paraId="412E84E2" w14:textId="77777777">
        <w:trPr>
          <w:gridAfter w:val="1"/>
          <w:wAfter w:w="720" w:type="dxa"/>
          <w:trHeight w:val="900"/>
        </w:trPr>
        <w:tc>
          <w:tcPr>
            <w:tcW w:w="2938" w:type="dxa"/>
            <w:gridSpan w:val="2"/>
            <w:tcBorders>
              <w:top w:val="nil"/>
              <w:left w:val="single" w:sz="8" w:space="0" w:color="auto"/>
              <w:bottom w:val="nil"/>
              <w:right w:val="nil"/>
            </w:tcBorders>
            <w:shd w:val="clear" w:color="auto" w:fill="auto"/>
          </w:tcPr>
          <w:p w14:paraId="314D170F" w14:textId="77777777" w:rsidR="00862469" w:rsidRPr="005D27A7" w:rsidRDefault="00862469" w:rsidP="00862469">
            <w:pPr>
              <w:rPr>
                <w:rFonts w:ascii="Arial" w:hAnsi="Arial" w:cs="Arial"/>
                <w:sz w:val="20"/>
                <w:szCs w:val="20"/>
              </w:rPr>
            </w:pPr>
            <w:r w:rsidRPr="005D27A7">
              <w:rPr>
                <w:rFonts w:ascii="Arial" w:hAnsi="Arial" w:cs="Arial"/>
                <w:sz w:val="20"/>
                <w:szCs w:val="20"/>
              </w:rPr>
              <w:t>Foothills / from Alberta-BC Border to TC-GTN Interconnect (Kingsgate)</w:t>
            </w:r>
          </w:p>
        </w:tc>
        <w:tc>
          <w:tcPr>
            <w:tcW w:w="949" w:type="dxa"/>
            <w:gridSpan w:val="2"/>
            <w:tcBorders>
              <w:top w:val="nil"/>
              <w:left w:val="nil"/>
              <w:bottom w:val="nil"/>
              <w:right w:val="nil"/>
            </w:tcBorders>
            <w:shd w:val="clear" w:color="auto" w:fill="auto"/>
            <w:vAlign w:val="center"/>
          </w:tcPr>
          <w:p w14:paraId="757A5A6F" w14:textId="77777777" w:rsidR="00862469" w:rsidRPr="005D27A7" w:rsidRDefault="00862469" w:rsidP="00862469">
            <w:pPr>
              <w:jc w:val="center"/>
              <w:rPr>
                <w:rFonts w:ascii="Arial" w:hAnsi="Arial" w:cs="Arial"/>
                <w:sz w:val="20"/>
                <w:szCs w:val="20"/>
              </w:rPr>
            </w:pPr>
            <w:r w:rsidRPr="005D27A7">
              <w:rPr>
                <w:rFonts w:ascii="Arial" w:hAnsi="Arial" w:cs="Arial"/>
                <w:sz w:val="20"/>
                <w:szCs w:val="20"/>
              </w:rPr>
              <w:t>4</w:t>
            </w:r>
          </w:p>
        </w:tc>
        <w:tc>
          <w:tcPr>
            <w:tcW w:w="1209" w:type="dxa"/>
            <w:gridSpan w:val="5"/>
            <w:tcBorders>
              <w:top w:val="nil"/>
              <w:left w:val="nil"/>
              <w:bottom w:val="nil"/>
              <w:right w:val="nil"/>
            </w:tcBorders>
            <w:shd w:val="clear" w:color="auto" w:fill="auto"/>
            <w:vAlign w:val="center"/>
          </w:tcPr>
          <w:p w14:paraId="71EC592B"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78,631</w:t>
            </w:r>
          </w:p>
        </w:tc>
        <w:tc>
          <w:tcPr>
            <w:tcW w:w="1043" w:type="dxa"/>
            <w:gridSpan w:val="3"/>
            <w:tcBorders>
              <w:top w:val="nil"/>
              <w:left w:val="nil"/>
              <w:bottom w:val="nil"/>
              <w:right w:val="nil"/>
            </w:tcBorders>
            <w:shd w:val="clear" w:color="auto" w:fill="auto"/>
            <w:vAlign w:val="center"/>
          </w:tcPr>
          <w:p w14:paraId="1325C8C6"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70,604</w:t>
            </w:r>
          </w:p>
        </w:tc>
        <w:tc>
          <w:tcPr>
            <w:tcW w:w="977" w:type="dxa"/>
            <w:gridSpan w:val="3"/>
            <w:tcBorders>
              <w:top w:val="nil"/>
              <w:left w:val="nil"/>
              <w:bottom w:val="nil"/>
              <w:right w:val="nil"/>
            </w:tcBorders>
            <w:shd w:val="clear" w:color="auto" w:fill="auto"/>
            <w:vAlign w:val="center"/>
          </w:tcPr>
          <w:p w14:paraId="2B941B0A"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c>
          <w:tcPr>
            <w:tcW w:w="1084" w:type="dxa"/>
            <w:gridSpan w:val="3"/>
            <w:tcBorders>
              <w:top w:val="nil"/>
              <w:left w:val="nil"/>
              <w:bottom w:val="nil"/>
              <w:right w:val="single" w:sz="8" w:space="0" w:color="auto"/>
            </w:tcBorders>
            <w:shd w:val="clear" w:color="auto" w:fill="auto"/>
            <w:vAlign w:val="center"/>
          </w:tcPr>
          <w:p w14:paraId="6BDE1091"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 xml:space="preserve">      8,027 </w:t>
            </w:r>
          </w:p>
        </w:tc>
      </w:tr>
      <w:tr w:rsidR="005D27A7" w:rsidRPr="005D27A7" w14:paraId="12980760" w14:textId="77777777">
        <w:trPr>
          <w:gridAfter w:val="1"/>
          <w:wAfter w:w="720" w:type="dxa"/>
          <w:trHeight w:val="655"/>
        </w:trPr>
        <w:tc>
          <w:tcPr>
            <w:tcW w:w="2938" w:type="dxa"/>
            <w:gridSpan w:val="2"/>
            <w:tcBorders>
              <w:top w:val="nil"/>
              <w:left w:val="single" w:sz="8" w:space="0" w:color="auto"/>
              <w:bottom w:val="nil"/>
              <w:right w:val="nil"/>
            </w:tcBorders>
            <w:shd w:val="clear" w:color="auto" w:fill="auto"/>
          </w:tcPr>
          <w:p w14:paraId="30ACB5D5" w14:textId="77777777" w:rsidR="00862469" w:rsidRPr="005D27A7" w:rsidRDefault="00862469" w:rsidP="00862469">
            <w:pPr>
              <w:rPr>
                <w:rFonts w:ascii="Arial" w:hAnsi="Arial" w:cs="Arial"/>
                <w:sz w:val="20"/>
                <w:szCs w:val="20"/>
              </w:rPr>
            </w:pPr>
            <w:r w:rsidRPr="005D27A7">
              <w:rPr>
                <w:rFonts w:ascii="Arial" w:hAnsi="Arial" w:cs="Arial"/>
                <w:sz w:val="20"/>
                <w:szCs w:val="20"/>
              </w:rPr>
              <w:t>GTN / from Kingsgate to NWP Interconnect (Spokane)</w:t>
            </w:r>
          </w:p>
        </w:tc>
        <w:tc>
          <w:tcPr>
            <w:tcW w:w="949" w:type="dxa"/>
            <w:gridSpan w:val="2"/>
            <w:tcBorders>
              <w:top w:val="nil"/>
              <w:left w:val="nil"/>
              <w:bottom w:val="nil"/>
              <w:right w:val="nil"/>
            </w:tcBorders>
            <w:shd w:val="clear" w:color="auto" w:fill="auto"/>
            <w:vAlign w:val="center"/>
          </w:tcPr>
          <w:p w14:paraId="6CC87D26" w14:textId="77777777" w:rsidR="00862469" w:rsidRPr="005D27A7" w:rsidRDefault="00862469" w:rsidP="00862469">
            <w:pPr>
              <w:jc w:val="center"/>
              <w:rPr>
                <w:rFonts w:ascii="Arial" w:hAnsi="Arial" w:cs="Arial"/>
                <w:sz w:val="20"/>
                <w:szCs w:val="20"/>
              </w:rPr>
            </w:pPr>
            <w:r w:rsidRPr="005D27A7">
              <w:rPr>
                <w:rFonts w:ascii="Arial" w:hAnsi="Arial" w:cs="Arial"/>
                <w:sz w:val="20"/>
                <w:szCs w:val="20"/>
              </w:rPr>
              <w:t>5</w:t>
            </w:r>
          </w:p>
        </w:tc>
        <w:tc>
          <w:tcPr>
            <w:tcW w:w="1209" w:type="dxa"/>
            <w:gridSpan w:val="5"/>
            <w:tcBorders>
              <w:top w:val="nil"/>
              <w:left w:val="nil"/>
              <w:bottom w:val="nil"/>
              <w:right w:val="nil"/>
            </w:tcBorders>
            <w:shd w:val="clear" w:color="auto" w:fill="auto"/>
            <w:vAlign w:val="center"/>
          </w:tcPr>
          <w:p w14:paraId="627613AA"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65,392</w:t>
            </w:r>
          </w:p>
        </w:tc>
        <w:tc>
          <w:tcPr>
            <w:tcW w:w="1043" w:type="dxa"/>
            <w:gridSpan w:val="3"/>
            <w:tcBorders>
              <w:top w:val="nil"/>
              <w:left w:val="nil"/>
              <w:bottom w:val="nil"/>
              <w:right w:val="nil"/>
            </w:tcBorders>
            <w:shd w:val="clear" w:color="auto" w:fill="auto"/>
            <w:vAlign w:val="center"/>
          </w:tcPr>
          <w:p w14:paraId="66DD3A25"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c>
          <w:tcPr>
            <w:tcW w:w="977" w:type="dxa"/>
            <w:gridSpan w:val="3"/>
            <w:tcBorders>
              <w:top w:val="nil"/>
              <w:left w:val="nil"/>
              <w:bottom w:val="nil"/>
              <w:right w:val="nil"/>
            </w:tcBorders>
            <w:shd w:val="clear" w:color="auto" w:fill="auto"/>
            <w:vAlign w:val="center"/>
          </w:tcPr>
          <w:p w14:paraId="500C9207"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c>
          <w:tcPr>
            <w:tcW w:w="1084" w:type="dxa"/>
            <w:gridSpan w:val="3"/>
            <w:tcBorders>
              <w:top w:val="nil"/>
              <w:left w:val="nil"/>
              <w:bottom w:val="nil"/>
              <w:right w:val="single" w:sz="8" w:space="0" w:color="auto"/>
            </w:tcBorders>
            <w:shd w:val="clear" w:color="auto" w:fill="auto"/>
            <w:vAlign w:val="center"/>
          </w:tcPr>
          <w:p w14:paraId="0D4B08AA"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 xml:space="preserve">    65,392 </w:t>
            </w:r>
          </w:p>
        </w:tc>
      </w:tr>
      <w:tr w:rsidR="005D27A7" w:rsidRPr="005D27A7" w14:paraId="02ED4F0B" w14:textId="77777777">
        <w:trPr>
          <w:gridAfter w:val="1"/>
          <w:wAfter w:w="720" w:type="dxa"/>
          <w:trHeight w:val="655"/>
        </w:trPr>
        <w:tc>
          <w:tcPr>
            <w:tcW w:w="2938" w:type="dxa"/>
            <w:gridSpan w:val="2"/>
            <w:tcBorders>
              <w:top w:val="nil"/>
              <w:left w:val="single" w:sz="8" w:space="0" w:color="auto"/>
              <w:bottom w:val="nil"/>
              <w:right w:val="nil"/>
            </w:tcBorders>
            <w:shd w:val="clear" w:color="auto" w:fill="auto"/>
          </w:tcPr>
          <w:p w14:paraId="6D5FA864" w14:textId="77777777" w:rsidR="00862469" w:rsidRDefault="00862469" w:rsidP="00862469">
            <w:pPr>
              <w:rPr>
                <w:rFonts w:ascii="Arial" w:hAnsi="Arial" w:cs="Arial"/>
                <w:sz w:val="20"/>
                <w:szCs w:val="20"/>
              </w:rPr>
            </w:pPr>
            <w:r w:rsidRPr="005D27A7">
              <w:rPr>
                <w:rFonts w:ascii="Arial" w:hAnsi="Arial" w:cs="Arial"/>
                <w:sz w:val="20"/>
                <w:szCs w:val="20"/>
              </w:rPr>
              <w:t>TC-GTN / from TC-BC Interconnect (A-BC Border) to NWP Interconnect (Stanfield)</w:t>
            </w:r>
          </w:p>
          <w:p w14:paraId="09CBFF37" w14:textId="77777777" w:rsidR="00A136E8" w:rsidRPr="005D27A7" w:rsidRDefault="00A136E8" w:rsidP="00862469">
            <w:pPr>
              <w:rPr>
                <w:rFonts w:ascii="Arial" w:hAnsi="Arial" w:cs="Arial"/>
                <w:sz w:val="20"/>
                <w:szCs w:val="20"/>
              </w:rPr>
            </w:pPr>
          </w:p>
        </w:tc>
        <w:tc>
          <w:tcPr>
            <w:tcW w:w="949" w:type="dxa"/>
            <w:gridSpan w:val="2"/>
            <w:tcBorders>
              <w:top w:val="nil"/>
              <w:left w:val="nil"/>
              <w:bottom w:val="nil"/>
              <w:right w:val="nil"/>
            </w:tcBorders>
            <w:shd w:val="clear" w:color="auto" w:fill="auto"/>
            <w:vAlign w:val="center"/>
          </w:tcPr>
          <w:p w14:paraId="720A9042" w14:textId="77777777" w:rsidR="00862469" w:rsidRPr="005D27A7" w:rsidRDefault="00862469" w:rsidP="00862469">
            <w:pPr>
              <w:jc w:val="center"/>
              <w:rPr>
                <w:rFonts w:ascii="Arial" w:hAnsi="Arial" w:cs="Arial"/>
                <w:sz w:val="20"/>
                <w:szCs w:val="20"/>
              </w:rPr>
            </w:pPr>
            <w:r w:rsidRPr="005D27A7">
              <w:rPr>
                <w:rFonts w:ascii="Arial" w:hAnsi="Arial" w:cs="Arial"/>
                <w:sz w:val="20"/>
                <w:szCs w:val="20"/>
              </w:rPr>
              <w:t>5,6</w:t>
            </w:r>
          </w:p>
        </w:tc>
        <w:tc>
          <w:tcPr>
            <w:tcW w:w="1209" w:type="dxa"/>
            <w:gridSpan w:val="5"/>
            <w:tcBorders>
              <w:top w:val="nil"/>
              <w:left w:val="nil"/>
              <w:bottom w:val="nil"/>
              <w:right w:val="nil"/>
            </w:tcBorders>
            <w:shd w:val="clear" w:color="auto" w:fill="auto"/>
            <w:vAlign w:val="center"/>
          </w:tcPr>
          <w:p w14:paraId="1A4D256C"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11,622</w:t>
            </w:r>
          </w:p>
        </w:tc>
        <w:tc>
          <w:tcPr>
            <w:tcW w:w="1043" w:type="dxa"/>
            <w:gridSpan w:val="3"/>
            <w:tcBorders>
              <w:top w:val="nil"/>
              <w:left w:val="nil"/>
              <w:bottom w:val="nil"/>
              <w:right w:val="nil"/>
            </w:tcBorders>
            <w:shd w:val="clear" w:color="auto" w:fill="auto"/>
            <w:vAlign w:val="center"/>
          </w:tcPr>
          <w:p w14:paraId="1CA15403"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c>
          <w:tcPr>
            <w:tcW w:w="977" w:type="dxa"/>
            <w:gridSpan w:val="3"/>
            <w:tcBorders>
              <w:top w:val="nil"/>
              <w:left w:val="nil"/>
              <w:bottom w:val="nil"/>
              <w:right w:val="nil"/>
            </w:tcBorders>
            <w:shd w:val="clear" w:color="auto" w:fill="auto"/>
            <w:vAlign w:val="center"/>
          </w:tcPr>
          <w:p w14:paraId="7420BE45"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c>
          <w:tcPr>
            <w:tcW w:w="1084" w:type="dxa"/>
            <w:gridSpan w:val="3"/>
            <w:tcBorders>
              <w:top w:val="nil"/>
              <w:left w:val="nil"/>
              <w:bottom w:val="nil"/>
              <w:right w:val="single" w:sz="8" w:space="0" w:color="auto"/>
            </w:tcBorders>
            <w:shd w:val="clear" w:color="auto" w:fill="auto"/>
            <w:vAlign w:val="center"/>
          </w:tcPr>
          <w:p w14:paraId="27304C56"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 xml:space="preserve">    11,622 </w:t>
            </w:r>
          </w:p>
        </w:tc>
      </w:tr>
      <w:tr w:rsidR="005D27A7" w:rsidRPr="005D27A7" w14:paraId="67CCF5DC" w14:textId="77777777">
        <w:trPr>
          <w:gridAfter w:val="1"/>
          <w:wAfter w:w="720" w:type="dxa"/>
          <w:trHeight w:val="510"/>
        </w:trPr>
        <w:tc>
          <w:tcPr>
            <w:tcW w:w="2938" w:type="dxa"/>
            <w:gridSpan w:val="2"/>
            <w:tcBorders>
              <w:top w:val="nil"/>
              <w:left w:val="single" w:sz="8" w:space="0" w:color="auto"/>
              <w:bottom w:val="nil"/>
              <w:right w:val="nil"/>
            </w:tcBorders>
            <w:shd w:val="clear" w:color="auto" w:fill="auto"/>
          </w:tcPr>
          <w:p w14:paraId="64FE1DA1" w14:textId="77777777" w:rsidR="00862469" w:rsidRPr="005D27A7" w:rsidRDefault="00862469" w:rsidP="00862469">
            <w:pPr>
              <w:rPr>
                <w:rFonts w:ascii="Arial" w:hAnsi="Arial" w:cs="Arial"/>
                <w:sz w:val="20"/>
                <w:szCs w:val="20"/>
              </w:rPr>
            </w:pPr>
            <w:proofErr w:type="spellStart"/>
            <w:r w:rsidRPr="005D27A7">
              <w:rPr>
                <w:rFonts w:ascii="Arial" w:hAnsi="Arial" w:cs="Arial"/>
                <w:sz w:val="20"/>
                <w:szCs w:val="20"/>
              </w:rPr>
              <w:t>Westcoast</w:t>
            </w:r>
            <w:proofErr w:type="spellEnd"/>
            <w:r w:rsidRPr="005D27A7">
              <w:rPr>
                <w:rFonts w:ascii="Arial" w:hAnsi="Arial" w:cs="Arial"/>
                <w:sz w:val="20"/>
                <w:szCs w:val="20"/>
              </w:rPr>
              <w:t xml:space="preserve"> / from Station 2 to NWP Interconnect (Sumas)</w:t>
            </w:r>
          </w:p>
        </w:tc>
        <w:tc>
          <w:tcPr>
            <w:tcW w:w="949" w:type="dxa"/>
            <w:gridSpan w:val="2"/>
            <w:tcBorders>
              <w:top w:val="nil"/>
              <w:left w:val="nil"/>
              <w:bottom w:val="nil"/>
              <w:right w:val="nil"/>
            </w:tcBorders>
            <w:shd w:val="clear" w:color="auto" w:fill="auto"/>
            <w:vAlign w:val="center"/>
          </w:tcPr>
          <w:p w14:paraId="03C39205" w14:textId="77777777" w:rsidR="00862469" w:rsidRPr="005D27A7" w:rsidRDefault="00862469" w:rsidP="00862469">
            <w:pPr>
              <w:jc w:val="center"/>
              <w:rPr>
                <w:rFonts w:ascii="Arial" w:hAnsi="Arial" w:cs="Arial"/>
                <w:sz w:val="20"/>
                <w:szCs w:val="20"/>
              </w:rPr>
            </w:pPr>
            <w:r w:rsidRPr="005D27A7">
              <w:rPr>
                <w:rFonts w:ascii="Arial" w:hAnsi="Arial" w:cs="Arial"/>
                <w:sz w:val="20"/>
                <w:szCs w:val="20"/>
              </w:rPr>
              <w:t>4,7</w:t>
            </w:r>
          </w:p>
        </w:tc>
        <w:tc>
          <w:tcPr>
            <w:tcW w:w="1209" w:type="dxa"/>
            <w:gridSpan w:val="5"/>
            <w:tcBorders>
              <w:top w:val="nil"/>
              <w:left w:val="nil"/>
              <w:bottom w:val="nil"/>
              <w:right w:val="nil"/>
            </w:tcBorders>
            <w:shd w:val="clear" w:color="auto" w:fill="auto"/>
            <w:vAlign w:val="center"/>
          </w:tcPr>
          <w:p w14:paraId="00C57CD9"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129,855</w:t>
            </w:r>
          </w:p>
        </w:tc>
        <w:tc>
          <w:tcPr>
            <w:tcW w:w="1043" w:type="dxa"/>
            <w:gridSpan w:val="3"/>
            <w:tcBorders>
              <w:top w:val="nil"/>
              <w:left w:val="nil"/>
              <w:bottom w:val="nil"/>
              <w:right w:val="nil"/>
            </w:tcBorders>
            <w:shd w:val="clear" w:color="auto" w:fill="auto"/>
            <w:vAlign w:val="center"/>
          </w:tcPr>
          <w:p w14:paraId="335338B2"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c>
          <w:tcPr>
            <w:tcW w:w="977" w:type="dxa"/>
            <w:gridSpan w:val="3"/>
            <w:tcBorders>
              <w:top w:val="nil"/>
              <w:left w:val="nil"/>
              <w:bottom w:val="nil"/>
              <w:right w:val="nil"/>
            </w:tcBorders>
            <w:shd w:val="clear" w:color="auto" w:fill="auto"/>
            <w:vAlign w:val="center"/>
          </w:tcPr>
          <w:p w14:paraId="1AB2D06C"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129,855</w:t>
            </w:r>
          </w:p>
        </w:tc>
        <w:tc>
          <w:tcPr>
            <w:tcW w:w="1084" w:type="dxa"/>
            <w:gridSpan w:val="3"/>
            <w:tcBorders>
              <w:top w:val="nil"/>
              <w:left w:val="nil"/>
              <w:bottom w:val="nil"/>
              <w:right w:val="single" w:sz="8" w:space="0" w:color="auto"/>
            </w:tcBorders>
            <w:shd w:val="clear" w:color="auto" w:fill="auto"/>
            <w:vAlign w:val="center"/>
          </w:tcPr>
          <w:p w14:paraId="58F27059"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r>
      <w:tr w:rsidR="005D27A7" w:rsidRPr="005D27A7" w14:paraId="06F6FC3A" w14:textId="77777777">
        <w:trPr>
          <w:gridAfter w:val="1"/>
          <w:wAfter w:w="720" w:type="dxa"/>
          <w:trHeight w:val="262"/>
        </w:trPr>
        <w:tc>
          <w:tcPr>
            <w:tcW w:w="2938" w:type="dxa"/>
            <w:gridSpan w:val="2"/>
            <w:tcBorders>
              <w:top w:val="nil"/>
              <w:left w:val="single" w:sz="8" w:space="0" w:color="auto"/>
              <w:bottom w:val="single" w:sz="8" w:space="0" w:color="auto"/>
              <w:right w:val="nil"/>
            </w:tcBorders>
            <w:shd w:val="clear" w:color="000000" w:fill="006A71"/>
            <w:vAlign w:val="bottom"/>
          </w:tcPr>
          <w:p w14:paraId="3D00F441" w14:textId="77777777" w:rsidR="00862469" w:rsidRPr="005D27A7" w:rsidRDefault="00862469" w:rsidP="00862469">
            <w:pPr>
              <w:rPr>
                <w:rFonts w:ascii="Arial" w:hAnsi="Arial" w:cs="Arial"/>
                <w:b/>
                <w:bCs/>
                <w:color w:val="FFFFFF"/>
                <w:sz w:val="20"/>
                <w:szCs w:val="20"/>
              </w:rPr>
            </w:pPr>
            <w:r w:rsidRPr="005D27A7">
              <w:rPr>
                <w:rFonts w:ascii="Arial" w:hAnsi="Arial" w:cs="Arial"/>
                <w:b/>
                <w:bCs/>
                <w:color w:val="FFFFFF"/>
                <w:sz w:val="20"/>
                <w:szCs w:val="20"/>
              </w:rPr>
              <w:t>Total Upstream Capacity</w:t>
            </w:r>
          </w:p>
        </w:tc>
        <w:tc>
          <w:tcPr>
            <w:tcW w:w="949" w:type="dxa"/>
            <w:gridSpan w:val="2"/>
            <w:tcBorders>
              <w:top w:val="nil"/>
              <w:left w:val="nil"/>
              <w:bottom w:val="single" w:sz="8" w:space="0" w:color="auto"/>
              <w:right w:val="nil"/>
            </w:tcBorders>
            <w:shd w:val="clear" w:color="000000" w:fill="006A71"/>
            <w:vAlign w:val="bottom"/>
          </w:tcPr>
          <w:p w14:paraId="68A73AB3"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8</w:t>
            </w:r>
          </w:p>
        </w:tc>
        <w:tc>
          <w:tcPr>
            <w:tcW w:w="1209" w:type="dxa"/>
            <w:gridSpan w:val="5"/>
            <w:tcBorders>
              <w:top w:val="nil"/>
              <w:left w:val="nil"/>
              <w:bottom w:val="single" w:sz="8" w:space="0" w:color="auto"/>
              <w:right w:val="nil"/>
            </w:tcBorders>
            <w:shd w:val="clear" w:color="000000" w:fill="006A71"/>
            <w:vAlign w:val="bottom"/>
          </w:tcPr>
          <w:p w14:paraId="7283E41A" w14:textId="77777777" w:rsidR="00862469" w:rsidRPr="005D27A7" w:rsidRDefault="00862469" w:rsidP="00862469">
            <w:pPr>
              <w:jc w:val="center"/>
              <w:rPr>
                <w:rFonts w:ascii="Arial" w:hAnsi="Arial" w:cs="Arial"/>
                <w:b/>
                <w:bCs/>
                <w:color w:val="FFFFFF"/>
                <w:sz w:val="20"/>
                <w:szCs w:val="20"/>
                <w:highlight w:val="magenta"/>
              </w:rPr>
            </w:pPr>
            <w:r w:rsidRPr="005D27A7">
              <w:rPr>
                <w:rFonts w:ascii="Arial" w:hAnsi="Arial" w:cs="Arial"/>
                <w:b/>
                <w:bCs/>
                <w:color w:val="FFFFFF"/>
                <w:sz w:val="20"/>
                <w:szCs w:val="20"/>
              </w:rPr>
              <w:t>365,245</w:t>
            </w:r>
          </w:p>
        </w:tc>
        <w:tc>
          <w:tcPr>
            <w:tcW w:w="1043" w:type="dxa"/>
            <w:gridSpan w:val="3"/>
            <w:tcBorders>
              <w:top w:val="nil"/>
              <w:left w:val="nil"/>
              <w:bottom w:val="single" w:sz="8" w:space="0" w:color="auto"/>
              <w:right w:val="nil"/>
            </w:tcBorders>
            <w:shd w:val="clear" w:color="000000" w:fill="006A71"/>
            <w:vAlign w:val="bottom"/>
          </w:tcPr>
          <w:p w14:paraId="48D2BC0C"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70,604</w:t>
            </w:r>
          </w:p>
        </w:tc>
        <w:tc>
          <w:tcPr>
            <w:tcW w:w="977" w:type="dxa"/>
            <w:gridSpan w:val="3"/>
            <w:tcBorders>
              <w:top w:val="nil"/>
              <w:left w:val="nil"/>
              <w:bottom w:val="single" w:sz="8" w:space="0" w:color="auto"/>
              <w:right w:val="nil"/>
            </w:tcBorders>
            <w:shd w:val="clear" w:color="000000" w:fill="006A71"/>
            <w:vAlign w:val="bottom"/>
          </w:tcPr>
          <w:p w14:paraId="5784E2E9" w14:textId="77777777" w:rsidR="00862469" w:rsidRPr="005D27A7" w:rsidRDefault="00862469" w:rsidP="00862469">
            <w:pPr>
              <w:jc w:val="right"/>
              <w:rPr>
                <w:rFonts w:ascii="Arial" w:hAnsi="Arial" w:cs="Arial"/>
                <w:b/>
                <w:bCs/>
                <w:color w:val="FFFFFF"/>
                <w:sz w:val="20"/>
                <w:szCs w:val="20"/>
              </w:rPr>
            </w:pPr>
            <w:r w:rsidRPr="005D27A7">
              <w:rPr>
                <w:rFonts w:ascii="Arial" w:hAnsi="Arial" w:cs="Arial"/>
                <w:b/>
                <w:bCs/>
                <w:color w:val="FFFFFF"/>
                <w:sz w:val="20"/>
                <w:szCs w:val="20"/>
              </w:rPr>
              <w:t>209,600</w:t>
            </w:r>
          </w:p>
        </w:tc>
        <w:tc>
          <w:tcPr>
            <w:tcW w:w="1084" w:type="dxa"/>
            <w:gridSpan w:val="3"/>
            <w:tcBorders>
              <w:top w:val="nil"/>
              <w:left w:val="nil"/>
              <w:bottom w:val="single" w:sz="8" w:space="0" w:color="auto"/>
              <w:right w:val="single" w:sz="8" w:space="0" w:color="auto"/>
            </w:tcBorders>
            <w:shd w:val="clear" w:color="000000" w:fill="006A71"/>
            <w:vAlign w:val="bottom"/>
          </w:tcPr>
          <w:p w14:paraId="2001FA95" w14:textId="77777777" w:rsidR="00862469" w:rsidRPr="005D27A7" w:rsidRDefault="00862469" w:rsidP="00862469">
            <w:pPr>
              <w:jc w:val="right"/>
              <w:rPr>
                <w:rFonts w:ascii="Arial" w:hAnsi="Arial" w:cs="Arial"/>
                <w:b/>
                <w:bCs/>
                <w:color w:val="FFFFFF"/>
                <w:sz w:val="20"/>
                <w:szCs w:val="20"/>
              </w:rPr>
            </w:pPr>
            <w:r w:rsidRPr="005D27A7">
              <w:rPr>
                <w:rFonts w:ascii="Arial" w:hAnsi="Arial" w:cs="Arial"/>
                <w:b/>
                <w:bCs/>
                <w:color w:val="FFFFFF"/>
                <w:sz w:val="20"/>
                <w:szCs w:val="20"/>
              </w:rPr>
              <w:t>85,041</w:t>
            </w:r>
          </w:p>
        </w:tc>
      </w:tr>
    </w:tbl>
    <w:p w14:paraId="4C36E53B" w14:textId="77777777" w:rsidR="00862469" w:rsidRPr="00D8076D" w:rsidRDefault="00862469" w:rsidP="00D8076D">
      <w:pPr>
        <w:autoSpaceDE w:val="0"/>
        <w:autoSpaceDN w:val="0"/>
        <w:adjustRightInd w:val="0"/>
        <w:rPr>
          <w:rFonts w:ascii="Palatino" w:hAnsi="Palatino" w:cs="ArialNarrow-Italic"/>
          <w:i/>
          <w:iCs/>
          <w:sz w:val="20"/>
          <w:szCs w:val="20"/>
        </w:rPr>
      </w:pPr>
      <w:r w:rsidRPr="00D8076D">
        <w:rPr>
          <w:rFonts w:ascii="Palatino" w:hAnsi="Palatino" w:cs="ArialNarrow-Italic"/>
          <w:i/>
          <w:iCs/>
          <w:sz w:val="20"/>
          <w:szCs w:val="20"/>
        </w:rPr>
        <w:t>NOTES</w:t>
      </w:r>
      <w:r w:rsidR="00FA348A" w:rsidRPr="00D8076D">
        <w:rPr>
          <w:rFonts w:ascii="Palatino" w:hAnsi="Palatino" w:cs="ArialNarrow-Italic"/>
          <w:i/>
          <w:iCs/>
          <w:sz w:val="20"/>
          <w:szCs w:val="20"/>
        </w:rPr>
        <w:t xml:space="preserve">  </w:t>
      </w:r>
    </w:p>
    <w:p w14:paraId="7104F00F" w14:textId="77777777" w:rsidR="00862469" w:rsidRPr="00D8076D" w:rsidRDefault="00862469" w:rsidP="00D8076D">
      <w:pPr>
        <w:autoSpaceDE w:val="0"/>
        <w:autoSpaceDN w:val="0"/>
        <w:adjustRightInd w:val="0"/>
        <w:rPr>
          <w:rFonts w:ascii="Palatino" w:hAnsi="Palatino" w:cs="ArialNarrow-Italic"/>
          <w:i/>
          <w:iCs/>
          <w:sz w:val="20"/>
          <w:szCs w:val="20"/>
        </w:rPr>
      </w:pPr>
      <w:r w:rsidRPr="00D8076D">
        <w:rPr>
          <w:rFonts w:ascii="Palatino" w:hAnsi="Palatino" w:cs="ArialNarrow-Italic"/>
          <w:i/>
          <w:iCs/>
          <w:sz w:val="20"/>
          <w:szCs w:val="20"/>
        </w:rPr>
        <w:t>1 NWP contracts have automatic annual renewal pro</w:t>
      </w:r>
      <w:r w:rsidR="00A74B32" w:rsidRPr="00D8076D">
        <w:rPr>
          <w:rFonts w:ascii="Palatino" w:hAnsi="Palatino" w:cs="ArialNarrow-Italic"/>
          <w:i/>
          <w:iCs/>
          <w:sz w:val="20"/>
          <w:szCs w:val="20"/>
        </w:rPr>
        <w:t xml:space="preserve">visions, but can be canceled </w:t>
      </w:r>
      <w:r w:rsidRPr="00D8076D">
        <w:rPr>
          <w:rFonts w:ascii="Palatino" w:hAnsi="Palatino" w:cs="ArialNarrow-Italic"/>
          <w:i/>
          <w:iCs/>
          <w:sz w:val="20"/>
          <w:szCs w:val="20"/>
        </w:rPr>
        <w:t>upon one year’s notice.</w:t>
      </w:r>
    </w:p>
    <w:p w14:paraId="657A514E" w14:textId="77777777" w:rsidR="00862469" w:rsidRPr="00D8076D" w:rsidRDefault="00862469" w:rsidP="00D8076D">
      <w:pPr>
        <w:autoSpaceDE w:val="0"/>
        <w:autoSpaceDN w:val="0"/>
        <w:adjustRightInd w:val="0"/>
        <w:rPr>
          <w:rFonts w:ascii="Palatino" w:hAnsi="Palatino" w:cs="ArialNarrow-Italic"/>
          <w:i/>
          <w:iCs/>
          <w:sz w:val="20"/>
          <w:szCs w:val="20"/>
        </w:rPr>
      </w:pPr>
      <w:r w:rsidRPr="00D8076D">
        <w:rPr>
          <w:rFonts w:ascii="Palatino" w:hAnsi="Palatino" w:cs="ArialNarrow-Italic"/>
          <w:i/>
          <w:iCs/>
          <w:sz w:val="20"/>
          <w:szCs w:val="20"/>
        </w:rPr>
        <w:t>2 Storage redelivery service is intended only for delivery of storage volumes during the winter heating season</w:t>
      </w:r>
      <w:r w:rsidR="002B4D55">
        <w:rPr>
          <w:rFonts w:ascii="Palatino" w:hAnsi="Palatino" w:cs="ArialNarrow-Italic"/>
          <w:i/>
          <w:iCs/>
          <w:sz w:val="20"/>
          <w:szCs w:val="20"/>
        </w:rPr>
        <w:t>, November through March</w:t>
      </w:r>
      <w:r w:rsidRPr="00D8076D">
        <w:rPr>
          <w:rFonts w:ascii="Palatino" w:hAnsi="Palatino" w:cs="ArialNarrow-Italic"/>
          <w:i/>
          <w:iCs/>
          <w:sz w:val="20"/>
          <w:szCs w:val="20"/>
        </w:rPr>
        <w:t>; these annual costs are significantly lower than year-round TF-1 service.</w:t>
      </w:r>
    </w:p>
    <w:p w14:paraId="208DFFDE" w14:textId="77777777" w:rsidR="00862469" w:rsidRPr="00D8076D" w:rsidRDefault="00862469" w:rsidP="00D8076D">
      <w:pPr>
        <w:autoSpaceDE w:val="0"/>
        <w:autoSpaceDN w:val="0"/>
        <w:adjustRightInd w:val="0"/>
        <w:rPr>
          <w:rFonts w:ascii="Palatino" w:hAnsi="Palatino" w:cs="ArialNarrow-Italic"/>
          <w:i/>
          <w:iCs/>
          <w:sz w:val="20"/>
          <w:szCs w:val="20"/>
        </w:rPr>
      </w:pPr>
      <w:r w:rsidRPr="00D8076D">
        <w:rPr>
          <w:rFonts w:ascii="Palatino" w:hAnsi="Palatino" w:cs="ArialNarrow-Italic"/>
          <w:i/>
          <w:iCs/>
          <w:sz w:val="20"/>
          <w:szCs w:val="20"/>
        </w:rPr>
        <w:t xml:space="preserve">3 Converted to approximate </w:t>
      </w:r>
      <w:proofErr w:type="spellStart"/>
      <w:r w:rsidRPr="00D8076D">
        <w:rPr>
          <w:rFonts w:ascii="Palatino" w:hAnsi="Palatino" w:cs="ArialNarrow-Italic"/>
          <w:i/>
          <w:iCs/>
          <w:sz w:val="20"/>
          <w:szCs w:val="20"/>
        </w:rPr>
        <w:t>Dth</w:t>
      </w:r>
      <w:proofErr w:type="spellEnd"/>
      <w:r w:rsidRPr="00D8076D">
        <w:rPr>
          <w:rFonts w:ascii="Palatino" w:hAnsi="Palatino" w:cs="ArialNarrow-Italic"/>
          <w:i/>
          <w:iCs/>
          <w:sz w:val="20"/>
          <w:szCs w:val="20"/>
        </w:rPr>
        <w:t xml:space="preserve"> per day from contract stated in gigajoules per day.</w:t>
      </w:r>
    </w:p>
    <w:p w14:paraId="029DBC06" w14:textId="77777777" w:rsidR="00862469" w:rsidRPr="00D8076D" w:rsidRDefault="00BB4AB8" w:rsidP="00D8076D">
      <w:pPr>
        <w:autoSpaceDE w:val="0"/>
        <w:autoSpaceDN w:val="0"/>
        <w:adjustRightInd w:val="0"/>
        <w:rPr>
          <w:rFonts w:ascii="Palatino" w:hAnsi="Palatino" w:cs="ArialNarrow-Italic"/>
          <w:i/>
          <w:iCs/>
          <w:sz w:val="20"/>
          <w:szCs w:val="20"/>
        </w:rPr>
      </w:pPr>
      <w:r w:rsidRPr="00D8076D">
        <w:rPr>
          <w:rFonts w:ascii="Palatino" w:hAnsi="Palatino" w:cs="ArialNarrow-Italic"/>
          <w:i/>
          <w:iCs/>
          <w:sz w:val="20"/>
          <w:szCs w:val="20"/>
        </w:rPr>
        <w:t>4</w:t>
      </w:r>
      <w:r w:rsidR="00E2386F">
        <w:rPr>
          <w:rFonts w:ascii="Palatino" w:hAnsi="Palatino" w:cs="ArialNarrow-Italic"/>
          <w:i/>
          <w:iCs/>
          <w:sz w:val="20"/>
          <w:szCs w:val="20"/>
        </w:rPr>
        <w:t xml:space="preserve"> </w:t>
      </w:r>
      <w:r w:rsidR="00862469" w:rsidRPr="00D8076D">
        <w:rPr>
          <w:rFonts w:ascii="Palatino" w:hAnsi="Palatino" w:cs="ArialNarrow-Italic"/>
          <w:i/>
          <w:iCs/>
          <w:sz w:val="20"/>
          <w:szCs w:val="20"/>
        </w:rPr>
        <w:t xml:space="preserve">Converted to approximate </w:t>
      </w:r>
      <w:proofErr w:type="spellStart"/>
      <w:r w:rsidR="00862469" w:rsidRPr="00D8076D">
        <w:rPr>
          <w:rFonts w:ascii="Palatino" w:hAnsi="Palatino" w:cs="ArialNarrow-Italic"/>
          <w:i/>
          <w:iCs/>
          <w:sz w:val="20"/>
          <w:szCs w:val="20"/>
        </w:rPr>
        <w:t>Dth</w:t>
      </w:r>
      <w:proofErr w:type="spellEnd"/>
      <w:r w:rsidR="00862469" w:rsidRPr="00D8076D">
        <w:rPr>
          <w:rFonts w:ascii="Palatino" w:hAnsi="Palatino" w:cs="ArialNarrow-Italic"/>
          <w:i/>
          <w:iCs/>
          <w:sz w:val="20"/>
          <w:szCs w:val="20"/>
        </w:rPr>
        <w:t xml:space="preserve"> per day from contract stated in cubic meters per day.</w:t>
      </w:r>
    </w:p>
    <w:p w14:paraId="7842D385" w14:textId="77777777" w:rsidR="00862469" w:rsidRPr="00D8076D" w:rsidRDefault="00862469" w:rsidP="00D8076D">
      <w:pPr>
        <w:autoSpaceDE w:val="0"/>
        <w:autoSpaceDN w:val="0"/>
        <w:adjustRightInd w:val="0"/>
        <w:rPr>
          <w:rFonts w:ascii="Palatino" w:hAnsi="Palatino" w:cs="ArialNarrow-Italic"/>
          <w:i/>
          <w:iCs/>
          <w:sz w:val="20"/>
          <w:szCs w:val="20"/>
        </w:rPr>
      </w:pPr>
      <w:r w:rsidRPr="00D8076D">
        <w:rPr>
          <w:rFonts w:ascii="Palatino" w:hAnsi="Palatino" w:cs="ArialNarrow-Italic"/>
          <w:i/>
          <w:iCs/>
          <w:sz w:val="20"/>
          <w:szCs w:val="20"/>
        </w:rPr>
        <w:t>5 TCPL-GTN contracts have automatic renewal pro</w:t>
      </w:r>
      <w:r w:rsidR="00A74B32" w:rsidRPr="00D8076D">
        <w:rPr>
          <w:rFonts w:ascii="Palatino" w:hAnsi="Palatino" w:cs="ArialNarrow-Italic"/>
          <w:i/>
          <w:iCs/>
          <w:sz w:val="20"/>
          <w:szCs w:val="20"/>
        </w:rPr>
        <w:t xml:space="preserve">visions, but can be canceled </w:t>
      </w:r>
      <w:r w:rsidR="00E2386F">
        <w:rPr>
          <w:rFonts w:ascii="Palatino" w:hAnsi="Palatino" w:cs="ArialNarrow-Italic"/>
          <w:i/>
          <w:iCs/>
          <w:sz w:val="20"/>
          <w:szCs w:val="20"/>
        </w:rPr>
        <w:t xml:space="preserve">by PSE </w:t>
      </w:r>
      <w:r w:rsidRPr="00D8076D">
        <w:rPr>
          <w:rFonts w:ascii="Palatino" w:hAnsi="Palatino" w:cs="ArialNarrow-Italic"/>
          <w:i/>
          <w:iCs/>
          <w:sz w:val="20"/>
          <w:szCs w:val="20"/>
        </w:rPr>
        <w:t>upon one year’s notice.</w:t>
      </w:r>
    </w:p>
    <w:p w14:paraId="36B98F01" w14:textId="77777777" w:rsidR="00862469" w:rsidRPr="00D8076D" w:rsidRDefault="00862469" w:rsidP="00D8076D">
      <w:pPr>
        <w:autoSpaceDE w:val="0"/>
        <w:autoSpaceDN w:val="0"/>
        <w:adjustRightInd w:val="0"/>
        <w:rPr>
          <w:rFonts w:ascii="Palatino" w:hAnsi="Palatino" w:cs="ArialNarrow-Italic"/>
          <w:i/>
          <w:iCs/>
          <w:sz w:val="20"/>
          <w:szCs w:val="20"/>
        </w:rPr>
      </w:pPr>
      <w:r w:rsidRPr="00D8076D">
        <w:rPr>
          <w:rFonts w:ascii="Palatino" w:hAnsi="Palatino" w:cs="ArialNarrow-Italic"/>
          <w:i/>
          <w:iCs/>
          <w:sz w:val="20"/>
          <w:szCs w:val="20"/>
        </w:rPr>
        <w:t>6 Capacity can alternatively be used to deliver additional volumes to Spokane.</w:t>
      </w:r>
    </w:p>
    <w:p w14:paraId="07AFE352" w14:textId="77777777" w:rsidR="00862469" w:rsidRPr="00D8076D" w:rsidRDefault="00862469" w:rsidP="00D8076D">
      <w:pPr>
        <w:autoSpaceDE w:val="0"/>
        <w:autoSpaceDN w:val="0"/>
        <w:adjustRightInd w:val="0"/>
        <w:rPr>
          <w:rFonts w:ascii="Palatino" w:hAnsi="Palatino" w:cs="ArialNarrow-Italic"/>
          <w:i/>
          <w:iCs/>
          <w:sz w:val="20"/>
          <w:szCs w:val="20"/>
        </w:rPr>
      </w:pPr>
      <w:r w:rsidRPr="00D8076D">
        <w:rPr>
          <w:rFonts w:ascii="Palatino" w:hAnsi="Palatino" w:cs="ArialNarrow-Italic"/>
          <w:i/>
          <w:iCs/>
          <w:sz w:val="20"/>
          <w:szCs w:val="20"/>
        </w:rPr>
        <w:t>7</w:t>
      </w:r>
      <w:r w:rsidR="00E2386F">
        <w:rPr>
          <w:rFonts w:ascii="Palatino" w:hAnsi="Palatino" w:cs="ArialNarrow-Italic"/>
          <w:i/>
          <w:iCs/>
          <w:sz w:val="20"/>
          <w:szCs w:val="20"/>
        </w:rPr>
        <w:t xml:space="preserve"> </w:t>
      </w:r>
      <w:r w:rsidRPr="00D8076D">
        <w:rPr>
          <w:rFonts w:ascii="Palatino" w:hAnsi="Palatino" w:cs="ArialNarrow-Italic"/>
          <w:i/>
          <w:iCs/>
          <w:sz w:val="20"/>
          <w:szCs w:val="20"/>
        </w:rPr>
        <w:t xml:space="preserve">The </w:t>
      </w:r>
      <w:proofErr w:type="spellStart"/>
      <w:r w:rsidRPr="00D8076D">
        <w:rPr>
          <w:rFonts w:ascii="Palatino" w:hAnsi="Palatino" w:cs="ArialNarrow-Italic"/>
          <w:i/>
          <w:iCs/>
          <w:sz w:val="20"/>
          <w:szCs w:val="20"/>
        </w:rPr>
        <w:t>Westcoast</w:t>
      </w:r>
      <w:proofErr w:type="spellEnd"/>
      <w:r w:rsidRPr="00D8076D">
        <w:rPr>
          <w:rFonts w:ascii="Palatino" w:hAnsi="Palatino" w:cs="ArialNarrow-Italic"/>
          <w:i/>
          <w:iCs/>
          <w:sz w:val="20"/>
          <w:szCs w:val="20"/>
        </w:rPr>
        <w:t xml:space="preserve"> contracts contain a right of first refusal upon expiration.</w:t>
      </w:r>
    </w:p>
    <w:p w14:paraId="01B07EFC" w14:textId="77777777" w:rsidR="00862469" w:rsidRPr="00D8076D" w:rsidRDefault="00862469" w:rsidP="00D8076D">
      <w:pPr>
        <w:autoSpaceDE w:val="0"/>
        <w:autoSpaceDN w:val="0"/>
        <w:adjustRightInd w:val="0"/>
        <w:rPr>
          <w:rFonts w:ascii="Palatino" w:hAnsi="Palatino" w:cs="Arial"/>
          <w:b/>
          <w:bCs/>
          <w:iCs/>
          <w:color w:val="007163"/>
          <w:sz w:val="20"/>
          <w:szCs w:val="20"/>
        </w:rPr>
      </w:pPr>
      <w:r w:rsidRPr="00D8076D">
        <w:rPr>
          <w:rFonts w:ascii="Palatino" w:hAnsi="Palatino" w:cs="ArialNarrow-Italic"/>
          <w:i/>
          <w:iCs/>
          <w:sz w:val="20"/>
          <w:szCs w:val="20"/>
        </w:rPr>
        <w:t xml:space="preserve">8 Upstream </w:t>
      </w:r>
      <w:proofErr w:type="gramStart"/>
      <w:r w:rsidRPr="00D8076D">
        <w:rPr>
          <w:rFonts w:ascii="Palatino" w:hAnsi="Palatino" w:cs="ArialNarrow-Italic"/>
          <w:i/>
          <w:iCs/>
          <w:sz w:val="20"/>
          <w:szCs w:val="20"/>
        </w:rPr>
        <w:t>capacity</w:t>
      </w:r>
      <w:proofErr w:type="gramEnd"/>
      <w:r w:rsidRPr="00D8076D">
        <w:rPr>
          <w:rFonts w:ascii="Palatino" w:hAnsi="Palatino" w:cs="ArialNarrow-Italic"/>
          <w:i/>
          <w:iCs/>
          <w:sz w:val="20"/>
          <w:szCs w:val="20"/>
        </w:rPr>
        <w:t xml:space="preserve"> is not necessary for a supply acquired at interconnects in the Rockies and for supplies purchased at Sumas.</w:t>
      </w:r>
      <w:r w:rsidRPr="00D8076D">
        <w:rPr>
          <w:rFonts w:ascii="Palatino" w:hAnsi="Palatino" w:cs="Arial"/>
          <w:b/>
          <w:bCs/>
          <w:iCs/>
          <w:color w:val="007163"/>
          <w:sz w:val="20"/>
          <w:szCs w:val="20"/>
        </w:rPr>
        <w:t xml:space="preserve"> </w:t>
      </w:r>
    </w:p>
    <w:p w14:paraId="6B0433E1" w14:textId="77777777" w:rsidR="00862469" w:rsidRDefault="00862469" w:rsidP="00862469">
      <w:pPr>
        <w:autoSpaceDE w:val="0"/>
        <w:autoSpaceDN w:val="0"/>
        <w:adjustRightInd w:val="0"/>
        <w:ind w:left="720"/>
        <w:rPr>
          <w:rFonts w:ascii="Helvetica" w:hAnsi="Helvetica" w:cs="Arial"/>
          <w:b/>
          <w:bCs/>
          <w:iCs/>
          <w:color w:val="007163"/>
          <w:sz w:val="28"/>
        </w:rPr>
      </w:pPr>
    </w:p>
    <w:p w14:paraId="1B4730A2" w14:textId="77777777" w:rsidR="00862469" w:rsidRDefault="00862469" w:rsidP="00CE0E54">
      <w:pPr>
        <w:autoSpaceDE w:val="0"/>
        <w:autoSpaceDN w:val="0"/>
        <w:adjustRightInd w:val="0"/>
        <w:rPr>
          <w:rFonts w:ascii="Helvetica" w:hAnsi="Helvetica" w:cs="Arial"/>
          <w:bCs/>
          <w:iCs/>
          <w:sz w:val="32"/>
        </w:rPr>
      </w:pPr>
      <w:r w:rsidRPr="003912D1">
        <w:rPr>
          <w:rFonts w:ascii="Helvetica" w:hAnsi="Helvetica" w:cs="Arial"/>
          <w:bCs/>
          <w:iCs/>
          <w:sz w:val="32"/>
        </w:rPr>
        <w:t>Transportation Types</w:t>
      </w:r>
    </w:p>
    <w:p w14:paraId="15218501" w14:textId="77777777" w:rsidR="00862469" w:rsidRPr="00312635" w:rsidRDefault="00862469" w:rsidP="00CE0E54">
      <w:pPr>
        <w:pStyle w:val="IRPsanstext"/>
      </w:pPr>
    </w:p>
    <w:p w14:paraId="41F83C26" w14:textId="77777777" w:rsidR="00862469" w:rsidRDefault="00862469" w:rsidP="00CE0E54">
      <w:pPr>
        <w:pStyle w:val="IRPsanstext"/>
        <w:rPr>
          <w:b/>
        </w:rPr>
      </w:pPr>
      <w:r w:rsidRPr="00CE0E54">
        <w:rPr>
          <w:b/>
          <w:color w:val="006C71"/>
          <w:sz w:val="28"/>
        </w:rPr>
        <w:t>TF-1.</w:t>
      </w:r>
      <w:r w:rsidRPr="00B44DE2">
        <w:rPr>
          <w:sz w:val="28"/>
        </w:rPr>
        <w:t xml:space="preserve"> </w:t>
      </w:r>
      <w:r w:rsidRPr="00B44DE2">
        <w:t xml:space="preserve">TF-1 transportation contracts are </w:t>
      </w:r>
      <w:r>
        <w:t>“</w:t>
      </w:r>
      <w:r w:rsidRPr="00B44DE2">
        <w:t>firm</w:t>
      </w:r>
      <w:r>
        <w:t>”</w:t>
      </w:r>
      <w:r w:rsidRPr="00B44DE2">
        <w:t xml:space="preserve"> contracts, available </w:t>
      </w:r>
      <w:r w:rsidR="001C19CC">
        <w:t>every</w:t>
      </w:r>
      <w:r w:rsidR="001C19CC" w:rsidRPr="00B44DE2">
        <w:t xml:space="preserve"> </w:t>
      </w:r>
      <w:r w:rsidRPr="00B44DE2">
        <w:t>day</w:t>
      </w:r>
      <w:r w:rsidR="001C19CC">
        <w:t xml:space="preserve"> of the</w:t>
      </w:r>
      <w:r w:rsidRPr="00B44DE2">
        <w:t xml:space="preserve"> year. </w:t>
      </w:r>
      <w:r>
        <w:t>PSE pays a fixed demand charge for the right</w:t>
      </w:r>
      <w:r w:rsidR="00B67636">
        <w:t>,</w:t>
      </w:r>
      <w:r>
        <w:t xml:space="preserve"> but not the obligation</w:t>
      </w:r>
      <w:r w:rsidR="00B67636">
        <w:t>,</w:t>
      </w:r>
      <w:r>
        <w:t xml:space="preserve"> to transport gas every day. </w:t>
      </w:r>
    </w:p>
    <w:p w14:paraId="6B284DE7" w14:textId="77777777" w:rsidR="00862469" w:rsidRDefault="00862469" w:rsidP="00CE0E54">
      <w:pPr>
        <w:pStyle w:val="IRPsanstext"/>
        <w:rPr>
          <w:b/>
          <w:color w:val="3366FF"/>
          <w:sz w:val="28"/>
        </w:rPr>
      </w:pPr>
    </w:p>
    <w:p w14:paraId="0441776E" w14:textId="77777777" w:rsidR="00862469" w:rsidRDefault="00862469" w:rsidP="00CE0E54">
      <w:pPr>
        <w:pStyle w:val="IRPsanstext"/>
        <w:rPr>
          <w:b/>
        </w:rPr>
      </w:pPr>
      <w:r w:rsidRPr="00CE0E54">
        <w:rPr>
          <w:b/>
          <w:color w:val="006C71"/>
          <w:sz w:val="28"/>
        </w:rPr>
        <w:t>Storage Redelivery Service.</w:t>
      </w:r>
      <w:r w:rsidRPr="00B44DE2">
        <w:rPr>
          <w:sz w:val="28"/>
        </w:rPr>
        <w:t xml:space="preserve"> </w:t>
      </w:r>
      <w:r>
        <w:t xml:space="preserve">PSE holds TF-2 and winter-only discounted TF-1 capacity under various contracts to provide for firm delivery of Jackson Prairie storage withdrawals.  </w:t>
      </w:r>
      <w:r w:rsidR="00405338">
        <w:t>T</w:t>
      </w:r>
      <w:r>
        <w:t xml:space="preserve">hese services are restricted to </w:t>
      </w:r>
      <w:r w:rsidR="00893189">
        <w:t xml:space="preserve">the </w:t>
      </w:r>
      <w:r>
        <w:t xml:space="preserve">winter </w:t>
      </w:r>
      <w:r w:rsidR="002B4D55">
        <w:t xml:space="preserve">months of November through March </w:t>
      </w:r>
      <w:r>
        <w:t>and provide for firm receipt only at Jackson Prairie</w:t>
      </w:r>
      <w:r w:rsidR="00405338">
        <w:t xml:space="preserve">; therefore, </w:t>
      </w:r>
      <w:r>
        <w:t>the rates on these contracts are substantially lower than regular TF-1 transportation contracts.</w:t>
      </w:r>
    </w:p>
    <w:p w14:paraId="5E8F68A3" w14:textId="77777777" w:rsidR="00862469" w:rsidRPr="00B44DE2" w:rsidRDefault="00862469" w:rsidP="00CE0E54">
      <w:pPr>
        <w:pStyle w:val="IRPsanstext"/>
        <w:rPr>
          <w:b/>
        </w:rPr>
      </w:pPr>
    </w:p>
    <w:p w14:paraId="3EAE1F77" w14:textId="77777777" w:rsidR="00862469" w:rsidRDefault="00862469" w:rsidP="00CE0E54">
      <w:pPr>
        <w:pStyle w:val="IRPsanstext"/>
      </w:pPr>
      <w:proofErr w:type="gramStart"/>
      <w:r w:rsidRPr="00CE0E54">
        <w:rPr>
          <w:b/>
          <w:color w:val="006C71"/>
          <w:sz w:val="28"/>
        </w:rPr>
        <w:t>Firm versus Non-firm Transportation Capacity.</w:t>
      </w:r>
      <w:proofErr w:type="gramEnd"/>
      <w:r w:rsidRPr="00230272">
        <w:rPr>
          <w:b/>
          <w:color w:val="3366FF"/>
          <w:sz w:val="28"/>
        </w:rPr>
        <w:t xml:space="preserve"> </w:t>
      </w:r>
      <w:r w:rsidRPr="00AA74D3">
        <w:t xml:space="preserve">Firm transportation capacity carries the right, but </w:t>
      </w:r>
      <w:r w:rsidR="000169DE">
        <w:t xml:space="preserve">generally </w:t>
      </w:r>
      <w:r w:rsidRPr="00AA74D3">
        <w:t>not the obligation</w:t>
      </w:r>
      <w:r w:rsidR="000169DE">
        <w:t xml:space="preserve"> (subject to operational flow orders from a pipeline)</w:t>
      </w:r>
      <w:r w:rsidRPr="00AA74D3">
        <w:t>, to transport up to a maximum daily quantity of gas on the pipeline from a specified receipt point to a specified delivery point. Firm transportation requires a fixed payment, whether or not th</w:t>
      </w:r>
      <w:r>
        <w:t>e</w:t>
      </w:r>
      <w:r w:rsidRPr="00AA74D3">
        <w:t xml:space="preserve"> capacity is used, plus variable costs when </w:t>
      </w:r>
      <w:r w:rsidRPr="00AB3914">
        <w:t xml:space="preserve">physical </w:t>
      </w:r>
      <w:r w:rsidRPr="004979CA">
        <w:t xml:space="preserve">gas is transported. </w:t>
      </w:r>
      <w:r w:rsidRPr="000D6948">
        <w:t xml:space="preserve"> </w:t>
      </w:r>
      <w:r>
        <w:t xml:space="preserve"> </w:t>
      </w:r>
    </w:p>
    <w:p w14:paraId="38F9E170" w14:textId="77777777" w:rsidR="00862469" w:rsidRPr="00357C54" w:rsidRDefault="00862469" w:rsidP="00CE0E54">
      <w:pPr>
        <w:pStyle w:val="IRPsanstext"/>
      </w:pPr>
    </w:p>
    <w:p w14:paraId="654A4AEB" w14:textId="77777777" w:rsidR="00862469" w:rsidRPr="00AA74D3" w:rsidRDefault="00862469" w:rsidP="00CE0E54">
      <w:pPr>
        <w:pStyle w:val="IRPsanstext"/>
      </w:pPr>
      <w:r w:rsidRPr="006A1844">
        <w:t xml:space="preserve">Non-firm service </w:t>
      </w:r>
      <w:r w:rsidRPr="00CB6A96">
        <w:t>is subordinate to the rights of shippers who hold and use firm transportation capacity</w:t>
      </w:r>
      <w:r>
        <w:t xml:space="preserve">, hence it is “interruptible.” </w:t>
      </w:r>
      <w:r w:rsidRPr="002C10C8">
        <w:t>The rate for interruptible capacity is negotiable, and is typically billed as a variable c</w:t>
      </w:r>
      <w:r w:rsidRPr="00A66A78">
        <w:t xml:space="preserve">harge. </w:t>
      </w:r>
    </w:p>
    <w:p w14:paraId="6E291347" w14:textId="77777777" w:rsidR="00862469" w:rsidRDefault="00862469" w:rsidP="00CE0E54">
      <w:pPr>
        <w:pStyle w:val="IRPsanstext"/>
      </w:pPr>
    </w:p>
    <w:p w14:paraId="38D578F0" w14:textId="77777777" w:rsidR="00862469" w:rsidRPr="000B7150" w:rsidRDefault="00862469" w:rsidP="00CE0E54">
      <w:pPr>
        <w:pStyle w:val="IRPsanstext"/>
      </w:pPr>
      <w:r>
        <w:t>Non-firm</w:t>
      </w:r>
      <w:r w:rsidRPr="000B7150">
        <w:rPr>
          <w:w w:val="105"/>
        </w:rPr>
        <w:t xml:space="preserve"> </w:t>
      </w:r>
      <w:r>
        <w:rPr>
          <w:w w:val="105"/>
        </w:rPr>
        <w:t xml:space="preserve">capacity on a fully </w:t>
      </w:r>
      <w:r w:rsidRPr="000B7150">
        <w:rPr>
          <w:w w:val="105"/>
        </w:rPr>
        <w:t xml:space="preserve">contracted pipeline results from a firm shipper not fully utilizing </w:t>
      </w:r>
      <w:r>
        <w:rPr>
          <w:w w:val="105"/>
        </w:rPr>
        <w:t>its firm rights on a given day.</w:t>
      </w:r>
      <w:r w:rsidRPr="000B7150">
        <w:rPr>
          <w:w w:val="105"/>
        </w:rPr>
        <w:t xml:space="preserve"> This unused (aka: interruptible) capacity, if requested (nominated) by a shipper and confirmed by the pipeline, becomes firm capacity for that day.</w:t>
      </w:r>
      <w:r>
        <w:rPr>
          <w:w w:val="105"/>
        </w:rPr>
        <w:t xml:space="preserve"> The rights of this type of non-firm capacity are subordinate to the rights of firm pipeline contract owners who request to transport gas outside of their firm transportation path.</w:t>
      </w:r>
    </w:p>
    <w:p w14:paraId="708D69A0" w14:textId="77777777" w:rsidR="00862469" w:rsidRDefault="00862469" w:rsidP="00CE0E54">
      <w:pPr>
        <w:pStyle w:val="IRPsanstext"/>
      </w:pPr>
    </w:p>
    <w:p w14:paraId="7C1A022D" w14:textId="77777777" w:rsidR="00862469" w:rsidRPr="00B44DE2" w:rsidRDefault="00862469" w:rsidP="00CE0E54">
      <w:pPr>
        <w:pStyle w:val="IRPsanstext"/>
      </w:pPr>
      <w:r w:rsidRPr="00B44DE2">
        <w:t xml:space="preserve">PSE </w:t>
      </w:r>
      <w:r w:rsidR="001C19CC">
        <w:t xml:space="preserve">may </w:t>
      </w:r>
      <w:r w:rsidRPr="00B44DE2">
        <w:t xml:space="preserve">release capacity when </w:t>
      </w:r>
      <w:r w:rsidR="00B67636">
        <w:t>it has</w:t>
      </w:r>
      <w:r w:rsidRPr="00B44DE2">
        <w:t xml:space="preserve"> a surplus of firm capacity and when market conditions make such transactions favorable for customers. The company also uses the capacity release market to access additional firm capacity when it is available. Interruptible service plays a limited role in PSE’s resource portfolio because it cannot be relied on to meet peak demand. </w:t>
      </w:r>
    </w:p>
    <w:p w14:paraId="0CD27DA6" w14:textId="77777777" w:rsidR="00CE0E54" w:rsidRDefault="00CE0E54">
      <w:pPr>
        <w:rPr>
          <w:rFonts w:ascii="Arial" w:hAnsi="Arial"/>
          <w:b/>
          <w:color w:val="007163"/>
          <w:sz w:val="28"/>
          <w:szCs w:val="20"/>
        </w:rPr>
      </w:pPr>
      <w:r>
        <w:rPr>
          <w:b/>
          <w:color w:val="007163"/>
          <w:sz w:val="28"/>
        </w:rPr>
        <w:br w:type="page"/>
      </w:r>
    </w:p>
    <w:p w14:paraId="022B022E" w14:textId="77777777" w:rsidR="00862469" w:rsidRDefault="00862469" w:rsidP="00CE0E54">
      <w:pPr>
        <w:pStyle w:val="IRPsanstext"/>
        <w:rPr>
          <w:b/>
          <w:color w:val="007163"/>
          <w:sz w:val="28"/>
        </w:rPr>
      </w:pPr>
    </w:p>
    <w:p w14:paraId="46FF4D04" w14:textId="77777777" w:rsidR="00862469" w:rsidRPr="00CE0E54" w:rsidRDefault="00862469" w:rsidP="00CE0E54">
      <w:pPr>
        <w:pStyle w:val="IRPsanstext"/>
        <w:rPr>
          <w:sz w:val="32"/>
          <w:szCs w:val="32"/>
        </w:rPr>
      </w:pPr>
      <w:r w:rsidRPr="00CE0E54">
        <w:rPr>
          <w:sz w:val="32"/>
          <w:szCs w:val="32"/>
        </w:rPr>
        <w:t xml:space="preserve">Existing Storage Resources </w:t>
      </w:r>
    </w:p>
    <w:p w14:paraId="4B3A7609" w14:textId="77777777" w:rsidR="00CE0E54" w:rsidRDefault="00CE0E54" w:rsidP="00CE0E54">
      <w:pPr>
        <w:pStyle w:val="IRPsanstext"/>
      </w:pPr>
    </w:p>
    <w:p w14:paraId="1CCF111C" w14:textId="77777777" w:rsidR="00FA348A" w:rsidRDefault="00862469" w:rsidP="00CE0E54">
      <w:pPr>
        <w:pStyle w:val="IRPsanstext"/>
      </w:pPr>
      <w:r w:rsidRPr="00891D84">
        <w:t xml:space="preserve">PSE’s natural gas storage capacity is a significant component of the company’s gas </w:t>
      </w:r>
      <w:r>
        <w:t xml:space="preserve">sales </w:t>
      </w:r>
      <w:r w:rsidRPr="00891D84">
        <w:t xml:space="preserve">resource portfolio. Storage capacity improves system flexibility and creates significant cost savings for both the system and customers. </w:t>
      </w:r>
      <w:r>
        <w:t>Benefits include the following.</w:t>
      </w:r>
    </w:p>
    <w:p w14:paraId="4ED030D8" w14:textId="77777777" w:rsidR="00862469" w:rsidRPr="00891D84" w:rsidRDefault="00862469" w:rsidP="00CE0E54">
      <w:pPr>
        <w:pStyle w:val="IRPsanstext"/>
      </w:pPr>
    </w:p>
    <w:p w14:paraId="23EEA7DC" w14:textId="77777777" w:rsidR="00862469" w:rsidRPr="00891D84" w:rsidRDefault="00862469" w:rsidP="00CE0E54">
      <w:pPr>
        <w:pStyle w:val="IRPsanstext"/>
        <w:numPr>
          <w:ilvl w:val="0"/>
          <w:numId w:val="18"/>
        </w:numPr>
      </w:pPr>
      <w:r w:rsidRPr="00891D84">
        <w:t>Ready access to an immediate and controllable source of firm gas supply or storage space enables PSE to handle many imbalances created at the interstate pipeline level without incurring balancing or scheduling penalties.</w:t>
      </w:r>
    </w:p>
    <w:p w14:paraId="15AA7126" w14:textId="77777777" w:rsidR="00862469" w:rsidRPr="00891D84" w:rsidRDefault="00862469" w:rsidP="00CE0E54">
      <w:pPr>
        <w:pStyle w:val="IRPsanstext"/>
        <w:numPr>
          <w:ilvl w:val="0"/>
          <w:numId w:val="18"/>
        </w:numPr>
      </w:pPr>
      <w:r w:rsidRPr="00891D84">
        <w:t>Access to storage makes it possible for the company to purchase and store additional gas during the lower-demand summer season, generally at lower prices.</w:t>
      </w:r>
    </w:p>
    <w:p w14:paraId="46C38A8F" w14:textId="77777777" w:rsidR="00862469" w:rsidRPr="00891D84" w:rsidRDefault="00862469" w:rsidP="00CE0E54">
      <w:pPr>
        <w:pStyle w:val="IRPsanstext"/>
        <w:numPr>
          <w:ilvl w:val="0"/>
          <w:numId w:val="18"/>
        </w:numPr>
      </w:pPr>
      <w:r w:rsidRPr="00891D84">
        <w:t xml:space="preserve">Combining storage capacity with </w:t>
      </w:r>
      <w:r>
        <w:t>storage redelivery service</w:t>
      </w:r>
      <w:r w:rsidRPr="00891D84">
        <w:t xml:space="preserve"> transportation allows us to contract for less year-round pipeline capacity to meet winter-only demand. </w:t>
      </w:r>
    </w:p>
    <w:p w14:paraId="56A75BED" w14:textId="77777777" w:rsidR="00862469" w:rsidRPr="00891D84" w:rsidRDefault="00862469" w:rsidP="00CE0E54">
      <w:pPr>
        <w:pStyle w:val="IRPsanstext"/>
        <w:numPr>
          <w:ilvl w:val="0"/>
          <w:numId w:val="18"/>
        </w:numPr>
        <w:rPr>
          <w:b/>
        </w:rPr>
      </w:pPr>
      <w:r w:rsidRPr="00891D84">
        <w:t>PSE also uses storage to balance city</w:t>
      </w:r>
      <w:r w:rsidR="00961689">
        <w:t xml:space="preserve"> </w:t>
      </w:r>
      <w:r w:rsidRPr="00891D84">
        <w:t xml:space="preserve">gate gas receipts with the actual loads of our gas transportation customers. </w:t>
      </w:r>
    </w:p>
    <w:p w14:paraId="6D7E73FA" w14:textId="77777777" w:rsidR="00862469" w:rsidRPr="00891D84" w:rsidRDefault="00862469" w:rsidP="00CE0E54">
      <w:pPr>
        <w:pStyle w:val="IRPsanstext"/>
      </w:pPr>
    </w:p>
    <w:p w14:paraId="273438B4" w14:textId="77777777" w:rsidR="00862469" w:rsidRDefault="00862469" w:rsidP="00CE0E54">
      <w:pPr>
        <w:pStyle w:val="IRPsanstext"/>
      </w:pPr>
      <w:r w:rsidRPr="00891D84">
        <w:t>We have contractual access to two underground storage projects. Each serves a different purpose. Jackson Prairie storage, in Lewis County, W</w:t>
      </w:r>
      <w:r>
        <w:t>ash.</w:t>
      </w:r>
      <w:r w:rsidRPr="00891D84">
        <w:t xml:space="preserve"> is an aquifer-driven storage field designed to deliver large quantities of gas over a relatively short period of time. Clay Basin</w:t>
      </w:r>
      <w:r>
        <w:t>,</w:t>
      </w:r>
      <w:r w:rsidRPr="00891D84">
        <w:t xml:space="preserve"> in northeastern Utah</w:t>
      </w:r>
      <w:r>
        <w:t>,</w:t>
      </w:r>
      <w:r w:rsidRPr="00891D84">
        <w:t xml:space="preserve"> provides supply-area storage and a winter gas supply. Figure </w:t>
      </w:r>
      <w:r>
        <w:t>7-4</w:t>
      </w:r>
      <w:r w:rsidRPr="00891D84">
        <w:t xml:space="preserve"> presents details about storage capacity.</w:t>
      </w:r>
    </w:p>
    <w:p w14:paraId="19702709" w14:textId="77777777" w:rsidR="00CE0E54" w:rsidRDefault="00CE0E54">
      <w:pPr>
        <w:rPr>
          <w:rFonts w:ascii="Arial" w:hAnsi="Arial"/>
          <w:sz w:val="20"/>
          <w:szCs w:val="20"/>
        </w:rPr>
      </w:pPr>
      <w:r>
        <w:br w:type="page"/>
      </w:r>
    </w:p>
    <w:p w14:paraId="7E964F58" w14:textId="77777777" w:rsidR="00CE0E54" w:rsidRPr="00891D84" w:rsidRDefault="00CE0E54" w:rsidP="00CE0E54">
      <w:pPr>
        <w:pStyle w:val="IRPsanstext"/>
      </w:pPr>
    </w:p>
    <w:p w14:paraId="676EE352" w14:textId="77777777" w:rsidR="00862469" w:rsidRDefault="00862469" w:rsidP="00CE0E54">
      <w:pPr>
        <w:pStyle w:val="IRPFigureSub"/>
        <w:spacing w:after="120"/>
      </w:pPr>
      <w:bookmarkStart w:id="0" w:name="_Toc338900620"/>
      <w:bookmarkStart w:id="1" w:name="_Toc338900828"/>
      <w:bookmarkStart w:id="2" w:name="_Toc338914521"/>
      <w:bookmarkStart w:id="3" w:name="_Toc339106326"/>
      <w:bookmarkStart w:id="4" w:name="_Toc341327726"/>
      <w:bookmarkStart w:id="5" w:name="_Toc342289994"/>
      <w:r w:rsidRPr="00B44DE2">
        <w:t xml:space="preserve">Figure </w:t>
      </w:r>
      <w:r>
        <w:t xml:space="preserve">7-4: </w:t>
      </w:r>
      <w:r w:rsidRPr="00B44DE2">
        <w:t>Gas Sales Storage Resources</w:t>
      </w:r>
      <w:r w:rsidRPr="00B44DE2">
        <w:rPr>
          <w:vertAlign w:val="superscript"/>
        </w:rPr>
        <w:t xml:space="preserve">1 </w:t>
      </w:r>
    </w:p>
    <w:tbl>
      <w:tblPr>
        <w:tblW w:w="8743" w:type="dxa"/>
        <w:tblInd w:w="95" w:type="dxa"/>
        <w:tblLook w:val="0000" w:firstRow="0" w:lastRow="0" w:firstColumn="0" w:lastColumn="0" w:noHBand="0" w:noVBand="0"/>
      </w:tblPr>
      <w:tblGrid>
        <w:gridCol w:w="3073"/>
        <w:gridCol w:w="1440"/>
        <w:gridCol w:w="1350"/>
        <w:gridCol w:w="1350"/>
        <w:gridCol w:w="1530"/>
      </w:tblGrid>
      <w:tr w:rsidR="00862469" w:rsidRPr="00D61621" w14:paraId="32A6BAC2" w14:textId="77777777">
        <w:trPr>
          <w:trHeight w:val="1000"/>
        </w:trPr>
        <w:tc>
          <w:tcPr>
            <w:tcW w:w="3073" w:type="dxa"/>
            <w:tcBorders>
              <w:top w:val="single" w:sz="8" w:space="0" w:color="auto"/>
              <w:left w:val="single" w:sz="8" w:space="0" w:color="auto"/>
              <w:bottom w:val="single" w:sz="8" w:space="0" w:color="auto"/>
              <w:right w:val="single" w:sz="4" w:space="0" w:color="auto"/>
            </w:tcBorders>
            <w:shd w:val="clear" w:color="auto" w:fill="006C71"/>
            <w:noWrap/>
            <w:vAlign w:val="center"/>
          </w:tcPr>
          <w:p w14:paraId="2413A079" w14:textId="77777777" w:rsidR="00862469" w:rsidRPr="00CE0E54" w:rsidRDefault="00862469" w:rsidP="00862469">
            <w:pPr>
              <w:rPr>
                <w:rFonts w:ascii="Arial" w:hAnsi="Arial" w:cs="Arial"/>
                <w:b/>
                <w:bCs/>
                <w:color w:val="FFFFFF"/>
                <w:sz w:val="20"/>
                <w:szCs w:val="20"/>
              </w:rPr>
            </w:pPr>
            <w:r w:rsidRPr="00CE0E54">
              <w:rPr>
                <w:rFonts w:ascii="Arial" w:hAnsi="Arial" w:cs="Arial"/>
                <w:b/>
                <w:bCs/>
                <w:color w:val="FFFFFF"/>
                <w:sz w:val="20"/>
                <w:szCs w:val="20"/>
              </w:rPr>
              <w:t>Facility</w:t>
            </w:r>
          </w:p>
        </w:tc>
        <w:tc>
          <w:tcPr>
            <w:tcW w:w="1440" w:type="dxa"/>
            <w:tcBorders>
              <w:top w:val="single" w:sz="8" w:space="0" w:color="auto"/>
              <w:left w:val="single" w:sz="4" w:space="0" w:color="auto"/>
              <w:bottom w:val="single" w:sz="8" w:space="0" w:color="auto"/>
              <w:right w:val="single" w:sz="4" w:space="0" w:color="auto"/>
            </w:tcBorders>
            <w:shd w:val="clear" w:color="auto" w:fill="006C71"/>
            <w:vAlign w:val="bottom"/>
          </w:tcPr>
          <w:p w14:paraId="20001A13" w14:textId="77777777" w:rsidR="00862469" w:rsidRPr="00CE0E54" w:rsidRDefault="00862469" w:rsidP="00862469">
            <w:pPr>
              <w:jc w:val="center"/>
              <w:rPr>
                <w:rFonts w:ascii="Arial" w:hAnsi="Arial" w:cs="Arial"/>
                <w:b/>
                <w:bCs/>
                <w:color w:val="FFFFFF"/>
                <w:sz w:val="20"/>
                <w:szCs w:val="20"/>
              </w:rPr>
            </w:pPr>
            <w:r w:rsidRPr="00CE0E54">
              <w:rPr>
                <w:rFonts w:ascii="Arial" w:hAnsi="Arial" w:cs="Arial"/>
                <w:b/>
                <w:bCs/>
                <w:color w:val="FFFFFF"/>
                <w:sz w:val="20"/>
                <w:szCs w:val="20"/>
              </w:rPr>
              <w:t>Storage Capacity (</w:t>
            </w:r>
            <w:proofErr w:type="spellStart"/>
            <w:r w:rsidRPr="00CE0E54">
              <w:rPr>
                <w:rFonts w:ascii="Arial" w:hAnsi="Arial" w:cs="Arial"/>
                <w:b/>
                <w:bCs/>
                <w:color w:val="FFFFFF"/>
                <w:sz w:val="20"/>
                <w:szCs w:val="20"/>
              </w:rPr>
              <w:t>Dth</w:t>
            </w:r>
            <w:proofErr w:type="spellEnd"/>
            <w:r w:rsidRPr="00CE0E54">
              <w:rPr>
                <w:rFonts w:ascii="Arial" w:hAnsi="Arial" w:cs="Arial"/>
                <w:b/>
                <w:bCs/>
                <w:color w:val="FFFFFF"/>
                <w:sz w:val="20"/>
                <w:szCs w:val="20"/>
              </w:rPr>
              <w:t>)</w:t>
            </w:r>
          </w:p>
        </w:tc>
        <w:tc>
          <w:tcPr>
            <w:tcW w:w="1350" w:type="dxa"/>
            <w:tcBorders>
              <w:top w:val="single" w:sz="8" w:space="0" w:color="auto"/>
              <w:left w:val="single" w:sz="4" w:space="0" w:color="auto"/>
              <w:bottom w:val="single" w:sz="8" w:space="0" w:color="auto"/>
              <w:right w:val="single" w:sz="4" w:space="0" w:color="auto"/>
            </w:tcBorders>
            <w:shd w:val="clear" w:color="auto" w:fill="006C71"/>
            <w:vAlign w:val="bottom"/>
          </w:tcPr>
          <w:p w14:paraId="3EF515C2" w14:textId="77777777" w:rsidR="00862469" w:rsidRPr="00CE0E54" w:rsidRDefault="00862469" w:rsidP="00862469">
            <w:pPr>
              <w:jc w:val="center"/>
              <w:rPr>
                <w:rFonts w:ascii="Arial" w:hAnsi="Arial" w:cs="Arial"/>
                <w:b/>
                <w:bCs/>
                <w:color w:val="FFFFFF"/>
                <w:sz w:val="20"/>
                <w:szCs w:val="20"/>
              </w:rPr>
            </w:pPr>
            <w:r w:rsidRPr="00CE0E54">
              <w:rPr>
                <w:rFonts w:ascii="Arial" w:hAnsi="Arial" w:cs="Arial"/>
                <w:b/>
                <w:bCs/>
                <w:color w:val="FFFFFF"/>
                <w:sz w:val="20"/>
                <w:szCs w:val="20"/>
              </w:rPr>
              <w:t>Injection Capacity (</w:t>
            </w:r>
            <w:proofErr w:type="spellStart"/>
            <w:r w:rsidRPr="00CE0E54">
              <w:rPr>
                <w:rFonts w:ascii="Arial" w:hAnsi="Arial" w:cs="Arial"/>
                <w:b/>
                <w:bCs/>
                <w:color w:val="FFFFFF"/>
                <w:sz w:val="20"/>
                <w:szCs w:val="20"/>
              </w:rPr>
              <w:t>Dth</w:t>
            </w:r>
            <w:proofErr w:type="spellEnd"/>
            <w:r w:rsidRPr="00CE0E54">
              <w:rPr>
                <w:rFonts w:ascii="Arial" w:hAnsi="Arial" w:cs="Arial"/>
                <w:b/>
                <w:bCs/>
                <w:color w:val="FFFFFF"/>
                <w:sz w:val="20"/>
                <w:szCs w:val="20"/>
              </w:rPr>
              <w:t>/Day)</w:t>
            </w:r>
          </w:p>
        </w:tc>
        <w:tc>
          <w:tcPr>
            <w:tcW w:w="1350" w:type="dxa"/>
            <w:tcBorders>
              <w:top w:val="single" w:sz="8" w:space="0" w:color="auto"/>
              <w:left w:val="single" w:sz="4" w:space="0" w:color="auto"/>
              <w:bottom w:val="single" w:sz="8" w:space="0" w:color="auto"/>
              <w:right w:val="single" w:sz="4" w:space="0" w:color="auto"/>
            </w:tcBorders>
            <w:shd w:val="clear" w:color="auto" w:fill="006C71"/>
            <w:vAlign w:val="bottom"/>
          </w:tcPr>
          <w:p w14:paraId="5B50788F" w14:textId="77777777" w:rsidR="00862469" w:rsidRPr="00CE0E54" w:rsidRDefault="00862469" w:rsidP="00862469">
            <w:pPr>
              <w:jc w:val="center"/>
              <w:rPr>
                <w:rFonts w:ascii="Arial" w:hAnsi="Arial" w:cs="Arial"/>
                <w:b/>
                <w:bCs/>
                <w:color w:val="FFFFFF"/>
                <w:sz w:val="20"/>
                <w:szCs w:val="20"/>
              </w:rPr>
            </w:pPr>
            <w:r w:rsidRPr="00CE0E54">
              <w:rPr>
                <w:rFonts w:ascii="Arial" w:hAnsi="Arial" w:cs="Arial"/>
                <w:b/>
                <w:bCs/>
                <w:color w:val="FFFFFF"/>
                <w:sz w:val="20"/>
                <w:szCs w:val="20"/>
              </w:rPr>
              <w:t>Withdrawal Capacity (</w:t>
            </w:r>
            <w:proofErr w:type="spellStart"/>
            <w:r w:rsidRPr="00CE0E54">
              <w:rPr>
                <w:rFonts w:ascii="Arial" w:hAnsi="Arial" w:cs="Arial"/>
                <w:b/>
                <w:bCs/>
                <w:color w:val="FFFFFF"/>
                <w:sz w:val="20"/>
                <w:szCs w:val="20"/>
              </w:rPr>
              <w:t>Dth</w:t>
            </w:r>
            <w:proofErr w:type="spellEnd"/>
            <w:r w:rsidRPr="00CE0E54">
              <w:rPr>
                <w:rFonts w:ascii="Arial" w:hAnsi="Arial" w:cs="Arial"/>
                <w:b/>
                <w:bCs/>
                <w:color w:val="FFFFFF"/>
                <w:sz w:val="20"/>
                <w:szCs w:val="20"/>
              </w:rPr>
              <w:t>/Day)</w:t>
            </w:r>
          </w:p>
        </w:tc>
        <w:tc>
          <w:tcPr>
            <w:tcW w:w="1530" w:type="dxa"/>
            <w:tcBorders>
              <w:top w:val="single" w:sz="8" w:space="0" w:color="auto"/>
              <w:left w:val="single" w:sz="4" w:space="0" w:color="auto"/>
              <w:bottom w:val="single" w:sz="8" w:space="0" w:color="auto"/>
              <w:right w:val="single" w:sz="8" w:space="0" w:color="auto"/>
            </w:tcBorders>
            <w:shd w:val="clear" w:color="auto" w:fill="006C71"/>
            <w:noWrap/>
            <w:vAlign w:val="bottom"/>
          </w:tcPr>
          <w:p w14:paraId="392DF1EC" w14:textId="77777777" w:rsidR="00862469" w:rsidRPr="00CE0E54" w:rsidRDefault="00862469" w:rsidP="00862469">
            <w:pPr>
              <w:jc w:val="center"/>
              <w:rPr>
                <w:rFonts w:ascii="Arial" w:hAnsi="Arial" w:cs="Arial"/>
                <w:b/>
                <w:bCs/>
                <w:color w:val="FFFFFF"/>
                <w:sz w:val="20"/>
                <w:szCs w:val="20"/>
              </w:rPr>
            </w:pPr>
            <w:r w:rsidRPr="00CE0E54">
              <w:rPr>
                <w:rFonts w:ascii="Arial" w:hAnsi="Arial" w:cs="Arial"/>
                <w:b/>
                <w:bCs/>
                <w:color w:val="FFFFFF"/>
                <w:sz w:val="20"/>
                <w:szCs w:val="20"/>
              </w:rPr>
              <w:t>Expiration Date</w:t>
            </w:r>
          </w:p>
        </w:tc>
      </w:tr>
      <w:tr w:rsidR="00862469" w:rsidRPr="00D61621" w14:paraId="6694565D" w14:textId="77777777">
        <w:trPr>
          <w:trHeight w:val="300"/>
        </w:trPr>
        <w:tc>
          <w:tcPr>
            <w:tcW w:w="3073" w:type="dxa"/>
            <w:tcBorders>
              <w:top w:val="single" w:sz="8" w:space="0" w:color="auto"/>
              <w:left w:val="single" w:sz="8" w:space="0" w:color="auto"/>
              <w:bottom w:val="single" w:sz="8" w:space="0" w:color="auto"/>
              <w:right w:val="single" w:sz="4" w:space="0" w:color="auto"/>
            </w:tcBorders>
            <w:shd w:val="clear" w:color="auto" w:fill="969696"/>
            <w:noWrap/>
            <w:vAlign w:val="bottom"/>
          </w:tcPr>
          <w:p w14:paraId="41577E04"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 </w:t>
            </w:r>
          </w:p>
        </w:tc>
        <w:tc>
          <w:tcPr>
            <w:tcW w:w="1440" w:type="dxa"/>
            <w:tcBorders>
              <w:top w:val="single" w:sz="8" w:space="0" w:color="auto"/>
              <w:left w:val="single" w:sz="4" w:space="0" w:color="auto"/>
              <w:bottom w:val="single" w:sz="8" w:space="0" w:color="auto"/>
              <w:right w:val="single" w:sz="4" w:space="0" w:color="auto"/>
            </w:tcBorders>
            <w:shd w:val="clear" w:color="auto" w:fill="969696"/>
            <w:vAlign w:val="bottom"/>
          </w:tcPr>
          <w:p w14:paraId="548A3B9D" w14:textId="77777777" w:rsidR="00862469" w:rsidRPr="00CE0E54" w:rsidRDefault="00862469" w:rsidP="00862469">
            <w:pPr>
              <w:jc w:val="center"/>
              <w:rPr>
                <w:rFonts w:ascii="Arial" w:hAnsi="Arial" w:cs="Arial"/>
                <w:b/>
                <w:bCs/>
                <w:color w:val="FFFFFF"/>
                <w:sz w:val="20"/>
                <w:szCs w:val="20"/>
              </w:rPr>
            </w:pPr>
            <w:r w:rsidRPr="00CE0E54">
              <w:rPr>
                <w:rFonts w:ascii="Arial" w:hAnsi="Arial" w:cs="Arial"/>
                <w:b/>
                <w:bCs/>
                <w:color w:val="FFFFFF"/>
                <w:sz w:val="20"/>
                <w:szCs w:val="20"/>
              </w:rPr>
              <w:t> </w:t>
            </w:r>
          </w:p>
        </w:tc>
        <w:tc>
          <w:tcPr>
            <w:tcW w:w="1350" w:type="dxa"/>
            <w:tcBorders>
              <w:top w:val="single" w:sz="8" w:space="0" w:color="auto"/>
              <w:left w:val="single" w:sz="4" w:space="0" w:color="auto"/>
              <w:bottom w:val="single" w:sz="8" w:space="0" w:color="auto"/>
              <w:right w:val="single" w:sz="4" w:space="0" w:color="auto"/>
            </w:tcBorders>
            <w:shd w:val="clear" w:color="auto" w:fill="969696"/>
            <w:vAlign w:val="bottom"/>
          </w:tcPr>
          <w:p w14:paraId="561DDFE8" w14:textId="77777777" w:rsidR="00862469" w:rsidRPr="00CE0E54" w:rsidRDefault="00862469" w:rsidP="00862469">
            <w:pPr>
              <w:jc w:val="center"/>
              <w:rPr>
                <w:rFonts w:ascii="Arial" w:hAnsi="Arial" w:cs="Arial"/>
                <w:b/>
                <w:bCs/>
                <w:color w:val="FFFFFF"/>
                <w:sz w:val="20"/>
                <w:szCs w:val="20"/>
              </w:rPr>
            </w:pPr>
            <w:r w:rsidRPr="00CE0E54">
              <w:rPr>
                <w:rFonts w:ascii="Arial" w:hAnsi="Arial" w:cs="Arial"/>
                <w:b/>
                <w:bCs/>
                <w:color w:val="FFFFFF"/>
                <w:sz w:val="20"/>
                <w:szCs w:val="20"/>
              </w:rPr>
              <w:t> </w:t>
            </w:r>
          </w:p>
        </w:tc>
        <w:tc>
          <w:tcPr>
            <w:tcW w:w="1350" w:type="dxa"/>
            <w:tcBorders>
              <w:top w:val="single" w:sz="8" w:space="0" w:color="auto"/>
              <w:left w:val="single" w:sz="4" w:space="0" w:color="auto"/>
              <w:bottom w:val="single" w:sz="8" w:space="0" w:color="auto"/>
              <w:right w:val="single" w:sz="4" w:space="0" w:color="auto"/>
            </w:tcBorders>
            <w:shd w:val="clear" w:color="auto" w:fill="969696"/>
            <w:vAlign w:val="bottom"/>
          </w:tcPr>
          <w:p w14:paraId="5323BA5F" w14:textId="77777777" w:rsidR="00862469" w:rsidRPr="00CE0E54" w:rsidRDefault="00862469" w:rsidP="00862469">
            <w:pPr>
              <w:jc w:val="center"/>
              <w:rPr>
                <w:rFonts w:ascii="Arial" w:hAnsi="Arial" w:cs="Arial"/>
                <w:b/>
                <w:bCs/>
                <w:color w:val="FFFFFF"/>
                <w:sz w:val="20"/>
                <w:szCs w:val="20"/>
              </w:rPr>
            </w:pPr>
            <w:r w:rsidRPr="00CE0E54">
              <w:rPr>
                <w:rFonts w:ascii="Arial" w:hAnsi="Arial" w:cs="Arial"/>
                <w:b/>
                <w:bCs/>
                <w:color w:val="FFFFFF"/>
                <w:sz w:val="20"/>
                <w:szCs w:val="20"/>
              </w:rPr>
              <w:t> </w:t>
            </w:r>
          </w:p>
        </w:tc>
        <w:tc>
          <w:tcPr>
            <w:tcW w:w="1530" w:type="dxa"/>
            <w:tcBorders>
              <w:top w:val="single" w:sz="8" w:space="0" w:color="auto"/>
              <w:left w:val="single" w:sz="4" w:space="0" w:color="auto"/>
              <w:bottom w:val="single" w:sz="8" w:space="0" w:color="auto"/>
              <w:right w:val="single" w:sz="8" w:space="0" w:color="auto"/>
            </w:tcBorders>
            <w:shd w:val="clear" w:color="auto" w:fill="969696"/>
            <w:noWrap/>
            <w:vAlign w:val="bottom"/>
          </w:tcPr>
          <w:p w14:paraId="1CB1A85A" w14:textId="77777777" w:rsidR="00862469" w:rsidRPr="00CE0E54" w:rsidRDefault="00862469" w:rsidP="00862469">
            <w:pPr>
              <w:jc w:val="center"/>
              <w:rPr>
                <w:rFonts w:ascii="Arial" w:hAnsi="Arial" w:cs="Arial"/>
                <w:b/>
                <w:bCs/>
                <w:color w:val="FFFFFF"/>
                <w:sz w:val="20"/>
                <w:szCs w:val="20"/>
              </w:rPr>
            </w:pPr>
            <w:r w:rsidRPr="00CE0E54">
              <w:rPr>
                <w:rFonts w:ascii="Arial" w:hAnsi="Arial" w:cs="Arial"/>
                <w:b/>
                <w:bCs/>
                <w:color w:val="FFFFFF"/>
                <w:sz w:val="20"/>
                <w:szCs w:val="20"/>
              </w:rPr>
              <w:t> </w:t>
            </w:r>
          </w:p>
        </w:tc>
      </w:tr>
      <w:tr w:rsidR="00862469" w:rsidRPr="00D61621" w14:paraId="1E76C2CB" w14:textId="77777777">
        <w:trPr>
          <w:trHeight w:val="320"/>
        </w:trPr>
        <w:tc>
          <w:tcPr>
            <w:tcW w:w="3073"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3C22D89"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Jackson Prairie – Owned</w:t>
            </w:r>
          </w:p>
        </w:tc>
        <w:tc>
          <w:tcPr>
            <w:tcW w:w="144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2B59D55C"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8,528,000</w:t>
            </w:r>
          </w:p>
        </w:tc>
        <w:tc>
          <w:tcPr>
            <w:tcW w:w="135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305AF62D"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156,000</w:t>
            </w:r>
          </w:p>
        </w:tc>
        <w:tc>
          <w:tcPr>
            <w:tcW w:w="135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2CA2E854"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398,667</w:t>
            </w:r>
          </w:p>
        </w:tc>
        <w:tc>
          <w:tcPr>
            <w:tcW w:w="1530" w:type="dxa"/>
            <w:tcBorders>
              <w:top w:val="single" w:sz="8" w:space="0" w:color="auto"/>
              <w:left w:val="single" w:sz="4" w:space="0" w:color="auto"/>
              <w:bottom w:val="single" w:sz="8" w:space="0" w:color="auto"/>
              <w:right w:val="single" w:sz="8" w:space="0" w:color="auto"/>
            </w:tcBorders>
            <w:shd w:val="clear" w:color="auto" w:fill="auto"/>
            <w:noWrap/>
            <w:vAlign w:val="center"/>
          </w:tcPr>
          <w:p w14:paraId="00B7990A" w14:textId="77777777" w:rsidR="00862469" w:rsidRPr="00CE0E54" w:rsidRDefault="00862469" w:rsidP="00961689">
            <w:pPr>
              <w:jc w:val="center"/>
              <w:rPr>
                <w:rFonts w:ascii="Arial" w:hAnsi="Arial" w:cs="Arial"/>
                <w:color w:val="000000"/>
                <w:sz w:val="20"/>
                <w:szCs w:val="20"/>
              </w:rPr>
            </w:pPr>
            <w:r w:rsidRPr="00CE0E54">
              <w:rPr>
                <w:rFonts w:ascii="Arial" w:hAnsi="Arial" w:cs="Arial"/>
                <w:color w:val="000000"/>
                <w:sz w:val="20"/>
                <w:szCs w:val="20"/>
              </w:rPr>
              <w:t>N/A</w:t>
            </w:r>
          </w:p>
        </w:tc>
      </w:tr>
      <w:tr w:rsidR="00862469" w:rsidRPr="00D61621" w14:paraId="0399030F" w14:textId="77777777">
        <w:trPr>
          <w:trHeight w:val="300"/>
        </w:trPr>
        <w:tc>
          <w:tcPr>
            <w:tcW w:w="3073" w:type="dxa"/>
            <w:tcBorders>
              <w:top w:val="single" w:sz="8" w:space="0" w:color="auto"/>
              <w:left w:val="single" w:sz="8" w:space="0" w:color="auto"/>
              <w:bottom w:val="nil"/>
              <w:right w:val="single" w:sz="4" w:space="0" w:color="auto"/>
            </w:tcBorders>
            <w:shd w:val="clear" w:color="auto" w:fill="auto"/>
            <w:noWrap/>
            <w:vAlign w:val="center"/>
          </w:tcPr>
          <w:p w14:paraId="4D1B9507"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 xml:space="preserve">Jackson Prairie – NWP </w:t>
            </w:r>
          </w:p>
        </w:tc>
        <w:tc>
          <w:tcPr>
            <w:tcW w:w="1440" w:type="dxa"/>
            <w:tcBorders>
              <w:top w:val="single" w:sz="8" w:space="0" w:color="auto"/>
              <w:left w:val="single" w:sz="4" w:space="0" w:color="auto"/>
              <w:bottom w:val="nil"/>
              <w:right w:val="single" w:sz="4" w:space="0" w:color="auto"/>
            </w:tcBorders>
            <w:shd w:val="clear" w:color="auto" w:fill="auto"/>
            <w:noWrap/>
            <w:vAlign w:val="center"/>
          </w:tcPr>
          <w:p w14:paraId="36310420" w14:textId="77777777" w:rsidR="00862469" w:rsidRPr="00CE0E54" w:rsidRDefault="00862469" w:rsidP="007F71CB">
            <w:pPr>
              <w:jc w:val="center"/>
              <w:rPr>
                <w:rFonts w:ascii="Arial" w:hAnsi="Arial" w:cs="Arial"/>
                <w:sz w:val="20"/>
                <w:szCs w:val="20"/>
              </w:rPr>
            </w:pPr>
          </w:p>
        </w:tc>
        <w:tc>
          <w:tcPr>
            <w:tcW w:w="1350" w:type="dxa"/>
            <w:tcBorders>
              <w:top w:val="single" w:sz="8" w:space="0" w:color="auto"/>
              <w:left w:val="single" w:sz="4" w:space="0" w:color="auto"/>
              <w:bottom w:val="nil"/>
              <w:right w:val="single" w:sz="4" w:space="0" w:color="auto"/>
            </w:tcBorders>
            <w:shd w:val="clear" w:color="auto" w:fill="auto"/>
            <w:noWrap/>
            <w:vAlign w:val="center"/>
          </w:tcPr>
          <w:p w14:paraId="117801DD" w14:textId="77777777" w:rsidR="00862469" w:rsidRPr="00CE0E54" w:rsidRDefault="00862469" w:rsidP="007F71CB">
            <w:pPr>
              <w:jc w:val="center"/>
              <w:rPr>
                <w:rFonts w:ascii="Arial" w:hAnsi="Arial" w:cs="Arial"/>
                <w:sz w:val="20"/>
                <w:szCs w:val="20"/>
              </w:rPr>
            </w:pPr>
          </w:p>
        </w:tc>
        <w:tc>
          <w:tcPr>
            <w:tcW w:w="1350" w:type="dxa"/>
            <w:tcBorders>
              <w:top w:val="single" w:sz="8" w:space="0" w:color="auto"/>
              <w:left w:val="single" w:sz="4" w:space="0" w:color="auto"/>
              <w:bottom w:val="nil"/>
              <w:right w:val="single" w:sz="4" w:space="0" w:color="auto"/>
            </w:tcBorders>
            <w:shd w:val="clear" w:color="auto" w:fill="auto"/>
            <w:noWrap/>
            <w:vAlign w:val="center"/>
          </w:tcPr>
          <w:p w14:paraId="43EC44A4" w14:textId="77777777" w:rsidR="00862469" w:rsidRPr="00CE0E54" w:rsidRDefault="00862469" w:rsidP="007F71CB">
            <w:pPr>
              <w:jc w:val="center"/>
              <w:rPr>
                <w:rFonts w:ascii="Arial" w:hAnsi="Arial" w:cs="Arial"/>
                <w:sz w:val="20"/>
                <w:szCs w:val="20"/>
              </w:rPr>
            </w:pPr>
          </w:p>
        </w:tc>
        <w:tc>
          <w:tcPr>
            <w:tcW w:w="1530" w:type="dxa"/>
            <w:tcBorders>
              <w:top w:val="single" w:sz="8" w:space="0" w:color="auto"/>
              <w:left w:val="single" w:sz="4" w:space="0" w:color="auto"/>
              <w:bottom w:val="nil"/>
              <w:right w:val="single" w:sz="4" w:space="0" w:color="auto"/>
            </w:tcBorders>
            <w:shd w:val="clear" w:color="auto" w:fill="auto"/>
            <w:noWrap/>
            <w:vAlign w:val="center"/>
          </w:tcPr>
          <w:p w14:paraId="5A121ABF" w14:textId="77777777" w:rsidR="00862469" w:rsidRPr="00CE0E54" w:rsidRDefault="00862469" w:rsidP="007F71CB">
            <w:pPr>
              <w:jc w:val="center"/>
              <w:rPr>
                <w:rFonts w:ascii="Arial" w:hAnsi="Arial" w:cs="Arial"/>
                <w:color w:val="000000"/>
                <w:sz w:val="20"/>
                <w:szCs w:val="20"/>
              </w:rPr>
            </w:pPr>
          </w:p>
        </w:tc>
      </w:tr>
      <w:tr w:rsidR="00862469" w:rsidRPr="00D61621" w14:paraId="15C9D208" w14:textId="77777777">
        <w:trPr>
          <w:trHeight w:val="340"/>
        </w:trPr>
        <w:tc>
          <w:tcPr>
            <w:tcW w:w="3073" w:type="dxa"/>
            <w:tcBorders>
              <w:top w:val="nil"/>
              <w:left w:val="single" w:sz="8" w:space="0" w:color="auto"/>
              <w:bottom w:val="single" w:sz="8" w:space="0" w:color="auto"/>
              <w:right w:val="single" w:sz="4" w:space="0" w:color="auto"/>
            </w:tcBorders>
            <w:shd w:val="clear" w:color="auto" w:fill="auto"/>
            <w:noWrap/>
            <w:vAlign w:val="center"/>
          </w:tcPr>
          <w:p w14:paraId="2016F89E"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SGS-2F</w:t>
            </w:r>
            <w:r w:rsidRPr="00CE0E54">
              <w:rPr>
                <w:rFonts w:ascii="Arial" w:hAnsi="Arial" w:cs="Arial"/>
                <w:color w:val="000000"/>
                <w:sz w:val="20"/>
                <w:szCs w:val="20"/>
                <w:vertAlign w:val="superscript"/>
              </w:rPr>
              <w:t>3</w:t>
            </w:r>
          </w:p>
        </w:tc>
        <w:tc>
          <w:tcPr>
            <w:tcW w:w="1440" w:type="dxa"/>
            <w:tcBorders>
              <w:top w:val="nil"/>
              <w:left w:val="single" w:sz="4" w:space="0" w:color="auto"/>
              <w:bottom w:val="single" w:sz="8" w:space="0" w:color="auto"/>
              <w:right w:val="single" w:sz="4" w:space="0" w:color="auto"/>
            </w:tcBorders>
            <w:shd w:val="clear" w:color="auto" w:fill="auto"/>
            <w:noWrap/>
            <w:vAlign w:val="center"/>
          </w:tcPr>
          <w:p w14:paraId="2C4C98A5" w14:textId="77777777" w:rsidR="00862469" w:rsidRPr="00CE0E54" w:rsidRDefault="00862469" w:rsidP="00961689">
            <w:pPr>
              <w:jc w:val="center"/>
              <w:rPr>
                <w:rFonts w:ascii="Arial" w:hAnsi="Arial" w:cs="Arial"/>
                <w:sz w:val="20"/>
                <w:szCs w:val="20"/>
              </w:rPr>
            </w:pPr>
            <w:r w:rsidRPr="00CE0E54">
              <w:rPr>
                <w:rFonts w:ascii="Arial" w:hAnsi="Arial" w:cs="Arial"/>
                <w:sz w:val="20"/>
                <w:szCs w:val="20"/>
              </w:rPr>
              <w:t>1,359,481</w:t>
            </w:r>
          </w:p>
        </w:tc>
        <w:tc>
          <w:tcPr>
            <w:tcW w:w="1350" w:type="dxa"/>
            <w:tcBorders>
              <w:top w:val="nil"/>
              <w:left w:val="single" w:sz="4" w:space="0" w:color="auto"/>
              <w:bottom w:val="single" w:sz="8" w:space="0" w:color="auto"/>
              <w:right w:val="single" w:sz="4" w:space="0" w:color="auto"/>
            </w:tcBorders>
            <w:shd w:val="clear" w:color="auto" w:fill="auto"/>
            <w:noWrap/>
            <w:vAlign w:val="center"/>
          </w:tcPr>
          <w:p w14:paraId="1188C437" w14:textId="77777777" w:rsidR="00862469" w:rsidRPr="00CE0E54" w:rsidRDefault="00862469" w:rsidP="00C9014E">
            <w:pPr>
              <w:jc w:val="center"/>
              <w:rPr>
                <w:rFonts w:ascii="Arial" w:hAnsi="Arial" w:cs="Arial"/>
                <w:sz w:val="20"/>
                <w:szCs w:val="20"/>
              </w:rPr>
            </w:pPr>
            <w:r w:rsidRPr="00CE0E54">
              <w:rPr>
                <w:rFonts w:ascii="Arial" w:hAnsi="Arial" w:cs="Arial"/>
                <w:sz w:val="20"/>
                <w:szCs w:val="20"/>
              </w:rPr>
              <w:t>21,313</w:t>
            </w:r>
          </w:p>
        </w:tc>
        <w:tc>
          <w:tcPr>
            <w:tcW w:w="1350" w:type="dxa"/>
            <w:tcBorders>
              <w:top w:val="nil"/>
              <w:left w:val="single" w:sz="4" w:space="0" w:color="auto"/>
              <w:bottom w:val="single" w:sz="8" w:space="0" w:color="auto"/>
              <w:right w:val="single" w:sz="4" w:space="0" w:color="auto"/>
            </w:tcBorders>
            <w:shd w:val="clear" w:color="auto" w:fill="auto"/>
            <w:noWrap/>
            <w:vAlign w:val="center"/>
          </w:tcPr>
          <w:p w14:paraId="46DC3664" w14:textId="77777777" w:rsidR="00862469" w:rsidRPr="00CE0E54" w:rsidRDefault="00862469" w:rsidP="00C9014E">
            <w:pPr>
              <w:jc w:val="center"/>
              <w:rPr>
                <w:rFonts w:ascii="Arial" w:hAnsi="Arial" w:cs="Arial"/>
                <w:sz w:val="20"/>
                <w:szCs w:val="20"/>
              </w:rPr>
            </w:pPr>
            <w:r w:rsidRPr="00CE0E54">
              <w:rPr>
                <w:rFonts w:ascii="Arial" w:hAnsi="Arial" w:cs="Arial"/>
                <w:sz w:val="20"/>
                <w:szCs w:val="20"/>
              </w:rPr>
              <w:t>54,467</w:t>
            </w:r>
          </w:p>
        </w:tc>
        <w:tc>
          <w:tcPr>
            <w:tcW w:w="1530" w:type="dxa"/>
            <w:tcBorders>
              <w:top w:val="nil"/>
              <w:left w:val="single" w:sz="4" w:space="0" w:color="auto"/>
              <w:bottom w:val="single" w:sz="8" w:space="0" w:color="auto"/>
              <w:right w:val="single" w:sz="4" w:space="0" w:color="auto"/>
            </w:tcBorders>
            <w:shd w:val="clear" w:color="auto" w:fill="auto"/>
            <w:noWrap/>
            <w:vAlign w:val="center"/>
          </w:tcPr>
          <w:p w14:paraId="091F6DF4" w14:textId="77777777" w:rsidR="00862469" w:rsidRPr="00CE0E54" w:rsidRDefault="00862469" w:rsidP="00C9014E">
            <w:pPr>
              <w:jc w:val="center"/>
              <w:rPr>
                <w:rFonts w:ascii="Arial" w:hAnsi="Arial" w:cs="Arial"/>
                <w:color w:val="000000"/>
                <w:sz w:val="20"/>
                <w:szCs w:val="20"/>
              </w:rPr>
            </w:pPr>
            <w:r w:rsidRPr="00CE0E54">
              <w:rPr>
                <w:rFonts w:ascii="Arial" w:hAnsi="Arial" w:cs="Arial"/>
                <w:color w:val="000000"/>
                <w:sz w:val="20"/>
                <w:szCs w:val="20"/>
              </w:rPr>
              <w:t>2016</w:t>
            </w:r>
          </w:p>
        </w:tc>
      </w:tr>
      <w:tr w:rsidR="00862469" w:rsidRPr="00D61621" w14:paraId="74153984" w14:textId="77777777">
        <w:trPr>
          <w:trHeight w:val="340"/>
        </w:trPr>
        <w:tc>
          <w:tcPr>
            <w:tcW w:w="3073" w:type="dxa"/>
            <w:tcBorders>
              <w:top w:val="single" w:sz="8" w:space="0" w:color="auto"/>
              <w:left w:val="single" w:sz="8" w:space="0" w:color="auto"/>
              <w:bottom w:val="single" w:sz="8" w:space="0" w:color="auto"/>
              <w:right w:val="single" w:sz="4" w:space="0" w:color="auto"/>
            </w:tcBorders>
            <w:shd w:val="clear" w:color="auto" w:fill="C0C0C0"/>
            <w:noWrap/>
            <w:vAlign w:val="center"/>
          </w:tcPr>
          <w:p w14:paraId="7A8B2CB5"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 xml:space="preserve">Subtotal Jackson Prairie </w:t>
            </w:r>
            <w:r w:rsidR="00405338" w:rsidRPr="00CE0E54">
              <w:rPr>
                <w:rFonts w:ascii="Arial" w:hAnsi="Arial" w:cs="Arial"/>
                <w:color w:val="000000"/>
                <w:sz w:val="20"/>
                <w:szCs w:val="20"/>
              </w:rPr>
              <w:t>–</w:t>
            </w:r>
            <w:r w:rsidRPr="00CE0E54">
              <w:rPr>
                <w:rFonts w:ascii="Arial" w:hAnsi="Arial" w:cs="Arial"/>
                <w:color w:val="000000"/>
                <w:sz w:val="20"/>
                <w:szCs w:val="20"/>
              </w:rPr>
              <w:t>Available</w:t>
            </w:r>
          </w:p>
        </w:tc>
        <w:tc>
          <w:tcPr>
            <w:tcW w:w="1440" w:type="dxa"/>
            <w:tcBorders>
              <w:top w:val="single" w:sz="8" w:space="0" w:color="auto"/>
              <w:left w:val="single" w:sz="4" w:space="0" w:color="auto"/>
              <w:bottom w:val="single" w:sz="8" w:space="0" w:color="auto"/>
              <w:right w:val="single" w:sz="4" w:space="0" w:color="auto"/>
            </w:tcBorders>
            <w:shd w:val="clear" w:color="auto" w:fill="C0C0C0"/>
            <w:noWrap/>
            <w:vAlign w:val="center"/>
          </w:tcPr>
          <w:p w14:paraId="483F179C"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9,887,481</w:t>
            </w:r>
          </w:p>
        </w:tc>
        <w:tc>
          <w:tcPr>
            <w:tcW w:w="1350" w:type="dxa"/>
            <w:tcBorders>
              <w:top w:val="single" w:sz="8" w:space="0" w:color="auto"/>
              <w:left w:val="single" w:sz="4" w:space="0" w:color="auto"/>
              <w:bottom w:val="single" w:sz="8" w:space="0" w:color="auto"/>
              <w:right w:val="single" w:sz="4" w:space="0" w:color="auto"/>
            </w:tcBorders>
            <w:shd w:val="clear" w:color="auto" w:fill="C0C0C0"/>
            <w:noWrap/>
            <w:vAlign w:val="center"/>
          </w:tcPr>
          <w:p w14:paraId="37799F41"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177,313</w:t>
            </w:r>
          </w:p>
        </w:tc>
        <w:tc>
          <w:tcPr>
            <w:tcW w:w="1350" w:type="dxa"/>
            <w:tcBorders>
              <w:top w:val="single" w:sz="8" w:space="0" w:color="auto"/>
              <w:left w:val="single" w:sz="4" w:space="0" w:color="auto"/>
              <w:bottom w:val="single" w:sz="8" w:space="0" w:color="auto"/>
              <w:right w:val="single" w:sz="4" w:space="0" w:color="auto"/>
            </w:tcBorders>
            <w:shd w:val="clear" w:color="auto" w:fill="C0C0C0"/>
            <w:noWrap/>
            <w:vAlign w:val="center"/>
          </w:tcPr>
          <w:p w14:paraId="4FDF4373"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453,134</w:t>
            </w:r>
          </w:p>
        </w:tc>
        <w:tc>
          <w:tcPr>
            <w:tcW w:w="1530" w:type="dxa"/>
            <w:tcBorders>
              <w:top w:val="single" w:sz="8" w:space="0" w:color="auto"/>
              <w:left w:val="single" w:sz="4" w:space="0" w:color="auto"/>
              <w:bottom w:val="single" w:sz="8" w:space="0" w:color="auto"/>
              <w:right w:val="single" w:sz="8" w:space="0" w:color="auto"/>
            </w:tcBorders>
            <w:shd w:val="clear" w:color="auto" w:fill="C0C0C0"/>
            <w:noWrap/>
            <w:vAlign w:val="center"/>
          </w:tcPr>
          <w:p w14:paraId="432B6D84" w14:textId="77777777" w:rsidR="00862469" w:rsidRPr="00CE0E54" w:rsidRDefault="00862469" w:rsidP="00961689">
            <w:pPr>
              <w:jc w:val="center"/>
              <w:rPr>
                <w:rFonts w:ascii="Arial" w:hAnsi="Arial" w:cs="Arial"/>
                <w:color w:val="000000"/>
                <w:sz w:val="20"/>
                <w:szCs w:val="20"/>
              </w:rPr>
            </w:pPr>
          </w:p>
        </w:tc>
      </w:tr>
      <w:tr w:rsidR="00862469" w:rsidRPr="00D61621" w14:paraId="6EAE1B03" w14:textId="77777777">
        <w:trPr>
          <w:trHeight w:val="340"/>
        </w:trPr>
        <w:tc>
          <w:tcPr>
            <w:tcW w:w="3073"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D4C719D"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Jackson Prairie – Owned</w:t>
            </w:r>
            <w:r w:rsidRPr="00CE0E54">
              <w:rPr>
                <w:rFonts w:ascii="Arial" w:hAnsi="Arial" w:cs="Arial"/>
                <w:color w:val="000000"/>
                <w:sz w:val="20"/>
                <w:szCs w:val="20"/>
                <w:vertAlign w:val="superscript"/>
              </w:rPr>
              <w:t>2</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8AF8D32"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(500,000)</w:t>
            </w:r>
          </w:p>
        </w:tc>
        <w:tc>
          <w:tcPr>
            <w:tcW w:w="135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1C88610"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(25,000)</w:t>
            </w:r>
          </w:p>
        </w:tc>
        <w:tc>
          <w:tcPr>
            <w:tcW w:w="135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4CBF7EB"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(50,000)</w:t>
            </w:r>
          </w:p>
        </w:tc>
        <w:tc>
          <w:tcPr>
            <w:tcW w:w="1530" w:type="dxa"/>
            <w:tcBorders>
              <w:top w:val="single" w:sz="8" w:space="0" w:color="auto"/>
              <w:left w:val="single" w:sz="4" w:space="0" w:color="auto"/>
              <w:bottom w:val="single" w:sz="4" w:space="0" w:color="auto"/>
              <w:right w:val="single" w:sz="8" w:space="0" w:color="auto"/>
            </w:tcBorders>
            <w:shd w:val="clear" w:color="auto" w:fill="auto"/>
            <w:noWrap/>
            <w:vAlign w:val="center"/>
          </w:tcPr>
          <w:p w14:paraId="0FF2BFA0" w14:textId="77777777" w:rsidR="00862469" w:rsidRPr="00CE0E54" w:rsidRDefault="00862469" w:rsidP="00961689">
            <w:pPr>
              <w:jc w:val="center"/>
              <w:rPr>
                <w:rFonts w:ascii="Arial" w:hAnsi="Arial" w:cs="Arial"/>
                <w:color w:val="000000"/>
                <w:sz w:val="20"/>
                <w:szCs w:val="20"/>
              </w:rPr>
            </w:pPr>
            <w:r w:rsidRPr="00CE0E54">
              <w:rPr>
                <w:rFonts w:ascii="Arial" w:hAnsi="Arial" w:cs="Arial"/>
                <w:color w:val="000000"/>
                <w:sz w:val="20"/>
                <w:szCs w:val="20"/>
              </w:rPr>
              <w:t>2016</w:t>
            </w:r>
          </w:p>
        </w:tc>
      </w:tr>
      <w:tr w:rsidR="00862469" w:rsidRPr="00D61621" w14:paraId="1B36F420" w14:textId="77777777">
        <w:trPr>
          <w:trHeight w:val="300"/>
        </w:trPr>
        <w:tc>
          <w:tcPr>
            <w:tcW w:w="3073" w:type="dxa"/>
            <w:tcBorders>
              <w:top w:val="single" w:sz="8" w:space="0" w:color="auto"/>
              <w:left w:val="single" w:sz="8" w:space="0" w:color="auto"/>
              <w:bottom w:val="nil"/>
              <w:right w:val="single" w:sz="4" w:space="0" w:color="auto"/>
            </w:tcBorders>
            <w:shd w:val="clear" w:color="auto" w:fill="auto"/>
            <w:noWrap/>
            <w:vAlign w:val="center"/>
          </w:tcPr>
          <w:p w14:paraId="284F43A5"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 xml:space="preserve">Jackson Prairie – NWP </w:t>
            </w:r>
          </w:p>
        </w:tc>
        <w:tc>
          <w:tcPr>
            <w:tcW w:w="1440" w:type="dxa"/>
            <w:tcBorders>
              <w:top w:val="single" w:sz="8" w:space="0" w:color="auto"/>
              <w:left w:val="single" w:sz="4" w:space="0" w:color="auto"/>
              <w:bottom w:val="nil"/>
              <w:right w:val="single" w:sz="4" w:space="0" w:color="auto"/>
            </w:tcBorders>
            <w:shd w:val="clear" w:color="auto" w:fill="auto"/>
            <w:noWrap/>
            <w:vAlign w:val="center"/>
          </w:tcPr>
          <w:p w14:paraId="03E2C6AB" w14:textId="77777777" w:rsidR="00862469" w:rsidRPr="00CE0E54" w:rsidRDefault="00862469" w:rsidP="007F71CB">
            <w:pPr>
              <w:jc w:val="center"/>
              <w:rPr>
                <w:rFonts w:ascii="Arial" w:hAnsi="Arial" w:cs="Arial"/>
                <w:sz w:val="20"/>
                <w:szCs w:val="20"/>
              </w:rPr>
            </w:pPr>
          </w:p>
        </w:tc>
        <w:tc>
          <w:tcPr>
            <w:tcW w:w="1350" w:type="dxa"/>
            <w:tcBorders>
              <w:top w:val="single" w:sz="8" w:space="0" w:color="auto"/>
              <w:left w:val="single" w:sz="4" w:space="0" w:color="auto"/>
              <w:bottom w:val="nil"/>
              <w:right w:val="single" w:sz="4" w:space="0" w:color="auto"/>
            </w:tcBorders>
            <w:shd w:val="clear" w:color="auto" w:fill="auto"/>
            <w:noWrap/>
            <w:vAlign w:val="center"/>
          </w:tcPr>
          <w:p w14:paraId="2DEC4AAA" w14:textId="77777777" w:rsidR="00862469" w:rsidRPr="00CE0E54" w:rsidRDefault="00862469" w:rsidP="007F71CB">
            <w:pPr>
              <w:jc w:val="center"/>
              <w:rPr>
                <w:rFonts w:ascii="Arial" w:hAnsi="Arial" w:cs="Arial"/>
                <w:sz w:val="20"/>
                <w:szCs w:val="20"/>
              </w:rPr>
            </w:pPr>
          </w:p>
        </w:tc>
        <w:tc>
          <w:tcPr>
            <w:tcW w:w="1350" w:type="dxa"/>
            <w:tcBorders>
              <w:top w:val="single" w:sz="8" w:space="0" w:color="auto"/>
              <w:left w:val="single" w:sz="4" w:space="0" w:color="auto"/>
              <w:bottom w:val="nil"/>
              <w:right w:val="single" w:sz="4" w:space="0" w:color="auto"/>
            </w:tcBorders>
            <w:shd w:val="clear" w:color="auto" w:fill="auto"/>
            <w:noWrap/>
            <w:vAlign w:val="center"/>
          </w:tcPr>
          <w:p w14:paraId="5CF92C9B" w14:textId="77777777" w:rsidR="00862469" w:rsidRPr="00CE0E54" w:rsidRDefault="00862469" w:rsidP="007F71CB">
            <w:pPr>
              <w:jc w:val="center"/>
              <w:rPr>
                <w:rFonts w:ascii="Arial" w:hAnsi="Arial" w:cs="Arial"/>
                <w:sz w:val="20"/>
                <w:szCs w:val="20"/>
              </w:rPr>
            </w:pPr>
          </w:p>
        </w:tc>
        <w:tc>
          <w:tcPr>
            <w:tcW w:w="1530" w:type="dxa"/>
            <w:tcBorders>
              <w:top w:val="single" w:sz="8" w:space="0" w:color="auto"/>
              <w:left w:val="single" w:sz="4" w:space="0" w:color="auto"/>
              <w:bottom w:val="nil"/>
              <w:right w:val="single" w:sz="4" w:space="0" w:color="auto"/>
            </w:tcBorders>
            <w:shd w:val="clear" w:color="auto" w:fill="auto"/>
            <w:noWrap/>
            <w:vAlign w:val="center"/>
          </w:tcPr>
          <w:p w14:paraId="5E310FC5" w14:textId="77777777" w:rsidR="00862469" w:rsidRPr="00CE0E54" w:rsidRDefault="00862469" w:rsidP="007F71CB">
            <w:pPr>
              <w:jc w:val="center"/>
              <w:rPr>
                <w:rFonts w:ascii="Arial" w:hAnsi="Arial" w:cs="Arial"/>
                <w:color w:val="000000"/>
                <w:sz w:val="20"/>
                <w:szCs w:val="20"/>
              </w:rPr>
            </w:pPr>
          </w:p>
        </w:tc>
      </w:tr>
      <w:tr w:rsidR="00862469" w:rsidRPr="00D61621" w14:paraId="69A3D9E8" w14:textId="77777777">
        <w:trPr>
          <w:trHeight w:val="340"/>
        </w:trPr>
        <w:tc>
          <w:tcPr>
            <w:tcW w:w="3073" w:type="dxa"/>
            <w:tcBorders>
              <w:top w:val="nil"/>
              <w:left w:val="single" w:sz="8" w:space="0" w:color="auto"/>
              <w:bottom w:val="single" w:sz="8" w:space="0" w:color="auto"/>
              <w:right w:val="single" w:sz="4" w:space="0" w:color="auto"/>
            </w:tcBorders>
            <w:shd w:val="clear" w:color="auto" w:fill="auto"/>
            <w:noWrap/>
            <w:vAlign w:val="center"/>
          </w:tcPr>
          <w:p w14:paraId="26403742"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SGS-2F</w:t>
            </w:r>
            <w:r w:rsidRPr="00CE0E54">
              <w:rPr>
                <w:rFonts w:ascii="Arial" w:hAnsi="Arial" w:cs="Arial"/>
                <w:color w:val="000000"/>
                <w:sz w:val="20"/>
                <w:szCs w:val="20"/>
                <w:vertAlign w:val="superscript"/>
              </w:rPr>
              <w:t>4</w:t>
            </w:r>
          </w:p>
        </w:tc>
        <w:tc>
          <w:tcPr>
            <w:tcW w:w="1440" w:type="dxa"/>
            <w:tcBorders>
              <w:top w:val="nil"/>
              <w:left w:val="single" w:sz="4" w:space="0" w:color="auto"/>
              <w:bottom w:val="single" w:sz="8" w:space="0" w:color="auto"/>
              <w:right w:val="single" w:sz="4" w:space="0" w:color="auto"/>
            </w:tcBorders>
            <w:shd w:val="clear" w:color="auto" w:fill="auto"/>
            <w:noWrap/>
            <w:vAlign w:val="center"/>
          </w:tcPr>
          <w:p w14:paraId="0894AB55" w14:textId="77777777" w:rsidR="00862469" w:rsidRPr="00CE0E54" w:rsidRDefault="00862469" w:rsidP="00961689">
            <w:pPr>
              <w:jc w:val="center"/>
              <w:rPr>
                <w:rFonts w:ascii="Arial" w:hAnsi="Arial" w:cs="Arial"/>
                <w:sz w:val="20"/>
                <w:szCs w:val="20"/>
              </w:rPr>
            </w:pPr>
            <w:r w:rsidRPr="00CE0E54">
              <w:rPr>
                <w:rFonts w:ascii="Arial" w:hAnsi="Arial" w:cs="Arial"/>
                <w:sz w:val="20"/>
                <w:szCs w:val="20"/>
              </w:rPr>
              <w:t>(178,460)</w:t>
            </w:r>
          </w:p>
        </w:tc>
        <w:tc>
          <w:tcPr>
            <w:tcW w:w="1350" w:type="dxa"/>
            <w:tcBorders>
              <w:top w:val="nil"/>
              <w:left w:val="single" w:sz="4" w:space="0" w:color="auto"/>
              <w:bottom w:val="single" w:sz="8" w:space="0" w:color="auto"/>
              <w:right w:val="single" w:sz="4" w:space="0" w:color="auto"/>
            </w:tcBorders>
            <w:shd w:val="clear" w:color="auto" w:fill="auto"/>
            <w:noWrap/>
            <w:vAlign w:val="center"/>
          </w:tcPr>
          <w:p w14:paraId="4A7D92E0" w14:textId="77777777" w:rsidR="00862469" w:rsidRPr="00CE0E54" w:rsidRDefault="00862469" w:rsidP="00C9014E">
            <w:pPr>
              <w:jc w:val="center"/>
              <w:rPr>
                <w:rFonts w:ascii="Arial" w:hAnsi="Arial" w:cs="Arial"/>
                <w:sz w:val="20"/>
                <w:szCs w:val="20"/>
              </w:rPr>
            </w:pPr>
            <w:r w:rsidRPr="00CE0E54">
              <w:rPr>
                <w:rFonts w:ascii="Arial" w:hAnsi="Arial" w:cs="Arial"/>
                <w:sz w:val="20"/>
                <w:szCs w:val="20"/>
              </w:rPr>
              <w:t>(2,378)</w:t>
            </w:r>
          </w:p>
        </w:tc>
        <w:tc>
          <w:tcPr>
            <w:tcW w:w="1350" w:type="dxa"/>
            <w:tcBorders>
              <w:top w:val="nil"/>
              <w:left w:val="single" w:sz="4" w:space="0" w:color="auto"/>
              <w:bottom w:val="single" w:sz="8" w:space="0" w:color="auto"/>
              <w:right w:val="single" w:sz="4" w:space="0" w:color="auto"/>
            </w:tcBorders>
            <w:shd w:val="clear" w:color="auto" w:fill="auto"/>
            <w:noWrap/>
            <w:vAlign w:val="center"/>
          </w:tcPr>
          <w:p w14:paraId="4E7881A7" w14:textId="77777777" w:rsidR="00862469" w:rsidRPr="00CE0E54" w:rsidRDefault="00862469" w:rsidP="00C9014E">
            <w:pPr>
              <w:jc w:val="center"/>
              <w:rPr>
                <w:rFonts w:ascii="Arial" w:hAnsi="Arial" w:cs="Arial"/>
                <w:sz w:val="20"/>
                <w:szCs w:val="20"/>
              </w:rPr>
            </w:pPr>
            <w:r w:rsidRPr="00CE0E54">
              <w:rPr>
                <w:rFonts w:ascii="Arial" w:hAnsi="Arial" w:cs="Arial"/>
                <w:sz w:val="20"/>
                <w:szCs w:val="20"/>
              </w:rPr>
              <w:t>(6,077)</w:t>
            </w:r>
          </w:p>
        </w:tc>
        <w:tc>
          <w:tcPr>
            <w:tcW w:w="1530" w:type="dxa"/>
            <w:tcBorders>
              <w:top w:val="nil"/>
              <w:left w:val="single" w:sz="4" w:space="0" w:color="auto"/>
              <w:bottom w:val="single" w:sz="8" w:space="0" w:color="auto"/>
              <w:right w:val="single" w:sz="4" w:space="0" w:color="auto"/>
            </w:tcBorders>
            <w:shd w:val="clear" w:color="auto" w:fill="auto"/>
            <w:noWrap/>
            <w:vAlign w:val="center"/>
          </w:tcPr>
          <w:p w14:paraId="0012BB30" w14:textId="77777777" w:rsidR="00862469" w:rsidRPr="00CE0E54" w:rsidRDefault="00862469" w:rsidP="00C9014E">
            <w:pPr>
              <w:jc w:val="center"/>
              <w:rPr>
                <w:rFonts w:ascii="Arial" w:hAnsi="Arial" w:cs="Arial"/>
                <w:color w:val="000000"/>
                <w:sz w:val="20"/>
                <w:szCs w:val="20"/>
              </w:rPr>
            </w:pPr>
            <w:r w:rsidRPr="00CE0E54">
              <w:rPr>
                <w:rFonts w:ascii="Arial" w:hAnsi="Arial" w:cs="Arial"/>
                <w:color w:val="000000"/>
                <w:sz w:val="20"/>
                <w:szCs w:val="20"/>
              </w:rPr>
              <w:t>202</w:t>
            </w:r>
            <w:r w:rsidR="00006F0D">
              <w:rPr>
                <w:rFonts w:ascii="Arial" w:hAnsi="Arial" w:cs="Arial"/>
                <w:color w:val="000000"/>
                <w:sz w:val="20"/>
                <w:szCs w:val="20"/>
              </w:rPr>
              <w:t>0</w:t>
            </w:r>
          </w:p>
        </w:tc>
      </w:tr>
      <w:tr w:rsidR="00862469" w:rsidRPr="00D61621" w14:paraId="5668039C" w14:textId="77777777">
        <w:trPr>
          <w:trHeight w:val="340"/>
        </w:trPr>
        <w:tc>
          <w:tcPr>
            <w:tcW w:w="3073" w:type="dxa"/>
            <w:tcBorders>
              <w:top w:val="single" w:sz="8" w:space="0" w:color="auto"/>
              <w:left w:val="single" w:sz="8" w:space="0" w:color="auto"/>
              <w:bottom w:val="single" w:sz="8" w:space="0" w:color="auto"/>
              <w:right w:val="single" w:sz="4" w:space="0" w:color="auto"/>
            </w:tcBorders>
            <w:shd w:val="clear" w:color="auto" w:fill="C0C0C0"/>
            <w:noWrap/>
            <w:vAlign w:val="center"/>
          </w:tcPr>
          <w:p w14:paraId="4DEB7F56"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Net Jackson Prairie</w:t>
            </w:r>
          </w:p>
        </w:tc>
        <w:tc>
          <w:tcPr>
            <w:tcW w:w="1440" w:type="dxa"/>
            <w:tcBorders>
              <w:top w:val="single" w:sz="8" w:space="0" w:color="auto"/>
              <w:left w:val="single" w:sz="4" w:space="0" w:color="auto"/>
              <w:bottom w:val="single" w:sz="8" w:space="0" w:color="auto"/>
              <w:right w:val="single" w:sz="4" w:space="0" w:color="auto"/>
            </w:tcBorders>
            <w:shd w:val="clear" w:color="auto" w:fill="C0C0C0"/>
            <w:noWrap/>
            <w:vAlign w:val="center"/>
          </w:tcPr>
          <w:p w14:paraId="5E80D67D"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9,209,021</w:t>
            </w:r>
          </w:p>
        </w:tc>
        <w:tc>
          <w:tcPr>
            <w:tcW w:w="1350" w:type="dxa"/>
            <w:tcBorders>
              <w:top w:val="single" w:sz="8" w:space="0" w:color="auto"/>
              <w:left w:val="single" w:sz="4" w:space="0" w:color="auto"/>
              <w:bottom w:val="single" w:sz="8" w:space="0" w:color="auto"/>
              <w:right w:val="single" w:sz="4" w:space="0" w:color="auto"/>
            </w:tcBorders>
            <w:shd w:val="clear" w:color="auto" w:fill="C0C0C0"/>
            <w:noWrap/>
            <w:vAlign w:val="center"/>
          </w:tcPr>
          <w:p w14:paraId="0FB167DC"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149,935</w:t>
            </w:r>
          </w:p>
        </w:tc>
        <w:tc>
          <w:tcPr>
            <w:tcW w:w="1350" w:type="dxa"/>
            <w:tcBorders>
              <w:top w:val="single" w:sz="8" w:space="0" w:color="auto"/>
              <w:left w:val="single" w:sz="4" w:space="0" w:color="auto"/>
              <w:bottom w:val="single" w:sz="8" w:space="0" w:color="auto"/>
              <w:right w:val="single" w:sz="4" w:space="0" w:color="auto"/>
            </w:tcBorders>
            <w:shd w:val="clear" w:color="auto" w:fill="C0C0C0"/>
            <w:noWrap/>
            <w:vAlign w:val="center"/>
          </w:tcPr>
          <w:p w14:paraId="23EA0C5C"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397,057</w:t>
            </w:r>
          </w:p>
        </w:tc>
        <w:tc>
          <w:tcPr>
            <w:tcW w:w="1530" w:type="dxa"/>
            <w:tcBorders>
              <w:top w:val="single" w:sz="8" w:space="0" w:color="auto"/>
              <w:left w:val="single" w:sz="4" w:space="0" w:color="auto"/>
              <w:bottom w:val="single" w:sz="8" w:space="0" w:color="auto"/>
              <w:right w:val="single" w:sz="8" w:space="0" w:color="auto"/>
            </w:tcBorders>
            <w:shd w:val="clear" w:color="auto" w:fill="C0C0C0"/>
            <w:noWrap/>
            <w:vAlign w:val="center"/>
          </w:tcPr>
          <w:p w14:paraId="64E8EA0E" w14:textId="77777777" w:rsidR="00862469" w:rsidRPr="00CE0E54" w:rsidRDefault="00862469" w:rsidP="00961689">
            <w:pPr>
              <w:jc w:val="center"/>
              <w:rPr>
                <w:rFonts w:ascii="Arial" w:hAnsi="Arial" w:cs="Arial"/>
                <w:i/>
                <w:iCs/>
                <w:color w:val="000000"/>
                <w:sz w:val="20"/>
                <w:szCs w:val="20"/>
              </w:rPr>
            </w:pPr>
            <w:r w:rsidRPr="00CE0E54">
              <w:rPr>
                <w:rFonts w:ascii="Arial" w:hAnsi="Arial" w:cs="Arial"/>
                <w:i/>
                <w:iCs/>
                <w:color w:val="000000"/>
                <w:sz w:val="20"/>
                <w:szCs w:val="20"/>
              </w:rPr>
              <w:t>Note 7</w:t>
            </w:r>
          </w:p>
        </w:tc>
      </w:tr>
      <w:tr w:rsidR="00862469" w:rsidRPr="00D61621" w14:paraId="6D4AF1DD" w14:textId="77777777">
        <w:trPr>
          <w:trHeight w:val="340"/>
        </w:trPr>
        <w:tc>
          <w:tcPr>
            <w:tcW w:w="3073"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F5F606B"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Clay Basin</w:t>
            </w:r>
            <w:r w:rsidRPr="00CE0E54">
              <w:rPr>
                <w:rFonts w:ascii="Arial" w:hAnsi="Arial" w:cs="Arial"/>
                <w:color w:val="000000"/>
                <w:sz w:val="20"/>
                <w:szCs w:val="20"/>
                <w:vertAlign w:val="superscript"/>
              </w:rPr>
              <w:t>5</w:t>
            </w:r>
          </w:p>
        </w:tc>
        <w:tc>
          <w:tcPr>
            <w:tcW w:w="144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3902E687"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12,882,750</w:t>
            </w:r>
          </w:p>
        </w:tc>
        <w:tc>
          <w:tcPr>
            <w:tcW w:w="135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3F52940C"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53,678</w:t>
            </w:r>
          </w:p>
        </w:tc>
        <w:tc>
          <w:tcPr>
            <w:tcW w:w="135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5E066361"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107,356</w:t>
            </w:r>
          </w:p>
        </w:tc>
        <w:tc>
          <w:tcPr>
            <w:tcW w:w="1530" w:type="dxa"/>
            <w:tcBorders>
              <w:top w:val="single" w:sz="8" w:space="0" w:color="auto"/>
              <w:left w:val="single" w:sz="4" w:space="0" w:color="auto"/>
              <w:bottom w:val="single" w:sz="8" w:space="0" w:color="auto"/>
              <w:right w:val="single" w:sz="8" w:space="0" w:color="auto"/>
            </w:tcBorders>
            <w:shd w:val="clear" w:color="auto" w:fill="auto"/>
            <w:noWrap/>
            <w:vAlign w:val="center"/>
          </w:tcPr>
          <w:p w14:paraId="361F63F8" w14:textId="77777777" w:rsidR="00862469" w:rsidRPr="00CE0E54" w:rsidRDefault="00862469" w:rsidP="00961689">
            <w:pPr>
              <w:jc w:val="center"/>
              <w:rPr>
                <w:rFonts w:ascii="Arial" w:hAnsi="Arial" w:cs="Arial"/>
                <w:color w:val="000000"/>
                <w:sz w:val="20"/>
                <w:szCs w:val="20"/>
              </w:rPr>
            </w:pPr>
            <w:r w:rsidRPr="00CE0E54">
              <w:rPr>
                <w:rFonts w:ascii="Arial" w:hAnsi="Arial" w:cs="Arial"/>
                <w:color w:val="000000"/>
                <w:sz w:val="20"/>
                <w:szCs w:val="20"/>
              </w:rPr>
              <w:t>2018/20</w:t>
            </w:r>
          </w:p>
        </w:tc>
      </w:tr>
      <w:tr w:rsidR="00862469" w:rsidRPr="00D61621" w14:paraId="73510E77" w14:textId="77777777">
        <w:trPr>
          <w:trHeight w:val="340"/>
        </w:trPr>
        <w:tc>
          <w:tcPr>
            <w:tcW w:w="3073"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F2DA424"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Clay Basin</w:t>
            </w:r>
            <w:r w:rsidRPr="00CE0E54">
              <w:rPr>
                <w:rFonts w:ascii="Arial" w:hAnsi="Arial" w:cs="Arial"/>
                <w:color w:val="000000"/>
                <w:sz w:val="20"/>
                <w:szCs w:val="20"/>
                <w:vertAlign w:val="superscript"/>
              </w:rPr>
              <w:t>6</w:t>
            </w:r>
          </w:p>
        </w:tc>
        <w:tc>
          <w:tcPr>
            <w:tcW w:w="144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44FEF8D5"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(4,000,000)</w:t>
            </w:r>
          </w:p>
        </w:tc>
        <w:tc>
          <w:tcPr>
            <w:tcW w:w="135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049CD1AF"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(37,011)</w:t>
            </w:r>
          </w:p>
        </w:tc>
        <w:tc>
          <w:tcPr>
            <w:tcW w:w="135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0F24D2EF"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(74,023)</w:t>
            </w:r>
          </w:p>
        </w:tc>
        <w:tc>
          <w:tcPr>
            <w:tcW w:w="1530" w:type="dxa"/>
            <w:tcBorders>
              <w:top w:val="single" w:sz="8" w:space="0" w:color="auto"/>
              <w:left w:val="single" w:sz="4" w:space="0" w:color="auto"/>
              <w:bottom w:val="single" w:sz="8" w:space="0" w:color="auto"/>
              <w:right w:val="single" w:sz="8" w:space="0" w:color="auto"/>
            </w:tcBorders>
            <w:shd w:val="clear" w:color="auto" w:fill="auto"/>
            <w:noWrap/>
            <w:vAlign w:val="center"/>
          </w:tcPr>
          <w:p w14:paraId="12BCE2AF" w14:textId="77777777" w:rsidR="00862469" w:rsidRPr="00CE0E54" w:rsidRDefault="00862469" w:rsidP="00961689">
            <w:pPr>
              <w:jc w:val="center"/>
              <w:rPr>
                <w:rFonts w:ascii="Arial" w:hAnsi="Arial" w:cs="Arial"/>
                <w:color w:val="000000"/>
                <w:sz w:val="20"/>
                <w:szCs w:val="20"/>
              </w:rPr>
            </w:pPr>
            <w:r w:rsidRPr="00CE0E54">
              <w:rPr>
                <w:rFonts w:ascii="Arial" w:hAnsi="Arial" w:cs="Arial"/>
                <w:color w:val="000000"/>
                <w:sz w:val="20"/>
                <w:szCs w:val="20"/>
              </w:rPr>
              <w:t>2018</w:t>
            </w:r>
          </w:p>
        </w:tc>
      </w:tr>
      <w:tr w:rsidR="00862469" w:rsidRPr="00D61621" w14:paraId="69DF6F53" w14:textId="77777777">
        <w:trPr>
          <w:trHeight w:val="320"/>
        </w:trPr>
        <w:tc>
          <w:tcPr>
            <w:tcW w:w="3073" w:type="dxa"/>
            <w:tcBorders>
              <w:top w:val="single" w:sz="8" w:space="0" w:color="auto"/>
              <w:left w:val="single" w:sz="8" w:space="0" w:color="auto"/>
              <w:bottom w:val="single" w:sz="8" w:space="0" w:color="auto"/>
              <w:right w:val="single" w:sz="4" w:space="0" w:color="auto"/>
            </w:tcBorders>
            <w:shd w:val="clear" w:color="auto" w:fill="C0C0C0"/>
            <w:noWrap/>
            <w:vAlign w:val="center"/>
          </w:tcPr>
          <w:p w14:paraId="07A4E298"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Net Clay Basin</w:t>
            </w:r>
          </w:p>
        </w:tc>
        <w:tc>
          <w:tcPr>
            <w:tcW w:w="1440" w:type="dxa"/>
            <w:tcBorders>
              <w:top w:val="single" w:sz="8" w:space="0" w:color="auto"/>
              <w:left w:val="single" w:sz="4" w:space="0" w:color="auto"/>
              <w:bottom w:val="single" w:sz="8" w:space="0" w:color="auto"/>
              <w:right w:val="single" w:sz="4" w:space="0" w:color="auto"/>
            </w:tcBorders>
            <w:shd w:val="clear" w:color="auto" w:fill="C0C0C0"/>
            <w:noWrap/>
            <w:vAlign w:val="center"/>
          </w:tcPr>
          <w:p w14:paraId="5B95A255"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8,882,750</w:t>
            </w:r>
          </w:p>
        </w:tc>
        <w:tc>
          <w:tcPr>
            <w:tcW w:w="1350" w:type="dxa"/>
            <w:tcBorders>
              <w:top w:val="single" w:sz="8" w:space="0" w:color="auto"/>
              <w:left w:val="single" w:sz="4" w:space="0" w:color="auto"/>
              <w:bottom w:val="single" w:sz="8" w:space="0" w:color="auto"/>
              <w:right w:val="single" w:sz="4" w:space="0" w:color="auto"/>
            </w:tcBorders>
            <w:shd w:val="clear" w:color="auto" w:fill="C0C0C0"/>
            <w:noWrap/>
            <w:vAlign w:val="center"/>
          </w:tcPr>
          <w:p w14:paraId="16816ACD"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16,667</w:t>
            </w:r>
          </w:p>
        </w:tc>
        <w:tc>
          <w:tcPr>
            <w:tcW w:w="1350" w:type="dxa"/>
            <w:tcBorders>
              <w:top w:val="single" w:sz="8" w:space="0" w:color="auto"/>
              <w:left w:val="single" w:sz="4" w:space="0" w:color="auto"/>
              <w:bottom w:val="single" w:sz="8" w:space="0" w:color="auto"/>
              <w:right w:val="single" w:sz="4" w:space="0" w:color="auto"/>
            </w:tcBorders>
            <w:shd w:val="clear" w:color="auto" w:fill="C0C0C0"/>
            <w:noWrap/>
            <w:vAlign w:val="center"/>
          </w:tcPr>
          <w:p w14:paraId="7DEAFEBB"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33,333</w:t>
            </w:r>
          </w:p>
        </w:tc>
        <w:tc>
          <w:tcPr>
            <w:tcW w:w="1530" w:type="dxa"/>
            <w:tcBorders>
              <w:top w:val="single" w:sz="8" w:space="0" w:color="auto"/>
              <w:left w:val="single" w:sz="4" w:space="0" w:color="auto"/>
              <w:bottom w:val="single" w:sz="8" w:space="0" w:color="auto"/>
              <w:right w:val="single" w:sz="8" w:space="0" w:color="auto"/>
            </w:tcBorders>
            <w:shd w:val="clear" w:color="auto" w:fill="C0C0C0"/>
            <w:noWrap/>
            <w:vAlign w:val="center"/>
          </w:tcPr>
          <w:p w14:paraId="3B3B37FB" w14:textId="77777777" w:rsidR="00862469" w:rsidRPr="00CE0E54" w:rsidRDefault="00862469" w:rsidP="00961689">
            <w:pPr>
              <w:jc w:val="center"/>
              <w:rPr>
                <w:rFonts w:ascii="Arial" w:hAnsi="Arial" w:cs="Arial"/>
                <w:color w:val="000000"/>
                <w:sz w:val="20"/>
                <w:szCs w:val="20"/>
              </w:rPr>
            </w:pPr>
          </w:p>
        </w:tc>
      </w:tr>
      <w:tr w:rsidR="00862469" w:rsidRPr="00D61621" w14:paraId="457D0545" w14:textId="77777777">
        <w:trPr>
          <w:trHeight w:val="320"/>
        </w:trPr>
        <w:tc>
          <w:tcPr>
            <w:tcW w:w="3073" w:type="dxa"/>
            <w:tcBorders>
              <w:top w:val="single" w:sz="8" w:space="0" w:color="auto"/>
              <w:left w:val="single" w:sz="8" w:space="0" w:color="auto"/>
              <w:bottom w:val="single" w:sz="8" w:space="0" w:color="auto"/>
              <w:right w:val="single" w:sz="4" w:space="0" w:color="auto"/>
            </w:tcBorders>
            <w:shd w:val="clear" w:color="auto" w:fill="C0C0C0"/>
            <w:noWrap/>
            <w:vAlign w:val="bottom"/>
          </w:tcPr>
          <w:p w14:paraId="3BBEA682" w14:textId="77777777" w:rsidR="00862469" w:rsidRPr="00543F27" w:rsidRDefault="00862469" w:rsidP="00862469">
            <w:pPr>
              <w:rPr>
                <w:rFonts w:ascii="Arial" w:hAnsi="Arial" w:cs="Arial"/>
                <w:b/>
                <w:color w:val="000000"/>
                <w:sz w:val="20"/>
                <w:szCs w:val="20"/>
              </w:rPr>
            </w:pPr>
            <w:r w:rsidRPr="00543F27">
              <w:rPr>
                <w:rFonts w:ascii="Arial" w:hAnsi="Arial" w:cs="Arial"/>
                <w:b/>
                <w:color w:val="000000"/>
                <w:sz w:val="20"/>
                <w:szCs w:val="20"/>
              </w:rPr>
              <w:t>Total Gas Sales Storage Resources</w:t>
            </w:r>
          </w:p>
        </w:tc>
        <w:tc>
          <w:tcPr>
            <w:tcW w:w="1440" w:type="dxa"/>
            <w:tcBorders>
              <w:top w:val="single" w:sz="8" w:space="0" w:color="auto"/>
              <w:left w:val="single" w:sz="4" w:space="0" w:color="auto"/>
              <w:bottom w:val="single" w:sz="8" w:space="0" w:color="auto"/>
              <w:right w:val="single" w:sz="4" w:space="0" w:color="auto"/>
            </w:tcBorders>
            <w:shd w:val="clear" w:color="auto" w:fill="C0C0C0"/>
            <w:noWrap/>
            <w:vAlign w:val="bottom"/>
          </w:tcPr>
          <w:p w14:paraId="1C069D86" w14:textId="77777777" w:rsidR="00862469" w:rsidRPr="00543F27" w:rsidRDefault="00862469" w:rsidP="007F71CB">
            <w:pPr>
              <w:jc w:val="center"/>
              <w:rPr>
                <w:rFonts w:ascii="Arial" w:hAnsi="Arial" w:cs="Arial"/>
                <w:b/>
                <w:sz w:val="20"/>
                <w:szCs w:val="20"/>
              </w:rPr>
            </w:pPr>
            <w:r w:rsidRPr="00543F27">
              <w:rPr>
                <w:rFonts w:ascii="Arial" w:hAnsi="Arial" w:cs="Arial"/>
                <w:b/>
                <w:sz w:val="20"/>
                <w:szCs w:val="20"/>
              </w:rPr>
              <w:t>18,091,771</w:t>
            </w:r>
          </w:p>
        </w:tc>
        <w:tc>
          <w:tcPr>
            <w:tcW w:w="1350" w:type="dxa"/>
            <w:tcBorders>
              <w:top w:val="single" w:sz="8" w:space="0" w:color="auto"/>
              <w:left w:val="single" w:sz="4" w:space="0" w:color="auto"/>
              <w:bottom w:val="single" w:sz="8" w:space="0" w:color="auto"/>
              <w:right w:val="single" w:sz="4" w:space="0" w:color="auto"/>
            </w:tcBorders>
            <w:shd w:val="clear" w:color="auto" w:fill="C0C0C0"/>
            <w:noWrap/>
            <w:vAlign w:val="bottom"/>
          </w:tcPr>
          <w:p w14:paraId="44D5DE6B" w14:textId="77777777" w:rsidR="00862469" w:rsidRPr="00543F27" w:rsidRDefault="00862469" w:rsidP="007F71CB">
            <w:pPr>
              <w:jc w:val="center"/>
              <w:rPr>
                <w:rFonts w:ascii="Arial" w:hAnsi="Arial" w:cs="Arial"/>
                <w:b/>
                <w:sz w:val="20"/>
                <w:szCs w:val="20"/>
              </w:rPr>
            </w:pPr>
          </w:p>
        </w:tc>
        <w:tc>
          <w:tcPr>
            <w:tcW w:w="1350" w:type="dxa"/>
            <w:tcBorders>
              <w:top w:val="single" w:sz="8" w:space="0" w:color="auto"/>
              <w:left w:val="single" w:sz="4" w:space="0" w:color="auto"/>
              <w:bottom w:val="single" w:sz="8" w:space="0" w:color="auto"/>
              <w:right w:val="single" w:sz="4" w:space="0" w:color="auto"/>
            </w:tcBorders>
            <w:shd w:val="clear" w:color="auto" w:fill="C0C0C0"/>
            <w:noWrap/>
            <w:vAlign w:val="bottom"/>
          </w:tcPr>
          <w:p w14:paraId="5BC28650" w14:textId="77777777" w:rsidR="00862469" w:rsidRPr="00543F27" w:rsidRDefault="00862469" w:rsidP="007F71CB">
            <w:pPr>
              <w:jc w:val="center"/>
              <w:rPr>
                <w:rFonts w:ascii="Arial" w:hAnsi="Arial" w:cs="Arial"/>
                <w:b/>
                <w:sz w:val="20"/>
                <w:szCs w:val="20"/>
              </w:rPr>
            </w:pPr>
            <w:r w:rsidRPr="00543F27">
              <w:rPr>
                <w:rFonts w:ascii="Arial" w:hAnsi="Arial" w:cs="Arial"/>
                <w:b/>
                <w:sz w:val="20"/>
                <w:szCs w:val="20"/>
              </w:rPr>
              <w:t>430,390</w:t>
            </w:r>
          </w:p>
        </w:tc>
        <w:tc>
          <w:tcPr>
            <w:tcW w:w="1530" w:type="dxa"/>
            <w:tcBorders>
              <w:top w:val="single" w:sz="8" w:space="0" w:color="auto"/>
              <w:left w:val="single" w:sz="4" w:space="0" w:color="auto"/>
              <w:bottom w:val="single" w:sz="8" w:space="0" w:color="auto"/>
              <w:right w:val="single" w:sz="8" w:space="0" w:color="auto"/>
            </w:tcBorders>
            <w:shd w:val="clear" w:color="auto" w:fill="C0C0C0"/>
            <w:noWrap/>
            <w:vAlign w:val="bottom"/>
          </w:tcPr>
          <w:p w14:paraId="50A783ED" w14:textId="77777777" w:rsidR="00862469" w:rsidRPr="00543F27" w:rsidRDefault="00862469" w:rsidP="007F71CB">
            <w:pPr>
              <w:jc w:val="center"/>
              <w:rPr>
                <w:rFonts w:ascii="Arial" w:hAnsi="Arial" w:cs="Arial"/>
                <w:b/>
                <w:color w:val="000000"/>
                <w:sz w:val="20"/>
                <w:szCs w:val="20"/>
              </w:rPr>
            </w:pPr>
          </w:p>
        </w:tc>
      </w:tr>
    </w:tbl>
    <w:p w14:paraId="684010AA" w14:textId="77777777" w:rsidR="00862469" w:rsidRPr="008C3221" w:rsidRDefault="00CE0E54" w:rsidP="008C3221">
      <w:pPr>
        <w:autoSpaceDE w:val="0"/>
        <w:autoSpaceDN w:val="0"/>
        <w:adjustRightInd w:val="0"/>
        <w:rPr>
          <w:rFonts w:cs="ArialNarrow-Italic"/>
          <w:iCs/>
          <w:sz w:val="20"/>
          <w:szCs w:val="20"/>
        </w:rPr>
      </w:pPr>
      <w:r>
        <w:br/>
      </w:r>
      <w:r w:rsidR="00862469" w:rsidRPr="008C3221">
        <w:rPr>
          <w:rFonts w:ascii="Palatino" w:hAnsi="Palatino" w:cs="ArialNarrow-Italic"/>
          <w:i/>
          <w:iCs/>
          <w:sz w:val="20"/>
          <w:szCs w:val="20"/>
        </w:rPr>
        <w:t>N</w:t>
      </w:r>
      <w:r w:rsidRPr="008C3221">
        <w:rPr>
          <w:rFonts w:ascii="Palatino" w:hAnsi="Palatino" w:cs="ArialNarrow-Italic"/>
          <w:i/>
          <w:iCs/>
          <w:sz w:val="20"/>
          <w:szCs w:val="20"/>
        </w:rPr>
        <w:t>OTES</w:t>
      </w:r>
    </w:p>
    <w:p w14:paraId="7CCC3979" w14:textId="77777777" w:rsidR="00862469" w:rsidRPr="008C3221" w:rsidRDefault="00862469" w:rsidP="008C3221">
      <w:pPr>
        <w:autoSpaceDE w:val="0"/>
        <w:autoSpaceDN w:val="0"/>
        <w:adjustRightInd w:val="0"/>
        <w:rPr>
          <w:rFonts w:cs="ArialNarrow-Italic"/>
          <w:iCs/>
          <w:sz w:val="20"/>
          <w:szCs w:val="20"/>
        </w:rPr>
      </w:pPr>
      <w:r w:rsidRPr="008C3221">
        <w:rPr>
          <w:rFonts w:ascii="Palatino" w:hAnsi="Palatino" w:cs="ArialNarrow-Italic"/>
          <w:i/>
          <w:iCs/>
          <w:sz w:val="20"/>
          <w:szCs w:val="20"/>
        </w:rPr>
        <w:t xml:space="preserve">1 Storage, injection, and withdrawal capacity quantities reflect PSE's capacity rights rather than the facility's total capacity. </w:t>
      </w:r>
    </w:p>
    <w:p w14:paraId="41C5D07E" w14:textId="77777777" w:rsidR="00862469" w:rsidRPr="008C3221" w:rsidRDefault="00862469" w:rsidP="008C3221">
      <w:pPr>
        <w:autoSpaceDE w:val="0"/>
        <w:autoSpaceDN w:val="0"/>
        <w:adjustRightInd w:val="0"/>
        <w:rPr>
          <w:rFonts w:cs="ArialNarrow-Italic"/>
          <w:iCs/>
          <w:sz w:val="20"/>
          <w:szCs w:val="20"/>
        </w:rPr>
      </w:pPr>
      <w:r w:rsidRPr="008C3221">
        <w:rPr>
          <w:rFonts w:ascii="Palatino" w:hAnsi="Palatino" w:cs="ArialNarrow-Italic"/>
          <w:i/>
          <w:iCs/>
          <w:sz w:val="20"/>
          <w:szCs w:val="20"/>
        </w:rPr>
        <w:t xml:space="preserve">2 Storage </w:t>
      </w:r>
      <w:proofErr w:type="gramStart"/>
      <w:r w:rsidRPr="008C3221">
        <w:rPr>
          <w:rFonts w:ascii="Palatino" w:hAnsi="Palatino" w:cs="ArialNarrow-Italic"/>
          <w:i/>
          <w:iCs/>
          <w:sz w:val="20"/>
          <w:szCs w:val="20"/>
        </w:rPr>
        <w:t>capacity</w:t>
      </w:r>
      <w:proofErr w:type="gramEnd"/>
      <w:r w:rsidRPr="008C3221">
        <w:rPr>
          <w:rFonts w:ascii="Palatino" w:hAnsi="Palatino" w:cs="ArialNarrow-Italic"/>
          <w:i/>
          <w:iCs/>
          <w:sz w:val="20"/>
          <w:szCs w:val="20"/>
        </w:rPr>
        <w:t xml:space="preserve"> made available </w:t>
      </w:r>
      <w:r w:rsidR="00405338" w:rsidRPr="008C3221">
        <w:rPr>
          <w:rFonts w:ascii="Palatino" w:hAnsi="Palatino" w:cs="ArialNarrow-Italic"/>
          <w:i/>
          <w:iCs/>
          <w:sz w:val="20"/>
          <w:szCs w:val="20"/>
        </w:rPr>
        <w:t xml:space="preserve">to PSE’s power portfolio </w:t>
      </w:r>
      <w:r w:rsidRPr="008C3221">
        <w:rPr>
          <w:rFonts w:ascii="Palatino" w:hAnsi="Palatino" w:cs="ArialNarrow-Italic"/>
          <w:i/>
          <w:iCs/>
          <w:sz w:val="20"/>
          <w:szCs w:val="20"/>
        </w:rPr>
        <w:t>(at market-based price</w:t>
      </w:r>
      <w:r w:rsidR="00FE2597" w:rsidRPr="008C3221">
        <w:rPr>
          <w:rFonts w:ascii="Palatino" w:hAnsi="Palatino" w:cs="ArialNarrow-Italic"/>
          <w:i/>
          <w:iCs/>
          <w:sz w:val="20"/>
          <w:szCs w:val="20"/>
        </w:rPr>
        <w:t>s</w:t>
      </w:r>
      <w:r w:rsidRPr="008C3221">
        <w:rPr>
          <w:rFonts w:ascii="Palatino" w:hAnsi="Palatino" w:cs="ArialNarrow-Italic"/>
          <w:i/>
          <w:iCs/>
          <w:sz w:val="20"/>
          <w:szCs w:val="20"/>
        </w:rPr>
        <w:t xml:space="preserve">) from PSE gas sales portfolio. Renewal may be possible, depending on gas sales portfolio needs. </w:t>
      </w:r>
    </w:p>
    <w:p w14:paraId="5CDC3D3A" w14:textId="77777777" w:rsidR="00862469" w:rsidRPr="008C3221" w:rsidRDefault="00862469" w:rsidP="008C3221">
      <w:pPr>
        <w:autoSpaceDE w:val="0"/>
        <w:autoSpaceDN w:val="0"/>
        <w:adjustRightInd w:val="0"/>
        <w:rPr>
          <w:rFonts w:cs="ArialNarrow-Italic"/>
          <w:iCs/>
          <w:sz w:val="20"/>
          <w:szCs w:val="20"/>
        </w:rPr>
      </w:pPr>
      <w:r w:rsidRPr="008C3221">
        <w:rPr>
          <w:rFonts w:ascii="Palatino" w:hAnsi="Palatino" w:cs="ArialNarrow-Italic"/>
          <w:i/>
          <w:iCs/>
          <w:sz w:val="20"/>
          <w:szCs w:val="20"/>
        </w:rPr>
        <w:t>3 NWP contracts have automatic annual renewal pro</w:t>
      </w:r>
      <w:r w:rsidR="00A74B32" w:rsidRPr="008C3221">
        <w:rPr>
          <w:rFonts w:ascii="Palatino" w:hAnsi="Palatino" w:cs="ArialNarrow-Italic"/>
          <w:i/>
          <w:iCs/>
          <w:sz w:val="20"/>
          <w:szCs w:val="20"/>
        </w:rPr>
        <w:t xml:space="preserve">visions, but can be canceled </w:t>
      </w:r>
      <w:r w:rsidRPr="008C3221">
        <w:rPr>
          <w:rFonts w:ascii="Palatino" w:hAnsi="Palatino" w:cs="ArialNarrow-Italic"/>
          <w:i/>
          <w:iCs/>
          <w:sz w:val="20"/>
          <w:szCs w:val="20"/>
        </w:rPr>
        <w:t xml:space="preserve">upon one year’s notice. </w:t>
      </w:r>
    </w:p>
    <w:p w14:paraId="0825B08B" w14:textId="77777777" w:rsidR="00862469" w:rsidRPr="008C3221" w:rsidRDefault="00862469" w:rsidP="008C3221">
      <w:pPr>
        <w:autoSpaceDE w:val="0"/>
        <w:autoSpaceDN w:val="0"/>
        <w:adjustRightInd w:val="0"/>
        <w:rPr>
          <w:rFonts w:cs="ArialNarrow-Italic"/>
          <w:iCs/>
          <w:sz w:val="20"/>
          <w:szCs w:val="20"/>
        </w:rPr>
      </w:pPr>
      <w:proofErr w:type="gramStart"/>
      <w:r w:rsidRPr="008C3221">
        <w:rPr>
          <w:rFonts w:ascii="Palatino" w:hAnsi="Palatino" w:cs="ArialNarrow-Italic"/>
          <w:i/>
          <w:iCs/>
          <w:sz w:val="20"/>
          <w:szCs w:val="20"/>
        </w:rPr>
        <w:t>4 Released to Cascade Natural Gas through 4/1/2020, subject to recall.</w:t>
      </w:r>
      <w:proofErr w:type="gramEnd"/>
      <w:r w:rsidRPr="008C3221">
        <w:rPr>
          <w:rFonts w:ascii="Palatino" w:hAnsi="Palatino" w:cs="ArialNarrow-Italic"/>
          <w:i/>
          <w:iCs/>
          <w:sz w:val="20"/>
          <w:szCs w:val="20"/>
        </w:rPr>
        <w:t xml:space="preserve"> </w:t>
      </w:r>
    </w:p>
    <w:p w14:paraId="28F26923" w14:textId="77777777" w:rsidR="00862469" w:rsidRPr="008C3221" w:rsidRDefault="00862469" w:rsidP="008C3221">
      <w:pPr>
        <w:autoSpaceDE w:val="0"/>
        <w:autoSpaceDN w:val="0"/>
        <w:adjustRightInd w:val="0"/>
        <w:rPr>
          <w:rFonts w:cs="ArialNarrow-Italic"/>
          <w:iCs/>
          <w:sz w:val="20"/>
          <w:szCs w:val="20"/>
        </w:rPr>
      </w:pPr>
      <w:r w:rsidRPr="008C3221">
        <w:rPr>
          <w:rFonts w:ascii="Palatino" w:hAnsi="Palatino" w:cs="ArialNarrow-Italic"/>
          <w:i/>
          <w:iCs/>
          <w:sz w:val="20"/>
          <w:szCs w:val="20"/>
        </w:rPr>
        <w:t xml:space="preserve">5 PSE expects to renew the Clay Basin storage agreements. </w:t>
      </w:r>
    </w:p>
    <w:p w14:paraId="76B836BB" w14:textId="77777777" w:rsidR="00862469" w:rsidRPr="008C3221" w:rsidRDefault="00862469" w:rsidP="008C3221">
      <w:pPr>
        <w:autoSpaceDE w:val="0"/>
        <w:autoSpaceDN w:val="0"/>
        <w:adjustRightInd w:val="0"/>
        <w:rPr>
          <w:rFonts w:cs="ArialNarrow-Italic"/>
          <w:iCs/>
          <w:sz w:val="20"/>
          <w:szCs w:val="20"/>
        </w:rPr>
      </w:pPr>
      <w:r w:rsidRPr="008C3221">
        <w:rPr>
          <w:rFonts w:ascii="Palatino" w:hAnsi="Palatino" w:cs="ArialNarrow-Italic"/>
          <w:i/>
          <w:iCs/>
          <w:sz w:val="20"/>
          <w:szCs w:val="20"/>
        </w:rPr>
        <w:t xml:space="preserve">6 Assigned to third parties through 4/1/2018. </w:t>
      </w:r>
    </w:p>
    <w:p w14:paraId="1418AE08" w14:textId="77777777" w:rsidR="00862469" w:rsidRPr="008C3221" w:rsidRDefault="00862469" w:rsidP="008C3221">
      <w:pPr>
        <w:autoSpaceDE w:val="0"/>
        <w:autoSpaceDN w:val="0"/>
        <w:adjustRightInd w:val="0"/>
        <w:rPr>
          <w:rFonts w:cs="ArialNarrow-Italic"/>
          <w:iCs/>
          <w:sz w:val="20"/>
          <w:szCs w:val="20"/>
        </w:rPr>
      </w:pPr>
      <w:r w:rsidRPr="008C3221">
        <w:rPr>
          <w:rFonts w:ascii="Palatino" w:hAnsi="Palatino" w:cs="ArialNarrow-Italic"/>
          <w:i/>
          <w:iCs/>
          <w:sz w:val="20"/>
          <w:szCs w:val="20"/>
        </w:rPr>
        <w:t xml:space="preserve">7 Total withdrawal </w:t>
      </w:r>
      <w:proofErr w:type="gramStart"/>
      <w:r w:rsidRPr="008C3221">
        <w:rPr>
          <w:rFonts w:ascii="Palatino" w:hAnsi="Palatino" w:cs="ArialNarrow-Italic"/>
          <w:i/>
          <w:iCs/>
          <w:sz w:val="20"/>
          <w:szCs w:val="20"/>
        </w:rPr>
        <w:t>capacity</w:t>
      </w:r>
      <w:proofErr w:type="gramEnd"/>
      <w:r w:rsidRPr="008C3221">
        <w:rPr>
          <w:rFonts w:ascii="Palatino" w:hAnsi="Palatino" w:cs="ArialNarrow-Italic"/>
          <w:i/>
          <w:iCs/>
          <w:sz w:val="20"/>
          <w:szCs w:val="20"/>
        </w:rPr>
        <w:t xml:space="preserve"> is 447,057 </w:t>
      </w:r>
      <w:proofErr w:type="spellStart"/>
      <w:r w:rsidRPr="008C3221">
        <w:rPr>
          <w:rFonts w:ascii="Palatino" w:hAnsi="Palatino" w:cs="ArialNarrow-Italic"/>
          <w:i/>
          <w:iCs/>
          <w:sz w:val="20"/>
          <w:szCs w:val="20"/>
        </w:rPr>
        <w:t>Dth</w:t>
      </w:r>
      <w:proofErr w:type="spellEnd"/>
      <w:r w:rsidRPr="008C3221">
        <w:rPr>
          <w:rFonts w:ascii="Palatino" w:hAnsi="Palatino" w:cs="ArialNarrow-Italic"/>
          <w:i/>
          <w:iCs/>
          <w:sz w:val="20"/>
          <w:szCs w:val="20"/>
        </w:rPr>
        <w:t xml:space="preserve">/day if the 50,000 </w:t>
      </w:r>
      <w:proofErr w:type="spellStart"/>
      <w:r w:rsidRPr="008C3221">
        <w:rPr>
          <w:rFonts w:ascii="Palatino" w:hAnsi="Palatino" w:cs="ArialNarrow-Italic"/>
          <w:i/>
          <w:iCs/>
          <w:sz w:val="20"/>
          <w:szCs w:val="20"/>
        </w:rPr>
        <w:t>Dth</w:t>
      </w:r>
      <w:proofErr w:type="spellEnd"/>
      <w:r w:rsidRPr="008C3221">
        <w:rPr>
          <w:rFonts w:ascii="Palatino" w:hAnsi="Palatino" w:cs="ArialNarrow-Italic"/>
          <w:i/>
          <w:iCs/>
          <w:sz w:val="20"/>
          <w:szCs w:val="20"/>
        </w:rPr>
        <w:t>/day is retained.</w:t>
      </w:r>
    </w:p>
    <w:p w14:paraId="11D91365" w14:textId="77777777" w:rsidR="00862469" w:rsidRDefault="00862469" w:rsidP="00862469">
      <w:pPr>
        <w:spacing w:before="100" w:beforeAutospacing="1" w:after="100" w:afterAutospacing="1" w:line="240" w:lineRule="exact"/>
        <w:rPr>
          <w:rFonts w:ascii="Arial" w:hAnsi="Arial"/>
          <w:i/>
          <w:color w:val="000000"/>
          <w:sz w:val="20"/>
        </w:rPr>
      </w:pPr>
    </w:p>
    <w:p w14:paraId="4FC9BCCB" w14:textId="77777777" w:rsidR="00862469" w:rsidRDefault="00862469" w:rsidP="00862469">
      <w:pPr>
        <w:tabs>
          <w:tab w:val="left" w:pos="144"/>
        </w:tabs>
        <w:ind w:left="1080"/>
        <w:rPr>
          <w:rFonts w:ascii="Arial Narrow" w:hAnsi="Arial Narrow"/>
          <w:b/>
          <w:bCs/>
          <w:i/>
          <w:iCs/>
          <w:sz w:val="16"/>
          <w:szCs w:val="16"/>
        </w:rPr>
      </w:pPr>
      <w:r w:rsidRPr="00AA74D3">
        <w:rPr>
          <w:rFonts w:ascii="Arial Narrow" w:hAnsi="Arial Narrow"/>
          <w:b/>
          <w:bCs/>
          <w:i/>
          <w:iCs/>
          <w:sz w:val="16"/>
          <w:szCs w:val="16"/>
        </w:rPr>
        <w:t xml:space="preserve"> </w:t>
      </w:r>
    </w:p>
    <w:p w14:paraId="095C8CF1" w14:textId="77777777" w:rsidR="00862469" w:rsidRPr="00337878" w:rsidRDefault="00862469" w:rsidP="00862469">
      <w:pPr>
        <w:tabs>
          <w:tab w:val="left" w:pos="144"/>
        </w:tabs>
        <w:ind w:left="1080"/>
        <w:rPr>
          <w:rFonts w:ascii="Arial Narrow" w:hAnsi="Arial Narrow"/>
          <w:i/>
          <w:sz w:val="16"/>
          <w:szCs w:val="16"/>
        </w:rPr>
      </w:pPr>
      <w:r w:rsidRPr="00337878">
        <w:rPr>
          <w:rFonts w:ascii="Arial Narrow" w:hAnsi="Arial Narrow"/>
          <w:i/>
          <w:sz w:val="16"/>
          <w:szCs w:val="16"/>
        </w:rPr>
        <w:t xml:space="preserve"> </w:t>
      </w:r>
    </w:p>
    <w:p w14:paraId="3E97C12F" w14:textId="77777777" w:rsidR="00862469" w:rsidRPr="00B44DE2" w:rsidRDefault="00862469" w:rsidP="00862469">
      <w:pPr>
        <w:tabs>
          <w:tab w:val="left" w:pos="144"/>
        </w:tabs>
        <w:jc w:val="center"/>
        <w:rPr>
          <w:rFonts w:ascii="Arial Narrow" w:hAnsi="Arial Narrow"/>
          <w:i/>
          <w:sz w:val="16"/>
          <w:szCs w:val="16"/>
        </w:rPr>
      </w:pPr>
    </w:p>
    <w:p w14:paraId="5EDAF46D" w14:textId="77777777" w:rsidR="00CE0E54" w:rsidRDefault="00CE0E54">
      <w:pPr>
        <w:rPr>
          <w:rFonts w:ascii="Arial" w:hAnsi="Arial"/>
          <w:sz w:val="20"/>
          <w:szCs w:val="20"/>
        </w:rPr>
      </w:pPr>
      <w:r>
        <w:rPr>
          <w:rFonts w:ascii="Arial" w:hAnsi="Arial"/>
          <w:sz w:val="20"/>
          <w:szCs w:val="20"/>
        </w:rPr>
        <w:br w:type="page"/>
      </w:r>
    </w:p>
    <w:p w14:paraId="10DFD6F6" w14:textId="77777777" w:rsidR="00862469" w:rsidRPr="00B44DE2" w:rsidRDefault="00862469" w:rsidP="00862469">
      <w:pPr>
        <w:spacing w:line="320" w:lineRule="exact"/>
        <w:rPr>
          <w:rFonts w:ascii="Arial" w:hAnsi="Arial"/>
          <w:sz w:val="20"/>
          <w:szCs w:val="20"/>
        </w:rPr>
      </w:pPr>
    </w:p>
    <w:p w14:paraId="76465B47" w14:textId="77777777" w:rsidR="001843AA" w:rsidRDefault="00862469" w:rsidP="00533DD9">
      <w:pPr>
        <w:pStyle w:val="IRPsanstext"/>
      </w:pPr>
      <w:proofErr w:type="gramStart"/>
      <w:r w:rsidRPr="00533DD9">
        <w:rPr>
          <w:b/>
          <w:color w:val="006C71"/>
          <w:sz w:val="28"/>
        </w:rPr>
        <w:t>Jackson Prairie Storage</w:t>
      </w:r>
      <w:r w:rsidRPr="00533DD9">
        <w:rPr>
          <w:color w:val="006C71"/>
          <w:sz w:val="28"/>
        </w:rPr>
        <w:t>.</w:t>
      </w:r>
      <w:proofErr w:type="gramEnd"/>
      <w:r w:rsidR="001843AA">
        <w:t xml:space="preserve"> </w:t>
      </w:r>
      <w:r w:rsidR="00FE2597" w:rsidRPr="00B44DE2">
        <w:t xml:space="preserve">PSE, NWP and </w:t>
      </w:r>
      <w:proofErr w:type="spellStart"/>
      <w:r w:rsidR="00FE2597" w:rsidRPr="00B44DE2">
        <w:t>Avista</w:t>
      </w:r>
      <w:proofErr w:type="spellEnd"/>
      <w:r w:rsidR="00FE2597" w:rsidRPr="00B44DE2">
        <w:t xml:space="preserve"> Utilities each own an undivided one-third interest in the Jackson Prairie Gas Storage Project (Jackson Prairie), </w:t>
      </w:r>
      <w:r w:rsidR="00FE2597">
        <w:t xml:space="preserve">which is </w:t>
      </w:r>
      <w:r w:rsidR="00FE2597" w:rsidRPr="00B44DE2">
        <w:t xml:space="preserve">operated by PSE under FERC authorization. </w:t>
      </w:r>
      <w:r w:rsidR="00FE2597">
        <w:t>As shown in Figure 7-3</w:t>
      </w:r>
      <w:r w:rsidR="00FE2597" w:rsidRPr="00B44DE2">
        <w:t xml:space="preserve">, </w:t>
      </w:r>
      <w:r w:rsidR="00B67636">
        <w:t>PSE has</w:t>
      </w:r>
      <w:r w:rsidR="00FE2597" w:rsidRPr="00B44DE2">
        <w:t xml:space="preserve"> </w:t>
      </w:r>
      <w:r w:rsidR="00FE2597">
        <w:t>447,057</w:t>
      </w:r>
      <w:r w:rsidR="00FE2597" w:rsidRPr="00B44DE2">
        <w:t xml:space="preserve"> </w:t>
      </w:r>
      <w:proofErr w:type="spellStart"/>
      <w:r w:rsidR="00FE2597" w:rsidRPr="00B44DE2">
        <w:t>Dth</w:t>
      </w:r>
      <w:proofErr w:type="spellEnd"/>
      <w:r w:rsidR="00FE2597" w:rsidRPr="00B44DE2">
        <w:t xml:space="preserve"> per day of </w:t>
      </w:r>
      <w:r w:rsidR="00FE2597">
        <w:t xml:space="preserve">storage redelivery service </w:t>
      </w:r>
      <w:r w:rsidR="00FE2597" w:rsidRPr="00B44DE2">
        <w:t>transportation capacity from Jackson Prairie.</w:t>
      </w:r>
      <w:r w:rsidR="001843AA">
        <w:t xml:space="preserve"> </w:t>
      </w:r>
      <w:r w:rsidR="001843AA" w:rsidRPr="00B44DE2">
        <w:t xml:space="preserve">In addition to firm daily deliverability and firm seasonal capacity, </w:t>
      </w:r>
      <w:r w:rsidR="00B67636">
        <w:t>PSE has</w:t>
      </w:r>
      <w:r w:rsidR="00B67636" w:rsidRPr="00B44DE2">
        <w:t xml:space="preserve"> </w:t>
      </w:r>
      <w:r w:rsidR="001843AA" w:rsidRPr="00B44DE2">
        <w:t>access to deliverability and seasonal capacity through contracts for SGS-2F storage service from NWP. The NWP contracts are automatically renewed each year</w:t>
      </w:r>
      <w:r w:rsidR="001843AA">
        <w:t>,</w:t>
      </w:r>
      <w:r w:rsidR="001843AA" w:rsidRPr="00B44DE2">
        <w:t xml:space="preserve"> but </w:t>
      </w:r>
      <w:r w:rsidR="00B67636">
        <w:t>PSE has</w:t>
      </w:r>
      <w:r w:rsidR="00B67636" w:rsidRPr="00B44DE2">
        <w:t xml:space="preserve"> </w:t>
      </w:r>
      <w:r w:rsidR="001843AA" w:rsidRPr="00B44DE2">
        <w:t>the unilateral right to terminate the agreement with one year’s notice.</w:t>
      </w:r>
      <w:r w:rsidR="001843AA">
        <w:t xml:space="preserve"> </w:t>
      </w:r>
    </w:p>
    <w:p w14:paraId="0428B0AD" w14:textId="77777777" w:rsidR="001843AA" w:rsidRDefault="001843AA" w:rsidP="00533DD9">
      <w:pPr>
        <w:pStyle w:val="IRPsanstext"/>
      </w:pPr>
    </w:p>
    <w:p w14:paraId="280E9652" w14:textId="77777777" w:rsidR="00862469" w:rsidRPr="00B44DE2" w:rsidRDefault="00862469" w:rsidP="00533DD9">
      <w:pPr>
        <w:pStyle w:val="IRPsanstext"/>
      </w:pPr>
      <w:r w:rsidRPr="00B44DE2">
        <w:t xml:space="preserve">PSE uses Jackson Prairie and the associated NWP </w:t>
      </w:r>
      <w:r>
        <w:t xml:space="preserve">storage redelivery service </w:t>
      </w:r>
      <w:r w:rsidRPr="00B44DE2">
        <w:t xml:space="preserve">transportation capacity primarily to meet the intermediate peaking requirements of core </w:t>
      </w:r>
      <w:r>
        <w:t xml:space="preserve">gas </w:t>
      </w:r>
      <w:r w:rsidRPr="00B44DE2">
        <w:t>customers – that is, to meet seasonal load requirements, balance daily load and minimize the need to contract for year-round pipeline capacity to meet winter-onl</w:t>
      </w:r>
      <w:r>
        <w:t xml:space="preserve">y demand.  </w:t>
      </w:r>
    </w:p>
    <w:p w14:paraId="52A9877A" w14:textId="77777777" w:rsidR="00862469" w:rsidRPr="00B44DE2" w:rsidRDefault="00862469" w:rsidP="00533DD9">
      <w:pPr>
        <w:pStyle w:val="IRPsanstext"/>
      </w:pPr>
    </w:p>
    <w:p w14:paraId="4CBF3C4B" w14:textId="77777777" w:rsidR="00862469" w:rsidRPr="00B44DE2" w:rsidRDefault="00862469" w:rsidP="00533DD9">
      <w:pPr>
        <w:pStyle w:val="IRPsanstext"/>
        <w:rPr>
          <w:sz w:val="28"/>
        </w:rPr>
      </w:pPr>
      <w:proofErr w:type="gramStart"/>
      <w:r w:rsidRPr="00533DD9">
        <w:rPr>
          <w:b/>
          <w:color w:val="006C71"/>
          <w:sz w:val="28"/>
        </w:rPr>
        <w:t>Clay Basin Storage.</w:t>
      </w:r>
      <w:proofErr w:type="gramEnd"/>
      <w:r w:rsidRPr="00B44DE2">
        <w:rPr>
          <w:b/>
          <w:sz w:val="28"/>
        </w:rPr>
        <w:t xml:space="preserve"> </w:t>
      </w:r>
      <w:proofErr w:type="spellStart"/>
      <w:r w:rsidRPr="00B44DE2">
        <w:t>Questar</w:t>
      </w:r>
      <w:proofErr w:type="spellEnd"/>
      <w:r w:rsidRPr="00B44DE2">
        <w:t xml:space="preserve"> Pipeline owns and operates the Clay Basin storage facility in Daggett County, Utah. This reservoir stores gas during the summer for withdrawal in the winter. PSE has two contracts to store up to 12,882,750 </w:t>
      </w:r>
      <w:proofErr w:type="spellStart"/>
      <w:r w:rsidRPr="00B44DE2">
        <w:t>Dth</w:t>
      </w:r>
      <w:proofErr w:type="spellEnd"/>
      <w:r w:rsidRPr="00B44DE2">
        <w:t xml:space="preserve"> and withdraw up to 107,356 </w:t>
      </w:r>
      <w:proofErr w:type="spellStart"/>
      <w:r w:rsidRPr="00B44DE2">
        <w:t>Dth</w:t>
      </w:r>
      <w:proofErr w:type="spellEnd"/>
      <w:r w:rsidRPr="00B44DE2">
        <w:t xml:space="preserve"> per day under a FERC-regulated service.</w:t>
      </w:r>
      <w:r w:rsidRPr="00B44DE2" w:rsidDel="001D2526">
        <w:t xml:space="preserve"> </w:t>
      </w:r>
      <w:r>
        <w:t>As shown in Figure 7-4</w:t>
      </w:r>
      <w:r w:rsidRPr="00B44DE2">
        <w:t xml:space="preserve">, 4,000,000 </w:t>
      </w:r>
      <w:proofErr w:type="spellStart"/>
      <w:r w:rsidRPr="00B44DE2">
        <w:t>Dth</w:t>
      </w:r>
      <w:proofErr w:type="spellEnd"/>
      <w:r w:rsidRPr="00B44DE2">
        <w:t xml:space="preserve"> of this storage capacity has been assigned to third parties through March 2018.</w:t>
      </w:r>
    </w:p>
    <w:p w14:paraId="5F78F571" w14:textId="77777777" w:rsidR="00862469" w:rsidRPr="00B44DE2" w:rsidRDefault="00862469" w:rsidP="00533DD9">
      <w:pPr>
        <w:pStyle w:val="IRPsanstext"/>
      </w:pPr>
    </w:p>
    <w:p w14:paraId="3E6CD4FB" w14:textId="77777777" w:rsidR="00862469" w:rsidRPr="00B44DE2" w:rsidRDefault="00862469" w:rsidP="00533DD9">
      <w:pPr>
        <w:pStyle w:val="IRPsanstext"/>
      </w:pPr>
      <w:r>
        <w:t>PSE uses</w:t>
      </w:r>
      <w:r w:rsidRPr="00B44DE2">
        <w:t xml:space="preserve"> Clay Basin for certain levels of </w:t>
      </w:r>
      <w:proofErr w:type="spellStart"/>
      <w:r w:rsidRPr="00B44DE2">
        <w:t>baseload</w:t>
      </w:r>
      <w:proofErr w:type="spellEnd"/>
      <w:r w:rsidRPr="00B44DE2">
        <w:t xml:space="preserve"> supply, and for backup supply in the case of well freeze-offs or other supply disruptions in the Rocky Mountains during the winter. It provides a reliable source of supply throughout the winter, including peak days; it also provides a partial hedge to price spikes in this region. Gas from Clay Basin is delivered to PSE’s system (and other markets) using firm </w:t>
      </w:r>
      <w:r>
        <w:t xml:space="preserve">NWP </w:t>
      </w:r>
      <w:r w:rsidRPr="00B44DE2">
        <w:t xml:space="preserve">TF-1 transportation. </w:t>
      </w:r>
    </w:p>
    <w:p w14:paraId="70336E5B" w14:textId="77777777" w:rsidR="00862469" w:rsidRPr="00B44DE2" w:rsidRDefault="00862469" w:rsidP="00533DD9">
      <w:pPr>
        <w:pStyle w:val="IRPsanstext"/>
      </w:pPr>
    </w:p>
    <w:p w14:paraId="001D9CB6" w14:textId="77777777" w:rsidR="00533DD9" w:rsidRDefault="00862469" w:rsidP="00533DD9">
      <w:pPr>
        <w:pStyle w:val="IRPsanstext"/>
        <w:rPr>
          <w:rFonts w:ascii="Helvetica" w:hAnsi="Helvetica" w:cs="Arial"/>
          <w:b/>
          <w:bCs/>
          <w:iCs/>
          <w:color w:val="007163"/>
          <w:sz w:val="28"/>
        </w:rPr>
      </w:pPr>
      <w:proofErr w:type="gramStart"/>
      <w:r w:rsidRPr="00533DD9">
        <w:rPr>
          <w:b/>
          <w:color w:val="006C71"/>
          <w:sz w:val="28"/>
        </w:rPr>
        <w:t>Treatment of Storage Cost.</w:t>
      </w:r>
      <w:proofErr w:type="gramEnd"/>
      <w:r w:rsidRPr="00B44DE2">
        <w:rPr>
          <w:b/>
          <w:sz w:val="28"/>
        </w:rPr>
        <w:t xml:space="preserve">  </w:t>
      </w:r>
      <w:r w:rsidRPr="00B44DE2">
        <w:t>Similar to firm pipeline capacity, firm storage arrangements require a fixed charge whether or not the storage service is used.</w:t>
      </w:r>
      <w:r w:rsidRPr="00B44DE2">
        <w:rPr>
          <w:color w:val="3366FF"/>
        </w:rPr>
        <w:t xml:space="preserve"> </w:t>
      </w:r>
      <w:r w:rsidRPr="00B44DE2">
        <w:t>PSE also pays a variable charge for gas injected into and withdrawn from Clay Basin. Charges for Clay Basin service (and the non-PSE-owned portion of Jackson Prairie service) are billed to PSE pursuant to FERC-approved tariffs, and recovered from customers through a purchased gas adjustment (PGA)</w:t>
      </w:r>
      <w:r w:rsidRPr="00155DB0">
        <w:t xml:space="preserve"> </w:t>
      </w:r>
      <w:r>
        <w:t>regulatory mechanism</w:t>
      </w:r>
      <w:r w:rsidRPr="00B44DE2">
        <w:t xml:space="preserve">, while costs associated with the PSE-owned portion of Jackson Prairie are recovered from customers through base distribution rates. </w:t>
      </w:r>
      <w:r w:rsidRPr="00B44DE2">
        <w:br/>
      </w:r>
    </w:p>
    <w:p w14:paraId="0B11AB24" w14:textId="77777777" w:rsidR="00533DD9" w:rsidRDefault="00533DD9">
      <w:pPr>
        <w:rPr>
          <w:rFonts w:ascii="Helvetica" w:hAnsi="Helvetica" w:cs="Arial"/>
          <w:b/>
          <w:bCs/>
          <w:iCs/>
          <w:color w:val="007163"/>
          <w:sz w:val="28"/>
          <w:szCs w:val="20"/>
        </w:rPr>
      </w:pPr>
      <w:r>
        <w:rPr>
          <w:rFonts w:ascii="Helvetica" w:hAnsi="Helvetica" w:cs="Arial"/>
          <w:b/>
          <w:bCs/>
          <w:iCs/>
          <w:color w:val="007163"/>
          <w:sz w:val="28"/>
        </w:rPr>
        <w:br w:type="page"/>
      </w:r>
    </w:p>
    <w:p w14:paraId="1C7D7962" w14:textId="77777777" w:rsidR="00181AEF" w:rsidRDefault="00181AEF" w:rsidP="00533DD9">
      <w:pPr>
        <w:pStyle w:val="IRPsanstext"/>
        <w:rPr>
          <w:sz w:val="32"/>
        </w:rPr>
      </w:pPr>
    </w:p>
    <w:p w14:paraId="3FDF4053" w14:textId="77777777" w:rsidR="00862469" w:rsidRPr="0010564D" w:rsidRDefault="00862469" w:rsidP="00533DD9">
      <w:pPr>
        <w:pStyle w:val="IRPsanstext"/>
        <w:rPr>
          <w:sz w:val="32"/>
        </w:rPr>
      </w:pPr>
      <w:r w:rsidRPr="0010564D">
        <w:rPr>
          <w:sz w:val="32"/>
        </w:rPr>
        <w:t xml:space="preserve">Existing Peaking Supply and Capacity Resources </w:t>
      </w:r>
    </w:p>
    <w:p w14:paraId="72B37380" w14:textId="77777777" w:rsidR="00533DD9" w:rsidRDefault="00533DD9" w:rsidP="00533DD9">
      <w:pPr>
        <w:pStyle w:val="IRPsanstext"/>
      </w:pPr>
    </w:p>
    <w:p w14:paraId="6962F1BB" w14:textId="77777777" w:rsidR="00862469" w:rsidRPr="00891D84" w:rsidRDefault="00862469" w:rsidP="00533DD9">
      <w:pPr>
        <w:pStyle w:val="IRPsanstext"/>
      </w:pPr>
      <w:r w:rsidRPr="00891D84">
        <w:t xml:space="preserve">Firm access to other resources provides supplies and capacity for peaking requirements or short-term operational needs. The Gig Harbor </w:t>
      </w:r>
      <w:r>
        <w:t>liquefied natural gas (</w:t>
      </w:r>
      <w:r w:rsidRPr="00891D84">
        <w:t>LNG</w:t>
      </w:r>
      <w:r>
        <w:t>)</w:t>
      </w:r>
      <w:r w:rsidRPr="00891D84">
        <w:t xml:space="preserve"> satellite storage and the </w:t>
      </w:r>
      <w:proofErr w:type="spellStart"/>
      <w:r w:rsidRPr="00891D84">
        <w:t>Swarr</w:t>
      </w:r>
      <w:proofErr w:type="spellEnd"/>
      <w:r w:rsidRPr="00891D84">
        <w:t xml:space="preserve"> vaporized propane-air</w:t>
      </w:r>
      <w:bookmarkEnd w:id="0"/>
      <w:bookmarkEnd w:id="1"/>
      <w:bookmarkEnd w:id="2"/>
      <w:bookmarkEnd w:id="3"/>
      <w:bookmarkEnd w:id="4"/>
      <w:bookmarkEnd w:id="5"/>
      <w:r w:rsidRPr="00891D84">
        <w:t xml:space="preserve"> (LP-Air) facility provide firm gas supplies on short notice for relatively short periods of time. Generally a last resort due to their relatively higher variable costs, these </w:t>
      </w:r>
      <w:r>
        <w:t>re</w:t>
      </w:r>
      <w:r w:rsidRPr="00891D84">
        <w:t xml:space="preserve">sources typically </w:t>
      </w:r>
      <w:r>
        <w:t xml:space="preserve">help to </w:t>
      </w:r>
      <w:r w:rsidRPr="00891D84">
        <w:t>meet extreme peak demand during the coldest hours or days. These resources do not offer the flexibility of other supply sources.</w:t>
      </w:r>
    </w:p>
    <w:p w14:paraId="13E07312" w14:textId="77777777" w:rsidR="00862469" w:rsidRPr="00891D84" w:rsidRDefault="00862469" w:rsidP="00862469">
      <w:pPr>
        <w:rPr>
          <w:rFonts w:ascii="Arial" w:hAnsi="Arial"/>
          <w:i/>
          <w:sz w:val="20"/>
        </w:rPr>
      </w:pPr>
    </w:p>
    <w:p w14:paraId="24AB2EBD" w14:textId="77777777" w:rsidR="00862469" w:rsidRPr="00B44DE2" w:rsidRDefault="00862469" w:rsidP="00FC6CCF">
      <w:pPr>
        <w:pStyle w:val="IRPFigureSub"/>
        <w:spacing w:after="120"/>
      </w:pPr>
      <w:r>
        <w:t xml:space="preserve">Figure 7-5: </w:t>
      </w:r>
      <w:r w:rsidRPr="00B44DE2">
        <w:t xml:space="preserve">Gas Sales </w:t>
      </w:r>
      <w:r>
        <w:t>Peaking Resources</w:t>
      </w:r>
    </w:p>
    <w:tbl>
      <w:tblPr>
        <w:tblW w:w="8464"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1620"/>
        <w:gridCol w:w="1514"/>
        <w:gridCol w:w="1710"/>
        <w:gridCol w:w="1547"/>
      </w:tblGrid>
      <w:tr w:rsidR="00862469" w:rsidRPr="00685F1C" w14:paraId="770EF130" w14:textId="77777777">
        <w:trPr>
          <w:jc w:val="center"/>
        </w:trPr>
        <w:tc>
          <w:tcPr>
            <w:tcW w:w="2073" w:type="dxa"/>
            <w:tcBorders>
              <w:top w:val="single" w:sz="4" w:space="0" w:color="auto"/>
              <w:left w:val="single" w:sz="4" w:space="0" w:color="auto"/>
              <w:bottom w:val="nil"/>
              <w:right w:val="nil"/>
            </w:tcBorders>
            <w:shd w:val="clear" w:color="auto" w:fill="006A71"/>
            <w:vAlign w:val="center"/>
          </w:tcPr>
          <w:p w14:paraId="562CE126" w14:textId="77777777" w:rsidR="00862469" w:rsidRPr="00FA348A" w:rsidRDefault="00862469" w:rsidP="00862469">
            <w:pPr>
              <w:keepNext/>
              <w:widowControl w:val="0"/>
              <w:tabs>
                <w:tab w:val="left" w:pos="144"/>
              </w:tabs>
              <w:rPr>
                <w:rFonts w:ascii="Arial" w:hAnsi="Arial" w:cs="Arial"/>
                <w:b/>
                <w:color w:val="FFFFFF" w:themeColor="background1"/>
                <w:sz w:val="20"/>
                <w:szCs w:val="20"/>
              </w:rPr>
            </w:pPr>
            <w:r w:rsidRPr="00FA348A">
              <w:rPr>
                <w:rFonts w:ascii="Arial" w:hAnsi="Arial" w:cs="Arial"/>
                <w:b/>
                <w:color w:val="FFFFFF" w:themeColor="background1"/>
                <w:sz w:val="20"/>
                <w:szCs w:val="20"/>
              </w:rPr>
              <w:t xml:space="preserve"> </w:t>
            </w:r>
            <w:r w:rsidR="00FA348A" w:rsidRPr="00FA348A">
              <w:rPr>
                <w:rFonts w:ascii="Arial" w:hAnsi="Arial" w:cs="Arial"/>
                <w:b/>
                <w:color w:val="FFFFFF" w:themeColor="background1"/>
                <w:sz w:val="20"/>
                <w:szCs w:val="20"/>
              </w:rPr>
              <w:t>Facility</w:t>
            </w:r>
          </w:p>
        </w:tc>
        <w:tc>
          <w:tcPr>
            <w:tcW w:w="1620" w:type="dxa"/>
            <w:tcBorders>
              <w:top w:val="single" w:sz="4" w:space="0" w:color="auto"/>
              <w:left w:val="nil"/>
              <w:bottom w:val="nil"/>
              <w:right w:val="nil"/>
            </w:tcBorders>
            <w:shd w:val="clear" w:color="auto" w:fill="006A71"/>
            <w:vAlign w:val="center"/>
          </w:tcPr>
          <w:p w14:paraId="12C65C81" w14:textId="77777777" w:rsidR="00862469" w:rsidRPr="00FC6CCF" w:rsidRDefault="00862469" w:rsidP="00862469">
            <w:pPr>
              <w:keepNext/>
              <w:widowControl w:val="0"/>
              <w:tabs>
                <w:tab w:val="left" w:pos="144"/>
              </w:tabs>
              <w:jc w:val="center"/>
              <w:rPr>
                <w:rFonts w:ascii="Arial" w:hAnsi="Arial" w:cs="Arial"/>
                <w:b/>
                <w:color w:val="FFFFFF"/>
                <w:sz w:val="20"/>
                <w:szCs w:val="20"/>
              </w:rPr>
            </w:pPr>
            <w:r w:rsidRPr="00FC6CCF">
              <w:rPr>
                <w:rFonts w:ascii="Arial" w:hAnsi="Arial" w:cs="Arial"/>
                <w:b/>
                <w:color w:val="FFFFFF"/>
                <w:sz w:val="20"/>
                <w:szCs w:val="20"/>
              </w:rPr>
              <w:t>Storage Capacity (</w:t>
            </w:r>
            <w:proofErr w:type="spellStart"/>
            <w:r w:rsidRPr="00FC6CCF">
              <w:rPr>
                <w:rFonts w:ascii="Arial" w:hAnsi="Arial" w:cs="Arial"/>
                <w:b/>
                <w:color w:val="FFFFFF"/>
                <w:sz w:val="20"/>
                <w:szCs w:val="20"/>
              </w:rPr>
              <w:t>Dth</w:t>
            </w:r>
            <w:proofErr w:type="spellEnd"/>
            <w:r w:rsidRPr="00FC6CCF">
              <w:rPr>
                <w:rFonts w:ascii="Arial" w:hAnsi="Arial" w:cs="Arial"/>
                <w:b/>
                <w:color w:val="FFFFFF"/>
                <w:sz w:val="20"/>
                <w:szCs w:val="20"/>
              </w:rPr>
              <w:t>)</w:t>
            </w:r>
          </w:p>
        </w:tc>
        <w:tc>
          <w:tcPr>
            <w:tcW w:w="1514" w:type="dxa"/>
            <w:tcBorders>
              <w:top w:val="single" w:sz="4" w:space="0" w:color="auto"/>
              <w:left w:val="nil"/>
              <w:bottom w:val="nil"/>
              <w:right w:val="nil"/>
            </w:tcBorders>
            <w:shd w:val="clear" w:color="auto" w:fill="006A71"/>
            <w:vAlign w:val="center"/>
          </w:tcPr>
          <w:p w14:paraId="5ED77157" w14:textId="77777777" w:rsidR="00862469" w:rsidRPr="00FC6CCF" w:rsidRDefault="00862469" w:rsidP="00862469">
            <w:pPr>
              <w:keepNext/>
              <w:widowControl w:val="0"/>
              <w:tabs>
                <w:tab w:val="left" w:pos="144"/>
              </w:tabs>
              <w:jc w:val="center"/>
              <w:rPr>
                <w:rFonts w:ascii="Arial" w:hAnsi="Arial" w:cs="Arial"/>
                <w:b/>
                <w:color w:val="FFFFFF"/>
                <w:sz w:val="20"/>
                <w:szCs w:val="20"/>
              </w:rPr>
            </w:pPr>
            <w:r w:rsidRPr="00FC6CCF">
              <w:rPr>
                <w:rFonts w:ascii="Arial" w:hAnsi="Arial" w:cs="Arial"/>
                <w:b/>
                <w:color w:val="FFFFFF"/>
                <w:sz w:val="20"/>
                <w:szCs w:val="20"/>
              </w:rPr>
              <w:t>Injection Capacity (</w:t>
            </w:r>
            <w:proofErr w:type="spellStart"/>
            <w:r w:rsidRPr="00FC6CCF">
              <w:rPr>
                <w:rFonts w:ascii="Arial" w:hAnsi="Arial" w:cs="Arial"/>
                <w:b/>
                <w:color w:val="FFFFFF"/>
                <w:sz w:val="20"/>
                <w:szCs w:val="20"/>
              </w:rPr>
              <w:t>Dth</w:t>
            </w:r>
            <w:proofErr w:type="spellEnd"/>
            <w:r w:rsidRPr="00FC6CCF">
              <w:rPr>
                <w:rFonts w:ascii="Arial" w:hAnsi="Arial" w:cs="Arial"/>
                <w:b/>
                <w:color w:val="FFFFFF"/>
                <w:sz w:val="20"/>
                <w:szCs w:val="20"/>
              </w:rPr>
              <w:t>/Day)</w:t>
            </w:r>
          </w:p>
        </w:tc>
        <w:tc>
          <w:tcPr>
            <w:tcW w:w="1710" w:type="dxa"/>
            <w:tcBorders>
              <w:top w:val="single" w:sz="4" w:space="0" w:color="auto"/>
              <w:left w:val="nil"/>
              <w:bottom w:val="nil"/>
              <w:right w:val="nil"/>
            </w:tcBorders>
            <w:shd w:val="clear" w:color="auto" w:fill="006A71"/>
            <w:vAlign w:val="center"/>
          </w:tcPr>
          <w:p w14:paraId="0A240474" w14:textId="77777777" w:rsidR="00862469" w:rsidRPr="00FC6CCF" w:rsidRDefault="00862469" w:rsidP="00862469">
            <w:pPr>
              <w:keepNext/>
              <w:widowControl w:val="0"/>
              <w:tabs>
                <w:tab w:val="left" w:pos="144"/>
              </w:tabs>
              <w:jc w:val="center"/>
              <w:rPr>
                <w:rFonts w:ascii="Arial" w:hAnsi="Arial" w:cs="Arial"/>
                <w:b/>
                <w:color w:val="FFFFFF"/>
                <w:sz w:val="20"/>
                <w:szCs w:val="20"/>
              </w:rPr>
            </w:pPr>
            <w:r w:rsidRPr="00FC6CCF">
              <w:rPr>
                <w:rFonts w:ascii="Arial" w:hAnsi="Arial" w:cs="Arial"/>
                <w:b/>
                <w:color w:val="FFFFFF"/>
                <w:sz w:val="20"/>
                <w:szCs w:val="20"/>
              </w:rPr>
              <w:t>Withdrawal Capacity (</w:t>
            </w:r>
            <w:proofErr w:type="spellStart"/>
            <w:r w:rsidRPr="00FC6CCF">
              <w:rPr>
                <w:rFonts w:ascii="Arial" w:hAnsi="Arial" w:cs="Arial"/>
                <w:b/>
                <w:color w:val="FFFFFF"/>
                <w:sz w:val="20"/>
                <w:szCs w:val="20"/>
              </w:rPr>
              <w:t>Dth</w:t>
            </w:r>
            <w:proofErr w:type="spellEnd"/>
            <w:r w:rsidRPr="00FC6CCF">
              <w:rPr>
                <w:rFonts w:ascii="Arial" w:hAnsi="Arial" w:cs="Arial"/>
                <w:b/>
                <w:color w:val="FFFFFF"/>
                <w:sz w:val="20"/>
                <w:szCs w:val="20"/>
              </w:rPr>
              <w:t>/Day)</w:t>
            </w:r>
          </w:p>
        </w:tc>
        <w:tc>
          <w:tcPr>
            <w:tcW w:w="1547" w:type="dxa"/>
            <w:tcBorders>
              <w:top w:val="single" w:sz="4" w:space="0" w:color="auto"/>
              <w:left w:val="nil"/>
              <w:bottom w:val="nil"/>
              <w:right w:val="single" w:sz="4" w:space="0" w:color="auto"/>
            </w:tcBorders>
            <w:shd w:val="clear" w:color="auto" w:fill="006A71"/>
            <w:vAlign w:val="center"/>
          </w:tcPr>
          <w:p w14:paraId="22CB948F" w14:textId="77777777" w:rsidR="00862469" w:rsidRPr="00FC6CCF" w:rsidRDefault="00862469" w:rsidP="00862469">
            <w:pPr>
              <w:keepNext/>
              <w:widowControl w:val="0"/>
              <w:tabs>
                <w:tab w:val="left" w:pos="144"/>
              </w:tabs>
              <w:jc w:val="center"/>
              <w:rPr>
                <w:rFonts w:ascii="Arial" w:hAnsi="Arial" w:cs="Arial"/>
                <w:b/>
                <w:color w:val="FFFFFF"/>
                <w:sz w:val="20"/>
                <w:szCs w:val="20"/>
              </w:rPr>
            </w:pPr>
            <w:r w:rsidRPr="00FC6CCF">
              <w:rPr>
                <w:rFonts w:ascii="Arial" w:hAnsi="Arial" w:cs="Arial"/>
                <w:b/>
                <w:color w:val="FFFFFF"/>
                <w:sz w:val="20"/>
                <w:szCs w:val="20"/>
              </w:rPr>
              <w:t>Transport Tariff</w:t>
            </w:r>
          </w:p>
        </w:tc>
      </w:tr>
      <w:tr w:rsidR="00862469" w:rsidRPr="00685F1C" w14:paraId="3E6A195E" w14:textId="77777777">
        <w:trPr>
          <w:trHeight w:hRule="exact" w:val="86"/>
          <w:jc w:val="center"/>
        </w:trPr>
        <w:tc>
          <w:tcPr>
            <w:tcW w:w="8464" w:type="dxa"/>
            <w:gridSpan w:val="5"/>
            <w:tcBorders>
              <w:top w:val="nil"/>
              <w:left w:val="single" w:sz="4" w:space="0" w:color="auto"/>
              <w:bottom w:val="single" w:sz="4" w:space="0" w:color="auto"/>
              <w:right w:val="single" w:sz="4" w:space="0" w:color="auto"/>
            </w:tcBorders>
            <w:shd w:val="clear" w:color="auto" w:fill="807F83"/>
            <w:vAlign w:val="center"/>
          </w:tcPr>
          <w:p w14:paraId="1347A3F8" w14:textId="77777777" w:rsidR="00862469" w:rsidRPr="00FC6CCF" w:rsidRDefault="00862469" w:rsidP="00862469">
            <w:pPr>
              <w:keepNext/>
              <w:widowControl w:val="0"/>
              <w:tabs>
                <w:tab w:val="left" w:pos="144"/>
              </w:tabs>
              <w:jc w:val="center"/>
              <w:rPr>
                <w:rFonts w:ascii="Arial" w:hAnsi="Arial" w:cs="Arial"/>
                <w:sz w:val="20"/>
                <w:szCs w:val="20"/>
              </w:rPr>
            </w:pPr>
          </w:p>
        </w:tc>
      </w:tr>
      <w:tr w:rsidR="00862469" w:rsidRPr="00685F1C" w14:paraId="41EFB48A" w14:textId="77777777">
        <w:trPr>
          <w:trHeight w:val="332"/>
          <w:jc w:val="center"/>
        </w:trPr>
        <w:tc>
          <w:tcPr>
            <w:tcW w:w="2073" w:type="dxa"/>
            <w:vAlign w:val="center"/>
          </w:tcPr>
          <w:p w14:paraId="075BEE70" w14:textId="77777777" w:rsidR="00862469" w:rsidRPr="00FC6CCF" w:rsidRDefault="00862469" w:rsidP="00862469">
            <w:pPr>
              <w:widowControl w:val="0"/>
              <w:tabs>
                <w:tab w:val="left" w:pos="144"/>
              </w:tabs>
              <w:rPr>
                <w:rFonts w:ascii="Arial" w:hAnsi="Arial" w:cs="Arial"/>
                <w:sz w:val="20"/>
                <w:szCs w:val="20"/>
              </w:rPr>
            </w:pPr>
            <w:r w:rsidRPr="00FC6CCF">
              <w:rPr>
                <w:rFonts w:ascii="Arial" w:hAnsi="Arial" w:cs="Arial"/>
                <w:sz w:val="20"/>
                <w:szCs w:val="20"/>
              </w:rPr>
              <w:t>Gig Harbor LNG</w:t>
            </w:r>
          </w:p>
        </w:tc>
        <w:tc>
          <w:tcPr>
            <w:tcW w:w="1620" w:type="dxa"/>
            <w:vAlign w:val="center"/>
          </w:tcPr>
          <w:p w14:paraId="6CD6F682" w14:textId="77777777" w:rsidR="00862469" w:rsidRPr="00FC6CCF" w:rsidRDefault="00862469" w:rsidP="00862469">
            <w:pPr>
              <w:widowControl w:val="0"/>
              <w:tabs>
                <w:tab w:val="left" w:pos="144"/>
              </w:tabs>
              <w:jc w:val="center"/>
              <w:rPr>
                <w:rFonts w:ascii="Arial" w:hAnsi="Arial" w:cs="Arial"/>
                <w:sz w:val="20"/>
                <w:szCs w:val="20"/>
              </w:rPr>
            </w:pPr>
            <w:r w:rsidRPr="00FC6CCF">
              <w:rPr>
                <w:rFonts w:ascii="Arial" w:hAnsi="Arial" w:cs="Arial"/>
                <w:sz w:val="20"/>
                <w:szCs w:val="20"/>
              </w:rPr>
              <w:t>10,500</w:t>
            </w:r>
          </w:p>
        </w:tc>
        <w:tc>
          <w:tcPr>
            <w:tcW w:w="1514" w:type="dxa"/>
            <w:vAlign w:val="center"/>
          </w:tcPr>
          <w:p w14:paraId="0DBBBF6F" w14:textId="77777777" w:rsidR="00862469" w:rsidRPr="00FC6CCF" w:rsidRDefault="00321C5D" w:rsidP="00862469">
            <w:pPr>
              <w:widowControl w:val="0"/>
              <w:tabs>
                <w:tab w:val="left" w:pos="144"/>
              </w:tabs>
              <w:jc w:val="center"/>
              <w:rPr>
                <w:rFonts w:ascii="Arial" w:hAnsi="Arial" w:cs="Arial"/>
                <w:sz w:val="20"/>
                <w:szCs w:val="20"/>
              </w:rPr>
            </w:pPr>
            <w:r>
              <w:rPr>
                <w:rFonts w:ascii="Arial" w:hAnsi="Arial" w:cs="Arial"/>
                <w:sz w:val="20"/>
                <w:szCs w:val="20"/>
              </w:rPr>
              <w:t xml:space="preserve"> </w:t>
            </w:r>
            <w:r w:rsidR="00862469" w:rsidRPr="00FC6CCF">
              <w:rPr>
                <w:rFonts w:ascii="Arial" w:hAnsi="Arial" w:cs="Arial"/>
                <w:sz w:val="20"/>
                <w:szCs w:val="20"/>
              </w:rPr>
              <w:t>2,500</w:t>
            </w:r>
          </w:p>
        </w:tc>
        <w:tc>
          <w:tcPr>
            <w:tcW w:w="1710" w:type="dxa"/>
            <w:vAlign w:val="center"/>
          </w:tcPr>
          <w:p w14:paraId="76ABAF81" w14:textId="77777777" w:rsidR="00862469" w:rsidRPr="00FC6CCF" w:rsidRDefault="00862469" w:rsidP="00862469">
            <w:pPr>
              <w:widowControl w:val="0"/>
              <w:tabs>
                <w:tab w:val="left" w:pos="144"/>
              </w:tabs>
              <w:jc w:val="center"/>
              <w:rPr>
                <w:rFonts w:ascii="Arial" w:hAnsi="Arial" w:cs="Arial"/>
                <w:sz w:val="20"/>
                <w:szCs w:val="20"/>
              </w:rPr>
            </w:pPr>
            <w:r w:rsidRPr="00FC6CCF">
              <w:rPr>
                <w:rFonts w:ascii="Arial" w:hAnsi="Arial" w:cs="Arial"/>
                <w:sz w:val="20"/>
                <w:szCs w:val="20"/>
              </w:rPr>
              <w:t>2,500</w:t>
            </w:r>
          </w:p>
        </w:tc>
        <w:tc>
          <w:tcPr>
            <w:tcW w:w="1547" w:type="dxa"/>
            <w:vAlign w:val="center"/>
          </w:tcPr>
          <w:p w14:paraId="3378F22F" w14:textId="77777777" w:rsidR="00862469" w:rsidRPr="00FC6CCF" w:rsidRDefault="00862469" w:rsidP="00862469">
            <w:pPr>
              <w:widowControl w:val="0"/>
              <w:tabs>
                <w:tab w:val="left" w:pos="144"/>
              </w:tabs>
              <w:jc w:val="center"/>
              <w:rPr>
                <w:rFonts w:ascii="Arial" w:hAnsi="Arial" w:cs="Arial"/>
                <w:sz w:val="20"/>
                <w:szCs w:val="20"/>
              </w:rPr>
            </w:pPr>
            <w:r w:rsidRPr="00FC6CCF">
              <w:rPr>
                <w:rFonts w:ascii="Arial" w:hAnsi="Arial" w:cs="Arial"/>
                <w:sz w:val="20"/>
                <w:szCs w:val="20"/>
              </w:rPr>
              <w:t>On-system</w:t>
            </w:r>
          </w:p>
        </w:tc>
      </w:tr>
      <w:tr w:rsidR="00862469" w:rsidRPr="00685F1C" w14:paraId="2F69069A" w14:textId="77777777">
        <w:trPr>
          <w:trHeight w:val="278"/>
          <w:jc w:val="center"/>
        </w:trPr>
        <w:tc>
          <w:tcPr>
            <w:tcW w:w="2073" w:type="dxa"/>
            <w:tcBorders>
              <w:bottom w:val="single" w:sz="4" w:space="0" w:color="auto"/>
            </w:tcBorders>
            <w:vAlign w:val="center"/>
          </w:tcPr>
          <w:p w14:paraId="23EDE634" w14:textId="77777777" w:rsidR="00862469" w:rsidRPr="00FC6CCF" w:rsidRDefault="00862469" w:rsidP="00862469">
            <w:pPr>
              <w:widowControl w:val="0"/>
              <w:tabs>
                <w:tab w:val="left" w:pos="144"/>
              </w:tabs>
              <w:rPr>
                <w:rFonts w:ascii="Arial" w:hAnsi="Arial" w:cs="Arial"/>
                <w:sz w:val="20"/>
                <w:szCs w:val="20"/>
              </w:rPr>
            </w:pPr>
            <w:proofErr w:type="spellStart"/>
            <w:r w:rsidRPr="00FC6CCF">
              <w:rPr>
                <w:rFonts w:ascii="Arial" w:hAnsi="Arial" w:cs="Arial"/>
                <w:sz w:val="20"/>
                <w:szCs w:val="20"/>
              </w:rPr>
              <w:t>Swarr</w:t>
            </w:r>
            <w:proofErr w:type="spellEnd"/>
            <w:r w:rsidRPr="00FC6CCF">
              <w:rPr>
                <w:rFonts w:ascii="Arial" w:hAnsi="Arial" w:cs="Arial"/>
                <w:sz w:val="20"/>
                <w:szCs w:val="20"/>
              </w:rPr>
              <w:t xml:space="preserve"> LP-Air</w:t>
            </w:r>
            <w:r w:rsidRPr="00FC6CCF">
              <w:rPr>
                <w:rFonts w:ascii="Arial" w:hAnsi="Arial" w:cs="Arial"/>
                <w:sz w:val="20"/>
                <w:szCs w:val="20"/>
                <w:vertAlign w:val="superscript"/>
              </w:rPr>
              <w:t>2</w:t>
            </w:r>
          </w:p>
        </w:tc>
        <w:tc>
          <w:tcPr>
            <w:tcW w:w="1620" w:type="dxa"/>
            <w:tcBorders>
              <w:bottom w:val="single" w:sz="4" w:space="0" w:color="auto"/>
            </w:tcBorders>
            <w:vAlign w:val="center"/>
          </w:tcPr>
          <w:p w14:paraId="78A52B15" w14:textId="77777777" w:rsidR="00862469" w:rsidRPr="00FC6CCF" w:rsidRDefault="00862469" w:rsidP="00862469">
            <w:pPr>
              <w:widowControl w:val="0"/>
              <w:tabs>
                <w:tab w:val="left" w:pos="144"/>
              </w:tabs>
              <w:jc w:val="center"/>
              <w:rPr>
                <w:rFonts w:ascii="Arial" w:hAnsi="Arial" w:cs="Arial"/>
                <w:sz w:val="20"/>
                <w:szCs w:val="20"/>
              </w:rPr>
            </w:pPr>
            <w:r w:rsidRPr="00FC6CCF">
              <w:rPr>
                <w:rFonts w:ascii="Arial" w:hAnsi="Arial" w:cs="Arial"/>
                <w:sz w:val="20"/>
                <w:szCs w:val="20"/>
              </w:rPr>
              <w:t>128,440</w:t>
            </w:r>
            <w:r w:rsidRPr="00FC6CCF">
              <w:rPr>
                <w:rFonts w:ascii="Arial" w:hAnsi="Arial" w:cs="Arial"/>
                <w:sz w:val="20"/>
                <w:szCs w:val="20"/>
                <w:vertAlign w:val="superscript"/>
              </w:rPr>
              <w:t>2</w:t>
            </w:r>
          </w:p>
        </w:tc>
        <w:tc>
          <w:tcPr>
            <w:tcW w:w="1514" w:type="dxa"/>
            <w:tcBorders>
              <w:bottom w:val="single" w:sz="4" w:space="0" w:color="auto"/>
            </w:tcBorders>
            <w:vAlign w:val="center"/>
          </w:tcPr>
          <w:p w14:paraId="7372CECB" w14:textId="77777777" w:rsidR="00862469" w:rsidRPr="00FC6CCF" w:rsidRDefault="00321C5D" w:rsidP="00862469">
            <w:pPr>
              <w:widowControl w:val="0"/>
              <w:tabs>
                <w:tab w:val="left" w:pos="144"/>
              </w:tabs>
              <w:jc w:val="center"/>
              <w:rPr>
                <w:rFonts w:ascii="Arial" w:hAnsi="Arial" w:cs="Arial"/>
                <w:sz w:val="20"/>
                <w:szCs w:val="20"/>
              </w:rPr>
            </w:pPr>
            <w:r>
              <w:rPr>
                <w:rFonts w:ascii="Arial" w:hAnsi="Arial" w:cs="Arial"/>
                <w:sz w:val="20"/>
                <w:szCs w:val="20"/>
              </w:rPr>
              <w:t xml:space="preserve">   </w:t>
            </w:r>
            <w:r w:rsidR="00862469" w:rsidRPr="00FC6CCF">
              <w:rPr>
                <w:rFonts w:ascii="Arial" w:hAnsi="Arial" w:cs="Arial"/>
                <w:sz w:val="20"/>
                <w:szCs w:val="20"/>
              </w:rPr>
              <w:t>16,680</w:t>
            </w:r>
            <w:r w:rsidR="00862469" w:rsidRPr="00FC6CCF">
              <w:rPr>
                <w:rFonts w:ascii="Arial" w:hAnsi="Arial" w:cs="Arial"/>
                <w:sz w:val="20"/>
                <w:szCs w:val="20"/>
                <w:vertAlign w:val="superscript"/>
              </w:rPr>
              <w:t>1,2</w:t>
            </w:r>
          </w:p>
        </w:tc>
        <w:tc>
          <w:tcPr>
            <w:tcW w:w="1710" w:type="dxa"/>
            <w:tcBorders>
              <w:bottom w:val="single" w:sz="4" w:space="0" w:color="auto"/>
            </w:tcBorders>
            <w:vAlign w:val="center"/>
          </w:tcPr>
          <w:p w14:paraId="16743FDA" w14:textId="77777777" w:rsidR="00862469" w:rsidRPr="00FC6CCF" w:rsidRDefault="00862469" w:rsidP="00862469">
            <w:pPr>
              <w:widowControl w:val="0"/>
              <w:tabs>
                <w:tab w:val="left" w:pos="144"/>
              </w:tabs>
              <w:jc w:val="center"/>
              <w:rPr>
                <w:rFonts w:ascii="Arial" w:hAnsi="Arial" w:cs="Arial"/>
                <w:sz w:val="20"/>
                <w:szCs w:val="20"/>
              </w:rPr>
            </w:pPr>
            <w:r w:rsidRPr="00FC6CCF">
              <w:rPr>
                <w:rFonts w:ascii="Arial" w:hAnsi="Arial" w:cs="Arial"/>
                <w:sz w:val="20"/>
                <w:szCs w:val="20"/>
              </w:rPr>
              <w:t>0</w:t>
            </w:r>
            <w:r w:rsidRPr="00FC6CCF">
              <w:rPr>
                <w:rFonts w:ascii="Arial" w:hAnsi="Arial" w:cs="Arial"/>
                <w:sz w:val="20"/>
                <w:szCs w:val="20"/>
                <w:vertAlign w:val="superscript"/>
              </w:rPr>
              <w:t>2</w:t>
            </w:r>
          </w:p>
        </w:tc>
        <w:tc>
          <w:tcPr>
            <w:tcW w:w="1547" w:type="dxa"/>
            <w:tcBorders>
              <w:bottom w:val="single" w:sz="4" w:space="0" w:color="auto"/>
            </w:tcBorders>
            <w:vAlign w:val="center"/>
          </w:tcPr>
          <w:p w14:paraId="04C25CA6" w14:textId="77777777" w:rsidR="00862469" w:rsidRPr="00FC6CCF" w:rsidRDefault="00862469" w:rsidP="00862469">
            <w:pPr>
              <w:widowControl w:val="0"/>
              <w:tabs>
                <w:tab w:val="left" w:pos="144"/>
              </w:tabs>
              <w:jc w:val="center"/>
              <w:rPr>
                <w:rFonts w:ascii="Arial" w:hAnsi="Arial" w:cs="Arial"/>
                <w:sz w:val="20"/>
                <w:szCs w:val="20"/>
              </w:rPr>
            </w:pPr>
            <w:r w:rsidRPr="00FC6CCF">
              <w:rPr>
                <w:rFonts w:ascii="Arial" w:hAnsi="Arial" w:cs="Arial"/>
                <w:sz w:val="20"/>
                <w:szCs w:val="20"/>
              </w:rPr>
              <w:t>On-system</w:t>
            </w:r>
          </w:p>
        </w:tc>
      </w:tr>
      <w:tr w:rsidR="00862469" w:rsidRPr="00685F1C" w14:paraId="202ED0D6" w14:textId="77777777">
        <w:trPr>
          <w:jc w:val="center"/>
        </w:trPr>
        <w:tc>
          <w:tcPr>
            <w:tcW w:w="2073" w:type="dxa"/>
            <w:shd w:val="clear" w:color="auto" w:fill="D6CFCD"/>
            <w:vAlign w:val="center"/>
          </w:tcPr>
          <w:p w14:paraId="6B2F018F" w14:textId="77777777" w:rsidR="00862469" w:rsidRPr="00FC6CCF" w:rsidRDefault="00862469" w:rsidP="00862469">
            <w:pPr>
              <w:widowControl w:val="0"/>
              <w:tabs>
                <w:tab w:val="left" w:pos="144"/>
              </w:tabs>
              <w:rPr>
                <w:rFonts w:ascii="Arial" w:hAnsi="Arial" w:cs="Arial"/>
                <w:b/>
                <w:sz w:val="20"/>
                <w:szCs w:val="20"/>
              </w:rPr>
            </w:pPr>
            <w:r w:rsidRPr="00FC6CCF">
              <w:rPr>
                <w:rFonts w:ascii="Arial" w:hAnsi="Arial" w:cs="Arial"/>
                <w:b/>
                <w:sz w:val="20"/>
                <w:szCs w:val="20"/>
              </w:rPr>
              <w:tab/>
              <w:t>Total</w:t>
            </w:r>
          </w:p>
        </w:tc>
        <w:tc>
          <w:tcPr>
            <w:tcW w:w="1620" w:type="dxa"/>
            <w:shd w:val="clear" w:color="auto" w:fill="D6CFCD"/>
            <w:vAlign w:val="center"/>
          </w:tcPr>
          <w:p w14:paraId="055BACF6" w14:textId="77777777" w:rsidR="00862469" w:rsidRPr="00FC6CCF" w:rsidRDefault="00862469" w:rsidP="00862469">
            <w:pPr>
              <w:widowControl w:val="0"/>
              <w:tabs>
                <w:tab w:val="left" w:pos="144"/>
              </w:tabs>
              <w:jc w:val="center"/>
              <w:rPr>
                <w:rFonts w:ascii="Arial" w:hAnsi="Arial" w:cs="Arial"/>
                <w:b/>
                <w:sz w:val="20"/>
                <w:szCs w:val="20"/>
              </w:rPr>
            </w:pPr>
            <w:r w:rsidRPr="00FC6CCF">
              <w:rPr>
                <w:rFonts w:ascii="Arial" w:hAnsi="Arial" w:cs="Arial"/>
                <w:b/>
                <w:sz w:val="20"/>
                <w:szCs w:val="20"/>
              </w:rPr>
              <w:t>138,940</w:t>
            </w:r>
          </w:p>
        </w:tc>
        <w:tc>
          <w:tcPr>
            <w:tcW w:w="1514" w:type="dxa"/>
            <w:shd w:val="clear" w:color="auto" w:fill="D6CFCD"/>
            <w:vAlign w:val="center"/>
          </w:tcPr>
          <w:p w14:paraId="2906FCF6" w14:textId="77777777" w:rsidR="00862469" w:rsidRPr="00FC6CCF" w:rsidRDefault="00862469" w:rsidP="00862469">
            <w:pPr>
              <w:widowControl w:val="0"/>
              <w:tabs>
                <w:tab w:val="left" w:pos="144"/>
              </w:tabs>
              <w:jc w:val="center"/>
              <w:rPr>
                <w:rFonts w:ascii="Arial" w:hAnsi="Arial" w:cs="Arial"/>
                <w:b/>
                <w:sz w:val="20"/>
                <w:szCs w:val="20"/>
              </w:rPr>
            </w:pPr>
            <w:r w:rsidRPr="00FC6CCF">
              <w:rPr>
                <w:rFonts w:ascii="Arial" w:hAnsi="Arial" w:cs="Arial"/>
                <w:b/>
                <w:sz w:val="20"/>
                <w:szCs w:val="20"/>
              </w:rPr>
              <w:t>19,180</w:t>
            </w:r>
          </w:p>
        </w:tc>
        <w:tc>
          <w:tcPr>
            <w:tcW w:w="1710" w:type="dxa"/>
            <w:shd w:val="clear" w:color="auto" w:fill="D6CFCD"/>
            <w:vAlign w:val="center"/>
          </w:tcPr>
          <w:p w14:paraId="0C232790" w14:textId="77777777" w:rsidR="00862469" w:rsidRPr="00FC6CCF" w:rsidRDefault="00862469" w:rsidP="00862469">
            <w:pPr>
              <w:widowControl w:val="0"/>
              <w:tabs>
                <w:tab w:val="left" w:pos="144"/>
              </w:tabs>
              <w:jc w:val="center"/>
              <w:rPr>
                <w:rFonts w:ascii="Arial" w:hAnsi="Arial" w:cs="Arial"/>
                <w:b/>
                <w:sz w:val="20"/>
                <w:szCs w:val="20"/>
              </w:rPr>
            </w:pPr>
            <w:r w:rsidRPr="00FC6CCF">
              <w:rPr>
                <w:rFonts w:ascii="Arial" w:hAnsi="Arial" w:cs="Arial"/>
                <w:b/>
                <w:sz w:val="20"/>
                <w:szCs w:val="20"/>
              </w:rPr>
              <w:t>2,500</w:t>
            </w:r>
          </w:p>
        </w:tc>
        <w:tc>
          <w:tcPr>
            <w:tcW w:w="1547" w:type="dxa"/>
            <w:shd w:val="clear" w:color="auto" w:fill="D6CFCD"/>
            <w:vAlign w:val="center"/>
          </w:tcPr>
          <w:p w14:paraId="3BB169A6" w14:textId="77777777" w:rsidR="00862469" w:rsidRPr="00FC6CCF" w:rsidRDefault="00862469" w:rsidP="00862469">
            <w:pPr>
              <w:widowControl w:val="0"/>
              <w:tabs>
                <w:tab w:val="left" w:pos="144"/>
              </w:tabs>
              <w:jc w:val="center"/>
              <w:rPr>
                <w:rFonts w:ascii="Arial" w:hAnsi="Arial" w:cs="Arial"/>
                <w:b/>
                <w:sz w:val="20"/>
                <w:szCs w:val="20"/>
              </w:rPr>
            </w:pPr>
          </w:p>
        </w:tc>
      </w:tr>
    </w:tbl>
    <w:p w14:paraId="3F0E58D1" w14:textId="77777777" w:rsidR="00862469" w:rsidRDefault="00862469" w:rsidP="00862469">
      <w:pPr>
        <w:tabs>
          <w:tab w:val="left" w:pos="144"/>
        </w:tabs>
        <w:rPr>
          <w:rFonts w:ascii="Arial" w:hAnsi="Arial"/>
          <w:i/>
          <w:sz w:val="18"/>
          <w:szCs w:val="20"/>
        </w:rPr>
      </w:pPr>
    </w:p>
    <w:p w14:paraId="247210CF" w14:textId="77777777" w:rsidR="00862469" w:rsidRPr="00FA348A" w:rsidRDefault="00862469" w:rsidP="008C3221">
      <w:pPr>
        <w:pStyle w:val="IRPfooter"/>
        <w:rPr>
          <w:sz w:val="20"/>
          <w:szCs w:val="22"/>
        </w:rPr>
      </w:pPr>
      <w:r w:rsidRPr="00FA348A">
        <w:rPr>
          <w:sz w:val="20"/>
          <w:szCs w:val="22"/>
        </w:rPr>
        <w:t>N</w:t>
      </w:r>
      <w:r w:rsidR="0021713B" w:rsidRPr="00FA348A">
        <w:rPr>
          <w:sz w:val="20"/>
          <w:szCs w:val="22"/>
        </w:rPr>
        <w:t>OTES</w:t>
      </w:r>
      <w:r w:rsidRPr="00FA348A">
        <w:rPr>
          <w:sz w:val="20"/>
          <w:szCs w:val="22"/>
        </w:rPr>
        <w:t xml:space="preserve"> </w:t>
      </w:r>
    </w:p>
    <w:p w14:paraId="46FBA898" w14:textId="77777777" w:rsidR="00862469" w:rsidRPr="00FA348A" w:rsidRDefault="00862469" w:rsidP="008C3221">
      <w:pPr>
        <w:pStyle w:val="IRPfooter"/>
        <w:rPr>
          <w:sz w:val="20"/>
          <w:szCs w:val="22"/>
        </w:rPr>
      </w:pPr>
      <w:r w:rsidRPr="00FA348A">
        <w:rPr>
          <w:sz w:val="20"/>
          <w:szCs w:val="22"/>
        </w:rPr>
        <w:t xml:space="preserve">1 </w:t>
      </w:r>
      <w:proofErr w:type="spellStart"/>
      <w:r w:rsidRPr="00FA348A">
        <w:rPr>
          <w:sz w:val="20"/>
          <w:szCs w:val="22"/>
        </w:rPr>
        <w:t>Swarr</w:t>
      </w:r>
      <w:proofErr w:type="spellEnd"/>
      <w:r w:rsidRPr="00FA348A">
        <w:rPr>
          <w:sz w:val="20"/>
          <w:szCs w:val="22"/>
        </w:rPr>
        <w:t xml:space="preserve"> holds 1.24 million gallons. At a refill rate of 111 gallons per minute, it takes 7.7 days to refill, or 16,680 </w:t>
      </w:r>
      <w:proofErr w:type="spellStart"/>
      <w:r w:rsidRPr="00FA348A">
        <w:rPr>
          <w:sz w:val="20"/>
          <w:szCs w:val="22"/>
        </w:rPr>
        <w:t>Dth</w:t>
      </w:r>
      <w:proofErr w:type="spellEnd"/>
      <w:r w:rsidRPr="00FA348A">
        <w:rPr>
          <w:sz w:val="20"/>
          <w:szCs w:val="22"/>
        </w:rPr>
        <w:t xml:space="preserve"> per day.  </w:t>
      </w:r>
    </w:p>
    <w:p w14:paraId="3F7FAF6D" w14:textId="77777777" w:rsidR="00862469" w:rsidRPr="00FA348A" w:rsidRDefault="00862469" w:rsidP="008C3221">
      <w:pPr>
        <w:pStyle w:val="IRPfooter"/>
        <w:rPr>
          <w:rFonts w:ascii="Arial" w:hAnsi="Arial"/>
          <w:sz w:val="20"/>
          <w:szCs w:val="22"/>
        </w:rPr>
      </w:pPr>
      <w:r w:rsidRPr="00FA348A">
        <w:rPr>
          <w:sz w:val="20"/>
          <w:szCs w:val="22"/>
        </w:rPr>
        <w:t xml:space="preserve">2 </w:t>
      </w:r>
      <w:proofErr w:type="spellStart"/>
      <w:r w:rsidRPr="00FA348A">
        <w:rPr>
          <w:sz w:val="20"/>
          <w:szCs w:val="22"/>
        </w:rPr>
        <w:t>Swarr</w:t>
      </w:r>
      <w:proofErr w:type="spellEnd"/>
      <w:r w:rsidRPr="00FA348A">
        <w:rPr>
          <w:sz w:val="20"/>
          <w:szCs w:val="22"/>
        </w:rPr>
        <w:t xml:space="preserve"> upgrade is anticipated to b</w:t>
      </w:r>
      <w:r w:rsidR="0021713B" w:rsidRPr="00FA348A">
        <w:rPr>
          <w:sz w:val="20"/>
          <w:szCs w:val="22"/>
        </w:rPr>
        <w:t>e complete for winter 2016-2017</w:t>
      </w:r>
      <w:r w:rsidR="00321C5D">
        <w:rPr>
          <w:sz w:val="20"/>
          <w:szCs w:val="22"/>
        </w:rPr>
        <w:t xml:space="preserve"> </w:t>
      </w:r>
      <w:r w:rsidRPr="00FA348A">
        <w:rPr>
          <w:sz w:val="20"/>
          <w:szCs w:val="22"/>
        </w:rPr>
        <w:t>operation</w:t>
      </w:r>
      <w:r w:rsidR="00321C5D">
        <w:rPr>
          <w:sz w:val="20"/>
          <w:szCs w:val="22"/>
        </w:rPr>
        <w:t>s</w:t>
      </w:r>
      <w:r w:rsidRPr="00FA348A">
        <w:rPr>
          <w:sz w:val="20"/>
          <w:szCs w:val="22"/>
        </w:rPr>
        <w:t>.</w:t>
      </w:r>
    </w:p>
    <w:p w14:paraId="2079CB21" w14:textId="77777777" w:rsidR="00862469" w:rsidRPr="00891D84" w:rsidRDefault="00862469" w:rsidP="0021713B">
      <w:pPr>
        <w:pStyle w:val="IRPfooter"/>
        <w:rPr>
          <w:rFonts w:ascii="Arial" w:hAnsi="Arial"/>
          <w:strike/>
          <w:sz w:val="20"/>
          <w:szCs w:val="20"/>
        </w:rPr>
      </w:pPr>
    </w:p>
    <w:p w14:paraId="7B72855B" w14:textId="77777777" w:rsidR="00862469" w:rsidRPr="00891D84" w:rsidRDefault="0021713B" w:rsidP="0021713B">
      <w:pPr>
        <w:pStyle w:val="IRPsanstext"/>
        <w:rPr>
          <w:b/>
          <w:sz w:val="28"/>
        </w:rPr>
      </w:pPr>
      <w:r>
        <w:rPr>
          <w:b/>
          <w:color w:val="3366FF"/>
          <w:sz w:val="28"/>
        </w:rPr>
        <w:br/>
      </w:r>
      <w:r w:rsidR="00862469" w:rsidRPr="0021713B">
        <w:rPr>
          <w:b/>
          <w:color w:val="006C71"/>
          <w:sz w:val="28"/>
        </w:rPr>
        <w:t>Gig Harbor LNG.</w:t>
      </w:r>
      <w:r w:rsidR="00862469" w:rsidRPr="0010564D">
        <w:rPr>
          <w:b/>
          <w:color w:val="3366FF"/>
          <w:sz w:val="28"/>
        </w:rPr>
        <w:t xml:space="preserve">  </w:t>
      </w:r>
      <w:r w:rsidR="00862469">
        <w:t>Located i</w:t>
      </w:r>
      <w:r w:rsidR="00862469" w:rsidRPr="00891D84">
        <w:t>n the Gig Harbor area</w:t>
      </w:r>
      <w:r w:rsidR="00862469">
        <w:t xml:space="preserve"> of Washington </w:t>
      </w:r>
      <w:proofErr w:type="gramStart"/>
      <w:r w:rsidR="00862469">
        <w:t>state</w:t>
      </w:r>
      <w:r w:rsidR="00862469" w:rsidRPr="00891D84">
        <w:t>,</w:t>
      </w:r>
      <w:proofErr w:type="gramEnd"/>
      <w:r w:rsidR="00862469" w:rsidRPr="00891D84">
        <w:t xml:space="preserve"> </w:t>
      </w:r>
      <w:r w:rsidR="00862469">
        <w:t>this</w:t>
      </w:r>
      <w:r w:rsidR="00862469" w:rsidRPr="00891D84">
        <w:t xml:space="preserve"> satellite LNG facility ensures sufficient supply during peak weather events for a remote but growing region of </w:t>
      </w:r>
      <w:r w:rsidR="00B67636">
        <w:t>PSE’s</w:t>
      </w:r>
      <w:r w:rsidR="00B67636" w:rsidRPr="00891D84">
        <w:t xml:space="preserve"> </w:t>
      </w:r>
      <w:r w:rsidR="00862469" w:rsidRPr="00891D84">
        <w:t>distribution system. The Gi</w:t>
      </w:r>
      <w:r w:rsidR="00862469">
        <w:t>g Harbor plant rec</w:t>
      </w:r>
      <w:r w:rsidR="00585985">
        <w:t>ei</w:t>
      </w:r>
      <w:r w:rsidR="00862469">
        <w:t>ves, stores</w:t>
      </w:r>
      <w:r w:rsidR="00862469" w:rsidRPr="00891D84">
        <w:t xml:space="preserve"> and vaporizes LNG that has been liquefied at other LNG facilities</w:t>
      </w:r>
      <w:r w:rsidR="00862469">
        <w:t>.  I</w:t>
      </w:r>
      <w:r w:rsidR="00862469" w:rsidRPr="00891D84">
        <w:t xml:space="preserve">t represents an incremental supply source and </w:t>
      </w:r>
      <w:r w:rsidR="00862469">
        <w:t xml:space="preserve">its 2.5 </w:t>
      </w:r>
      <w:proofErr w:type="spellStart"/>
      <w:r w:rsidR="00862469">
        <w:t>MDth</w:t>
      </w:r>
      <w:proofErr w:type="spellEnd"/>
      <w:r w:rsidR="00862469">
        <w:t xml:space="preserve"> per day capacity </w:t>
      </w:r>
      <w:r w:rsidR="00862469" w:rsidRPr="00891D84">
        <w:t>is therefore included in the peak day resource stack. Although the facility directly benefits only areas adjacent to the Gig Harbor plant, its operation indirectly benefits other areas in PSE’s service territory since it allows gas supply from pipeline interconnects or other storage to be diverted elsewhere.</w:t>
      </w:r>
    </w:p>
    <w:p w14:paraId="7372E220" w14:textId="77777777" w:rsidR="00862469" w:rsidRPr="00891D84" w:rsidRDefault="00862469" w:rsidP="0021713B">
      <w:pPr>
        <w:pStyle w:val="IRPsanstext"/>
      </w:pPr>
    </w:p>
    <w:p w14:paraId="1959DF63" w14:textId="77777777" w:rsidR="004C325D" w:rsidRDefault="00862469">
      <w:pPr>
        <w:pStyle w:val="IRPsanstext"/>
        <w:rPr>
          <w:strike/>
        </w:rPr>
      </w:pPr>
      <w:proofErr w:type="spellStart"/>
      <w:r w:rsidRPr="0021713B">
        <w:rPr>
          <w:b/>
          <w:color w:val="006C71"/>
          <w:sz w:val="28"/>
        </w:rPr>
        <w:t>Swarr</w:t>
      </w:r>
      <w:proofErr w:type="spellEnd"/>
      <w:r w:rsidRPr="0021713B">
        <w:rPr>
          <w:b/>
          <w:color w:val="006C71"/>
          <w:sz w:val="28"/>
        </w:rPr>
        <w:t xml:space="preserve"> LP-AIR.</w:t>
      </w:r>
      <w:r w:rsidRPr="0010564D">
        <w:rPr>
          <w:b/>
          <w:color w:val="3366FF"/>
          <w:sz w:val="28"/>
        </w:rPr>
        <w:t xml:space="preserve">  </w:t>
      </w:r>
      <w:r w:rsidRPr="00891D84">
        <w:t xml:space="preserve">The </w:t>
      </w:r>
      <w:proofErr w:type="spellStart"/>
      <w:r w:rsidRPr="00891D84">
        <w:t>Swarr</w:t>
      </w:r>
      <w:proofErr w:type="spellEnd"/>
      <w:r w:rsidRPr="00891D84">
        <w:t xml:space="preserve"> LP-Air facility has a net storage capacity of 128,</w:t>
      </w:r>
      <w:r>
        <w:t xml:space="preserve">440 </w:t>
      </w:r>
      <w:proofErr w:type="spellStart"/>
      <w:r>
        <w:t>Dth</w:t>
      </w:r>
      <w:proofErr w:type="spellEnd"/>
      <w:r>
        <w:t xml:space="preserve"> natural gas equivalents</w:t>
      </w:r>
      <w:r w:rsidRPr="00891D84">
        <w:t xml:space="preserve"> and can produce the equivalent of approximately 10,000 </w:t>
      </w:r>
      <w:proofErr w:type="spellStart"/>
      <w:r w:rsidRPr="00891D84">
        <w:t>Dth</w:t>
      </w:r>
      <w:proofErr w:type="spellEnd"/>
      <w:r w:rsidRPr="00891D84">
        <w:t xml:space="preserve"> per day. </w:t>
      </w:r>
      <w:proofErr w:type="spellStart"/>
      <w:r w:rsidR="008A0F01" w:rsidRPr="00D46869">
        <w:t>Swarr</w:t>
      </w:r>
      <w:proofErr w:type="spellEnd"/>
      <w:r w:rsidR="008A0F01" w:rsidRPr="00D46869">
        <w:t xml:space="preserve"> is a propane-air injection facility on PSE’s gas distribution system that operates as a needle-peaking facility. Propane and air are combined in a prescribed ratio to ensure the mixture injected into the distribution system maintains the same heat content as natural gas. </w:t>
      </w:r>
      <w:r w:rsidR="004A26B6">
        <w:t>P</w:t>
      </w:r>
      <w:r>
        <w:t xml:space="preserve">reliminary work necessary to upgrade the facility’s </w:t>
      </w:r>
      <w:r w:rsidRPr="00891D84">
        <w:t xml:space="preserve">environmental safety and reliability systems and increase production capacity to 30,000 </w:t>
      </w:r>
      <w:proofErr w:type="spellStart"/>
      <w:r w:rsidRPr="00891D84">
        <w:t>Dth</w:t>
      </w:r>
      <w:proofErr w:type="spellEnd"/>
      <w:r w:rsidRPr="00891D84">
        <w:t xml:space="preserve"> per day</w:t>
      </w:r>
      <w:r w:rsidRPr="00CE01CA">
        <w:t xml:space="preserve"> </w:t>
      </w:r>
      <w:r>
        <w:t>is under way.</w:t>
      </w:r>
      <w:r w:rsidR="00310D80">
        <w:t xml:space="preserve"> </w:t>
      </w:r>
      <w:r w:rsidRPr="00891D84">
        <w:t xml:space="preserve">The upgrade is </w:t>
      </w:r>
      <w:r>
        <w:t xml:space="preserve">evaluated as </w:t>
      </w:r>
      <w:r w:rsidRPr="00891D84">
        <w:t>a resource alternative for this IRP</w:t>
      </w:r>
      <w:r w:rsidR="00321C5D">
        <w:t xml:space="preserve"> (see Combination #</w:t>
      </w:r>
      <w:r w:rsidR="00961689">
        <w:t xml:space="preserve">7 </w:t>
      </w:r>
      <w:r w:rsidR="00321C5D">
        <w:t xml:space="preserve">– </w:t>
      </w:r>
      <w:proofErr w:type="spellStart"/>
      <w:r w:rsidR="00321C5D">
        <w:t>Swarr</w:t>
      </w:r>
      <w:proofErr w:type="spellEnd"/>
      <w:r w:rsidR="00321C5D">
        <w:t>)</w:t>
      </w:r>
      <w:r>
        <w:t>, and is assumed to be available for the 2016-2017 winter, beginning November 2016</w:t>
      </w:r>
      <w:r w:rsidRPr="00891D84">
        <w:t xml:space="preserve">. </w:t>
      </w:r>
      <w:r w:rsidR="008A0F01">
        <w:t xml:space="preserve">Since </w:t>
      </w:r>
      <w:proofErr w:type="spellStart"/>
      <w:r w:rsidRPr="00891D84">
        <w:t>Swarr</w:t>
      </w:r>
      <w:proofErr w:type="spellEnd"/>
      <w:r w:rsidRPr="00891D84">
        <w:t xml:space="preserve"> connects to PSE’s distribution system, it requires no upstream pipeline capacity.</w:t>
      </w:r>
      <w:r w:rsidR="0021713B">
        <w:rPr>
          <w:strike/>
        </w:rPr>
        <w:br w:type="page"/>
      </w:r>
    </w:p>
    <w:p w14:paraId="27DB92E3" w14:textId="77777777" w:rsidR="00862469" w:rsidRPr="00891D84" w:rsidRDefault="00862469" w:rsidP="0021713B">
      <w:pPr>
        <w:pStyle w:val="IRPsanstext"/>
      </w:pPr>
    </w:p>
    <w:p w14:paraId="2D9ED19A" w14:textId="77777777" w:rsidR="00862469" w:rsidRPr="0010564D" w:rsidRDefault="00862469" w:rsidP="0021713B">
      <w:pPr>
        <w:pStyle w:val="IRPsanstext"/>
        <w:rPr>
          <w:rFonts w:ascii="Helvetica" w:hAnsi="Helvetica" w:cs="Arial"/>
          <w:bCs/>
          <w:iCs/>
          <w:sz w:val="32"/>
        </w:rPr>
      </w:pPr>
      <w:r w:rsidRPr="0010564D">
        <w:rPr>
          <w:rFonts w:ascii="Helvetica" w:hAnsi="Helvetica" w:cs="Arial"/>
          <w:bCs/>
          <w:iCs/>
          <w:sz w:val="32"/>
        </w:rPr>
        <w:t xml:space="preserve">Existing Gas Supplies </w:t>
      </w:r>
    </w:p>
    <w:p w14:paraId="40DBD132" w14:textId="77777777" w:rsidR="0021713B" w:rsidRDefault="0021713B" w:rsidP="0021713B">
      <w:pPr>
        <w:pStyle w:val="IRPsanstext"/>
      </w:pPr>
    </w:p>
    <w:p w14:paraId="4BF5333F" w14:textId="77777777" w:rsidR="00862469" w:rsidRPr="00891D84" w:rsidRDefault="005F0D49" w:rsidP="0021713B">
      <w:pPr>
        <w:pStyle w:val="IRPsanstext"/>
      </w:pPr>
      <w:r>
        <w:t xml:space="preserve">Advances in shale drilling </w:t>
      </w:r>
      <w:r w:rsidR="00FE2597">
        <w:t xml:space="preserve">have </w:t>
      </w:r>
      <w:r>
        <w:t xml:space="preserve">expanded the economically feasible natural gas resource base and </w:t>
      </w:r>
      <w:r w:rsidR="00862469" w:rsidRPr="00891D84">
        <w:t>changed the picture with regard to gas supplies. Not only has development of shale beds in British Columbia</w:t>
      </w:r>
      <w:r w:rsidR="00862469">
        <w:t>, Canada</w:t>
      </w:r>
      <w:r w:rsidR="00862469" w:rsidRPr="00891D84">
        <w:t xml:space="preserve"> directly increased the availability of supplies in the West, </w:t>
      </w:r>
      <w:proofErr w:type="gramStart"/>
      <w:r w:rsidR="00862469" w:rsidRPr="00891D84">
        <w:t>but</w:t>
      </w:r>
      <w:proofErr w:type="gramEnd"/>
      <w:r w:rsidR="00862469" w:rsidRPr="00891D84">
        <w:t xml:space="preserve"> the east coast no longer relies so heavily on </w:t>
      </w:r>
      <w:r w:rsidR="00862469">
        <w:t>w</w:t>
      </w:r>
      <w:r w:rsidR="00862469" w:rsidRPr="00891D84">
        <w:t>estern supplies now that shale deposits in Pennsylvania and West Virginia are in production.</w:t>
      </w:r>
    </w:p>
    <w:p w14:paraId="18BBC7B0" w14:textId="77777777" w:rsidR="00862469" w:rsidRPr="00891D84" w:rsidRDefault="00862469" w:rsidP="0021713B">
      <w:pPr>
        <w:pStyle w:val="IRPsanstext"/>
        <w:rPr>
          <w:sz w:val="32"/>
        </w:rPr>
      </w:pPr>
    </w:p>
    <w:p w14:paraId="76E86F92" w14:textId="77777777" w:rsidR="00862469" w:rsidRPr="00891D84" w:rsidRDefault="00862469" w:rsidP="0021713B">
      <w:pPr>
        <w:pStyle w:val="IRPsanstext"/>
      </w:pPr>
      <w:r w:rsidRPr="00891D84">
        <w:t xml:space="preserve">Within the limits of its transportation and storage network, PSE maintains a policy of sourcing gas supplies from a variety of supply basins. Avoiding concentration in one market helps to increase reliability. We can also mitigate price volatility to a certain extent; the company’s capacity rights on NWP provide </w:t>
      </w:r>
      <w:r w:rsidR="00405338">
        <w:t xml:space="preserve">some </w:t>
      </w:r>
      <w:r w:rsidRPr="00891D84">
        <w:t>flexibility to buy from the lowest-cost basin</w:t>
      </w:r>
      <w:r w:rsidR="00405338">
        <w:t>, with certain limitations based on the primary capacity rights from each basin</w:t>
      </w:r>
      <w:r w:rsidRPr="00891D84">
        <w:t xml:space="preserve">. While </w:t>
      </w:r>
      <w:r w:rsidR="00B67636">
        <w:t>PSE is</w:t>
      </w:r>
      <w:r w:rsidR="00B67636" w:rsidRPr="00B44DE2">
        <w:t xml:space="preserve"> </w:t>
      </w:r>
      <w:r w:rsidRPr="00891D84">
        <w:t xml:space="preserve">heavily dependent on supplies from northern British Columbia, </w:t>
      </w:r>
      <w:r w:rsidR="00B67636">
        <w:t>it</w:t>
      </w:r>
      <w:r w:rsidR="00B67636" w:rsidRPr="00891D84">
        <w:t xml:space="preserve"> </w:t>
      </w:r>
      <w:r w:rsidRPr="00891D84">
        <w:t>also maintain</w:t>
      </w:r>
      <w:r w:rsidR="00B67636">
        <w:t>s</w:t>
      </w:r>
      <w:r w:rsidRPr="00891D84">
        <w:t xml:space="preserve"> pipeline capacity access to producing regions in </w:t>
      </w:r>
      <w:r>
        <w:t>the Rockies, the San Juan basin</w:t>
      </w:r>
      <w:r w:rsidRPr="00891D84">
        <w:t xml:space="preserve"> and Alberta. </w:t>
      </w:r>
    </w:p>
    <w:p w14:paraId="4E0D1C90" w14:textId="77777777" w:rsidR="00862469" w:rsidRPr="00891D84" w:rsidRDefault="00862469" w:rsidP="0021713B">
      <w:pPr>
        <w:pStyle w:val="IRPsanstext"/>
        <w:rPr>
          <w:sz w:val="32"/>
        </w:rPr>
      </w:pPr>
    </w:p>
    <w:p w14:paraId="680DA923" w14:textId="77777777" w:rsidR="00862469" w:rsidRPr="00891D84" w:rsidRDefault="00862469" w:rsidP="0021713B">
      <w:pPr>
        <w:pStyle w:val="IRPsanstext"/>
      </w:pPr>
      <w:r w:rsidRPr="00891D84">
        <w:t xml:space="preserve">Price and delivery terms tend to be very similar across supply basins, though shorter-term prices at individual supply hubs may “separate” due to pipeline capacity shortages. This separation cycle can last several years, but should be alleviated when additional pipeline infrastructure is constructed. </w:t>
      </w:r>
      <w:r w:rsidR="00B67636">
        <w:t>PSE</w:t>
      </w:r>
      <w:r w:rsidR="00B67636" w:rsidRPr="00891D84">
        <w:t xml:space="preserve"> </w:t>
      </w:r>
      <w:r w:rsidRPr="00891D84">
        <w:t>expect</w:t>
      </w:r>
      <w:r w:rsidR="00B67636">
        <w:t>s</w:t>
      </w:r>
      <w:r w:rsidRPr="00891D84">
        <w:t xml:space="preserve"> generally comparable pricing across regional supply basins over the 20-year planning horizon, with differentials primarily driven by differences in the cost of transportation</w:t>
      </w:r>
      <w:r w:rsidR="00321C5D">
        <w:t xml:space="preserve"> and </w:t>
      </w:r>
      <w:r w:rsidR="001843AA">
        <w:t>forecast demand increase</w:t>
      </w:r>
      <w:r w:rsidRPr="00891D84">
        <w:t xml:space="preserve">. </w:t>
      </w:r>
    </w:p>
    <w:p w14:paraId="6F1E81F9" w14:textId="77777777" w:rsidR="00862469" w:rsidRPr="00891D84" w:rsidRDefault="00862469" w:rsidP="0021713B">
      <w:pPr>
        <w:pStyle w:val="IRPsanstext"/>
      </w:pPr>
    </w:p>
    <w:p w14:paraId="006D1AA2" w14:textId="77777777" w:rsidR="00862469" w:rsidRPr="00891D84" w:rsidRDefault="00B67636" w:rsidP="0021713B">
      <w:pPr>
        <w:pStyle w:val="IRPsanstext"/>
      </w:pPr>
      <w:r>
        <w:t>PSE has</w:t>
      </w:r>
      <w:r w:rsidR="00862469" w:rsidRPr="00891D84">
        <w:t xml:space="preserve"> always purchased our supply at market hubs</w:t>
      </w:r>
      <w:r w:rsidR="00862469" w:rsidRPr="008D1424">
        <w:t>. In</w:t>
      </w:r>
      <w:r w:rsidR="00862469" w:rsidRPr="00891D84">
        <w:t xml:space="preserve"> the Rockies and San Juan basin, there are various transportation receipt points, including Opal and Clay Basin; but alternate points, such as gathering system and upstream pipeline interconnects with NWP, allow some purchases directly from producers as well as marketers. In fact, PSE has a number of supply arrangements with major producers in the Rockies to purchase supply near the point of production. Adding upstream pipeline transportati</w:t>
      </w:r>
      <w:r w:rsidR="00862469">
        <w:t xml:space="preserve">on capacity on </w:t>
      </w:r>
      <w:proofErr w:type="spellStart"/>
      <w:r w:rsidR="00862469">
        <w:t>Westcoast</w:t>
      </w:r>
      <w:proofErr w:type="spellEnd"/>
      <w:r w:rsidR="00862469">
        <w:t xml:space="preserve">, </w:t>
      </w:r>
      <w:r w:rsidR="00321C5D">
        <w:t xml:space="preserve">TransCanada’s </w:t>
      </w:r>
      <w:r w:rsidR="00862469">
        <w:t>TC-AB</w:t>
      </w:r>
      <w:r w:rsidR="00862469" w:rsidRPr="00891D84">
        <w:t xml:space="preserve"> </w:t>
      </w:r>
      <w:r w:rsidR="00321C5D">
        <w:t xml:space="preserve">Nova pipeline </w:t>
      </w:r>
      <w:r w:rsidR="00862469" w:rsidRPr="00891D84">
        <w:t xml:space="preserve">and </w:t>
      </w:r>
      <w:r w:rsidR="00321C5D">
        <w:t xml:space="preserve">TransCanada’s </w:t>
      </w:r>
      <w:r w:rsidR="00862469" w:rsidRPr="00891D84">
        <w:t>TC-BC</w:t>
      </w:r>
      <w:r w:rsidR="00321C5D">
        <w:t xml:space="preserve"> Foothills pipeline</w:t>
      </w:r>
      <w:r w:rsidR="00862469" w:rsidRPr="00891D84">
        <w:t xml:space="preserve"> to the company’s portfolio has increased </w:t>
      </w:r>
      <w:r>
        <w:t>PSE’s</w:t>
      </w:r>
      <w:r w:rsidRPr="00891D84">
        <w:t xml:space="preserve"> </w:t>
      </w:r>
      <w:r w:rsidR="00862469" w:rsidRPr="00891D84">
        <w:t xml:space="preserve">ability to access supply nearer producing areas in Canada as well. </w:t>
      </w:r>
    </w:p>
    <w:p w14:paraId="74A35EFD" w14:textId="77777777" w:rsidR="0021713B" w:rsidRDefault="0021713B">
      <w:pPr>
        <w:rPr>
          <w:rFonts w:ascii="Arial" w:hAnsi="Arial"/>
          <w:sz w:val="20"/>
          <w:szCs w:val="20"/>
        </w:rPr>
      </w:pPr>
      <w:r>
        <w:br w:type="page"/>
      </w:r>
    </w:p>
    <w:p w14:paraId="3A7FFB36" w14:textId="77777777" w:rsidR="00862469" w:rsidRPr="00891D84" w:rsidRDefault="00862469" w:rsidP="0021713B">
      <w:pPr>
        <w:pStyle w:val="IRPsanstext"/>
      </w:pPr>
    </w:p>
    <w:p w14:paraId="5AD509D4" w14:textId="77777777" w:rsidR="00862469" w:rsidRPr="00891D84" w:rsidRDefault="00862469" w:rsidP="0021713B">
      <w:pPr>
        <w:pStyle w:val="IRPsanstext"/>
      </w:pPr>
      <w:r w:rsidRPr="00891D84">
        <w:t xml:space="preserve">Gas supply contracts tend to have a shorter duration than pipeline transportation contracts, with terms to ensure supplier performance. </w:t>
      </w:r>
      <w:r w:rsidR="00B67636">
        <w:t>PSE</w:t>
      </w:r>
      <w:r w:rsidR="00B67636" w:rsidRPr="00891D84">
        <w:t xml:space="preserve"> </w:t>
      </w:r>
      <w:r w:rsidRPr="00891D84">
        <w:t>meet</w:t>
      </w:r>
      <w:r w:rsidR="00B67636">
        <w:t>s</w:t>
      </w:r>
      <w:r w:rsidRPr="00891D84">
        <w:t xml:space="preserve"> average loads with a mix of long-term (more than two years) and short-term (two years or less) gas supply contracts. Long-term </w:t>
      </w:r>
      <w:r>
        <w:t xml:space="preserve">contracts typically supply </w:t>
      </w:r>
      <w:proofErr w:type="spellStart"/>
      <w:r>
        <w:t>base</w:t>
      </w:r>
      <w:r w:rsidRPr="00891D84">
        <w:t>load</w:t>
      </w:r>
      <w:proofErr w:type="spellEnd"/>
      <w:r w:rsidRPr="00891D84">
        <w:t xml:space="preserve"> needs and are delivered at a constant daily rate over the contract period. </w:t>
      </w:r>
      <w:r w:rsidR="00B67636">
        <w:t>PSE</w:t>
      </w:r>
      <w:r w:rsidR="00B67636" w:rsidRPr="00891D84">
        <w:t xml:space="preserve"> </w:t>
      </w:r>
      <w:r>
        <w:t>also contract</w:t>
      </w:r>
      <w:r w:rsidR="00B67636">
        <w:t>s</w:t>
      </w:r>
      <w:r>
        <w:t xml:space="preserve"> for seasonal </w:t>
      </w:r>
      <w:proofErr w:type="spellStart"/>
      <w:r>
        <w:t>base</w:t>
      </w:r>
      <w:r w:rsidRPr="00891D84">
        <w:t>load</w:t>
      </w:r>
      <w:proofErr w:type="spellEnd"/>
      <w:r w:rsidRPr="00891D84">
        <w:t xml:space="preserve"> firm supply, typically for the winter months</w:t>
      </w:r>
      <w:r w:rsidR="000E6E57">
        <w:t xml:space="preserve"> November through March</w:t>
      </w:r>
      <w:r w:rsidRPr="00891D84">
        <w:t>. Near-te</w:t>
      </w:r>
      <w:r>
        <w:t xml:space="preserve">rm transactions supplement </w:t>
      </w:r>
      <w:proofErr w:type="spellStart"/>
      <w:r>
        <w:t>base</w:t>
      </w:r>
      <w:r w:rsidRPr="00891D84">
        <w:t>load</w:t>
      </w:r>
      <w:proofErr w:type="spellEnd"/>
      <w:r w:rsidRPr="00891D84">
        <w:t xml:space="preserve"> transactions, particularly for </w:t>
      </w:r>
      <w:r w:rsidR="000E6E57">
        <w:t>the winter months</w:t>
      </w:r>
      <w:r w:rsidRPr="00891D84">
        <w:t xml:space="preserve">; </w:t>
      </w:r>
      <w:r w:rsidR="00B67636">
        <w:t>PSE</w:t>
      </w:r>
      <w:r w:rsidR="00B67636" w:rsidRPr="00891D84">
        <w:t xml:space="preserve"> </w:t>
      </w:r>
      <w:r w:rsidRPr="00891D84">
        <w:t>estimate</w:t>
      </w:r>
      <w:r w:rsidR="00B67636">
        <w:t>s</w:t>
      </w:r>
      <w:r w:rsidRPr="00891D84">
        <w:t xml:space="preserve"> average load requirements for upcoming months and enter into month-long transactions to balance load. PSE balances daily positions using storage from Jackson Prairie and C</w:t>
      </w:r>
      <w:r>
        <w:t>lay Basin, day-ahead purchases</w:t>
      </w:r>
      <w:r w:rsidRPr="00891D84">
        <w:t xml:space="preserve"> and off-system sales transactions, and balance</w:t>
      </w:r>
      <w:r w:rsidR="00B67636">
        <w:t>s</w:t>
      </w:r>
      <w:r w:rsidRPr="00891D84">
        <w:t xml:space="preserve"> intra-day positions using Jackson Prairie. PSE </w:t>
      </w:r>
      <w:r w:rsidR="002F6C37">
        <w:t>continuously</w:t>
      </w:r>
      <w:r w:rsidRPr="00891D84">
        <w:t xml:space="preserve"> monitor</w:t>
      </w:r>
      <w:r w:rsidR="002F6C37">
        <w:t>s</w:t>
      </w:r>
      <w:r w:rsidRPr="00891D84">
        <w:t xml:space="preserve"> gas markets to identify trends and opportunities to fine-tune our contracting strategies. </w:t>
      </w:r>
    </w:p>
    <w:p w14:paraId="39E6E13C" w14:textId="77777777" w:rsidR="00862469" w:rsidRPr="00891D84" w:rsidRDefault="00862469" w:rsidP="0021713B">
      <w:pPr>
        <w:pStyle w:val="IRPsanstext"/>
      </w:pPr>
    </w:p>
    <w:p w14:paraId="695B7EC1" w14:textId="77777777" w:rsidR="00862469" w:rsidRPr="00891D84" w:rsidRDefault="00862469" w:rsidP="0021713B">
      <w:pPr>
        <w:pStyle w:val="IRPsanstext"/>
      </w:pPr>
      <w:r w:rsidRPr="00891D84">
        <w:t xml:space="preserve">PSE’s </w:t>
      </w:r>
      <w:r>
        <w:t xml:space="preserve">customer demand is highly weather </w:t>
      </w:r>
      <w:r w:rsidRPr="00891D84">
        <w:t xml:space="preserve">dependent and therefore seasonal in nature. </w:t>
      </w:r>
      <w:r w:rsidR="00B67636">
        <w:t>PSE’s</w:t>
      </w:r>
      <w:r w:rsidR="00B67636" w:rsidRPr="00891D84">
        <w:t xml:space="preserve"> </w:t>
      </w:r>
      <w:r w:rsidRPr="00891D84">
        <w:t xml:space="preserve">general policy is to maintain </w:t>
      </w:r>
      <w:r w:rsidR="00504B9A">
        <w:t xml:space="preserve">longer-term </w:t>
      </w:r>
      <w:r w:rsidRPr="00891D84">
        <w:t>firm supply commitments equal to approximately 50 percent of expected seasonal demand, including assumed storage injections in summer and net of assumed storage withdrawals in winter</w:t>
      </w:r>
      <w:r w:rsidR="00504B9A">
        <w:t>; that percentage grows as we move closer to the delivery month and day</w:t>
      </w:r>
      <w:r w:rsidRPr="00891D84">
        <w:t>.</w:t>
      </w:r>
      <w:r>
        <w:t xml:space="preserve"> </w:t>
      </w:r>
    </w:p>
    <w:p w14:paraId="761AA8A6" w14:textId="77777777" w:rsidR="0021713B" w:rsidRDefault="0021713B">
      <w:pPr>
        <w:rPr>
          <w:rFonts w:ascii="Arial" w:hAnsi="Arial"/>
          <w:sz w:val="20"/>
          <w:szCs w:val="20"/>
        </w:rPr>
      </w:pPr>
      <w:r>
        <w:br w:type="page"/>
      </w:r>
    </w:p>
    <w:p w14:paraId="77C4CFC7" w14:textId="77777777" w:rsidR="00862469" w:rsidRPr="00891D84" w:rsidRDefault="00862469" w:rsidP="0021713B">
      <w:pPr>
        <w:pStyle w:val="IRPsanstext"/>
      </w:pPr>
    </w:p>
    <w:p w14:paraId="5463FFA6" w14:textId="77777777" w:rsidR="00862469" w:rsidRPr="008B33B7" w:rsidRDefault="00862469" w:rsidP="0021713B">
      <w:pPr>
        <w:pStyle w:val="IRPsanstext"/>
        <w:rPr>
          <w:b/>
          <w:sz w:val="32"/>
          <w:szCs w:val="32"/>
        </w:rPr>
      </w:pPr>
      <w:r w:rsidRPr="008B33B7">
        <w:rPr>
          <w:sz w:val="32"/>
          <w:szCs w:val="32"/>
        </w:rPr>
        <w:t>Existing Demand-side Resources</w:t>
      </w:r>
    </w:p>
    <w:p w14:paraId="1B5374F9" w14:textId="77777777" w:rsidR="00862469" w:rsidRPr="00891D84" w:rsidRDefault="00862469" w:rsidP="0021713B">
      <w:pPr>
        <w:pStyle w:val="IRPsanstext"/>
      </w:pPr>
    </w:p>
    <w:p w14:paraId="6BBB3CFC" w14:textId="77777777" w:rsidR="00862469" w:rsidRDefault="00862469" w:rsidP="0021713B">
      <w:pPr>
        <w:pStyle w:val="IRPsanstext"/>
      </w:pPr>
      <w:r>
        <w:t>PSE has provided demand-side resources since 1993.</w:t>
      </w:r>
      <w:r>
        <w:rPr>
          <w:rStyle w:val="FootnoteReference"/>
        </w:rPr>
        <w:footnoteReference w:id="4"/>
      </w:r>
      <w:r>
        <w:t xml:space="preserve"> These</w:t>
      </w:r>
      <w:r w:rsidRPr="00651D7E">
        <w:t xml:space="preserve"> energy efficiency</w:t>
      </w:r>
      <w:r>
        <w:t xml:space="preserve"> programs operate in accordance with requirements established as part of the stipulated settlement of </w:t>
      </w:r>
      <w:r w:rsidR="00B67636">
        <w:t>PSE’s</w:t>
      </w:r>
      <w:r w:rsidR="00B67636" w:rsidRPr="00891D84">
        <w:t xml:space="preserve"> </w:t>
      </w:r>
      <w:r>
        <w:t>2001 General Rate Case.</w:t>
      </w:r>
      <w:r>
        <w:rPr>
          <w:rStyle w:val="FootnoteReference"/>
        </w:rPr>
        <w:footnoteReference w:id="5"/>
      </w:r>
      <w:r>
        <w:t xml:space="preserve"> Through 1998, the programs primarily served residential and low-income customers; in 1999 the company expanded them to include commercial and industrial customer facilities. Figure 7-8 shows that energy efficiency measures installed through 2014 have saved a cumulative total of nearly 4.9</w:t>
      </w:r>
      <w:r w:rsidRPr="008E3831">
        <w:t xml:space="preserve"> million </w:t>
      </w:r>
      <w:proofErr w:type="spellStart"/>
      <w:r w:rsidRPr="008E3831">
        <w:t>Dth</w:t>
      </w:r>
      <w:proofErr w:type="spellEnd"/>
      <w:r>
        <w:t xml:space="preserve"> – more than half of which has been achieved since 2007. </w:t>
      </w:r>
    </w:p>
    <w:p w14:paraId="091F8929" w14:textId="77777777" w:rsidR="00862469" w:rsidRDefault="00862469" w:rsidP="0021713B">
      <w:pPr>
        <w:pStyle w:val="IRPsanstext"/>
      </w:pPr>
    </w:p>
    <w:p w14:paraId="19DD95E1" w14:textId="77777777" w:rsidR="00862469" w:rsidRDefault="00862469" w:rsidP="0021713B">
      <w:pPr>
        <w:pStyle w:val="IRPsanstext"/>
      </w:pPr>
      <w:r w:rsidRPr="002B1462">
        <w:t xml:space="preserve">PSE spent almost $12 million for natural gas conservation programs in 2014 compared to $3.2 million in 2005. Spending over that period increased more than 25 percent </w:t>
      </w:r>
      <w:r w:rsidR="00A136E8" w:rsidRPr="002B1462">
        <w:t>annually</w:t>
      </w:r>
      <w:r w:rsidRPr="002B1462">
        <w:t xml:space="preserve"> </w:t>
      </w:r>
      <w:r w:rsidR="00B4381C">
        <w:t>and more recently there has been a shift downwards as gas prices have come down and fewer measures qualify as cost-effective savings</w:t>
      </w:r>
      <w:r w:rsidRPr="002B1462">
        <w:t xml:space="preserve">. </w:t>
      </w:r>
      <w:r w:rsidR="00B4381C">
        <w:t xml:space="preserve"> </w:t>
      </w:r>
      <w:r w:rsidRPr="002B1462">
        <w:t>This shift, however, is not sustainable. PSE is engaged in collaborative regional efforts to find creative ways to make delivery and marketing of gas efficiency programs more cost-effective and to find ways to reduce barriers for promising measures that have not yet gained significant market share.</w:t>
      </w:r>
      <w:r>
        <w:t xml:space="preserve">  </w:t>
      </w:r>
    </w:p>
    <w:p w14:paraId="64CBA41D" w14:textId="77777777" w:rsidR="00862469" w:rsidRDefault="00862469" w:rsidP="0021713B">
      <w:pPr>
        <w:pStyle w:val="IRPsanstext"/>
      </w:pPr>
      <w:r>
        <w:t xml:space="preserve"> </w:t>
      </w:r>
    </w:p>
    <w:p w14:paraId="7363E265" w14:textId="77777777" w:rsidR="00862469" w:rsidRDefault="00862469" w:rsidP="0021713B">
      <w:pPr>
        <w:pStyle w:val="IRPsanstext"/>
      </w:pPr>
      <w:r>
        <w:t>PSE’s energy efficiency programs serve residential, low-income, commercial and industrial customers. Energy savings targets and the programs to achieve those targets are established every two years. The 2012-2013 biennial program period concluded at the end of 2013</w:t>
      </w:r>
      <w:proofErr w:type="gramStart"/>
      <w:r>
        <w:t>;</w:t>
      </w:r>
      <w:proofErr w:type="gramEnd"/>
      <w:r>
        <w:t xml:space="preserve"> current programs operate January 1, 2014 through December 31, 2015. The majority of gas energy efficiency programs are funded using gas “rider” funds collected from all customers. </w:t>
      </w:r>
    </w:p>
    <w:p w14:paraId="59F1322D" w14:textId="77777777" w:rsidR="00862469" w:rsidRDefault="00862469" w:rsidP="0021713B">
      <w:pPr>
        <w:pStyle w:val="IRPsanstext"/>
      </w:pPr>
    </w:p>
    <w:p w14:paraId="151EE15C" w14:textId="77777777" w:rsidR="00862469" w:rsidRPr="00325B6D" w:rsidRDefault="00862469" w:rsidP="0021713B">
      <w:pPr>
        <w:pStyle w:val="IRPsanstext"/>
      </w:pPr>
      <w:r>
        <w:t xml:space="preserve">For the 2014-2015 period, </w:t>
      </w:r>
      <w:r w:rsidR="00B67636">
        <w:t>PSE</w:t>
      </w:r>
      <w:r w:rsidR="00B67636" w:rsidRPr="00891D84">
        <w:t xml:space="preserve"> </w:t>
      </w:r>
      <w:r w:rsidR="00B67636">
        <w:t xml:space="preserve">has </w:t>
      </w:r>
      <w:r>
        <w:t xml:space="preserve">a two-year target of </w:t>
      </w:r>
      <w:r w:rsidRPr="00357C54">
        <w:t xml:space="preserve">approximately </w:t>
      </w:r>
      <w:r w:rsidRPr="00AE4587">
        <w:t xml:space="preserve">694,060 </w:t>
      </w:r>
      <w:proofErr w:type="spellStart"/>
      <w:r w:rsidRPr="00AE4587">
        <w:t>Dth</w:t>
      </w:r>
      <w:proofErr w:type="spellEnd"/>
      <w:r w:rsidRPr="00357C54">
        <w:t xml:space="preserve"> in</w:t>
      </w:r>
      <w:r>
        <w:t xml:space="preserve"> energy savings. This goal was based on extensive analysis of savings potentials and developed in collaboration with key external stakeholders represented by the Conservation Resource Advisory Group and Integrated Resource Plan Advisory Group.</w:t>
      </w:r>
    </w:p>
    <w:p w14:paraId="5CB8474F" w14:textId="77777777" w:rsidR="00862469" w:rsidRPr="00891D84" w:rsidRDefault="00862469" w:rsidP="0021713B">
      <w:pPr>
        <w:pStyle w:val="IRPsanstext"/>
        <w:rPr>
          <w:i/>
          <w:color w:val="000000"/>
        </w:rPr>
      </w:pPr>
      <w:r w:rsidRPr="00891D84">
        <w:br w:type="page"/>
      </w:r>
    </w:p>
    <w:p w14:paraId="24948714" w14:textId="77777777" w:rsidR="00862469" w:rsidRDefault="00A74B32" w:rsidP="008C3221">
      <w:pPr>
        <w:pStyle w:val="IRPFigureSub"/>
      </w:pPr>
      <w:r>
        <w:rPr>
          <w:noProof/>
          <w:lang w:eastAsia="en-US"/>
        </w:rPr>
        <w:lastRenderedPageBreak/>
        <w:drawing>
          <wp:anchor distT="0" distB="0" distL="114300" distR="114300" simplePos="0" relativeHeight="251664384" behindDoc="0" locked="0" layoutInCell="1" allowOverlap="0" wp14:anchorId="625E212C" wp14:editId="7554EE5A">
            <wp:simplePos x="0" y="0"/>
            <wp:positionH relativeFrom="column">
              <wp:posOffset>-40005</wp:posOffset>
            </wp:positionH>
            <wp:positionV relativeFrom="paragraph">
              <wp:posOffset>688340</wp:posOffset>
            </wp:positionV>
            <wp:extent cx="5463540" cy="1228090"/>
            <wp:effectExtent l="0" t="0" r="0" b="0"/>
            <wp:wrapTopAndBottom/>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3540" cy="1228090"/>
                    </a:xfrm>
                    <a:prstGeom prst="rect">
                      <a:avLst/>
                    </a:prstGeom>
                    <a:noFill/>
                    <a:ln>
                      <a:noFill/>
                    </a:ln>
                  </pic:spPr>
                </pic:pic>
              </a:graphicData>
            </a:graphic>
          </wp:anchor>
        </w:drawing>
      </w:r>
      <w:r w:rsidR="00EA5670">
        <w:br/>
      </w:r>
      <w:r w:rsidR="00862469">
        <w:t>Figure 7-6: Gas Sales Energy Efficiency Program Summary, 2012 – 2015</w:t>
      </w:r>
      <w:r w:rsidR="00862469">
        <w:br/>
        <w:t xml:space="preserve"> Total Savings and Costs</w:t>
      </w:r>
    </w:p>
    <w:p w14:paraId="710EDAE3" w14:textId="77777777" w:rsidR="00862469" w:rsidRDefault="00862469" w:rsidP="00DF7449">
      <w:pPr>
        <w:pStyle w:val="IRPFigureSub"/>
        <w:jc w:val="left"/>
      </w:pPr>
    </w:p>
    <w:p w14:paraId="61F02163" w14:textId="77777777" w:rsidR="00862469" w:rsidRDefault="00862469" w:rsidP="00DF7449">
      <w:pPr>
        <w:pStyle w:val="IRPFigureSub"/>
        <w:spacing w:after="120"/>
      </w:pPr>
      <w:r>
        <w:t xml:space="preserve">Figure 7-7: </w:t>
      </w:r>
      <w:r w:rsidRPr="00280D75">
        <w:t>Natural Gas Program Costs and Savings Trends</w:t>
      </w:r>
    </w:p>
    <w:p w14:paraId="543DB498" w14:textId="77777777" w:rsidR="00862469" w:rsidRPr="00280D75" w:rsidRDefault="00DF7449" w:rsidP="00DF7449">
      <w:pPr>
        <w:pStyle w:val="IRPsecthead1serif"/>
        <w:ind w:left="-90"/>
        <w:jc w:val="center"/>
        <w:rPr>
          <w:i/>
          <w:color w:val="auto"/>
          <w:sz w:val="20"/>
        </w:rPr>
      </w:pPr>
      <w:r>
        <w:rPr>
          <w:noProof/>
          <w:color w:val="auto"/>
          <w:sz w:val="20"/>
          <w:lang w:eastAsia="en-US"/>
        </w:rPr>
        <w:drawing>
          <wp:inline distT="0" distB="0" distL="0" distR="0" wp14:anchorId="308EC090" wp14:editId="6F7E1F9D">
            <wp:extent cx="5423535" cy="3928916"/>
            <wp:effectExtent l="0" t="0" r="12065" b="8255"/>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3911" cy="3929188"/>
                    </a:xfrm>
                    <a:prstGeom prst="rect">
                      <a:avLst/>
                    </a:prstGeom>
                    <a:noFill/>
                  </pic:spPr>
                </pic:pic>
              </a:graphicData>
            </a:graphic>
          </wp:inline>
        </w:drawing>
      </w:r>
    </w:p>
    <w:p w14:paraId="5E461F0E" w14:textId="77777777" w:rsidR="00862469" w:rsidRDefault="00862469" w:rsidP="00862469">
      <w:pPr>
        <w:pStyle w:val="IRPsecthead1serif"/>
        <w:rPr>
          <w:color w:val="auto"/>
          <w:sz w:val="20"/>
        </w:rPr>
      </w:pPr>
    </w:p>
    <w:p w14:paraId="4322553F" w14:textId="77777777" w:rsidR="00862469" w:rsidRPr="00280D75" w:rsidRDefault="00862469" w:rsidP="00862469">
      <w:pPr>
        <w:pStyle w:val="IRPsecthead1serif"/>
        <w:rPr>
          <w:color w:val="auto"/>
        </w:rPr>
      </w:pPr>
    </w:p>
    <w:p w14:paraId="172D20B7" w14:textId="77777777" w:rsidR="00862469" w:rsidRPr="00891D84" w:rsidRDefault="00862469" w:rsidP="00862469">
      <w:pPr>
        <w:spacing w:line="320" w:lineRule="exact"/>
        <w:jc w:val="center"/>
        <w:rPr>
          <w:rFonts w:ascii="Arial" w:hAnsi="Arial"/>
          <w:i/>
          <w:sz w:val="20"/>
        </w:rPr>
      </w:pPr>
    </w:p>
    <w:p w14:paraId="394CC341" w14:textId="77777777" w:rsidR="00862469" w:rsidRPr="00891D84" w:rsidRDefault="00862469" w:rsidP="00DF7449">
      <w:pPr>
        <w:pStyle w:val="IRPFigureSub"/>
        <w:spacing w:after="120"/>
      </w:pPr>
      <w:r>
        <w:br w:type="page"/>
      </w:r>
      <w:r w:rsidR="00DF7449">
        <w:lastRenderedPageBreak/>
        <w:br/>
      </w:r>
      <w:r w:rsidRPr="00891D84">
        <w:t xml:space="preserve">Figure </w:t>
      </w:r>
      <w:r>
        <w:t xml:space="preserve">7-8: </w:t>
      </w:r>
      <w:r w:rsidRPr="00891D84">
        <w:t>Cumulative Ga</w:t>
      </w:r>
      <w:r>
        <w:t>s Sales Energy Savings from DSR, 1997 – 2014</w:t>
      </w:r>
    </w:p>
    <w:p w14:paraId="50EB65FC" w14:textId="77777777" w:rsidR="00862469" w:rsidRPr="00891D84" w:rsidRDefault="00DF7449" w:rsidP="00862469">
      <w:pPr>
        <w:spacing w:line="320" w:lineRule="exact"/>
        <w:jc w:val="center"/>
        <w:rPr>
          <w:rFonts w:ascii="Arial" w:hAnsi="Arial"/>
          <w:i/>
          <w:sz w:val="20"/>
        </w:rPr>
      </w:pPr>
      <w:r>
        <w:rPr>
          <w:rFonts w:ascii="Arial" w:hAnsi="Arial"/>
          <w:i/>
          <w:noProof/>
          <w:color w:val="000000"/>
          <w:sz w:val="20"/>
          <w:lang w:eastAsia="en-US"/>
        </w:rPr>
        <w:drawing>
          <wp:anchor distT="0" distB="0" distL="114300" distR="114300" simplePos="0" relativeHeight="251672576" behindDoc="0" locked="0" layoutInCell="1" allowOverlap="1" wp14:anchorId="548FB8EE" wp14:editId="28B655B5">
            <wp:simplePos x="0" y="0"/>
            <wp:positionH relativeFrom="column">
              <wp:posOffset>51435</wp:posOffset>
            </wp:positionH>
            <wp:positionV relativeFrom="paragraph">
              <wp:posOffset>66040</wp:posOffset>
            </wp:positionV>
            <wp:extent cx="5411470" cy="3920490"/>
            <wp:effectExtent l="0" t="0" r="0" b="0"/>
            <wp:wrapTopAndBottom/>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1470" cy="3920490"/>
                    </a:xfrm>
                    <a:prstGeom prst="rect">
                      <a:avLst/>
                    </a:prstGeom>
                    <a:noFill/>
                  </pic:spPr>
                </pic:pic>
              </a:graphicData>
            </a:graphic>
          </wp:anchor>
        </w:drawing>
      </w:r>
      <w:r w:rsidR="00862469" w:rsidRPr="00891D84">
        <w:rPr>
          <w:rFonts w:ascii="Arial" w:hAnsi="Arial"/>
          <w:i/>
          <w:sz w:val="20"/>
        </w:rPr>
        <w:br w:type="page"/>
      </w:r>
    </w:p>
    <w:p w14:paraId="71B4586C" w14:textId="77777777" w:rsidR="00862469" w:rsidRPr="007C4C3C" w:rsidRDefault="007C4C3C" w:rsidP="00862469">
      <w:pPr>
        <w:rPr>
          <w:rFonts w:ascii="Arial" w:hAnsi="Arial" w:cs="Arial"/>
          <w:b/>
          <w:color w:val="006C71"/>
          <w:sz w:val="32"/>
          <w:szCs w:val="32"/>
        </w:rPr>
      </w:pPr>
      <w:r w:rsidRPr="007C4C3C">
        <w:rPr>
          <w:rFonts w:ascii="Arial" w:hAnsi="Arial" w:cs="Arial"/>
          <w:b/>
          <w:color w:val="006C71"/>
          <w:sz w:val="20"/>
          <w:szCs w:val="20"/>
        </w:rPr>
        <w:lastRenderedPageBreak/>
        <w:br/>
      </w:r>
      <w:r w:rsidR="00862469" w:rsidRPr="007C4C3C">
        <w:rPr>
          <w:rFonts w:ascii="Arial" w:hAnsi="Arial" w:cs="Arial"/>
          <w:b/>
          <w:color w:val="006C71"/>
          <w:sz w:val="32"/>
          <w:szCs w:val="32"/>
        </w:rPr>
        <w:t xml:space="preserve">GAS SALES RESOURCE ALTERNATIVES </w:t>
      </w:r>
    </w:p>
    <w:p w14:paraId="2EB12C4F" w14:textId="77777777" w:rsidR="00862469" w:rsidRPr="00891D84" w:rsidRDefault="00862469" w:rsidP="007C4C3C">
      <w:pPr>
        <w:pStyle w:val="IRPsanstext"/>
      </w:pPr>
    </w:p>
    <w:p w14:paraId="5DFD9CF4" w14:textId="77777777" w:rsidR="00862469" w:rsidRPr="00891D84" w:rsidRDefault="00862469" w:rsidP="007C4C3C">
      <w:pPr>
        <w:pStyle w:val="IRPsanstext"/>
      </w:pPr>
      <w:r w:rsidRPr="00891D84">
        <w:t xml:space="preserve">The gas </w:t>
      </w:r>
      <w:r>
        <w:t xml:space="preserve">sales </w:t>
      </w:r>
      <w:r w:rsidRPr="00891D84">
        <w:t xml:space="preserve">resource alternatives considered in this IRP address long-term capacity challenges rather than the shorter-term optimization and portfolio management strategies PSE uses in the daily conduct of business to minimize costs. </w:t>
      </w:r>
    </w:p>
    <w:p w14:paraId="657B16B4" w14:textId="77777777" w:rsidR="00862469" w:rsidRPr="00891D84" w:rsidRDefault="00862469" w:rsidP="007C4C3C">
      <w:pPr>
        <w:pStyle w:val="IRPsanstext"/>
      </w:pPr>
    </w:p>
    <w:p w14:paraId="3E22DDF8" w14:textId="77777777" w:rsidR="00862469" w:rsidRPr="00F747B2" w:rsidRDefault="00862469" w:rsidP="007C4C3C">
      <w:pPr>
        <w:pStyle w:val="IRPsanstext"/>
        <w:rPr>
          <w:sz w:val="32"/>
        </w:rPr>
      </w:pPr>
      <w:r w:rsidRPr="00F747B2">
        <w:rPr>
          <w:sz w:val="32"/>
        </w:rPr>
        <w:t>Combinations Considered</w:t>
      </w:r>
    </w:p>
    <w:p w14:paraId="5AAA401E" w14:textId="77777777" w:rsidR="00862469" w:rsidRPr="00891D84" w:rsidRDefault="00862469" w:rsidP="007C4C3C">
      <w:pPr>
        <w:pStyle w:val="IRPsanstext"/>
      </w:pPr>
    </w:p>
    <w:p w14:paraId="506AB49C" w14:textId="77777777" w:rsidR="00862469" w:rsidRPr="00891D84" w:rsidRDefault="00862469" w:rsidP="007C4C3C">
      <w:pPr>
        <w:pStyle w:val="IRPsanstext"/>
      </w:pPr>
      <w:r w:rsidRPr="00891D84">
        <w:t>Transporting gas from production areas or market hubs to PSE’s service area generally entails assembling a number of specific pipeline segments and gas storage alternatives. Purchases from specific market hubs are joined with various upstream and direct-connect pipeline alternatives and storage options to create combinations that have different costs and benefits. Within PSE’s service territory, demand-side resources are a significant resource.</w:t>
      </w:r>
    </w:p>
    <w:p w14:paraId="289FAC39" w14:textId="77777777" w:rsidR="00862469" w:rsidRPr="00891D84" w:rsidRDefault="00862469" w:rsidP="007C4C3C">
      <w:pPr>
        <w:pStyle w:val="IRPsanstext"/>
      </w:pPr>
    </w:p>
    <w:p w14:paraId="109EE199" w14:textId="77777777" w:rsidR="00862469" w:rsidRPr="00891D84" w:rsidRDefault="00862469" w:rsidP="007C4C3C">
      <w:pPr>
        <w:pStyle w:val="IRPsanstext"/>
      </w:pPr>
      <w:r w:rsidRPr="00891D84">
        <w:t>In this IRP, the alternatives have been gathered into seven broad combinations for analyses. These combinations are</w:t>
      </w:r>
      <w:r w:rsidR="001843AA">
        <w:t xml:space="preserve"> discussed below and</w:t>
      </w:r>
      <w:r w:rsidRPr="00891D84">
        <w:t xml:space="preserve"> illustrated in Figure </w:t>
      </w:r>
      <w:r>
        <w:t>7-9</w:t>
      </w:r>
      <w:r w:rsidRPr="00891D84">
        <w:t>. Note that</w:t>
      </w:r>
      <w:r w:rsidR="00704A63">
        <w:t xml:space="preserve"> DSR is a separate alternative discussed</w:t>
      </w:r>
      <w:r w:rsidR="00121B7B">
        <w:t xml:space="preserve"> later in this chapter</w:t>
      </w:r>
      <w:r w:rsidRPr="00891D84">
        <w:t>.</w:t>
      </w:r>
    </w:p>
    <w:p w14:paraId="3A416AB9" w14:textId="77777777" w:rsidR="00862469" w:rsidRPr="00891D84" w:rsidRDefault="00862469" w:rsidP="007C4C3C">
      <w:pPr>
        <w:pStyle w:val="IRPsanstext"/>
      </w:pPr>
    </w:p>
    <w:p w14:paraId="7AA80143" w14:textId="77777777" w:rsidR="00862469" w:rsidRPr="007C4C3C" w:rsidRDefault="00862469" w:rsidP="007C4C3C">
      <w:pPr>
        <w:pStyle w:val="IRPsanstext"/>
        <w:ind w:left="720"/>
        <w:rPr>
          <w:rFonts w:ascii="Helvetica" w:hAnsi="Helvetica" w:cs="Arial"/>
          <w:b/>
          <w:bCs/>
          <w:iCs/>
          <w:color w:val="006C71"/>
          <w:sz w:val="28"/>
        </w:rPr>
      </w:pPr>
      <w:r w:rsidRPr="007C4C3C">
        <w:rPr>
          <w:rFonts w:ascii="Helvetica" w:hAnsi="Helvetica" w:cs="Arial"/>
          <w:b/>
          <w:bCs/>
          <w:iCs/>
          <w:color w:val="006C71"/>
          <w:sz w:val="28"/>
        </w:rPr>
        <w:t>Combination #1 &amp; 1a</w:t>
      </w:r>
      <w:r w:rsidR="00FA348A">
        <w:rPr>
          <w:rFonts w:ascii="Helvetica" w:hAnsi="Helvetica" w:cs="Arial"/>
          <w:b/>
          <w:bCs/>
          <w:iCs/>
          <w:color w:val="006C71"/>
          <w:sz w:val="28"/>
        </w:rPr>
        <w:t xml:space="preserve"> </w:t>
      </w:r>
      <w:r w:rsidRPr="007C4C3C">
        <w:rPr>
          <w:rFonts w:ascii="Helvetica" w:hAnsi="Helvetica" w:cs="Arial"/>
          <w:b/>
          <w:bCs/>
          <w:iCs/>
          <w:color w:val="006C71"/>
          <w:sz w:val="28"/>
        </w:rPr>
        <w:t>– NWP Additions</w:t>
      </w:r>
      <w:r w:rsidR="008C13BB">
        <w:rPr>
          <w:rFonts w:ascii="Helvetica" w:hAnsi="Helvetica" w:cs="Arial"/>
          <w:b/>
          <w:bCs/>
          <w:iCs/>
          <w:color w:val="006C71"/>
          <w:sz w:val="28"/>
        </w:rPr>
        <w:t xml:space="preserve"> + </w:t>
      </w:r>
      <w:proofErr w:type="spellStart"/>
      <w:r w:rsidR="008C13BB">
        <w:rPr>
          <w:rFonts w:ascii="Helvetica" w:hAnsi="Helvetica" w:cs="Arial"/>
          <w:b/>
          <w:bCs/>
          <w:iCs/>
          <w:color w:val="006C71"/>
          <w:sz w:val="28"/>
        </w:rPr>
        <w:t>Westcoast</w:t>
      </w:r>
      <w:proofErr w:type="spellEnd"/>
    </w:p>
    <w:p w14:paraId="1A45612D" w14:textId="77777777" w:rsidR="002264DF" w:rsidRDefault="00862469" w:rsidP="007C4C3C">
      <w:pPr>
        <w:pStyle w:val="IRPsanstext"/>
        <w:ind w:left="720"/>
      </w:pPr>
      <w:r w:rsidRPr="00891D84">
        <w:t xml:space="preserve">This option expands access to northern British Columbia gas </w:t>
      </w:r>
      <w:r>
        <w:t xml:space="preserve">at the </w:t>
      </w:r>
      <w:r w:rsidRPr="00891D84">
        <w:t>Station 2 hub</w:t>
      </w:r>
      <w:r w:rsidR="00EF6885">
        <w:t xml:space="preserve"> beginning October 2018</w:t>
      </w:r>
      <w:r>
        <w:t>,</w:t>
      </w:r>
      <w:r w:rsidRPr="00891D84">
        <w:t xml:space="preserve"> with expanded transport capacity on </w:t>
      </w:r>
      <w:proofErr w:type="spellStart"/>
      <w:r w:rsidRPr="00891D84">
        <w:t>Westcoast</w:t>
      </w:r>
      <w:proofErr w:type="spellEnd"/>
      <w:r w:rsidRPr="00891D84">
        <w:t xml:space="preserve"> pipeline to Sumas and then on expanded NWP to PSE’s service area. Gas supplies are also presumed available at the Sumas market hub. In order to ensure reliable access to supply and achieve diversity of pricing, PSE seeks to hold </w:t>
      </w:r>
      <w:proofErr w:type="spellStart"/>
      <w:r w:rsidRPr="00891D84">
        <w:t>Westcoast</w:t>
      </w:r>
      <w:proofErr w:type="spellEnd"/>
      <w:r w:rsidRPr="00891D84">
        <w:t xml:space="preserve"> capacity equivalent </w:t>
      </w:r>
      <w:r w:rsidRPr="002B1462">
        <w:t>to 100 percent of NWP firm take-away capacity at Sumas. This upstream capacity strategy has increased from 50 percent in the 2013 IRP due to the regional decline of available non-firm pipeline capacity.</w:t>
      </w:r>
    </w:p>
    <w:p w14:paraId="72ADBC4F" w14:textId="77777777" w:rsidR="00862469" w:rsidRDefault="00862469" w:rsidP="007C4C3C">
      <w:pPr>
        <w:pStyle w:val="IRPsanstext"/>
        <w:ind w:left="720"/>
      </w:pPr>
    </w:p>
    <w:p w14:paraId="0E1E0F0D" w14:textId="77777777" w:rsidR="00862469" w:rsidRPr="00FA348A" w:rsidRDefault="00862469" w:rsidP="00FA348A">
      <w:pPr>
        <w:pStyle w:val="IRPsanstext"/>
        <w:ind w:left="720"/>
        <w:rPr>
          <w:b/>
          <w:caps/>
        </w:rPr>
      </w:pPr>
      <w:r w:rsidRPr="00FA348A">
        <w:rPr>
          <w:b/>
          <w:caps/>
        </w:rPr>
        <w:t>Combination #1a – NWP-TF-1</w:t>
      </w:r>
    </w:p>
    <w:p w14:paraId="32340C03" w14:textId="77777777" w:rsidR="00862469" w:rsidRPr="00891D84" w:rsidRDefault="00862469" w:rsidP="007C4C3C">
      <w:pPr>
        <w:pStyle w:val="IRPsanstext"/>
        <w:ind w:left="720"/>
      </w:pPr>
      <w:r>
        <w:t xml:space="preserve">This is a short-term pipeline alternative that represents excess capacity on the existing NWP </w:t>
      </w:r>
      <w:r w:rsidR="00405338">
        <w:t xml:space="preserve">system </w:t>
      </w:r>
      <w:r>
        <w:t xml:space="preserve">from Sumas to PSE that could be contracted to meet PSE needs from </w:t>
      </w:r>
      <w:r w:rsidR="00EF6885">
        <w:t xml:space="preserve">October </w:t>
      </w:r>
      <w:r>
        <w:t>2016</w:t>
      </w:r>
      <w:r w:rsidR="00EF6885">
        <w:t xml:space="preserve"> through September </w:t>
      </w:r>
      <w:r>
        <w:t>2018 only. Beyond</w:t>
      </w:r>
      <w:r w:rsidR="00EF6885">
        <w:t xml:space="preserve"> September</w:t>
      </w:r>
      <w:r>
        <w:t xml:space="preserve"> 2018</w:t>
      </w:r>
      <w:r w:rsidR="00EF6885">
        <w:t>,</w:t>
      </w:r>
      <w:r>
        <w:t xml:space="preserve"> other long-term resources would be added to serve demand.</w:t>
      </w:r>
    </w:p>
    <w:p w14:paraId="11BDA1F7" w14:textId="77777777" w:rsidR="007C4C3C" w:rsidRDefault="007C4C3C">
      <w:pPr>
        <w:rPr>
          <w:rFonts w:ascii="Arial" w:hAnsi="Arial"/>
          <w:sz w:val="20"/>
          <w:szCs w:val="20"/>
        </w:rPr>
      </w:pPr>
      <w:r>
        <w:br w:type="page"/>
      </w:r>
    </w:p>
    <w:p w14:paraId="32FB3029" w14:textId="77777777" w:rsidR="00862469" w:rsidRPr="00891D84" w:rsidRDefault="00862469" w:rsidP="007C4C3C">
      <w:pPr>
        <w:pStyle w:val="IRPsanstext"/>
      </w:pPr>
    </w:p>
    <w:p w14:paraId="69736DE8" w14:textId="77777777" w:rsidR="00862469" w:rsidRPr="007C4C3C" w:rsidRDefault="00862469" w:rsidP="007C4C3C">
      <w:pPr>
        <w:pStyle w:val="IRPsanstext"/>
        <w:ind w:left="720"/>
        <w:rPr>
          <w:b/>
          <w:color w:val="006C71"/>
          <w:sz w:val="28"/>
          <w:szCs w:val="28"/>
        </w:rPr>
      </w:pPr>
      <w:r w:rsidRPr="007C4C3C">
        <w:rPr>
          <w:b/>
          <w:color w:val="006C71"/>
          <w:sz w:val="28"/>
          <w:szCs w:val="28"/>
        </w:rPr>
        <w:t xml:space="preserve">Combination #2 – </w:t>
      </w:r>
      <w:proofErr w:type="spellStart"/>
      <w:r w:rsidRPr="007C4C3C">
        <w:rPr>
          <w:b/>
          <w:color w:val="006C71"/>
          <w:sz w:val="28"/>
          <w:szCs w:val="28"/>
        </w:rPr>
        <w:t>FortisBC</w:t>
      </w:r>
      <w:proofErr w:type="spellEnd"/>
      <w:r w:rsidRPr="007C4C3C">
        <w:rPr>
          <w:b/>
          <w:color w:val="006C71"/>
          <w:sz w:val="28"/>
          <w:szCs w:val="28"/>
        </w:rPr>
        <w:t>/</w:t>
      </w:r>
      <w:proofErr w:type="spellStart"/>
      <w:r w:rsidRPr="007C4C3C">
        <w:rPr>
          <w:b/>
          <w:color w:val="006C71"/>
          <w:sz w:val="28"/>
          <w:szCs w:val="28"/>
        </w:rPr>
        <w:t>Westcoast</w:t>
      </w:r>
      <w:proofErr w:type="spellEnd"/>
      <w:r w:rsidRPr="007C4C3C">
        <w:rPr>
          <w:b/>
          <w:color w:val="006C71"/>
          <w:sz w:val="28"/>
          <w:szCs w:val="28"/>
        </w:rPr>
        <w:t xml:space="preserve"> (KORP)</w:t>
      </w:r>
    </w:p>
    <w:p w14:paraId="0C4C5565" w14:textId="77777777" w:rsidR="00862469" w:rsidRPr="00891D84" w:rsidRDefault="00862469" w:rsidP="007C4C3C">
      <w:pPr>
        <w:pStyle w:val="IRPsanstext"/>
        <w:ind w:left="720"/>
      </w:pPr>
      <w:r w:rsidRPr="00891D84">
        <w:t xml:space="preserve">This combination includes the </w:t>
      </w:r>
      <w:proofErr w:type="spellStart"/>
      <w:r w:rsidRPr="00891D84">
        <w:t>Kingsvale</w:t>
      </w:r>
      <w:proofErr w:type="spellEnd"/>
      <w:r w:rsidRPr="00891D84">
        <w:t>-Oliver Reinforcement Project (KORP) pipeline proposal</w:t>
      </w:r>
      <w:r w:rsidR="00123BCD">
        <w:t>, which is</w:t>
      </w:r>
      <w:r w:rsidRPr="00891D84">
        <w:t xml:space="preserve"> </w:t>
      </w:r>
      <w:r w:rsidR="002158C8">
        <w:t xml:space="preserve">in the development stages and </w:t>
      </w:r>
      <w:r w:rsidRPr="00891D84">
        <w:t xml:space="preserve">sponsored by </w:t>
      </w:r>
      <w:proofErr w:type="spellStart"/>
      <w:r w:rsidRPr="00891D84">
        <w:t>FortisBC</w:t>
      </w:r>
      <w:proofErr w:type="spellEnd"/>
      <w:r w:rsidRPr="00891D84">
        <w:t xml:space="preserve"> and Spectra</w:t>
      </w:r>
      <w:r w:rsidR="002816E0">
        <w:t xml:space="preserve"> </w:t>
      </w:r>
      <w:r w:rsidR="002158C8">
        <w:t xml:space="preserve">with an estimate that it is available </w:t>
      </w:r>
      <w:r w:rsidR="002816E0">
        <w:t>beginning October 2018</w:t>
      </w:r>
      <w:r w:rsidRPr="00891D84">
        <w:t xml:space="preserve">. Essentially, the KORP project expands and adds flexibility to the existing Southern Crossing pipeline. This option would allow delivery of AECO gas to PSE via existing or expanded capacity on the TC-AB and TC-BC pipelines, the KORP pipeline across southern British Columbia to Sumas, and then on expanded NWP capacity to PSE. </w:t>
      </w:r>
    </w:p>
    <w:p w14:paraId="6774BDAF" w14:textId="77777777" w:rsidR="00862469" w:rsidRPr="00891D84" w:rsidRDefault="00862469" w:rsidP="007C4C3C">
      <w:pPr>
        <w:pStyle w:val="IRPsanstext"/>
        <w:ind w:left="720"/>
        <w:rPr>
          <w:color w:val="9BBB59"/>
          <w:szCs w:val="28"/>
        </w:rPr>
      </w:pPr>
    </w:p>
    <w:p w14:paraId="049DD30C" w14:textId="77777777" w:rsidR="00862469" w:rsidRPr="007C4C3C" w:rsidRDefault="00862469" w:rsidP="007C4C3C">
      <w:pPr>
        <w:pStyle w:val="IRPsanstext"/>
        <w:ind w:left="720"/>
        <w:rPr>
          <w:b/>
          <w:color w:val="006C71"/>
          <w:sz w:val="28"/>
          <w:szCs w:val="28"/>
        </w:rPr>
      </w:pPr>
      <w:r w:rsidRPr="007C4C3C">
        <w:rPr>
          <w:b/>
          <w:color w:val="006C71"/>
          <w:sz w:val="28"/>
          <w:szCs w:val="28"/>
        </w:rPr>
        <w:t>Combination #3 – Cross-Cascades</w:t>
      </w:r>
      <w:r w:rsidR="00704A63">
        <w:rPr>
          <w:b/>
          <w:color w:val="006C71"/>
          <w:sz w:val="28"/>
          <w:szCs w:val="28"/>
        </w:rPr>
        <w:t xml:space="preserve"> - AECO</w:t>
      </w:r>
    </w:p>
    <w:p w14:paraId="35B61920" w14:textId="77777777" w:rsidR="00862469" w:rsidRPr="00891D84" w:rsidRDefault="00704A63" w:rsidP="007C4C3C">
      <w:pPr>
        <w:pStyle w:val="IRPsanstext"/>
        <w:ind w:left="720"/>
      </w:pPr>
      <w:r w:rsidRPr="00891D84">
        <w:t>Th</w:t>
      </w:r>
      <w:r>
        <w:t>is</w:t>
      </w:r>
      <w:r w:rsidRPr="00891D84">
        <w:t xml:space="preserve"> </w:t>
      </w:r>
      <w:r w:rsidR="00862469" w:rsidRPr="00891D84">
        <w:t>option provide</w:t>
      </w:r>
      <w:r>
        <w:t>s</w:t>
      </w:r>
      <w:r w:rsidR="00862469" w:rsidRPr="00891D84">
        <w:t xml:space="preserve"> for deliveries to PSE via the prospective </w:t>
      </w:r>
      <w:r w:rsidR="00862469">
        <w:t>Cross Cascades</w:t>
      </w:r>
      <w:r w:rsidR="00862469" w:rsidRPr="00891D84">
        <w:t xml:space="preserve"> pipeline. The increased gas supply </w:t>
      </w:r>
      <w:r>
        <w:t>would</w:t>
      </w:r>
      <w:r w:rsidR="00862469" w:rsidRPr="00891D84">
        <w:t xml:space="preserve"> come from Alberta (AECO hub) via existing </w:t>
      </w:r>
      <w:r>
        <w:t xml:space="preserve">or new </w:t>
      </w:r>
      <w:r w:rsidR="00862469" w:rsidRPr="00891D84">
        <w:t>upstream pipeline capacity on the TC-AB</w:t>
      </w:r>
      <w:r w:rsidR="00862469">
        <w:t xml:space="preserve"> (NOVA)</w:t>
      </w:r>
      <w:r w:rsidR="00862469" w:rsidRPr="00891D84">
        <w:t>, TC-BC</w:t>
      </w:r>
      <w:r w:rsidR="00862469">
        <w:t xml:space="preserve"> (Foothills)</w:t>
      </w:r>
      <w:r w:rsidR="00862469" w:rsidRPr="00891D84">
        <w:t xml:space="preserve"> and TC-GTN pipelines to Stanfield. Final delivery from Stanfield to PSE would be via the proposed </w:t>
      </w:r>
      <w:r w:rsidR="00862469">
        <w:t>Cross Cascades</w:t>
      </w:r>
      <w:r w:rsidR="00862469" w:rsidRPr="00891D84">
        <w:t xml:space="preserve"> pipeline.</w:t>
      </w:r>
    </w:p>
    <w:p w14:paraId="25EEA915" w14:textId="77777777" w:rsidR="00862469" w:rsidRPr="00891D84" w:rsidRDefault="00862469" w:rsidP="007C4C3C">
      <w:pPr>
        <w:pStyle w:val="IRPsanstext"/>
        <w:ind w:left="720"/>
      </w:pPr>
    </w:p>
    <w:p w14:paraId="4FD956E8" w14:textId="77777777" w:rsidR="00704A63" w:rsidRPr="007C4C3C" w:rsidRDefault="00704A63" w:rsidP="00704A63">
      <w:pPr>
        <w:pStyle w:val="IRPsanstext"/>
        <w:ind w:left="720"/>
        <w:rPr>
          <w:b/>
          <w:color w:val="006C71"/>
          <w:sz w:val="28"/>
          <w:szCs w:val="28"/>
        </w:rPr>
      </w:pPr>
      <w:r w:rsidRPr="007C4C3C">
        <w:rPr>
          <w:b/>
          <w:color w:val="006C71"/>
          <w:sz w:val="28"/>
          <w:szCs w:val="28"/>
        </w:rPr>
        <w:t>Combination #</w:t>
      </w:r>
      <w:r>
        <w:rPr>
          <w:b/>
          <w:color w:val="006C71"/>
          <w:sz w:val="28"/>
          <w:szCs w:val="28"/>
        </w:rPr>
        <w:t xml:space="preserve"> </w:t>
      </w:r>
      <w:r w:rsidRPr="007C4C3C">
        <w:rPr>
          <w:b/>
          <w:color w:val="006C71"/>
          <w:sz w:val="28"/>
          <w:szCs w:val="28"/>
        </w:rPr>
        <w:t>4 – Cross-Cascades</w:t>
      </w:r>
      <w:r>
        <w:rPr>
          <w:b/>
          <w:color w:val="006C71"/>
          <w:sz w:val="28"/>
          <w:szCs w:val="28"/>
        </w:rPr>
        <w:t xml:space="preserve"> - </w:t>
      </w:r>
      <w:proofErr w:type="spellStart"/>
      <w:r>
        <w:rPr>
          <w:b/>
          <w:color w:val="006C71"/>
          <w:sz w:val="28"/>
          <w:szCs w:val="28"/>
        </w:rPr>
        <w:t>Malin</w:t>
      </w:r>
      <w:proofErr w:type="spellEnd"/>
    </w:p>
    <w:p w14:paraId="5FE7D8AC" w14:textId="77777777" w:rsidR="00704A63" w:rsidRPr="00891D84" w:rsidRDefault="00704A63" w:rsidP="00704A63">
      <w:pPr>
        <w:pStyle w:val="IRPsanstext"/>
        <w:ind w:left="720"/>
      </w:pPr>
      <w:r w:rsidRPr="00891D84">
        <w:t>Th</w:t>
      </w:r>
      <w:r>
        <w:t>is</w:t>
      </w:r>
      <w:r w:rsidRPr="00891D84">
        <w:t xml:space="preserve"> option provide</w:t>
      </w:r>
      <w:r>
        <w:t>s</w:t>
      </w:r>
      <w:r w:rsidRPr="00891D84">
        <w:t xml:space="preserve"> for deliveries to PSE via the prospective </w:t>
      </w:r>
      <w:r>
        <w:t>Cross Cascades</w:t>
      </w:r>
      <w:r w:rsidRPr="00891D84">
        <w:t xml:space="preserve"> pipeline. The increased gas supply </w:t>
      </w:r>
      <w:r>
        <w:t>would</w:t>
      </w:r>
      <w:r w:rsidRPr="00891D84">
        <w:t xml:space="preserve"> come </w:t>
      </w:r>
      <w:r w:rsidR="008B75F4">
        <w:t xml:space="preserve">directly from </w:t>
      </w:r>
      <w:proofErr w:type="spellStart"/>
      <w:r w:rsidR="008B75F4">
        <w:t>Malin</w:t>
      </w:r>
      <w:proofErr w:type="spellEnd"/>
      <w:r w:rsidR="008B75F4">
        <w:t xml:space="preserve"> or </w:t>
      </w:r>
      <w:r w:rsidRPr="00891D84">
        <w:t xml:space="preserve">from the Rockies hub on the Ruby pipeline to </w:t>
      </w:r>
      <w:proofErr w:type="spellStart"/>
      <w:r w:rsidRPr="00891D84">
        <w:t>Malin</w:t>
      </w:r>
      <w:proofErr w:type="spellEnd"/>
      <w:r w:rsidR="008B75F4">
        <w:t>,</w:t>
      </w:r>
      <w:r w:rsidRPr="00891D84">
        <w:t xml:space="preserve"> with backhaul on the TC-GTN pipeline to Stanfield. Final delivery from Stanfield to PSE would be via the proposed </w:t>
      </w:r>
      <w:r>
        <w:t>Cross Cascades</w:t>
      </w:r>
      <w:r w:rsidRPr="00891D84">
        <w:t xml:space="preserve"> pipeline.</w:t>
      </w:r>
    </w:p>
    <w:p w14:paraId="5C7028E2" w14:textId="77777777" w:rsidR="00704A63" w:rsidRDefault="00704A63" w:rsidP="007C4C3C">
      <w:pPr>
        <w:pStyle w:val="IRPsanstext"/>
        <w:ind w:left="720"/>
        <w:rPr>
          <w:b/>
          <w:color w:val="006C71"/>
          <w:sz w:val="28"/>
          <w:szCs w:val="28"/>
        </w:rPr>
      </w:pPr>
    </w:p>
    <w:p w14:paraId="55DD3D3E" w14:textId="77777777" w:rsidR="00862469" w:rsidRPr="007C4C3C" w:rsidRDefault="00862469" w:rsidP="007C4C3C">
      <w:pPr>
        <w:pStyle w:val="IRPsanstext"/>
        <w:ind w:left="720"/>
        <w:rPr>
          <w:b/>
          <w:color w:val="006C71"/>
          <w:sz w:val="28"/>
          <w:szCs w:val="28"/>
        </w:rPr>
      </w:pPr>
      <w:r w:rsidRPr="007C4C3C">
        <w:rPr>
          <w:b/>
          <w:color w:val="006C71"/>
          <w:sz w:val="28"/>
          <w:szCs w:val="28"/>
        </w:rPr>
        <w:t>Combination #5 – PSE LNG</w:t>
      </w:r>
      <w:r w:rsidR="004D4517">
        <w:rPr>
          <w:b/>
          <w:color w:val="006C71"/>
          <w:sz w:val="28"/>
          <w:szCs w:val="28"/>
        </w:rPr>
        <w:t xml:space="preserve"> Project</w:t>
      </w:r>
    </w:p>
    <w:p w14:paraId="238356E1" w14:textId="77777777" w:rsidR="00862469" w:rsidRPr="00891D84" w:rsidRDefault="00862469" w:rsidP="007C4C3C">
      <w:pPr>
        <w:pStyle w:val="IRPsanstext"/>
        <w:ind w:left="720"/>
      </w:pPr>
      <w:r w:rsidRPr="00891D84">
        <w:t xml:space="preserve">This combination entails </w:t>
      </w:r>
      <w:r>
        <w:t>construction</w:t>
      </w:r>
      <w:r w:rsidRPr="00891D84">
        <w:t xml:space="preserve"> of an LNG peak-shaving </w:t>
      </w:r>
      <w:r>
        <w:t>facility to serve the needs of core gas customers as well as regional LNG fuel consumers</w:t>
      </w:r>
      <w:r w:rsidRPr="00891D84">
        <w:t>.</w:t>
      </w:r>
      <w:r>
        <w:t xml:space="preserve">  By serving new LNG fuel markets (primarily large marine consumers) the project achieves economies of scale that reduce costs for core gas customers.</w:t>
      </w:r>
      <w:r w:rsidRPr="00891D84">
        <w:t xml:space="preserve"> This project would be located </w:t>
      </w:r>
      <w:r>
        <w:t xml:space="preserve">at </w:t>
      </w:r>
      <w:r w:rsidR="001843AA">
        <w:t>the Port of Tacoma and connect</w:t>
      </w:r>
      <w:r>
        <w:t xml:space="preserve"> to</w:t>
      </w:r>
      <w:r w:rsidRPr="00891D84">
        <w:t xml:space="preserve"> PSE</w:t>
      </w:r>
      <w:r w:rsidR="001843AA">
        <w:t>’s existing</w:t>
      </w:r>
      <w:r w:rsidRPr="00891D84">
        <w:t xml:space="preserve"> distribution system.</w:t>
      </w:r>
      <w:r w:rsidR="001843AA">
        <w:t xml:space="preserve"> </w:t>
      </w:r>
      <w:r>
        <w:t xml:space="preserve">The analysis assumes </w:t>
      </w:r>
      <w:r w:rsidR="002158C8">
        <w:t>the project is put into service for the 2018-19 heating season</w:t>
      </w:r>
      <w:r>
        <w:t xml:space="preserve">, providing 69 </w:t>
      </w:r>
      <w:proofErr w:type="spellStart"/>
      <w:r>
        <w:t>MDth</w:t>
      </w:r>
      <w:proofErr w:type="spellEnd"/>
      <w:r>
        <w:t xml:space="preserve"> per day of capacity. The full 85 </w:t>
      </w:r>
      <w:proofErr w:type="spellStart"/>
      <w:r>
        <w:t>MDth</w:t>
      </w:r>
      <w:proofErr w:type="spellEnd"/>
      <w:r>
        <w:t xml:space="preserve"> per day capacity </w:t>
      </w:r>
      <w:r w:rsidR="002158C8">
        <w:t xml:space="preserve">will </w:t>
      </w:r>
      <w:r>
        <w:t xml:space="preserve">be available </w:t>
      </w:r>
      <w:r w:rsidR="002158C8">
        <w:t>with additional upgrades to</w:t>
      </w:r>
      <w:r>
        <w:t xml:space="preserve"> the gas distribution system, which </w:t>
      </w:r>
      <w:r w:rsidR="002158C8">
        <w:t xml:space="preserve">are </w:t>
      </w:r>
      <w:r>
        <w:t xml:space="preserve">estimated to be </w:t>
      </w:r>
      <w:r w:rsidR="002158C8">
        <w:t>in service for the 2020-21 heating season</w:t>
      </w:r>
      <w:r>
        <w:t xml:space="preserve">. </w:t>
      </w:r>
    </w:p>
    <w:p w14:paraId="00A8CA09" w14:textId="77777777" w:rsidR="00862469" w:rsidRPr="00891D84" w:rsidRDefault="00862469" w:rsidP="007C4C3C">
      <w:pPr>
        <w:pStyle w:val="IRPsanstext"/>
        <w:ind w:left="720"/>
      </w:pPr>
    </w:p>
    <w:p w14:paraId="665B7C01" w14:textId="77777777" w:rsidR="00862469" w:rsidRPr="007C4C3C" w:rsidRDefault="00862469" w:rsidP="007C4C3C">
      <w:pPr>
        <w:pStyle w:val="IRPsanstext"/>
        <w:ind w:left="720"/>
        <w:rPr>
          <w:b/>
          <w:color w:val="006C71"/>
          <w:sz w:val="28"/>
          <w:szCs w:val="28"/>
        </w:rPr>
      </w:pPr>
      <w:r w:rsidRPr="007C4C3C">
        <w:rPr>
          <w:b/>
          <w:color w:val="006C71"/>
          <w:sz w:val="28"/>
          <w:szCs w:val="28"/>
        </w:rPr>
        <w:t>Combination #</w:t>
      </w:r>
      <w:r w:rsidR="000A7792">
        <w:rPr>
          <w:b/>
          <w:color w:val="006C71"/>
          <w:sz w:val="28"/>
          <w:szCs w:val="28"/>
        </w:rPr>
        <w:t>6</w:t>
      </w:r>
      <w:r w:rsidR="000A7792" w:rsidRPr="007C4C3C">
        <w:rPr>
          <w:b/>
          <w:color w:val="006C71"/>
          <w:sz w:val="28"/>
          <w:szCs w:val="28"/>
        </w:rPr>
        <w:t xml:space="preserve"> </w:t>
      </w:r>
      <w:r w:rsidRPr="007C4C3C">
        <w:rPr>
          <w:b/>
          <w:color w:val="006C71"/>
          <w:sz w:val="28"/>
          <w:szCs w:val="28"/>
        </w:rPr>
        <w:t>– Mist</w:t>
      </w:r>
    </w:p>
    <w:p w14:paraId="5EB1302B" w14:textId="77777777" w:rsidR="00862469" w:rsidRDefault="00862469" w:rsidP="007C4C3C">
      <w:pPr>
        <w:pStyle w:val="IRPsanstext"/>
        <w:ind w:left="720"/>
      </w:pPr>
      <w:r w:rsidRPr="008814B2">
        <w:t>This option</w:t>
      </w:r>
      <w:r w:rsidRPr="00891D84">
        <w:t xml:space="preserve"> provides for PSE to lease storage capacity from NW Natural after an expansion of the Mist storage facility. Delivery of gas would require expansion of pipeline capacity from Mist to PSE’s service territory</w:t>
      </w:r>
      <w:r w:rsidR="002264DF">
        <w:t xml:space="preserve"> for Mist</w:t>
      </w:r>
      <w:r w:rsidRPr="00891D84">
        <w:t xml:space="preserve"> </w:t>
      </w:r>
      <w:r>
        <w:t xml:space="preserve">storage </w:t>
      </w:r>
      <w:r w:rsidRPr="00891D84">
        <w:t>redelivery service.</w:t>
      </w:r>
      <w:r>
        <w:t xml:space="preserve"> The expansion of pipeline capacity from Mist to PSE will be dependent on an expansion on NWP from Sumas to Portland. </w:t>
      </w:r>
    </w:p>
    <w:p w14:paraId="4E91C5F3" w14:textId="77777777" w:rsidR="000A7792" w:rsidRDefault="000A7792" w:rsidP="000A7792">
      <w:pPr>
        <w:pStyle w:val="IRPsanstext"/>
        <w:ind w:left="720"/>
        <w:rPr>
          <w:b/>
          <w:color w:val="006C71"/>
          <w:sz w:val="28"/>
          <w:szCs w:val="28"/>
        </w:rPr>
      </w:pPr>
    </w:p>
    <w:p w14:paraId="4D4E6046" w14:textId="77777777" w:rsidR="00181AEF" w:rsidRDefault="00181AEF">
      <w:pPr>
        <w:rPr>
          <w:rFonts w:ascii="Arial" w:hAnsi="Arial"/>
          <w:b/>
          <w:color w:val="006C71"/>
          <w:sz w:val="28"/>
          <w:szCs w:val="28"/>
        </w:rPr>
      </w:pPr>
      <w:r>
        <w:rPr>
          <w:b/>
          <w:color w:val="006C71"/>
          <w:sz w:val="28"/>
          <w:szCs w:val="28"/>
        </w:rPr>
        <w:br w:type="page"/>
      </w:r>
    </w:p>
    <w:p w14:paraId="52D02F40" w14:textId="77777777" w:rsidR="00181AEF" w:rsidRDefault="00181AEF" w:rsidP="000A7792">
      <w:pPr>
        <w:pStyle w:val="IRPsanstext"/>
        <w:ind w:left="720"/>
        <w:rPr>
          <w:b/>
          <w:color w:val="006C71"/>
          <w:sz w:val="28"/>
          <w:szCs w:val="28"/>
        </w:rPr>
      </w:pPr>
    </w:p>
    <w:p w14:paraId="4963DD6F" w14:textId="14A65D1A" w:rsidR="000A7792" w:rsidRPr="007C4C3C" w:rsidRDefault="000A7792" w:rsidP="000A7792">
      <w:pPr>
        <w:pStyle w:val="IRPsanstext"/>
        <w:ind w:left="720"/>
        <w:rPr>
          <w:b/>
          <w:color w:val="006C71"/>
          <w:sz w:val="28"/>
          <w:szCs w:val="28"/>
        </w:rPr>
      </w:pPr>
      <w:r w:rsidRPr="007C4C3C">
        <w:rPr>
          <w:b/>
          <w:color w:val="006C71"/>
          <w:sz w:val="28"/>
          <w:szCs w:val="28"/>
        </w:rPr>
        <w:t>Combination #</w:t>
      </w:r>
      <w:r>
        <w:rPr>
          <w:b/>
          <w:color w:val="006C71"/>
          <w:sz w:val="28"/>
          <w:szCs w:val="28"/>
        </w:rPr>
        <w:t>7</w:t>
      </w:r>
      <w:r w:rsidRPr="007C4C3C">
        <w:rPr>
          <w:b/>
          <w:color w:val="006C71"/>
          <w:sz w:val="28"/>
          <w:szCs w:val="28"/>
        </w:rPr>
        <w:t xml:space="preserve"> – </w:t>
      </w:r>
      <w:proofErr w:type="spellStart"/>
      <w:r w:rsidRPr="007C4C3C">
        <w:rPr>
          <w:b/>
          <w:color w:val="006C71"/>
          <w:sz w:val="28"/>
          <w:szCs w:val="28"/>
        </w:rPr>
        <w:t>Swarr</w:t>
      </w:r>
      <w:proofErr w:type="spellEnd"/>
    </w:p>
    <w:p w14:paraId="1732C338" w14:textId="77777777" w:rsidR="000A7792" w:rsidRPr="00891D84" w:rsidRDefault="000A7792" w:rsidP="000A7792">
      <w:pPr>
        <w:pStyle w:val="IRPsanstext"/>
        <w:ind w:left="720"/>
      </w:pPr>
      <w:r w:rsidRPr="00891D84">
        <w:t xml:space="preserve">This is an upgrade to the existing </w:t>
      </w:r>
      <w:proofErr w:type="spellStart"/>
      <w:r w:rsidRPr="00891D84">
        <w:t>Swarr</w:t>
      </w:r>
      <w:proofErr w:type="spellEnd"/>
      <w:r w:rsidRPr="00891D84">
        <w:t xml:space="preserve"> LP-air facility</w:t>
      </w:r>
      <w:r>
        <w:t xml:space="preserve"> as discussed above</w:t>
      </w:r>
      <w:r w:rsidRPr="00891D84">
        <w:t xml:space="preserve">. This upgrade would increase the peak day planning capability from 10 </w:t>
      </w:r>
      <w:proofErr w:type="spellStart"/>
      <w:r w:rsidRPr="00891D84">
        <w:t>MDth</w:t>
      </w:r>
      <w:proofErr w:type="spellEnd"/>
      <w:r>
        <w:t xml:space="preserve"> per </w:t>
      </w:r>
      <w:r w:rsidRPr="00891D84">
        <w:t xml:space="preserve">day to 30 </w:t>
      </w:r>
      <w:proofErr w:type="spellStart"/>
      <w:r w:rsidRPr="00891D84">
        <w:t>MDth</w:t>
      </w:r>
      <w:proofErr w:type="spellEnd"/>
      <w:r>
        <w:t xml:space="preserve"> per </w:t>
      </w:r>
      <w:r w:rsidRPr="00891D84">
        <w:t>day.</w:t>
      </w:r>
      <w:r>
        <w:t xml:space="preserve"> This plant is located within PSE’s distribution network. </w:t>
      </w:r>
    </w:p>
    <w:p w14:paraId="1177F14C" w14:textId="77777777" w:rsidR="00862469" w:rsidRDefault="008C3221" w:rsidP="007C4C3C">
      <w:pPr>
        <w:pStyle w:val="IRPsanstext"/>
        <w:rPr>
          <w:i/>
        </w:rPr>
      </w:pPr>
      <w:r>
        <w:br/>
      </w:r>
      <w:r w:rsidR="00862469">
        <w:t>A schematic of the gas sales resource alternatives is depicted in Figure 7-9 below.</w:t>
      </w:r>
    </w:p>
    <w:p w14:paraId="41709BB2" w14:textId="77777777" w:rsidR="00862469" w:rsidRDefault="00862469" w:rsidP="007C4C3C">
      <w:pPr>
        <w:pStyle w:val="IRPFigureSub"/>
      </w:pPr>
    </w:p>
    <w:p w14:paraId="1811C027" w14:textId="77777777" w:rsidR="00862469" w:rsidRDefault="00862469" w:rsidP="008C3221">
      <w:pPr>
        <w:pStyle w:val="IRPFigureSub"/>
        <w:spacing w:after="120"/>
      </w:pPr>
      <w:r w:rsidRPr="008814B2">
        <w:t>Figure 7-</w:t>
      </w:r>
      <w:r>
        <w:t xml:space="preserve">9: </w:t>
      </w:r>
      <w:r w:rsidRPr="008814B2">
        <w:t>PSE Gas Transportation Map Showing Supply Alternatives</w:t>
      </w:r>
    </w:p>
    <w:p w14:paraId="7C054C64" w14:textId="77777777" w:rsidR="00862469" w:rsidRDefault="009930AB" w:rsidP="00862469">
      <w:pPr>
        <w:rPr>
          <w:rFonts w:ascii="Arial" w:hAnsi="Arial"/>
          <w:sz w:val="32"/>
          <w:szCs w:val="28"/>
        </w:rPr>
      </w:pPr>
      <w:r>
        <w:object w:dxaOrig="15108" w:dyaOrig="11644" w14:anchorId="7602D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pt;height:334pt" o:ole="">
            <v:imagedata r:id="rId14" o:title=""/>
          </v:shape>
          <o:OLEObject Type="Embed" ProgID="Visio.Drawing.11" ShapeID="_x0000_i1025" DrawAspect="Content" ObjectID="_1382520606" r:id="rId15"/>
        </w:object>
      </w:r>
      <w:r w:rsidR="00862469">
        <w:rPr>
          <w:b/>
          <w:sz w:val="28"/>
          <w:szCs w:val="28"/>
        </w:rPr>
        <w:br w:type="page"/>
      </w:r>
      <w:r w:rsidR="007C4C3C">
        <w:rPr>
          <w:b/>
          <w:sz w:val="28"/>
          <w:szCs w:val="28"/>
        </w:rPr>
        <w:lastRenderedPageBreak/>
        <w:br/>
      </w:r>
      <w:proofErr w:type="spellStart"/>
      <w:r w:rsidR="00862469" w:rsidRPr="00F747B2">
        <w:rPr>
          <w:rFonts w:ascii="Arial" w:hAnsi="Arial"/>
          <w:sz w:val="32"/>
          <w:szCs w:val="28"/>
        </w:rPr>
        <w:t>Baseload</w:t>
      </w:r>
      <w:proofErr w:type="spellEnd"/>
      <w:r w:rsidR="00862469" w:rsidRPr="00F747B2">
        <w:rPr>
          <w:rFonts w:ascii="Arial" w:hAnsi="Arial"/>
          <w:sz w:val="32"/>
          <w:szCs w:val="28"/>
        </w:rPr>
        <w:t xml:space="preserve"> Capacity Alternatives</w:t>
      </w:r>
    </w:p>
    <w:p w14:paraId="72508951" w14:textId="77777777" w:rsidR="00AD6374" w:rsidRDefault="00AD6374" w:rsidP="00862469">
      <w:pPr>
        <w:rPr>
          <w:rFonts w:ascii="Arial" w:hAnsi="Arial"/>
          <w:sz w:val="32"/>
          <w:szCs w:val="28"/>
        </w:rPr>
      </w:pPr>
    </w:p>
    <w:p w14:paraId="16B0E556" w14:textId="77777777" w:rsidR="00862469" w:rsidRPr="00B5394A" w:rsidRDefault="00862469" w:rsidP="00862469">
      <w:pPr>
        <w:pStyle w:val="IRPsanstext"/>
        <w:rPr>
          <w:sz w:val="32"/>
        </w:rPr>
      </w:pPr>
      <w:r w:rsidRPr="00AD6374">
        <w:rPr>
          <w:b/>
          <w:color w:val="006C71"/>
          <w:sz w:val="28"/>
          <w:szCs w:val="28"/>
        </w:rPr>
        <w:t>Direct-connect Pipeline Capacity Alternatives</w:t>
      </w:r>
      <w:r w:rsidRPr="00F747B2">
        <w:rPr>
          <w:b/>
          <w:color w:val="3366FF"/>
          <w:sz w:val="28"/>
          <w:szCs w:val="28"/>
        </w:rPr>
        <w:t>.</w:t>
      </w:r>
      <w:r>
        <w:rPr>
          <w:sz w:val="32"/>
        </w:rPr>
        <w:t xml:space="preserve"> </w:t>
      </w:r>
      <w:r w:rsidRPr="00B5394A">
        <w:t>The direct-connect pipeline alternatives considered in this I</w:t>
      </w:r>
      <w:r>
        <w:t>RP are summarized in Figure 7-10</w:t>
      </w:r>
      <w:r w:rsidRPr="00B5394A">
        <w:t xml:space="preserve"> below.</w:t>
      </w:r>
      <w:r w:rsidR="00AD6374">
        <w:br/>
      </w:r>
    </w:p>
    <w:p w14:paraId="1B5ABFEE" w14:textId="77777777" w:rsidR="00862469" w:rsidRDefault="00862469" w:rsidP="00AD6374">
      <w:pPr>
        <w:pStyle w:val="IRPFigureSub"/>
        <w:spacing w:after="120"/>
      </w:pPr>
      <w:r>
        <w:t>Figure 7-10: Direct-connect Pipeline Alternatives Analyzed</w:t>
      </w:r>
    </w:p>
    <w:tbl>
      <w:tblPr>
        <w:tblW w:w="8519" w:type="dxa"/>
        <w:jc w:val="center"/>
        <w:tblLook w:val="0000" w:firstRow="0" w:lastRow="0" w:firstColumn="0" w:lastColumn="0" w:noHBand="0" w:noVBand="0"/>
      </w:tblPr>
      <w:tblGrid>
        <w:gridCol w:w="3041"/>
        <w:gridCol w:w="5478"/>
      </w:tblGrid>
      <w:tr w:rsidR="00862469" w:rsidRPr="00685F1C" w14:paraId="5D74E58A" w14:textId="77777777">
        <w:trPr>
          <w:trHeight w:val="593"/>
          <w:jc w:val="center"/>
        </w:trPr>
        <w:tc>
          <w:tcPr>
            <w:tcW w:w="3041" w:type="dxa"/>
            <w:tcBorders>
              <w:top w:val="single" w:sz="4" w:space="0" w:color="auto"/>
              <w:left w:val="single" w:sz="4" w:space="0" w:color="auto"/>
            </w:tcBorders>
            <w:shd w:val="clear" w:color="auto" w:fill="006A71"/>
            <w:noWrap/>
            <w:vAlign w:val="center"/>
          </w:tcPr>
          <w:p w14:paraId="0381BCF8" w14:textId="77777777" w:rsidR="00FA348A" w:rsidRDefault="00862469" w:rsidP="00AD6374">
            <w:pPr>
              <w:ind w:left="28" w:hanging="28"/>
              <w:rPr>
                <w:rFonts w:ascii="Arial" w:hAnsi="Arial" w:cs="Arial"/>
                <w:b/>
                <w:color w:val="FFFFFF"/>
                <w:sz w:val="20"/>
                <w:szCs w:val="20"/>
              </w:rPr>
            </w:pPr>
            <w:r w:rsidRPr="00AD6374">
              <w:rPr>
                <w:rFonts w:ascii="Arial" w:hAnsi="Arial" w:cs="Arial"/>
                <w:b/>
                <w:color w:val="FFFFFF"/>
                <w:sz w:val="20"/>
                <w:szCs w:val="20"/>
              </w:rPr>
              <w:t xml:space="preserve">Direct-connect </w:t>
            </w:r>
          </w:p>
          <w:p w14:paraId="233B2FB7" w14:textId="77777777" w:rsidR="00862469" w:rsidRPr="00AD6374" w:rsidRDefault="00862469" w:rsidP="00AD6374">
            <w:pPr>
              <w:ind w:left="28" w:hanging="28"/>
              <w:rPr>
                <w:rFonts w:ascii="Arial" w:hAnsi="Arial" w:cs="Arial"/>
                <w:b/>
                <w:color w:val="FFFFFF"/>
                <w:sz w:val="20"/>
                <w:szCs w:val="20"/>
              </w:rPr>
            </w:pPr>
            <w:r w:rsidRPr="00AD6374">
              <w:rPr>
                <w:rFonts w:ascii="Arial" w:hAnsi="Arial" w:cs="Arial"/>
                <w:b/>
                <w:color w:val="FFFFFF"/>
                <w:sz w:val="20"/>
                <w:szCs w:val="20"/>
              </w:rPr>
              <w:t>Pipeline Alternatives</w:t>
            </w:r>
          </w:p>
        </w:tc>
        <w:tc>
          <w:tcPr>
            <w:tcW w:w="5478" w:type="dxa"/>
            <w:tcBorders>
              <w:top w:val="single" w:sz="4" w:space="0" w:color="auto"/>
              <w:right w:val="single" w:sz="4" w:space="0" w:color="auto"/>
            </w:tcBorders>
            <w:shd w:val="clear" w:color="auto" w:fill="006A71"/>
            <w:noWrap/>
            <w:vAlign w:val="center"/>
          </w:tcPr>
          <w:p w14:paraId="30A24D1C" w14:textId="77777777" w:rsidR="00862469" w:rsidRPr="00AD6374" w:rsidRDefault="00862469" w:rsidP="00AD6374">
            <w:pPr>
              <w:ind w:left="28" w:hanging="28"/>
              <w:rPr>
                <w:rFonts w:ascii="Arial" w:hAnsi="Arial" w:cs="Arial"/>
                <w:b/>
                <w:color w:val="FFFFFF"/>
                <w:sz w:val="20"/>
                <w:szCs w:val="20"/>
              </w:rPr>
            </w:pPr>
            <w:r w:rsidRPr="00AD6374">
              <w:rPr>
                <w:rFonts w:ascii="Arial" w:hAnsi="Arial" w:cs="Arial"/>
                <w:b/>
                <w:color w:val="FFFFFF"/>
                <w:sz w:val="20"/>
                <w:szCs w:val="20"/>
              </w:rPr>
              <w:t>Description</w:t>
            </w:r>
          </w:p>
        </w:tc>
      </w:tr>
      <w:tr w:rsidR="00862469" w:rsidRPr="00685F1C" w14:paraId="7C1FF926" w14:textId="77777777">
        <w:trPr>
          <w:trHeight w:hRule="exact" w:val="86"/>
          <w:jc w:val="center"/>
        </w:trPr>
        <w:tc>
          <w:tcPr>
            <w:tcW w:w="8519" w:type="dxa"/>
            <w:gridSpan w:val="2"/>
            <w:tcBorders>
              <w:left w:val="single" w:sz="4" w:space="0" w:color="auto"/>
              <w:bottom w:val="single" w:sz="4" w:space="0" w:color="auto"/>
              <w:right w:val="single" w:sz="4" w:space="0" w:color="auto"/>
            </w:tcBorders>
            <w:shd w:val="clear" w:color="auto" w:fill="807F83"/>
          </w:tcPr>
          <w:p w14:paraId="6896CC14" w14:textId="77777777" w:rsidR="00862469" w:rsidRPr="00AD6374" w:rsidRDefault="00862469" w:rsidP="00AD6374">
            <w:pPr>
              <w:ind w:left="28" w:hanging="28"/>
              <w:rPr>
                <w:rFonts w:ascii="Arial" w:hAnsi="Arial" w:cs="Arial"/>
                <w:sz w:val="20"/>
                <w:szCs w:val="20"/>
              </w:rPr>
            </w:pPr>
          </w:p>
        </w:tc>
      </w:tr>
      <w:tr w:rsidR="00862469" w:rsidRPr="00685F1C" w14:paraId="70D99489" w14:textId="77777777">
        <w:trPr>
          <w:trHeight w:val="800"/>
          <w:jc w:val="center"/>
        </w:trPr>
        <w:tc>
          <w:tcPr>
            <w:tcW w:w="3041" w:type="dxa"/>
            <w:tcBorders>
              <w:top w:val="single" w:sz="4" w:space="0" w:color="auto"/>
              <w:left w:val="single" w:sz="4" w:space="0" w:color="auto"/>
              <w:bottom w:val="single" w:sz="4" w:space="0" w:color="auto"/>
              <w:right w:val="single" w:sz="4" w:space="0" w:color="auto"/>
            </w:tcBorders>
            <w:shd w:val="clear" w:color="auto" w:fill="auto"/>
          </w:tcPr>
          <w:p w14:paraId="71A6177E" w14:textId="77777777" w:rsidR="00862469" w:rsidRPr="00AD6374" w:rsidRDefault="00862469" w:rsidP="00AD6374">
            <w:pPr>
              <w:spacing w:before="120" w:after="120"/>
              <w:ind w:left="28" w:hanging="28"/>
              <w:rPr>
                <w:rFonts w:ascii="Arial" w:hAnsi="Arial" w:cs="Arial"/>
                <w:sz w:val="20"/>
                <w:szCs w:val="20"/>
              </w:rPr>
            </w:pPr>
            <w:r w:rsidRPr="00AD6374">
              <w:rPr>
                <w:rFonts w:ascii="Arial" w:hAnsi="Arial" w:cs="Arial"/>
                <w:sz w:val="20"/>
                <w:szCs w:val="20"/>
              </w:rPr>
              <w:t>NWP - Sumas to PSE city gate</w:t>
            </w:r>
          </w:p>
          <w:p w14:paraId="0BE0442C" w14:textId="77777777" w:rsidR="00862469" w:rsidRPr="00AD6374" w:rsidRDefault="00862469" w:rsidP="00AD6374">
            <w:pPr>
              <w:spacing w:before="120" w:after="120"/>
              <w:ind w:left="28" w:hanging="28"/>
              <w:rPr>
                <w:rFonts w:ascii="Arial" w:hAnsi="Arial" w:cs="Arial"/>
                <w:i/>
                <w:sz w:val="20"/>
                <w:szCs w:val="20"/>
              </w:rPr>
            </w:pPr>
            <w:r w:rsidRPr="00AD6374">
              <w:rPr>
                <w:rFonts w:ascii="Arial" w:hAnsi="Arial" w:cs="Arial"/>
                <w:i/>
                <w:sz w:val="20"/>
                <w:szCs w:val="20"/>
              </w:rPr>
              <w:t>(</w:t>
            </w:r>
            <w:proofErr w:type="gramStart"/>
            <w:r w:rsidRPr="00AD6374">
              <w:rPr>
                <w:rFonts w:ascii="Arial" w:hAnsi="Arial" w:cs="Arial"/>
                <w:i/>
                <w:sz w:val="20"/>
                <w:szCs w:val="20"/>
              </w:rPr>
              <w:t>from</w:t>
            </w:r>
            <w:proofErr w:type="gramEnd"/>
            <w:r w:rsidRPr="00AD6374">
              <w:rPr>
                <w:rFonts w:ascii="Arial" w:hAnsi="Arial" w:cs="Arial"/>
                <w:i/>
                <w:sz w:val="20"/>
                <w:szCs w:val="20"/>
              </w:rPr>
              <w:t xml:space="preserve"> Combinations 1 &amp; 2)</w:t>
            </w:r>
          </w:p>
        </w:tc>
        <w:tc>
          <w:tcPr>
            <w:tcW w:w="5478" w:type="dxa"/>
            <w:tcBorders>
              <w:top w:val="single" w:sz="4" w:space="0" w:color="auto"/>
              <w:left w:val="nil"/>
              <w:bottom w:val="single" w:sz="4" w:space="0" w:color="auto"/>
              <w:right w:val="single" w:sz="4" w:space="0" w:color="auto"/>
            </w:tcBorders>
            <w:shd w:val="clear" w:color="auto" w:fill="FFFFFF"/>
          </w:tcPr>
          <w:p w14:paraId="35A40827" w14:textId="77777777" w:rsidR="00862469" w:rsidRPr="00AD6374" w:rsidRDefault="00862469" w:rsidP="00A96423">
            <w:pPr>
              <w:spacing w:before="120" w:after="120"/>
              <w:ind w:left="28" w:hanging="28"/>
              <w:rPr>
                <w:rFonts w:ascii="Arial" w:hAnsi="Arial" w:cs="Arial"/>
                <w:sz w:val="20"/>
                <w:szCs w:val="20"/>
              </w:rPr>
            </w:pPr>
            <w:r w:rsidRPr="00AD6374">
              <w:rPr>
                <w:rFonts w:ascii="Arial" w:hAnsi="Arial" w:cs="Arial"/>
                <w:sz w:val="20"/>
                <w:szCs w:val="20"/>
              </w:rPr>
              <w:t xml:space="preserve">Expansions considered either independently (from 2016 to 2018), or in conjunction with upstream pipeline/supply expansion alternatives (KORP or additional </w:t>
            </w:r>
            <w:proofErr w:type="spellStart"/>
            <w:r w:rsidRPr="00AD6374">
              <w:rPr>
                <w:rFonts w:ascii="Arial" w:hAnsi="Arial" w:cs="Arial"/>
                <w:sz w:val="20"/>
                <w:szCs w:val="20"/>
              </w:rPr>
              <w:t>Westcoast</w:t>
            </w:r>
            <w:proofErr w:type="spellEnd"/>
            <w:r w:rsidRPr="00AD6374">
              <w:rPr>
                <w:rFonts w:ascii="Arial" w:hAnsi="Arial" w:cs="Arial"/>
                <w:sz w:val="20"/>
                <w:szCs w:val="20"/>
              </w:rPr>
              <w:t xml:space="preserve"> capacity) assumed available </w:t>
            </w:r>
            <w:r w:rsidR="00A96423">
              <w:rPr>
                <w:rFonts w:ascii="Arial" w:hAnsi="Arial" w:cs="Arial"/>
                <w:sz w:val="20"/>
                <w:szCs w:val="20"/>
              </w:rPr>
              <w:t>October</w:t>
            </w:r>
            <w:r w:rsidR="00A96423" w:rsidRPr="00AD6374">
              <w:rPr>
                <w:rFonts w:ascii="Arial" w:hAnsi="Arial" w:cs="Arial"/>
                <w:sz w:val="20"/>
                <w:szCs w:val="20"/>
              </w:rPr>
              <w:t xml:space="preserve"> </w:t>
            </w:r>
            <w:r w:rsidRPr="00AD6374">
              <w:rPr>
                <w:rFonts w:ascii="Arial" w:hAnsi="Arial" w:cs="Arial"/>
                <w:sz w:val="20"/>
                <w:szCs w:val="20"/>
              </w:rPr>
              <w:t xml:space="preserve">2018. </w:t>
            </w:r>
          </w:p>
        </w:tc>
      </w:tr>
      <w:tr w:rsidR="00862469" w:rsidRPr="00685F1C" w14:paraId="4A9AD849" w14:textId="77777777">
        <w:trPr>
          <w:trHeight w:val="800"/>
          <w:jc w:val="center"/>
        </w:trPr>
        <w:tc>
          <w:tcPr>
            <w:tcW w:w="3041" w:type="dxa"/>
            <w:tcBorders>
              <w:top w:val="single" w:sz="4" w:space="0" w:color="auto"/>
              <w:left w:val="single" w:sz="4" w:space="0" w:color="auto"/>
              <w:bottom w:val="single" w:sz="4" w:space="0" w:color="auto"/>
              <w:right w:val="single" w:sz="4" w:space="0" w:color="auto"/>
            </w:tcBorders>
            <w:shd w:val="clear" w:color="auto" w:fill="auto"/>
          </w:tcPr>
          <w:p w14:paraId="662439D6" w14:textId="77777777" w:rsidR="00862469" w:rsidRPr="00AD6374" w:rsidRDefault="00862469" w:rsidP="00AD6374">
            <w:pPr>
              <w:spacing w:before="120" w:after="120"/>
              <w:ind w:left="28" w:hanging="28"/>
              <w:rPr>
                <w:rFonts w:ascii="Arial" w:hAnsi="Arial" w:cs="Arial"/>
                <w:sz w:val="20"/>
                <w:szCs w:val="20"/>
              </w:rPr>
            </w:pPr>
            <w:r w:rsidRPr="00AD6374">
              <w:rPr>
                <w:rFonts w:ascii="Arial" w:hAnsi="Arial" w:cs="Arial"/>
                <w:sz w:val="20"/>
                <w:szCs w:val="20"/>
              </w:rPr>
              <w:t xml:space="preserve">Cross Cascades – Stanfield/TC-GTN to PSE city gate </w:t>
            </w:r>
          </w:p>
          <w:p w14:paraId="16CBC081" w14:textId="77777777" w:rsidR="00862469" w:rsidRPr="00AD6374" w:rsidRDefault="00862469" w:rsidP="00AD6374">
            <w:pPr>
              <w:spacing w:before="120" w:after="120"/>
              <w:ind w:left="28" w:hanging="28"/>
              <w:rPr>
                <w:rFonts w:ascii="Arial" w:hAnsi="Arial" w:cs="Arial"/>
                <w:i/>
                <w:sz w:val="20"/>
                <w:szCs w:val="20"/>
              </w:rPr>
            </w:pPr>
            <w:r w:rsidRPr="00AD6374">
              <w:rPr>
                <w:rFonts w:ascii="Arial" w:hAnsi="Arial" w:cs="Arial"/>
                <w:i/>
                <w:sz w:val="20"/>
                <w:szCs w:val="20"/>
              </w:rPr>
              <w:t>(</w:t>
            </w:r>
            <w:proofErr w:type="gramStart"/>
            <w:r w:rsidRPr="00AD6374">
              <w:rPr>
                <w:rFonts w:ascii="Arial" w:hAnsi="Arial" w:cs="Arial"/>
                <w:i/>
                <w:sz w:val="20"/>
                <w:szCs w:val="20"/>
              </w:rPr>
              <w:t>from</w:t>
            </w:r>
            <w:proofErr w:type="gramEnd"/>
            <w:r w:rsidRPr="00AD6374">
              <w:rPr>
                <w:rFonts w:ascii="Arial" w:hAnsi="Arial" w:cs="Arial"/>
                <w:i/>
                <w:sz w:val="20"/>
                <w:szCs w:val="20"/>
              </w:rPr>
              <w:t xml:space="preserve"> Combinations 3 &amp; 4)</w:t>
            </w:r>
          </w:p>
        </w:tc>
        <w:tc>
          <w:tcPr>
            <w:tcW w:w="5478" w:type="dxa"/>
            <w:tcBorders>
              <w:top w:val="single" w:sz="4" w:space="0" w:color="auto"/>
              <w:left w:val="nil"/>
              <w:bottom w:val="single" w:sz="4" w:space="0" w:color="auto"/>
              <w:right w:val="single" w:sz="4" w:space="0" w:color="auto"/>
            </w:tcBorders>
            <w:shd w:val="clear" w:color="auto" w:fill="FFFFFF"/>
          </w:tcPr>
          <w:p w14:paraId="21A4CEB6" w14:textId="77777777" w:rsidR="00862469" w:rsidRPr="00AD6374" w:rsidRDefault="00862469" w:rsidP="00AD6374">
            <w:pPr>
              <w:spacing w:before="120" w:after="120"/>
              <w:ind w:left="28" w:hanging="28"/>
              <w:rPr>
                <w:rFonts w:ascii="Arial" w:hAnsi="Arial" w:cs="Arial"/>
                <w:sz w:val="20"/>
                <w:szCs w:val="20"/>
              </w:rPr>
            </w:pPr>
            <w:r w:rsidRPr="00AD6374">
              <w:rPr>
                <w:rFonts w:ascii="Arial" w:hAnsi="Arial" w:cs="Arial"/>
                <w:sz w:val="20"/>
                <w:szCs w:val="20"/>
              </w:rPr>
              <w:t xml:space="preserve">Representative of costs and capacity of the proposed Cross Cascades pipeline with delivery on NWP to PSE city gate. Assumed to be available by 2018. </w:t>
            </w:r>
          </w:p>
        </w:tc>
      </w:tr>
    </w:tbl>
    <w:p w14:paraId="31683CE4" w14:textId="77777777" w:rsidR="00862469" w:rsidRPr="00AD6374" w:rsidRDefault="00862469" w:rsidP="00862469">
      <w:pPr>
        <w:pStyle w:val="IRPsanstext"/>
        <w:rPr>
          <w:color w:val="006C71"/>
          <w:sz w:val="32"/>
        </w:rPr>
      </w:pPr>
    </w:p>
    <w:p w14:paraId="06F4BE8A" w14:textId="77777777" w:rsidR="00862469" w:rsidRDefault="00862469" w:rsidP="00862469">
      <w:pPr>
        <w:pStyle w:val="IRPsanstext"/>
      </w:pPr>
      <w:proofErr w:type="gramStart"/>
      <w:r w:rsidRPr="00AD6374">
        <w:rPr>
          <w:b/>
          <w:color w:val="006C71"/>
          <w:sz w:val="28"/>
          <w:szCs w:val="28"/>
        </w:rPr>
        <w:t>Upstream Pipeline Capacity Alternatives.</w:t>
      </w:r>
      <w:proofErr w:type="gramEnd"/>
      <w:r>
        <w:rPr>
          <w:sz w:val="28"/>
        </w:rPr>
        <w:t xml:space="preserve"> </w:t>
      </w:r>
      <w:r>
        <w:t xml:space="preserve">In some cases, a tradeoff exists between buying gas at one point and buying capacity to enable purchase at an upstream point closer to the supply basin.  PSE has faced this tradeoff with supply purchases at the Canadian import points of Sumas and Kingsgate. For example, previous analyses led the company to acquire capacity on </w:t>
      </w:r>
      <w:proofErr w:type="spellStart"/>
      <w:r>
        <w:t>Westcoast</w:t>
      </w:r>
      <w:proofErr w:type="spellEnd"/>
      <w:r>
        <w:t xml:space="preserve"> Energy’s BC Pipeline (</w:t>
      </w:r>
      <w:proofErr w:type="spellStart"/>
      <w:r>
        <w:t>Westcoast</w:t>
      </w:r>
      <w:proofErr w:type="spellEnd"/>
      <w:r>
        <w:t xml:space="preserve">), which allows </w:t>
      </w:r>
      <w:r w:rsidR="00B67636">
        <w:t>PSE</w:t>
      </w:r>
      <w:r w:rsidR="00B67636" w:rsidRPr="00891D84">
        <w:t xml:space="preserve"> </w:t>
      </w:r>
      <w:r>
        <w:t xml:space="preserve">to purchase gas at Station 2 rather than Sumas and take advantage of greater supply availability at Station 2. Similarly, acquisition of additional upstream pipeline capacity on TransCanada’s Canadian and U.S. pipelines would enable </w:t>
      </w:r>
      <w:r w:rsidR="00B67636">
        <w:t>PSE</w:t>
      </w:r>
      <w:r w:rsidR="00B67636" w:rsidRPr="00891D84">
        <w:t xml:space="preserve"> </w:t>
      </w:r>
      <w:r>
        <w:t xml:space="preserve">to purchase gas directly from suppliers at the very liquid AECO trading hub and transport it to interconnect with the proposed Cross Cascades pipeline on a firm basis. </w:t>
      </w:r>
      <w:proofErr w:type="spellStart"/>
      <w:r>
        <w:t>FortisBC</w:t>
      </w:r>
      <w:proofErr w:type="spellEnd"/>
      <w:r>
        <w:t xml:space="preserve"> and Spectra have proposed the KORP, which in conjunction with additional capacity on TransCanada’s Canadian </w:t>
      </w:r>
      <w:proofErr w:type="gramStart"/>
      <w:r>
        <w:t>pipelines,</w:t>
      </w:r>
      <w:proofErr w:type="gramEnd"/>
      <w:r>
        <w:t xml:space="preserve"> would also increase access to AECO supplies.</w:t>
      </w:r>
    </w:p>
    <w:p w14:paraId="763E6116" w14:textId="77777777" w:rsidR="00862469" w:rsidRDefault="00862469" w:rsidP="00862469">
      <w:pPr>
        <w:pStyle w:val="IRPsanstext"/>
      </w:pPr>
    </w:p>
    <w:p w14:paraId="521F8898" w14:textId="77777777" w:rsidR="00862469" w:rsidRDefault="00862469" w:rsidP="00AD6374">
      <w:pPr>
        <w:pStyle w:val="IRPFigureSub"/>
        <w:spacing w:after="120"/>
      </w:pPr>
      <w:r>
        <w:br w:type="page"/>
      </w:r>
      <w:r w:rsidR="00AD6374">
        <w:lastRenderedPageBreak/>
        <w:br/>
      </w:r>
      <w:r>
        <w:t xml:space="preserve">Figure 7-11: </w:t>
      </w:r>
      <w:r w:rsidRPr="00950015">
        <w:t>Upstream Pipeline Alternatives Analyzed</w:t>
      </w:r>
    </w:p>
    <w:tbl>
      <w:tblPr>
        <w:tblW w:w="8568" w:type="dxa"/>
        <w:jc w:val="center"/>
        <w:tblLook w:val="0000" w:firstRow="0" w:lastRow="0" w:firstColumn="0" w:lastColumn="0" w:noHBand="0" w:noVBand="0"/>
      </w:tblPr>
      <w:tblGrid>
        <w:gridCol w:w="3008"/>
        <w:gridCol w:w="5560"/>
      </w:tblGrid>
      <w:tr w:rsidR="00862469" w:rsidRPr="00685F1C" w14:paraId="19CC03D9" w14:textId="77777777">
        <w:trPr>
          <w:trHeight w:val="584"/>
          <w:jc w:val="center"/>
        </w:trPr>
        <w:tc>
          <w:tcPr>
            <w:tcW w:w="3008" w:type="dxa"/>
            <w:tcBorders>
              <w:top w:val="single" w:sz="4" w:space="0" w:color="auto"/>
              <w:left w:val="single" w:sz="4" w:space="0" w:color="auto"/>
            </w:tcBorders>
            <w:shd w:val="clear" w:color="auto" w:fill="006A71"/>
            <w:noWrap/>
            <w:vAlign w:val="center"/>
          </w:tcPr>
          <w:p w14:paraId="1EC815F3" w14:textId="77777777" w:rsidR="00FA348A" w:rsidRDefault="00FA348A" w:rsidP="00862469">
            <w:pPr>
              <w:rPr>
                <w:rFonts w:ascii="Arial" w:hAnsi="Arial" w:cs="Arial"/>
                <w:b/>
                <w:color w:val="FFFFFF"/>
                <w:sz w:val="20"/>
                <w:szCs w:val="20"/>
              </w:rPr>
            </w:pPr>
            <w:r>
              <w:rPr>
                <w:rFonts w:ascii="Arial" w:hAnsi="Arial" w:cs="Arial"/>
                <w:b/>
                <w:color w:val="FFFFFF"/>
                <w:sz w:val="20"/>
                <w:szCs w:val="20"/>
              </w:rPr>
              <w:t>Upstream</w:t>
            </w:r>
            <w:r w:rsidR="00862469" w:rsidRPr="00AD6374">
              <w:rPr>
                <w:rFonts w:ascii="Arial" w:hAnsi="Arial" w:cs="Arial"/>
                <w:b/>
                <w:color w:val="FFFFFF"/>
                <w:sz w:val="20"/>
                <w:szCs w:val="20"/>
              </w:rPr>
              <w:t xml:space="preserve"> </w:t>
            </w:r>
          </w:p>
          <w:p w14:paraId="7CFEBFE0" w14:textId="77777777" w:rsidR="00862469" w:rsidRPr="00AD6374" w:rsidRDefault="00862469" w:rsidP="00862469">
            <w:pPr>
              <w:rPr>
                <w:rFonts w:ascii="Arial" w:hAnsi="Arial" w:cs="Arial"/>
                <w:b/>
                <w:color w:val="FFFFFF"/>
                <w:sz w:val="20"/>
                <w:szCs w:val="20"/>
              </w:rPr>
            </w:pPr>
            <w:r w:rsidRPr="00AD6374">
              <w:rPr>
                <w:rFonts w:ascii="Arial" w:hAnsi="Arial" w:cs="Arial"/>
                <w:b/>
                <w:color w:val="FFFFFF"/>
                <w:sz w:val="20"/>
                <w:szCs w:val="20"/>
              </w:rPr>
              <w:t>Pipeline Alternatives</w:t>
            </w:r>
          </w:p>
        </w:tc>
        <w:tc>
          <w:tcPr>
            <w:tcW w:w="5560" w:type="dxa"/>
            <w:tcBorders>
              <w:top w:val="single" w:sz="4" w:space="0" w:color="auto"/>
              <w:right w:val="single" w:sz="4" w:space="0" w:color="auto"/>
            </w:tcBorders>
            <w:shd w:val="clear" w:color="auto" w:fill="006A71"/>
            <w:noWrap/>
            <w:vAlign w:val="center"/>
          </w:tcPr>
          <w:p w14:paraId="5413E1D8" w14:textId="77777777" w:rsidR="00862469" w:rsidRPr="00AD6374" w:rsidRDefault="00862469" w:rsidP="00862469">
            <w:pPr>
              <w:rPr>
                <w:rFonts w:ascii="Arial" w:hAnsi="Arial" w:cs="Arial"/>
                <w:b/>
                <w:color w:val="FFFFFF"/>
                <w:sz w:val="20"/>
                <w:szCs w:val="20"/>
              </w:rPr>
            </w:pPr>
            <w:r w:rsidRPr="00AD6374">
              <w:rPr>
                <w:rFonts w:ascii="Arial" w:hAnsi="Arial" w:cs="Arial"/>
                <w:b/>
                <w:color w:val="FFFFFF"/>
                <w:sz w:val="20"/>
                <w:szCs w:val="20"/>
              </w:rPr>
              <w:t>Description</w:t>
            </w:r>
          </w:p>
        </w:tc>
      </w:tr>
      <w:tr w:rsidR="00862469" w:rsidRPr="00685F1C" w14:paraId="4D60B9B0" w14:textId="77777777">
        <w:trPr>
          <w:trHeight w:hRule="exact" w:val="86"/>
          <w:jc w:val="center"/>
        </w:trPr>
        <w:tc>
          <w:tcPr>
            <w:tcW w:w="8568" w:type="dxa"/>
            <w:gridSpan w:val="2"/>
            <w:tcBorders>
              <w:left w:val="single" w:sz="4" w:space="0" w:color="auto"/>
              <w:bottom w:val="single" w:sz="4" w:space="0" w:color="auto"/>
              <w:right w:val="single" w:sz="4" w:space="0" w:color="auto"/>
            </w:tcBorders>
            <w:shd w:val="clear" w:color="auto" w:fill="807F83"/>
          </w:tcPr>
          <w:p w14:paraId="42BC5048" w14:textId="77777777" w:rsidR="00862469" w:rsidRPr="00AD6374" w:rsidRDefault="00862469" w:rsidP="00862469">
            <w:pPr>
              <w:rPr>
                <w:rFonts w:ascii="Arial" w:hAnsi="Arial" w:cs="Arial"/>
                <w:sz w:val="20"/>
                <w:szCs w:val="20"/>
              </w:rPr>
            </w:pPr>
          </w:p>
        </w:tc>
      </w:tr>
      <w:tr w:rsidR="00862469" w:rsidRPr="00685F1C" w14:paraId="18BFB8F9" w14:textId="77777777">
        <w:trPr>
          <w:trHeight w:val="998"/>
          <w:jc w:val="center"/>
        </w:trPr>
        <w:tc>
          <w:tcPr>
            <w:tcW w:w="3008" w:type="dxa"/>
            <w:tcBorders>
              <w:top w:val="single" w:sz="4" w:space="0" w:color="auto"/>
              <w:left w:val="single" w:sz="4" w:space="0" w:color="auto"/>
              <w:bottom w:val="single" w:sz="4" w:space="0" w:color="auto"/>
              <w:right w:val="single" w:sz="4" w:space="0" w:color="auto"/>
            </w:tcBorders>
            <w:shd w:val="clear" w:color="auto" w:fill="auto"/>
          </w:tcPr>
          <w:p w14:paraId="12C0857C" w14:textId="77777777" w:rsidR="00862469" w:rsidRPr="00AD6374" w:rsidRDefault="00862469" w:rsidP="00862469">
            <w:pPr>
              <w:spacing w:before="120" w:after="120"/>
              <w:rPr>
                <w:rFonts w:ascii="Arial" w:hAnsi="Arial" w:cs="Arial"/>
                <w:sz w:val="20"/>
                <w:szCs w:val="20"/>
              </w:rPr>
            </w:pPr>
            <w:r w:rsidRPr="00AD6374">
              <w:rPr>
                <w:rFonts w:ascii="Arial" w:hAnsi="Arial" w:cs="Arial"/>
                <w:sz w:val="20"/>
                <w:szCs w:val="20"/>
              </w:rPr>
              <w:t xml:space="preserve">Increase </w:t>
            </w:r>
            <w:proofErr w:type="spellStart"/>
            <w:r w:rsidRPr="00AD6374">
              <w:rPr>
                <w:rFonts w:ascii="Arial" w:hAnsi="Arial" w:cs="Arial"/>
                <w:sz w:val="20"/>
                <w:szCs w:val="20"/>
              </w:rPr>
              <w:t>Westcoast</w:t>
            </w:r>
            <w:proofErr w:type="spellEnd"/>
            <w:r w:rsidRPr="00AD6374">
              <w:rPr>
                <w:rFonts w:ascii="Arial" w:hAnsi="Arial" w:cs="Arial"/>
                <w:sz w:val="20"/>
                <w:szCs w:val="20"/>
              </w:rPr>
              <w:t xml:space="preserve"> Capacity </w:t>
            </w:r>
          </w:p>
          <w:p w14:paraId="7ECD92C7" w14:textId="77777777" w:rsidR="00862469" w:rsidRPr="00AD6374" w:rsidRDefault="00862469" w:rsidP="00862469">
            <w:pPr>
              <w:spacing w:before="120" w:after="120"/>
              <w:rPr>
                <w:rFonts w:ascii="Arial" w:hAnsi="Arial" w:cs="Arial"/>
                <w:sz w:val="20"/>
                <w:szCs w:val="20"/>
              </w:rPr>
            </w:pPr>
            <w:r w:rsidRPr="00AD6374">
              <w:rPr>
                <w:rFonts w:ascii="Arial" w:hAnsi="Arial" w:cs="Arial"/>
                <w:sz w:val="20"/>
                <w:szCs w:val="20"/>
              </w:rPr>
              <w:t>(Station 2 to PSE)</w:t>
            </w:r>
          </w:p>
          <w:p w14:paraId="2F84C6FE" w14:textId="77777777" w:rsidR="00862469" w:rsidRPr="00FA348A" w:rsidRDefault="00862469" w:rsidP="00862469">
            <w:pPr>
              <w:spacing w:before="120" w:after="120"/>
              <w:rPr>
                <w:rFonts w:ascii="Arial" w:hAnsi="Arial" w:cs="Arial"/>
                <w:i/>
                <w:sz w:val="20"/>
                <w:szCs w:val="20"/>
              </w:rPr>
            </w:pPr>
            <w:r w:rsidRPr="00AD6374">
              <w:rPr>
                <w:rFonts w:ascii="Arial" w:hAnsi="Arial" w:cs="Arial"/>
                <w:i/>
                <w:sz w:val="20"/>
                <w:szCs w:val="20"/>
              </w:rPr>
              <w:t>(</w:t>
            </w:r>
            <w:proofErr w:type="gramStart"/>
            <w:r w:rsidRPr="00AD6374">
              <w:rPr>
                <w:rFonts w:ascii="Arial" w:hAnsi="Arial" w:cs="Arial"/>
                <w:i/>
                <w:sz w:val="20"/>
                <w:szCs w:val="20"/>
              </w:rPr>
              <w:t>from</w:t>
            </w:r>
            <w:proofErr w:type="gramEnd"/>
            <w:r w:rsidRPr="00AD6374">
              <w:rPr>
                <w:rFonts w:ascii="Arial" w:hAnsi="Arial" w:cs="Arial"/>
                <w:i/>
                <w:sz w:val="20"/>
                <w:szCs w:val="20"/>
              </w:rPr>
              <w:t xml:space="preserve"> Combination 1)</w:t>
            </w:r>
          </w:p>
        </w:tc>
        <w:tc>
          <w:tcPr>
            <w:tcW w:w="5560" w:type="dxa"/>
            <w:tcBorders>
              <w:top w:val="single" w:sz="4" w:space="0" w:color="auto"/>
              <w:left w:val="nil"/>
              <w:bottom w:val="single" w:sz="4" w:space="0" w:color="auto"/>
              <w:right w:val="single" w:sz="4" w:space="0" w:color="auto"/>
            </w:tcBorders>
            <w:shd w:val="clear" w:color="auto" w:fill="FFFFFF"/>
          </w:tcPr>
          <w:p w14:paraId="13D2CAEE" w14:textId="77777777" w:rsidR="00862469" w:rsidRPr="00AD6374" w:rsidRDefault="00862469" w:rsidP="00862469">
            <w:pPr>
              <w:spacing w:before="120" w:after="120"/>
              <w:rPr>
                <w:rFonts w:ascii="Arial" w:hAnsi="Arial" w:cs="Arial"/>
                <w:sz w:val="20"/>
                <w:szCs w:val="20"/>
              </w:rPr>
            </w:pPr>
            <w:r w:rsidRPr="00AD6374">
              <w:rPr>
                <w:rFonts w:ascii="Arial" w:hAnsi="Arial" w:cs="Arial"/>
                <w:sz w:val="20"/>
                <w:szCs w:val="20"/>
              </w:rPr>
              <w:t xml:space="preserve">Acquisition of currently </w:t>
            </w:r>
            <w:proofErr w:type="spellStart"/>
            <w:r w:rsidRPr="00AD6374">
              <w:rPr>
                <w:rFonts w:ascii="Arial" w:hAnsi="Arial" w:cs="Arial"/>
                <w:sz w:val="20"/>
                <w:szCs w:val="20"/>
              </w:rPr>
              <w:t>uncontracted</w:t>
            </w:r>
            <w:proofErr w:type="spellEnd"/>
            <w:r w:rsidRPr="00AD6374">
              <w:rPr>
                <w:rFonts w:ascii="Arial" w:hAnsi="Arial" w:cs="Arial"/>
                <w:sz w:val="20"/>
                <w:szCs w:val="20"/>
              </w:rPr>
              <w:t xml:space="preserve"> </w:t>
            </w:r>
            <w:proofErr w:type="spellStart"/>
            <w:r w:rsidRPr="00AD6374">
              <w:rPr>
                <w:rFonts w:ascii="Arial" w:hAnsi="Arial" w:cs="Arial"/>
                <w:sz w:val="20"/>
                <w:szCs w:val="20"/>
              </w:rPr>
              <w:t>Westcoast</w:t>
            </w:r>
            <w:proofErr w:type="spellEnd"/>
            <w:r w:rsidRPr="00AD6374">
              <w:rPr>
                <w:rFonts w:ascii="Arial" w:hAnsi="Arial" w:cs="Arial"/>
                <w:sz w:val="20"/>
                <w:szCs w:val="20"/>
              </w:rPr>
              <w:t xml:space="preserve"> capacity is considered to increase access to gas supply at Station 2 for delivery to PSE on expanded NWP capacity from Sumas.</w:t>
            </w:r>
          </w:p>
        </w:tc>
      </w:tr>
      <w:tr w:rsidR="00862469" w:rsidRPr="00685F1C" w14:paraId="2FCE97E5" w14:textId="77777777">
        <w:trPr>
          <w:trHeight w:val="1185"/>
          <w:jc w:val="center"/>
        </w:trPr>
        <w:tc>
          <w:tcPr>
            <w:tcW w:w="3008" w:type="dxa"/>
            <w:tcBorders>
              <w:top w:val="single" w:sz="4" w:space="0" w:color="auto"/>
              <w:left w:val="single" w:sz="4" w:space="0" w:color="auto"/>
              <w:bottom w:val="single" w:sz="4" w:space="0" w:color="auto"/>
              <w:right w:val="single" w:sz="4" w:space="0" w:color="auto"/>
            </w:tcBorders>
            <w:shd w:val="clear" w:color="auto" w:fill="auto"/>
          </w:tcPr>
          <w:p w14:paraId="0E27D7E4" w14:textId="77777777" w:rsidR="00862469" w:rsidRPr="00AD6374" w:rsidRDefault="00862469" w:rsidP="00862469">
            <w:pPr>
              <w:spacing w:before="120" w:after="120"/>
              <w:rPr>
                <w:rFonts w:ascii="Arial" w:hAnsi="Arial" w:cs="Arial"/>
                <w:sz w:val="20"/>
                <w:szCs w:val="20"/>
              </w:rPr>
            </w:pPr>
            <w:r w:rsidRPr="00AD6374">
              <w:rPr>
                <w:rFonts w:ascii="Arial" w:hAnsi="Arial" w:cs="Arial"/>
                <w:sz w:val="20"/>
                <w:szCs w:val="20"/>
              </w:rPr>
              <w:t>Increase TransCanada Pipeline Capacity</w:t>
            </w:r>
          </w:p>
          <w:p w14:paraId="2991F87B" w14:textId="77777777" w:rsidR="00862469" w:rsidRPr="00AD6374" w:rsidRDefault="00862469" w:rsidP="00862469">
            <w:pPr>
              <w:spacing w:before="120" w:after="120"/>
              <w:rPr>
                <w:rFonts w:ascii="Arial" w:hAnsi="Arial" w:cs="Arial"/>
                <w:sz w:val="20"/>
                <w:szCs w:val="20"/>
              </w:rPr>
            </w:pPr>
            <w:r w:rsidRPr="00AD6374">
              <w:rPr>
                <w:rFonts w:ascii="Arial" w:hAnsi="Arial" w:cs="Arial"/>
                <w:sz w:val="20"/>
                <w:szCs w:val="20"/>
              </w:rPr>
              <w:t>(AECO to Stanfield)</w:t>
            </w:r>
          </w:p>
          <w:p w14:paraId="5FF6586E" w14:textId="77777777" w:rsidR="00862469" w:rsidRPr="00AD6374" w:rsidRDefault="00862469" w:rsidP="00862469">
            <w:pPr>
              <w:spacing w:before="120" w:after="120"/>
              <w:rPr>
                <w:rFonts w:ascii="Arial" w:hAnsi="Arial" w:cs="Arial"/>
                <w:i/>
                <w:sz w:val="20"/>
                <w:szCs w:val="20"/>
              </w:rPr>
            </w:pPr>
            <w:r w:rsidRPr="00AD6374">
              <w:rPr>
                <w:rFonts w:ascii="Arial" w:hAnsi="Arial" w:cs="Arial"/>
                <w:i/>
                <w:sz w:val="20"/>
                <w:szCs w:val="20"/>
              </w:rPr>
              <w:t>(</w:t>
            </w:r>
            <w:proofErr w:type="gramStart"/>
            <w:r w:rsidRPr="00AD6374">
              <w:rPr>
                <w:rFonts w:ascii="Arial" w:hAnsi="Arial" w:cs="Arial"/>
                <w:i/>
                <w:sz w:val="20"/>
                <w:szCs w:val="20"/>
              </w:rPr>
              <w:t>from</w:t>
            </w:r>
            <w:proofErr w:type="gramEnd"/>
            <w:r w:rsidRPr="00AD6374">
              <w:rPr>
                <w:rFonts w:ascii="Arial" w:hAnsi="Arial" w:cs="Arial"/>
                <w:i/>
                <w:sz w:val="20"/>
                <w:szCs w:val="20"/>
              </w:rPr>
              <w:t xml:space="preserve"> Combinations 2 &amp; 3)</w:t>
            </w:r>
          </w:p>
        </w:tc>
        <w:tc>
          <w:tcPr>
            <w:tcW w:w="5560" w:type="dxa"/>
            <w:tcBorders>
              <w:top w:val="single" w:sz="4" w:space="0" w:color="auto"/>
              <w:left w:val="nil"/>
              <w:bottom w:val="single" w:sz="4" w:space="0" w:color="auto"/>
              <w:right w:val="single" w:sz="4" w:space="0" w:color="auto"/>
            </w:tcBorders>
            <w:shd w:val="clear" w:color="auto" w:fill="FFFFFF"/>
          </w:tcPr>
          <w:p w14:paraId="08AB5453" w14:textId="77777777" w:rsidR="00862469" w:rsidRPr="00AD6374" w:rsidRDefault="00862469" w:rsidP="00862469">
            <w:pPr>
              <w:spacing w:before="120" w:after="120"/>
              <w:rPr>
                <w:rFonts w:ascii="Arial" w:hAnsi="Arial" w:cs="Arial"/>
                <w:sz w:val="20"/>
                <w:szCs w:val="20"/>
              </w:rPr>
            </w:pPr>
            <w:r w:rsidRPr="00AD6374">
              <w:rPr>
                <w:rFonts w:ascii="Arial" w:hAnsi="Arial" w:cs="Arial"/>
                <w:sz w:val="20"/>
                <w:szCs w:val="20"/>
              </w:rPr>
              <w:t xml:space="preserve">Acquisition of currently </w:t>
            </w:r>
            <w:proofErr w:type="spellStart"/>
            <w:r w:rsidRPr="00AD6374">
              <w:rPr>
                <w:rFonts w:ascii="Arial" w:hAnsi="Arial" w:cs="Arial"/>
                <w:sz w:val="20"/>
                <w:szCs w:val="20"/>
              </w:rPr>
              <w:t>uncontracted</w:t>
            </w:r>
            <w:proofErr w:type="spellEnd"/>
            <w:r w:rsidRPr="00AD6374">
              <w:rPr>
                <w:rFonts w:ascii="Arial" w:hAnsi="Arial" w:cs="Arial"/>
                <w:sz w:val="20"/>
                <w:szCs w:val="20"/>
              </w:rPr>
              <w:t xml:space="preserve"> capacity of TransCanada pipeline capacity in Canada (TC-AB &amp; TC-BC) and on TC-GTN in the U.S., to increase deliveries of AECO gas to Stanfield for delivery to PSE city gate via the proposed Cross Cascades pipeline.</w:t>
            </w:r>
          </w:p>
        </w:tc>
      </w:tr>
      <w:tr w:rsidR="00862469" w:rsidRPr="00685F1C" w14:paraId="4F527EB4" w14:textId="77777777">
        <w:trPr>
          <w:trHeight w:val="1185"/>
          <w:jc w:val="center"/>
        </w:trPr>
        <w:tc>
          <w:tcPr>
            <w:tcW w:w="3008" w:type="dxa"/>
            <w:tcBorders>
              <w:top w:val="single" w:sz="4" w:space="0" w:color="auto"/>
              <w:left w:val="single" w:sz="4" w:space="0" w:color="auto"/>
              <w:bottom w:val="single" w:sz="4" w:space="0" w:color="auto"/>
              <w:right w:val="single" w:sz="4" w:space="0" w:color="auto"/>
            </w:tcBorders>
            <w:shd w:val="clear" w:color="auto" w:fill="auto"/>
          </w:tcPr>
          <w:p w14:paraId="23A5F852" w14:textId="77777777" w:rsidR="00862469" w:rsidRPr="00AD6374" w:rsidRDefault="00862469" w:rsidP="00862469">
            <w:pPr>
              <w:spacing w:before="120" w:after="120"/>
              <w:rPr>
                <w:rFonts w:ascii="Arial" w:hAnsi="Arial" w:cs="Arial"/>
                <w:sz w:val="20"/>
                <w:szCs w:val="20"/>
              </w:rPr>
            </w:pPr>
            <w:proofErr w:type="spellStart"/>
            <w:r w:rsidRPr="00AD6374">
              <w:rPr>
                <w:rFonts w:ascii="Arial" w:hAnsi="Arial" w:cs="Arial"/>
                <w:sz w:val="20"/>
                <w:szCs w:val="20"/>
              </w:rPr>
              <w:t>Kingsvale</w:t>
            </w:r>
            <w:proofErr w:type="spellEnd"/>
            <w:r w:rsidRPr="00AD6374">
              <w:rPr>
                <w:rFonts w:ascii="Arial" w:hAnsi="Arial" w:cs="Arial"/>
                <w:sz w:val="20"/>
                <w:szCs w:val="20"/>
              </w:rPr>
              <w:t>-Oliver Reinforcement Project (KORP)</w:t>
            </w:r>
          </w:p>
          <w:p w14:paraId="31342A3F" w14:textId="77777777" w:rsidR="00862469" w:rsidRPr="00AD6374" w:rsidRDefault="00862469" w:rsidP="00862469">
            <w:pPr>
              <w:spacing w:before="120" w:after="120"/>
              <w:rPr>
                <w:rFonts w:ascii="Arial" w:hAnsi="Arial" w:cs="Arial"/>
                <w:i/>
                <w:sz w:val="20"/>
                <w:szCs w:val="20"/>
              </w:rPr>
            </w:pPr>
            <w:r w:rsidRPr="00AD6374">
              <w:rPr>
                <w:rFonts w:ascii="Arial" w:hAnsi="Arial" w:cs="Arial"/>
                <w:i/>
                <w:sz w:val="20"/>
                <w:szCs w:val="20"/>
              </w:rPr>
              <w:t>(</w:t>
            </w:r>
            <w:proofErr w:type="gramStart"/>
            <w:r w:rsidRPr="00AD6374">
              <w:rPr>
                <w:rFonts w:ascii="Arial" w:hAnsi="Arial" w:cs="Arial"/>
                <w:i/>
                <w:sz w:val="20"/>
                <w:szCs w:val="20"/>
              </w:rPr>
              <w:t>from</w:t>
            </w:r>
            <w:proofErr w:type="gramEnd"/>
            <w:r w:rsidRPr="00AD6374">
              <w:rPr>
                <w:rFonts w:ascii="Arial" w:hAnsi="Arial" w:cs="Arial"/>
                <w:i/>
                <w:sz w:val="20"/>
                <w:szCs w:val="20"/>
              </w:rPr>
              <w:t xml:space="preserve"> Combination 2)</w:t>
            </w:r>
          </w:p>
          <w:p w14:paraId="39457F2A" w14:textId="77777777" w:rsidR="00862469" w:rsidRPr="00AD6374" w:rsidRDefault="00862469" w:rsidP="00862469">
            <w:pPr>
              <w:spacing w:before="120" w:after="120"/>
              <w:rPr>
                <w:rFonts w:ascii="Arial" w:hAnsi="Arial" w:cs="Arial"/>
                <w:sz w:val="20"/>
                <w:szCs w:val="20"/>
              </w:rPr>
            </w:pPr>
          </w:p>
        </w:tc>
        <w:tc>
          <w:tcPr>
            <w:tcW w:w="5560" w:type="dxa"/>
            <w:tcBorders>
              <w:top w:val="single" w:sz="4" w:space="0" w:color="auto"/>
              <w:left w:val="nil"/>
              <w:bottom w:val="single" w:sz="4" w:space="0" w:color="auto"/>
              <w:right w:val="single" w:sz="4" w:space="0" w:color="auto"/>
            </w:tcBorders>
            <w:shd w:val="clear" w:color="auto" w:fill="FFFFFF"/>
          </w:tcPr>
          <w:p w14:paraId="3A2C44A7" w14:textId="77777777" w:rsidR="00862469" w:rsidRPr="00AD6374" w:rsidRDefault="00862469" w:rsidP="00862469">
            <w:pPr>
              <w:spacing w:before="120" w:after="120"/>
              <w:rPr>
                <w:rFonts w:ascii="Arial" w:hAnsi="Arial" w:cs="Arial"/>
                <w:sz w:val="20"/>
                <w:szCs w:val="20"/>
              </w:rPr>
            </w:pPr>
            <w:r w:rsidRPr="00AD6374">
              <w:rPr>
                <w:rFonts w:ascii="Arial" w:hAnsi="Arial" w:cs="Arial"/>
                <w:sz w:val="20"/>
                <w:szCs w:val="20"/>
              </w:rPr>
              <w:t xml:space="preserve">Expansion of the existing </w:t>
            </w:r>
            <w:proofErr w:type="spellStart"/>
            <w:r w:rsidRPr="00AD6374">
              <w:rPr>
                <w:rFonts w:ascii="Arial" w:hAnsi="Arial" w:cs="Arial"/>
                <w:sz w:val="20"/>
                <w:szCs w:val="20"/>
              </w:rPr>
              <w:t>FortisBC</w:t>
            </w:r>
            <w:proofErr w:type="spellEnd"/>
            <w:r w:rsidRPr="00AD6374">
              <w:rPr>
                <w:rFonts w:ascii="Arial" w:hAnsi="Arial" w:cs="Arial"/>
                <w:sz w:val="20"/>
                <w:szCs w:val="20"/>
              </w:rPr>
              <w:t xml:space="preserve"> Southern Crossing pipeline across southern B.C., enhanced delivery capacity on </w:t>
            </w:r>
            <w:proofErr w:type="spellStart"/>
            <w:r w:rsidRPr="00AD6374">
              <w:rPr>
                <w:rFonts w:ascii="Arial" w:hAnsi="Arial" w:cs="Arial"/>
                <w:sz w:val="20"/>
                <w:szCs w:val="20"/>
              </w:rPr>
              <w:t>Westcoast</w:t>
            </w:r>
            <w:proofErr w:type="spellEnd"/>
            <w:r w:rsidRPr="00AD6374">
              <w:rPr>
                <w:rFonts w:ascii="Arial" w:hAnsi="Arial" w:cs="Arial"/>
                <w:sz w:val="20"/>
                <w:szCs w:val="20"/>
              </w:rPr>
              <w:t xml:space="preserve"> from </w:t>
            </w:r>
            <w:proofErr w:type="spellStart"/>
            <w:r w:rsidRPr="00AD6374">
              <w:rPr>
                <w:rFonts w:ascii="Arial" w:hAnsi="Arial" w:cs="Arial"/>
                <w:sz w:val="20"/>
                <w:szCs w:val="20"/>
              </w:rPr>
              <w:t>Kingsvale</w:t>
            </w:r>
            <w:proofErr w:type="spellEnd"/>
            <w:r w:rsidRPr="00AD6374">
              <w:rPr>
                <w:rFonts w:ascii="Arial" w:hAnsi="Arial" w:cs="Arial"/>
                <w:sz w:val="20"/>
                <w:szCs w:val="20"/>
              </w:rPr>
              <w:t xml:space="preserve"> to Huntingdon/Sumas. This alternative would include a commensurate acquisition of </w:t>
            </w:r>
            <w:proofErr w:type="spellStart"/>
            <w:r w:rsidRPr="00AD6374">
              <w:rPr>
                <w:rFonts w:ascii="Arial" w:hAnsi="Arial" w:cs="Arial"/>
                <w:sz w:val="20"/>
                <w:szCs w:val="20"/>
              </w:rPr>
              <w:t>uncontracted</w:t>
            </w:r>
            <w:proofErr w:type="spellEnd"/>
            <w:r w:rsidRPr="00AD6374">
              <w:rPr>
                <w:rFonts w:ascii="Arial" w:hAnsi="Arial" w:cs="Arial"/>
                <w:sz w:val="20"/>
                <w:szCs w:val="20"/>
              </w:rPr>
              <w:t xml:space="preserve"> capacity on the TC-AB and TC-BC pipelines.</w:t>
            </w:r>
          </w:p>
        </w:tc>
      </w:tr>
      <w:tr w:rsidR="001D31E6" w:rsidRPr="00AD6374" w14:paraId="14EB0A75" w14:textId="77777777">
        <w:trPr>
          <w:trHeight w:val="1185"/>
          <w:jc w:val="center"/>
        </w:trPr>
        <w:tc>
          <w:tcPr>
            <w:tcW w:w="3008" w:type="dxa"/>
            <w:tcBorders>
              <w:top w:val="single" w:sz="4" w:space="0" w:color="auto"/>
              <w:left w:val="single" w:sz="4" w:space="0" w:color="auto"/>
              <w:bottom w:val="single" w:sz="4" w:space="0" w:color="auto"/>
              <w:right w:val="single" w:sz="4" w:space="0" w:color="auto"/>
            </w:tcBorders>
            <w:shd w:val="clear" w:color="auto" w:fill="auto"/>
          </w:tcPr>
          <w:p w14:paraId="2AD39689" w14:textId="77777777" w:rsidR="001D31E6" w:rsidRDefault="001D31E6" w:rsidP="001D31E6">
            <w:pPr>
              <w:spacing w:before="120" w:after="120"/>
              <w:rPr>
                <w:rFonts w:ascii="Arial" w:hAnsi="Arial" w:cs="Arial"/>
                <w:sz w:val="20"/>
                <w:szCs w:val="20"/>
              </w:rPr>
            </w:pPr>
            <w:r w:rsidRPr="00093C7E">
              <w:rPr>
                <w:rFonts w:ascii="Arial" w:hAnsi="Arial" w:cs="Arial"/>
                <w:sz w:val="20"/>
                <w:szCs w:val="20"/>
              </w:rPr>
              <w:t xml:space="preserve">GTN Backhaul from </w:t>
            </w:r>
            <w:proofErr w:type="spellStart"/>
            <w:r w:rsidRPr="00093C7E">
              <w:rPr>
                <w:rFonts w:ascii="Arial" w:hAnsi="Arial" w:cs="Arial"/>
                <w:sz w:val="20"/>
                <w:szCs w:val="20"/>
              </w:rPr>
              <w:t>Malin</w:t>
            </w:r>
            <w:proofErr w:type="spellEnd"/>
            <w:r w:rsidRPr="00093C7E">
              <w:rPr>
                <w:rFonts w:ascii="Arial" w:hAnsi="Arial" w:cs="Arial"/>
                <w:sz w:val="20"/>
                <w:szCs w:val="20"/>
              </w:rPr>
              <w:t xml:space="preserve"> to Stanfield  (</w:t>
            </w:r>
            <w:proofErr w:type="spellStart"/>
            <w:r w:rsidRPr="00093C7E">
              <w:rPr>
                <w:rFonts w:ascii="Arial" w:hAnsi="Arial" w:cs="Arial"/>
                <w:sz w:val="20"/>
                <w:szCs w:val="20"/>
              </w:rPr>
              <w:t>Malin</w:t>
            </w:r>
            <w:proofErr w:type="spellEnd"/>
            <w:r w:rsidRPr="00093C7E">
              <w:rPr>
                <w:rFonts w:ascii="Arial" w:hAnsi="Arial" w:cs="Arial"/>
                <w:sz w:val="20"/>
                <w:szCs w:val="20"/>
              </w:rPr>
              <w:t xml:space="preserve"> to Stanfield)</w:t>
            </w:r>
          </w:p>
          <w:p w14:paraId="1242C2C4" w14:textId="77777777" w:rsidR="001D31E6" w:rsidRPr="00AD6374" w:rsidRDefault="009761E3" w:rsidP="001D31E6">
            <w:pPr>
              <w:spacing w:before="120" w:after="120"/>
              <w:rPr>
                <w:rFonts w:ascii="Arial" w:hAnsi="Arial" w:cs="Arial"/>
                <w:sz w:val="20"/>
                <w:szCs w:val="20"/>
              </w:rPr>
            </w:pPr>
            <w:r w:rsidRPr="009761E3">
              <w:rPr>
                <w:rFonts w:ascii="Arial" w:hAnsi="Arial" w:cs="Arial"/>
                <w:i/>
                <w:sz w:val="20"/>
                <w:szCs w:val="20"/>
              </w:rPr>
              <w:t>(</w:t>
            </w:r>
            <w:proofErr w:type="gramStart"/>
            <w:r w:rsidRPr="009761E3">
              <w:rPr>
                <w:rFonts w:ascii="Arial" w:hAnsi="Arial" w:cs="Arial"/>
                <w:i/>
                <w:sz w:val="20"/>
                <w:szCs w:val="20"/>
              </w:rPr>
              <w:t>from</w:t>
            </w:r>
            <w:proofErr w:type="gramEnd"/>
            <w:r w:rsidRPr="009761E3">
              <w:rPr>
                <w:rFonts w:ascii="Arial" w:hAnsi="Arial" w:cs="Arial"/>
                <w:i/>
                <w:sz w:val="20"/>
                <w:szCs w:val="20"/>
              </w:rPr>
              <w:t xml:space="preserve"> Combination 4)</w:t>
            </w:r>
          </w:p>
        </w:tc>
        <w:tc>
          <w:tcPr>
            <w:tcW w:w="5560" w:type="dxa"/>
            <w:tcBorders>
              <w:top w:val="single" w:sz="4" w:space="0" w:color="auto"/>
              <w:left w:val="nil"/>
              <w:bottom w:val="single" w:sz="4" w:space="0" w:color="auto"/>
              <w:right w:val="single" w:sz="4" w:space="0" w:color="auto"/>
            </w:tcBorders>
            <w:shd w:val="clear" w:color="auto" w:fill="FFFFFF"/>
          </w:tcPr>
          <w:p w14:paraId="26368723" w14:textId="77777777" w:rsidR="001D31E6" w:rsidRPr="00AD6374" w:rsidRDefault="001D31E6" w:rsidP="001D31E6">
            <w:pPr>
              <w:spacing w:before="120" w:after="120"/>
              <w:rPr>
                <w:rFonts w:ascii="Arial" w:hAnsi="Arial" w:cs="Arial"/>
                <w:sz w:val="20"/>
                <w:szCs w:val="20"/>
              </w:rPr>
            </w:pPr>
            <w:r w:rsidRPr="003E2D2F">
              <w:rPr>
                <w:rFonts w:ascii="Arial" w:hAnsi="Arial" w:cs="Arial"/>
                <w:sz w:val="20"/>
                <w:szCs w:val="20"/>
              </w:rPr>
              <w:t>Acquisition of GTN Backhaul c</w:t>
            </w:r>
            <w:r>
              <w:rPr>
                <w:rFonts w:ascii="Arial" w:hAnsi="Arial" w:cs="Arial"/>
                <w:sz w:val="20"/>
                <w:szCs w:val="20"/>
              </w:rPr>
              <w:t xml:space="preserve">apacity from </w:t>
            </w:r>
            <w:proofErr w:type="spellStart"/>
            <w:r>
              <w:rPr>
                <w:rFonts w:ascii="Arial" w:hAnsi="Arial" w:cs="Arial"/>
                <w:sz w:val="20"/>
                <w:szCs w:val="20"/>
              </w:rPr>
              <w:t>Malin</w:t>
            </w:r>
            <w:proofErr w:type="spellEnd"/>
            <w:r>
              <w:rPr>
                <w:rFonts w:ascii="Arial" w:hAnsi="Arial" w:cs="Arial"/>
                <w:sz w:val="20"/>
                <w:szCs w:val="20"/>
              </w:rPr>
              <w:t xml:space="preserve"> to Stanfield to provide access to </w:t>
            </w:r>
            <w:proofErr w:type="spellStart"/>
            <w:r>
              <w:rPr>
                <w:rFonts w:ascii="Arial" w:hAnsi="Arial" w:cs="Arial"/>
                <w:sz w:val="20"/>
                <w:szCs w:val="20"/>
              </w:rPr>
              <w:t>Malin</w:t>
            </w:r>
            <w:proofErr w:type="spellEnd"/>
            <w:r>
              <w:rPr>
                <w:rFonts w:ascii="Arial" w:hAnsi="Arial" w:cs="Arial"/>
                <w:sz w:val="20"/>
                <w:szCs w:val="20"/>
              </w:rPr>
              <w:t xml:space="preserve"> hub and connect over proposed Cross Cascades pipeline to PSE.</w:t>
            </w:r>
          </w:p>
        </w:tc>
      </w:tr>
    </w:tbl>
    <w:p w14:paraId="17FCDB96" w14:textId="77777777" w:rsidR="00862469" w:rsidRDefault="00862469" w:rsidP="00862469">
      <w:pPr>
        <w:pStyle w:val="IRPsanstext"/>
      </w:pPr>
    </w:p>
    <w:p w14:paraId="5A80BBFE" w14:textId="77777777" w:rsidR="00862469" w:rsidRDefault="00862469" w:rsidP="00862469">
      <w:pPr>
        <w:pStyle w:val="IRPsanstext"/>
      </w:pPr>
      <w:r>
        <w:t xml:space="preserve">The KORP alternative includes PSE participation in an expansion of the existing </w:t>
      </w:r>
      <w:proofErr w:type="spellStart"/>
      <w:r>
        <w:t>FortisBC</w:t>
      </w:r>
      <w:proofErr w:type="spellEnd"/>
      <w:r>
        <w:t xml:space="preserve"> pipeline across southern British </w:t>
      </w:r>
      <w:proofErr w:type="gramStart"/>
      <w:r>
        <w:t>Columbia which</w:t>
      </w:r>
      <w:proofErr w:type="gramEnd"/>
      <w:r>
        <w:t xml:space="preserve"> includes a cooperative arrangement with </w:t>
      </w:r>
      <w:proofErr w:type="spellStart"/>
      <w:r>
        <w:t>Westcoast</w:t>
      </w:r>
      <w:proofErr w:type="spellEnd"/>
      <w:r>
        <w:t xml:space="preserve"> for deliveries from </w:t>
      </w:r>
      <w:proofErr w:type="spellStart"/>
      <w:r>
        <w:t>Kingsvale</w:t>
      </w:r>
      <w:proofErr w:type="spellEnd"/>
      <w:r>
        <w:t xml:space="preserve"> to Huntingdon/Sumas. Acquisition of this capacity, as well as additional capacity on the TC-AB and TC-BC lines, would improve access to the AECO trading hub. While not inexpensive, such an alternative would increase geographic diversity and reduce reliance on British Columbia-sourced supply connected to upstream portions of </w:t>
      </w:r>
      <w:proofErr w:type="spellStart"/>
      <w:r>
        <w:t>Westcoast</w:t>
      </w:r>
      <w:proofErr w:type="spellEnd"/>
      <w:r>
        <w:t>.</w:t>
      </w:r>
    </w:p>
    <w:p w14:paraId="17B8E973" w14:textId="77777777" w:rsidR="00AD6374" w:rsidRDefault="00AD6374">
      <w:pPr>
        <w:rPr>
          <w:rFonts w:ascii="Arial" w:hAnsi="Arial" w:cs="Arial"/>
          <w:b/>
          <w:color w:val="006C71"/>
          <w:sz w:val="32"/>
          <w:szCs w:val="32"/>
        </w:rPr>
      </w:pPr>
      <w:r>
        <w:br w:type="page"/>
      </w:r>
    </w:p>
    <w:p w14:paraId="2BE0A304" w14:textId="77777777" w:rsidR="00862469" w:rsidRPr="00AD6374" w:rsidRDefault="00862469" w:rsidP="00862469">
      <w:pPr>
        <w:pStyle w:val="IRPsecthead2sans"/>
        <w:rPr>
          <w:sz w:val="20"/>
          <w:szCs w:val="20"/>
        </w:rPr>
      </w:pPr>
    </w:p>
    <w:p w14:paraId="63DA99CE" w14:textId="77777777" w:rsidR="00862469" w:rsidRPr="00F747B2" w:rsidRDefault="00862469" w:rsidP="00AD6374">
      <w:pPr>
        <w:spacing w:before="120"/>
        <w:ind w:left="576" w:hanging="576"/>
        <w:rPr>
          <w:rFonts w:ascii="Arial" w:hAnsi="Arial"/>
          <w:sz w:val="32"/>
          <w:szCs w:val="20"/>
        </w:rPr>
      </w:pPr>
      <w:r w:rsidRPr="00F747B2">
        <w:rPr>
          <w:rFonts w:ascii="Arial" w:hAnsi="Arial"/>
          <w:sz w:val="32"/>
          <w:szCs w:val="20"/>
        </w:rPr>
        <w:t>Storage and Peaking Capacity Alternatives</w:t>
      </w:r>
    </w:p>
    <w:p w14:paraId="544B6D5E" w14:textId="77777777" w:rsidR="00862469" w:rsidRPr="00AD6374" w:rsidRDefault="00862469" w:rsidP="00AD6374">
      <w:pPr>
        <w:pStyle w:val="IRPsanstext"/>
      </w:pPr>
    </w:p>
    <w:p w14:paraId="6CAFA0D0" w14:textId="77777777" w:rsidR="00862469" w:rsidRPr="00AD6374" w:rsidRDefault="00862469" w:rsidP="00AD6374">
      <w:pPr>
        <w:pStyle w:val="IRPsanstext"/>
      </w:pPr>
      <w:r w:rsidRPr="00AD6374">
        <w:t xml:space="preserve">As described in the existing resources section, PSE is a one-third owner and operator of the Jackson Prairie storage facility, and </w:t>
      </w:r>
      <w:r w:rsidR="00B67636">
        <w:t>PSE</w:t>
      </w:r>
      <w:r w:rsidR="00B67636" w:rsidRPr="00891D84">
        <w:t xml:space="preserve"> </w:t>
      </w:r>
      <w:r w:rsidRPr="00AD6374">
        <w:t>also contract</w:t>
      </w:r>
      <w:r w:rsidR="00B67636">
        <w:t>s</w:t>
      </w:r>
      <w:r w:rsidRPr="00AD6374">
        <w:t xml:space="preserve"> for capacity at the Clay Basin storage facility located in northeastern Utah. Additional pipeline capacity from Clay Basin is not available and storage expansion is not under consideration. Expanding storage capacity at Jackson Prairie is not analyzed in this IRP although it may prove feasible in the long run. For this IRP, the company considered the following storage alternatives.</w:t>
      </w:r>
    </w:p>
    <w:p w14:paraId="28B93A75" w14:textId="77777777" w:rsidR="00862469" w:rsidRPr="00AD6374" w:rsidRDefault="00862469" w:rsidP="00AD6374">
      <w:pPr>
        <w:pStyle w:val="IRPsanstext"/>
      </w:pPr>
    </w:p>
    <w:p w14:paraId="65046DBF" w14:textId="77777777" w:rsidR="00862469" w:rsidRPr="00AD6374" w:rsidRDefault="00121B7B" w:rsidP="00AD6374">
      <w:pPr>
        <w:pStyle w:val="IRPsanstext"/>
      </w:pPr>
      <w:r>
        <w:rPr>
          <w:b/>
          <w:color w:val="006C71"/>
          <w:sz w:val="28"/>
          <w:szCs w:val="28"/>
        </w:rPr>
        <w:t xml:space="preserve">PSE </w:t>
      </w:r>
      <w:r w:rsidR="00862469" w:rsidRPr="00AD6374">
        <w:rPr>
          <w:b/>
          <w:color w:val="006C71"/>
          <w:sz w:val="28"/>
          <w:szCs w:val="28"/>
        </w:rPr>
        <w:t>LNG Project.</w:t>
      </w:r>
      <w:r w:rsidR="00862469" w:rsidRPr="00AD6374">
        <w:t xml:space="preserve"> PSE is developing a small-scale LNG liquefaction and storage facility within its service territory to serve the peaking needs of PSE’s core gas customers and the growing demand for LNG as a marine a</w:t>
      </w:r>
      <w:r w:rsidR="00FE2597">
        <w:t>nd vehicle transportation fuel.</w:t>
      </w:r>
      <w:r w:rsidR="00862469" w:rsidRPr="00AD6374">
        <w:t xml:space="preserve"> The economies of scale afforded by a combined-use facility may make this a cost-effective </w:t>
      </w:r>
      <w:r w:rsidR="002158C8">
        <w:t>resource for gas customers</w:t>
      </w:r>
      <w:r w:rsidR="00FE2597">
        <w:t>.</w:t>
      </w:r>
      <w:r w:rsidR="00862469" w:rsidRPr="00AD6374">
        <w:t xml:space="preserve"> </w:t>
      </w:r>
    </w:p>
    <w:p w14:paraId="75F33105" w14:textId="77777777" w:rsidR="00862469" w:rsidRPr="00AD6374" w:rsidRDefault="00862469" w:rsidP="00AD6374">
      <w:pPr>
        <w:pStyle w:val="IRPsanstext"/>
      </w:pPr>
    </w:p>
    <w:p w14:paraId="0DAC7798" w14:textId="77777777" w:rsidR="00862469" w:rsidRDefault="00862469" w:rsidP="00AD6374">
      <w:pPr>
        <w:pStyle w:val="IRPsanstext"/>
      </w:pPr>
      <w:r w:rsidRPr="00AD6374">
        <w:t xml:space="preserve">The </w:t>
      </w:r>
      <w:r w:rsidR="002158C8">
        <w:t xml:space="preserve">peaking component of the </w:t>
      </w:r>
      <w:r w:rsidR="00121B7B">
        <w:t xml:space="preserve">PSE </w:t>
      </w:r>
      <w:r w:rsidRPr="00AD6374">
        <w:t xml:space="preserve">LNG Project would utilize gas purchased by the PSE gas sales portfolio throughout the year, transported over NWP and PSE distribution system to the plant, where it would be liquefied and stored. Under peak demand conditions, up to 66,000 </w:t>
      </w:r>
      <w:proofErr w:type="spellStart"/>
      <w:r w:rsidRPr="00AD6374">
        <w:t>Dth</w:t>
      </w:r>
      <w:proofErr w:type="spellEnd"/>
      <w:r w:rsidRPr="00AD6374">
        <w:t xml:space="preserve"> per day of PSE’s 538,039 </w:t>
      </w:r>
      <w:proofErr w:type="spellStart"/>
      <w:r w:rsidRPr="00AD6374">
        <w:t>Dth</w:t>
      </w:r>
      <w:proofErr w:type="spellEnd"/>
      <w:r w:rsidRPr="00AD6374">
        <w:t xml:space="preserve"> share of stored LNG would be vaporized and injected back into the PSE gas distribution system to meet customer demand. In addition, under peak demand conditions, up to 19,000 </w:t>
      </w:r>
      <w:proofErr w:type="spellStart"/>
      <w:r w:rsidRPr="00AD6374">
        <w:t>Dth</w:t>
      </w:r>
      <w:proofErr w:type="spellEnd"/>
      <w:r w:rsidRPr="00AD6374">
        <w:t xml:space="preserve"> per day of natural gas flowing on NWP to serve the daily liquefaction requirements of LNG transportation fuel customers could be diverted to other PSE gas distribution system interconnects to serve PSE customers. The diverted gas volumes would be replaced with PSE-owned LNG already in storage to keep the LNG transportation fuel customers whole. As configured, the PSE LNG Project would provide a </w:t>
      </w:r>
      <w:r w:rsidR="00121B7B">
        <w:t xml:space="preserve">peaking </w:t>
      </w:r>
      <w:r w:rsidRPr="00AD6374">
        <w:t xml:space="preserve">resource of up to 85,000 </w:t>
      </w:r>
      <w:proofErr w:type="spellStart"/>
      <w:r w:rsidRPr="00AD6374">
        <w:t>Dth</w:t>
      </w:r>
      <w:proofErr w:type="spellEnd"/>
      <w:r w:rsidRPr="00AD6374">
        <w:t xml:space="preserve"> per day to PSE gas sales customers for the equivalent of approximately 6 days per year. For analysis purposes, the facility is assumed to enter service </w:t>
      </w:r>
      <w:r w:rsidR="002158C8">
        <w:t>for the 2018-19 heating season</w:t>
      </w:r>
      <w:r w:rsidRPr="00AD6374">
        <w:t xml:space="preserve">, with 69,000 </w:t>
      </w:r>
      <w:proofErr w:type="spellStart"/>
      <w:r w:rsidRPr="00AD6374">
        <w:t>Dth</w:t>
      </w:r>
      <w:proofErr w:type="spellEnd"/>
      <w:r w:rsidRPr="00AD6374">
        <w:t xml:space="preserve"> per day peaking service </w:t>
      </w:r>
      <w:r w:rsidR="003956DE">
        <w:t>(providing an 8</w:t>
      </w:r>
      <w:r w:rsidR="00123BCD">
        <w:t>-</w:t>
      </w:r>
      <w:r w:rsidR="003956DE">
        <w:t>day supply)</w:t>
      </w:r>
      <w:r w:rsidR="00123BCD">
        <w:t>,</w:t>
      </w:r>
      <w:r w:rsidR="003956DE">
        <w:t xml:space="preserve"> </w:t>
      </w:r>
      <w:r w:rsidRPr="00AD6374">
        <w:t xml:space="preserve">and the full 85,000 </w:t>
      </w:r>
      <w:proofErr w:type="spellStart"/>
      <w:r w:rsidRPr="00AD6374">
        <w:t>Dth</w:t>
      </w:r>
      <w:proofErr w:type="spellEnd"/>
      <w:r w:rsidRPr="00AD6374">
        <w:t xml:space="preserve"> per day peaking capacity </w:t>
      </w:r>
      <w:r w:rsidR="003956DE">
        <w:t>(</w:t>
      </w:r>
      <w:r w:rsidR="00123BCD">
        <w:t>providing a 6-</w:t>
      </w:r>
      <w:r w:rsidR="003956DE">
        <w:t xml:space="preserve">day supply) </w:t>
      </w:r>
      <w:r w:rsidR="00123BCD">
        <w:t xml:space="preserve">is assumed </w:t>
      </w:r>
      <w:r w:rsidRPr="00AD6374">
        <w:t xml:space="preserve">available at the start of the </w:t>
      </w:r>
      <w:proofErr w:type="gramStart"/>
      <w:r w:rsidRPr="00AD6374">
        <w:t>2020-21 winter</w:t>
      </w:r>
      <w:proofErr w:type="gramEnd"/>
      <w:r w:rsidRPr="00AD6374">
        <w:t xml:space="preserve"> season.</w:t>
      </w:r>
    </w:p>
    <w:p w14:paraId="2C74AF8D" w14:textId="77777777" w:rsidR="00137D55" w:rsidRDefault="00137D55" w:rsidP="00AD6374">
      <w:pPr>
        <w:pStyle w:val="IRPsanstext"/>
      </w:pPr>
    </w:p>
    <w:p w14:paraId="137F89F2" w14:textId="77777777" w:rsidR="002158C8" w:rsidRPr="00AD6374" w:rsidRDefault="002158C8" w:rsidP="002158C8">
      <w:pPr>
        <w:pStyle w:val="IRPsanstext"/>
      </w:pPr>
      <w:r w:rsidRPr="00AD6374">
        <w:rPr>
          <w:b/>
          <w:color w:val="006C71"/>
          <w:sz w:val="28"/>
          <w:szCs w:val="28"/>
        </w:rPr>
        <w:t>Mist Expansion.</w:t>
      </w:r>
      <w:r w:rsidRPr="00AD6374">
        <w:t xml:space="preserve"> NW Natural Gas Company, the owner and operator of the Mist underground storage facility near Portland, Ore., is investigating a potential expansion project to be completed in 2016</w:t>
      </w:r>
      <w:r>
        <w:t>-2017</w:t>
      </w:r>
      <w:r w:rsidRPr="00AD6374">
        <w:t xml:space="preserve">. PSE is assessing the cost-effectiveness of leasing storage capacity </w:t>
      </w:r>
      <w:r>
        <w:t xml:space="preserve">beginning November 2018, </w:t>
      </w:r>
      <w:r w:rsidRPr="00AD6374">
        <w:t xml:space="preserve">once Mist is built. This would also require expansion of </w:t>
      </w:r>
      <w:r>
        <w:t>NWP’s interstate system to PSE’s city gate</w:t>
      </w:r>
      <w:r w:rsidRPr="00AD6374">
        <w:t>.</w:t>
      </w:r>
      <w:r>
        <w:t xml:space="preserve"> </w:t>
      </w:r>
      <w:r>
        <w:rPr>
          <w:rFonts w:eastAsia="Times New Roman"/>
        </w:rPr>
        <w:t>PSE may be able to acquire discounted winter only capacity from Mist to PSE's city gate if NWP expands from Sumas to Portland for other shippers, however, that has not been modeled due to the unknown timeline for that potential project.</w:t>
      </w:r>
      <w:r>
        <w:t xml:space="preserve"> </w:t>
      </w:r>
    </w:p>
    <w:p w14:paraId="1EDBB49A" w14:textId="77777777" w:rsidR="00CE3BBD" w:rsidRDefault="00CE3BBD">
      <w:pPr>
        <w:rPr>
          <w:rFonts w:ascii="Arial" w:hAnsi="Arial"/>
          <w:b/>
          <w:color w:val="006C71"/>
          <w:sz w:val="28"/>
          <w:szCs w:val="28"/>
        </w:rPr>
      </w:pPr>
      <w:r>
        <w:rPr>
          <w:b/>
          <w:color w:val="006C71"/>
          <w:sz w:val="28"/>
          <w:szCs w:val="28"/>
        </w:rPr>
        <w:br w:type="page"/>
      </w:r>
    </w:p>
    <w:p w14:paraId="6DAC2773" w14:textId="77777777" w:rsidR="00CE3BBD" w:rsidRDefault="00CE3BBD" w:rsidP="00AD6374">
      <w:pPr>
        <w:pStyle w:val="IRPsanstext"/>
        <w:rPr>
          <w:b/>
          <w:color w:val="006C71"/>
          <w:sz w:val="28"/>
          <w:szCs w:val="28"/>
        </w:rPr>
      </w:pPr>
    </w:p>
    <w:p w14:paraId="007246C4" w14:textId="77777777" w:rsidR="00862469" w:rsidRPr="00AD6374" w:rsidRDefault="00137D55" w:rsidP="00AD6374">
      <w:pPr>
        <w:pStyle w:val="IRPsanstext"/>
      </w:pPr>
      <w:proofErr w:type="spellStart"/>
      <w:r>
        <w:rPr>
          <w:b/>
          <w:color w:val="006C71"/>
          <w:sz w:val="28"/>
          <w:szCs w:val="28"/>
        </w:rPr>
        <w:t>Swarr</w:t>
      </w:r>
      <w:proofErr w:type="spellEnd"/>
      <w:r w:rsidRPr="00AD6374">
        <w:rPr>
          <w:b/>
          <w:color w:val="006C71"/>
          <w:sz w:val="28"/>
          <w:szCs w:val="28"/>
        </w:rPr>
        <w:t>.</w:t>
      </w:r>
      <w:r w:rsidRPr="00AD6374">
        <w:t xml:space="preserve"> </w:t>
      </w:r>
      <w:r w:rsidRPr="00891D84">
        <w:t xml:space="preserve">The </w:t>
      </w:r>
      <w:proofErr w:type="spellStart"/>
      <w:r w:rsidRPr="00891D84">
        <w:t>Swarr</w:t>
      </w:r>
      <w:proofErr w:type="spellEnd"/>
      <w:r w:rsidRPr="00891D84">
        <w:t xml:space="preserve"> LP-Air facility </w:t>
      </w:r>
      <w:r>
        <w:t xml:space="preserve">is discussed above under </w:t>
      </w:r>
      <w:r w:rsidR="00893189">
        <w:t>“</w:t>
      </w:r>
      <w:r>
        <w:t>Existing Peaking Supply and Capacity Resources</w:t>
      </w:r>
      <w:r w:rsidR="00156604">
        <w:t>.</w:t>
      </w:r>
      <w:r w:rsidR="00893189">
        <w:t>”</w:t>
      </w:r>
      <w:r w:rsidR="00156604">
        <w:t xml:space="preserve">  This resource alternative is being evaluated as PSE is in </w:t>
      </w:r>
      <w:r w:rsidR="00893189">
        <w:t xml:space="preserve">the </w:t>
      </w:r>
      <w:r w:rsidR="00156604">
        <w:t xml:space="preserve">preliminary stages of upgrading </w:t>
      </w:r>
      <w:proofErr w:type="spellStart"/>
      <w:r w:rsidR="00156604">
        <w:t>Swarr</w:t>
      </w:r>
      <w:r>
        <w:t>’s</w:t>
      </w:r>
      <w:proofErr w:type="spellEnd"/>
      <w:r>
        <w:t xml:space="preserve"> </w:t>
      </w:r>
      <w:r w:rsidRPr="00891D84">
        <w:t>environmental safety and reliability systems and increas</w:t>
      </w:r>
      <w:r w:rsidR="00893189">
        <w:t>ing</w:t>
      </w:r>
      <w:r w:rsidRPr="00891D84">
        <w:t xml:space="preserve"> production capacity to 30,000 </w:t>
      </w:r>
      <w:proofErr w:type="spellStart"/>
      <w:r w:rsidRPr="00891D84">
        <w:t>Dth</w:t>
      </w:r>
      <w:proofErr w:type="spellEnd"/>
      <w:r w:rsidRPr="00891D84">
        <w:t xml:space="preserve"> per day</w:t>
      </w:r>
      <w:r w:rsidR="00893189">
        <w:t>. The facility</w:t>
      </w:r>
      <w:r w:rsidR="00156604">
        <w:t xml:space="preserve"> </w:t>
      </w:r>
      <w:r>
        <w:t xml:space="preserve">is assumed to be available for the 2016-2017 </w:t>
      </w:r>
      <w:r w:rsidR="00504B9A">
        <w:t>heating season</w:t>
      </w:r>
      <w:r w:rsidRPr="00891D84">
        <w:t xml:space="preserve">. </w:t>
      </w:r>
    </w:p>
    <w:p w14:paraId="3B11748B" w14:textId="77777777" w:rsidR="00862469" w:rsidRPr="00891D84" w:rsidRDefault="00AD6374" w:rsidP="00AD6374">
      <w:pPr>
        <w:pStyle w:val="IRPFigureSub"/>
        <w:spacing w:after="120"/>
      </w:pPr>
      <w:r>
        <w:br/>
      </w:r>
      <w:r w:rsidR="00862469">
        <w:t xml:space="preserve">Figure 7-12: </w:t>
      </w:r>
      <w:r w:rsidR="00862469" w:rsidRPr="00891D84">
        <w:t>Storage Alternatives Analyzed</w:t>
      </w:r>
    </w:p>
    <w:tbl>
      <w:tblPr>
        <w:tblW w:w="8519" w:type="dxa"/>
        <w:jc w:val="center"/>
        <w:tblLook w:val="0000" w:firstRow="0" w:lastRow="0" w:firstColumn="0" w:lastColumn="0" w:noHBand="0" w:noVBand="0"/>
      </w:tblPr>
      <w:tblGrid>
        <w:gridCol w:w="2940"/>
        <w:gridCol w:w="5579"/>
      </w:tblGrid>
      <w:tr w:rsidR="00862469" w:rsidRPr="00685F1C" w14:paraId="4CE3BA5D" w14:textId="77777777">
        <w:trPr>
          <w:trHeight w:val="288"/>
          <w:jc w:val="center"/>
        </w:trPr>
        <w:tc>
          <w:tcPr>
            <w:tcW w:w="2940" w:type="dxa"/>
            <w:tcBorders>
              <w:top w:val="single" w:sz="4" w:space="0" w:color="auto"/>
              <w:left w:val="single" w:sz="4" w:space="0" w:color="auto"/>
            </w:tcBorders>
            <w:shd w:val="clear" w:color="auto" w:fill="006A71"/>
            <w:noWrap/>
            <w:vAlign w:val="bottom"/>
          </w:tcPr>
          <w:p w14:paraId="27B0B9D6" w14:textId="77777777" w:rsidR="00862469" w:rsidRPr="00AD6374" w:rsidRDefault="00862469" w:rsidP="00862469">
            <w:pPr>
              <w:rPr>
                <w:rFonts w:ascii="Arial" w:hAnsi="Arial" w:cs="Arial"/>
                <w:b/>
                <w:color w:val="FFFFFF"/>
                <w:sz w:val="20"/>
                <w:szCs w:val="20"/>
              </w:rPr>
            </w:pPr>
            <w:r w:rsidRPr="00AD6374">
              <w:rPr>
                <w:rFonts w:ascii="Arial" w:hAnsi="Arial" w:cs="Arial"/>
                <w:b/>
                <w:color w:val="FFFFFF"/>
                <w:sz w:val="20"/>
                <w:szCs w:val="20"/>
              </w:rPr>
              <w:t>Storage Alternatives</w:t>
            </w:r>
          </w:p>
        </w:tc>
        <w:tc>
          <w:tcPr>
            <w:tcW w:w="5579" w:type="dxa"/>
            <w:tcBorders>
              <w:top w:val="single" w:sz="4" w:space="0" w:color="auto"/>
              <w:right w:val="single" w:sz="4" w:space="0" w:color="auto"/>
            </w:tcBorders>
            <w:shd w:val="clear" w:color="auto" w:fill="006A71"/>
            <w:noWrap/>
            <w:vAlign w:val="bottom"/>
          </w:tcPr>
          <w:p w14:paraId="41D614AB" w14:textId="77777777" w:rsidR="00862469" w:rsidRPr="00AD6374" w:rsidRDefault="00862469" w:rsidP="00862469">
            <w:pPr>
              <w:rPr>
                <w:rFonts w:ascii="Arial" w:hAnsi="Arial" w:cs="Arial"/>
                <w:b/>
                <w:color w:val="FFFFFF"/>
                <w:sz w:val="20"/>
                <w:szCs w:val="20"/>
              </w:rPr>
            </w:pPr>
            <w:r w:rsidRPr="00AD6374">
              <w:rPr>
                <w:rFonts w:ascii="Arial" w:hAnsi="Arial" w:cs="Arial"/>
                <w:b/>
                <w:color w:val="FFFFFF"/>
                <w:sz w:val="20"/>
                <w:szCs w:val="20"/>
              </w:rPr>
              <w:t>Description</w:t>
            </w:r>
          </w:p>
        </w:tc>
      </w:tr>
      <w:tr w:rsidR="00862469" w:rsidRPr="00685F1C" w14:paraId="33397646" w14:textId="77777777">
        <w:trPr>
          <w:trHeight w:hRule="exact" w:val="86"/>
          <w:jc w:val="center"/>
        </w:trPr>
        <w:tc>
          <w:tcPr>
            <w:tcW w:w="8519" w:type="dxa"/>
            <w:gridSpan w:val="2"/>
            <w:tcBorders>
              <w:left w:val="single" w:sz="4" w:space="0" w:color="auto"/>
              <w:bottom w:val="single" w:sz="4" w:space="0" w:color="auto"/>
              <w:right w:val="single" w:sz="4" w:space="0" w:color="auto"/>
            </w:tcBorders>
            <w:shd w:val="clear" w:color="auto" w:fill="807F83"/>
          </w:tcPr>
          <w:p w14:paraId="57715E3F" w14:textId="77777777" w:rsidR="00862469" w:rsidRPr="00AD6374" w:rsidRDefault="00862469" w:rsidP="00862469">
            <w:pPr>
              <w:rPr>
                <w:rFonts w:ascii="Arial" w:hAnsi="Arial" w:cs="Arial"/>
                <w:sz w:val="20"/>
                <w:szCs w:val="20"/>
              </w:rPr>
            </w:pPr>
          </w:p>
        </w:tc>
      </w:tr>
      <w:tr w:rsidR="00862469" w:rsidRPr="00685F1C" w14:paraId="3E4D4047" w14:textId="77777777">
        <w:trPr>
          <w:trHeight w:val="1007"/>
          <w:jc w:val="center"/>
        </w:trPr>
        <w:tc>
          <w:tcPr>
            <w:tcW w:w="2940" w:type="dxa"/>
            <w:tcBorders>
              <w:top w:val="single" w:sz="4" w:space="0" w:color="auto"/>
              <w:left w:val="single" w:sz="4" w:space="0" w:color="auto"/>
              <w:bottom w:val="single" w:sz="4" w:space="0" w:color="auto"/>
              <w:right w:val="single" w:sz="4" w:space="0" w:color="auto"/>
            </w:tcBorders>
            <w:shd w:val="clear" w:color="auto" w:fill="auto"/>
          </w:tcPr>
          <w:p w14:paraId="3E7B17AC" w14:textId="77777777" w:rsidR="00862469" w:rsidRPr="00AD6374" w:rsidRDefault="00121B7B" w:rsidP="00862469">
            <w:pPr>
              <w:spacing w:before="120" w:after="120"/>
              <w:rPr>
                <w:rFonts w:ascii="Arial" w:hAnsi="Arial" w:cs="Arial"/>
                <w:sz w:val="20"/>
                <w:szCs w:val="20"/>
              </w:rPr>
            </w:pPr>
            <w:r>
              <w:rPr>
                <w:rFonts w:ascii="Arial" w:hAnsi="Arial" w:cs="Arial"/>
                <w:sz w:val="20"/>
                <w:szCs w:val="20"/>
              </w:rPr>
              <w:t xml:space="preserve">PSE </w:t>
            </w:r>
            <w:r w:rsidR="00862469" w:rsidRPr="00AD6374">
              <w:rPr>
                <w:rFonts w:ascii="Arial" w:hAnsi="Arial" w:cs="Arial"/>
                <w:sz w:val="20"/>
                <w:szCs w:val="20"/>
              </w:rPr>
              <w:t>LNG Project</w:t>
            </w:r>
          </w:p>
          <w:p w14:paraId="1347FCD3" w14:textId="77777777" w:rsidR="00862469" w:rsidRPr="00AD6374" w:rsidRDefault="00862469" w:rsidP="00862469">
            <w:pPr>
              <w:spacing w:before="120" w:after="120"/>
              <w:rPr>
                <w:rFonts w:ascii="Arial" w:hAnsi="Arial" w:cs="Arial"/>
                <w:i/>
                <w:sz w:val="20"/>
                <w:szCs w:val="20"/>
              </w:rPr>
            </w:pPr>
            <w:r w:rsidRPr="00AD6374">
              <w:rPr>
                <w:rFonts w:ascii="Arial" w:hAnsi="Arial" w:cs="Arial"/>
                <w:i/>
                <w:sz w:val="20"/>
                <w:szCs w:val="20"/>
              </w:rPr>
              <w:t>(Combination 5)</w:t>
            </w:r>
          </w:p>
          <w:p w14:paraId="4BBAEE3D" w14:textId="77777777" w:rsidR="00862469" w:rsidRPr="00AD6374" w:rsidRDefault="00862469" w:rsidP="00862469">
            <w:pPr>
              <w:spacing w:before="120" w:after="120"/>
              <w:rPr>
                <w:rFonts w:ascii="Arial" w:hAnsi="Arial" w:cs="Arial"/>
                <w:sz w:val="20"/>
                <w:szCs w:val="20"/>
              </w:rPr>
            </w:pPr>
          </w:p>
        </w:tc>
        <w:tc>
          <w:tcPr>
            <w:tcW w:w="5579" w:type="dxa"/>
            <w:tcBorders>
              <w:top w:val="single" w:sz="4" w:space="0" w:color="auto"/>
              <w:left w:val="nil"/>
              <w:bottom w:val="single" w:sz="4" w:space="0" w:color="auto"/>
              <w:right w:val="single" w:sz="4" w:space="0" w:color="auto"/>
            </w:tcBorders>
            <w:shd w:val="clear" w:color="auto" w:fill="FFFFFF"/>
          </w:tcPr>
          <w:p w14:paraId="5D526DDB" w14:textId="77777777" w:rsidR="00862469" w:rsidRPr="00AD6374" w:rsidRDefault="00862469" w:rsidP="00325509">
            <w:pPr>
              <w:spacing w:before="120" w:after="120"/>
              <w:rPr>
                <w:rFonts w:ascii="Arial" w:hAnsi="Arial" w:cs="Arial"/>
                <w:sz w:val="20"/>
                <w:szCs w:val="20"/>
              </w:rPr>
            </w:pPr>
            <w:r w:rsidRPr="00AD6374">
              <w:rPr>
                <w:rFonts w:ascii="Arial" w:hAnsi="Arial" w:cs="Arial"/>
                <w:sz w:val="20"/>
                <w:szCs w:val="20"/>
              </w:rPr>
              <w:t>These analyses assume an 8-day supply at full deliverability of 6</w:t>
            </w:r>
            <w:r w:rsidR="00325509">
              <w:rPr>
                <w:rFonts w:ascii="Arial" w:hAnsi="Arial" w:cs="Arial"/>
                <w:sz w:val="20"/>
                <w:szCs w:val="20"/>
              </w:rPr>
              <w:t>9</w:t>
            </w:r>
            <w:r w:rsidRPr="00AD6374">
              <w:rPr>
                <w:rFonts w:ascii="Arial" w:hAnsi="Arial" w:cs="Arial"/>
                <w:sz w:val="20"/>
                <w:szCs w:val="20"/>
              </w:rPr>
              <w:t xml:space="preserve"> </w:t>
            </w:r>
            <w:proofErr w:type="spellStart"/>
            <w:r w:rsidRPr="00AD6374">
              <w:rPr>
                <w:rFonts w:ascii="Arial" w:hAnsi="Arial" w:cs="Arial"/>
                <w:sz w:val="20"/>
                <w:szCs w:val="20"/>
              </w:rPr>
              <w:t>MDth</w:t>
            </w:r>
            <w:proofErr w:type="spellEnd"/>
            <w:r w:rsidRPr="00AD6374">
              <w:rPr>
                <w:rFonts w:ascii="Arial" w:hAnsi="Arial" w:cs="Arial"/>
                <w:sz w:val="20"/>
                <w:szCs w:val="20"/>
              </w:rPr>
              <w:t xml:space="preserve">/day </w:t>
            </w:r>
            <w:r w:rsidR="00325509">
              <w:rPr>
                <w:rFonts w:ascii="Arial" w:hAnsi="Arial" w:cs="Arial"/>
                <w:sz w:val="20"/>
                <w:szCs w:val="20"/>
              </w:rPr>
              <w:t xml:space="preserve">beginning </w:t>
            </w:r>
            <w:r w:rsidR="003956DE">
              <w:rPr>
                <w:rFonts w:ascii="Arial" w:hAnsi="Arial" w:cs="Arial"/>
                <w:sz w:val="20"/>
                <w:szCs w:val="20"/>
              </w:rPr>
              <w:t>the 2018-19 heating season</w:t>
            </w:r>
            <w:r w:rsidR="00325509">
              <w:rPr>
                <w:rFonts w:ascii="Arial" w:hAnsi="Arial" w:cs="Arial"/>
                <w:sz w:val="20"/>
                <w:szCs w:val="20"/>
              </w:rPr>
              <w:t xml:space="preserve"> (50 </w:t>
            </w:r>
            <w:proofErr w:type="spellStart"/>
            <w:r w:rsidR="00325509">
              <w:rPr>
                <w:rFonts w:ascii="Arial" w:hAnsi="Arial" w:cs="Arial"/>
                <w:sz w:val="20"/>
                <w:szCs w:val="20"/>
              </w:rPr>
              <w:t>MDth</w:t>
            </w:r>
            <w:proofErr w:type="spellEnd"/>
            <w:r w:rsidR="00325509">
              <w:rPr>
                <w:rFonts w:ascii="Arial" w:hAnsi="Arial" w:cs="Arial"/>
                <w:sz w:val="20"/>
                <w:szCs w:val="20"/>
              </w:rPr>
              <w:t xml:space="preserve">/day out of the LNG plant and 19 </w:t>
            </w:r>
            <w:proofErr w:type="spellStart"/>
            <w:r w:rsidR="00325509">
              <w:rPr>
                <w:rFonts w:ascii="Arial" w:hAnsi="Arial" w:cs="Arial"/>
                <w:sz w:val="20"/>
                <w:szCs w:val="20"/>
              </w:rPr>
              <w:t>MDth</w:t>
            </w:r>
            <w:proofErr w:type="spellEnd"/>
            <w:r w:rsidR="00325509">
              <w:rPr>
                <w:rFonts w:ascii="Arial" w:hAnsi="Arial" w:cs="Arial"/>
                <w:sz w:val="20"/>
                <w:szCs w:val="20"/>
              </w:rPr>
              <w:t>/day of diverted gas deliverable to points across the PSE system)</w:t>
            </w:r>
            <w:r w:rsidR="003956DE">
              <w:rPr>
                <w:rFonts w:ascii="Arial" w:hAnsi="Arial" w:cs="Arial"/>
                <w:sz w:val="20"/>
                <w:szCs w:val="20"/>
              </w:rPr>
              <w:t xml:space="preserve">. </w:t>
            </w:r>
            <w:r w:rsidR="00123BCD">
              <w:rPr>
                <w:rFonts w:ascii="Arial" w:hAnsi="Arial" w:cs="Arial"/>
                <w:sz w:val="20"/>
                <w:szCs w:val="20"/>
              </w:rPr>
              <w:t xml:space="preserve"> </w:t>
            </w:r>
            <w:r w:rsidR="003956DE">
              <w:rPr>
                <w:rFonts w:ascii="Arial" w:hAnsi="Arial" w:cs="Arial"/>
                <w:sz w:val="20"/>
                <w:szCs w:val="20"/>
              </w:rPr>
              <w:t xml:space="preserve">Beginning </w:t>
            </w:r>
            <w:r w:rsidR="00325509">
              <w:rPr>
                <w:rFonts w:ascii="Arial" w:hAnsi="Arial" w:cs="Arial"/>
                <w:sz w:val="20"/>
                <w:szCs w:val="20"/>
              </w:rPr>
              <w:t>the 2020-21 heating season</w:t>
            </w:r>
            <w:r w:rsidR="003956DE">
              <w:rPr>
                <w:rFonts w:ascii="Arial" w:hAnsi="Arial" w:cs="Arial"/>
                <w:sz w:val="20"/>
                <w:szCs w:val="20"/>
              </w:rPr>
              <w:t xml:space="preserve">, </w:t>
            </w:r>
            <w:r w:rsidR="00325509">
              <w:rPr>
                <w:rFonts w:ascii="Arial" w:hAnsi="Arial" w:cs="Arial"/>
                <w:sz w:val="20"/>
                <w:szCs w:val="20"/>
              </w:rPr>
              <w:t xml:space="preserve">additional upgrades to the PSE distribution system will allow the LNG </w:t>
            </w:r>
            <w:r w:rsidR="00123BCD">
              <w:rPr>
                <w:rFonts w:ascii="Arial" w:hAnsi="Arial" w:cs="Arial"/>
                <w:sz w:val="20"/>
                <w:szCs w:val="20"/>
              </w:rPr>
              <w:t>p</w:t>
            </w:r>
            <w:r w:rsidR="00325509">
              <w:rPr>
                <w:rFonts w:ascii="Arial" w:hAnsi="Arial" w:cs="Arial"/>
                <w:sz w:val="20"/>
                <w:szCs w:val="20"/>
              </w:rPr>
              <w:t xml:space="preserve">lant to inject 66 </w:t>
            </w:r>
            <w:proofErr w:type="spellStart"/>
            <w:r w:rsidR="00325509">
              <w:rPr>
                <w:rFonts w:ascii="Arial" w:hAnsi="Arial" w:cs="Arial"/>
                <w:sz w:val="20"/>
                <w:szCs w:val="20"/>
              </w:rPr>
              <w:t>Dth</w:t>
            </w:r>
            <w:proofErr w:type="spellEnd"/>
            <w:r w:rsidR="00325509">
              <w:rPr>
                <w:rFonts w:ascii="Arial" w:hAnsi="Arial" w:cs="Arial"/>
                <w:sz w:val="20"/>
                <w:szCs w:val="20"/>
              </w:rPr>
              <w:t xml:space="preserve">/day, increasing the total project capacity to </w:t>
            </w:r>
            <w:r w:rsidRPr="00AD6374">
              <w:rPr>
                <w:rFonts w:ascii="Arial" w:hAnsi="Arial" w:cs="Arial"/>
                <w:sz w:val="20"/>
                <w:szCs w:val="20"/>
              </w:rPr>
              <w:t xml:space="preserve">85 </w:t>
            </w:r>
            <w:proofErr w:type="spellStart"/>
            <w:r w:rsidRPr="00AD6374">
              <w:rPr>
                <w:rFonts w:ascii="Arial" w:hAnsi="Arial" w:cs="Arial"/>
                <w:sz w:val="20"/>
                <w:szCs w:val="20"/>
              </w:rPr>
              <w:t>MDth</w:t>
            </w:r>
            <w:proofErr w:type="spellEnd"/>
            <w:r w:rsidRPr="00AD6374">
              <w:rPr>
                <w:rFonts w:ascii="Arial" w:hAnsi="Arial" w:cs="Arial"/>
                <w:sz w:val="20"/>
                <w:szCs w:val="20"/>
              </w:rPr>
              <w:t xml:space="preserve">/day, </w:t>
            </w:r>
            <w:r w:rsidR="003956DE">
              <w:rPr>
                <w:rFonts w:ascii="Arial" w:hAnsi="Arial" w:cs="Arial"/>
                <w:sz w:val="20"/>
                <w:szCs w:val="20"/>
              </w:rPr>
              <w:t xml:space="preserve">which is </w:t>
            </w:r>
            <w:r w:rsidRPr="00AD6374">
              <w:rPr>
                <w:rFonts w:ascii="Arial" w:hAnsi="Arial" w:cs="Arial"/>
                <w:sz w:val="20"/>
                <w:szCs w:val="20"/>
              </w:rPr>
              <w:t xml:space="preserve">a net 6.3-day supply.  </w:t>
            </w:r>
          </w:p>
        </w:tc>
      </w:tr>
      <w:tr w:rsidR="00862469" w:rsidRPr="00685F1C" w14:paraId="771FEAAC" w14:textId="77777777">
        <w:trPr>
          <w:trHeight w:val="1007"/>
          <w:jc w:val="center"/>
        </w:trPr>
        <w:tc>
          <w:tcPr>
            <w:tcW w:w="2940" w:type="dxa"/>
            <w:tcBorders>
              <w:top w:val="single" w:sz="4" w:space="0" w:color="auto"/>
              <w:left w:val="single" w:sz="4" w:space="0" w:color="auto"/>
              <w:bottom w:val="single" w:sz="4" w:space="0" w:color="auto"/>
              <w:right w:val="single" w:sz="4" w:space="0" w:color="auto"/>
            </w:tcBorders>
            <w:shd w:val="clear" w:color="auto" w:fill="auto"/>
          </w:tcPr>
          <w:p w14:paraId="34A7B5D7" w14:textId="77777777" w:rsidR="00862469" w:rsidRPr="00AD6374" w:rsidRDefault="00862469" w:rsidP="00862469">
            <w:pPr>
              <w:spacing w:before="120" w:after="120"/>
              <w:rPr>
                <w:rFonts w:ascii="Arial" w:hAnsi="Arial" w:cs="Arial"/>
                <w:sz w:val="20"/>
                <w:szCs w:val="20"/>
              </w:rPr>
            </w:pPr>
            <w:r w:rsidRPr="00AD6374">
              <w:rPr>
                <w:rFonts w:ascii="Arial" w:hAnsi="Arial" w:cs="Arial"/>
                <w:sz w:val="20"/>
                <w:szCs w:val="20"/>
              </w:rPr>
              <w:t>Expansion of Mist Storage Facility</w:t>
            </w:r>
          </w:p>
          <w:p w14:paraId="20F7CEFA" w14:textId="77777777" w:rsidR="00862469" w:rsidRPr="00AD6374" w:rsidRDefault="00862469" w:rsidP="00556E81">
            <w:pPr>
              <w:spacing w:before="120" w:after="120"/>
              <w:rPr>
                <w:rFonts w:ascii="Arial" w:hAnsi="Arial" w:cs="Arial"/>
                <w:i/>
                <w:sz w:val="20"/>
                <w:szCs w:val="20"/>
              </w:rPr>
            </w:pPr>
            <w:r w:rsidRPr="00AD6374">
              <w:rPr>
                <w:rFonts w:ascii="Arial" w:hAnsi="Arial" w:cs="Arial"/>
                <w:i/>
                <w:sz w:val="20"/>
                <w:szCs w:val="20"/>
              </w:rPr>
              <w:t xml:space="preserve">(Combination </w:t>
            </w:r>
            <w:r w:rsidR="00556E81">
              <w:rPr>
                <w:rFonts w:ascii="Arial" w:hAnsi="Arial" w:cs="Arial"/>
                <w:i/>
                <w:sz w:val="20"/>
                <w:szCs w:val="20"/>
              </w:rPr>
              <w:t>6</w:t>
            </w:r>
            <w:r w:rsidRPr="00AD6374">
              <w:rPr>
                <w:rFonts w:ascii="Arial" w:hAnsi="Arial" w:cs="Arial"/>
                <w:i/>
                <w:sz w:val="20"/>
                <w:szCs w:val="20"/>
              </w:rPr>
              <w:t>)</w:t>
            </w:r>
          </w:p>
        </w:tc>
        <w:tc>
          <w:tcPr>
            <w:tcW w:w="5579" w:type="dxa"/>
            <w:tcBorders>
              <w:top w:val="single" w:sz="4" w:space="0" w:color="auto"/>
              <w:left w:val="nil"/>
              <w:bottom w:val="single" w:sz="4" w:space="0" w:color="auto"/>
              <w:right w:val="single" w:sz="4" w:space="0" w:color="auto"/>
            </w:tcBorders>
            <w:shd w:val="clear" w:color="auto" w:fill="FFFFFF"/>
          </w:tcPr>
          <w:p w14:paraId="5DCC0670" w14:textId="77777777" w:rsidR="00862469" w:rsidRPr="00AD6374" w:rsidRDefault="00862469" w:rsidP="00862469">
            <w:pPr>
              <w:spacing w:before="120" w:after="120"/>
              <w:rPr>
                <w:rFonts w:ascii="Arial" w:hAnsi="Arial" w:cs="Arial"/>
                <w:sz w:val="20"/>
                <w:szCs w:val="20"/>
              </w:rPr>
            </w:pPr>
            <w:r w:rsidRPr="00AD6374">
              <w:rPr>
                <w:rFonts w:ascii="Arial" w:hAnsi="Arial" w:cs="Arial"/>
                <w:sz w:val="20"/>
                <w:szCs w:val="20"/>
              </w:rPr>
              <w:t>Based on estimated cost and operational characteristics of expanded Mist storage. Assumes a 20-day supply at full deliverability.</w:t>
            </w:r>
          </w:p>
        </w:tc>
      </w:tr>
      <w:tr w:rsidR="00137D55" w:rsidRPr="00685F1C" w14:paraId="221FE396" w14:textId="77777777">
        <w:trPr>
          <w:trHeight w:val="1007"/>
          <w:jc w:val="center"/>
        </w:trPr>
        <w:tc>
          <w:tcPr>
            <w:tcW w:w="2940" w:type="dxa"/>
            <w:tcBorders>
              <w:top w:val="single" w:sz="4" w:space="0" w:color="auto"/>
              <w:left w:val="single" w:sz="4" w:space="0" w:color="auto"/>
              <w:bottom w:val="single" w:sz="4" w:space="0" w:color="auto"/>
              <w:right w:val="single" w:sz="4" w:space="0" w:color="auto"/>
            </w:tcBorders>
            <w:shd w:val="clear" w:color="auto" w:fill="auto"/>
          </w:tcPr>
          <w:p w14:paraId="1E7ACF95" w14:textId="77777777" w:rsidR="00137D55" w:rsidRPr="00AD6374" w:rsidRDefault="00137D55" w:rsidP="003F3D5D">
            <w:pPr>
              <w:spacing w:before="120" w:after="120"/>
              <w:rPr>
                <w:rFonts w:ascii="Arial" w:hAnsi="Arial" w:cs="Arial"/>
                <w:sz w:val="20"/>
                <w:szCs w:val="20"/>
              </w:rPr>
            </w:pPr>
            <w:proofErr w:type="spellStart"/>
            <w:r w:rsidRPr="00AD6374">
              <w:rPr>
                <w:rFonts w:ascii="Arial" w:hAnsi="Arial" w:cs="Arial"/>
                <w:sz w:val="20"/>
                <w:szCs w:val="20"/>
              </w:rPr>
              <w:t>Swarr</w:t>
            </w:r>
            <w:proofErr w:type="spellEnd"/>
            <w:r w:rsidRPr="00AD6374">
              <w:rPr>
                <w:rFonts w:ascii="Arial" w:hAnsi="Arial" w:cs="Arial"/>
                <w:sz w:val="20"/>
                <w:szCs w:val="20"/>
              </w:rPr>
              <w:t xml:space="preserve"> LP-Air Facility Upgrade</w:t>
            </w:r>
          </w:p>
          <w:p w14:paraId="687A4DC9" w14:textId="77777777" w:rsidR="00137D55" w:rsidRPr="00AD6374" w:rsidRDefault="00137D55" w:rsidP="00137D55">
            <w:pPr>
              <w:spacing w:before="120" w:after="120"/>
              <w:rPr>
                <w:rFonts w:ascii="Arial" w:hAnsi="Arial" w:cs="Arial"/>
                <w:sz w:val="20"/>
                <w:szCs w:val="20"/>
              </w:rPr>
            </w:pPr>
            <w:r w:rsidRPr="00FA348A">
              <w:rPr>
                <w:rFonts w:ascii="Arial" w:hAnsi="Arial" w:cs="Arial"/>
                <w:i/>
                <w:sz w:val="20"/>
                <w:szCs w:val="20"/>
              </w:rPr>
              <w:t xml:space="preserve">(Combination </w:t>
            </w:r>
            <w:r>
              <w:rPr>
                <w:rFonts w:ascii="Arial" w:hAnsi="Arial" w:cs="Arial"/>
                <w:i/>
                <w:sz w:val="20"/>
                <w:szCs w:val="20"/>
              </w:rPr>
              <w:t>7</w:t>
            </w:r>
            <w:r w:rsidRPr="00FA348A">
              <w:rPr>
                <w:rFonts w:ascii="Arial" w:hAnsi="Arial" w:cs="Arial"/>
                <w:i/>
                <w:sz w:val="20"/>
                <w:szCs w:val="20"/>
              </w:rPr>
              <w:t>)</w:t>
            </w:r>
          </w:p>
        </w:tc>
        <w:tc>
          <w:tcPr>
            <w:tcW w:w="5579" w:type="dxa"/>
            <w:tcBorders>
              <w:top w:val="single" w:sz="4" w:space="0" w:color="auto"/>
              <w:left w:val="nil"/>
              <w:bottom w:val="single" w:sz="4" w:space="0" w:color="auto"/>
              <w:right w:val="single" w:sz="4" w:space="0" w:color="auto"/>
            </w:tcBorders>
            <w:shd w:val="clear" w:color="auto" w:fill="FFFFFF"/>
          </w:tcPr>
          <w:p w14:paraId="3706FCE0" w14:textId="77777777" w:rsidR="00137D55" w:rsidRPr="00AD6374" w:rsidRDefault="00137D55" w:rsidP="00862469">
            <w:pPr>
              <w:spacing w:before="120" w:after="120"/>
              <w:rPr>
                <w:rFonts w:ascii="Arial" w:hAnsi="Arial" w:cs="Arial"/>
                <w:sz w:val="20"/>
                <w:szCs w:val="20"/>
              </w:rPr>
            </w:pPr>
            <w:r w:rsidRPr="00AD6374">
              <w:rPr>
                <w:rFonts w:ascii="Arial" w:hAnsi="Arial" w:cs="Arial"/>
                <w:sz w:val="20"/>
                <w:szCs w:val="20"/>
              </w:rPr>
              <w:t xml:space="preserve">This upgrade would increase the peak day planning capability from 10 </w:t>
            </w:r>
            <w:proofErr w:type="spellStart"/>
            <w:r w:rsidRPr="00AD6374">
              <w:rPr>
                <w:rFonts w:ascii="Arial" w:hAnsi="Arial" w:cs="Arial"/>
                <w:sz w:val="20"/>
                <w:szCs w:val="20"/>
              </w:rPr>
              <w:t>MDth</w:t>
            </w:r>
            <w:proofErr w:type="spellEnd"/>
            <w:r w:rsidRPr="00AD6374">
              <w:rPr>
                <w:rFonts w:ascii="Arial" w:hAnsi="Arial" w:cs="Arial"/>
                <w:sz w:val="20"/>
                <w:szCs w:val="20"/>
              </w:rPr>
              <w:t xml:space="preserve">/day to 30 </w:t>
            </w:r>
            <w:proofErr w:type="spellStart"/>
            <w:r w:rsidRPr="00AD6374">
              <w:rPr>
                <w:rFonts w:ascii="Arial" w:hAnsi="Arial" w:cs="Arial"/>
                <w:sz w:val="20"/>
                <w:szCs w:val="20"/>
              </w:rPr>
              <w:t>MDth</w:t>
            </w:r>
            <w:proofErr w:type="spellEnd"/>
            <w:r w:rsidRPr="00AD6374">
              <w:rPr>
                <w:rFonts w:ascii="Arial" w:hAnsi="Arial" w:cs="Arial"/>
                <w:sz w:val="20"/>
                <w:szCs w:val="20"/>
              </w:rPr>
              <w:t xml:space="preserve">/day. </w:t>
            </w:r>
          </w:p>
        </w:tc>
      </w:tr>
    </w:tbl>
    <w:p w14:paraId="3C6AAC89" w14:textId="77777777" w:rsidR="00862469" w:rsidRPr="00891D84" w:rsidRDefault="00862469" w:rsidP="00AD6374">
      <w:pPr>
        <w:pStyle w:val="IRPsanstext"/>
      </w:pPr>
    </w:p>
    <w:p w14:paraId="6369E2B4" w14:textId="77777777" w:rsidR="00A74B32" w:rsidRDefault="00A74B32" w:rsidP="00AD6374">
      <w:pPr>
        <w:pStyle w:val="IRPsanstext"/>
        <w:rPr>
          <w:sz w:val="32"/>
        </w:rPr>
      </w:pPr>
    </w:p>
    <w:p w14:paraId="702AF28C" w14:textId="77777777" w:rsidR="00862469" w:rsidRPr="00F747B2" w:rsidRDefault="00862469" w:rsidP="00AD6374">
      <w:pPr>
        <w:pStyle w:val="IRPsanstext"/>
        <w:rPr>
          <w:sz w:val="32"/>
        </w:rPr>
      </w:pPr>
      <w:r w:rsidRPr="00F747B2">
        <w:rPr>
          <w:sz w:val="32"/>
        </w:rPr>
        <w:t>Gas Supply Alternatives</w:t>
      </w:r>
    </w:p>
    <w:p w14:paraId="3AA7D8ED" w14:textId="77777777" w:rsidR="00862469" w:rsidRPr="00891D84" w:rsidRDefault="00AD6374" w:rsidP="00AD6374">
      <w:pPr>
        <w:pStyle w:val="IRPsanstext"/>
      </w:pPr>
      <w:r>
        <w:rPr>
          <w:i/>
          <w:color w:val="000000"/>
        </w:rPr>
        <w:br/>
      </w:r>
      <w:r w:rsidR="00862469" w:rsidRPr="00891D84">
        <w:t>As described earlier, gas supply and production are expected to continue to expand in both northern British Columbia and the Rockies production areas as shale and tight gas formations are developed using horizontal drilling and fracturing methods. With the expansion of supplies from shale gas and other unconventional sources at existing market hubs, PSE anticipates that adequate gas supplies will be available to support pipeline expansion from northern British Columbia or from the Rockies basin.</w:t>
      </w:r>
    </w:p>
    <w:p w14:paraId="5439BD82" w14:textId="77777777" w:rsidR="00862469" w:rsidRPr="00891D84" w:rsidRDefault="00862469" w:rsidP="00AD6374">
      <w:pPr>
        <w:pStyle w:val="IRPsanstext"/>
      </w:pPr>
    </w:p>
    <w:p w14:paraId="46281405" w14:textId="77777777" w:rsidR="00862469" w:rsidRPr="00891D84" w:rsidRDefault="00862469" w:rsidP="00AD6374">
      <w:pPr>
        <w:pStyle w:val="IRPsanstext"/>
      </w:pPr>
      <w:r w:rsidRPr="00891D84">
        <w:t xml:space="preserve">Additional cost and capacity data for all of the supply-side resource alternatives is presented in Appendix </w:t>
      </w:r>
      <w:r>
        <w:t>O</w:t>
      </w:r>
      <w:r w:rsidRPr="00891D84">
        <w:t>, Gas Analysis.</w:t>
      </w:r>
    </w:p>
    <w:p w14:paraId="0A94DDF5" w14:textId="77777777" w:rsidR="00AD6374" w:rsidRDefault="00AD6374">
      <w:pPr>
        <w:rPr>
          <w:rFonts w:ascii="Arial Black" w:hAnsi="Arial Black"/>
          <w:color w:val="006C71"/>
          <w:sz w:val="40"/>
          <w:szCs w:val="20"/>
        </w:rPr>
      </w:pPr>
      <w:r>
        <w:rPr>
          <w:rFonts w:ascii="Arial Black" w:hAnsi="Arial Black"/>
          <w:color w:val="006C71"/>
          <w:sz w:val="40"/>
        </w:rPr>
        <w:br w:type="page"/>
      </w:r>
    </w:p>
    <w:p w14:paraId="0C13C730" w14:textId="77777777" w:rsidR="008C3221" w:rsidRPr="008C3221" w:rsidRDefault="008C3221" w:rsidP="00AD6374">
      <w:pPr>
        <w:pStyle w:val="IRPsanstext"/>
      </w:pPr>
    </w:p>
    <w:p w14:paraId="6DCD4557" w14:textId="77777777" w:rsidR="00862469" w:rsidRPr="00F747B2" w:rsidRDefault="00862469" w:rsidP="00AD6374">
      <w:pPr>
        <w:pStyle w:val="IRPsanstext"/>
        <w:rPr>
          <w:sz w:val="32"/>
        </w:rPr>
      </w:pPr>
      <w:r w:rsidRPr="00F747B2">
        <w:rPr>
          <w:sz w:val="32"/>
        </w:rPr>
        <w:t>Demand-side Resource Alternatives</w:t>
      </w:r>
    </w:p>
    <w:p w14:paraId="76EA10B0" w14:textId="77777777" w:rsidR="00862469" w:rsidRPr="00AE4587" w:rsidRDefault="00862469" w:rsidP="00AD6374">
      <w:pPr>
        <w:pStyle w:val="IRPsanstext"/>
        <w:rPr>
          <w:color w:val="3366FF"/>
        </w:rPr>
      </w:pPr>
    </w:p>
    <w:p w14:paraId="0C8F3A55" w14:textId="77777777" w:rsidR="00862469" w:rsidRDefault="00862469" w:rsidP="00AD6374">
      <w:pPr>
        <w:pStyle w:val="IRPsanstext"/>
      </w:pPr>
      <w:r>
        <w:t xml:space="preserve">To develop demand-side alternatives for use in the portfolio analysis, PSE first conducts a conservation potential assessment.  This study reviews existing and projected building stock and end-use technology saturations to estimate the savings possible through installation of more efficient commercially available technologies. The broadest measure of savings from making these installations (or replacing old technology) is called the technical potential; this represents the total unconstrained savings that could be achieved without considering economic (cost-effectiveness) or market constraints.  </w:t>
      </w:r>
    </w:p>
    <w:p w14:paraId="6DBD953C" w14:textId="77777777" w:rsidR="00862469" w:rsidRDefault="00862469" w:rsidP="00AD6374">
      <w:pPr>
        <w:pStyle w:val="IRPsanstext"/>
      </w:pPr>
    </w:p>
    <w:p w14:paraId="1D130E25" w14:textId="77777777" w:rsidR="00862469" w:rsidRDefault="00862469" w:rsidP="00AD6374">
      <w:pPr>
        <w:pStyle w:val="IRPsanstext"/>
      </w:pPr>
      <w:r>
        <w:t xml:space="preserve">The next level of savings is called </w:t>
      </w:r>
      <w:r w:rsidRPr="00AE4587">
        <w:rPr>
          <w:i/>
        </w:rPr>
        <w:t>achievable</w:t>
      </w:r>
      <w:r>
        <w:t xml:space="preserve"> technical potential. This step reduces the unconstrained savings to levels considered achievable when accounting for market barriers. The achievability factors developed in previous IRPs have not changed: 75 percent are considered achievable. The measures are then organized into a conservation supply curve, from lowest to highest </w:t>
      </w:r>
      <w:proofErr w:type="spellStart"/>
      <w:r>
        <w:t>levelized</w:t>
      </w:r>
      <w:proofErr w:type="spellEnd"/>
      <w:r>
        <w:t xml:space="preserve"> cost.</w:t>
      </w:r>
    </w:p>
    <w:p w14:paraId="7F1251EB" w14:textId="77777777" w:rsidR="00862469" w:rsidRDefault="00862469" w:rsidP="00AD6374">
      <w:pPr>
        <w:pStyle w:val="IRPsanstext"/>
      </w:pPr>
    </w:p>
    <w:p w14:paraId="7CDD9236" w14:textId="77777777" w:rsidR="00862469" w:rsidRDefault="00862469" w:rsidP="00AD6374">
      <w:pPr>
        <w:pStyle w:val="IRPsanstext"/>
      </w:pPr>
      <w:r>
        <w:t xml:space="preserve">Next, individual measures on the supply curve are grouped into cost segments called “bundles.”  For example, all measures that have a </w:t>
      </w:r>
      <w:proofErr w:type="spellStart"/>
      <w:r>
        <w:t>levelized</w:t>
      </w:r>
      <w:proofErr w:type="spellEnd"/>
      <w:r>
        <w:t xml:space="preserve"> cost of between $2.2 per </w:t>
      </w:r>
      <w:proofErr w:type="spellStart"/>
      <w:r>
        <w:t>Dth</w:t>
      </w:r>
      <w:proofErr w:type="spellEnd"/>
      <w:r>
        <w:t xml:space="preserve"> and $3.0 per </w:t>
      </w:r>
      <w:proofErr w:type="spellStart"/>
      <w:r>
        <w:t>Dth</w:t>
      </w:r>
      <w:proofErr w:type="spellEnd"/>
      <w:r>
        <w:t xml:space="preserve"> may be grouped into a bundle and labeled “Bundle </w:t>
      </w:r>
      <w:r w:rsidR="00677A48">
        <w:t>A1</w:t>
      </w:r>
      <w:r>
        <w:t xml:space="preserve">.”  The Code and Standards bundle has zero cost associated with it because savings from this bundle accrue due to new codes or standards that have been passed but that take effect at a future date.  This bundle is always selected in the portfolio, where it effectively represents a reduction in the load forecast. </w:t>
      </w:r>
    </w:p>
    <w:p w14:paraId="5B3F2CE8" w14:textId="77777777" w:rsidR="00862469" w:rsidRPr="005923AC" w:rsidRDefault="00862469" w:rsidP="00AD6374">
      <w:pPr>
        <w:pStyle w:val="IRPsanstext"/>
      </w:pPr>
    </w:p>
    <w:p w14:paraId="21AAB3E6" w14:textId="77777777" w:rsidR="00862469" w:rsidRDefault="00862469" w:rsidP="00AD6374">
      <w:pPr>
        <w:pStyle w:val="IRPsanstext"/>
      </w:pPr>
      <w:r w:rsidRPr="005923AC">
        <w:t>Figure 7-1</w:t>
      </w:r>
      <w:r w:rsidR="00156604">
        <w:t>3</w:t>
      </w:r>
      <w:r w:rsidRPr="005923AC">
        <w:t xml:space="preserve"> shows the </w:t>
      </w:r>
      <w:r w:rsidR="001843AA">
        <w:t xml:space="preserve">two </w:t>
      </w:r>
      <w:r w:rsidRPr="005923AC">
        <w:t>price bundles that were developed for this IRP. One uses the weighted average cost of capital (WACC) assigned to PSE and the other us</w:t>
      </w:r>
      <w:r w:rsidR="001843AA">
        <w:t>es</w:t>
      </w:r>
      <w:r w:rsidRPr="005923AC">
        <w:t xml:space="preserve"> the alternate discount rate developed for the discount rate sensitivity analysis.</w:t>
      </w:r>
    </w:p>
    <w:p w14:paraId="2CC43C72" w14:textId="77777777" w:rsidR="00862469" w:rsidRPr="005923AC" w:rsidRDefault="00862469" w:rsidP="00AD6374">
      <w:pPr>
        <w:pStyle w:val="IRPsanstext"/>
        <w:rPr>
          <w:color w:val="3366FF"/>
        </w:rPr>
      </w:pPr>
    </w:p>
    <w:p w14:paraId="7F4FBC99" w14:textId="77777777" w:rsidR="00862469" w:rsidRDefault="00862469" w:rsidP="00AD6374">
      <w:pPr>
        <w:pStyle w:val="IRPsanstext"/>
      </w:pPr>
      <w:r w:rsidRPr="005923AC">
        <w:t xml:space="preserve">PSE currently seeks to acquire as much cost-effective gas demand-side resources as quickly as possible. </w:t>
      </w:r>
      <w:proofErr w:type="gramStart"/>
      <w:r w:rsidRPr="005923AC">
        <w:t>The acquisition or “ramp rate” of gas sales DSR can be altered by changing the speed with which discretionary DSR measures are acquired</w:t>
      </w:r>
      <w:proofErr w:type="gramEnd"/>
      <w:r w:rsidRPr="005923AC">
        <w:t xml:space="preserve">. In these bundles, the discretionary measures </w:t>
      </w:r>
      <w:proofErr w:type="gramStart"/>
      <w:r w:rsidRPr="005923AC">
        <w:t>are assumed to be acquired</w:t>
      </w:r>
      <w:proofErr w:type="gramEnd"/>
      <w:r w:rsidRPr="005923AC">
        <w:t xml:space="preserve"> in the first 10 years; this is called a 10-year ramp rate. Acquiring these measures sooner rather than later has been tested in prior IRPs and has consistently been found to reduce portfolio costs. Ten years is chosen because it aligns with the amount of savings that can practically be acquired at the program implementation level.</w:t>
      </w:r>
    </w:p>
    <w:p w14:paraId="31033BF5" w14:textId="77777777" w:rsidR="00AD6374" w:rsidRDefault="00AD6374">
      <w:pPr>
        <w:rPr>
          <w:rFonts w:ascii="Arial" w:hAnsi="Arial"/>
          <w:sz w:val="20"/>
          <w:szCs w:val="20"/>
        </w:rPr>
      </w:pPr>
      <w:r>
        <w:br w:type="page"/>
      </w:r>
    </w:p>
    <w:p w14:paraId="642001F0" w14:textId="77777777" w:rsidR="00AD6374" w:rsidRPr="005923AC" w:rsidRDefault="00AD6374" w:rsidP="00A74D8F">
      <w:pPr>
        <w:pStyle w:val="IRPFigureSub"/>
      </w:pPr>
    </w:p>
    <w:p w14:paraId="3AF74F85" w14:textId="77777777" w:rsidR="00862469" w:rsidRPr="00891D84" w:rsidRDefault="00862469" w:rsidP="00A74D8F">
      <w:pPr>
        <w:pStyle w:val="IRPFigureSub"/>
        <w:spacing w:after="120"/>
        <w:rPr>
          <w:color w:val="000000"/>
        </w:rPr>
      </w:pPr>
      <w:r>
        <w:rPr>
          <w:color w:val="000000"/>
        </w:rPr>
        <w:t xml:space="preserve">Figure </w:t>
      </w:r>
      <w:r w:rsidRPr="00891D84">
        <w:rPr>
          <w:color w:val="000000"/>
        </w:rPr>
        <w:t>7</w:t>
      </w:r>
      <w:r>
        <w:rPr>
          <w:color w:val="000000"/>
        </w:rPr>
        <w:t>-1</w:t>
      </w:r>
      <w:r w:rsidR="00156604">
        <w:t>3</w:t>
      </w:r>
      <w:r>
        <w:rPr>
          <w:color w:val="000000"/>
        </w:rPr>
        <w:t xml:space="preserve">: </w:t>
      </w:r>
      <w:r w:rsidRPr="00891D84">
        <w:rPr>
          <w:color w:val="000000"/>
        </w:rPr>
        <w:t>DSR Cost Bundles and Savings Volumes for 10-Year Ramp Rate</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070"/>
        <w:gridCol w:w="1170"/>
        <w:gridCol w:w="1080"/>
        <w:gridCol w:w="1530"/>
        <w:gridCol w:w="1440"/>
      </w:tblGrid>
      <w:tr w:rsidR="00A74D8F" w:rsidRPr="00A74D8F" w14:paraId="744F88A9" w14:textId="77777777">
        <w:trPr>
          <w:trHeight w:val="357"/>
        </w:trPr>
        <w:tc>
          <w:tcPr>
            <w:tcW w:w="1368" w:type="dxa"/>
            <w:shd w:val="clear" w:color="auto" w:fill="006C71"/>
          </w:tcPr>
          <w:p w14:paraId="3CB27A68" w14:textId="77777777" w:rsidR="00862469" w:rsidRPr="00A74D8F" w:rsidRDefault="00862469" w:rsidP="00862469">
            <w:pPr>
              <w:spacing w:line="320" w:lineRule="exact"/>
              <w:jc w:val="center"/>
              <w:rPr>
                <w:rFonts w:ascii="Arial" w:hAnsi="Arial" w:cs="Arial"/>
                <w:b/>
                <w:bCs/>
                <w:color w:val="FFFFFF"/>
                <w:sz w:val="20"/>
                <w:szCs w:val="20"/>
              </w:rPr>
            </w:pPr>
          </w:p>
        </w:tc>
        <w:tc>
          <w:tcPr>
            <w:tcW w:w="2070" w:type="dxa"/>
            <w:shd w:val="clear" w:color="auto" w:fill="006C71"/>
          </w:tcPr>
          <w:p w14:paraId="260EC080" w14:textId="77777777" w:rsidR="00862469" w:rsidRPr="00A74D8F" w:rsidRDefault="00862469" w:rsidP="00862469">
            <w:pPr>
              <w:spacing w:line="320" w:lineRule="exact"/>
              <w:jc w:val="center"/>
              <w:rPr>
                <w:rFonts w:ascii="Arial" w:hAnsi="Arial" w:cs="Arial"/>
                <w:b/>
                <w:bCs/>
                <w:color w:val="FFFFFF"/>
                <w:sz w:val="20"/>
                <w:szCs w:val="20"/>
              </w:rPr>
            </w:pPr>
          </w:p>
        </w:tc>
        <w:tc>
          <w:tcPr>
            <w:tcW w:w="2250" w:type="dxa"/>
            <w:gridSpan w:val="2"/>
            <w:shd w:val="clear" w:color="auto" w:fill="006C71"/>
          </w:tcPr>
          <w:p w14:paraId="1EFBA460" w14:textId="77777777" w:rsidR="00862469" w:rsidRPr="00A74D8F" w:rsidRDefault="00862469" w:rsidP="00862469">
            <w:pPr>
              <w:spacing w:line="320" w:lineRule="exact"/>
              <w:jc w:val="center"/>
              <w:rPr>
                <w:rFonts w:ascii="Arial" w:hAnsi="Arial" w:cs="Arial"/>
                <w:b/>
                <w:bCs/>
                <w:color w:val="FFFFFF"/>
                <w:sz w:val="20"/>
                <w:szCs w:val="20"/>
              </w:rPr>
            </w:pPr>
            <w:r w:rsidRPr="00A74D8F">
              <w:rPr>
                <w:rFonts w:ascii="Arial" w:hAnsi="Arial" w:cs="Arial"/>
                <w:b/>
                <w:bCs/>
                <w:color w:val="FFFFFF"/>
                <w:sz w:val="20"/>
                <w:szCs w:val="20"/>
              </w:rPr>
              <w:t>Using WACC</w:t>
            </w:r>
          </w:p>
        </w:tc>
        <w:tc>
          <w:tcPr>
            <w:tcW w:w="2970" w:type="dxa"/>
            <w:gridSpan w:val="2"/>
            <w:shd w:val="clear" w:color="auto" w:fill="006C71"/>
          </w:tcPr>
          <w:p w14:paraId="36DDC15B" w14:textId="77777777" w:rsidR="00862469" w:rsidRPr="00A74D8F" w:rsidRDefault="00862469" w:rsidP="00862469">
            <w:pPr>
              <w:spacing w:line="320" w:lineRule="exact"/>
              <w:jc w:val="center"/>
              <w:rPr>
                <w:rFonts w:ascii="Arial" w:hAnsi="Arial" w:cs="Arial"/>
                <w:b/>
                <w:bCs/>
                <w:color w:val="FFFFFF"/>
                <w:sz w:val="20"/>
                <w:szCs w:val="20"/>
              </w:rPr>
            </w:pPr>
            <w:r w:rsidRPr="00A74D8F">
              <w:rPr>
                <w:rFonts w:ascii="Arial" w:hAnsi="Arial" w:cs="Arial"/>
                <w:b/>
                <w:bCs/>
                <w:color w:val="FFFFFF"/>
                <w:sz w:val="20"/>
                <w:szCs w:val="20"/>
              </w:rPr>
              <w:t>Using Alternate Discount Rate</w:t>
            </w:r>
          </w:p>
        </w:tc>
      </w:tr>
      <w:tr w:rsidR="00A74D8F" w:rsidRPr="00A74D8F" w14:paraId="3C26D4DA" w14:textId="77777777">
        <w:trPr>
          <w:trHeight w:val="357"/>
        </w:trPr>
        <w:tc>
          <w:tcPr>
            <w:tcW w:w="1368" w:type="dxa"/>
            <w:shd w:val="clear" w:color="auto" w:fill="006C71"/>
          </w:tcPr>
          <w:p w14:paraId="2A3ABBF9" w14:textId="77777777" w:rsidR="00862469" w:rsidRPr="00A74D8F" w:rsidRDefault="00862469" w:rsidP="00085551">
            <w:pPr>
              <w:spacing w:line="220" w:lineRule="exact"/>
              <w:jc w:val="center"/>
              <w:rPr>
                <w:rFonts w:ascii="Arial" w:hAnsi="Arial" w:cs="Arial"/>
                <w:b/>
                <w:color w:val="FFFFFF"/>
                <w:sz w:val="20"/>
                <w:szCs w:val="20"/>
              </w:rPr>
            </w:pPr>
            <w:r w:rsidRPr="00A74D8F">
              <w:rPr>
                <w:rFonts w:ascii="Arial" w:hAnsi="Arial" w:cs="Arial"/>
                <w:b/>
                <w:bCs/>
                <w:color w:val="FFFFFF"/>
                <w:sz w:val="20"/>
                <w:szCs w:val="20"/>
              </w:rPr>
              <w:t>Bundle</w:t>
            </w:r>
          </w:p>
        </w:tc>
        <w:tc>
          <w:tcPr>
            <w:tcW w:w="2070" w:type="dxa"/>
            <w:shd w:val="clear" w:color="auto" w:fill="006C71"/>
          </w:tcPr>
          <w:p w14:paraId="2A4A0D9C" w14:textId="77777777" w:rsidR="00862469" w:rsidRPr="00A74D8F" w:rsidRDefault="00862469" w:rsidP="00085551">
            <w:pPr>
              <w:spacing w:line="220" w:lineRule="exact"/>
              <w:jc w:val="center"/>
              <w:rPr>
                <w:rFonts w:ascii="Arial" w:hAnsi="Arial" w:cs="Arial"/>
                <w:b/>
                <w:color w:val="FFFFFF"/>
                <w:sz w:val="20"/>
                <w:szCs w:val="20"/>
              </w:rPr>
            </w:pPr>
            <w:r w:rsidRPr="00A74D8F">
              <w:rPr>
                <w:rFonts w:ascii="Arial" w:hAnsi="Arial" w:cs="Arial"/>
                <w:b/>
                <w:bCs/>
                <w:color w:val="FFFFFF"/>
                <w:sz w:val="20"/>
                <w:szCs w:val="20"/>
              </w:rPr>
              <w:t>Price Cut-</w:t>
            </w:r>
            <w:proofErr w:type="gramStart"/>
            <w:r w:rsidRPr="00A74D8F">
              <w:rPr>
                <w:rFonts w:ascii="Arial" w:hAnsi="Arial" w:cs="Arial"/>
                <w:b/>
                <w:bCs/>
                <w:color w:val="FFFFFF"/>
                <w:sz w:val="20"/>
                <w:szCs w:val="20"/>
              </w:rPr>
              <w:t>Offs  for</w:t>
            </w:r>
            <w:proofErr w:type="gramEnd"/>
            <w:r w:rsidRPr="00A74D8F">
              <w:rPr>
                <w:rFonts w:ascii="Arial" w:hAnsi="Arial" w:cs="Arial"/>
                <w:b/>
                <w:bCs/>
                <w:color w:val="FFFFFF"/>
                <w:sz w:val="20"/>
                <w:szCs w:val="20"/>
              </w:rPr>
              <w:t xml:space="preserve"> Bundles</w:t>
            </w:r>
          </w:p>
        </w:tc>
        <w:tc>
          <w:tcPr>
            <w:tcW w:w="1170" w:type="dxa"/>
            <w:shd w:val="clear" w:color="auto" w:fill="006C71"/>
          </w:tcPr>
          <w:p w14:paraId="75F8DE74" w14:textId="77777777" w:rsidR="00862469" w:rsidRPr="00A74D8F" w:rsidRDefault="00862469" w:rsidP="00085551">
            <w:pPr>
              <w:spacing w:line="220" w:lineRule="exact"/>
              <w:jc w:val="center"/>
              <w:rPr>
                <w:rFonts w:ascii="Arial" w:hAnsi="Arial" w:cs="Arial"/>
                <w:b/>
                <w:color w:val="FFFFFF"/>
                <w:sz w:val="20"/>
                <w:szCs w:val="20"/>
              </w:rPr>
            </w:pPr>
            <w:r w:rsidRPr="00A74D8F">
              <w:rPr>
                <w:rFonts w:ascii="Arial" w:hAnsi="Arial" w:cs="Arial"/>
                <w:b/>
                <w:bCs/>
                <w:color w:val="FFFFFF"/>
                <w:sz w:val="20"/>
                <w:szCs w:val="20"/>
              </w:rPr>
              <w:t xml:space="preserve">2025 </w:t>
            </w:r>
            <w:proofErr w:type="spellStart"/>
            <w:r w:rsidRPr="00A74D8F">
              <w:rPr>
                <w:rFonts w:ascii="Arial" w:hAnsi="Arial" w:cs="Arial"/>
                <w:b/>
                <w:bCs/>
                <w:color w:val="FFFFFF"/>
                <w:sz w:val="20"/>
                <w:szCs w:val="20"/>
              </w:rPr>
              <w:t>MDth</w:t>
            </w:r>
            <w:proofErr w:type="spellEnd"/>
            <w:r w:rsidRPr="00A74D8F">
              <w:rPr>
                <w:rFonts w:ascii="Arial" w:hAnsi="Arial" w:cs="Arial"/>
                <w:b/>
                <w:bCs/>
                <w:color w:val="FFFFFF"/>
                <w:sz w:val="20"/>
                <w:szCs w:val="20"/>
              </w:rPr>
              <w:t xml:space="preserve"> </w:t>
            </w:r>
            <w:r w:rsidR="00085551">
              <w:rPr>
                <w:rFonts w:ascii="Arial" w:hAnsi="Arial" w:cs="Arial"/>
                <w:b/>
                <w:bCs/>
                <w:color w:val="FFFFFF"/>
                <w:sz w:val="20"/>
                <w:szCs w:val="20"/>
              </w:rPr>
              <w:br/>
            </w:r>
            <w:r w:rsidRPr="00A74D8F">
              <w:rPr>
                <w:rFonts w:ascii="Arial" w:hAnsi="Arial" w:cs="Arial"/>
                <w:b/>
                <w:bCs/>
                <w:color w:val="FFFFFF"/>
                <w:sz w:val="20"/>
                <w:szCs w:val="20"/>
              </w:rPr>
              <w:t>10-Yr</w:t>
            </w:r>
          </w:p>
        </w:tc>
        <w:tc>
          <w:tcPr>
            <w:tcW w:w="1080" w:type="dxa"/>
            <w:shd w:val="clear" w:color="auto" w:fill="006C71"/>
          </w:tcPr>
          <w:p w14:paraId="677AFE9A" w14:textId="77777777" w:rsidR="00862469" w:rsidRPr="00A74D8F" w:rsidRDefault="00862469" w:rsidP="00085551">
            <w:pPr>
              <w:spacing w:line="220" w:lineRule="exact"/>
              <w:jc w:val="center"/>
              <w:rPr>
                <w:rFonts w:ascii="Arial" w:hAnsi="Arial" w:cs="Arial"/>
                <w:b/>
                <w:color w:val="FFFFFF"/>
                <w:sz w:val="20"/>
                <w:szCs w:val="20"/>
              </w:rPr>
            </w:pPr>
            <w:r w:rsidRPr="00A74D8F">
              <w:rPr>
                <w:rFonts w:ascii="Arial" w:hAnsi="Arial" w:cs="Arial"/>
                <w:b/>
                <w:bCs/>
                <w:color w:val="FFFFFF"/>
                <w:sz w:val="20"/>
                <w:szCs w:val="20"/>
              </w:rPr>
              <w:t>2035</w:t>
            </w:r>
            <w:r w:rsidRPr="00A74D8F">
              <w:rPr>
                <w:rFonts w:ascii="Arial" w:hAnsi="Arial" w:cs="Arial"/>
                <w:b/>
                <w:color w:val="FFFFFF"/>
                <w:sz w:val="20"/>
                <w:szCs w:val="20"/>
              </w:rPr>
              <w:t xml:space="preserve"> </w:t>
            </w:r>
            <w:proofErr w:type="spellStart"/>
            <w:r w:rsidRPr="00A74D8F">
              <w:rPr>
                <w:rFonts w:ascii="Arial" w:hAnsi="Arial" w:cs="Arial"/>
                <w:b/>
                <w:bCs/>
                <w:color w:val="FFFFFF"/>
                <w:sz w:val="20"/>
                <w:szCs w:val="20"/>
              </w:rPr>
              <w:t>MDth</w:t>
            </w:r>
            <w:proofErr w:type="spellEnd"/>
            <w:r w:rsidRPr="00A74D8F">
              <w:rPr>
                <w:rFonts w:ascii="Arial" w:hAnsi="Arial" w:cs="Arial"/>
                <w:b/>
                <w:bCs/>
                <w:color w:val="FFFFFF"/>
                <w:sz w:val="20"/>
                <w:szCs w:val="20"/>
              </w:rPr>
              <w:t xml:space="preserve"> </w:t>
            </w:r>
            <w:r w:rsidR="00085551">
              <w:rPr>
                <w:rFonts w:ascii="Arial" w:hAnsi="Arial" w:cs="Arial"/>
                <w:b/>
                <w:bCs/>
                <w:color w:val="FFFFFF"/>
                <w:sz w:val="20"/>
                <w:szCs w:val="20"/>
              </w:rPr>
              <w:br/>
            </w:r>
            <w:r w:rsidRPr="00A74D8F">
              <w:rPr>
                <w:rFonts w:ascii="Arial" w:hAnsi="Arial" w:cs="Arial"/>
                <w:b/>
                <w:bCs/>
                <w:color w:val="FFFFFF"/>
                <w:sz w:val="20"/>
                <w:szCs w:val="20"/>
              </w:rPr>
              <w:t>20-Yr</w:t>
            </w:r>
          </w:p>
        </w:tc>
        <w:tc>
          <w:tcPr>
            <w:tcW w:w="1530" w:type="dxa"/>
            <w:shd w:val="clear" w:color="auto" w:fill="006C71"/>
          </w:tcPr>
          <w:p w14:paraId="74863A86" w14:textId="77777777" w:rsidR="00862469" w:rsidRPr="00A74D8F" w:rsidRDefault="00862469" w:rsidP="00085551">
            <w:pPr>
              <w:spacing w:line="220" w:lineRule="exact"/>
              <w:jc w:val="center"/>
              <w:rPr>
                <w:rFonts w:ascii="Arial" w:hAnsi="Arial" w:cs="Arial"/>
                <w:b/>
                <w:bCs/>
                <w:color w:val="FFFFFF"/>
                <w:sz w:val="20"/>
                <w:szCs w:val="20"/>
              </w:rPr>
            </w:pPr>
            <w:r w:rsidRPr="00A74D8F">
              <w:rPr>
                <w:rFonts w:ascii="Arial" w:hAnsi="Arial" w:cs="Arial"/>
                <w:b/>
                <w:bCs/>
                <w:color w:val="FFFFFF"/>
                <w:sz w:val="20"/>
                <w:szCs w:val="20"/>
              </w:rPr>
              <w:t xml:space="preserve">2025 </w:t>
            </w:r>
            <w:r w:rsidR="00085551">
              <w:rPr>
                <w:rFonts w:ascii="Arial" w:hAnsi="Arial" w:cs="Arial"/>
                <w:b/>
                <w:bCs/>
                <w:color w:val="FFFFFF"/>
                <w:sz w:val="20"/>
                <w:szCs w:val="20"/>
              </w:rPr>
              <w:br/>
            </w:r>
            <w:proofErr w:type="spellStart"/>
            <w:r w:rsidRPr="00A74D8F">
              <w:rPr>
                <w:rFonts w:ascii="Arial" w:hAnsi="Arial" w:cs="Arial"/>
                <w:b/>
                <w:bCs/>
                <w:color w:val="FFFFFF"/>
                <w:sz w:val="20"/>
                <w:szCs w:val="20"/>
              </w:rPr>
              <w:t>MDth</w:t>
            </w:r>
            <w:proofErr w:type="spellEnd"/>
            <w:r w:rsidRPr="00A74D8F">
              <w:rPr>
                <w:rFonts w:ascii="Arial" w:hAnsi="Arial" w:cs="Arial"/>
                <w:b/>
                <w:bCs/>
                <w:color w:val="FFFFFF"/>
                <w:sz w:val="20"/>
                <w:szCs w:val="20"/>
              </w:rPr>
              <w:t xml:space="preserve"> </w:t>
            </w:r>
            <w:r w:rsidR="00085551">
              <w:rPr>
                <w:rFonts w:ascii="Arial" w:hAnsi="Arial" w:cs="Arial"/>
                <w:b/>
                <w:bCs/>
                <w:color w:val="FFFFFF"/>
                <w:sz w:val="20"/>
                <w:szCs w:val="20"/>
              </w:rPr>
              <w:br/>
            </w:r>
            <w:r w:rsidRPr="00A74D8F">
              <w:rPr>
                <w:rFonts w:ascii="Arial" w:hAnsi="Arial" w:cs="Arial"/>
                <w:b/>
                <w:bCs/>
                <w:color w:val="FFFFFF"/>
                <w:sz w:val="20"/>
                <w:szCs w:val="20"/>
              </w:rPr>
              <w:t>10-Yr</w:t>
            </w:r>
          </w:p>
        </w:tc>
        <w:tc>
          <w:tcPr>
            <w:tcW w:w="1440" w:type="dxa"/>
            <w:shd w:val="clear" w:color="auto" w:fill="006C71"/>
          </w:tcPr>
          <w:p w14:paraId="5C802C0D" w14:textId="77777777" w:rsidR="00862469" w:rsidRPr="00A74D8F" w:rsidRDefault="00862469" w:rsidP="00085551">
            <w:pPr>
              <w:spacing w:line="220" w:lineRule="exact"/>
              <w:jc w:val="center"/>
              <w:rPr>
                <w:rFonts w:ascii="Arial" w:hAnsi="Arial" w:cs="Arial"/>
                <w:b/>
                <w:bCs/>
                <w:color w:val="FFFFFF"/>
                <w:sz w:val="20"/>
                <w:szCs w:val="20"/>
              </w:rPr>
            </w:pPr>
            <w:r w:rsidRPr="00A74D8F">
              <w:rPr>
                <w:rFonts w:ascii="Arial" w:hAnsi="Arial" w:cs="Arial"/>
                <w:b/>
                <w:bCs/>
                <w:color w:val="FFFFFF"/>
                <w:sz w:val="20"/>
                <w:szCs w:val="20"/>
              </w:rPr>
              <w:t xml:space="preserve">2035 </w:t>
            </w:r>
            <w:r w:rsidR="00085551">
              <w:rPr>
                <w:rFonts w:ascii="Arial" w:hAnsi="Arial" w:cs="Arial"/>
                <w:b/>
                <w:bCs/>
                <w:color w:val="FFFFFF"/>
                <w:sz w:val="20"/>
                <w:szCs w:val="20"/>
              </w:rPr>
              <w:br/>
            </w:r>
            <w:proofErr w:type="spellStart"/>
            <w:r w:rsidRPr="00A74D8F">
              <w:rPr>
                <w:rFonts w:ascii="Arial" w:hAnsi="Arial" w:cs="Arial"/>
                <w:b/>
                <w:bCs/>
                <w:color w:val="FFFFFF"/>
                <w:sz w:val="20"/>
                <w:szCs w:val="20"/>
              </w:rPr>
              <w:t>MDth</w:t>
            </w:r>
            <w:proofErr w:type="spellEnd"/>
            <w:r w:rsidRPr="00A74D8F">
              <w:rPr>
                <w:rFonts w:ascii="Arial" w:hAnsi="Arial" w:cs="Arial"/>
                <w:b/>
                <w:bCs/>
                <w:color w:val="FFFFFF"/>
                <w:sz w:val="20"/>
                <w:szCs w:val="20"/>
              </w:rPr>
              <w:t xml:space="preserve"> </w:t>
            </w:r>
            <w:r w:rsidR="00085551">
              <w:rPr>
                <w:rFonts w:ascii="Arial" w:hAnsi="Arial" w:cs="Arial"/>
                <w:b/>
                <w:bCs/>
                <w:color w:val="FFFFFF"/>
                <w:sz w:val="20"/>
                <w:szCs w:val="20"/>
              </w:rPr>
              <w:br/>
            </w:r>
            <w:r w:rsidRPr="00A74D8F">
              <w:rPr>
                <w:rFonts w:ascii="Arial" w:hAnsi="Arial" w:cs="Arial"/>
                <w:b/>
                <w:bCs/>
                <w:color w:val="FFFFFF"/>
                <w:sz w:val="20"/>
                <w:szCs w:val="20"/>
              </w:rPr>
              <w:t>20-Yr</w:t>
            </w:r>
          </w:p>
        </w:tc>
      </w:tr>
      <w:tr w:rsidR="00A74D8F" w:rsidRPr="00A74D8F" w14:paraId="1D57225F" w14:textId="77777777">
        <w:trPr>
          <w:trHeight w:hRule="exact" w:val="451"/>
        </w:trPr>
        <w:tc>
          <w:tcPr>
            <w:tcW w:w="1368" w:type="dxa"/>
            <w:shd w:val="clear" w:color="auto" w:fill="EEECE1"/>
            <w:vAlign w:val="bottom"/>
          </w:tcPr>
          <w:p w14:paraId="38C078C7" w14:textId="77777777" w:rsidR="00862469" w:rsidRPr="00A74D8F" w:rsidRDefault="00862469" w:rsidP="00A74D8F">
            <w:pPr>
              <w:spacing w:line="200" w:lineRule="exact"/>
              <w:jc w:val="center"/>
              <w:rPr>
                <w:rFonts w:ascii="Arial" w:hAnsi="Arial" w:cs="Arial"/>
                <w:b/>
                <w:sz w:val="20"/>
                <w:szCs w:val="20"/>
              </w:rPr>
            </w:pPr>
            <w:r w:rsidRPr="00A74D8F">
              <w:rPr>
                <w:rFonts w:ascii="Arial" w:hAnsi="Arial" w:cs="Arial"/>
                <w:b/>
                <w:sz w:val="20"/>
                <w:szCs w:val="20"/>
              </w:rPr>
              <w:t>Codes &amp; Standards</w:t>
            </w:r>
          </w:p>
        </w:tc>
        <w:tc>
          <w:tcPr>
            <w:tcW w:w="2070" w:type="dxa"/>
            <w:shd w:val="clear" w:color="auto" w:fill="EEECE1"/>
            <w:vAlign w:val="bottom"/>
          </w:tcPr>
          <w:p w14:paraId="4AE62C01" w14:textId="77777777" w:rsidR="00862469" w:rsidRPr="00A74D8F" w:rsidRDefault="00862469" w:rsidP="00862469">
            <w:pPr>
              <w:spacing w:line="320" w:lineRule="exact"/>
              <w:jc w:val="center"/>
              <w:rPr>
                <w:rFonts w:ascii="Arial" w:hAnsi="Arial" w:cs="Arial"/>
                <w:b/>
                <w:sz w:val="20"/>
                <w:szCs w:val="20"/>
              </w:rPr>
            </w:pPr>
            <w:r w:rsidRPr="00A74D8F">
              <w:rPr>
                <w:rFonts w:ascii="Arial" w:hAnsi="Arial" w:cs="Arial"/>
                <w:b/>
                <w:sz w:val="20"/>
                <w:szCs w:val="20"/>
              </w:rPr>
              <w:t>$0</w:t>
            </w:r>
          </w:p>
        </w:tc>
        <w:tc>
          <w:tcPr>
            <w:tcW w:w="1170" w:type="dxa"/>
            <w:shd w:val="clear" w:color="auto" w:fill="EEECE1"/>
            <w:vAlign w:val="bottom"/>
          </w:tcPr>
          <w:p w14:paraId="7B3307AA" w14:textId="77777777" w:rsidR="00862469" w:rsidRPr="00A74D8F" w:rsidRDefault="00A74D8F" w:rsidP="00862469">
            <w:pPr>
              <w:jc w:val="center"/>
              <w:rPr>
                <w:rFonts w:ascii="Arial" w:hAnsi="Arial" w:cs="Arial"/>
                <w:b/>
                <w:sz w:val="20"/>
                <w:szCs w:val="20"/>
              </w:rPr>
            </w:pPr>
            <w:r w:rsidRPr="00A74D8F">
              <w:rPr>
                <w:rFonts w:ascii="Arial" w:hAnsi="Arial" w:cs="Arial"/>
                <w:b/>
                <w:sz w:val="20"/>
                <w:szCs w:val="20"/>
              </w:rPr>
              <w:t>2,016</w:t>
            </w:r>
          </w:p>
        </w:tc>
        <w:tc>
          <w:tcPr>
            <w:tcW w:w="1080" w:type="dxa"/>
            <w:shd w:val="clear" w:color="auto" w:fill="EEECE1"/>
            <w:vAlign w:val="bottom"/>
          </w:tcPr>
          <w:p w14:paraId="6FB9F4C6" w14:textId="77777777" w:rsidR="00862469" w:rsidRPr="00A74D8F" w:rsidRDefault="00862469" w:rsidP="00862469">
            <w:pPr>
              <w:jc w:val="center"/>
              <w:rPr>
                <w:rFonts w:ascii="Arial" w:hAnsi="Arial" w:cs="Arial"/>
                <w:b/>
                <w:sz w:val="20"/>
                <w:szCs w:val="20"/>
              </w:rPr>
            </w:pPr>
            <w:r w:rsidRPr="00A74D8F">
              <w:rPr>
                <w:rFonts w:ascii="Arial" w:hAnsi="Arial" w:cs="Arial"/>
                <w:b/>
                <w:sz w:val="20"/>
                <w:szCs w:val="20"/>
              </w:rPr>
              <w:t>2,797</w:t>
            </w:r>
          </w:p>
        </w:tc>
        <w:tc>
          <w:tcPr>
            <w:tcW w:w="1530" w:type="dxa"/>
            <w:shd w:val="clear" w:color="auto" w:fill="EEECE1"/>
          </w:tcPr>
          <w:p w14:paraId="4BF03F0C" w14:textId="77777777" w:rsidR="00862469" w:rsidRPr="00A74D8F" w:rsidRDefault="00085551" w:rsidP="00862469">
            <w:pPr>
              <w:jc w:val="center"/>
              <w:rPr>
                <w:rFonts w:ascii="Arial" w:hAnsi="Arial" w:cs="Arial"/>
                <w:b/>
                <w:sz w:val="20"/>
                <w:szCs w:val="20"/>
              </w:rPr>
            </w:pPr>
            <w:r>
              <w:rPr>
                <w:rFonts w:ascii="Arial" w:hAnsi="Arial" w:cs="Arial"/>
                <w:b/>
                <w:sz w:val="20"/>
                <w:szCs w:val="20"/>
              </w:rPr>
              <w:br/>
            </w:r>
            <w:r w:rsidR="00862469" w:rsidRPr="00A74D8F">
              <w:rPr>
                <w:rFonts w:ascii="Arial" w:hAnsi="Arial" w:cs="Arial"/>
                <w:b/>
                <w:sz w:val="20"/>
                <w:szCs w:val="20"/>
              </w:rPr>
              <w:t>2,016</w:t>
            </w:r>
          </w:p>
        </w:tc>
        <w:tc>
          <w:tcPr>
            <w:tcW w:w="1440" w:type="dxa"/>
            <w:shd w:val="clear" w:color="auto" w:fill="EEECE1"/>
          </w:tcPr>
          <w:p w14:paraId="5AAF9795" w14:textId="77777777" w:rsidR="00862469" w:rsidRPr="00A74D8F" w:rsidRDefault="00085551" w:rsidP="00862469">
            <w:pPr>
              <w:jc w:val="center"/>
              <w:rPr>
                <w:rFonts w:ascii="Arial" w:hAnsi="Arial" w:cs="Arial"/>
                <w:b/>
                <w:sz w:val="20"/>
                <w:szCs w:val="20"/>
              </w:rPr>
            </w:pPr>
            <w:r>
              <w:rPr>
                <w:rFonts w:ascii="Arial" w:hAnsi="Arial" w:cs="Arial"/>
                <w:b/>
                <w:sz w:val="20"/>
                <w:szCs w:val="20"/>
              </w:rPr>
              <w:br/>
            </w:r>
            <w:r w:rsidR="00862469" w:rsidRPr="00A74D8F">
              <w:rPr>
                <w:rFonts w:ascii="Arial" w:hAnsi="Arial" w:cs="Arial"/>
                <w:b/>
                <w:sz w:val="20"/>
                <w:szCs w:val="20"/>
              </w:rPr>
              <w:t>2,797</w:t>
            </w:r>
          </w:p>
        </w:tc>
      </w:tr>
      <w:tr w:rsidR="00A74D8F" w:rsidRPr="00A74D8F" w14:paraId="379A6EAF" w14:textId="77777777">
        <w:trPr>
          <w:trHeight w:hRule="exact" w:val="294"/>
        </w:trPr>
        <w:tc>
          <w:tcPr>
            <w:tcW w:w="1368" w:type="dxa"/>
          </w:tcPr>
          <w:p w14:paraId="32CE57ED"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A</w:t>
            </w:r>
          </w:p>
        </w:tc>
        <w:tc>
          <w:tcPr>
            <w:tcW w:w="2070" w:type="dxa"/>
          </w:tcPr>
          <w:p w14:paraId="310FE887"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&lt; $2.20/</w:t>
            </w:r>
            <w:proofErr w:type="spellStart"/>
            <w:r w:rsidRPr="00A74D8F">
              <w:rPr>
                <w:rFonts w:ascii="Arial" w:hAnsi="Arial" w:cs="Arial"/>
                <w:sz w:val="20"/>
                <w:szCs w:val="20"/>
              </w:rPr>
              <w:t>Dth</w:t>
            </w:r>
            <w:proofErr w:type="spellEnd"/>
          </w:p>
        </w:tc>
        <w:tc>
          <w:tcPr>
            <w:tcW w:w="1170" w:type="dxa"/>
          </w:tcPr>
          <w:p w14:paraId="4A585D2E"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1,235</w:t>
            </w:r>
          </w:p>
        </w:tc>
        <w:tc>
          <w:tcPr>
            <w:tcW w:w="1080" w:type="dxa"/>
          </w:tcPr>
          <w:p w14:paraId="3AFB9B42"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1,677</w:t>
            </w:r>
          </w:p>
        </w:tc>
        <w:tc>
          <w:tcPr>
            <w:tcW w:w="1530" w:type="dxa"/>
          </w:tcPr>
          <w:p w14:paraId="617FFBE1"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1,778</w:t>
            </w:r>
          </w:p>
        </w:tc>
        <w:tc>
          <w:tcPr>
            <w:tcW w:w="1440" w:type="dxa"/>
          </w:tcPr>
          <w:p w14:paraId="05EEDCD4"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2,781</w:t>
            </w:r>
          </w:p>
        </w:tc>
      </w:tr>
      <w:tr w:rsidR="00A74D8F" w:rsidRPr="00A74D8F" w14:paraId="5BF12B5B" w14:textId="77777777">
        <w:trPr>
          <w:trHeight w:hRule="exact" w:val="294"/>
        </w:trPr>
        <w:tc>
          <w:tcPr>
            <w:tcW w:w="1368" w:type="dxa"/>
          </w:tcPr>
          <w:p w14:paraId="3A94F5DC"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A1</w:t>
            </w:r>
          </w:p>
        </w:tc>
        <w:tc>
          <w:tcPr>
            <w:tcW w:w="2070" w:type="dxa"/>
          </w:tcPr>
          <w:p w14:paraId="7FA8BAEE"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$2.2 to $3.0</w:t>
            </w:r>
          </w:p>
        </w:tc>
        <w:tc>
          <w:tcPr>
            <w:tcW w:w="1170" w:type="dxa"/>
          </w:tcPr>
          <w:p w14:paraId="07183DA4"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1,761</w:t>
            </w:r>
          </w:p>
        </w:tc>
        <w:tc>
          <w:tcPr>
            <w:tcW w:w="1080" w:type="dxa"/>
          </w:tcPr>
          <w:p w14:paraId="480175C0"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2,737</w:t>
            </w:r>
          </w:p>
        </w:tc>
        <w:tc>
          <w:tcPr>
            <w:tcW w:w="1530" w:type="dxa"/>
          </w:tcPr>
          <w:p w14:paraId="7B0F10ED"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1,889</w:t>
            </w:r>
          </w:p>
        </w:tc>
        <w:tc>
          <w:tcPr>
            <w:tcW w:w="1440" w:type="dxa"/>
          </w:tcPr>
          <w:p w14:paraId="0C094D8F"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2,966</w:t>
            </w:r>
          </w:p>
        </w:tc>
      </w:tr>
      <w:tr w:rsidR="00A74D8F" w:rsidRPr="00A74D8F" w14:paraId="3B35A3F8" w14:textId="77777777">
        <w:trPr>
          <w:trHeight w:hRule="exact" w:val="294"/>
        </w:trPr>
        <w:tc>
          <w:tcPr>
            <w:tcW w:w="1368" w:type="dxa"/>
          </w:tcPr>
          <w:p w14:paraId="4E193C0B"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A2</w:t>
            </w:r>
          </w:p>
        </w:tc>
        <w:tc>
          <w:tcPr>
            <w:tcW w:w="2070" w:type="dxa"/>
          </w:tcPr>
          <w:p w14:paraId="392140BF"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$3.0 to $4.5</w:t>
            </w:r>
          </w:p>
        </w:tc>
        <w:tc>
          <w:tcPr>
            <w:tcW w:w="1170" w:type="dxa"/>
          </w:tcPr>
          <w:p w14:paraId="4BBDB58E"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1,886</w:t>
            </w:r>
          </w:p>
        </w:tc>
        <w:tc>
          <w:tcPr>
            <w:tcW w:w="1080" w:type="dxa"/>
          </w:tcPr>
          <w:p w14:paraId="47EADE14"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2,950</w:t>
            </w:r>
          </w:p>
        </w:tc>
        <w:tc>
          <w:tcPr>
            <w:tcW w:w="1530" w:type="dxa"/>
          </w:tcPr>
          <w:p w14:paraId="185688C6"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2,047</w:t>
            </w:r>
          </w:p>
        </w:tc>
        <w:tc>
          <w:tcPr>
            <w:tcW w:w="1440" w:type="dxa"/>
          </w:tcPr>
          <w:p w14:paraId="4AC9CFCC"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3,411</w:t>
            </w:r>
          </w:p>
        </w:tc>
      </w:tr>
      <w:tr w:rsidR="00A74D8F" w:rsidRPr="00A74D8F" w14:paraId="4AFD7630" w14:textId="77777777">
        <w:trPr>
          <w:trHeight w:hRule="exact" w:val="294"/>
        </w:trPr>
        <w:tc>
          <w:tcPr>
            <w:tcW w:w="1368" w:type="dxa"/>
          </w:tcPr>
          <w:p w14:paraId="13E0394A"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B</w:t>
            </w:r>
          </w:p>
        </w:tc>
        <w:tc>
          <w:tcPr>
            <w:tcW w:w="2070" w:type="dxa"/>
          </w:tcPr>
          <w:p w14:paraId="1C027758"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$4.5 to $5.5</w:t>
            </w:r>
          </w:p>
        </w:tc>
        <w:tc>
          <w:tcPr>
            <w:tcW w:w="1170" w:type="dxa"/>
          </w:tcPr>
          <w:p w14:paraId="25A92BEF"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2,011</w:t>
            </w:r>
          </w:p>
        </w:tc>
        <w:tc>
          <w:tcPr>
            <w:tcW w:w="1080" w:type="dxa"/>
          </w:tcPr>
          <w:p w14:paraId="660735CE"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3,337</w:t>
            </w:r>
          </w:p>
        </w:tc>
        <w:tc>
          <w:tcPr>
            <w:tcW w:w="1530" w:type="dxa"/>
          </w:tcPr>
          <w:p w14:paraId="3DA812B4"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2,267</w:t>
            </w:r>
          </w:p>
        </w:tc>
        <w:tc>
          <w:tcPr>
            <w:tcW w:w="1440" w:type="dxa"/>
          </w:tcPr>
          <w:p w14:paraId="73E24852"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3,800</w:t>
            </w:r>
          </w:p>
        </w:tc>
      </w:tr>
      <w:tr w:rsidR="00A74D8F" w:rsidRPr="00A74D8F" w14:paraId="5AF87C08" w14:textId="77777777">
        <w:trPr>
          <w:trHeight w:hRule="exact" w:val="294"/>
        </w:trPr>
        <w:tc>
          <w:tcPr>
            <w:tcW w:w="1368" w:type="dxa"/>
          </w:tcPr>
          <w:p w14:paraId="78ABE7C6"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B1</w:t>
            </w:r>
          </w:p>
        </w:tc>
        <w:tc>
          <w:tcPr>
            <w:tcW w:w="2070" w:type="dxa"/>
          </w:tcPr>
          <w:p w14:paraId="75E79D0C"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$5.5 to $7.0</w:t>
            </w:r>
          </w:p>
        </w:tc>
        <w:tc>
          <w:tcPr>
            <w:tcW w:w="1170" w:type="dxa"/>
          </w:tcPr>
          <w:p w14:paraId="5180DAF5"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2,236</w:t>
            </w:r>
          </w:p>
        </w:tc>
        <w:tc>
          <w:tcPr>
            <w:tcW w:w="1080" w:type="dxa"/>
          </w:tcPr>
          <w:p w14:paraId="575CBDBF"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3,729</w:t>
            </w:r>
          </w:p>
        </w:tc>
        <w:tc>
          <w:tcPr>
            <w:tcW w:w="1530" w:type="dxa"/>
          </w:tcPr>
          <w:p w14:paraId="1BE832F0"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2,534</w:t>
            </w:r>
          </w:p>
        </w:tc>
        <w:tc>
          <w:tcPr>
            <w:tcW w:w="1440" w:type="dxa"/>
          </w:tcPr>
          <w:p w14:paraId="35F6DFE7"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4,208</w:t>
            </w:r>
          </w:p>
        </w:tc>
      </w:tr>
      <w:tr w:rsidR="00A74D8F" w:rsidRPr="00A74D8F" w14:paraId="6D3E9903" w14:textId="77777777">
        <w:trPr>
          <w:trHeight w:hRule="exact" w:val="294"/>
        </w:trPr>
        <w:tc>
          <w:tcPr>
            <w:tcW w:w="1368" w:type="dxa"/>
          </w:tcPr>
          <w:p w14:paraId="09BB13F4"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C</w:t>
            </w:r>
          </w:p>
        </w:tc>
        <w:tc>
          <w:tcPr>
            <w:tcW w:w="2070" w:type="dxa"/>
          </w:tcPr>
          <w:p w14:paraId="68F93155"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$7.0 to $8.5</w:t>
            </w:r>
          </w:p>
        </w:tc>
        <w:tc>
          <w:tcPr>
            <w:tcW w:w="1170" w:type="dxa"/>
          </w:tcPr>
          <w:p w14:paraId="3AE684D6"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2,422</w:t>
            </w:r>
          </w:p>
        </w:tc>
        <w:tc>
          <w:tcPr>
            <w:tcW w:w="1080" w:type="dxa"/>
          </w:tcPr>
          <w:p w14:paraId="3882E25B"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4,050</w:t>
            </w:r>
          </w:p>
        </w:tc>
        <w:tc>
          <w:tcPr>
            <w:tcW w:w="1530" w:type="dxa"/>
          </w:tcPr>
          <w:p w14:paraId="10328405"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2,891</w:t>
            </w:r>
          </w:p>
        </w:tc>
        <w:tc>
          <w:tcPr>
            <w:tcW w:w="1440" w:type="dxa"/>
          </w:tcPr>
          <w:p w14:paraId="7CFF67D0"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4,743</w:t>
            </w:r>
          </w:p>
        </w:tc>
      </w:tr>
      <w:tr w:rsidR="00A74D8F" w:rsidRPr="00A74D8F" w14:paraId="75EA4E3C" w14:textId="77777777">
        <w:trPr>
          <w:trHeight w:hRule="exact" w:val="294"/>
        </w:trPr>
        <w:tc>
          <w:tcPr>
            <w:tcW w:w="1368" w:type="dxa"/>
          </w:tcPr>
          <w:p w14:paraId="1580EB13"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C1</w:t>
            </w:r>
          </w:p>
        </w:tc>
        <w:tc>
          <w:tcPr>
            <w:tcW w:w="2070" w:type="dxa"/>
          </w:tcPr>
          <w:p w14:paraId="0DC6E96F"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$8.5 to $9.5</w:t>
            </w:r>
          </w:p>
        </w:tc>
        <w:tc>
          <w:tcPr>
            <w:tcW w:w="1170" w:type="dxa"/>
          </w:tcPr>
          <w:p w14:paraId="22F5FD46"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2,667</w:t>
            </w:r>
          </w:p>
        </w:tc>
        <w:tc>
          <w:tcPr>
            <w:tcW w:w="1080" w:type="dxa"/>
          </w:tcPr>
          <w:p w14:paraId="520237E0"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4,432</w:t>
            </w:r>
          </w:p>
        </w:tc>
        <w:tc>
          <w:tcPr>
            <w:tcW w:w="1530" w:type="dxa"/>
          </w:tcPr>
          <w:p w14:paraId="3A267739"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3,612</w:t>
            </w:r>
          </w:p>
        </w:tc>
        <w:tc>
          <w:tcPr>
            <w:tcW w:w="1440" w:type="dxa"/>
          </w:tcPr>
          <w:p w14:paraId="70B8A04B"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6,269</w:t>
            </w:r>
          </w:p>
        </w:tc>
      </w:tr>
      <w:tr w:rsidR="00A74D8F" w:rsidRPr="00A74D8F" w14:paraId="471118D6" w14:textId="77777777">
        <w:trPr>
          <w:trHeight w:hRule="exact" w:val="294"/>
        </w:trPr>
        <w:tc>
          <w:tcPr>
            <w:tcW w:w="1368" w:type="dxa"/>
          </w:tcPr>
          <w:p w14:paraId="38C850B4"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D</w:t>
            </w:r>
          </w:p>
        </w:tc>
        <w:tc>
          <w:tcPr>
            <w:tcW w:w="2070" w:type="dxa"/>
          </w:tcPr>
          <w:p w14:paraId="77CCDB6F"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$9.5 to $12.0</w:t>
            </w:r>
          </w:p>
        </w:tc>
        <w:tc>
          <w:tcPr>
            <w:tcW w:w="1170" w:type="dxa"/>
          </w:tcPr>
          <w:p w14:paraId="090B2D8F"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3,218</w:t>
            </w:r>
          </w:p>
        </w:tc>
        <w:tc>
          <w:tcPr>
            <w:tcW w:w="1080" w:type="dxa"/>
          </w:tcPr>
          <w:p w14:paraId="0CDF80B9"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5,316</w:t>
            </w:r>
          </w:p>
        </w:tc>
        <w:tc>
          <w:tcPr>
            <w:tcW w:w="1530" w:type="dxa"/>
          </w:tcPr>
          <w:p w14:paraId="7559EE67"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5,374</w:t>
            </w:r>
          </w:p>
        </w:tc>
        <w:tc>
          <w:tcPr>
            <w:tcW w:w="1440" w:type="dxa"/>
          </w:tcPr>
          <w:p w14:paraId="161BE446"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8,319</w:t>
            </w:r>
          </w:p>
        </w:tc>
      </w:tr>
      <w:tr w:rsidR="00A74D8F" w:rsidRPr="00A74D8F" w14:paraId="1310018F" w14:textId="77777777">
        <w:trPr>
          <w:trHeight w:hRule="exact" w:val="294"/>
        </w:trPr>
        <w:tc>
          <w:tcPr>
            <w:tcW w:w="1368" w:type="dxa"/>
          </w:tcPr>
          <w:p w14:paraId="75F2A78D"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E</w:t>
            </w:r>
          </w:p>
        </w:tc>
        <w:tc>
          <w:tcPr>
            <w:tcW w:w="2070" w:type="dxa"/>
          </w:tcPr>
          <w:p w14:paraId="7912B5F1"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$12.0 to $15.0</w:t>
            </w:r>
          </w:p>
        </w:tc>
        <w:tc>
          <w:tcPr>
            <w:tcW w:w="1170" w:type="dxa"/>
          </w:tcPr>
          <w:p w14:paraId="5DDAEA24"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3,872</w:t>
            </w:r>
          </w:p>
        </w:tc>
        <w:tc>
          <w:tcPr>
            <w:tcW w:w="1080" w:type="dxa"/>
          </w:tcPr>
          <w:p w14:paraId="32555034"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6,734</w:t>
            </w:r>
          </w:p>
        </w:tc>
        <w:tc>
          <w:tcPr>
            <w:tcW w:w="1530" w:type="dxa"/>
          </w:tcPr>
          <w:p w14:paraId="0DF2AEAA"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6,018</w:t>
            </w:r>
          </w:p>
        </w:tc>
        <w:tc>
          <w:tcPr>
            <w:tcW w:w="1440" w:type="dxa"/>
          </w:tcPr>
          <w:p w14:paraId="32236615"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9,365</w:t>
            </w:r>
          </w:p>
        </w:tc>
      </w:tr>
      <w:tr w:rsidR="00A74D8F" w:rsidRPr="00A74D8F" w14:paraId="33ACE9A1" w14:textId="77777777">
        <w:trPr>
          <w:trHeight w:hRule="exact" w:val="294"/>
        </w:trPr>
        <w:tc>
          <w:tcPr>
            <w:tcW w:w="1368" w:type="dxa"/>
          </w:tcPr>
          <w:p w14:paraId="68187AD4"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F</w:t>
            </w:r>
          </w:p>
        </w:tc>
        <w:tc>
          <w:tcPr>
            <w:tcW w:w="2070" w:type="dxa"/>
          </w:tcPr>
          <w:p w14:paraId="0E2CF37B"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$15.0 to $20.0</w:t>
            </w:r>
          </w:p>
        </w:tc>
        <w:tc>
          <w:tcPr>
            <w:tcW w:w="1170" w:type="dxa"/>
          </w:tcPr>
          <w:p w14:paraId="6D856EB4"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6,022</w:t>
            </w:r>
          </w:p>
        </w:tc>
        <w:tc>
          <w:tcPr>
            <w:tcW w:w="1080" w:type="dxa"/>
          </w:tcPr>
          <w:p w14:paraId="32F4D1FF"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9,390</w:t>
            </w:r>
          </w:p>
        </w:tc>
        <w:tc>
          <w:tcPr>
            <w:tcW w:w="1530" w:type="dxa"/>
          </w:tcPr>
          <w:p w14:paraId="7528FEF9"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7,972</w:t>
            </w:r>
          </w:p>
        </w:tc>
        <w:tc>
          <w:tcPr>
            <w:tcW w:w="1440" w:type="dxa"/>
          </w:tcPr>
          <w:p w14:paraId="40CA8068"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13,186</w:t>
            </w:r>
          </w:p>
        </w:tc>
      </w:tr>
      <w:tr w:rsidR="00A74D8F" w:rsidRPr="00A74D8F" w14:paraId="051FB8E9" w14:textId="77777777">
        <w:trPr>
          <w:trHeight w:hRule="exact" w:val="294"/>
        </w:trPr>
        <w:tc>
          <w:tcPr>
            <w:tcW w:w="1368" w:type="dxa"/>
          </w:tcPr>
          <w:p w14:paraId="0B8B82C8"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G</w:t>
            </w:r>
          </w:p>
        </w:tc>
        <w:tc>
          <w:tcPr>
            <w:tcW w:w="2070" w:type="dxa"/>
          </w:tcPr>
          <w:p w14:paraId="0224FC77"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&gt;= $20</w:t>
            </w:r>
          </w:p>
        </w:tc>
        <w:tc>
          <w:tcPr>
            <w:tcW w:w="1170" w:type="dxa"/>
          </w:tcPr>
          <w:p w14:paraId="5FF6117C"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14,001</w:t>
            </w:r>
          </w:p>
        </w:tc>
        <w:tc>
          <w:tcPr>
            <w:tcW w:w="1080" w:type="dxa"/>
          </w:tcPr>
          <w:p w14:paraId="7E099AFC"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21,476</w:t>
            </w:r>
          </w:p>
        </w:tc>
        <w:tc>
          <w:tcPr>
            <w:tcW w:w="1530" w:type="dxa"/>
          </w:tcPr>
          <w:p w14:paraId="518BBDB1"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14,001</w:t>
            </w:r>
          </w:p>
        </w:tc>
        <w:tc>
          <w:tcPr>
            <w:tcW w:w="1440" w:type="dxa"/>
          </w:tcPr>
          <w:p w14:paraId="78F90AC9"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21,476</w:t>
            </w:r>
          </w:p>
        </w:tc>
      </w:tr>
    </w:tbl>
    <w:p w14:paraId="2D0567BC" w14:textId="77777777" w:rsidR="00862469" w:rsidRPr="00A74D8F" w:rsidRDefault="00862469" w:rsidP="00085551">
      <w:pPr>
        <w:pStyle w:val="IRPsanstext"/>
      </w:pPr>
    </w:p>
    <w:p w14:paraId="43696DC4" w14:textId="77777777" w:rsidR="00862469" w:rsidRPr="00A74D8F" w:rsidRDefault="00862469" w:rsidP="00085551">
      <w:pPr>
        <w:pStyle w:val="IRPsanstext"/>
      </w:pPr>
      <w:r w:rsidRPr="00A74D8F">
        <w:t xml:space="preserve">More detail on the measures, assumptions and methodology used to develop DSR potentials can be found in Appendix </w:t>
      </w:r>
      <w:r w:rsidR="00291AB5">
        <w:t>J</w:t>
      </w:r>
      <w:r w:rsidRPr="00A74D8F">
        <w:t xml:space="preserve">, Demand-side Resources.  </w:t>
      </w:r>
    </w:p>
    <w:p w14:paraId="3EA4C335" w14:textId="77777777" w:rsidR="00862469" w:rsidRPr="00891D84" w:rsidRDefault="00862469" w:rsidP="00085551">
      <w:pPr>
        <w:pStyle w:val="IRPsanstext"/>
      </w:pPr>
    </w:p>
    <w:p w14:paraId="51E19B46" w14:textId="77777777" w:rsidR="00862469" w:rsidRPr="00891D84" w:rsidRDefault="00862469" w:rsidP="00085551">
      <w:pPr>
        <w:pStyle w:val="IRPsanstext"/>
      </w:pPr>
      <w:r>
        <w:t>In the final step</w:t>
      </w:r>
      <w:r w:rsidRPr="00891D84">
        <w:t xml:space="preserve">, </w:t>
      </w:r>
      <w:r>
        <w:t>the gas portfolio model (GPM)</w:t>
      </w:r>
      <w:r w:rsidRPr="00891D84">
        <w:t xml:space="preserve"> was used to test the optimal level of demand-side resources in each scenario. To format the inputs for </w:t>
      </w:r>
      <w:r>
        <w:t>the GPM</w:t>
      </w:r>
      <w:r w:rsidRPr="00891D84">
        <w:t xml:space="preserve"> analysis, the cost bundles were further subdivided by market sector and weather/non-weather sensitive measures. Increasingly expensive bundles were added to each scenario until </w:t>
      </w:r>
      <w:r>
        <w:t>the GPM</w:t>
      </w:r>
      <w:r w:rsidRPr="00891D84">
        <w:t xml:space="preserve"> rejected bundles as not cost effective. The bundle that reduced the portfolio cost the most was deemed the appropriate level of demand-side resource</w:t>
      </w:r>
      <w:r>
        <w:t>s for that scenario. Figure 7-</w:t>
      </w:r>
      <w:r w:rsidR="00156604">
        <w:t>14</w:t>
      </w:r>
      <w:r w:rsidR="00156604" w:rsidRPr="00891D84">
        <w:t xml:space="preserve"> </w:t>
      </w:r>
      <w:r w:rsidRPr="00891D84">
        <w:t xml:space="preserve">illustrates the methodology described above. </w:t>
      </w:r>
    </w:p>
    <w:p w14:paraId="570EB028" w14:textId="77777777" w:rsidR="003B257E" w:rsidRDefault="000E5E62" w:rsidP="008C3221">
      <w:pPr>
        <w:pStyle w:val="IRPFigureSub"/>
        <w:spacing w:after="120"/>
      </w:pPr>
      <w:r>
        <w:br/>
      </w:r>
    </w:p>
    <w:p w14:paraId="43DFA39E" w14:textId="1C70C176" w:rsidR="003B257E" w:rsidRPr="005348A5" w:rsidRDefault="003B257E" w:rsidP="005348A5">
      <w:pPr>
        <w:rPr>
          <w:rFonts w:ascii="Arial" w:hAnsi="Arial"/>
          <w:i/>
          <w:sz w:val="20"/>
          <w:szCs w:val="22"/>
        </w:rPr>
      </w:pPr>
      <w:r>
        <w:br w:type="page"/>
      </w:r>
    </w:p>
    <w:p w14:paraId="7594BDB6" w14:textId="2CBA8BDC" w:rsidR="00862469" w:rsidRPr="000E5E62" w:rsidRDefault="005348A5" w:rsidP="008C3221">
      <w:pPr>
        <w:pStyle w:val="IRPFigureSub"/>
        <w:spacing w:after="120"/>
      </w:pPr>
      <w:r>
        <w:lastRenderedPageBreak/>
        <w:br/>
      </w:r>
      <w:r w:rsidR="00862469" w:rsidRPr="00891D84">
        <w:t xml:space="preserve">Figure </w:t>
      </w:r>
      <w:r w:rsidR="00862469">
        <w:t>7-</w:t>
      </w:r>
      <w:r w:rsidR="00156604">
        <w:t>14</w:t>
      </w:r>
      <w:r w:rsidR="00862469">
        <w:t xml:space="preserve">: </w:t>
      </w:r>
      <w:r w:rsidR="00862469" w:rsidRPr="00891D84">
        <w:t>General Methodology for Assessing Demand-side Resource Potential</w:t>
      </w:r>
    </w:p>
    <w:p w14:paraId="663EDCBC" w14:textId="3605BA4B" w:rsidR="00862469" w:rsidRDefault="00181AEF" w:rsidP="00862469">
      <w:pPr>
        <w:spacing w:line="320" w:lineRule="exact"/>
        <w:rPr>
          <w:rFonts w:ascii="Arial" w:hAnsi="Arial"/>
          <w:sz w:val="20"/>
          <w:szCs w:val="20"/>
        </w:rPr>
      </w:pPr>
      <w:r>
        <w:rPr>
          <w:noProof/>
          <w:lang w:eastAsia="en-US"/>
        </w:rPr>
        <w:drawing>
          <wp:anchor distT="0" distB="0" distL="114300" distR="114300" simplePos="0" relativeHeight="251663360" behindDoc="0" locked="0" layoutInCell="1" allowOverlap="1" wp14:anchorId="656677F3" wp14:editId="7272D27F">
            <wp:simplePos x="0" y="0"/>
            <wp:positionH relativeFrom="column">
              <wp:posOffset>51435</wp:posOffset>
            </wp:positionH>
            <wp:positionV relativeFrom="paragraph">
              <wp:posOffset>129540</wp:posOffset>
            </wp:positionV>
            <wp:extent cx="5398770" cy="5097780"/>
            <wp:effectExtent l="0" t="0" r="11430" b="7620"/>
            <wp:wrapTopAndBottom/>
            <wp:docPr id="46" name="Picture 4" descr="Macintosh HD:Users:annrhodes:Desktop:p631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rhodes:Desktop:p631grap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8770" cy="5097780"/>
                    </a:xfrm>
                    <a:prstGeom prst="rect">
                      <a:avLst/>
                    </a:prstGeom>
                    <a:noFill/>
                    <a:ln>
                      <a:noFill/>
                    </a:ln>
                  </pic:spPr>
                </pic:pic>
              </a:graphicData>
            </a:graphic>
          </wp:anchor>
        </w:drawing>
      </w:r>
    </w:p>
    <w:p w14:paraId="14A70E9D" w14:textId="303D2D75" w:rsidR="008C3221" w:rsidRDefault="000E5E62" w:rsidP="000E5E62">
      <w:pPr>
        <w:pStyle w:val="IRPsanstext"/>
      </w:pPr>
      <w:r>
        <w:br/>
      </w:r>
    </w:p>
    <w:p w14:paraId="67E8493E" w14:textId="77777777" w:rsidR="00893189" w:rsidRDefault="00893189">
      <w:pPr>
        <w:rPr>
          <w:rFonts w:ascii="Arial" w:hAnsi="Arial"/>
          <w:sz w:val="20"/>
          <w:szCs w:val="20"/>
        </w:rPr>
      </w:pPr>
      <w:r>
        <w:br w:type="page"/>
      </w:r>
    </w:p>
    <w:p w14:paraId="554EAFCE" w14:textId="77777777" w:rsidR="003B257E" w:rsidRDefault="003B257E" w:rsidP="000E5E62">
      <w:pPr>
        <w:pStyle w:val="IRPsanstext"/>
      </w:pPr>
    </w:p>
    <w:p w14:paraId="46BB5B56" w14:textId="77777777" w:rsidR="00862469" w:rsidRPr="00891D84" w:rsidRDefault="00862469" w:rsidP="000E5E62">
      <w:pPr>
        <w:pStyle w:val="IRPsanstext"/>
      </w:pPr>
      <w:r>
        <w:t>Figure</w:t>
      </w:r>
      <w:r w:rsidRPr="00891D84">
        <w:t xml:space="preserve"> </w:t>
      </w:r>
      <w:r>
        <w:t>7-1</w:t>
      </w:r>
      <w:r w:rsidR="00156604">
        <w:t>5</w:t>
      </w:r>
      <w:r>
        <w:t xml:space="preserve"> </w:t>
      </w:r>
      <w:r w:rsidRPr="00891D84">
        <w:t>show</w:t>
      </w:r>
      <w:r>
        <w:t>s</w:t>
      </w:r>
      <w:r w:rsidRPr="00891D84">
        <w:t xml:space="preserve"> the range of achievable technical potential among the eleven cost bundles used in </w:t>
      </w:r>
      <w:r>
        <w:t>the GPM</w:t>
      </w:r>
      <w:r w:rsidRPr="00891D84">
        <w:t xml:space="preserve">. It selects an optimal combination of each bundle </w:t>
      </w:r>
      <w:r>
        <w:t xml:space="preserve">in every customer class </w:t>
      </w:r>
      <w:r w:rsidRPr="00891D84">
        <w:t>to determine the overall optimal level of demand-side gas resource for a particular scenario.</w:t>
      </w:r>
    </w:p>
    <w:p w14:paraId="045123DC" w14:textId="77777777" w:rsidR="00862469" w:rsidRPr="00891D84" w:rsidRDefault="00862469" w:rsidP="000E5E62">
      <w:pPr>
        <w:pStyle w:val="IRPsanstext"/>
      </w:pPr>
    </w:p>
    <w:p w14:paraId="37D9585C" w14:textId="77777777" w:rsidR="00862469" w:rsidRDefault="00D076A4" w:rsidP="000E5E62">
      <w:pPr>
        <w:pStyle w:val="IRPFigureSub"/>
        <w:spacing w:after="120"/>
      </w:pPr>
      <w:r>
        <w:rPr>
          <w:i w:val="0"/>
          <w:noProof/>
          <w:color w:val="000000"/>
          <w:lang w:eastAsia="en-US"/>
        </w:rPr>
        <w:drawing>
          <wp:anchor distT="0" distB="0" distL="114300" distR="114300" simplePos="0" relativeHeight="251666432" behindDoc="0" locked="0" layoutInCell="1" allowOverlap="1" wp14:anchorId="5D317BF5" wp14:editId="4E6D5E6A">
            <wp:simplePos x="0" y="0"/>
            <wp:positionH relativeFrom="column">
              <wp:posOffset>53340</wp:posOffset>
            </wp:positionH>
            <wp:positionV relativeFrom="paragraph">
              <wp:posOffset>368300</wp:posOffset>
            </wp:positionV>
            <wp:extent cx="5212080" cy="3775710"/>
            <wp:effectExtent l="0" t="0" r="7620" b="0"/>
            <wp:wrapTopAndBottom/>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3775710"/>
                    </a:xfrm>
                    <a:prstGeom prst="rect">
                      <a:avLst/>
                    </a:prstGeom>
                    <a:noFill/>
                  </pic:spPr>
                </pic:pic>
              </a:graphicData>
            </a:graphic>
          </wp:anchor>
        </w:drawing>
      </w:r>
      <w:r w:rsidR="00862469" w:rsidRPr="00891D84">
        <w:t xml:space="preserve">Figure </w:t>
      </w:r>
      <w:r w:rsidR="00862469">
        <w:t>7-1</w:t>
      </w:r>
      <w:r w:rsidR="00156604">
        <w:t>5</w:t>
      </w:r>
      <w:r w:rsidR="00862469">
        <w:t>:</w:t>
      </w:r>
      <w:r w:rsidR="00862469" w:rsidRPr="00891D84">
        <w:rPr>
          <w:noProof/>
        </w:rPr>
        <w:t xml:space="preserve"> Demand-side Resources</w:t>
      </w:r>
      <w:r w:rsidR="00862469" w:rsidRPr="00891D84">
        <w:t xml:space="preserve"> –</w:t>
      </w:r>
      <w:r w:rsidR="00FA348A">
        <w:t xml:space="preserve"> </w:t>
      </w:r>
      <w:r w:rsidR="00862469" w:rsidRPr="00891D84">
        <w:t>Achievable Technical Potential Bundles</w:t>
      </w:r>
    </w:p>
    <w:p w14:paraId="281F860F" w14:textId="77777777" w:rsidR="00301FA8" w:rsidRDefault="00301FA8" w:rsidP="000E5E62">
      <w:pPr>
        <w:pStyle w:val="IRPFigureSub"/>
        <w:spacing w:after="120"/>
      </w:pPr>
    </w:p>
    <w:p w14:paraId="5C66AF9C" w14:textId="77777777" w:rsidR="00893189" w:rsidRDefault="00893189">
      <w:pPr>
        <w:rPr>
          <w:rFonts w:ascii="Arial" w:hAnsi="Arial"/>
          <w:sz w:val="20"/>
          <w:szCs w:val="20"/>
        </w:rPr>
      </w:pPr>
      <w:r>
        <w:br w:type="page"/>
      </w:r>
    </w:p>
    <w:p w14:paraId="6A6BDC6B" w14:textId="77777777" w:rsidR="003B257E" w:rsidRDefault="003B257E" w:rsidP="00301FA8">
      <w:pPr>
        <w:pStyle w:val="IRPsanstext"/>
      </w:pPr>
    </w:p>
    <w:p w14:paraId="46F3F287" w14:textId="77777777" w:rsidR="00301FA8" w:rsidRDefault="00301FA8" w:rsidP="00301FA8">
      <w:pPr>
        <w:pStyle w:val="IRPsanstext"/>
      </w:pPr>
      <w:r w:rsidRPr="00891D84">
        <w:t xml:space="preserve">Figure </w:t>
      </w:r>
      <w:r>
        <w:t>7-1</w:t>
      </w:r>
      <w:r w:rsidR="00156604">
        <w:t>6</w:t>
      </w:r>
      <w:r w:rsidRPr="00891D84">
        <w:t xml:space="preserve"> shows a sample input format subdivided by </w:t>
      </w:r>
      <w:r>
        <w:t>customer class</w:t>
      </w:r>
      <w:r w:rsidRPr="00891D84">
        <w:t xml:space="preserve"> for Bundle </w:t>
      </w:r>
      <w:proofErr w:type="gramStart"/>
      <w:r w:rsidRPr="00891D84">
        <w:t>A</w:t>
      </w:r>
      <w:proofErr w:type="gramEnd"/>
      <w:r w:rsidRPr="00891D84">
        <w:t xml:space="preserve"> (&lt;$2.20 per </w:t>
      </w:r>
      <w:proofErr w:type="spellStart"/>
      <w:r w:rsidRPr="00891D84">
        <w:t>Dth</w:t>
      </w:r>
      <w:proofErr w:type="spellEnd"/>
      <w:r w:rsidRPr="00891D84">
        <w:t xml:space="preserve">) used in the </w:t>
      </w:r>
      <w:r>
        <w:t>GPM</w:t>
      </w:r>
      <w:r w:rsidRPr="00891D84">
        <w:t xml:space="preserve"> for all the IRP scenarios.</w:t>
      </w:r>
    </w:p>
    <w:p w14:paraId="17ABEFF9" w14:textId="77777777" w:rsidR="00862469" w:rsidRPr="00891D84" w:rsidRDefault="00862469" w:rsidP="000E5E62">
      <w:pPr>
        <w:spacing w:line="240" w:lineRule="exact"/>
        <w:rPr>
          <w:rFonts w:ascii="Arial" w:hAnsi="Arial"/>
          <w:i/>
          <w:color w:val="000000"/>
          <w:sz w:val="20"/>
        </w:rPr>
      </w:pPr>
    </w:p>
    <w:p w14:paraId="3A21EF83" w14:textId="77777777" w:rsidR="00862469" w:rsidRPr="00891D84" w:rsidRDefault="00862469" w:rsidP="000E5E62">
      <w:pPr>
        <w:spacing w:after="120" w:line="240" w:lineRule="exact"/>
        <w:jc w:val="center"/>
        <w:rPr>
          <w:rFonts w:ascii="Arial" w:hAnsi="Arial"/>
          <w:b/>
          <w:i/>
          <w:color w:val="000000"/>
          <w:sz w:val="20"/>
        </w:rPr>
      </w:pPr>
      <w:r w:rsidRPr="000E5E62">
        <w:rPr>
          <w:rStyle w:val="IRPFigureSubChar"/>
          <w:noProof/>
          <w:sz w:val="20"/>
          <w:szCs w:val="20"/>
          <w:lang w:eastAsia="en-US"/>
        </w:rPr>
        <w:drawing>
          <wp:anchor distT="0" distB="0" distL="114300" distR="114300" simplePos="0" relativeHeight="251665408" behindDoc="0" locked="0" layoutInCell="1" allowOverlap="1" wp14:anchorId="54CBDE60" wp14:editId="2C1EE8DC">
            <wp:simplePos x="0" y="0"/>
            <wp:positionH relativeFrom="column">
              <wp:posOffset>52705</wp:posOffset>
            </wp:positionH>
            <wp:positionV relativeFrom="paragraph">
              <wp:posOffset>403860</wp:posOffset>
            </wp:positionV>
            <wp:extent cx="5311140" cy="3848100"/>
            <wp:effectExtent l="0" t="0" r="0" b="0"/>
            <wp:wrapTopAndBottom/>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1140" cy="3848100"/>
                    </a:xfrm>
                    <a:prstGeom prst="rect">
                      <a:avLst/>
                    </a:prstGeom>
                    <a:noFill/>
                  </pic:spPr>
                </pic:pic>
              </a:graphicData>
            </a:graphic>
          </wp:anchor>
        </w:drawing>
      </w:r>
      <w:r w:rsidRPr="000E5E62">
        <w:rPr>
          <w:rStyle w:val="IRPFigureSubChar"/>
          <w:sz w:val="20"/>
          <w:szCs w:val="20"/>
        </w:rPr>
        <w:t>Figure 7-1</w:t>
      </w:r>
      <w:r w:rsidR="00156604">
        <w:rPr>
          <w:rStyle w:val="IRPFigureSubChar"/>
          <w:sz w:val="20"/>
          <w:szCs w:val="20"/>
        </w:rPr>
        <w:t>6</w:t>
      </w:r>
      <w:r w:rsidRPr="000E5E62">
        <w:rPr>
          <w:rStyle w:val="IRPFigureSubChar"/>
          <w:sz w:val="20"/>
          <w:szCs w:val="20"/>
        </w:rPr>
        <w:t>: Savings Formatted for Portfolio Model Input</w:t>
      </w:r>
      <w:r w:rsidR="000E5E62">
        <w:rPr>
          <w:rStyle w:val="IRPFigureSubChar"/>
          <w:sz w:val="20"/>
          <w:szCs w:val="20"/>
        </w:rPr>
        <w:br/>
      </w:r>
      <w:r w:rsidRPr="000E5E62">
        <w:rPr>
          <w:rStyle w:val="IRPFigureSubChar"/>
          <w:sz w:val="20"/>
          <w:szCs w:val="20"/>
        </w:rPr>
        <w:t>by Customer Class – Bundle A (&lt;</w:t>
      </w:r>
      <w:r w:rsidRPr="00891D84">
        <w:rPr>
          <w:rFonts w:ascii="Arial" w:hAnsi="Arial"/>
          <w:i/>
          <w:color w:val="000000"/>
          <w:sz w:val="20"/>
        </w:rPr>
        <w:t xml:space="preserve"> $2.20/</w:t>
      </w:r>
      <w:proofErr w:type="spellStart"/>
      <w:r w:rsidRPr="00891D84">
        <w:rPr>
          <w:rFonts w:ascii="Arial" w:hAnsi="Arial"/>
          <w:i/>
          <w:color w:val="000000"/>
          <w:sz w:val="20"/>
        </w:rPr>
        <w:t>Dth</w:t>
      </w:r>
      <w:proofErr w:type="spellEnd"/>
      <w:r w:rsidRPr="00891D84">
        <w:rPr>
          <w:rFonts w:ascii="Arial" w:hAnsi="Arial"/>
          <w:i/>
          <w:color w:val="000000"/>
          <w:sz w:val="20"/>
        </w:rPr>
        <w:t>)</w:t>
      </w:r>
    </w:p>
    <w:p w14:paraId="42EE3614" w14:textId="77777777" w:rsidR="00862469" w:rsidRDefault="00862469" w:rsidP="00862469"/>
    <w:p w14:paraId="479D6DAA" w14:textId="77777777" w:rsidR="00893189" w:rsidRDefault="00893189">
      <w:pPr>
        <w:rPr>
          <w:rFonts w:ascii="Arial" w:hAnsi="Arial" w:cs="Arial"/>
          <w:b/>
          <w:color w:val="006C71"/>
          <w:sz w:val="32"/>
          <w:szCs w:val="32"/>
        </w:rPr>
      </w:pPr>
      <w:r>
        <w:rPr>
          <w:rFonts w:ascii="Arial" w:hAnsi="Arial" w:cs="Arial"/>
          <w:b/>
          <w:color w:val="006C71"/>
          <w:sz w:val="32"/>
          <w:szCs w:val="32"/>
        </w:rPr>
        <w:br w:type="page"/>
      </w:r>
    </w:p>
    <w:p w14:paraId="7D84E8C6" w14:textId="77777777" w:rsidR="003B257E" w:rsidRDefault="003B257E" w:rsidP="003B257E">
      <w:pPr>
        <w:pStyle w:val="IRPtitle"/>
        <w:ind w:left="0" w:firstLine="0"/>
        <w:rPr>
          <w:rFonts w:ascii="Arial" w:hAnsi="Arial" w:cs="Arial"/>
          <w:b/>
          <w:color w:val="006C71"/>
          <w:sz w:val="32"/>
          <w:szCs w:val="32"/>
        </w:rPr>
      </w:pPr>
    </w:p>
    <w:p w14:paraId="6EE2E1D9" w14:textId="77777777" w:rsidR="00862469" w:rsidRPr="0048211A" w:rsidRDefault="00862469" w:rsidP="00862469">
      <w:pPr>
        <w:pStyle w:val="IRPtitle"/>
        <w:rPr>
          <w:rFonts w:ascii="Arial" w:hAnsi="Arial" w:cs="Arial"/>
          <w:b/>
          <w:color w:val="006C71"/>
          <w:sz w:val="32"/>
          <w:szCs w:val="32"/>
        </w:rPr>
      </w:pPr>
      <w:r w:rsidRPr="0048211A">
        <w:rPr>
          <w:rFonts w:ascii="Arial" w:hAnsi="Arial" w:cs="Arial"/>
          <w:b/>
          <w:color w:val="006C71"/>
          <w:sz w:val="32"/>
          <w:szCs w:val="32"/>
        </w:rPr>
        <w:t>GAS SALES ANALYSIS RESULTS</w:t>
      </w:r>
    </w:p>
    <w:p w14:paraId="10FF2DA8" w14:textId="77777777" w:rsidR="00862469" w:rsidRDefault="00862469" w:rsidP="00862469">
      <w:pPr>
        <w:pStyle w:val="IRPtitle"/>
        <w:rPr>
          <w:szCs w:val="40"/>
        </w:rPr>
      </w:pPr>
    </w:p>
    <w:p w14:paraId="28874832" w14:textId="77777777" w:rsidR="00862469" w:rsidRPr="0048211A" w:rsidRDefault="00862469" w:rsidP="0048211A">
      <w:pPr>
        <w:pStyle w:val="IRPsanstext"/>
        <w:rPr>
          <w:sz w:val="32"/>
          <w:szCs w:val="32"/>
        </w:rPr>
      </w:pPr>
      <w:r w:rsidRPr="0048211A">
        <w:rPr>
          <w:sz w:val="32"/>
          <w:szCs w:val="32"/>
        </w:rPr>
        <w:t xml:space="preserve">Key Findings </w:t>
      </w:r>
    </w:p>
    <w:p w14:paraId="68E9688C" w14:textId="77777777" w:rsidR="00862469" w:rsidRDefault="00862469" w:rsidP="0048211A">
      <w:pPr>
        <w:pStyle w:val="IRPsanstext"/>
      </w:pPr>
    </w:p>
    <w:p w14:paraId="5D5CC083" w14:textId="77777777" w:rsidR="00862469" w:rsidRDefault="00862469" w:rsidP="0048211A">
      <w:pPr>
        <w:pStyle w:val="IRPsanstext"/>
      </w:pPr>
      <w:r>
        <w:t>The key findings from this analytical and statistical evaluation will provide guidance for development of PSE’s long-term resource strategy, and also provide background information for resource development activities over the next two years.</w:t>
      </w:r>
    </w:p>
    <w:p w14:paraId="4A5252E2" w14:textId="77777777" w:rsidR="00862469" w:rsidRDefault="00862469" w:rsidP="0048211A">
      <w:pPr>
        <w:pStyle w:val="IRPsanstext"/>
      </w:pPr>
    </w:p>
    <w:p w14:paraId="376EE405" w14:textId="2A28C7A2" w:rsidR="00862469" w:rsidRPr="00181AEF" w:rsidRDefault="00862469" w:rsidP="00181AEF">
      <w:pPr>
        <w:pStyle w:val="IRPsanstext"/>
        <w:numPr>
          <w:ilvl w:val="0"/>
          <w:numId w:val="41"/>
        </w:numPr>
        <w:ind w:left="810"/>
      </w:pPr>
      <w:r w:rsidRPr="003F13F7">
        <w:rPr>
          <w:b/>
        </w:rPr>
        <w:t xml:space="preserve">In the Base Scenario, the gas sales portfolio is short </w:t>
      </w:r>
      <w:proofErr w:type="gramStart"/>
      <w:r w:rsidRPr="003F13F7">
        <w:rPr>
          <w:b/>
        </w:rPr>
        <w:t>resources</w:t>
      </w:r>
      <w:proofErr w:type="gramEnd"/>
      <w:r w:rsidRPr="003F13F7">
        <w:rPr>
          <w:b/>
        </w:rPr>
        <w:t xml:space="preserve"> in the winter of 2016-17. </w:t>
      </w:r>
      <w:r>
        <w:t xml:space="preserve">The High </w:t>
      </w:r>
      <w:r w:rsidR="003F13F7">
        <w:t xml:space="preserve">Demand </w:t>
      </w:r>
      <w:r>
        <w:t xml:space="preserve">Scenario </w:t>
      </w:r>
      <w:r w:rsidR="005D7FF6">
        <w:t>shows a current resource shortfall in the gas sales portfolio</w:t>
      </w:r>
      <w:r w:rsidR="00893189">
        <w:t>,</w:t>
      </w:r>
      <w:r>
        <w:t xml:space="preserve"> while the Low </w:t>
      </w:r>
      <w:r w:rsidR="003F13F7">
        <w:t xml:space="preserve">Demand </w:t>
      </w:r>
      <w:r>
        <w:t xml:space="preserve">Scenario is short </w:t>
      </w:r>
      <w:r w:rsidR="00F07011">
        <w:t>in the winter of 2017-18</w:t>
      </w:r>
      <w:r>
        <w:t>.</w:t>
      </w:r>
    </w:p>
    <w:p w14:paraId="72C767FF" w14:textId="7A8A7D6E" w:rsidR="00862469" w:rsidRPr="00181AEF" w:rsidRDefault="00862469" w:rsidP="00181AEF">
      <w:pPr>
        <w:pStyle w:val="IRPsanstext"/>
        <w:numPr>
          <w:ilvl w:val="0"/>
          <w:numId w:val="41"/>
        </w:numPr>
        <w:ind w:left="810"/>
      </w:pPr>
      <w:r>
        <w:rPr>
          <w:b/>
        </w:rPr>
        <w:t xml:space="preserve">Immediate </w:t>
      </w:r>
      <w:r w:rsidR="00F07011">
        <w:rPr>
          <w:b/>
        </w:rPr>
        <w:t xml:space="preserve">short-term </w:t>
      </w:r>
      <w:r>
        <w:rPr>
          <w:b/>
        </w:rPr>
        <w:t xml:space="preserve">need will be met with combination of three resources in all scenarios: </w:t>
      </w:r>
      <w:r>
        <w:t xml:space="preserve">demand-side resources, a 2016-2018 short-term contract for excess pipeline capacity from Sumas to PSE and the </w:t>
      </w:r>
      <w:proofErr w:type="spellStart"/>
      <w:r>
        <w:t>Swarr</w:t>
      </w:r>
      <w:proofErr w:type="spellEnd"/>
      <w:r>
        <w:t xml:space="preserve"> upgrade project.</w:t>
      </w:r>
    </w:p>
    <w:p w14:paraId="42A92668" w14:textId="6BDF4FD1" w:rsidR="00862469" w:rsidRPr="00181AEF" w:rsidRDefault="00862469" w:rsidP="00181AEF">
      <w:pPr>
        <w:pStyle w:val="IRPsanstext"/>
        <w:numPr>
          <w:ilvl w:val="0"/>
          <w:numId w:val="41"/>
        </w:numPr>
        <w:ind w:left="810"/>
        <w:rPr>
          <w:b/>
        </w:rPr>
      </w:pPr>
      <w:r>
        <w:rPr>
          <w:b/>
        </w:rPr>
        <w:t xml:space="preserve">Cost-effective DSR is lower in the 2015 IRP </w:t>
      </w:r>
      <w:r w:rsidRPr="00AE4587">
        <w:t>due to past program achievements, updated end-use energy consumption model assumptions, and new standards and codes that resulted in some DSR being shifted out of utility</w:t>
      </w:r>
      <w:r w:rsidR="001843AA">
        <w:t>-</w:t>
      </w:r>
      <w:r w:rsidRPr="00AE4587">
        <w:t>program DSR bundles and into the standards and codes bundle</w:t>
      </w:r>
      <w:r>
        <w:rPr>
          <w:b/>
        </w:rPr>
        <w:t>.</w:t>
      </w:r>
    </w:p>
    <w:p w14:paraId="41005537" w14:textId="44A757C1" w:rsidR="00862469" w:rsidRPr="00181AEF" w:rsidRDefault="00862469" w:rsidP="00181AEF">
      <w:pPr>
        <w:pStyle w:val="IRPsanstext"/>
        <w:numPr>
          <w:ilvl w:val="0"/>
          <w:numId w:val="41"/>
        </w:numPr>
        <w:ind w:left="810"/>
      </w:pPr>
      <w:r w:rsidRPr="002158C8">
        <w:rPr>
          <w:b/>
        </w:rPr>
        <w:t xml:space="preserve">The PSE LNG Project is cost-effective in all scenarios. </w:t>
      </w:r>
      <w:r>
        <w:t xml:space="preserve">As currently envisioned, this project would have a total peaking capacity of </w:t>
      </w:r>
      <w:r w:rsidRPr="00E80ED9">
        <w:t>69</w:t>
      </w:r>
      <w:r>
        <w:t xml:space="preserve"> </w:t>
      </w:r>
      <w:proofErr w:type="spellStart"/>
      <w:r>
        <w:t>MDth</w:t>
      </w:r>
      <w:proofErr w:type="spellEnd"/>
      <w:r>
        <w:t xml:space="preserve"> per day available for service </w:t>
      </w:r>
      <w:r w:rsidR="003956DE">
        <w:t>for</w:t>
      </w:r>
      <w:r w:rsidR="002158C8">
        <w:t xml:space="preserve"> </w:t>
      </w:r>
      <w:r>
        <w:t xml:space="preserve">the 2018-19 </w:t>
      </w:r>
      <w:r w:rsidR="003956DE">
        <w:t>heating season</w:t>
      </w:r>
      <w:r>
        <w:t xml:space="preserve">.  After additional distribution upgrades, it would reach </w:t>
      </w:r>
      <w:r w:rsidRPr="00E80ED9">
        <w:t xml:space="preserve">its full </w:t>
      </w:r>
      <w:r>
        <w:t xml:space="preserve">peaking </w:t>
      </w:r>
      <w:r w:rsidRPr="00E80ED9">
        <w:t xml:space="preserve">capacity of 85,000 </w:t>
      </w:r>
      <w:proofErr w:type="spellStart"/>
      <w:r w:rsidRPr="00E80ED9">
        <w:t>Dth</w:t>
      </w:r>
      <w:proofErr w:type="spellEnd"/>
      <w:r w:rsidRPr="00E80ED9">
        <w:t xml:space="preserve"> per day starting the winter of 2021-22</w:t>
      </w:r>
      <w:r>
        <w:t>.</w:t>
      </w:r>
      <w:r w:rsidR="002158C8" w:rsidRPr="002158C8">
        <w:t xml:space="preserve"> </w:t>
      </w:r>
      <w:r w:rsidR="002158C8">
        <w:t>The timing of the capacity increase can be adjusted to meet customer needs.</w:t>
      </w:r>
    </w:p>
    <w:p w14:paraId="46829F1E" w14:textId="759E6D7B" w:rsidR="00862469" w:rsidRPr="00181AEF" w:rsidRDefault="00862469" w:rsidP="00181AEF">
      <w:pPr>
        <w:pStyle w:val="IRPsanstext"/>
        <w:numPr>
          <w:ilvl w:val="0"/>
          <w:numId w:val="41"/>
        </w:numPr>
        <w:ind w:left="810"/>
        <w:rPr>
          <w:b/>
        </w:rPr>
      </w:pPr>
      <w:r>
        <w:rPr>
          <w:b/>
        </w:rPr>
        <w:t xml:space="preserve">The </w:t>
      </w:r>
      <w:proofErr w:type="spellStart"/>
      <w:r>
        <w:rPr>
          <w:b/>
        </w:rPr>
        <w:t>Swarr</w:t>
      </w:r>
      <w:proofErr w:type="spellEnd"/>
      <w:r>
        <w:rPr>
          <w:b/>
        </w:rPr>
        <w:t xml:space="preserve"> upgrade project is cost-effective in all scenarios</w:t>
      </w:r>
      <w:r>
        <w:t xml:space="preserve"> </w:t>
      </w:r>
      <w:r w:rsidR="00F07011">
        <w:t xml:space="preserve">and </w:t>
      </w:r>
      <w:r w:rsidR="002F173E">
        <w:t xml:space="preserve">is expected to </w:t>
      </w:r>
      <w:r>
        <w:t xml:space="preserve">provide 30 </w:t>
      </w:r>
      <w:proofErr w:type="spellStart"/>
      <w:r>
        <w:t>MDth</w:t>
      </w:r>
      <w:proofErr w:type="spellEnd"/>
      <w:r>
        <w:t xml:space="preserve"> per day of peaking capacity </w:t>
      </w:r>
      <w:r w:rsidR="004A26B6">
        <w:t>effective</w:t>
      </w:r>
      <w:r>
        <w:t xml:space="preserve"> November of 2016-17.</w:t>
      </w:r>
    </w:p>
    <w:p w14:paraId="1C1F0D5B" w14:textId="77777777" w:rsidR="00872C47" w:rsidRDefault="00862469" w:rsidP="00181AEF">
      <w:pPr>
        <w:pStyle w:val="IRPsanstext"/>
        <w:numPr>
          <w:ilvl w:val="0"/>
          <w:numId w:val="41"/>
        </w:numPr>
        <w:ind w:left="810"/>
        <w:rPr>
          <w:b/>
        </w:rPr>
      </w:pPr>
      <w:r w:rsidRPr="00E80ED9">
        <w:rPr>
          <w:b/>
        </w:rPr>
        <w:t>The Mist st</w:t>
      </w:r>
      <w:r w:rsidRPr="00C9630C">
        <w:rPr>
          <w:b/>
        </w:rPr>
        <w:t>orage expansion is selected in most scenarios starting in 202</w:t>
      </w:r>
      <w:r w:rsidR="00872C47">
        <w:rPr>
          <w:b/>
        </w:rPr>
        <w:t>6-27</w:t>
      </w:r>
      <w:r w:rsidRPr="00C9630C">
        <w:rPr>
          <w:b/>
        </w:rPr>
        <w:t>.</w:t>
      </w:r>
      <w:r w:rsidRPr="00BD097D">
        <w:rPr>
          <w:b/>
        </w:rPr>
        <w:t xml:space="preserve"> </w:t>
      </w:r>
      <w:r w:rsidRPr="00BD097D">
        <w:t>While this resource is selected in most scenarios</w:t>
      </w:r>
      <w:r>
        <w:t>,</w:t>
      </w:r>
      <w:r w:rsidRPr="00BD097D">
        <w:t xml:space="preserve"> its feasibility is dependent on expansion of NWP</w:t>
      </w:r>
      <w:r w:rsidRPr="001341E9">
        <w:t xml:space="preserve"> from Sumas to Portland.</w:t>
      </w:r>
      <w:r w:rsidRPr="00D20255">
        <w:rPr>
          <w:b/>
        </w:rPr>
        <w:tab/>
      </w:r>
    </w:p>
    <w:p w14:paraId="0FEF7244" w14:textId="4054E900" w:rsidR="003B257E" w:rsidRPr="00181AEF" w:rsidRDefault="00872C47" w:rsidP="00181AEF">
      <w:pPr>
        <w:pStyle w:val="IRPsanstext"/>
        <w:numPr>
          <w:ilvl w:val="0"/>
          <w:numId w:val="41"/>
        </w:numPr>
        <w:ind w:left="810"/>
        <w:rPr>
          <w:b/>
        </w:rPr>
      </w:pPr>
      <w:r w:rsidRPr="00181AEF">
        <w:rPr>
          <w:b/>
        </w:rPr>
        <w:t xml:space="preserve">Increased </w:t>
      </w:r>
      <w:proofErr w:type="spellStart"/>
      <w:r w:rsidRPr="00181AEF">
        <w:rPr>
          <w:b/>
        </w:rPr>
        <w:t>Westcoast</w:t>
      </w:r>
      <w:proofErr w:type="spellEnd"/>
      <w:r w:rsidRPr="00181AEF">
        <w:rPr>
          <w:b/>
        </w:rPr>
        <w:t xml:space="preserve"> capacity to Station 2 is the favored pipeline alternative in most scenarios.  </w:t>
      </w:r>
      <w:r w:rsidR="00BD384F">
        <w:t>T</w:t>
      </w:r>
      <w:r>
        <w:t xml:space="preserve">he pipeline alternative to purchase gas at </w:t>
      </w:r>
      <w:proofErr w:type="spellStart"/>
      <w:r>
        <w:t>Malin</w:t>
      </w:r>
      <w:proofErr w:type="spellEnd"/>
      <w:r>
        <w:t xml:space="preserve"> and deliver it to PSE’s city gate via the TC-GTN pipeline across the proposed Cross Cascades pipeline is chosen in most scenarios by winter 2030-31</w:t>
      </w:r>
      <w:r w:rsidR="00BD384F">
        <w:t>.  While this is true</w:t>
      </w:r>
      <w:r w:rsidR="00B22EBC">
        <w:t xml:space="preserve">, the GPM indicates </w:t>
      </w:r>
      <w:r w:rsidR="003956DE">
        <w:t xml:space="preserve">acquisition of additional </w:t>
      </w:r>
      <w:r w:rsidR="00B22EBC">
        <w:t xml:space="preserve">pipeline </w:t>
      </w:r>
      <w:r w:rsidR="00BD384F">
        <w:t>capacit</w:t>
      </w:r>
      <w:r w:rsidR="003956DE">
        <w:t>y</w:t>
      </w:r>
      <w:r w:rsidR="00BD384F">
        <w:t xml:space="preserve"> on </w:t>
      </w:r>
      <w:proofErr w:type="spellStart"/>
      <w:r w:rsidR="00BD384F">
        <w:t>Westcoast</w:t>
      </w:r>
      <w:proofErr w:type="spellEnd"/>
      <w:r w:rsidR="00BD384F">
        <w:t xml:space="preserve"> to </w:t>
      </w:r>
      <w:r w:rsidR="003956DE">
        <w:t xml:space="preserve">access gas from </w:t>
      </w:r>
      <w:r w:rsidR="00BD384F">
        <w:t xml:space="preserve">Station 2 is more cost effective as early as 2018-19 in some </w:t>
      </w:r>
      <w:r w:rsidR="003956DE">
        <w:t xml:space="preserve">scenarios </w:t>
      </w:r>
      <w:r w:rsidR="00BD384F">
        <w:t>and by 2022-23 in most scenarios.</w:t>
      </w:r>
    </w:p>
    <w:p w14:paraId="6FFF476F" w14:textId="77777777" w:rsidR="008C3221" w:rsidRDefault="00862469" w:rsidP="007F71CB">
      <w:pPr>
        <w:pStyle w:val="IRPsanstext"/>
        <w:rPr>
          <w:sz w:val="32"/>
        </w:rPr>
      </w:pPr>
      <w:r>
        <w:t xml:space="preserve">  </w:t>
      </w:r>
    </w:p>
    <w:p w14:paraId="5DC9D1CA" w14:textId="77777777" w:rsidR="00181AEF" w:rsidRDefault="00181AEF">
      <w:pPr>
        <w:rPr>
          <w:rFonts w:ascii="Arial" w:hAnsi="Arial"/>
          <w:sz w:val="32"/>
        </w:rPr>
      </w:pPr>
      <w:r>
        <w:rPr>
          <w:rFonts w:ascii="Arial" w:hAnsi="Arial"/>
          <w:sz w:val="32"/>
        </w:rPr>
        <w:br w:type="page"/>
      </w:r>
    </w:p>
    <w:p w14:paraId="22821571" w14:textId="77777777" w:rsidR="00181AEF" w:rsidRDefault="00181AEF" w:rsidP="00862469">
      <w:pPr>
        <w:pStyle w:val="IRPtitle"/>
        <w:rPr>
          <w:rFonts w:ascii="Arial" w:hAnsi="Arial"/>
          <w:sz w:val="32"/>
        </w:rPr>
      </w:pPr>
    </w:p>
    <w:p w14:paraId="2F645806" w14:textId="74A272C8" w:rsidR="00862469" w:rsidRPr="00DF0B1D" w:rsidRDefault="00862469" w:rsidP="00862469">
      <w:pPr>
        <w:pStyle w:val="IRPtitle"/>
        <w:rPr>
          <w:rFonts w:ascii="Arial" w:hAnsi="Arial"/>
          <w:sz w:val="32"/>
        </w:rPr>
      </w:pPr>
      <w:r w:rsidRPr="00DF0B1D">
        <w:rPr>
          <w:rFonts w:ascii="Arial" w:hAnsi="Arial"/>
          <w:sz w:val="32"/>
        </w:rPr>
        <w:t>Gas Sales Portfolio Resource Additions</w:t>
      </w:r>
      <w:r w:rsidR="00DC12BD">
        <w:rPr>
          <w:rFonts w:ascii="Arial" w:hAnsi="Arial"/>
          <w:sz w:val="32"/>
        </w:rPr>
        <w:t xml:space="preserve"> Forecast</w:t>
      </w:r>
      <w:bookmarkStart w:id="6" w:name="_GoBack"/>
      <w:bookmarkEnd w:id="6"/>
    </w:p>
    <w:p w14:paraId="3791AAD5" w14:textId="77777777" w:rsidR="00862469" w:rsidRDefault="00862469" w:rsidP="00862469">
      <w:pPr>
        <w:pStyle w:val="IRPsanstext"/>
      </w:pPr>
    </w:p>
    <w:p w14:paraId="6A53803F" w14:textId="77777777" w:rsidR="00862469" w:rsidRDefault="00862469" w:rsidP="00862469">
      <w:pPr>
        <w:pStyle w:val="IRPsanstext"/>
      </w:pPr>
      <w:r>
        <w:t>Differences in resource additions were driven primarily by three key variables modeled in the scenarios: load growth, gas prices and CO</w:t>
      </w:r>
      <w:r>
        <w:rPr>
          <w:vertAlign w:val="subscript"/>
        </w:rPr>
        <w:t>2</w:t>
      </w:r>
      <w:r>
        <w:t xml:space="preserve"> price assumptions. Demand-side resources are influenced directly by gas and CO</w:t>
      </w:r>
      <w:r>
        <w:rPr>
          <w:vertAlign w:val="subscript"/>
        </w:rPr>
        <w:t>2</w:t>
      </w:r>
      <w:r>
        <w:t xml:space="preserve"> price assumptions because they avoid commodity and emissions costs by their nature; however, the absolute level of efficiency programs is also affected by load growth assumptions. Also, the timing of pipeline additions was limited to four-year increments, because of the size that these projects require to achieve economies of scale. </w:t>
      </w:r>
    </w:p>
    <w:p w14:paraId="206BED0C" w14:textId="77777777" w:rsidR="00862469" w:rsidRDefault="00862469" w:rsidP="00862469">
      <w:pPr>
        <w:pStyle w:val="IRPsanstext"/>
      </w:pPr>
    </w:p>
    <w:p w14:paraId="67719802" w14:textId="77777777" w:rsidR="00862469" w:rsidRDefault="00862469" w:rsidP="00862469">
      <w:pPr>
        <w:pStyle w:val="IRPsanstext"/>
      </w:pPr>
      <w:r>
        <w:t>The optimal portfolio resource additions in each of the ten scenarios</w:t>
      </w:r>
      <w:r>
        <w:rPr>
          <w:rStyle w:val="FootnoteReference"/>
        </w:rPr>
        <w:footnoteReference w:id="6"/>
      </w:r>
      <w:r>
        <w:t xml:space="preserve"> are illustrated in Figure 7-1</w:t>
      </w:r>
      <w:r w:rsidR="00156604">
        <w:t>7</w:t>
      </w:r>
      <w:r>
        <w:t xml:space="preserve"> for winter periods 2018-19, 2022-23 and 2030-31. Combination #2, </w:t>
      </w:r>
      <w:proofErr w:type="spellStart"/>
      <w:r>
        <w:t>FortisBC</w:t>
      </w:r>
      <w:proofErr w:type="spellEnd"/>
      <w:r>
        <w:t>/</w:t>
      </w:r>
      <w:proofErr w:type="spellStart"/>
      <w:r>
        <w:t>Westcoast</w:t>
      </w:r>
      <w:proofErr w:type="spellEnd"/>
      <w:r>
        <w:t xml:space="preserve"> (KORP), was chosen in </w:t>
      </w:r>
      <w:r w:rsidR="00D40B33">
        <w:t xml:space="preserve">only one </w:t>
      </w:r>
      <w:r>
        <w:t>of the scenarios</w:t>
      </w:r>
      <w:r w:rsidR="00D40B33">
        <w:t xml:space="preserve"> – </w:t>
      </w:r>
      <w:r w:rsidR="00D076A4">
        <w:t xml:space="preserve">in 2030-31 in </w:t>
      </w:r>
      <w:r w:rsidR="00D40B33">
        <w:t>the Base + High Gas</w:t>
      </w:r>
      <w:r w:rsidR="00D076A4">
        <w:t xml:space="preserve"> scenario</w:t>
      </w:r>
      <w:r>
        <w:t>.</w:t>
      </w:r>
    </w:p>
    <w:p w14:paraId="0BE17CD7" w14:textId="77777777" w:rsidR="00326BAA" w:rsidRDefault="00326BAA" w:rsidP="00862469">
      <w:pPr>
        <w:pStyle w:val="IRPsanstext"/>
        <w:rPr>
          <w:rFonts w:eastAsia="Cambria"/>
          <w:szCs w:val="24"/>
          <w:lang w:eastAsia="en-US"/>
        </w:rPr>
      </w:pPr>
    </w:p>
    <w:p w14:paraId="76E6F58C" w14:textId="519D1687" w:rsidR="00862469" w:rsidRDefault="00862469" w:rsidP="00181AEF">
      <w:pPr>
        <w:pStyle w:val="IRPFigureSub"/>
      </w:pPr>
      <w:r>
        <w:t>Figure 7-1</w:t>
      </w:r>
      <w:r w:rsidR="00156604">
        <w:t>7</w:t>
      </w:r>
      <w:r>
        <w:t xml:space="preserve">: Gas Resource Additions in 2018-19, </w:t>
      </w:r>
      <w:r w:rsidR="00181AEF">
        <w:br/>
      </w:r>
      <w:r>
        <w:t xml:space="preserve">2022-23, </w:t>
      </w:r>
      <w:r w:rsidR="005A32B0">
        <w:t xml:space="preserve">2026-27 </w:t>
      </w:r>
      <w:r>
        <w:t>and 2030-31</w:t>
      </w:r>
      <w:r w:rsidR="00181AEF">
        <w:t xml:space="preserve"> </w:t>
      </w:r>
      <w:r>
        <w:t xml:space="preserve">(Peak Capacity – </w:t>
      </w:r>
      <w:proofErr w:type="spellStart"/>
      <w:r>
        <w:t>MDth</w:t>
      </w:r>
      <w:proofErr w:type="spellEnd"/>
      <w:r>
        <w:t>/day)</w:t>
      </w:r>
    </w:p>
    <w:p w14:paraId="1566EE5A" w14:textId="77777777" w:rsidR="00326BAA" w:rsidRDefault="005A32B0">
      <w:pPr>
        <w:rPr>
          <w:rFonts w:ascii="Arial" w:hAnsi="Arial"/>
          <w:sz w:val="20"/>
          <w:szCs w:val="20"/>
        </w:rPr>
      </w:pPr>
      <w:r>
        <w:rPr>
          <w:rFonts w:ascii="Arial" w:hAnsi="Arial"/>
          <w:i/>
          <w:noProof/>
          <w:sz w:val="20"/>
          <w:szCs w:val="22"/>
          <w:lang w:eastAsia="en-US"/>
        </w:rPr>
        <w:drawing>
          <wp:inline distT="0" distB="0" distL="0" distR="0" wp14:anchorId="38D80D8C" wp14:editId="65C9FB15">
            <wp:extent cx="5851245" cy="377444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1589" cy="3774662"/>
                    </a:xfrm>
                    <a:prstGeom prst="rect">
                      <a:avLst/>
                    </a:prstGeom>
                    <a:noFill/>
                  </pic:spPr>
                </pic:pic>
              </a:graphicData>
            </a:graphic>
          </wp:inline>
        </w:drawing>
      </w:r>
      <w:r w:rsidR="00326BAA">
        <w:br w:type="page"/>
      </w:r>
    </w:p>
    <w:p w14:paraId="28D2BB27" w14:textId="77777777" w:rsidR="00862469" w:rsidRDefault="00862469" w:rsidP="00862469">
      <w:pPr>
        <w:pStyle w:val="IRPsanstext"/>
      </w:pPr>
    </w:p>
    <w:p w14:paraId="37629372" w14:textId="77777777" w:rsidR="00FE2597" w:rsidRDefault="00862469" w:rsidP="00862469">
      <w:pPr>
        <w:pStyle w:val="IRPsanstext"/>
      </w:pPr>
      <w:r w:rsidRPr="00326BAA">
        <w:rPr>
          <w:b/>
          <w:color w:val="006C71"/>
          <w:sz w:val="28"/>
        </w:rPr>
        <w:t>Demand-side Resource Additions.</w:t>
      </w:r>
      <w:r w:rsidRPr="00326BAA">
        <w:rPr>
          <w:color w:val="006C71"/>
        </w:rPr>
        <w:t xml:space="preserve"> </w:t>
      </w:r>
      <w:r>
        <w:t>Two categories of demand-side resources are input in to the GPM: codes and standards and program measures. Codes and standards is a no-cost bundle that becomes a must-take resource; it essentially functions as a decrement to gas demand. Program measures are input as separate cost bundles along the demand-side resource supply curve. The bundles are tested from lowest to highest cost along the supply curve until the system cost is minimized. The incremental bundle that raises the portfolio cost is considered the inflexion point, and the prior cost bundle is determined to be the cost-effective level of demand-side resources.</w:t>
      </w:r>
    </w:p>
    <w:p w14:paraId="5BBF52CE" w14:textId="77777777" w:rsidR="00862469" w:rsidRDefault="00862469" w:rsidP="00862469">
      <w:pPr>
        <w:pStyle w:val="IRPsanstext"/>
      </w:pPr>
    </w:p>
    <w:p w14:paraId="55D8933C" w14:textId="77777777" w:rsidR="000169DE" w:rsidRDefault="000169DE" w:rsidP="000169DE">
      <w:pPr>
        <w:pStyle w:val="IRPsanstext"/>
      </w:pPr>
      <w:r>
        <w:t>Carbon cos</w:t>
      </w:r>
      <w:r w:rsidR="00FE2597">
        <w:t>ts do impact the amount of cost-</w:t>
      </w:r>
      <w:r>
        <w:t xml:space="preserve">effective DSR. </w:t>
      </w:r>
      <w:r w:rsidR="005A32B0">
        <w:t xml:space="preserve">For example, the above </w:t>
      </w:r>
      <w:r>
        <w:t>Figure 7-1</w:t>
      </w:r>
      <w:r w:rsidR="00893189">
        <w:t>8</w:t>
      </w:r>
      <w:r>
        <w:t xml:space="preserve"> illustrates that in the Base </w:t>
      </w:r>
      <w:r w:rsidR="00FE2597">
        <w:t>Scenario</w:t>
      </w:r>
      <w:r>
        <w:t xml:space="preserve">, which includes a </w:t>
      </w:r>
      <w:r w:rsidR="00FE2597">
        <w:t>CO</w:t>
      </w:r>
      <w:r w:rsidR="00FE2597" w:rsidRPr="00FE2597">
        <w:rPr>
          <w:vertAlign w:val="subscript"/>
        </w:rPr>
        <w:t>2</w:t>
      </w:r>
      <w:r>
        <w:t xml:space="preserve"> price</w:t>
      </w:r>
      <w:r w:rsidR="00FE2597">
        <w:t xml:space="preserve">, cost-effective DSR is 12 </w:t>
      </w:r>
      <w:proofErr w:type="spellStart"/>
      <w:r w:rsidR="00FE2597">
        <w:t>MDth</w:t>
      </w:r>
      <w:proofErr w:type="spellEnd"/>
      <w:r w:rsidR="00FE2597">
        <w:t xml:space="preserve"> per </w:t>
      </w:r>
      <w:r>
        <w:t xml:space="preserve">day by 2018/19, whereas in the Base </w:t>
      </w:r>
      <w:r w:rsidR="00FE2597">
        <w:t xml:space="preserve">Scenario </w:t>
      </w:r>
      <w:r>
        <w:t xml:space="preserve">without </w:t>
      </w:r>
      <w:r w:rsidR="00FE2597">
        <w:t>CO</w:t>
      </w:r>
      <w:r w:rsidR="00FE2597" w:rsidRPr="00FE2597">
        <w:rPr>
          <w:vertAlign w:val="subscript"/>
        </w:rPr>
        <w:t>2</w:t>
      </w:r>
      <w:r>
        <w:t xml:space="preserve"> price, </w:t>
      </w:r>
      <w:r w:rsidR="005A32B0">
        <w:t xml:space="preserve">the DSR </w:t>
      </w:r>
      <w:r w:rsidR="00FE2597">
        <w:t xml:space="preserve">level falls to </w:t>
      </w:r>
      <w:r w:rsidR="005A32B0">
        <w:t xml:space="preserve">10 </w:t>
      </w:r>
      <w:proofErr w:type="spellStart"/>
      <w:r w:rsidR="00FE2597">
        <w:t>MDth</w:t>
      </w:r>
      <w:proofErr w:type="spellEnd"/>
      <w:r w:rsidR="00FE2597">
        <w:t xml:space="preserve"> per day.</w:t>
      </w:r>
      <w:r>
        <w:t xml:space="preserve"> In terms</w:t>
      </w:r>
      <w:r w:rsidR="00FE2597">
        <w:t xml:space="preserve"> of gas supply planning, </w:t>
      </w:r>
      <w:r w:rsidR="005A32B0">
        <w:t xml:space="preserve">2 </w:t>
      </w:r>
      <w:proofErr w:type="spellStart"/>
      <w:r w:rsidR="00FE2597">
        <w:t>MDth</w:t>
      </w:r>
      <w:proofErr w:type="spellEnd"/>
      <w:r w:rsidR="00FE2597">
        <w:t xml:space="preserve"> per </w:t>
      </w:r>
      <w:r>
        <w:t xml:space="preserve">day is not a significant volume; however, it does highlight that including a </w:t>
      </w:r>
      <w:r w:rsidR="00FE2597">
        <w:t>CO</w:t>
      </w:r>
      <w:r w:rsidR="00FE2597" w:rsidRPr="00FE2597">
        <w:rPr>
          <w:vertAlign w:val="subscript"/>
        </w:rPr>
        <w:t>2</w:t>
      </w:r>
      <w:r>
        <w:t xml:space="preserve"> pri</w:t>
      </w:r>
      <w:r w:rsidR="00FE2597">
        <w:t xml:space="preserve">ce in the </w:t>
      </w:r>
      <w:r>
        <w:t>2015 IRP</w:t>
      </w:r>
      <w:r w:rsidR="00FE2597">
        <w:t xml:space="preserve"> Base Scenario</w:t>
      </w:r>
      <w:r>
        <w:t xml:space="preserve"> increases conservation by approximately </w:t>
      </w:r>
      <w:r w:rsidR="005A32B0">
        <w:t xml:space="preserve">20 </w:t>
      </w:r>
      <w:r w:rsidR="00FE2597">
        <w:t>percent</w:t>
      </w:r>
      <w:r w:rsidR="002B05FB">
        <w:t xml:space="preserve"> in 2018</w:t>
      </w:r>
      <w:r w:rsidR="00893189">
        <w:t>-</w:t>
      </w:r>
      <w:r w:rsidR="002B05FB">
        <w:t>19</w:t>
      </w:r>
      <w:r>
        <w:t>.</w:t>
      </w:r>
    </w:p>
    <w:p w14:paraId="70953BF0" w14:textId="77777777" w:rsidR="000169DE" w:rsidRDefault="000169DE" w:rsidP="000169DE">
      <w:pPr>
        <w:pStyle w:val="IRPsanstext"/>
      </w:pPr>
    </w:p>
    <w:p w14:paraId="2829498B" w14:textId="77777777" w:rsidR="00862469" w:rsidRDefault="00862469" w:rsidP="00326BAA">
      <w:pPr>
        <w:pStyle w:val="IRPFigureSub"/>
      </w:pPr>
      <w:r>
        <w:t>Figure 7-1</w:t>
      </w:r>
      <w:r w:rsidR="00156604">
        <w:t>8</w:t>
      </w:r>
      <w:r>
        <w:t xml:space="preserve">: Cost-effective Gas Energy Efficiency Savings by Scenario </w:t>
      </w:r>
    </w:p>
    <w:p w14:paraId="52F72DF0" w14:textId="77777777" w:rsidR="00326BAA" w:rsidRDefault="00B55D27" w:rsidP="00862469">
      <w:pPr>
        <w:pStyle w:val="IRPsanstext"/>
      </w:pPr>
      <w:r w:rsidRPr="00B55D27">
        <w:rPr>
          <w:noProof/>
          <w:lang w:eastAsia="en-US"/>
        </w:rPr>
        <w:drawing>
          <wp:anchor distT="0" distB="0" distL="114300" distR="114300" simplePos="0" relativeHeight="251681792" behindDoc="0" locked="0" layoutInCell="1" allowOverlap="1" wp14:anchorId="532D51CD" wp14:editId="0CA8035C">
            <wp:simplePos x="0" y="0"/>
            <wp:positionH relativeFrom="column">
              <wp:posOffset>-68580</wp:posOffset>
            </wp:positionH>
            <wp:positionV relativeFrom="paragraph">
              <wp:posOffset>148590</wp:posOffset>
            </wp:positionV>
            <wp:extent cx="5486400" cy="396621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966210"/>
                    </a:xfrm>
                    <a:prstGeom prst="rect">
                      <a:avLst/>
                    </a:prstGeom>
                    <a:noFill/>
                    <a:ln>
                      <a:noFill/>
                    </a:ln>
                  </pic:spPr>
                </pic:pic>
              </a:graphicData>
            </a:graphic>
          </wp:anchor>
        </w:drawing>
      </w:r>
    </w:p>
    <w:p w14:paraId="6FAA4539" w14:textId="77777777" w:rsidR="00A74B32" w:rsidRDefault="00A74B32" w:rsidP="00862469">
      <w:pPr>
        <w:pStyle w:val="IRPsanstext"/>
      </w:pPr>
    </w:p>
    <w:p w14:paraId="722E9144" w14:textId="77777777" w:rsidR="008C3221" w:rsidRDefault="008C3221" w:rsidP="00862469">
      <w:pPr>
        <w:pStyle w:val="IRPsanstext"/>
      </w:pPr>
    </w:p>
    <w:p w14:paraId="7F87DDC1" w14:textId="77777777" w:rsidR="00862469" w:rsidRPr="004257D5" w:rsidRDefault="00862469" w:rsidP="00862469">
      <w:pPr>
        <w:pStyle w:val="IRPsanstext"/>
      </w:pPr>
      <w:r>
        <w:t xml:space="preserve">DSR remains relatively sensitive to avoided costs in the gas analysis. The amount of achievable energy efficiency resources selected by the portfolio analysis in this plan ranged from roughly 3,800 </w:t>
      </w:r>
      <w:proofErr w:type="spellStart"/>
      <w:r>
        <w:t>MDth</w:t>
      </w:r>
      <w:proofErr w:type="spellEnd"/>
      <w:r>
        <w:t xml:space="preserve"> in 2035 for the Low Scenario to nearly 50 percent higher at 5,</w:t>
      </w:r>
      <w:r w:rsidR="002F173E">
        <w:t>7</w:t>
      </w:r>
      <w:r>
        <w:t xml:space="preserve">00 </w:t>
      </w:r>
      <w:proofErr w:type="spellStart"/>
      <w:r>
        <w:t>MDth</w:t>
      </w:r>
      <w:proofErr w:type="spellEnd"/>
      <w:r>
        <w:t xml:space="preserve"> in 2035 in the High Scenario. </w:t>
      </w:r>
    </w:p>
    <w:p w14:paraId="1A531F4A" w14:textId="77777777" w:rsidR="00862469" w:rsidRDefault="00862469" w:rsidP="00862469">
      <w:pPr>
        <w:pStyle w:val="IRPsanstext"/>
      </w:pPr>
    </w:p>
    <w:p w14:paraId="01E41C33" w14:textId="77777777" w:rsidR="00862469" w:rsidRDefault="00862469" w:rsidP="00862469">
      <w:pPr>
        <w:pStyle w:val="IRPsanstext"/>
        <w:tabs>
          <w:tab w:val="left" w:pos="6163"/>
        </w:tabs>
      </w:pPr>
      <w:r>
        <w:t>Peak savings by scenario are shown in Figure 7-</w:t>
      </w:r>
      <w:r w:rsidR="00156604">
        <w:t>19</w:t>
      </w:r>
      <w:r>
        <w:t>.</w:t>
      </w:r>
    </w:p>
    <w:p w14:paraId="271A7A7D" w14:textId="77777777" w:rsidR="00326BAA" w:rsidRDefault="00326BAA" w:rsidP="00862469">
      <w:pPr>
        <w:pStyle w:val="IRPsanstext"/>
        <w:jc w:val="center"/>
        <w:rPr>
          <w:i/>
        </w:rPr>
      </w:pPr>
    </w:p>
    <w:p w14:paraId="3DD9DC76" w14:textId="4EDD94B5" w:rsidR="00862469" w:rsidRPr="00AE4587" w:rsidRDefault="00862469" w:rsidP="00862469">
      <w:pPr>
        <w:pStyle w:val="IRPsanstext"/>
        <w:jc w:val="center"/>
        <w:rPr>
          <w:i/>
        </w:rPr>
      </w:pPr>
      <w:r w:rsidRPr="00812475">
        <w:rPr>
          <w:i/>
        </w:rPr>
        <w:t>Figure 7-</w:t>
      </w:r>
      <w:r w:rsidR="00156604">
        <w:rPr>
          <w:i/>
        </w:rPr>
        <w:t>19</w:t>
      </w:r>
      <w:r>
        <w:rPr>
          <w:i/>
        </w:rPr>
        <w:t xml:space="preserve">: </w:t>
      </w:r>
      <w:r w:rsidRPr="00462353">
        <w:rPr>
          <w:i/>
        </w:rPr>
        <w:t>Cost-E</w:t>
      </w:r>
      <w:r w:rsidRPr="00812475">
        <w:rPr>
          <w:i/>
        </w:rPr>
        <w:t>ffective Gas Efficiency</w:t>
      </w:r>
      <w:r>
        <w:rPr>
          <w:i/>
        </w:rPr>
        <w:t>,</w:t>
      </w:r>
      <w:r w:rsidRPr="00812475">
        <w:rPr>
          <w:i/>
        </w:rPr>
        <w:t xml:space="preserve"> Peak Day Savings by Scenario</w:t>
      </w:r>
    </w:p>
    <w:p w14:paraId="69EB7D8C" w14:textId="259ECA2F" w:rsidR="00A74B32" w:rsidRDefault="005348A5" w:rsidP="000169DE">
      <w:pPr>
        <w:pStyle w:val="IRPsanstext"/>
      </w:pPr>
      <w:r>
        <w:rPr>
          <w:noProof/>
          <w:lang w:eastAsia="en-US"/>
        </w:rPr>
        <w:drawing>
          <wp:anchor distT="0" distB="0" distL="114300" distR="114300" simplePos="0" relativeHeight="251682816" behindDoc="0" locked="0" layoutInCell="1" allowOverlap="1" wp14:anchorId="2495AAC1" wp14:editId="5C0E1ED9">
            <wp:simplePos x="0" y="0"/>
            <wp:positionH relativeFrom="column">
              <wp:posOffset>51435</wp:posOffset>
            </wp:positionH>
            <wp:positionV relativeFrom="paragraph">
              <wp:posOffset>116840</wp:posOffset>
            </wp:positionV>
            <wp:extent cx="5354320" cy="3877945"/>
            <wp:effectExtent l="0" t="0" r="5080" b="825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4320" cy="3877945"/>
                    </a:xfrm>
                    <a:prstGeom prst="rect">
                      <a:avLst/>
                    </a:prstGeom>
                    <a:noFill/>
                  </pic:spPr>
                </pic:pic>
              </a:graphicData>
            </a:graphic>
          </wp:anchor>
        </w:drawing>
      </w:r>
    </w:p>
    <w:p w14:paraId="0A3C462B" w14:textId="77777777" w:rsidR="003B257E" w:rsidRDefault="003B257E" w:rsidP="000169DE">
      <w:pPr>
        <w:pStyle w:val="IRPsanstext"/>
      </w:pPr>
    </w:p>
    <w:p w14:paraId="455C9F16" w14:textId="77777777" w:rsidR="003B257E" w:rsidRDefault="003B257E">
      <w:pPr>
        <w:rPr>
          <w:rFonts w:ascii="Arial" w:hAnsi="Arial"/>
          <w:sz w:val="20"/>
          <w:szCs w:val="20"/>
        </w:rPr>
      </w:pPr>
      <w:r>
        <w:br w:type="page"/>
      </w:r>
    </w:p>
    <w:p w14:paraId="0D4FE311" w14:textId="77777777" w:rsidR="003B257E" w:rsidRDefault="003B257E" w:rsidP="000169DE">
      <w:pPr>
        <w:pStyle w:val="IRPsanstext"/>
      </w:pPr>
    </w:p>
    <w:p w14:paraId="4CC6AF02" w14:textId="77777777" w:rsidR="008C3221" w:rsidRDefault="00862469" w:rsidP="003B257E">
      <w:pPr>
        <w:pStyle w:val="IRPsanstext"/>
      </w:pPr>
      <w:r>
        <w:t>The optimal levels of demand-side resources selected by customer class in the portfolio analysis are shown in Figure</w:t>
      </w:r>
      <w:r w:rsidR="005C5CF2">
        <w:t>s</w:t>
      </w:r>
      <w:r>
        <w:t xml:space="preserve"> 7-2</w:t>
      </w:r>
      <w:r w:rsidR="00156604">
        <w:t>0</w:t>
      </w:r>
      <w:r w:rsidR="005C5CF2">
        <w:t xml:space="preserve"> and 7-2</w:t>
      </w:r>
      <w:r w:rsidR="00156604">
        <w:t>1</w:t>
      </w:r>
      <w:r>
        <w:t xml:space="preserve">, below. More detail on this analysis is presented in Appendix </w:t>
      </w:r>
      <w:r w:rsidR="00291AB5">
        <w:t>J</w:t>
      </w:r>
      <w:r>
        <w:t>, Demand-side Resources Analysis.</w:t>
      </w:r>
      <w:r w:rsidR="000169DE" w:rsidRPr="000169DE">
        <w:t xml:space="preserve"> </w:t>
      </w:r>
      <w:r w:rsidR="000169DE">
        <w:t xml:space="preserve"> </w:t>
      </w:r>
    </w:p>
    <w:p w14:paraId="7D34C387" w14:textId="77777777" w:rsidR="00862469" w:rsidRDefault="00862469" w:rsidP="00862469">
      <w:pPr>
        <w:pStyle w:val="IRPsanstext"/>
      </w:pPr>
    </w:p>
    <w:p w14:paraId="6C3E1025" w14:textId="77777777" w:rsidR="00862469" w:rsidRDefault="00862469" w:rsidP="008C3221">
      <w:pPr>
        <w:pStyle w:val="IRPFigureSub"/>
        <w:spacing w:after="120"/>
      </w:pPr>
      <w:r>
        <w:t>Figure 7-2</w:t>
      </w:r>
      <w:r w:rsidR="00156604">
        <w:t>0</w:t>
      </w:r>
      <w:r>
        <w:t xml:space="preserve">: Gas Sales Cost-effective DSR Bundles by Class and Scenario </w:t>
      </w:r>
    </w:p>
    <w:p w14:paraId="23FE5042" w14:textId="1653D62A" w:rsidR="00D648BC" w:rsidRDefault="005348A5">
      <w:r w:rsidRPr="005348A5">
        <w:rPr>
          <w:noProof/>
          <w:lang w:eastAsia="en-US"/>
        </w:rPr>
        <w:drawing>
          <wp:inline distT="0" distB="0" distL="0" distR="0" wp14:anchorId="294BCF18" wp14:editId="3D872596">
            <wp:extent cx="5486400" cy="104826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048264"/>
                    </a:xfrm>
                    <a:prstGeom prst="rect">
                      <a:avLst/>
                    </a:prstGeom>
                    <a:noFill/>
                  </pic:spPr>
                </pic:pic>
              </a:graphicData>
            </a:graphic>
          </wp:inline>
        </w:drawing>
      </w:r>
    </w:p>
    <w:p w14:paraId="018252EB" w14:textId="77777777" w:rsidR="005C5CF2" w:rsidRDefault="005C5CF2">
      <w:pPr>
        <w:rPr>
          <w:rFonts w:ascii="Arial" w:hAnsi="Arial"/>
          <w:sz w:val="20"/>
          <w:szCs w:val="20"/>
        </w:rPr>
      </w:pPr>
    </w:p>
    <w:p w14:paraId="7FB3B90A" w14:textId="77777777" w:rsidR="005C5CF2" w:rsidRDefault="005C5CF2">
      <w:pPr>
        <w:rPr>
          <w:rFonts w:ascii="Arial" w:hAnsi="Arial"/>
          <w:sz w:val="20"/>
          <w:szCs w:val="20"/>
        </w:rPr>
      </w:pPr>
    </w:p>
    <w:p w14:paraId="2CCEB344" w14:textId="5D676FA3" w:rsidR="005C5CF2" w:rsidRDefault="005348A5" w:rsidP="005C5CF2">
      <w:pPr>
        <w:pStyle w:val="IRPFigureSub"/>
        <w:spacing w:after="120"/>
      </w:pPr>
      <w:r>
        <w:rPr>
          <w:noProof/>
          <w:lang w:eastAsia="en-US"/>
        </w:rPr>
        <w:drawing>
          <wp:anchor distT="0" distB="0" distL="114300" distR="114300" simplePos="0" relativeHeight="251683840" behindDoc="0" locked="0" layoutInCell="1" allowOverlap="1" wp14:anchorId="12542F05" wp14:editId="6432B5B3">
            <wp:simplePos x="0" y="0"/>
            <wp:positionH relativeFrom="column">
              <wp:posOffset>51435</wp:posOffset>
            </wp:positionH>
            <wp:positionV relativeFrom="paragraph">
              <wp:posOffset>307340</wp:posOffset>
            </wp:positionV>
            <wp:extent cx="5487035" cy="1048385"/>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7035" cy="1048385"/>
                    </a:xfrm>
                    <a:prstGeom prst="rect">
                      <a:avLst/>
                    </a:prstGeom>
                    <a:noFill/>
                  </pic:spPr>
                </pic:pic>
              </a:graphicData>
            </a:graphic>
          </wp:anchor>
        </w:drawing>
      </w:r>
      <w:r w:rsidR="005C5CF2">
        <w:t>Figure 7-2</w:t>
      </w:r>
      <w:r w:rsidR="00893189">
        <w:t>1</w:t>
      </w:r>
      <w:r w:rsidR="005C5CF2">
        <w:t xml:space="preserve">: Gas Sales Cost-effective Annual Savings by Class and Scenario </w:t>
      </w:r>
    </w:p>
    <w:p w14:paraId="10BFF5AC" w14:textId="289E5674" w:rsidR="005C5CF2" w:rsidRDefault="005C5CF2" w:rsidP="00D648BC">
      <w:pPr>
        <w:pStyle w:val="IRPsanstext"/>
      </w:pPr>
    </w:p>
    <w:p w14:paraId="2F408347" w14:textId="77777777" w:rsidR="00D648BC" w:rsidRDefault="00D648BC" w:rsidP="00D648BC">
      <w:pPr>
        <w:pStyle w:val="IRPsanstext"/>
      </w:pPr>
      <w:r>
        <w:t>Overall, the economic potential of DSR in this IRP is lower than in the 2013 gas sales Base Scenario, even though higher-cost bundles are being selected by the analysis as the most cost-effective level of DSR (see Figure 7-</w:t>
      </w:r>
      <w:r w:rsidR="005C5CF2">
        <w:t>2</w:t>
      </w:r>
      <w:r w:rsidR="00156604">
        <w:t>2</w:t>
      </w:r>
      <w:r w:rsidR="005C5CF2">
        <w:t xml:space="preserve"> </w:t>
      </w:r>
      <w:r>
        <w:t xml:space="preserve">below).  </w:t>
      </w:r>
    </w:p>
    <w:p w14:paraId="58F912AF" w14:textId="77777777" w:rsidR="00862469" w:rsidRDefault="00862469" w:rsidP="00862469">
      <w:pPr>
        <w:pStyle w:val="IRPsanstext"/>
      </w:pPr>
    </w:p>
    <w:p w14:paraId="664E9FE2" w14:textId="77777777" w:rsidR="00FA348A" w:rsidRDefault="00862469" w:rsidP="00862469">
      <w:pPr>
        <w:pStyle w:val="IRPsanstext"/>
      </w:pPr>
      <w:r>
        <w:t>The downward shift in the overall savings is due to several factors:</w:t>
      </w:r>
    </w:p>
    <w:p w14:paraId="715898E9" w14:textId="77777777" w:rsidR="00862469" w:rsidRDefault="00862469" w:rsidP="00862469">
      <w:pPr>
        <w:pStyle w:val="IRPsanstext"/>
      </w:pPr>
    </w:p>
    <w:p w14:paraId="6EEF0D7D" w14:textId="77777777" w:rsidR="00862469" w:rsidRDefault="00862469" w:rsidP="00FE5D0C">
      <w:pPr>
        <w:pStyle w:val="IRPsanstext"/>
        <w:numPr>
          <w:ilvl w:val="0"/>
          <w:numId w:val="12"/>
        </w:numPr>
      </w:pPr>
      <w:r>
        <w:t>Past program accomplishments have lowered future achievable potentials.</w:t>
      </w:r>
    </w:p>
    <w:p w14:paraId="63E57582" w14:textId="77777777" w:rsidR="00862469" w:rsidRDefault="00862469" w:rsidP="00FE5D0C">
      <w:pPr>
        <w:pStyle w:val="IRPsanstext"/>
        <w:numPr>
          <w:ilvl w:val="0"/>
          <w:numId w:val="12"/>
        </w:numPr>
      </w:pPr>
      <w:r>
        <w:t xml:space="preserve">New, higher Department of Energy efficiency standards for some gas appliances have moved some </w:t>
      </w:r>
      <w:proofErr w:type="gramStart"/>
      <w:r>
        <w:t>potentials</w:t>
      </w:r>
      <w:proofErr w:type="gramEnd"/>
      <w:r>
        <w:t xml:space="preserve"> from utility program bundles to the standards and codes bundles.</w:t>
      </w:r>
    </w:p>
    <w:p w14:paraId="74D9FB3A" w14:textId="77777777" w:rsidR="00862469" w:rsidRDefault="00862469" w:rsidP="00FE5D0C">
      <w:pPr>
        <w:pStyle w:val="IRPsanstext"/>
        <w:numPr>
          <w:ilvl w:val="0"/>
          <w:numId w:val="12"/>
        </w:numPr>
      </w:pPr>
      <w:r>
        <w:t>Building stock data has been updated using the Residential Building Stock Assessment.</w:t>
      </w:r>
    </w:p>
    <w:p w14:paraId="6987DBB3" w14:textId="77777777" w:rsidR="00862469" w:rsidRDefault="00862469" w:rsidP="00FE5D0C">
      <w:pPr>
        <w:pStyle w:val="IRPsanstext"/>
        <w:numPr>
          <w:ilvl w:val="0"/>
          <w:numId w:val="12"/>
        </w:numPr>
      </w:pPr>
      <w:r>
        <w:t>Models to simulate energy use and savings have been updated.</w:t>
      </w:r>
    </w:p>
    <w:p w14:paraId="1C045725" w14:textId="77777777" w:rsidR="00862469" w:rsidRDefault="00862469" w:rsidP="00862469">
      <w:pPr>
        <w:pStyle w:val="IRPsanstext"/>
      </w:pPr>
    </w:p>
    <w:p w14:paraId="6D8FD63E" w14:textId="77777777" w:rsidR="00862469" w:rsidRDefault="00862469" w:rsidP="00862469">
      <w:pPr>
        <w:pStyle w:val="IRPsanstext"/>
      </w:pPr>
      <w:r>
        <w:t xml:space="preserve">On the other hand, inclusion of </w:t>
      </w:r>
      <w:r w:rsidR="00FE2597">
        <w:t>CO</w:t>
      </w:r>
      <w:r w:rsidR="00FE2597" w:rsidRPr="00FE2597">
        <w:rPr>
          <w:vertAlign w:val="subscript"/>
        </w:rPr>
        <w:t>2</w:t>
      </w:r>
      <w:r>
        <w:t xml:space="preserve"> costs in the Base Scenario tended to increase </w:t>
      </w:r>
      <w:r w:rsidR="000169DE">
        <w:t>conservation targets</w:t>
      </w:r>
      <w:r>
        <w:t xml:space="preserve">, because it made the overall </w:t>
      </w:r>
      <w:proofErr w:type="spellStart"/>
      <w:r>
        <w:t>levelized</w:t>
      </w:r>
      <w:proofErr w:type="spellEnd"/>
      <w:r>
        <w:t xml:space="preserve"> cost of gas in the 2015 IRP Base Sce</w:t>
      </w:r>
      <w:r w:rsidR="001843AA">
        <w:t>nario higher than the 2013 IRP Base S</w:t>
      </w:r>
      <w:r>
        <w:t xml:space="preserve">cenario. For more information on how gas sales DSR differs in the 2015 IRP vs. the 2013 IRP, see Appendix </w:t>
      </w:r>
      <w:r w:rsidR="00291AB5">
        <w:t>J</w:t>
      </w:r>
      <w:r>
        <w:t>, Demand-side Resources Analysis.</w:t>
      </w:r>
    </w:p>
    <w:p w14:paraId="421B0461" w14:textId="77777777" w:rsidR="008C3221" w:rsidRDefault="008C3221">
      <w:pPr>
        <w:rPr>
          <w:rFonts w:ascii="Arial" w:hAnsi="Arial"/>
          <w:sz w:val="20"/>
          <w:szCs w:val="20"/>
        </w:rPr>
      </w:pPr>
      <w:r>
        <w:br w:type="page"/>
      </w:r>
    </w:p>
    <w:p w14:paraId="2183E0D2" w14:textId="77777777" w:rsidR="00862469" w:rsidRPr="00AC6950" w:rsidRDefault="00862469" w:rsidP="00862469">
      <w:pPr>
        <w:pStyle w:val="IRPsanstext"/>
      </w:pPr>
    </w:p>
    <w:p w14:paraId="5B549B20" w14:textId="77777777" w:rsidR="00862469" w:rsidRPr="008C3221" w:rsidRDefault="00862469" w:rsidP="008C3221">
      <w:pPr>
        <w:pStyle w:val="IRPsanstext"/>
        <w:spacing w:after="120"/>
        <w:jc w:val="center"/>
        <w:rPr>
          <w:i/>
        </w:rPr>
      </w:pPr>
      <w:r w:rsidRPr="00326BAA">
        <w:rPr>
          <w:i/>
        </w:rPr>
        <w:t>Figure 7-2</w:t>
      </w:r>
      <w:r w:rsidR="00156604">
        <w:rPr>
          <w:i/>
        </w:rPr>
        <w:t>2</w:t>
      </w:r>
      <w:r w:rsidRPr="00326BAA">
        <w:rPr>
          <w:i/>
        </w:rPr>
        <w:t xml:space="preserve">: Cost-effective Gas Energy Efficiency Savings, 2013 IRP </w:t>
      </w:r>
      <w:proofErr w:type="spellStart"/>
      <w:r w:rsidRPr="00326BAA">
        <w:rPr>
          <w:i/>
        </w:rPr>
        <w:t>vs</w:t>
      </w:r>
      <w:proofErr w:type="spellEnd"/>
      <w:r w:rsidRPr="00326BAA">
        <w:rPr>
          <w:i/>
        </w:rPr>
        <w:t xml:space="preserve"> 2015 IRP</w:t>
      </w:r>
    </w:p>
    <w:p w14:paraId="57CFF55D" w14:textId="77777777" w:rsidR="00326BAA" w:rsidRDefault="00123BCD">
      <w:pPr>
        <w:rPr>
          <w:rFonts w:ascii="Arial" w:hAnsi="Arial"/>
          <w:sz w:val="20"/>
          <w:szCs w:val="20"/>
        </w:rPr>
      </w:pPr>
      <w:r>
        <w:rPr>
          <w:rFonts w:ascii="Arial" w:hAnsi="Arial"/>
          <w:noProof/>
          <w:sz w:val="20"/>
          <w:szCs w:val="20"/>
          <w:lang w:eastAsia="en-US"/>
        </w:rPr>
        <w:drawing>
          <wp:inline distT="0" distB="0" distL="0" distR="0" wp14:anchorId="08D048D2" wp14:editId="39864ED2">
            <wp:extent cx="5125720" cy="371353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970" cy="3712995"/>
                    </a:xfrm>
                    <a:prstGeom prst="rect">
                      <a:avLst/>
                    </a:prstGeom>
                    <a:noFill/>
                  </pic:spPr>
                </pic:pic>
              </a:graphicData>
            </a:graphic>
          </wp:inline>
        </w:drawing>
      </w:r>
    </w:p>
    <w:p w14:paraId="6004C959" w14:textId="77777777" w:rsidR="00326BAA" w:rsidRDefault="00326BAA" w:rsidP="00862469">
      <w:pPr>
        <w:pStyle w:val="IRPsanstext"/>
      </w:pPr>
    </w:p>
    <w:p w14:paraId="32AD4FFF" w14:textId="77777777" w:rsidR="00862469" w:rsidRDefault="00862469" w:rsidP="00862469">
      <w:pPr>
        <w:pStyle w:val="IRPsanstext"/>
      </w:pPr>
      <w:r>
        <w:t>Figure 7-2</w:t>
      </w:r>
      <w:r w:rsidR="00156604">
        <w:t>3</w:t>
      </w:r>
      <w:r>
        <w:t xml:space="preserve"> below compares PSE’s energy efficiency accomplishments, current targets and the new range of gas efficiency potentials as determined by the analysis. In the short term, the 2015 IRP indicates an economic potential savings of 3</w:t>
      </w:r>
      <w:r w:rsidR="005C5CF2">
        <w:t>97</w:t>
      </w:r>
      <w:r>
        <w:t xml:space="preserve"> to 6</w:t>
      </w:r>
      <w:r w:rsidR="005C5CF2">
        <w:t>18</w:t>
      </w:r>
      <w:r>
        <w:t xml:space="preserve"> </w:t>
      </w:r>
      <w:proofErr w:type="spellStart"/>
      <w:r>
        <w:t>MDth</w:t>
      </w:r>
      <w:proofErr w:type="spellEnd"/>
      <w:r>
        <w:t xml:space="preserve"> for the 2016-2017 period</w:t>
      </w:r>
      <w:r w:rsidR="00893189">
        <w:t>.</w:t>
      </w:r>
      <w:r w:rsidR="002F173E">
        <w:rPr>
          <w:rStyle w:val="FootnoteReference"/>
        </w:rPr>
        <w:footnoteReference w:id="7"/>
      </w:r>
      <w:r>
        <w:t xml:space="preserve"> The 694 </w:t>
      </w:r>
      <w:proofErr w:type="spellStart"/>
      <w:r>
        <w:t>MDth</w:t>
      </w:r>
      <w:proofErr w:type="spellEnd"/>
      <w:r>
        <w:t xml:space="preserve"> target for the current 2014-2015 </w:t>
      </w:r>
      <w:proofErr w:type="gramStart"/>
      <w:r>
        <w:t>period</w:t>
      </w:r>
      <w:proofErr w:type="gramEnd"/>
      <w:r>
        <w:t xml:space="preserve"> is higher than this range. These two-year program accomplishments and projections show a downward trend, for the reasons discussed above. </w:t>
      </w:r>
    </w:p>
    <w:p w14:paraId="3DE2BC5C" w14:textId="77777777" w:rsidR="00326BAA" w:rsidRDefault="00326BAA" w:rsidP="00862469">
      <w:pPr>
        <w:pStyle w:val="IRPsanstext"/>
      </w:pPr>
    </w:p>
    <w:p w14:paraId="3E60DD47" w14:textId="77777777" w:rsidR="00862469" w:rsidRDefault="00862469" w:rsidP="00326BAA">
      <w:pPr>
        <w:pStyle w:val="IRPFigureSub"/>
        <w:spacing w:after="120"/>
      </w:pPr>
      <w:r>
        <w:t>Figure 7-2</w:t>
      </w:r>
      <w:r w:rsidR="00156604">
        <w:t>3</w:t>
      </w:r>
      <w:r>
        <w:t xml:space="preserve">: Short-term Comparison of Gas Energy Efficiency in </w:t>
      </w:r>
      <w:proofErr w:type="spellStart"/>
      <w:r>
        <w:t>MDth</w:t>
      </w:r>
      <w:proofErr w:type="spellEnd"/>
    </w:p>
    <w:tbl>
      <w:tblPr>
        <w:tblW w:w="8519" w:type="dxa"/>
        <w:jc w:val="center"/>
        <w:tblInd w:w="-326" w:type="dxa"/>
        <w:tblLook w:val="04A0" w:firstRow="1" w:lastRow="0" w:firstColumn="1" w:lastColumn="0" w:noHBand="0" w:noVBand="1"/>
      </w:tblPr>
      <w:tblGrid>
        <w:gridCol w:w="6008"/>
        <w:gridCol w:w="2511"/>
      </w:tblGrid>
      <w:tr w:rsidR="00862469" w14:paraId="09AC0F40" w14:textId="77777777">
        <w:trPr>
          <w:trHeight w:val="593"/>
          <w:jc w:val="center"/>
        </w:trPr>
        <w:tc>
          <w:tcPr>
            <w:tcW w:w="6008" w:type="dxa"/>
            <w:tcBorders>
              <w:top w:val="single" w:sz="4" w:space="0" w:color="auto"/>
              <w:left w:val="single" w:sz="4" w:space="0" w:color="auto"/>
              <w:bottom w:val="nil"/>
              <w:right w:val="nil"/>
            </w:tcBorders>
            <w:shd w:val="clear" w:color="auto" w:fill="006A71"/>
            <w:noWrap/>
            <w:vAlign w:val="center"/>
          </w:tcPr>
          <w:p w14:paraId="2515CE0D" w14:textId="77777777" w:rsidR="00862469" w:rsidRPr="00FA348A" w:rsidRDefault="00862469" w:rsidP="00326BAA">
            <w:pPr>
              <w:pStyle w:val="IRPFigureSub"/>
              <w:rPr>
                <w:b/>
                <w:i w:val="0"/>
                <w:color w:val="FFFFFF" w:themeColor="background1"/>
                <w:szCs w:val="20"/>
              </w:rPr>
            </w:pPr>
            <w:r w:rsidRPr="00FA348A">
              <w:rPr>
                <w:b/>
                <w:i w:val="0"/>
                <w:color w:val="FFFFFF" w:themeColor="background1"/>
                <w:szCs w:val="20"/>
              </w:rPr>
              <w:t>Short</w:t>
            </w:r>
            <w:r w:rsidR="00FA348A" w:rsidRPr="00FA348A">
              <w:rPr>
                <w:b/>
                <w:i w:val="0"/>
                <w:color w:val="FFFFFF" w:themeColor="background1"/>
                <w:szCs w:val="20"/>
              </w:rPr>
              <w:t>-t</w:t>
            </w:r>
            <w:r w:rsidRPr="00FA348A">
              <w:rPr>
                <w:b/>
                <w:i w:val="0"/>
                <w:color w:val="FFFFFF" w:themeColor="background1"/>
                <w:szCs w:val="20"/>
              </w:rPr>
              <w:t>erm Comparison of Gas Energy Efficiency</w:t>
            </w:r>
          </w:p>
        </w:tc>
        <w:tc>
          <w:tcPr>
            <w:tcW w:w="2511" w:type="dxa"/>
            <w:tcBorders>
              <w:top w:val="single" w:sz="4" w:space="0" w:color="auto"/>
              <w:left w:val="nil"/>
              <w:bottom w:val="nil"/>
              <w:right w:val="single" w:sz="4" w:space="0" w:color="auto"/>
            </w:tcBorders>
            <w:shd w:val="clear" w:color="auto" w:fill="006A71"/>
            <w:vAlign w:val="center"/>
          </w:tcPr>
          <w:p w14:paraId="508E99B8" w14:textId="77777777" w:rsidR="00862469" w:rsidRPr="00FA348A" w:rsidRDefault="00FA348A" w:rsidP="00FA348A">
            <w:pPr>
              <w:pStyle w:val="IRPFigureSub"/>
              <w:spacing w:line="240" w:lineRule="auto"/>
              <w:rPr>
                <w:b/>
                <w:i w:val="0"/>
                <w:color w:val="FFFFFF" w:themeColor="background1"/>
                <w:szCs w:val="20"/>
              </w:rPr>
            </w:pPr>
            <w:proofErr w:type="spellStart"/>
            <w:r w:rsidRPr="00FA348A">
              <w:rPr>
                <w:b/>
                <w:i w:val="0"/>
                <w:color w:val="FFFFFF" w:themeColor="background1"/>
                <w:szCs w:val="20"/>
              </w:rPr>
              <w:t>Dth</w:t>
            </w:r>
            <w:proofErr w:type="spellEnd"/>
            <w:r w:rsidRPr="00FA348A">
              <w:rPr>
                <w:b/>
                <w:i w:val="0"/>
                <w:color w:val="FFFFFF" w:themeColor="background1"/>
                <w:szCs w:val="20"/>
              </w:rPr>
              <w:t xml:space="preserve"> over 2-</w:t>
            </w:r>
            <w:r w:rsidR="00862469" w:rsidRPr="00FA348A">
              <w:rPr>
                <w:b/>
                <w:i w:val="0"/>
                <w:color w:val="FFFFFF" w:themeColor="background1"/>
                <w:szCs w:val="20"/>
              </w:rPr>
              <w:t xml:space="preserve">year program </w:t>
            </w:r>
          </w:p>
        </w:tc>
      </w:tr>
      <w:tr w:rsidR="00862469" w14:paraId="0F79F07D" w14:textId="77777777">
        <w:trPr>
          <w:trHeight w:val="270"/>
          <w:jc w:val="center"/>
        </w:trPr>
        <w:tc>
          <w:tcPr>
            <w:tcW w:w="8519" w:type="dxa"/>
            <w:gridSpan w:val="2"/>
            <w:tcBorders>
              <w:top w:val="nil"/>
              <w:left w:val="single" w:sz="4" w:space="0" w:color="auto"/>
              <w:bottom w:val="single" w:sz="4" w:space="0" w:color="auto"/>
              <w:right w:val="single" w:sz="4" w:space="0" w:color="auto"/>
            </w:tcBorders>
            <w:shd w:val="clear" w:color="auto" w:fill="807F83"/>
            <w:noWrap/>
            <w:vAlign w:val="center"/>
          </w:tcPr>
          <w:p w14:paraId="28D1B0D7" w14:textId="77777777" w:rsidR="00862469" w:rsidRPr="00326BAA" w:rsidRDefault="00862469" w:rsidP="00326BAA">
            <w:pPr>
              <w:pStyle w:val="IRPFigureSub"/>
              <w:rPr>
                <w:i w:val="0"/>
                <w:szCs w:val="20"/>
              </w:rPr>
            </w:pPr>
          </w:p>
        </w:tc>
      </w:tr>
      <w:tr w:rsidR="00862469" w14:paraId="67155614" w14:textId="77777777">
        <w:trPr>
          <w:trHeight w:val="255"/>
          <w:jc w:val="center"/>
        </w:trPr>
        <w:tc>
          <w:tcPr>
            <w:tcW w:w="6008" w:type="dxa"/>
            <w:tcBorders>
              <w:top w:val="single" w:sz="4" w:space="0" w:color="auto"/>
              <w:left w:val="single" w:sz="4" w:space="0" w:color="auto"/>
              <w:bottom w:val="single" w:sz="4" w:space="0" w:color="auto"/>
              <w:right w:val="single" w:sz="4" w:space="0" w:color="auto"/>
            </w:tcBorders>
            <w:noWrap/>
            <w:vAlign w:val="center"/>
          </w:tcPr>
          <w:p w14:paraId="540BB0B8" w14:textId="77777777" w:rsidR="00862469" w:rsidRPr="00326BAA" w:rsidRDefault="00862469" w:rsidP="00326BAA">
            <w:pPr>
              <w:pStyle w:val="IRPFigureSub"/>
              <w:rPr>
                <w:i w:val="0"/>
              </w:rPr>
            </w:pPr>
            <w:r w:rsidRPr="00326BAA">
              <w:rPr>
                <w:i w:val="0"/>
              </w:rPr>
              <w:t>2012-2013 Actual Achievement</w:t>
            </w:r>
          </w:p>
        </w:tc>
        <w:tc>
          <w:tcPr>
            <w:tcW w:w="2511" w:type="dxa"/>
            <w:tcBorders>
              <w:top w:val="single" w:sz="4" w:space="0" w:color="auto"/>
              <w:left w:val="nil"/>
              <w:bottom w:val="single" w:sz="4" w:space="0" w:color="auto"/>
              <w:right w:val="single" w:sz="4" w:space="0" w:color="auto"/>
            </w:tcBorders>
            <w:noWrap/>
            <w:vAlign w:val="center"/>
          </w:tcPr>
          <w:p w14:paraId="5F875D5B" w14:textId="77777777" w:rsidR="00862469" w:rsidRPr="00326BAA" w:rsidRDefault="00862469" w:rsidP="00326BAA">
            <w:pPr>
              <w:pStyle w:val="IRPFigureSub"/>
              <w:rPr>
                <w:rFonts w:cs="Arial"/>
                <w:i w:val="0"/>
              </w:rPr>
            </w:pPr>
            <w:r w:rsidRPr="00326BAA">
              <w:rPr>
                <w:rFonts w:cs="Arial"/>
                <w:i w:val="0"/>
              </w:rPr>
              <w:t>1,174</w:t>
            </w:r>
          </w:p>
        </w:tc>
      </w:tr>
      <w:tr w:rsidR="00862469" w14:paraId="2528F4E4" w14:textId="77777777">
        <w:trPr>
          <w:trHeight w:val="255"/>
          <w:jc w:val="center"/>
        </w:trPr>
        <w:tc>
          <w:tcPr>
            <w:tcW w:w="6008" w:type="dxa"/>
            <w:tcBorders>
              <w:top w:val="nil"/>
              <w:left w:val="single" w:sz="4" w:space="0" w:color="auto"/>
              <w:bottom w:val="single" w:sz="4" w:space="0" w:color="auto"/>
              <w:right w:val="single" w:sz="4" w:space="0" w:color="auto"/>
            </w:tcBorders>
            <w:noWrap/>
            <w:vAlign w:val="center"/>
          </w:tcPr>
          <w:p w14:paraId="38943E4B" w14:textId="77777777" w:rsidR="00862469" w:rsidRPr="00326BAA" w:rsidRDefault="00862469" w:rsidP="00326BAA">
            <w:pPr>
              <w:pStyle w:val="IRPFigureSub"/>
              <w:rPr>
                <w:i w:val="0"/>
              </w:rPr>
            </w:pPr>
            <w:r w:rsidRPr="00326BAA">
              <w:rPr>
                <w:i w:val="0"/>
              </w:rPr>
              <w:t>2014-2015 Target (Updated Jan 2015)</w:t>
            </w:r>
          </w:p>
        </w:tc>
        <w:tc>
          <w:tcPr>
            <w:tcW w:w="2511" w:type="dxa"/>
            <w:tcBorders>
              <w:top w:val="nil"/>
              <w:left w:val="nil"/>
              <w:bottom w:val="single" w:sz="4" w:space="0" w:color="auto"/>
              <w:right w:val="single" w:sz="4" w:space="0" w:color="auto"/>
            </w:tcBorders>
            <w:noWrap/>
            <w:vAlign w:val="center"/>
          </w:tcPr>
          <w:p w14:paraId="2A2694D8" w14:textId="77777777" w:rsidR="00862469" w:rsidRPr="00326BAA" w:rsidRDefault="00862469" w:rsidP="00326BAA">
            <w:pPr>
              <w:pStyle w:val="IRPFigureSub"/>
              <w:rPr>
                <w:rFonts w:cs="Arial"/>
                <w:i w:val="0"/>
              </w:rPr>
            </w:pPr>
            <w:r w:rsidRPr="00326BAA">
              <w:rPr>
                <w:rFonts w:cs="Arial"/>
                <w:i w:val="0"/>
              </w:rPr>
              <w:t>694</w:t>
            </w:r>
          </w:p>
        </w:tc>
      </w:tr>
      <w:tr w:rsidR="00862469" w14:paraId="77B1DD11" w14:textId="77777777">
        <w:trPr>
          <w:trHeight w:val="255"/>
          <w:jc w:val="center"/>
        </w:trPr>
        <w:tc>
          <w:tcPr>
            <w:tcW w:w="6008" w:type="dxa"/>
            <w:tcBorders>
              <w:top w:val="nil"/>
              <w:left w:val="single" w:sz="4" w:space="0" w:color="auto"/>
              <w:bottom w:val="single" w:sz="4" w:space="0" w:color="auto"/>
              <w:right w:val="single" w:sz="4" w:space="0" w:color="auto"/>
            </w:tcBorders>
            <w:noWrap/>
            <w:vAlign w:val="center"/>
          </w:tcPr>
          <w:p w14:paraId="2F47A12D" w14:textId="77777777" w:rsidR="00862469" w:rsidRPr="00326BAA" w:rsidRDefault="00862469" w:rsidP="00326BAA">
            <w:pPr>
              <w:pStyle w:val="IRPFigureSub"/>
              <w:rPr>
                <w:i w:val="0"/>
              </w:rPr>
            </w:pPr>
            <w:r w:rsidRPr="00326BAA">
              <w:rPr>
                <w:i w:val="0"/>
              </w:rPr>
              <w:t>2016-2017 Range of Economic Potential</w:t>
            </w:r>
          </w:p>
        </w:tc>
        <w:tc>
          <w:tcPr>
            <w:tcW w:w="2511" w:type="dxa"/>
            <w:tcBorders>
              <w:top w:val="nil"/>
              <w:left w:val="nil"/>
              <w:bottom w:val="single" w:sz="4" w:space="0" w:color="auto"/>
              <w:right w:val="single" w:sz="4" w:space="0" w:color="auto"/>
            </w:tcBorders>
            <w:noWrap/>
            <w:vAlign w:val="center"/>
          </w:tcPr>
          <w:p w14:paraId="69FF06B9" w14:textId="77777777" w:rsidR="00862469" w:rsidRPr="00326BAA" w:rsidRDefault="005C5CF2" w:rsidP="00326BAA">
            <w:pPr>
              <w:pStyle w:val="IRPFigureSub"/>
              <w:rPr>
                <w:i w:val="0"/>
              </w:rPr>
            </w:pPr>
            <w:r w:rsidRPr="00326BAA">
              <w:rPr>
                <w:i w:val="0"/>
              </w:rPr>
              <w:t>3</w:t>
            </w:r>
            <w:r>
              <w:rPr>
                <w:i w:val="0"/>
              </w:rPr>
              <w:t>97</w:t>
            </w:r>
            <w:r w:rsidRPr="00326BAA">
              <w:rPr>
                <w:i w:val="0"/>
              </w:rPr>
              <w:t xml:space="preserve"> – 6</w:t>
            </w:r>
            <w:r>
              <w:rPr>
                <w:i w:val="0"/>
              </w:rPr>
              <w:t>18</w:t>
            </w:r>
          </w:p>
        </w:tc>
      </w:tr>
    </w:tbl>
    <w:p w14:paraId="7D7ACAA9" w14:textId="77777777" w:rsidR="00862469" w:rsidRPr="008C3221" w:rsidRDefault="00862469" w:rsidP="008C3221">
      <w:pPr>
        <w:rPr>
          <w:rFonts w:ascii="Arial" w:hAnsi="Arial"/>
          <w:sz w:val="32"/>
          <w:szCs w:val="22"/>
        </w:rPr>
      </w:pPr>
    </w:p>
    <w:p w14:paraId="6ABDAE67" w14:textId="77777777" w:rsidR="00915826" w:rsidRDefault="00915826" w:rsidP="00862469">
      <w:pPr>
        <w:pStyle w:val="IRPFigureSub"/>
        <w:jc w:val="left"/>
        <w:rPr>
          <w:i w:val="0"/>
        </w:rPr>
      </w:pPr>
    </w:p>
    <w:p w14:paraId="09D88CBF" w14:textId="77777777" w:rsidR="00915826" w:rsidRDefault="00915826" w:rsidP="00862469">
      <w:pPr>
        <w:pStyle w:val="IRPFigureSub"/>
        <w:jc w:val="left"/>
        <w:rPr>
          <w:i w:val="0"/>
        </w:rPr>
      </w:pPr>
    </w:p>
    <w:p w14:paraId="08718D0A" w14:textId="77777777" w:rsidR="005348A5" w:rsidRDefault="005348A5" w:rsidP="00862469">
      <w:pPr>
        <w:pStyle w:val="IRPFigureSub"/>
        <w:jc w:val="left"/>
        <w:rPr>
          <w:i w:val="0"/>
        </w:rPr>
      </w:pPr>
    </w:p>
    <w:p w14:paraId="539C415E" w14:textId="77777777" w:rsidR="00862469" w:rsidRPr="0074251B" w:rsidRDefault="00862469" w:rsidP="00862469">
      <w:pPr>
        <w:pStyle w:val="IRPFigureSub"/>
        <w:jc w:val="left"/>
        <w:rPr>
          <w:i w:val="0"/>
        </w:rPr>
      </w:pPr>
      <w:r>
        <w:rPr>
          <w:i w:val="0"/>
        </w:rPr>
        <w:t>Figure 7-2</w:t>
      </w:r>
      <w:r w:rsidR="00156604">
        <w:rPr>
          <w:i w:val="0"/>
        </w:rPr>
        <w:t>4</w:t>
      </w:r>
      <w:r>
        <w:rPr>
          <w:i w:val="0"/>
        </w:rPr>
        <w:t xml:space="preserve"> below shows the impact on CO</w:t>
      </w:r>
      <w:r>
        <w:rPr>
          <w:i w:val="0"/>
          <w:vertAlign w:val="subscript"/>
        </w:rPr>
        <w:t>2</w:t>
      </w:r>
      <w:r>
        <w:rPr>
          <w:i w:val="0"/>
        </w:rPr>
        <w:t xml:space="preserve"> emissions from energy efficiency measures selected in the Base Scenario.  </w:t>
      </w:r>
    </w:p>
    <w:p w14:paraId="2C84A604" w14:textId="77777777" w:rsidR="00862469" w:rsidRDefault="00862469" w:rsidP="00862469">
      <w:pPr>
        <w:pStyle w:val="IRPFigureSub"/>
        <w:jc w:val="left"/>
        <w:rPr>
          <w:i w:val="0"/>
        </w:rPr>
      </w:pPr>
    </w:p>
    <w:p w14:paraId="77E1AC62" w14:textId="77777777" w:rsidR="00862469" w:rsidRPr="00326BAA" w:rsidRDefault="00862469" w:rsidP="00326BAA">
      <w:pPr>
        <w:pStyle w:val="IRPFigureSub"/>
        <w:spacing w:after="120"/>
      </w:pPr>
      <w:r>
        <w:t>Figure 7-2</w:t>
      </w:r>
      <w:r w:rsidR="00156604">
        <w:t>4</w:t>
      </w:r>
      <w:r>
        <w:t>: CO</w:t>
      </w:r>
      <w:r>
        <w:rPr>
          <w:i w:val="0"/>
          <w:vertAlign w:val="subscript"/>
        </w:rPr>
        <w:t>2</w:t>
      </w:r>
      <w:r>
        <w:t xml:space="preserve"> Emissions Reduction from Energy Efficiency in Base Scenario</w:t>
      </w:r>
    </w:p>
    <w:p w14:paraId="279F3000" w14:textId="77777777" w:rsidR="00862469" w:rsidRPr="00CD2DD6" w:rsidRDefault="0063181C" w:rsidP="00862469">
      <w:pPr>
        <w:rPr>
          <w:rFonts w:ascii="Arial" w:hAnsi="Arial"/>
          <w:b/>
          <w:color w:val="9BBB59"/>
          <w:sz w:val="28"/>
          <w:szCs w:val="28"/>
        </w:rPr>
      </w:pPr>
      <w:r>
        <w:rPr>
          <w:b/>
          <w:noProof/>
          <w:color w:val="9BBB59"/>
          <w:sz w:val="28"/>
          <w:szCs w:val="28"/>
          <w:lang w:eastAsia="en-US"/>
        </w:rPr>
        <w:drawing>
          <wp:inline distT="0" distB="0" distL="0" distR="0" wp14:anchorId="708AA068" wp14:editId="1138B8FC">
            <wp:extent cx="5150485" cy="3739925"/>
            <wp:effectExtent l="25400" t="0" r="571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8677" cy="3738612"/>
                    </a:xfrm>
                    <a:prstGeom prst="rect">
                      <a:avLst/>
                    </a:prstGeom>
                    <a:noFill/>
                    <a:ln>
                      <a:noFill/>
                    </a:ln>
                  </pic:spPr>
                </pic:pic>
              </a:graphicData>
            </a:graphic>
          </wp:inline>
        </w:drawing>
      </w:r>
      <w:r w:rsidR="00862469" w:rsidRPr="00CD2DD6">
        <w:rPr>
          <w:b/>
          <w:color w:val="9BBB59"/>
          <w:sz w:val="28"/>
          <w:szCs w:val="28"/>
        </w:rPr>
        <w:br w:type="page"/>
      </w:r>
    </w:p>
    <w:p w14:paraId="073C7986" w14:textId="77777777" w:rsidR="005348A5" w:rsidRDefault="005348A5" w:rsidP="00862469">
      <w:pPr>
        <w:pStyle w:val="IRPsanstext"/>
        <w:rPr>
          <w:b/>
          <w:color w:val="006C71"/>
          <w:sz w:val="28"/>
        </w:rPr>
      </w:pPr>
    </w:p>
    <w:p w14:paraId="21014858" w14:textId="77777777" w:rsidR="00862469" w:rsidRDefault="00862469" w:rsidP="00862469">
      <w:pPr>
        <w:pStyle w:val="IRPsanstext"/>
      </w:pPr>
      <w:r w:rsidRPr="00326BAA">
        <w:rPr>
          <w:b/>
          <w:color w:val="006C71"/>
          <w:sz w:val="28"/>
        </w:rPr>
        <w:t>Pipeline Additions.</w:t>
      </w:r>
      <w:r>
        <w:t xml:space="preserve"> Pipeline expansion alternatives were made available as early as the 2018-19 winter-season, the same time that the other non-pipeline alternatives were made available.  Though this timeline is too short for any realistic pipeline expansion, it allowed </w:t>
      </w:r>
      <w:r w:rsidR="00B67636">
        <w:t>PSE</w:t>
      </w:r>
      <w:r w:rsidR="00B67636" w:rsidRPr="00891D84">
        <w:t xml:space="preserve"> </w:t>
      </w:r>
      <w:r>
        <w:t xml:space="preserve">to ensure that the other resources were selected on their own merits as a least-cost resource. A short-term, firm pipeline contract was also included as an alternative. That contract would transport gas from Sumas to PSE as a bridge contract from </w:t>
      </w:r>
      <w:r w:rsidR="00152184">
        <w:t xml:space="preserve">October </w:t>
      </w:r>
      <w:r>
        <w:t xml:space="preserve">2016 </w:t>
      </w:r>
      <w:r w:rsidR="00152184">
        <w:t xml:space="preserve">through September </w:t>
      </w:r>
      <w:r>
        <w:t>2018.</w:t>
      </w:r>
    </w:p>
    <w:p w14:paraId="4941115D" w14:textId="77777777" w:rsidR="00341E87" w:rsidRDefault="00341E87" w:rsidP="00862469">
      <w:pPr>
        <w:pStyle w:val="IRPsanstext"/>
      </w:pPr>
    </w:p>
    <w:p w14:paraId="6043FBDE" w14:textId="77777777" w:rsidR="00862469" w:rsidRDefault="00862469" w:rsidP="00862469">
      <w:pPr>
        <w:pStyle w:val="IRPsanstext"/>
      </w:pPr>
      <w:r>
        <w:t xml:space="preserve">The Sumas to PSE 2016-2018 short-term contract was selected in </w:t>
      </w:r>
      <w:r w:rsidR="00152184">
        <w:t xml:space="preserve">most </w:t>
      </w:r>
      <w:r>
        <w:t xml:space="preserve">scenarios. </w:t>
      </w:r>
      <w:r w:rsidR="00341E87">
        <w:t>Based on lower costs, m</w:t>
      </w:r>
      <w:r w:rsidR="00152184">
        <w:t xml:space="preserve">ost scenarios chose some </w:t>
      </w:r>
      <w:r w:rsidR="00341E87">
        <w:t xml:space="preserve">of the NWP expansion and </w:t>
      </w:r>
      <w:proofErr w:type="spellStart"/>
      <w:r w:rsidR="00341E87">
        <w:t>Westcoast</w:t>
      </w:r>
      <w:proofErr w:type="spellEnd"/>
      <w:r w:rsidR="00341E87">
        <w:t xml:space="preserve"> pipeline to purchase gas from Station 2 as cost effective in 2022-23</w:t>
      </w:r>
      <w:r w:rsidR="00893189">
        <w:t>,</w:t>
      </w:r>
      <w:r w:rsidR="00341E87">
        <w:t xml:space="preserve"> increasing these capacities in subsequent years.  The expansion of the Northwest and </w:t>
      </w:r>
      <w:proofErr w:type="spellStart"/>
      <w:r w:rsidR="00341E87">
        <w:t>Westcoast</w:t>
      </w:r>
      <w:proofErr w:type="spellEnd"/>
      <w:r w:rsidR="00341E87">
        <w:t xml:space="preserve"> pipelines from Station 2 increases access to northern B.C. gas supplies. </w:t>
      </w:r>
      <w:r>
        <w:t>Other pipeline additions were not cost effective till 2026-27 i</w:t>
      </w:r>
      <w:r w:rsidR="001843AA">
        <w:t>n most scenarios</w:t>
      </w:r>
      <w:r w:rsidR="00341E87">
        <w:t>, but t</w:t>
      </w:r>
      <w:r>
        <w:t xml:space="preserve">he Cross Cascades </w:t>
      </w:r>
      <w:r w:rsidR="00341E87">
        <w:t xml:space="preserve">- </w:t>
      </w:r>
      <w:proofErr w:type="spellStart"/>
      <w:proofErr w:type="gramStart"/>
      <w:r w:rsidR="00341E87">
        <w:t>Malin</w:t>
      </w:r>
      <w:proofErr w:type="spellEnd"/>
      <w:r w:rsidR="00341E87">
        <w:t xml:space="preserve"> </w:t>
      </w:r>
      <w:r w:rsidR="00C22AF8">
        <w:t xml:space="preserve">which sources gas from </w:t>
      </w:r>
      <w:proofErr w:type="spellStart"/>
      <w:r w:rsidR="00C22AF8">
        <w:t>Malin</w:t>
      </w:r>
      <w:proofErr w:type="spellEnd"/>
      <w:r w:rsidR="00C22AF8">
        <w:t xml:space="preserve"> through Stanfield across the proposed Cross Cascades pipeline</w:t>
      </w:r>
      <w:proofErr w:type="gramEnd"/>
      <w:r w:rsidR="00C22AF8">
        <w:t xml:space="preserve"> </w:t>
      </w:r>
      <w:r>
        <w:t>was include</w:t>
      </w:r>
      <w:r w:rsidR="001843AA">
        <w:t xml:space="preserve">d in </w:t>
      </w:r>
      <w:r w:rsidR="00341E87">
        <w:t>most</w:t>
      </w:r>
      <w:r w:rsidR="001843AA">
        <w:t xml:space="preserve"> scenarios by 2030-31. </w:t>
      </w:r>
      <w:r w:rsidR="00C22AF8">
        <w:t xml:space="preserve">The NWP + KORP pipeline alternative was more expensive and chosen only in the Base + High Gas Scenario.  </w:t>
      </w:r>
      <w:r>
        <w:t xml:space="preserve">Additional upstream pipeline capacity </w:t>
      </w:r>
      <w:r w:rsidR="00C22AF8">
        <w:t xml:space="preserve">from AECO </w:t>
      </w:r>
      <w:r>
        <w:t xml:space="preserve">on the TC-AB, the TC-BC, and GTN pipelines was selected </w:t>
      </w:r>
      <w:r w:rsidR="00C22AF8">
        <w:t>in minor amounts</w:t>
      </w:r>
      <w:r>
        <w:t xml:space="preserve"> to deliver supplies to the </w:t>
      </w:r>
      <w:r w:rsidR="00C22AF8">
        <w:t xml:space="preserve">proposed </w:t>
      </w:r>
      <w:r>
        <w:t xml:space="preserve">Cross Cascades </w:t>
      </w:r>
      <w:r w:rsidR="00C22AF8">
        <w:t>pipeline</w:t>
      </w:r>
      <w:r>
        <w:t>.</w:t>
      </w:r>
    </w:p>
    <w:p w14:paraId="2B2260BF" w14:textId="77777777" w:rsidR="000169DE" w:rsidRDefault="000169DE" w:rsidP="00862469">
      <w:pPr>
        <w:pStyle w:val="IRPsanstext"/>
      </w:pPr>
    </w:p>
    <w:p w14:paraId="60E644D8" w14:textId="77777777" w:rsidR="008A1B61" w:rsidRPr="00AD6374" w:rsidRDefault="00D076A4" w:rsidP="008A1B61">
      <w:pPr>
        <w:pStyle w:val="IRPsanstext"/>
      </w:pPr>
      <w:r w:rsidRPr="008A1B61">
        <w:rPr>
          <w:b/>
          <w:color w:val="006C71"/>
          <w:sz w:val="28"/>
        </w:rPr>
        <w:t>Storage Additions.</w:t>
      </w:r>
      <w:r w:rsidRPr="007F71CB">
        <w:rPr>
          <w:b/>
          <w:i/>
          <w:color w:val="006C71"/>
        </w:rPr>
        <w:t xml:space="preserve">  </w:t>
      </w:r>
      <w:r w:rsidR="00CE5954" w:rsidRPr="00CE5954">
        <w:t xml:space="preserve">Based on lower costs, the PSE LNG Project and the Mist storage expansion were selected in all scenarios.  </w:t>
      </w:r>
    </w:p>
    <w:p w14:paraId="7CEBFAEA" w14:textId="77777777" w:rsidR="008A1B61" w:rsidRDefault="008A1B61" w:rsidP="008A1B61">
      <w:pPr>
        <w:pStyle w:val="IRPsanstext"/>
        <w:rPr>
          <w:b/>
          <w:color w:val="006C71"/>
          <w:sz w:val="24"/>
          <w:u w:val="single"/>
        </w:rPr>
      </w:pPr>
    </w:p>
    <w:p w14:paraId="0405EB28" w14:textId="77777777" w:rsidR="00123BCD" w:rsidRDefault="00121B7B" w:rsidP="008A1B61">
      <w:pPr>
        <w:pStyle w:val="IRPsanstext"/>
      </w:pPr>
      <w:r w:rsidRPr="00915826">
        <w:rPr>
          <w:b/>
          <w:color w:val="006C71"/>
          <w:sz w:val="28"/>
        </w:rPr>
        <w:t xml:space="preserve">PSE </w:t>
      </w:r>
      <w:r w:rsidR="000169DE" w:rsidRPr="00915826">
        <w:rPr>
          <w:b/>
          <w:color w:val="006C71"/>
          <w:sz w:val="28"/>
        </w:rPr>
        <w:t xml:space="preserve">LNG </w:t>
      </w:r>
      <w:r w:rsidRPr="00915826">
        <w:rPr>
          <w:b/>
          <w:color w:val="006C71"/>
          <w:sz w:val="28"/>
        </w:rPr>
        <w:t>Project</w:t>
      </w:r>
      <w:r w:rsidR="000169DE" w:rsidRPr="00915826">
        <w:rPr>
          <w:b/>
          <w:color w:val="006C71"/>
          <w:sz w:val="28"/>
        </w:rPr>
        <w:t>.</w:t>
      </w:r>
      <w:r w:rsidR="000169DE" w:rsidRPr="007F71CB">
        <w:rPr>
          <w:sz w:val="18"/>
        </w:rPr>
        <w:t xml:space="preserve"> </w:t>
      </w:r>
      <w:r w:rsidR="008A1B61">
        <w:rPr>
          <w:sz w:val="18"/>
        </w:rPr>
        <w:t xml:space="preserve"> </w:t>
      </w:r>
      <w:r w:rsidR="00CE5954" w:rsidRPr="00CE5954">
        <w:t>PSE is in the early stages of</w:t>
      </w:r>
      <w:r w:rsidR="008A1B61" w:rsidRPr="00AD6374">
        <w:t xml:space="preserve"> developing </w:t>
      </w:r>
      <w:proofErr w:type="gramStart"/>
      <w:r w:rsidR="008A1B61" w:rsidRPr="00AD6374">
        <w:t>a small</w:t>
      </w:r>
      <w:proofErr w:type="gramEnd"/>
      <w:r w:rsidR="008A1B61" w:rsidRPr="00AD6374">
        <w:t xml:space="preserve">-scale </w:t>
      </w:r>
      <w:r w:rsidR="003956DE">
        <w:t>natural gas</w:t>
      </w:r>
      <w:r w:rsidR="003956DE" w:rsidRPr="00AD6374">
        <w:t xml:space="preserve"> </w:t>
      </w:r>
      <w:r w:rsidR="008A1B61" w:rsidRPr="00AD6374">
        <w:t xml:space="preserve">liquefaction and </w:t>
      </w:r>
      <w:r w:rsidR="003956DE">
        <w:t xml:space="preserve">LNG </w:t>
      </w:r>
      <w:r w:rsidR="008A1B61" w:rsidRPr="00AD6374">
        <w:t>storage facility within its service territory to serve the peaking needs of PSE’s core gas customers and the growing demand for LNG as a marine a</w:t>
      </w:r>
      <w:r w:rsidR="008A1B61">
        <w:t>nd vehicle transportation fuel.</w:t>
      </w:r>
      <w:r w:rsidR="008A1B61" w:rsidRPr="00AD6374">
        <w:t xml:space="preserve"> </w:t>
      </w:r>
      <w:r w:rsidR="000169DE">
        <w:t xml:space="preserve">The </w:t>
      </w:r>
      <w:r>
        <w:t xml:space="preserve">PSE </w:t>
      </w:r>
      <w:r w:rsidR="000169DE">
        <w:t xml:space="preserve">LNG </w:t>
      </w:r>
      <w:r>
        <w:t>P</w:t>
      </w:r>
      <w:r w:rsidR="000169DE">
        <w:t>roject was found to be cost effective in every scenario, as shown in Figure 7-1</w:t>
      </w:r>
      <w:r w:rsidR="00156604">
        <w:t>7</w:t>
      </w:r>
      <w:r w:rsidR="000169DE">
        <w:t>, above.  Figure 7-</w:t>
      </w:r>
      <w:r w:rsidR="00F761C6">
        <w:t>2</w:t>
      </w:r>
      <w:r w:rsidR="00156604">
        <w:t>5</w:t>
      </w:r>
      <w:r w:rsidR="000169DE">
        <w:t xml:space="preserve"> focuses on just the </w:t>
      </w:r>
      <w:r>
        <w:t xml:space="preserve">PSE </w:t>
      </w:r>
      <w:r w:rsidR="000169DE">
        <w:t xml:space="preserve">LNG </w:t>
      </w:r>
      <w:r>
        <w:t xml:space="preserve">Project </w:t>
      </w:r>
      <w:r w:rsidR="000169DE">
        <w:t xml:space="preserve">additions by scenario.  It shows </w:t>
      </w:r>
      <w:r w:rsidR="00FE2597">
        <w:t xml:space="preserve">that </w:t>
      </w:r>
      <w:r w:rsidR="000169DE">
        <w:t>in most scenarios</w:t>
      </w:r>
      <w:r w:rsidR="00FE2597">
        <w:t xml:space="preserve"> and </w:t>
      </w:r>
      <w:r w:rsidR="000169DE">
        <w:t xml:space="preserve">sensitivities, all 85 </w:t>
      </w:r>
      <w:proofErr w:type="spellStart"/>
      <w:r w:rsidR="000169DE">
        <w:t>MDth</w:t>
      </w:r>
      <w:proofErr w:type="spellEnd"/>
      <w:r w:rsidR="00FE2597">
        <w:t xml:space="preserve"> per </w:t>
      </w:r>
      <w:r w:rsidR="000169DE">
        <w:t>day of LNG</w:t>
      </w:r>
      <w:r w:rsidR="005B7741">
        <w:rPr>
          <w:rStyle w:val="FootnoteReference"/>
        </w:rPr>
        <w:footnoteReference w:id="8"/>
      </w:r>
      <w:r w:rsidR="000169DE">
        <w:t xml:space="preserve"> i</w:t>
      </w:r>
      <w:r w:rsidR="00FE2597">
        <w:t xml:space="preserve">s part of the least cost plan forecast. </w:t>
      </w:r>
      <w:r w:rsidR="000169DE">
        <w:t xml:space="preserve">However, it also illustrates that in </w:t>
      </w:r>
      <w:r w:rsidR="009B688B">
        <w:t>four of the scenarios</w:t>
      </w:r>
      <w:r w:rsidR="000169DE">
        <w:t xml:space="preserve">, less than the full 85 </w:t>
      </w:r>
      <w:proofErr w:type="spellStart"/>
      <w:r w:rsidR="000169DE">
        <w:t>MDth</w:t>
      </w:r>
      <w:proofErr w:type="spellEnd"/>
      <w:r w:rsidR="00FE2597">
        <w:t xml:space="preserve"> per </w:t>
      </w:r>
      <w:r w:rsidR="000169DE">
        <w:t>day would be optimal</w:t>
      </w:r>
      <w:r w:rsidR="009B688B">
        <w:t xml:space="preserve"> </w:t>
      </w:r>
      <w:r w:rsidR="00741AD2">
        <w:t>given</w:t>
      </w:r>
      <w:r w:rsidR="009B688B">
        <w:t xml:space="preserve"> the modeling </w:t>
      </w:r>
      <w:r w:rsidR="00741AD2">
        <w:t>constraints</w:t>
      </w:r>
      <w:r w:rsidR="009B688B">
        <w:t xml:space="preserve"> of the GPM</w:t>
      </w:r>
      <w:r w:rsidR="00123BCD">
        <w:t xml:space="preserve">. </w:t>
      </w:r>
      <w:r w:rsidR="00A216E6">
        <w:t xml:space="preserve">The optimization routine in the </w:t>
      </w:r>
      <w:r w:rsidR="00893189">
        <w:t xml:space="preserve">SENDOUT </w:t>
      </w:r>
      <w:r w:rsidR="00A216E6">
        <w:t xml:space="preserve">GPM </w:t>
      </w:r>
      <w:r w:rsidR="00741AD2">
        <w:t>doesn’t</w:t>
      </w:r>
      <w:r w:rsidR="00A216E6">
        <w:t xml:space="preserve"> optimize on all or nothing choices</w:t>
      </w:r>
      <w:r w:rsidR="00741AD2">
        <w:t>; it simply cannot decide whether it</w:t>
      </w:r>
      <w:r w:rsidR="00893189">
        <w:t xml:space="preserve"> </w:t>
      </w:r>
      <w:r w:rsidR="00915826">
        <w:t>i</w:t>
      </w:r>
      <w:r w:rsidR="00741AD2">
        <w:t>s best to either acquire a fixed capacity resource or not</w:t>
      </w:r>
      <w:r w:rsidR="00A216E6">
        <w:t xml:space="preserve"> – rather, the model is designed to help answer optimal sizing questions.  </w:t>
      </w:r>
    </w:p>
    <w:p w14:paraId="721B12A7" w14:textId="77777777" w:rsidR="00123BCD" w:rsidRDefault="00123BCD" w:rsidP="008A1B61">
      <w:pPr>
        <w:pStyle w:val="IRPsanstext"/>
      </w:pPr>
    </w:p>
    <w:p w14:paraId="13A7888E" w14:textId="77777777" w:rsidR="00123BCD" w:rsidRDefault="00123BCD">
      <w:pPr>
        <w:rPr>
          <w:rFonts w:ascii="Arial" w:hAnsi="Arial"/>
          <w:sz w:val="20"/>
          <w:szCs w:val="20"/>
        </w:rPr>
      </w:pPr>
      <w:r>
        <w:br w:type="page"/>
      </w:r>
    </w:p>
    <w:p w14:paraId="360EC8B2" w14:textId="77777777" w:rsidR="005348A5" w:rsidRDefault="005348A5" w:rsidP="008A1B61">
      <w:pPr>
        <w:pStyle w:val="IRPsanstext"/>
      </w:pPr>
    </w:p>
    <w:p w14:paraId="1D2E7B0B" w14:textId="77777777" w:rsidR="00A216E6" w:rsidRDefault="00A216E6" w:rsidP="008A1B61">
      <w:pPr>
        <w:pStyle w:val="IRPsanstext"/>
      </w:pPr>
      <w:r>
        <w:t xml:space="preserve">In </w:t>
      </w:r>
      <w:r w:rsidR="00741AD2">
        <w:t>these types of</w:t>
      </w:r>
      <w:r>
        <w:t xml:space="preserve"> all-or-nothing resource decision</w:t>
      </w:r>
      <w:r w:rsidR="00893189">
        <w:t>s</w:t>
      </w:r>
      <w:r>
        <w:t xml:space="preserve">, the GPM is a good first screen, but additional analysis </w:t>
      </w:r>
      <w:r w:rsidR="002158C8">
        <w:t>is</w:t>
      </w:r>
      <w:r>
        <w:t xml:space="preserve"> needed</w:t>
      </w:r>
      <w:r w:rsidR="002158C8" w:rsidRPr="002158C8">
        <w:t xml:space="preserve"> </w:t>
      </w:r>
      <w:r w:rsidR="002158C8">
        <w:t>when considering resources with fixed capacity</w:t>
      </w:r>
      <w:r>
        <w:t xml:space="preserve">.  </w:t>
      </w:r>
      <w:r w:rsidR="00B67636">
        <w:t>PSE</w:t>
      </w:r>
      <w:r w:rsidR="00B67636" w:rsidRPr="00891D84">
        <w:t xml:space="preserve"> </w:t>
      </w:r>
      <w:r w:rsidR="00741AD2">
        <w:t>can, however, use t</w:t>
      </w:r>
      <w:r>
        <w:t xml:space="preserve">he </w:t>
      </w:r>
      <w:r w:rsidR="00893189">
        <w:t>SENDOUT</w:t>
      </w:r>
      <w:r w:rsidR="00123BCD">
        <w:t xml:space="preserve"> </w:t>
      </w:r>
      <w:r>
        <w:t xml:space="preserve">GPM to </w:t>
      </w:r>
      <w:r w:rsidR="00741AD2">
        <w:t xml:space="preserve">help </w:t>
      </w:r>
      <w:r>
        <w:t xml:space="preserve">analyze the all-or-nothing question by comparing two cases: one where the </w:t>
      </w:r>
      <w:r w:rsidR="00741AD2">
        <w:t>fixed capacity resource</w:t>
      </w:r>
      <w:r>
        <w:t xml:space="preserve"> is not an alternative and another where 100 percent of the </w:t>
      </w:r>
      <w:r w:rsidR="00741AD2">
        <w:t xml:space="preserve">fixed capacity resource </w:t>
      </w:r>
      <w:r>
        <w:t xml:space="preserve">is included. </w:t>
      </w:r>
      <w:r w:rsidR="00741AD2">
        <w:t xml:space="preserve">This is the analysis </w:t>
      </w:r>
      <w:r w:rsidR="00B67636">
        <w:t>PSE</w:t>
      </w:r>
      <w:r w:rsidR="00B67636" w:rsidRPr="00891D84">
        <w:t xml:space="preserve"> </w:t>
      </w:r>
      <w:r w:rsidR="00893189">
        <w:t xml:space="preserve">performed </w:t>
      </w:r>
      <w:r w:rsidR="00741AD2">
        <w:t>for the PSE LNG Project</w:t>
      </w:r>
      <w:r w:rsidR="00A100A6">
        <w:t xml:space="preserve">; </w:t>
      </w:r>
      <w:r>
        <w:t>Figure 7-2</w:t>
      </w:r>
      <w:r w:rsidR="008612AE">
        <w:t>6</w:t>
      </w:r>
      <w:r>
        <w:t xml:space="preserve"> compares the net present value of the portfolio in which the PSE LNG Project is not a choice with a </w:t>
      </w:r>
      <w:proofErr w:type="gramStart"/>
      <w:r>
        <w:t>portfolio which</w:t>
      </w:r>
      <w:proofErr w:type="gramEnd"/>
      <w:r>
        <w:t xml:space="preserve"> includes all 85 </w:t>
      </w:r>
      <w:proofErr w:type="spellStart"/>
      <w:r>
        <w:t>MDth</w:t>
      </w:r>
      <w:proofErr w:type="spellEnd"/>
      <w:r>
        <w:t xml:space="preserve"> per day</w:t>
      </w:r>
      <w:r w:rsidR="00A100A6">
        <w:t>.  Figure 7-2</w:t>
      </w:r>
      <w:r w:rsidR="00156604">
        <w:t>6</w:t>
      </w:r>
      <w:r>
        <w:t xml:space="preserve"> shows </w:t>
      </w:r>
      <w:r w:rsidR="00A100A6">
        <w:t>there are</w:t>
      </w:r>
      <w:r>
        <w:t xml:space="preserve"> </w:t>
      </w:r>
      <w:r w:rsidR="00A100A6">
        <w:t xml:space="preserve">portfolio benefits (aka: </w:t>
      </w:r>
      <w:r>
        <w:t>cost savings</w:t>
      </w:r>
      <w:r w:rsidR="00A100A6">
        <w:t>) of including the</w:t>
      </w:r>
      <w:r>
        <w:t xml:space="preserve"> PSE LNG Project</w:t>
      </w:r>
      <w:r w:rsidR="00A100A6">
        <w:t xml:space="preserve"> as a resource in every scenario</w:t>
      </w:r>
      <w:r>
        <w:t xml:space="preserve">. </w:t>
      </w:r>
      <w:r w:rsidR="008A1B61">
        <w:t>This IRP confirms the PSE LNG Project to be a least-cost resource to serve customer demand</w:t>
      </w:r>
      <w:r w:rsidR="008A1B61" w:rsidRPr="00AD6374">
        <w:t>.</w:t>
      </w:r>
    </w:p>
    <w:p w14:paraId="1B33051A" w14:textId="77777777" w:rsidR="000169DE" w:rsidRDefault="000169DE" w:rsidP="000169DE">
      <w:pPr>
        <w:pStyle w:val="IRPsanstext"/>
      </w:pPr>
    </w:p>
    <w:p w14:paraId="0F578174" w14:textId="77777777" w:rsidR="005B7741" w:rsidRPr="00FE2597" w:rsidRDefault="000169DE" w:rsidP="008C3221">
      <w:pPr>
        <w:pStyle w:val="IRPsanstext"/>
        <w:spacing w:line="240" w:lineRule="exact"/>
        <w:jc w:val="center"/>
        <w:rPr>
          <w:i/>
        </w:rPr>
      </w:pPr>
      <w:r w:rsidRPr="00FE2597">
        <w:rPr>
          <w:i/>
        </w:rPr>
        <w:t>Figure 7-</w:t>
      </w:r>
      <w:r w:rsidR="00F761C6" w:rsidRPr="00FE2597">
        <w:rPr>
          <w:i/>
        </w:rPr>
        <w:t>2</w:t>
      </w:r>
      <w:r w:rsidR="00156604">
        <w:rPr>
          <w:i/>
        </w:rPr>
        <w:t>5</w:t>
      </w:r>
      <w:r w:rsidRPr="00FE2597">
        <w:rPr>
          <w:i/>
        </w:rPr>
        <w:t xml:space="preserve">: </w:t>
      </w:r>
      <w:r w:rsidR="007B3EB1">
        <w:rPr>
          <w:i/>
        </w:rPr>
        <w:t xml:space="preserve">PSE </w:t>
      </w:r>
      <w:r w:rsidRPr="00FE2597">
        <w:rPr>
          <w:i/>
        </w:rPr>
        <w:t xml:space="preserve">LNG </w:t>
      </w:r>
      <w:r w:rsidR="007B3EB1">
        <w:rPr>
          <w:i/>
        </w:rPr>
        <w:t xml:space="preserve">Project </w:t>
      </w:r>
      <w:r w:rsidRPr="00FE2597">
        <w:rPr>
          <w:i/>
        </w:rPr>
        <w:t>Resource Additions by Scenario</w:t>
      </w:r>
    </w:p>
    <w:p w14:paraId="2B0DEBCD" w14:textId="77777777" w:rsidR="00F761C6" w:rsidRPr="00FE2597" w:rsidRDefault="00F761C6" w:rsidP="008C3221">
      <w:pPr>
        <w:pStyle w:val="IRPsanstext"/>
        <w:spacing w:line="240" w:lineRule="exact"/>
        <w:jc w:val="center"/>
        <w:rPr>
          <w:i/>
        </w:rPr>
      </w:pPr>
      <w:r w:rsidRPr="00FE2597">
        <w:rPr>
          <w:i/>
        </w:rPr>
        <w:t>(</w:t>
      </w:r>
      <w:proofErr w:type="spellStart"/>
      <w:r w:rsidRPr="00FE2597">
        <w:rPr>
          <w:i/>
        </w:rPr>
        <w:t>MDth</w:t>
      </w:r>
      <w:proofErr w:type="spellEnd"/>
      <w:r w:rsidRPr="00FE2597">
        <w:rPr>
          <w:i/>
        </w:rPr>
        <w:t xml:space="preserve"> per day)</w:t>
      </w:r>
    </w:p>
    <w:p w14:paraId="501BD4D7" w14:textId="77777777" w:rsidR="009B688B" w:rsidRDefault="009B688B" w:rsidP="000169DE">
      <w:pPr>
        <w:pStyle w:val="IRPsanstext"/>
      </w:pPr>
    </w:p>
    <w:p w14:paraId="56C10CE1" w14:textId="77777777" w:rsidR="003667C9" w:rsidRDefault="006E7925">
      <w:pPr>
        <w:rPr>
          <w:rFonts w:ascii="Arial" w:hAnsi="Arial"/>
          <w:sz w:val="20"/>
          <w:szCs w:val="20"/>
        </w:rPr>
      </w:pPr>
      <w:r>
        <w:rPr>
          <w:rFonts w:ascii="Arial" w:hAnsi="Arial"/>
          <w:noProof/>
          <w:sz w:val="20"/>
          <w:szCs w:val="20"/>
          <w:lang w:eastAsia="en-US"/>
        </w:rPr>
        <w:drawing>
          <wp:inline distT="0" distB="0" distL="0" distR="0" wp14:anchorId="481D511F" wp14:editId="27BDE73B">
            <wp:extent cx="5219700" cy="378649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1228" cy="3787604"/>
                    </a:xfrm>
                    <a:prstGeom prst="rect">
                      <a:avLst/>
                    </a:prstGeom>
                    <a:noFill/>
                  </pic:spPr>
                </pic:pic>
              </a:graphicData>
            </a:graphic>
          </wp:inline>
        </w:drawing>
      </w:r>
      <w:r w:rsidR="003667C9">
        <w:br w:type="page"/>
      </w:r>
    </w:p>
    <w:p w14:paraId="4717E63C" w14:textId="77777777" w:rsidR="000169DE" w:rsidRDefault="000169DE" w:rsidP="000169DE">
      <w:pPr>
        <w:pStyle w:val="IRPsanstext"/>
      </w:pPr>
    </w:p>
    <w:p w14:paraId="407BD0CB" w14:textId="70362549" w:rsidR="00A216E6" w:rsidRDefault="000169DE" w:rsidP="005348A5">
      <w:pPr>
        <w:pStyle w:val="IRPsanstext"/>
        <w:jc w:val="center"/>
      </w:pPr>
      <w:r>
        <w:t>Figure 7-</w:t>
      </w:r>
      <w:r w:rsidR="00F761C6">
        <w:t>2</w:t>
      </w:r>
      <w:r w:rsidR="00156604">
        <w:t>6</w:t>
      </w:r>
      <w:r>
        <w:t xml:space="preserve">: </w:t>
      </w:r>
      <w:r w:rsidR="00451F0E">
        <w:t xml:space="preserve">Scenario </w:t>
      </w:r>
      <w:r>
        <w:t xml:space="preserve">Portfolio Benefit of </w:t>
      </w:r>
      <w:r w:rsidR="007B3EB1">
        <w:t xml:space="preserve">the PSE </w:t>
      </w:r>
      <w:r>
        <w:t xml:space="preserve">LNG </w:t>
      </w:r>
      <w:r w:rsidR="007B3EB1">
        <w:t xml:space="preserve">Project </w:t>
      </w:r>
    </w:p>
    <w:p w14:paraId="6905CBB1" w14:textId="77777777" w:rsidR="00A216E6" w:rsidRDefault="00A216E6" w:rsidP="004A26B6">
      <w:pPr>
        <w:pStyle w:val="IRPsanstext"/>
        <w:jc w:val="center"/>
      </w:pPr>
    </w:p>
    <w:tbl>
      <w:tblPr>
        <w:tblW w:w="8079" w:type="dxa"/>
        <w:tblCellMar>
          <w:left w:w="0" w:type="dxa"/>
          <w:right w:w="0" w:type="dxa"/>
        </w:tblCellMar>
        <w:tblLook w:val="04A0" w:firstRow="1" w:lastRow="0" w:firstColumn="1" w:lastColumn="0" w:noHBand="0" w:noVBand="1"/>
      </w:tblPr>
      <w:tblGrid>
        <w:gridCol w:w="2755"/>
        <w:gridCol w:w="1767"/>
        <w:gridCol w:w="1749"/>
        <w:gridCol w:w="1808"/>
      </w:tblGrid>
      <w:tr w:rsidR="00451F0E" w14:paraId="51703CC4" w14:textId="77777777">
        <w:trPr>
          <w:trHeight w:val="300"/>
        </w:trPr>
        <w:tc>
          <w:tcPr>
            <w:tcW w:w="2755" w:type="dxa"/>
            <w:tcBorders>
              <w:top w:val="nil"/>
              <w:left w:val="nil"/>
              <w:bottom w:val="single" w:sz="4" w:space="0" w:color="auto"/>
              <w:right w:val="nil"/>
            </w:tcBorders>
            <w:shd w:val="clear" w:color="000000" w:fill="FFFFFF"/>
            <w:noWrap/>
            <w:vAlign w:val="bottom"/>
          </w:tcPr>
          <w:p w14:paraId="1E643E3D" w14:textId="77777777" w:rsidR="00451F0E" w:rsidRDefault="00451F0E" w:rsidP="00451F0E">
            <w:pPr>
              <w:rPr>
                <w:rFonts w:ascii="Calibri" w:hAnsi="Calibri" w:hint="eastAsia"/>
                <w:color w:val="000000"/>
                <w:sz w:val="22"/>
                <w:szCs w:val="22"/>
              </w:rPr>
            </w:pPr>
          </w:p>
        </w:tc>
        <w:tc>
          <w:tcPr>
            <w:tcW w:w="532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06B46415" w14:textId="77777777" w:rsidR="00451F0E" w:rsidRDefault="00451F0E" w:rsidP="00451F0E">
            <w:pPr>
              <w:jc w:val="center"/>
              <w:rPr>
                <w:rFonts w:ascii="Arial" w:hAnsi="Arial" w:cs="Arial"/>
                <w:b/>
                <w:bCs/>
                <w:color w:val="000000"/>
                <w:sz w:val="22"/>
                <w:szCs w:val="22"/>
              </w:rPr>
            </w:pPr>
            <w:r>
              <w:rPr>
                <w:rFonts w:ascii="Arial" w:hAnsi="Arial" w:cs="Arial"/>
                <w:b/>
                <w:bCs/>
                <w:color w:val="000000"/>
                <w:sz w:val="22"/>
                <w:szCs w:val="22"/>
              </w:rPr>
              <w:t>Gas Portfolio Costs Net Present Value ($000s)</w:t>
            </w:r>
          </w:p>
        </w:tc>
      </w:tr>
      <w:tr w:rsidR="00451F0E" w14:paraId="422C2A72" w14:textId="77777777">
        <w:trPr>
          <w:trHeight w:val="746"/>
        </w:trPr>
        <w:tc>
          <w:tcPr>
            <w:tcW w:w="2755" w:type="dxa"/>
            <w:tcBorders>
              <w:top w:val="nil"/>
              <w:left w:val="single" w:sz="4" w:space="0" w:color="auto"/>
              <w:bottom w:val="single" w:sz="4" w:space="0" w:color="auto"/>
              <w:right w:val="single" w:sz="4" w:space="0" w:color="auto"/>
            </w:tcBorders>
            <w:shd w:val="clear" w:color="auto" w:fill="auto"/>
            <w:vAlign w:val="bottom"/>
          </w:tcPr>
          <w:p w14:paraId="59D7FB73" w14:textId="77777777" w:rsidR="00451F0E" w:rsidRDefault="00451F0E" w:rsidP="007F71CB">
            <w:pPr>
              <w:rPr>
                <w:rFonts w:ascii="Arial" w:hAnsi="Arial" w:cs="Arial"/>
                <w:b/>
                <w:bCs/>
                <w:sz w:val="22"/>
                <w:szCs w:val="22"/>
              </w:rPr>
            </w:pPr>
            <w:r>
              <w:rPr>
                <w:rFonts w:ascii="Arial" w:hAnsi="Arial" w:cs="Arial"/>
                <w:b/>
                <w:bCs/>
                <w:sz w:val="22"/>
                <w:szCs w:val="22"/>
              </w:rPr>
              <w:t>SCENARIO</w:t>
            </w:r>
          </w:p>
        </w:tc>
        <w:tc>
          <w:tcPr>
            <w:tcW w:w="1772" w:type="dxa"/>
            <w:tcBorders>
              <w:top w:val="nil"/>
              <w:left w:val="nil"/>
              <w:bottom w:val="single" w:sz="4" w:space="0" w:color="auto"/>
              <w:right w:val="single" w:sz="4" w:space="0" w:color="auto"/>
            </w:tcBorders>
            <w:shd w:val="clear" w:color="auto" w:fill="auto"/>
            <w:vAlign w:val="bottom"/>
          </w:tcPr>
          <w:p w14:paraId="4DD65939" w14:textId="77777777" w:rsidR="00451F0E" w:rsidRDefault="00451F0E" w:rsidP="00451F0E">
            <w:pPr>
              <w:jc w:val="center"/>
              <w:rPr>
                <w:rFonts w:ascii="Arial" w:hAnsi="Arial" w:cs="Arial"/>
                <w:b/>
                <w:bCs/>
                <w:sz w:val="22"/>
                <w:szCs w:val="22"/>
              </w:rPr>
            </w:pPr>
            <w:r>
              <w:rPr>
                <w:rFonts w:ascii="Arial" w:hAnsi="Arial" w:cs="Arial"/>
                <w:b/>
                <w:bCs/>
                <w:sz w:val="22"/>
                <w:szCs w:val="22"/>
              </w:rPr>
              <w:t>FULL LNG</w:t>
            </w:r>
          </w:p>
        </w:tc>
        <w:tc>
          <w:tcPr>
            <w:tcW w:w="1752" w:type="dxa"/>
            <w:tcBorders>
              <w:top w:val="nil"/>
              <w:left w:val="nil"/>
              <w:bottom w:val="single" w:sz="4" w:space="0" w:color="auto"/>
              <w:right w:val="single" w:sz="4" w:space="0" w:color="auto"/>
            </w:tcBorders>
            <w:shd w:val="clear" w:color="auto" w:fill="auto"/>
            <w:vAlign w:val="bottom"/>
          </w:tcPr>
          <w:p w14:paraId="3329AF82" w14:textId="77777777" w:rsidR="00451F0E" w:rsidRDefault="00451F0E" w:rsidP="00F07011">
            <w:pPr>
              <w:jc w:val="center"/>
              <w:rPr>
                <w:rFonts w:ascii="Arial" w:hAnsi="Arial" w:cs="Arial"/>
                <w:b/>
                <w:bCs/>
                <w:sz w:val="22"/>
                <w:szCs w:val="22"/>
              </w:rPr>
            </w:pPr>
            <w:r>
              <w:rPr>
                <w:rFonts w:ascii="Arial" w:hAnsi="Arial" w:cs="Arial"/>
                <w:b/>
                <w:bCs/>
                <w:sz w:val="22"/>
                <w:szCs w:val="22"/>
              </w:rPr>
              <w:t>NO LNG</w:t>
            </w:r>
          </w:p>
        </w:tc>
        <w:tc>
          <w:tcPr>
            <w:tcW w:w="1800" w:type="dxa"/>
            <w:tcBorders>
              <w:top w:val="nil"/>
              <w:left w:val="nil"/>
              <w:bottom w:val="single" w:sz="4" w:space="0" w:color="auto"/>
              <w:right w:val="single" w:sz="4" w:space="0" w:color="auto"/>
            </w:tcBorders>
            <w:shd w:val="clear" w:color="auto" w:fill="auto"/>
            <w:vAlign w:val="bottom"/>
          </w:tcPr>
          <w:p w14:paraId="613ED2DC" w14:textId="77777777" w:rsidR="00451F0E" w:rsidRDefault="00451F0E" w:rsidP="00F07011">
            <w:pPr>
              <w:jc w:val="center"/>
              <w:rPr>
                <w:rFonts w:ascii="Arial" w:hAnsi="Arial" w:cs="Arial"/>
                <w:b/>
                <w:bCs/>
                <w:sz w:val="22"/>
                <w:szCs w:val="22"/>
              </w:rPr>
            </w:pPr>
            <w:r>
              <w:rPr>
                <w:rFonts w:ascii="Arial" w:hAnsi="Arial" w:cs="Arial"/>
                <w:b/>
                <w:bCs/>
                <w:sz w:val="22"/>
                <w:szCs w:val="22"/>
              </w:rPr>
              <w:t>(Benefit) / Cost of LNG</w:t>
            </w:r>
          </w:p>
        </w:tc>
      </w:tr>
      <w:tr w:rsidR="00451F0E" w14:paraId="546A1632"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3365402A" w14:textId="77777777" w:rsidR="00451F0E" w:rsidRDefault="00451F0E" w:rsidP="00451F0E">
            <w:pPr>
              <w:rPr>
                <w:rFonts w:ascii="Arial" w:hAnsi="Arial" w:cs="Arial"/>
                <w:b/>
                <w:bCs/>
                <w:sz w:val="20"/>
                <w:szCs w:val="20"/>
              </w:rPr>
            </w:pPr>
            <w:r>
              <w:rPr>
                <w:rFonts w:ascii="Arial" w:hAnsi="Arial" w:cs="Arial"/>
                <w:b/>
                <w:bCs/>
                <w:sz w:val="20"/>
                <w:szCs w:val="20"/>
              </w:rPr>
              <w:t>BASE</w:t>
            </w:r>
          </w:p>
        </w:tc>
        <w:tc>
          <w:tcPr>
            <w:tcW w:w="1772" w:type="dxa"/>
            <w:tcBorders>
              <w:top w:val="nil"/>
              <w:left w:val="nil"/>
              <w:bottom w:val="single" w:sz="4" w:space="0" w:color="auto"/>
              <w:right w:val="single" w:sz="4" w:space="0" w:color="auto"/>
            </w:tcBorders>
            <w:shd w:val="clear" w:color="auto" w:fill="auto"/>
            <w:vAlign w:val="bottom"/>
          </w:tcPr>
          <w:p w14:paraId="4E5B628C" w14:textId="77777777" w:rsidR="00451F0E" w:rsidRDefault="00451F0E" w:rsidP="00F07011">
            <w:pPr>
              <w:rPr>
                <w:rFonts w:ascii="Calibri" w:hAnsi="Calibri" w:hint="eastAsia"/>
                <w:color w:val="000000"/>
                <w:sz w:val="22"/>
                <w:szCs w:val="22"/>
              </w:rPr>
            </w:pPr>
            <w:r>
              <w:rPr>
                <w:rFonts w:ascii="Calibri" w:hAnsi="Calibri"/>
                <w:color w:val="000000"/>
                <w:sz w:val="22"/>
                <w:szCs w:val="22"/>
              </w:rPr>
              <w:t>$          9,366,925</w:t>
            </w:r>
          </w:p>
        </w:tc>
        <w:tc>
          <w:tcPr>
            <w:tcW w:w="1752" w:type="dxa"/>
            <w:tcBorders>
              <w:top w:val="nil"/>
              <w:left w:val="single" w:sz="4" w:space="0" w:color="auto"/>
              <w:bottom w:val="single" w:sz="4" w:space="0" w:color="auto"/>
              <w:right w:val="nil"/>
            </w:tcBorders>
            <w:shd w:val="clear" w:color="auto" w:fill="auto"/>
            <w:vAlign w:val="bottom"/>
          </w:tcPr>
          <w:p w14:paraId="22E08627" w14:textId="77777777" w:rsidR="00451F0E" w:rsidRDefault="00451F0E" w:rsidP="00F07011">
            <w:pPr>
              <w:rPr>
                <w:rFonts w:ascii="Calibri" w:hAnsi="Calibri" w:hint="eastAsia"/>
                <w:color w:val="000000"/>
                <w:sz w:val="22"/>
                <w:szCs w:val="22"/>
              </w:rPr>
            </w:pPr>
            <w:r>
              <w:rPr>
                <w:rFonts w:ascii="Calibri" w:hAnsi="Calibri"/>
                <w:color w:val="000000"/>
                <w:sz w:val="22"/>
                <w:szCs w:val="22"/>
              </w:rPr>
              <w:t>$          9,464,726</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1A875239" w14:textId="77777777" w:rsidR="00451F0E" w:rsidRDefault="00451F0E" w:rsidP="00F07011">
            <w:pPr>
              <w:rPr>
                <w:rFonts w:ascii="Calibri" w:hAnsi="Calibri" w:hint="eastAsia"/>
                <w:color w:val="000000"/>
                <w:sz w:val="22"/>
                <w:szCs w:val="22"/>
              </w:rPr>
            </w:pPr>
            <w:r>
              <w:rPr>
                <w:rFonts w:ascii="Calibri" w:hAnsi="Calibri"/>
                <w:color w:val="000000"/>
                <w:sz w:val="22"/>
                <w:szCs w:val="22"/>
              </w:rPr>
              <w:t>$              (97,801)</w:t>
            </w:r>
          </w:p>
        </w:tc>
      </w:tr>
      <w:tr w:rsidR="00451F0E" w14:paraId="432FCBE4"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04E24C91" w14:textId="77777777" w:rsidR="00451F0E" w:rsidRDefault="00451F0E" w:rsidP="00451F0E">
            <w:pPr>
              <w:rPr>
                <w:rFonts w:ascii="Arial" w:hAnsi="Arial" w:cs="Arial"/>
                <w:b/>
                <w:bCs/>
                <w:sz w:val="20"/>
                <w:szCs w:val="20"/>
              </w:rPr>
            </w:pPr>
            <w:r>
              <w:rPr>
                <w:rFonts w:ascii="Arial" w:hAnsi="Arial" w:cs="Arial"/>
                <w:b/>
                <w:bCs/>
                <w:sz w:val="20"/>
                <w:szCs w:val="20"/>
              </w:rPr>
              <w:t>LOW</w:t>
            </w:r>
          </w:p>
        </w:tc>
        <w:tc>
          <w:tcPr>
            <w:tcW w:w="1772" w:type="dxa"/>
            <w:tcBorders>
              <w:top w:val="nil"/>
              <w:left w:val="nil"/>
              <w:bottom w:val="single" w:sz="4" w:space="0" w:color="auto"/>
              <w:right w:val="single" w:sz="4" w:space="0" w:color="auto"/>
            </w:tcBorders>
            <w:shd w:val="clear" w:color="auto" w:fill="auto"/>
            <w:vAlign w:val="bottom"/>
          </w:tcPr>
          <w:p w14:paraId="78A00654" w14:textId="77777777" w:rsidR="00451F0E" w:rsidRDefault="00451F0E" w:rsidP="00F07011">
            <w:pPr>
              <w:rPr>
                <w:rFonts w:ascii="Calibri" w:hAnsi="Calibri" w:hint="eastAsia"/>
                <w:color w:val="000000"/>
                <w:sz w:val="22"/>
                <w:szCs w:val="22"/>
              </w:rPr>
            </w:pPr>
            <w:r>
              <w:rPr>
                <w:rFonts w:ascii="Calibri" w:hAnsi="Calibri"/>
                <w:color w:val="000000"/>
                <w:sz w:val="22"/>
                <w:szCs w:val="22"/>
              </w:rPr>
              <w:t>$          6,257,998</w:t>
            </w:r>
          </w:p>
        </w:tc>
        <w:tc>
          <w:tcPr>
            <w:tcW w:w="1752" w:type="dxa"/>
            <w:tcBorders>
              <w:top w:val="nil"/>
              <w:left w:val="single" w:sz="4" w:space="0" w:color="auto"/>
              <w:bottom w:val="single" w:sz="4" w:space="0" w:color="auto"/>
              <w:right w:val="nil"/>
            </w:tcBorders>
            <w:shd w:val="clear" w:color="auto" w:fill="auto"/>
            <w:vAlign w:val="bottom"/>
          </w:tcPr>
          <w:p w14:paraId="2E1FB270" w14:textId="77777777" w:rsidR="00451F0E" w:rsidRDefault="00451F0E" w:rsidP="00F07011">
            <w:pPr>
              <w:rPr>
                <w:rFonts w:ascii="Calibri" w:hAnsi="Calibri" w:hint="eastAsia"/>
                <w:color w:val="000000"/>
                <w:sz w:val="22"/>
                <w:szCs w:val="22"/>
              </w:rPr>
            </w:pPr>
            <w:r>
              <w:rPr>
                <w:rFonts w:ascii="Calibri" w:hAnsi="Calibri"/>
                <w:color w:val="000000"/>
                <w:sz w:val="22"/>
                <w:szCs w:val="22"/>
              </w:rPr>
              <w:t>$          6,294,659</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110D3826" w14:textId="77777777" w:rsidR="00451F0E" w:rsidRDefault="00451F0E" w:rsidP="00F07011">
            <w:pPr>
              <w:rPr>
                <w:rFonts w:ascii="Calibri" w:hAnsi="Calibri" w:hint="eastAsia"/>
                <w:color w:val="000000"/>
                <w:sz w:val="22"/>
                <w:szCs w:val="22"/>
              </w:rPr>
            </w:pPr>
            <w:r>
              <w:rPr>
                <w:rFonts w:ascii="Calibri" w:hAnsi="Calibri"/>
                <w:color w:val="000000"/>
                <w:sz w:val="22"/>
                <w:szCs w:val="22"/>
              </w:rPr>
              <w:t>$              (36,661)</w:t>
            </w:r>
          </w:p>
        </w:tc>
      </w:tr>
      <w:tr w:rsidR="00451F0E" w14:paraId="3466E74A"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1BADCB9D" w14:textId="77777777" w:rsidR="00451F0E" w:rsidRDefault="00451F0E" w:rsidP="00451F0E">
            <w:pPr>
              <w:rPr>
                <w:rFonts w:ascii="Arial" w:hAnsi="Arial" w:cs="Arial"/>
                <w:b/>
                <w:bCs/>
                <w:sz w:val="20"/>
                <w:szCs w:val="20"/>
              </w:rPr>
            </w:pPr>
            <w:r>
              <w:rPr>
                <w:rFonts w:ascii="Arial" w:hAnsi="Arial" w:cs="Arial"/>
                <w:b/>
                <w:bCs/>
                <w:sz w:val="20"/>
                <w:szCs w:val="20"/>
              </w:rPr>
              <w:t>HIGH</w:t>
            </w:r>
          </w:p>
        </w:tc>
        <w:tc>
          <w:tcPr>
            <w:tcW w:w="1772" w:type="dxa"/>
            <w:tcBorders>
              <w:top w:val="nil"/>
              <w:left w:val="nil"/>
              <w:bottom w:val="single" w:sz="4" w:space="0" w:color="auto"/>
              <w:right w:val="single" w:sz="4" w:space="0" w:color="auto"/>
            </w:tcBorders>
            <w:shd w:val="clear" w:color="auto" w:fill="auto"/>
            <w:vAlign w:val="bottom"/>
          </w:tcPr>
          <w:p w14:paraId="7568FB15" w14:textId="77777777" w:rsidR="00451F0E" w:rsidRDefault="00451F0E" w:rsidP="00F07011">
            <w:pPr>
              <w:rPr>
                <w:rFonts w:ascii="Calibri" w:hAnsi="Calibri" w:hint="eastAsia"/>
                <w:color w:val="000000"/>
                <w:sz w:val="22"/>
                <w:szCs w:val="22"/>
              </w:rPr>
            </w:pPr>
            <w:r>
              <w:rPr>
                <w:rFonts w:ascii="Calibri" w:hAnsi="Calibri"/>
                <w:color w:val="000000"/>
                <w:sz w:val="22"/>
                <w:szCs w:val="22"/>
              </w:rPr>
              <w:t>$        12,963,307</w:t>
            </w:r>
          </w:p>
        </w:tc>
        <w:tc>
          <w:tcPr>
            <w:tcW w:w="1752" w:type="dxa"/>
            <w:tcBorders>
              <w:top w:val="nil"/>
              <w:left w:val="single" w:sz="4" w:space="0" w:color="auto"/>
              <w:bottom w:val="single" w:sz="4" w:space="0" w:color="auto"/>
              <w:right w:val="nil"/>
            </w:tcBorders>
            <w:shd w:val="clear" w:color="auto" w:fill="auto"/>
            <w:vAlign w:val="bottom"/>
          </w:tcPr>
          <w:p w14:paraId="5775458B" w14:textId="77777777" w:rsidR="00451F0E" w:rsidRDefault="00451F0E" w:rsidP="00F07011">
            <w:pPr>
              <w:rPr>
                <w:rFonts w:ascii="Calibri" w:hAnsi="Calibri" w:hint="eastAsia"/>
                <w:color w:val="000000"/>
                <w:sz w:val="22"/>
                <w:szCs w:val="22"/>
              </w:rPr>
            </w:pPr>
            <w:r>
              <w:rPr>
                <w:rFonts w:ascii="Calibri" w:hAnsi="Calibri"/>
                <w:color w:val="000000"/>
                <w:sz w:val="22"/>
                <w:szCs w:val="22"/>
              </w:rPr>
              <w:t>$        13,052,452</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48F9DB82" w14:textId="77777777" w:rsidR="00451F0E" w:rsidRDefault="00451F0E" w:rsidP="00F07011">
            <w:pPr>
              <w:rPr>
                <w:rFonts w:ascii="Calibri" w:hAnsi="Calibri" w:hint="eastAsia"/>
                <w:color w:val="000000"/>
                <w:sz w:val="22"/>
                <w:szCs w:val="22"/>
              </w:rPr>
            </w:pPr>
            <w:r>
              <w:rPr>
                <w:rFonts w:ascii="Calibri" w:hAnsi="Calibri"/>
                <w:color w:val="000000"/>
                <w:sz w:val="22"/>
                <w:szCs w:val="22"/>
              </w:rPr>
              <w:t>$              (89,146)</w:t>
            </w:r>
          </w:p>
        </w:tc>
      </w:tr>
      <w:tr w:rsidR="00451F0E" w14:paraId="6DD7B197"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6AC3CC49" w14:textId="77777777" w:rsidR="00451F0E" w:rsidRDefault="00451F0E" w:rsidP="00451F0E">
            <w:pPr>
              <w:rPr>
                <w:rFonts w:ascii="Arial" w:hAnsi="Arial" w:cs="Arial"/>
                <w:b/>
                <w:bCs/>
                <w:sz w:val="20"/>
                <w:szCs w:val="20"/>
              </w:rPr>
            </w:pPr>
            <w:r>
              <w:rPr>
                <w:rFonts w:ascii="Arial" w:hAnsi="Arial" w:cs="Arial"/>
                <w:b/>
                <w:bCs/>
                <w:sz w:val="20"/>
                <w:szCs w:val="20"/>
              </w:rPr>
              <w:t>BASE + LOW GAS</w:t>
            </w:r>
          </w:p>
        </w:tc>
        <w:tc>
          <w:tcPr>
            <w:tcW w:w="1772" w:type="dxa"/>
            <w:tcBorders>
              <w:top w:val="nil"/>
              <w:left w:val="nil"/>
              <w:bottom w:val="single" w:sz="4" w:space="0" w:color="auto"/>
              <w:right w:val="single" w:sz="4" w:space="0" w:color="auto"/>
            </w:tcBorders>
            <w:shd w:val="clear" w:color="auto" w:fill="auto"/>
            <w:vAlign w:val="bottom"/>
          </w:tcPr>
          <w:p w14:paraId="7480F484" w14:textId="77777777" w:rsidR="00451F0E" w:rsidRDefault="00451F0E" w:rsidP="00F07011">
            <w:pPr>
              <w:rPr>
                <w:rFonts w:ascii="Calibri" w:hAnsi="Calibri" w:hint="eastAsia"/>
                <w:color w:val="000000"/>
                <w:sz w:val="22"/>
                <w:szCs w:val="22"/>
              </w:rPr>
            </w:pPr>
            <w:r>
              <w:rPr>
                <w:rFonts w:ascii="Calibri" w:hAnsi="Calibri"/>
                <w:color w:val="000000"/>
                <w:sz w:val="22"/>
                <w:szCs w:val="22"/>
              </w:rPr>
              <w:t>$          8,212,622</w:t>
            </w:r>
          </w:p>
        </w:tc>
        <w:tc>
          <w:tcPr>
            <w:tcW w:w="1752" w:type="dxa"/>
            <w:tcBorders>
              <w:top w:val="nil"/>
              <w:left w:val="single" w:sz="4" w:space="0" w:color="auto"/>
              <w:bottom w:val="single" w:sz="4" w:space="0" w:color="auto"/>
              <w:right w:val="nil"/>
            </w:tcBorders>
            <w:shd w:val="clear" w:color="auto" w:fill="auto"/>
            <w:vAlign w:val="bottom"/>
          </w:tcPr>
          <w:p w14:paraId="123170A7" w14:textId="77777777" w:rsidR="00451F0E" w:rsidRDefault="00451F0E" w:rsidP="00F07011">
            <w:pPr>
              <w:rPr>
                <w:rFonts w:ascii="Calibri" w:hAnsi="Calibri" w:hint="eastAsia"/>
                <w:color w:val="000000"/>
                <w:sz w:val="22"/>
                <w:szCs w:val="22"/>
              </w:rPr>
            </w:pPr>
            <w:r>
              <w:rPr>
                <w:rFonts w:ascii="Calibri" w:hAnsi="Calibri"/>
                <w:color w:val="000000"/>
                <w:sz w:val="22"/>
                <w:szCs w:val="22"/>
              </w:rPr>
              <w:t>$          8,263,903</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DBB8486" w14:textId="77777777" w:rsidR="00451F0E" w:rsidRDefault="00451F0E" w:rsidP="00F07011">
            <w:pPr>
              <w:rPr>
                <w:rFonts w:ascii="Calibri" w:hAnsi="Calibri" w:hint="eastAsia"/>
                <w:color w:val="000000"/>
                <w:sz w:val="22"/>
                <w:szCs w:val="22"/>
              </w:rPr>
            </w:pPr>
            <w:r>
              <w:rPr>
                <w:rFonts w:ascii="Calibri" w:hAnsi="Calibri"/>
                <w:color w:val="000000"/>
                <w:sz w:val="22"/>
                <w:szCs w:val="22"/>
              </w:rPr>
              <w:t>$              (51,281)</w:t>
            </w:r>
          </w:p>
        </w:tc>
      </w:tr>
      <w:tr w:rsidR="00451F0E" w14:paraId="2A6BFC6F"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06C4CE71" w14:textId="77777777" w:rsidR="00451F0E" w:rsidRDefault="00451F0E" w:rsidP="00451F0E">
            <w:pPr>
              <w:rPr>
                <w:rFonts w:ascii="Arial" w:hAnsi="Arial" w:cs="Arial"/>
                <w:b/>
                <w:bCs/>
                <w:sz w:val="20"/>
                <w:szCs w:val="20"/>
              </w:rPr>
            </w:pPr>
            <w:r>
              <w:rPr>
                <w:rFonts w:ascii="Arial" w:hAnsi="Arial" w:cs="Arial"/>
                <w:b/>
                <w:bCs/>
                <w:sz w:val="20"/>
                <w:szCs w:val="20"/>
              </w:rPr>
              <w:t>BASE + HIGH GAS</w:t>
            </w:r>
          </w:p>
        </w:tc>
        <w:tc>
          <w:tcPr>
            <w:tcW w:w="1772" w:type="dxa"/>
            <w:tcBorders>
              <w:top w:val="nil"/>
              <w:left w:val="nil"/>
              <w:bottom w:val="single" w:sz="4" w:space="0" w:color="auto"/>
              <w:right w:val="single" w:sz="4" w:space="0" w:color="auto"/>
            </w:tcBorders>
            <w:shd w:val="clear" w:color="auto" w:fill="auto"/>
            <w:vAlign w:val="bottom"/>
          </w:tcPr>
          <w:p w14:paraId="47307DC5" w14:textId="77777777" w:rsidR="00451F0E" w:rsidRDefault="00451F0E" w:rsidP="00F07011">
            <w:pPr>
              <w:rPr>
                <w:rFonts w:ascii="Calibri" w:hAnsi="Calibri" w:hint="eastAsia"/>
                <w:color w:val="000000"/>
                <w:sz w:val="22"/>
                <w:szCs w:val="22"/>
              </w:rPr>
            </w:pPr>
            <w:r>
              <w:rPr>
                <w:rFonts w:ascii="Calibri" w:hAnsi="Calibri"/>
                <w:color w:val="000000"/>
                <w:sz w:val="22"/>
                <w:szCs w:val="22"/>
              </w:rPr>
              <w:t>$        10,719,839</w:t>
            </w:r>
          </w:p>
        </w:tc>
        <w:tc>
          <w:tcPr>
            <w:tcW w:w="1752" w:type="dxa"/>
            <w:tcBorders>
              <w:top w:val="nil"/>
              <w:left w:val="single" w:sz="4" w:space="0" w:color="auto"/>
              <w:bottom w:val="single" w:sz="4" w:space="0" w:color="auto"/>
              <w:right w:val="nil"/>
            </w:tcBorders>
            <w:shd w:val="clear" w:color="auto" w:fill="auto"/>
            <w:vAlign w:val="bottom"/>
          </w:tcPr>
          <w:p w14:paraId="2A55DBAA" w14:textId="77777777" w:rsidR="00451F0E" w:rsidRDefault="00451F0E" w:rsidP="00F07011">
            <w:pPr>
              <w:rPr>
                <w:rFonts w:ascii="Calibri" w:hAnsi="Calibri" w:hint="eastAsia"/>
                <w:color w:val="000000"/>
                <w:sz w:val="22"/>
                <w:szCs w:val="22"/>
              </w:rPr>
            </w:pPr>
            <w:r>
              <w:rPr>
                <w:rFonts w:ascii="Calibri" w:hAnsi="Calibri"/>
                <w:color w:val="000000"/>
                <w:sz w:val="22"/>
                <w:szCs w:val="22"/>
              </w:rPr>
              <w:t>$        10,823,632</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3AD8CE38" w14:textId="77777777" w:rsidR="00451F0E" w:rsidRDefault="00451F0E" w:rsidP="00F07011">
            <w:pPr>
              <w:rPr>
                <w:rFonts w:ascii="Calibri" w:hAnsi="Calibri" w:hint="eastAsia"/>
                <w:color w:val="000000"/>
                <w:sz w:val="22"/>
                <w:szCs w:val="22"/>
              </w:rPr>
            </w:pPr>
            <w:r>
              <w:rPr>
                <w:rFonts w:ascii="Calibri" w:hAnsi="Calibri"/>
                <w:color w:val="000000"/>
                <w:sz w:val="22"/>
                <w:szCs w:val="22"/>
              </w:rPr>
              <w:t>$            (103,794)</w:t>
            </w:r>
          </w:p>
        </w:tc>
      </w:tr>
      <w:tr w:rsidR="00451F0E" w14:paraId="028E4F2E"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0BBFE9BF" w14:textId="77777777" w:rsidR="00451F0E" w:rsidRDefault="00451F0E" w:rsidP="00451F0E">
            <w:pPr>
              <w:rPr>
                <w:rFonts w:ascii="Arial" w:hAnsi="Arial" w:cs="Arial"/>
                <w:b/>
                <w:bCs/>
                <w:sz w:val="20"/>
                <w:szCs w:val="20"/>
              </w:rPr>
            </w:pPr>
            <w:r>
              <w:rPr>
                <w:rFonts w:ascii="Arial" w:hAnsi="Arial" w:cs="Arial"/>
                <w:b/>
                <w:bCs/>
                <w:sz w:val="20"/>
                <w:szCs w:val="20"/>
              </w:rPr>
              <w:t>BASE+VERY HIGH GAS</w:t>
            </w:r>
          </w:p>
        </w:tc>
        <w:tc>
          <w:tcPr>
            <w:tcW w:w="1772" w:type="dxa"/>
            <w:tcBorders>
              <w:top w:val="nil"/>
              <w:left w:val="nil"/>
              <w:bottom w:val="single" w:sz="4" w:space="0" w:color="auto"/>
              <w:right w:val="single" w:sz="4" w:space="0" w:color="auto"/>
            </w:tcBorders>
            <w:shd w:val="clear" w:color="auto" w:fill="auto"/>
            <w:vAlign w:val="bottom"/>
          </w:tcPr>
          <w:p w14:paraId="5C76F96F" w14:textId="77777777" w:rsidR="00451F0E" w:rsidRDefault="00451F0E" w:rsidP="00F07011">
            <w:pPr>
              <w:rPr>
                <w:rFonts w:ascii="Calibri" w:hAnsi="Calibri" w:hint="eastAsia"/>
                <w:color w:val="000000"/>
                <w:sz w:val="22"/>
                <w:szCs w:val="22"/>
              </w:rPr>
            </w:pPr>
            <w:r>
              <w:rPr>
                <w:rFonts w:ascii="Calibri" w:hAnsi="Calibri"/>
                <w:color w:val="000000"/>
                <w:sz w:val="22"/>
                <w:szCs w:val="22"/>
              </w:rPr>
              <w:t>$        11,906,047</w:t>
            </w:r>
          </w:p>
        </w:tc>
        <w:tc>
          <w:tcPr>
            <w:tcW w:w="1752" w:type="dxa"/>
            <w:tcBorders>
              <w:top w:val="nil"/>
              <w:left w:val="single" w:sz="4" w:space="0" w:color="auto"/>
              <w:bottom w:val="single" w:sz="4" w:space="0" w:color="auto"/>
              <w:right w:val="nil"/>
            </w:tcBorders>
            <w:shd w:val="clear" w:color="auto" w:fill="auto"/>
            <w:vAlign w:val="bottom"/>
          </w:tcPr>
          <w:p w14:paraId="5B4C083D" w14:textId="77777777" w:rsidR="00451F0E" w:rsidRDefault="00451F0E" w:rsidP="00F07011">
            <w:pPr>
              <w:rPr>
                <w:rFonts w:ascii="Calibri" w:hAnsi="Calibri" w:hint="eastAsia"/>
                <w:color w:val="000000"/>
                <w:sz w:val="22"/>
                <w:szCs w:val="22"/>
              </w:rPr>
            </w:pPr>
            <w:r>
              <w:rPr>
                <w:rFonts w:ascii="Calibri" w:hAnsi="Calibri"/>
                <w:color w:val="000000"/>
                <w:sz w:val="22"/>
                <w:szCs w:val="22"/>
              </w:rPr>
              <w:t>$        11,994,805</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EE5021A" w14:textId="77777777" w:rsidR="00451F0E" w:rsidRDefault="00451F0E" w:rsidP="00F07011">
            <w:pPr>
              <w:rPr>
                <w:rFonts w:ascii="Calibri" w:hAnsi="Calibri" w:hint="eastAsia"/>
                <w:color w:val="000000"/>
                <w:sz w:val="22"/>
                <w:szCs w:val="22"/>
              </w:rPr>
            </w:pPr>
            <w:r>
              <w:rPr>
                <w:rFonts w:ascii="Calibri" w:hAnsi="Calibri"/>
                <w:color w:val="000000"/>
                <w:sz w:val="22"/>
                <w:szCs w:val="22"/>
              </w:rPr>
              <w:t>$              (88,758)</w:t>
            </w:r>
          </w:p>
        </w:tc>
      </w:tr>
      <w:tr w:rsidR="00451F0E" w14:paraId="22E3F49A"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28803FE0" w14:textId="77777777" w:rsidR="00451F0E" w:rsidRDefault="00451F0E" w:rsidP="00451F0E">
            <w:pPr>
              <w:rPr>
                <w:rFonts w:ascii="Arial" w:hAnsi="Arial" w:cs="Arial"/>
                <w:b/>
                <w:bCs/>
                <w:sz w:val="20"/>
                <w:szCs w:val="20"/>
              </w:rPr>
            </w:pPr>
            <w:r>
              <w:rPr>
                <w:rFonts w:ascii="Arial" w:hAnsi="Arial" w:cs="Arial"/>
                <w:b/>
                <w:bCs/>
                <w:sz w:val="20"/>
                <w:szCs w:val="20"/>
              </w:rPr>
              <w:t>BASE+NO CO2</w:t>
            </w:r>
          </w:p>
        </w:tc>
        <w:tc>
          <w:tcPr>
            <w:tcW w:w="1772" w:type="dxa"/>
            <w:tcBorders>
              <w:top w:val="nil"/>
              <w:left w:val="nil"/>
              <w:bottom w:val="single" w:sz="4" w:space="0" w:color="auto"/>
              <w:right w:val="single" w:sz="4" w:space="0" w:color="auto"/>
            </w:tcBorders>
            <w:shd w:val="clear" w:color="auto" w:fill="auto"/>
            <w:vAlign w:val="bottom"/>
          </w:tcPr>
          <w:p w14:paraId="5B1F35A3" w14:textId="77777777" w:rsidR="00451F0E" w:rsidRDefault="00451F0E" w:rsidP="00F07011">
            <w:pPr>
              <w:rPr>
                <w:rFonts w:ascii="Calibri" w:hAnsi="Calibri" w:hint="eastAsia"/>
                <w:color w:val="000000"/>
                <w:sz w:val="22"/>
                <w:szCs w:val="22"/>
              </w:rPr>
            </w:pPr>
            <w:r>
              <w:rPr>
                <w:rFonts w:ascii="Calibri" w:hAnsi="Calibri"/>
                <w:color w:val="000000"/>
                <w:sz w:val="22"/>
                <w:szCs w:val="22"/>
              </w:rPr>
              <w:t>$          7,775,728</w:t>
            </w:r>
          </w:p>
        </w:tc>
        <w:tc>
          <w:tcPr>
            <w:tcW w:w="1752" w:type="dxa"/>
            <w:tcBorders>
              <w:top w:val="nil"/>
              <w:left w:val="single" w:sz="4" w:space="0" w:color="auto"/>
              <w:bottom w:val="single" w:sz="4" w:space="0" w:color="auto"/>
              <w:right w:val="nil"/>
            </w:tcBorders>
            <w:shd w:val="clear" w:color="auto" w:fill="auto"/>
            <w:vAlign w:val="bottom"/>
          </w:tcPr>
          <w:p w14:paraId="5759A713" w14:textId="77777777" w:rsidR="00451F0E" w:rsidRDefault="00451F0E" w:rsidP="00F07011">
            <w:pPr>
              <w:rPr>
                <w:rFonts w:ascii="Calibri" w:hAnsi="Calibri" w:hint="eastAsia"/>
                <w:color w:val="000000"/>
                <w:sz w:val="22"/>
                <w:szCs w:val="22"/>
              </w:rPr>
            </w:pPr>
            <w:r>
              <w:rPr>
                <w:rFonts w:ascii="Calibri" w:hAnsi="Calibri"/>
                <w:color w:val="000000"/>
                <w:sz w:val="22"/>
                <w:szCs w:val="22"/>
              </w:rPr>
              <w:t>$          7,846,172</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256B5D38" w14:textId="77777777" w:rsidR="00451F0E" w:rsidRDefault="00451F0E" w:rsidP="00F07011">
            <w:pPr>
              <w:rPr>
                <w:rFonts w:ascii="Calibri" w:hAnsi="Calibri" w:hint="eastAsia"/>
                <w:color w:val="000000"/>
                <w:sz w:val="22"/>
                <w:szCs w:val="22"/>
              </w:rPr>
            </w:pPr>
            <w:r>
              <w:rPr>
                <w:rFonts w:ascii="Calibri" w:hAnsi="Calibri"/>
                <w:color w:val="000000"/>
                <w:sz w:val="22"/>
                <w:szCs w:val="22"/>
              </w:rPr>
              <w:t>$              (70,444)</w:t>
            </w:r>
          </w:p>
        </w:tc>
      </w:tr>
      <w:tr w:rsidR="00451F0E" w14:paraId="4D9E4EB8"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1E2B87D2" w14:textId="77777777" w:rsidR="00451F0E" w:rsidRDefault="00451F0E" w:rsidP="00451F0E">
            <w:pPr>
              <w:rPr>
                <w:rFonts w:ascii="Arial" w:hAnsi="Arial" w:cs="Arial"/>
                <w:b/>
                <w:bCs/>
                <w:sz w:val="20"/>
                <w:szCs w:val="20"/>
              </w:rPr>
            </w:pPr>
            <w:r>
              <w:rPr>
                <w:rFonts w:ascii="Arial" w:hAnsi="Arial" w:cs="Arial"/>
                <w:b/>
                <w:bCs/>
                <w:sz w:val="20"/>
                <w:szCs w:val="20"/>
              </w:rPr>
              <w:t>BASE+HIGH CO2</w:t>
            </w:r>
          </w:p>
        </w:tc>
        <w:tc>
          <w:tcPr>
            <w:tcW w:w="1772" w:type="dxa"/>
            <w:tcBorders>
              <w:top w:val="nil"/>
              <w:left w:val="nil"/>
              <w:bottom w:val="single" w:sz="4" w:space="0" w:color="auto"/>
              <w:right w:val="single" w:sz="4" w:space="0" w:color="auto"/>
            </w:tcBorders>
            <w:shd w:val="clear" w:color="auto" w:fill="auto"/>
            <w:vAlign w:val="bottom"/>
          </w:tcPr>
          <w:p w14:paraId="07064EE5" w14:textId="77777777" w:rsidR="00451F0E" w:rsidRDefault="00451F0E" w:rsidP="00F07011">
            <w:pPr>
              <w:rPr>
                <w:rFonts w:ascii="Calibri" w:hAnsi="Calibri" w:hint="eastAsia"/>
                <w:color w:val="000000"/>
                <w:sz w:val="22"/>
                <w:szCs w:val="22"/>
              </w:rPr>
            </w:pPr>
            <w:r>
              <w:rPr>
                <w:rFonts w:ascii="Calibri" w:hAnsi="Calibri"/>
                <w:color w:val="000000"/>
                <w:sz w:val="22"/>
                <w:szCs w:val="22"/>
              </w:rPr>
              <w:t>$        10,465,655</w:t>
            </w:r>
          </w:p>
        </w:tc>
        <w:tc>
          <w:tcPr>
            <w:tcW w:w="1752" w:type="dxa"/>
            <w:tcBorders>
              <w:top w:val="nil"/>
              <w:left w:val="single" w:sz="4" w:space="0" w:color="auto"/>
              <w:bottom w:val="single" w:sz="4" w:space="0" w:color="auto"/>
              <w:right w:val="nil"/>
            </w:tcBorders>
            <w:shd w:val="clear" w:color="auto" w:fill="auto"/>
            <w:vAlign w:val="bottom"/>
          </w:tcPr>
          <w:p w14:paraId="180D653C" w14:textId="77777777" w:rsidR="00451F0E" w:rsidRDefault="00451F0E" w:rsidP="00F07011">
            <w:pPr>
              <w:rPr>
                <w:rFonts w:ascii="Calibri" w:hAnsi="Calibri" w:hint="eastAsia"/>
                <w:color w:val="000000"/>
                <w:sz w:val="22"/>
                <w:szCs w:val="22"/>
              </w:rPr>
            </w:pPr>
            <w:r>
              <w:rPr>
                <w:rFonts w:ascii="Calibri" w:hAnsi="Calibri"/>
                <w:color w:val="000000"/>
                <w:sz w:val="22"/>
                <w:szCs w:val="22"/>
              </w:rPr>
              <w:t>$        10,565,404</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54F1718F" w14:textId="77777777" w:rsidR="00451F0E" w:rsidRDefault="00451F0E" w:rsidP="00F07011">
            <w:pPr>
              <w:rPr>
                <w:rFonts w:ascii="Calibri" w:hAnsi="Calibri" w:hint="eastAsia"/>
                <w:color w:val="000000"/>
                <w:sz w:val="22"/>
                <w:szCs w:val="22"/>
              </w:rPr>
            </w:pPr>
            <w:r>
              <w:rPr>
                <w:rFonts w:ascii="Calibri" w:hAnsi="Calibri"/>
                <w:color w:val="000000"/>
                <w:sz w:val="22"/>
                <w:szCs w:val="22"/>
              </w:rPr>
              <w:t>$              (99,748)</w:t>
            </w:r>
          </w:p>
        </w:tc>
      </w:tr>
      <w:tr w:rsidR="00451F0E" w14:paraId="02288077"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4D3EC588" w14:textId="77777777" w:rsidR="00451F0E" w:rsidRDefault="00451F0E" w:rsidP="00451F0E">
            <w:pPr>
              <w:rPr>
                <w:rFonts w:ascii="Arial" w:hAnsi="Arial" w:cs="Arial"/>
                <w:b/>
                <w:bCs/>
                <w:sz w:val="20"/>
                <w:szCs w:val="20"/>
              </w:rPr>
            </w:pPr>
            <w:r>
              <w:rPr>
                <w:rFonts w:ascii="Arial" w:hAnsi="Arial" w:cs="Arial"/>
                <w:b/>
                <w:bCs/>
                <w:sz w:val="20"/>
                <w:szCs w:val="20"/>
              </w:rPr>
              <w:t>BASE+LOW DEMAND</w:t>
            </w:r>
          </w:p>
        </w:tc>
        <w:tc>
          <w:tcPr>
            <w:tcW w:w="1772" w:type="dxa"/>
            <w:tcBorders>
              <w:top w:val="nil"/>
              <w:left w:val="nil"/>
              <w:bottom w:val="single" w:sz="4" w:space="0" w:color="auto"/>
              <w:right w:val="single" w:sz="4" w:space="0" w:color="auto"/>
            </w:tcBorders>
            <w:shd w:val="clear" w:color="auto" w:fill="auto"/>
            <w:vAlign w:val="bottom"/>
          </w:tcPr>
          <w:p w14:paraId="7C2CC054" w14:textId="77777777" w:rsidR="00451F0E" w:rsidRDefault="00451F0E" w:rsidP="00F07011">
            <w:pPr>
              <w:rPr>
                <w:rFonts w:ascii="Calibri" w:hAnsi="Calibri" w:hint="eastAsia"/>
                <w:color w:val="000000"/>
                <w:sz w:val="22"/>
                <w:szCs w:val="22"/>
              </w:rPr>
            </w:pPr>
            <w:r>
              <w:rPr>
                <w:rFonts w:ascii="Calibri" w:hAnsi="Calibri"/>
                <w:color w:val="000000"/>
                <w:sz w:val="22"/>
                <w:szCs w:val="22"/>
              </w:rPr>
              <w:t>$          9,031,721</w:t>
            </w:r>
          </w:p>
        </w:tc>
        <w:tc>
          <w:tcPr>
            <w:tcW w:w="1752" w:type="dxa"/>
            <w:tcBorders>
              <w:top w:val="nil"/>
              <w:left w:val="single" w:sz="4" w:space="0" w:color="auto"/>
              <w:bottom w:val="single" w:sz="4" w:space="0" w:color="auto"/>
              <w:right w:val="nil"/>
            </w:tcBorders>
            <w:shd w:val="clear" w:color="auto" w:fill="auto"/>
            <w:vAlign w:val="bottom"/>
          </w:tcPr>
          <w:p w14:paraId="5BDB531F" w14:textId="77777777" w:rsidR="00451F0E" w:rsidRDefault="00451F0E" w:rsidP="00F07011">
            <w:pPr>
              <w:rPr>
                <w:rFonts w:ascii="Calibri" w:hAnsi="Calibri" w:hint="eastAsia"/>
                <w:color w:val="000000"/>
                <w:sz w:val="22"/>
                <w:szCs w:val="22"/>
              </w:rPr>
            </w:pPr>
            <w:r>
              <w:rPr>
                <w:rFonts w:ascii="Calibri" w:hAnsi="Calibri"/>
                <w:color w:val="000000"/>
                <w:sz w:val="22"/>
                <w:szCs w:val="22"/>
              </w:rPr>
              <w:t>$          9,040,101</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810A8CD" w14:textId="77777777" w:rsidR="00451F0E" w:rsidRDefault="00451F0E" w:rsidP="00F07011">
            <w:pPr>
              <w:rPr>
                <w:rFonts w:ascii="Calibri" w:hAnsi="Calibri" w:hint="eastAsia"/>
                <w:color w:val="000000"/>
                <w:sz w:val="22"/>
                <w:szCs w:val="22"/>
              </w:rPr>
            </w:pPr>
            <w:r>
              <w:rPr>
                <w:rFonts w:ascii="Calibri" w:hAnsi="Calibri"/>
                <w:color w:val="000000"/>
                <w:sz w:val="22"/>
                <w:szCs w:val="22"/>
              </w:rPr>
              <w:t>$                (8,379)</w:t>
            </w:r>
          </w:p>
        </w:tc>
      </w:tr>
      <w:tr w:rsidR="00451F0E" w14:paraId="0D4662C8" w14:textId="77777777">
        <w:trPr>
          <w:trHeight w:val="341"/>
        </w:trPr>
        <w:tc>
          <w:tcPr>
            <w:tcW w:w="0" w:type="auto"/>
            <w:tcBorders>
              <w:top w:val="nil"/>
              <w:left w:val="single" w:sz="4" w:space="0" w:color="auto"/>
              <w:bottom w:val="single" w:sz="4" w:space="0" w:color="auto"/>
              <w:right w:val="single" w:sz="4" w:space="0" w:color="auto"/>
            </w:tcBorders>
            <w:shd w:val="clear" w:color="auto" w:fill="auto"/>
            <w:noWrap/>
            <w:vAlign w:val="bottom"/>
          </w:tcPr>
          <w:p w14:paraId="66D50D5A" w14:textId="77777777" w:rsidR="00451F0E" w:rsidRDefault="00451F0E" w:rsidP="00451F0E">
            <w:pPr>
              <w:rPr>
                <w:rFonts w:ascii="Arial" w:hAnsi="Arial" w:cs="Arial"/>
                <w:b/>
                <w:bCs/>
                <w:sz w:val="20"/>
                <w:szCs w:val="20"/>
              </w:rPr>
            </w:pPr>
            <w:r>
              <w:rPr>
                <w:rFonts w:ascii="Arial" w:hAnsi="Arial" w:cs="Arial"/>
                <w:b/>
                <w:bCs/>
                <w:sz w:val="20"/>
                <w:szCs w:val="20"/>
              </w:rPr>
              <w:t>BASE+HIGH DEMAND</w:t>
            </w:r>
          </w:p>
        </w:tc>
        <w:tc>
          <w:tcPr>
            <w:tcW w:w="1772" w:type="dxa"/>
            <w:tcBorders>
              <w:top w:val="nil"/>
              <w:left w:val="nil"/>
              <w:bottom w:val="single" w:sz="4" w:space="0" w:color="auto"/>
              <w:right w:val="single" w:sz="4" w:space="0" w:color="auto"/>
            </w:tcBorders>
            <w:shd w:val="clear" w:color="auto" w:fill="auto"/>
            <w:vAlign w:val="bottom"/>
          </w:tcPr>
          <w:p w14:paraId="166E116A" w14:textId="77777777" w:rsidR="00451F0E" w:rsidRDefault="00451F0E" w:rsidP="00F07011">
            <w:pPr>
              <w:rPr>
                <w:rFonts w:ascii="Calibri" w:hAnsi="Calibri" w:hint="eastAsia"/>
                <w:color w:val="000000"/>
                <w:sz w:val="22"/>
                <w:szCs w:val="22"/>
              </w:rPr>
            </w:pPr>
            <w:r>
              <w:rPr>
                <w:rFonts w:ascii="Calibri" w:hAnsi="Calibri"/>
                <w:color w:val="000000"/>
                <w:sz w:val="22"/>
                <w:szCs w:val="22"/>
              </w:rPr>
              <w:t>$        10,450,532</w:t>
            </w:r>
          </w:p>
        </w:tc>
        <w:tc>
          <w:tcPr>
            <w:tcW w:w="1752" w:type="dxa"/>
            <w:tcBorders>
              <w:top w:val="nil"/>
              <w:left w:val="single" w:sz="4" w:space="0" w:color="auto"/>
              <w:bottom w:val="single" w:sz="4" w:space="0" w:color="auto"/>
              <w:right w:val="nil"/>
            </w:tcBorders>
            <w:shd w:val="clear" w:color="auto" w:fill="auto"/>
            <w:vAlign w:val="bottom"/>
          </w:tcPr>
          <w:p w14:paraId="179EC037" w14:textId="77777777" w:rsidR="00451F0E" w:rsidRDefault="00451F0E" w:rsidP="00F07011">
            <w:pPr>
              <w:rPr>
                <w:rFonts w:ascii="Calibri" w:hAnsi="Calibri" w:hint="eastAsia"/>
                <w:color w:val="000000"/>
                <w:sz w:val="22"/>
                <w:szCs w:val="22"/>
              </w:rPr>
            </w:pPr>
            <w:r>
              <w:rPr>
                <w:rFonts w:ascii="Calibri" w:hAnsi="Calibri"/>
                <w:color w:val="000000"/>
                <w:sz w:val="22"/>
                <w:szCs w:val="22"/>
              </w:rPr>
              <w:t>$        10,550,911</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4040B401" w14:textId="77777777" w:rsidR="00451F0E" w:rsidRDefault="00451F0E" w:rsidP="00F07011">
            <w:pPr>
              <w:rPr>
                <w:rFonts w:ascii="Calibri" w:hAnsi="Calibri" w:hint="eastAsia"/>
                <w:color w:val="000000"/>
                <w:sz w:val="22"/>
                <w:szCs w:val="22"/>
              </w:rPr>
            </w:pPr>
            <w:r>
              <w:rPr>
                <w:rFonts w:ascii="Calibri" w:hAnsi="Calibri"/>
                <w:color w:val="000000"/>
                <w:sz w:val="22"/>
                <w:szCs w:val="22"/>
              </w:rPr>
              <w:t>$            (100,379)</w:t>
            </w:r>
          </w:p>
        </w:tc>
      </w:tr>
    </w:tbl>
    <w:p w14:paraId="60485305" w14:textId="77777777" w:rsidR="000169DE" w:rsidRDefault="000169DE" w:rsidP="00451F0E">
      <w:pPr>
        <w:pStyle w:val="IRPsanstext"/>
      </w:pPr>
    </w:p>
    <w:p w14:paraId="51A5C1C7" w14:textId="77777777" w:rsidR="008A1B61" w:rsidRDefault="008A1B61" w:rsidP="008A1B61">
      <w:pPr>
        <w:pStyle w:val="IRPsanstext"/>
        <w:rPr>
          <w:b/>
          <w:color w:val="006C71"/>
          <w:sz w:val="28"/>
        </w:rPr>
      </w:pPr>
    </w:p>
    <w:p w14:paraId="5F07DCC3" w14:textId="77777777" w:rsidR="008A1B61" w:rsidRDefault="008A1B61" w:rsidP="008A1B61">
      <w:pPr>
        <w:pStyle w:val="IRPsanstext"/>
      </w:pPr>
      <w:r w:rsidRPr="00893189">
        <w:rPr>
          <w:b/>
          <w:color w:val="006C71"/>
          <w:sz w:val="28"/>
        </w:rPr>
        <w:t>Mist Storage Expansion.</w:t>
      </w:r>
      <w:r w:rsidRPr="00105028">
        <w:rPr>
          <w:sz w:val="18"/>
        </w:rPr>
        <w:t xml:space="preserve"> </w:t>
      </w:r>
      <w:r>
        <w:rPr>
          <w:sz w:val="18"/>
        </w:rPr>
        <w:t xml:space="preserve"> </w:t>
      </w:r>
      <w:r w:rsidRPr="007F71CB">
        <w:t xml:space="preserve">The Mist storage expansion is selected in most scenarios starting in 2026-27. </w:t>
      </w:r>
      <w:r>
        <w:t>This result means that PSE will continue to consider pursuing storage capacity at Mist</w:t>
      </w:r>
      <w:r w:rsidR="00893189">
        <w:t>,</w:t>
      </w:r>
      <w:r w:rsidR="00675FDD">
        <w:t xml:space="preserve"> keeping in mind </w:t>
      </w:r>
      <w:r w:rsidR="00893189">
        <w:t xml:space="preserve">that </w:t>
      </w:r>
      <w:r w:rsidR="00675FDD">
        <w:t>Mist expansion is</w:t>
      </w:r>
      <w:r w:rsidRPr="008A1B61">
        <w:t xml:space="preserve"> dependent on expansion of NWP from Sumas to </w:t>
      </w:r>
      <w:r w:rsidR="00675FDD">
        <w:t xml:space="preserve">the </w:t>
      </w:r>
      <w:r w:rsidRPr="008A1B61">
        <w:t>Portland area.</w:t>
      </w:r>
      <w:r w:rsidRPr="007F71CB">
        <w:tab/>
      </w:r>
    </w:p>
    <w:p w14:paraId="4BAD0D24" w14:textId="77777777" w:rsidR="008A1B61" w:rsidRPr="007F71CB" w:rsidRDefault="008A1B61" w:rsidP="008A1B61">
      <w:pPr>
        <w:pStyle w:val="IRPsanstext"/>
      </w:pPr>
    </w:p>
    <w:p w14:paraId="48DDF1EC" w14:textId="77777777" w:rsidR="000169DE" w:rsidRDefault="00675FDD" w:rsidP="000169DE">
      <w:pPr>
        <w:pStyle w:val="IRPsanstext"/>
      </w:pPr>
      <w:r>
        <w:rPr>
          <w:b/>
          <w:color w:val="006C71"/>
          <w:sz w:val="28"/>
        </w:rPr>
        <w:t>Supply</w:t>
      </w:r>
      <w:r w:rsidRPr="008A1B61">
        <w:rPr>
          <w:b/>
          <w:color w:val="006C71"/>
          <w:sz w:val="28"/>
        </w:rPr>
        <w:t xml:space="preserve"> Additions.</w:t>
      </w:r>
      <w:r w:rsidRPr="00105028">
        <w:rPr>
          <w:b/>
          <w:i/>
          <w:color w:val="006C71"/>
        </w:rPr>
        <w:t xml:space="preserve">  </w:t>
      </w:r>
      <w:r w:rsidR="000169DE">
        <w:t xml:space="preserve">The </w:t>
      </w:r>
      <w:proofErr w:type="spellStart"/>
      <w:r w:rsidR="000169DE">
        <w:t>Swarr</w:t>
      </w:r>
      <w:proofErr w:type="spellEnd"/>
      <w:r w:rsidR="000169DE">
        <w:t xml:space="preserve"> LP-Air upgrade project was </w:t>
      </w:r>
      <w:r w:rsidR="00FE2597">
        <w:t xml:space="preserve">selected as </w:t>
      </w:r>
      <w:r w:rsidR="000169DE">
        <w:t>least</w:t>
      </w:r>
      <w:r w:rsidR="00FE2597">
        <w:t>-</w:t>
      </w:r>
      <w:r w:rsidR="000169DE">
        <w:t xml:space="preserve">cost in every scenario.  </w:t>
      </w:r>
    </w:p>
    <w:p w14:paraId="0596CE65" w14:textId="77777777" w:rsidR="00326BAA" w:rsidRPr="008B33B7" w:rsidRDefault="00326BAA" w:rsidP="00862469">
      <w:pPr>
        <w:pStyle w:val="IRPtitle"/>
        <w:rPr>
          <w:rFonts w:ascii="Arial" w:hAnsi="Arial"/>
          <w:sz w:val="32"/>
          <w:szCs w:val="32"/>
        </w:rPr>
      </w:pPr>
    </w:p>
    <w:p w14:paraId="05789C23" w14:textId="77777777" w:rsidR="00193B59" w:rsidRDefault="00193B59">
      <w:pPr>
        <w:rPr>
          <w:rFonts w:ascii="Arial" w:hAnsi="Arial"/>
          <w:sz w:val="32"/>
          <w:szCs w:val="32"/>
        </w:rPr>
      </w:pPr>
      <w:r>
        <w:rPr>
          <w:rFonts w:ascii="Arial" w:hAnsi="Arial"/>
          <w:sz w:val="32"/>
          <w:szCs w:val="32"/>
        </w:rPr>
        <w:br w:type="page"/>
      </w:r>
    </w:p>
    <w:p w14:paraId="68414C71" w14:textId="77777777" w:rsidR="005348A5" w:rsidRDefault="005348A5" w:rsidP="00862469">
      <w:pPr>
        <w:pStyle w:val="IRPtitle"/>
        <w:rPr>
          <w:rFonts w:ascii="Arial" w:hAnsi="Arial"/>
          <w:sz w:val="32"/>
          <w:szCs w:val="32"/>
        </w:rPr>
      </w:pPr>
    </w:p>
    <w:p w14:paraId="7F0A9AF7" w14:textId="77777777" w:rsidR="00862469" w:rsidRPr="008B33B7" w:rsidRDefault="00862469" w:rsidP="00862469">
      <w:pPr>
        <w:pStyle w:val="IRPtitle"/>
        <w:rPr>
          <w:rFonts w:ascii="Arial" w:hAnsi="Arial"/>
          <w:sz w:val="32"/>
          <w:szCs w:val="32"/>
        </w:rPr>
      </w:pPr>
      <w:r w:rsidRPr="008B33B7">
        <w:rPr>
          <w:rFonts w:ascii="Arial" w:hAnsi="Arial"/>
          <w:sz w:val="32"/>
          <w:szCs w:val="32"/>
        </w:rPr>
        <w:t>Complete Picture: Gas Sales Base Scenario</w:t>
      </w:r>
    </w:p>
    <w:p w14:paraId="54E7F508" w14:textId="77777777" w:rsidR="00862469" w:rsidRDefault="00862469" w:rsidP="00862469">
      <w:pPr>
        <w:pStyle w:val="IRPsanstext"/>
      </w:pPr>
    </w:p>
    <w:p w14:paraId="61B0251F" w14:textId="77777777" w:rsidR="00862469" w:rsidRDefault="00862469" w:rsidP="00862469">
      <w:pPr>
        <w:pStyle w:val="IRPsanstext"/>
      </w:pPr>
      <w:r>
        <w:t xml:space="preserve">A complete picture of the Gas Sales Base Scenario optimal resource portfolio is presented in </w:t>
      </w:r>
      <w:r w:rsidR="00D150CF">
        <w:t xml:space="preserve">graphical and table format in </w:t>
      </w:r>
      <w:r>
        <w:t>Figure</w:t>
      </w:r>
      <w:r w:rsidR="00156604">
        <w:t>s</w:t>
      </w:r>
      <w:r>
        <w:t xml:space="preserve"> 7-2</w:t>
      </w:r>
      <w:r w:rsidR="00156604">
        <w:t>7 and 7-28</w:t>
      </w:r>
      <w:r w:rsidR="00D150CF">
        <w:t>, respectively</w:t>
      </w:r>
      <w:r>
        <w:t xml:space="preserve">. </w:t>
      </w:r>
      <w:r w:rsidR="00156604">
        <w:t xml:space="preserve">Note that </w:t>
      </w:r>
      <w:r>
        <w:t xml:space="preserve">Combination #2, </w:t>
      </w:r>
      <w:proofErr w:type="spellStart"/>
      <w:r>
        <w:t>FortisBC</w:t>
      </w:r>
      <w:proofErr w:type="spellEnd"/>
      <w:r>
        <w:t>/</w:t>
      </w:r>
      <w:proofErr w:type="spellStart"/>
      <w:r>
        <w:t>Westcoast</w:t>
      </w:r>
      <w:proofErr w:type="spellEnd"/>
      <w:r>
        <w:t xml:space="preserve"> (KORP), was not chosen in any of the </w:t>
      </w:r>
      <w:r w:rsidR="00193B59">
        <w:t>years</w:t>
      </w:r>
      <w:r>
        <w:t>.</w:t>
      </w:r>
      <w:r w:rsidR="0063181C">
        <w:t xml:space="preserve"> </w:t>
      </w:r>
      <w:r>
        <w:t>A</w:t>
      </w:r>
      <w:r w:rsidR="00893189">
        <w:t>gain, a</w:t>
      </w:r>
      <w:r>
        <w:t>dditional scenario results are included in Appendix O, Gas Analysis.</w:t>
      </w:r>
      <w:r w:rsidR="00675FDD" w:rsidRPr="00675FDD">
        <w:t xml:space="preserve"> </w:t>
      </w:r>
    </w:p>
    <w:p w14:paraId="3D8D01B6" w14:textId="77777777" w:rsidR="00227F0A" w:rsidRDefault="00227F0A" w:rsidP="00862469">
      <w:pPr>
        <w:pStyle w:val="IRPsanstext"/>
      </w:pPr>
    </w:p>
    <w:p w14:paraId="658768B9" w14:textId="77777777" w:rsidR="00862469" w:rsidRPr="00227F0A" w:rsidRDefault="00915826" w:rsidP="00227F0A">
      <w:pPr>
        <w:pStyle w:val="IRPfiguresub0"/>
        <w:spacing w:beforeAutospacing="0" w:after="120" w:afterAutospacing="0"/>
        <w:jc w:val="center"/>
        <w:rPr>
          <w:b w:val="0"/>
          <w:i/>
        </w:rPr>
      </w:pPr>
      <w:r>
        <w:rPr>
          <w:noProof/>
          <w:lang w:eastAsia="en-US"/>
        </w:rPr>
        <w:drawing>
          <wp:anchor distT="0" distB="0" distL="114300" distR="114300" simplePos="0" relativeHeight="251686912" behindDoc="0" locked="0" layoutInCell="1" allowOverlap="1" wp14:anchorId="3B5C9B86" wp14:editId="6AC73C64">
            <wp:simplePos x="0" y="0"/>
            <wp:positionH relativeFrom="column">
              <wp:posOffset>-82550</wp:posOffset>
            </wp:positionH>
            <wp:positionV relativeFrom="paragraph">
              <wp:posOffset>334645</wp:posOffset>
            </wp:positionV>
            <wp:extent cx="5353050" cy="373824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3050" cy="3738245"/>
                    </a:xfrm>
                    <a:prstGeom prst="rect">
                      <a:avLst/>
                    </a:prstGeom>
                    <a:noFill/>
                  </pic:spPr>
                </pic:pic>
              </a:graphicData>
            </a:graphic>
          </wp:anchor>
        </w:drawing>
      </w:r>
      <w:r w:rsidR="00862469" w:rsidRPr="00227F0A">
        <w:rPr>
          <w:b w:val="0"/>
          <w:i/>
        </w:rPr>
        <w:t>Figure 7-2</w:t>
      </w:r>
      <w:r w:rsidR="00156604">
        <w:rPr>
          <w:b w:val="0"/>
          <w:i/>
        </w:rPr>
        <w:t>7</w:t>
      </w:r>
      <w:r w:rsidR="00862469" w:rsidRPr="00227F0A">
        <w:rPr>
          <w:b w:val="0"/>
          <w:i/>
        </w:rPr>
        <w:t xml:space="preserve">: </w:t>
      </w:r>
      <w:r w:rsidR="00862469" w:rsidRPr="00227F0A">
        <w:rPr>
          <w:b w:val="0"/>
          <w:i/>
          <w:noProof/>
        </w:rPr>
        <w:t xml:space="preserve">Gas Sales Base Scenario </w:t>
      </w:r>
      <w:r w:rsidR="00862469" w:rsidRPr="00227F0A">
        <w:rPr>
          <w:b w:val="0"/>
          <w:i/>
        </w:rPr>
        <w:t>Resource Portfolio</w:t>
      </w:r>
    </w:p>
    <w:p w14:paraId="16C97799" w14:textId="77777777" w:rsidR="00893189" w:rsidRDefault="00862469" w:rsidP="00156604">
      <w:pPr>
        <w:pStyle w:val="IRPfiguresub0"/>
        <w:spacing w:beforeAutospacing="0" w:after="120" w:afterAutospacing="0"/>
        <w:jc w:val="center"/>
      </w:pPr>
      <w:r>
        <w:br w:type="page"/>
      </w:r>
    </w:p>
    <w:p w14:paraId="49FDDBC2" w14:textId="77777777" w:rsidR="00915826" w:rsidRDefault="00915826" w:rsidP="00893189">
      <w:pPr>
        <w:pStyle w:val="IRPfiguresub0"/>
        <w:spacing w:beforeAutospacing="0" w:after="120" w:afterAutospacing="0"/>
        <w:jc w:val="center"/>
        <w:rPr>
          <w:b w:val="0"/>
          <w:i/>
        </w:rPr>
      </w:pPr>
    </w:p>
    <w:p w14:paraId="2AE47DA4" w14:textId="77777777" w:rsidR="00227F0A" w:rsidRPr="00893189" w:rsidRDefault="00156604" w:rsidP="00893189">
      <w:pPr>
        <w:pStyle w:val="IRPfiguresub0"/>
        <w:spacing w:beforeAutospacing="0" w:after="120" w:afterAutospacing="0"/>
        <w:jc w:val="center"/>
        <w:rPr>
          <w:b w:val="0"/>
          <w:i/>
        </w:rPr>
      </w:pPr>
      <w:r w:rsidRPr="00227F0A">
        <w:rPr>
          <w:b w:val="0"/>
          <w:i/>
        </w:rPr>
        <w:t>Figure 7-2</w:t>
      </w:r>
      <w:r>
        <w:rPr>
          <w:b w:val="0"/>
          <w:i/>
        </w:rPr>
        <w:t>8</w:t>
      </w:r>
      <w:r w:rsidR="00123BCD">
        <w:rPr>
          <w:b w:val="0"/>
          <w:i/>
        </w:rPr>
        <w:t>:</w:t>
      </w:r>
      <w:r w:rsidRPr="00227F0A">
        <w:rPr>
          <w:b w:val="0"/>
          <w:i/>
        </w:rPr>
        <w:t xml:space="preserve"> </w:t>
      </w:r>
      <w:r w:rsidRPr="00227F0A">
        <w:rPr>
          <w:b w:val="0"/>
          <w:i/>
          <w:noProof/>
        </w:rPr>
        <w:t xml:space="preserve">Gas Sales Base Scenario </w:t>
      </w:r>
      <w:r w:rsidRPr="00227F0A">
        <w:rPr>
          <w:b w:val="0"/>
          <w:i/>
        </w:rPr>
        <w:t>Resource Portfolio</w:t>
      </w:r>
      <w:r w:rsidR="00893189">
        <w:rPr>
          <w:b w:val="0"/>
          <w:i/>
        </w:rPr>
        <w:t xml:space="preserve"> (table)</w:t>
      </w:r>
    </w:p>
    <w:p w14:paraId="1AB4C017" w14:textId="77777777" w:rsidR="003667C9" w:rsidRDefault="00F109EA" w:rsidP="00862469">
      <w:pPr>
        <w:pStyle w:val="IRPtitle"/>
        <w:ind w:left="0" w:firstLine="0"/>
        <w:rPr>
          <w:rFonts w:ascii="Arial" w:hAnsi="Arial"/>
          <w:sz w:val="32"/>
        </w:rPr>
      </w:pPr>
      <w:r>
        <w:rPr>
          <w:noProof/>
          <w:lang w:eastAsia="en-US"/>
        </w:rPr>
        <w:drawing>
          <wp:inline distT="0" distB="0" distL="0" distR="0" wp14:anchorId="7864CAED" wp14:editId="4DC9D704">
            <wp:extent cx="5346700" cy="2126699"/>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6700" cy="2126699"/>
                    </a:xfrm>
                    <a:prstGeom prst="rect">
                      <a:avLst/>
                    </a:prstGeom>
                    <a:noFill/>
                    <a:ln>
                      <a:noFill/>
                    </a:ln>
                  </pic:spPr>
                </pic:pic>
              </a:graphicData>
            </a:graphic>
          </wp:inline>
        </w:drawing>
      </w:r>
      <w:r w:rsidR="00621AB3" w:rsidRPr="00621AB3" w:rsidDel="00621AB3">
        <w:t xml:space="preserve"> </w:t>
      </w:r>
    </w:p>
    <w:p w14:paraId="2339FF16" w14:textId="77777777" w:rsidR="00893189" w:rsidRDefault="00893189" w:rsidP="00862469">
      <w:pPr>
        <w:pStyle w:val="IRPtitle"/>
        <w:ind w:left="0" w:firstLine="0"/>
        <w:rPr>
          <w:rFonts w:ascii="Arial" w:hAnsi="Arial"/>
          <w:sz w:val="32"/>
        </w:rPr>
      </w:pPr>
    </w:p>
    <w:p w14:paraId="02FBA279" w14:textId="77777777" w:rsidR="00862469" w:rsidRDefault="00862469" w:rsidP="00862469">
      <w:pPr>
        <w:pStyle w:val="IRPtitle"/>
        <w:ind w:left="0" w:firstLine="0"/>
      </w:pPr>
      <w:r w:rsidRPr="00DF0B1D">
        <w:rPr>
          <w:rFonts w:ascii="Arial" w:hAnsi="Arial"/>
          <w:sz w:val="32"/>
        </w:rPr>
        <w:t>Average Annual Portfolio Cost Comparisons</w:t>
      </w:r>
    </w:p>
    <w:p w14:paraId="0A94A745" w14:textId="77777777" w:rsidR="00862469" w:rsidRDefault="00862469" w:rsidP="00862469">
      <w:pPr>
        <w:pStyle w:val="IRPsanstext"/>
      </w:pPr>
    </w:p>
    <w:p w14:paraId="03E1B519" w14:textId="77777777" w:rsidR="00862469" w:rsidRDefault="00862469" w:rsidP="00862469">
      <w:pPr>
        <w:pStyle w:val="IRPsanstext"/>
      </w:pPr>
      <w:r>
        <w:t>Figure 7-2</w:t>
      </w:r>
      <w:r w:rsidR="009D2100">
        <w:t>9</w:t>
      </w:r>
      <w:r>
        <w:t xml:space="preserve"> should be read with </w:t>
      </w:r>
      <w:r w:rsidR="00F553CE">
        <w:t xml:space="preserve">the </w:t>
      </w:r>
      <w:r w:rsidR="00964651">
        <w:t>awareness</w:t>
      </w:r>
      <w:r w:rsidR="00F553CE">
        <w:t xml:space="preserve"> that i</w:t>
      </w:r>
      <w:r>
        <w:t xml:space="preserve">ts value is comparative rather than absolute. It is not a projection of average purchased gas adjustment (PGA) rates; instead, costs are based on a theoretical construct of highly </w:t>
      </w:r>
      <w:proofErr w:type="spellStart"/>
      <w:r>
        <w:t>incrementalized</w:t>
      </w:r>
      <w:proofErr w:type="spellEnd"/>
      <w:r>
        <w:t xml:space="preserve"> resource availability. Also, average portfolio costs include items that are not included in the PGA. These include </w:t>
      </w:r>
      <w:r w:rsidR="00193B59">
        <w:t xml:space="preserve">forecast </w:t>
      </w:r>
      <w:r>
        <w:t>rate-base costs related to Jackson Prairie storage</w:t>
      </w:r>
      <w:r w:rsidR="00A70CF7">
        <w:t>,</w:t>
      </w:r>
      <w:r w:rsidR="007B3EB1">
        <w:t xml:space="preserve"> the</w:t>
      </w:r>
      <w:r w:rsidR="00A70CF7">
        <w:t xml:space="preserve"> PSE LNG</w:t>
      </w:r>
      <w:r>
        <w:t xml:space="preserve"> </w:t>
      </w:r>
      <w:r w:rsidR="007B3EB1">
        <w:t>Project</w:t>
      </w:r>
      <w:r w:rsidR="002E4588">
        <w:t xml:space="preserve"> </w:t>
      </w:r>
      <w:r w:rsidR="00964651">
        <w:t xml:space="preserve">and </w:t>
      </w:r>
      <w:proofErr w:type="spellStart"/>
      <w:r w:rsidR="002E4588">
        <w:t>Swarr</w:t>
      </w:r>
      <w:proofErr w:type="spellEnd"/>
      <w:r w:rsidR="002E4588">
        <w:t>,</w:t>
      </w:r>
      <w:r w:rsidR="007B3EB1">
        <w:t xml:space="preserve"> </w:t>
      </w:r>
      <w:r w:rsidR="00964651">
        <w:t xml:space="preserve">as well as </w:t>
      </w:r>
      <w:r>
        <w:t xml:space="preserve">costs for energy efficiency programs, which are included on an average </w:t>
      </w:r>
      <w:proofErr w:type="spellStart"/>
      <w:r>
        <w:t>levelized</w:t>
      </w:r>
      <w:proofErr w:type="spellEnd"/>
      <w:r>
        <w:t xml:space="preserve"> basis rather than a pr</w:t>
      </w:r>
      <w:r w:rsidR="0063181C">
        <w:t>ojected cash flow basis. Also, note</w:t>
      </w:r>
      <w:r>
        <w:t xml:space="preserve"> that the perfect foresight of a linear programming model creates theoretical results that cannot be achieved in the real world.</w:t>
      </w:r>
    </w:p>
    <w:p w14:paraId="04ED3EF1" w14:textId="77777777" w:rsidR="00227F0A" w:rsidRDefault="00227F0A" w:rsidP="00862469">
      <w:pPr>
        <w:pStyle w:val="IRPsanstext"/>
      </w:pPr>
    </w:p>
    <w:p w14:paraId="1C9456FB" w14:textId="77777777" w:rsidR="00893189" w:rsidRDefault="00893189" w:rsidP="00227F0A">
      <w:pPr>
        <w:pStyle w:val="IRPFigureSub"/>
      </w:pPr>
    </w:p>
    <w:p w14:paraId="01D9AD4D" w14:textId="77777777" w:rsidR="00915826" w:rsidRDefault="00915826" w:rsidP="00227F0A">
      <w:pPr>
        <w:pStyle w:val="IRPFigureSub"/>
      </w:pPr>
    </w:p>
    <w:p w14:paraId="16DA0A33" w14:textId="77777777" w:rsidR="00915826" w:rsidRDefault="00915826" w:rsidP="00227F0A">
      <w:pPr>
        <w:pStyle w:val="IRPFigureSub"/>
      </w:pPr>
    </w:p>
    <w:p w14:paraId="45C61099" w14:textId="77777777" w:rsidR="00915826" w:rsidRDefault="00915826" w:rsidP="00227F0A">
      <w:pPr>
        <w:pStyle w:val="IRPFigureSub"/>
      </w:pPr>
    </w:p>
    <w:p w14:paraId="5A778A0C" w14:textId="77777777" w:rsidR="00915826" w:rsidRDefault="00915826" w:rsidP="00227F0A">
      <w:pPr>
        <w:pStyle w:val="IRPFigureSub"/>
      </w:pPr>
    </w:p>
    <w:p w14:paraId="36F7C307" w14:textId="77777777" w:rsidR="00915826" w:rsidRDefault="00915826" w:rsidP="00227F0A">
      <w:pPr>
        <w:pStyle w:val="IRPFigureSub"/>
      </w:pPr>
    </w:p>
    <w:p w14:paraId="5A01C71F" w14:textId="77777777" w:rsidR="00915826" w:rsidRDefault="00915826" w:rsidP="00227F0A">
      <w:pPr>
        <w:pStyle w:val="IRPFigureSub"/>
      </w:pPr>
    </w:p>
    <w:p w14:paraId="1140D977" w14:textId="77777777" w:rsidR="00915826" w:rsidRDefault="00915826" w:rsidP="00227F0A">
      <w:pPr>
        <w:pStyle w:val="IRPFigureSub"/>
      </w:pPr>
    </w:p>
    <w:p w14:paraId="7FE35E9A" w14:textId="77777777" w:rsidR="00915826" w:rsidRDefault="00915826" w:rsidP="00227F0A">
      <w:pPr>
        <w:pStyle w:val="IRPFigureSub"/>
      </w:pPr>
    </w:p>
    <w:p w14:paraId="50B138E0" w14:textId="77777777" w:rsidR="00915826" w:rsidRDefault="00915826" w:rsidP="00227F0A">
      <w:pPr>
        <w:pStyle w:val="IRPFigureSub"/>
      </w:pPr>
    </w:p>
    <w:p w14:paraId="39DFB7D3" w14:textId="77777777" w:rsidR="00915826" w:rsidRDefault="00915826" w:rsidP="00227F0A">
      <w:pPr>
        <w:pStyle w:val="IRPFigureSub"/>
      </w:pPr>
    </w:p>
    <w:p w14:paraId="569BFA4F" w14:textId="77777777" w:rsidR="00915826" w:rsidRDefault="00915826" w:rsidP="00227F0A">
      <w:pPr>
        <w:pStyle w:val="IRPFigureSub"/>
      </w:pPr>
    </w:p>
    <w:p w14:paraId="38DE8EAD" w14:textId="77777777" w:rsidR="00915826" w:rsidRDefault="00915826" w:rsidP="00227F0A">
      <w:pPr>
        <w:pStyle w:val="IRPFigureSub"/>
      </w:pPr>
    </w:p>
    <w:p w14:paraId="2C1E6CAF" w14:textId="77777777" w:rsidR="005348A5" w:rsidRDefault="005348A5" w:rsidP="00227F0A">
      <w:pPr>
        <w:pStyle w:val="IRPFigureSub"/>
      </w:pPr>
    </w:p>
    <w:p w14:paraId="263C430D" w14:textId="77777777" w:rsidR="005348A5" w:rsidRDefault="005348A5" w:rsidP="00227F0A">
      <w:pPr>
        <w:pStyle w:val="IRPFigureSub"/>
      </w:pPr>
    </w:p>
    <w:p w14:paraId="70E51C84" w14:textId="77777777" w:rsidR="005348A5" w:rsidRDefault="005348A5" w:rsidP="00227F0A">
      <w:pPr>
        <w:pStyle w:val="IRPFigureSub"/>
      </w:pPr>
    </w:p>
    <w:p w14:paraId="2083E925" w14:textId="77777777" w:rsidR="005348A5" w:rsidRDefault="005348A5" w:rsidP="00227F0A">
      <w:pPr>
        <w:pStyle w:val="IRPFigureSub"/>
      </w:pPr>
    </w:p>
    <w:p w14:paraId="4D1464DA" w14:textId="77777777" w:rsidR="00862469" w:rsidRDefault="00343B90" w:rsidP="00227F0A">
      <w:pPr>
        <w:pStyle w:val="IRPFigureSub"/>
      </w:pPr>
      <w:r>
        <w:rPr>
          <w:noProof/>
          <w:lang w:eastAsia="en-US"/>
        </w:rPr>
        <w:drawing>
          <wp:anchor distT="0" distB="0" distL="114300" distR="114300" simplePos="0" relativeHeight="251684864" behindDoc="0" locked="0" layoutInCell="1" allowOverlap="1" wp14:anchorId="534A841A" wp14:editId="6CBAB681">
            <wp:simplePos x="0" y="0"/>
            <wp:positionH relativeFrom="column">
              <wp:posOffset>-64770</wp:posOffset>
            </wp:positionH>
            <wp:positionV relativeFrom="paragraph">
              <wp:posOffset>381635</wp:posOffset>
            </wp:positionV>
            <wp:extent cx="5486400" cy="3686810"/>
            <wp:effectExtent l="2540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3686810"/>
                    </a:xfrm>
                    <a:prstGeom prst="rect">
                      <a:avLst/>
                    </a:prstGeom>
                    <a:noFill/>
                  </pic:spPr>
                </pic:pic>
              </a:graphicData>
            </a:graphic>
          </wp:anchor>
        </w:drawing>
      </w:r>
      <w:r w:rsidR="00915826">
        <w:t>F</w:t>
      </w:r>
      <w:r w:rsidR="00862469">
        <w:t>igure 7-2</w:t>
      </w:r>
      <w:r w:rsidR="009D2100">
        <w:t>9</w:t>
      </w:r>
      <w:r w:rsidR="00862469">
        <w:t xml:space="preserve">: Average Portfolio Cost of Gas for Gas Sales Scenarios </w:t>
      </w:r>
    </w:p>
    <w:p w14:paraId="226DEF84" w14:textId="77777777" w:rsidR="00893189" w:rsidRDefault="00893189" w:rsidP="00862469">
      <w:pPr>
        <w:pStyle w:val="IRPsanstext"/>
      </w:pPr>
    </w:p>
    <w:p w14:paraId="6E8A5924" w14:textId="77777777" w:rsidR="00964651" w:rsidRDefault="00862469" w:rsidP="00862469">
      <w:pPr>
        <w:pStyle w:val="IRPsanstext"/>
        <w:rPr>
          <w:color w:val="000000"/>
        </w:rPr>
      </w:pPr>
      <w:r>
        <w:t>Figure 7-2</w:t>
      </w:r>
      <w:r w:rsidR="009D2100">
        <w:t>9</w:t>
      </w:r>
      <w:r>
        <w:t xml:space="preserve"> shows that average optimized portfolio costs are heavily impacted by the gas prices and </w:t>
      </w:r>
      <w:r>
        <w:rPr>
          <w:color w:val="000000"/>
        </w:rPr>
        <w:t>CO</w:t>
      </w:r>
      <w:r>
        <w:rPr>
          <w:color w:val="000000"/>
          <w:vertAlign w:val="subscript"/>
        </w:rPr>
        <w:t>2</w:t>
      </w:r>
      <w:r>
        <w:rPr>
          <w:color w:val="000000"/>
        </w:rPr>
        <w:t xml:space="preserve"> cost assumptions included in each scenario. </w:t>
      </w:r>
    </w:p>
    <w:p w14:paraId="4C8AB124" w14:textId="77777777" w:rsidR="00915826" w:rsidRDefault="00915826" w:rsidP="00862469">
      <w:pPr>
        <w:pStyle w:val="IRPsanstext"/>
        <w:rPr>
          <w:color w:val="000000"/>
        </w:rPr>
      </w:pPr>
    </w:p>
    <w:p w14:paraId="7FBA7DAD" w14:textId="77777777" w:rsidR="00964651" w:rsidRPr="00C25C8C" w:rsidRDefault="00862469" w:rsidP="007F71CB">
      <w:pPr>
        <w:pStyle w:val="IRPsanstext"/>
        <w:numPr>
          <w:ilvl w:val="0"/>
          <w:numId w:val="28"/>
        </w:numPr>
      </w:pPr>
      <w:r>
        <w:rPr>
          <w:color w:val="000000"/>
        </w:rPr>
        <w:t xml:space="preserve">Changes in customer demand </w:t>
      </w:r>
      <w:r w:rsidR="00964651">
        <w:rPr>
          <w:color w:val="000000"/>
        </w:rPr>
        <w:t xml:space="preserve">cause only minimal changes in average portfolio costs as </w:t>
      </w:r>
      <w:r>
        <w:rPr>
          <w:color w:val="000000"/>
        </w:rPr>
        <w:t xml:space="preserve">shown </w:t>
      </w:r>
      <w:r w:rsidR="00E50085">
        <w:rPr>
          <w:color w:val="000000"/>
        </w:rPr>
        <w:t xml:space="preserve">by the </w:t>
      </w:r>
      <w:r w:rsidR="00343B90">
        <w:rPr>
          <w:color w:val="000000"/>
        </w:rPr>
        <w:t>similarity of</w:t>
      </w:r>
      <w:r w:rsidR="00E50085">
        <w:rPr>
          <w:color w:val="000000"/>
        </w:rPr>
        <w:t xml:space="preserve"> average portfolio costs in </w:t>
      </w:r>
      <w:r>
        <w:rPr>
          <w:color w:val="000000"/>
        </w:rPr>
        <w:t xml:space="preserve">the Base, Base + Low Demand and Base + High Demand Scenarios. </w:t>
      </w:r>
    </w:p>
    <w:p w14:paraId="3074609E" w14:textId="77777777" w:rsidR="00964651" w:rsidRPr="00C25C8C" w:rsidRDefault="00862469" w:rsidP="007F71CB">
      <w:pPr>
        <w:pStyle w:val="IRPsanstext"/>
        <w:numPr>
          <w:ilvl w:val="0"/>
          <w:numId w:val="28"/>
        </w:numPr>
      </w:pPr>
      <w:r>
        <w:rPr>
          <w:color w:val="000000"/>
        </w:rPr>
        <w:t xml:space="preserve">The </w:t>
      </w:r>
      <w:r w:rsidR="00964651">
        <w:rPr>
          <w:color w:val="000000"/>
        </w:rPr>
        <w:t xml:space="preserve">Scenarios’ </w:t>
      </w:r>
      <w:r>
        <w:rPr>
          <w:color w:val="000000"/>
        </w:rPr>
        <w:t>costs range from $4.96 to $7.2</w:t>
      </w:r>
      <w:r w:rsidR="00964651">
        <w:rPr>
          <w:color w:val="000000"/>
        </w:rPr>
        <w:t>9</w:t>
      </w:r>
      <w:r>
        <w:rPr>
          <w:color w:val="000000"/>
        </w:rPr>
        <w:t xml:space="preserve"> per </w:t>
      </w:r>
      <w:proofErr w:type="spellStart"/>
      <w:r>
        <w:rPr>
          <w:color w:val="000000"/>
        </w:rPr>
        <w:t>Dth</w:t>
      </w:r>
      <w:proofErr w:type="spellEnd"/>
      <w:r>
        <w:rPr>
          <w:color w:val="000000"/>
        </w:rPr>
        <w:t xml:space="preserve"> in 2016 to $8.</w:t>
      </w:r>
      <w:r w:rsidR="00343B90">
        <w:rPr>
          <w:color w:val="000000"/>
        </w:rPr>
        <w:t>30</w:t>
      </w:r>
      <w:r w:rsidR="00964651">
        <w:rPr>
          <w:color w:val="000000"/>
        </w:rPr>
        <w:t xml:space="preserve"> </w:t>
      </w:r>
      <w:r>
        <w:rPr>
          <w:color w:val="000000"/>
        </w:rPr>
        <w:t>to $19.</w:t>
      </w:r>
      <w:r w:rsidR="00343B90">
        <w:rPr>
          <w:color w:val="000000"/>
        </w:rPr>
        <w:t>53</w:t>
      </w:r>
      <w:r>
        <w:rPr>
          <w:color w:val="000000"/>
        </w:rPr>
        <w:t xml:space="preserve"> per </w:t>
      </w:r>
      <w:proofErr w:type="spellStart"/>
      <w:r>
        <w:rPr>
          <w:color w:val="000000"/>
        </w:rPr>
        <w:t>Dth</w:t>
      </w:r>
      <w:proofErr w:type="spellEnd"/>
      <w:r>
        <w:rPr>
          <w:color w:val="000000"/>
        </w:rPr>
        <w:t xml:space="preserve"> in 2035. </w:t>
      </w:r>
    </w:p>
    <w:p w14:paraId="7BAB5028" w14:textId="77777777" w:rsidR="00E50085" w:rsidRDefault="00E50085" w:rsidP="00E50085">
      <w:pPr>
        <w:pStyle w:val="IRPsanstext"/>
        <w:numPr>
          <w:ilvl w:val="0"/>
          <w:numId w:val="28"/>
        </w:numPr>
      </w:pPr>
      <w:r>
        <w:rPr>
          <w:color w:val="000000"/>
        </w:rPr>
        <w:t xml:space="preserve">The </w:t>
      </w:r>
      <w:r>
        <w:t xml:space="preserve">Base Scenario portfolio costs are about $6.39 per </w:t>
      </w:r>
      <w:proofErr w:type="spellStart"/>
      <w:r>
        <w:t>Dth</w:t>
      </w:r>
      <w:proofErr w:type="spellEnd"/>
      <w:r>
        <w:t xml:space="preserve"> in 2016, increasing to about $13.</w:t>
      </w:r>
      <w:r w:rsidR="00343B90">
        <w:t>83</w:t>
      </w:r>
      <w:r>
        <w:t xml:space="preserve"> per </w:t>
      </w:r>
      <w:proofErr w:type="spellStart"/>
      <w:r>
        <w:t>Dth</w:t>
      </w:r>
      <w:proofErr w:type="spellEnd"/>
      <w:r>
        <w:t xml:space="preserve"> by 2035. </w:t>
      </w:r>
    </w:p>
    <w:p w14:paraId="762F08A9" w14:textId="77777777" w:rsidR="00964651" w:rsidRPr="007F71CB" w:rsidRDefault="00862469" w:rsidP="007F71CB">
      <w:pPr>
        <w:pStyle w:val="IRPsanstext"/>
        <w:numPr>
          <w:ilvl w:val="0"/>
          <w:numId w:val="28"/>
        </w:numPr>
      </w:pPr>
      <w:r>
        <w:rPr>
          <w:color w:val="000000"/>
        </w:rPr>
        <w:t>The highest average system cost was in the Base + Very High Gas Price Scenario</w:t>
      </w:r>
      <w:r w:rsidR="00964651">
        <w:rPr>
          <w:color w:val="000000"/>
        </w:rPr>
        <w:t xml:space="preserve">, which ranged from $7.29 per </w:t>
      </w:r>
      <w:proofErr w:type="spellStart"/>
      <w:r w:rsidR="00964651">
        <w:rPr>
          <w:color w:val="000000"/>
        </w:rPr>
        <w:t>Dth</w:t>
      </w:r>
      <w:proofErr w:type="spellEnd"/>
      <w:r w:rsidR="00964651">
        <w:rPr>
          <w:color w:val="000000"/>
        </w:rPr>
        <w:t xml:space="preserve"> in 2016 to $19.</w:t>
      </w:r>
      <w:r w:rsidR="00343B90">
        <w:rPr>
          <w:color w:val="000000"/>
        </w:rPr>
        <w:t>53</w:t>
      </w:r>
      <w:r w:rsidR="00964651">
        <w:rPr>
          <w:color w:val="000000"/>
        </w:rPr>
        <w:t xml:space="preserve"> per </w:t>
      </w:r>
      <w:proofErr w:type="spellStart"/>
      <w:r w:rsidR="00964651">
        <w:rPr>
          <w:color w:val="000000"/>
        </w:rPr>
        <w:t>Dth</w:t>
      </w:r>
      <w:proofErr w:type="spellEnd"/>
      <w:r w:rsidR="00964651">
        <w:rPr>
          <w:color w:val="000000"/>
        </w:rPr>
        <w:t xml:space="preserve"> in 2035.</w:t>
      </w:r>
      <w:r w:rsidR="00E50085">
        <w:rPr>
          <w:color w:val="000000"/>
        </w:rPr>
        <w:t xml:space="preserve"> The High Scenario included high CO</w:t>
      </w:r>
      <w:r w:rsidR="00E50085" w:rsidRPr="00915826">
        <w:rPr>
          <w:color w:val="000000"/>
          <w:vertAlign w:val="subscript"/>
        </w:rPr>
        <w:t>2</w:t>
      </w:r>
      <w:r w:rsidR="00E50085">
        <w:rPr>
          <w:color w:val="000000"/>
        </w:rPr>
        <w:t xml:space="preserve"> costs</w:t>
      </w:r>
      <w:r w:rsidR="00893189">
        <w:rPr>
          <w:color w:val="000000"/>
        </w:rPr>
        <w:t>;</w:t>
      </w:r>
      <w:r w:rsidR="00E50085">
        <w:rPr>
          <w:color w:val="000000"/>
        </w:rPr>
        <w:t xml:space="preserve"> </w:t>
      </w:r>
      <w:r w:rsidR="00893189">
        <w:rPr>
          <w:color w:val="000000"/>
        </w:rPr>
        <w:t xml:space="preserve">this </w:t>
      </w:r>
      <w:r w:rsidR="00E50085">
        <w:rPr>
          <w:color w:val="000000"/>
        </w:rPr>
        <w:t>helped it track closely to the Base + Very High Gas Price Scenario which included mid CO</w:t>
      </w:r>
      <w:r w:rsidR="00E50085" w:rsidRPr="00915826">
        <w:rPr>
          <w:color w:val="000000"/>
          <w:vertAlign w:val="subscript"/>
        </w:rPr>
        <w:t>2</w:t>
      </w:r>
      <w:r w:rsidR="00E50085">
        <w:rPr>
          <w:color w:val="000000"/>
        </w:rPr>
        <w:t xml:space="preserve"> costs.</w:t>
      </w:r>
    </w:p>
    <w:p w14:paraId="056C3E99" w14:textId="77777777" w:rsidR="00964651" w:rsidRPr="00C25C8C" w:rsidRDefault="00964651" w:rsidP="007F71CB">
      <w:pPr>
        <w:pStyle w:val="IRPsanstext"/>
        <w:numPr>
          <w:ilvl w:val="0"/>
          <w:numId w:val="28"/>
        </w:numPr>
      </w:pPr>
      <w:r>
        <w:rPr>
          <w:color w:val="000000"/>
        </w:rPr>
        <w:t xml:space="preserve">The lowest average portfolio cost was in </w:t>
      </w:r>
      <w:r w:rsidR="00862469">
        <w:rPr>
          <w:color w:val="000000"/>
        </w:rPr>
        <w:t xml:space="preserve">the Low </w:t>
      </w:r>
      <w:proofErr w:type="gramStart"/>
      <w:r w:rsidR="00862469">
        <w:rPr>
          <w:color w:val="000000"/>
        </w:rPr>
        <w:t xml:space="preserve">Scenario </w:t>
      </w:r>
      <w:r>
        <w:rPr>
          <w:color w:val="000000"/>
        </w:rPr>
        <w:t>which</w:t>
      </w:r>
      <w:proofErr w:type="gramEnd"/>
      <w:r>
        <w:rPr>
          <w:color w:val="000000"/>
        </w:rPr>
        <w:t xml:space="preserve"> ranged from $4.96 per </w:t>
      </w:r>
      <w:proofErr w:type="spellStart"/>
      <w:r>
        <w:rPr>
          <w:color w:val="000000"/>
        </w:rPr>
        <w:t>Dth</w:t>
      </w:r>
      <w:proofErr w:type="spellEnd"/>
      <w:r>
        <w:rPr>
          <w:color w:val="000000"/>
        </w:rPr>
        <w:t xml:space="preserve"> in 2016 to $8.</w:t>
      </w:r>
      <w:r w:rsidR="00EE4A23">
        <w:rPr>
          <w:color w:val="000000"/>
        </w:rPr>
        <w:t>30</w:t>
      </w:r>
      <w:r>
        <w:rPr>
          <w:color w:val="000000"/>
        </w:rPr>
        <w:t xml:space="preserve"> per </w:t>
      </w:r>
      <w:proofErr w:type="spellStart"/>
      <w:r>
        <w:rPr>
          <w:color w:val="000000"/>
        </w:rPr>
        <w:t>Dth</w:t>
      </w:r>
      <w:proofErr w:type="spellEnd"/>
      <w:r>
        <w:rPr>
          <w:color w:val="000000"/>
        </w:rPr>
        <w:t xml:space="preserve"> in 2035</w:t>
      </w:r>
      <w:r w:rsidR="00862469">
        <w:rPr>
          <w:color w:val="000000"/>
        </w:rPr>
        <w:t xml:space="preserve">. </w:t>
      </w:r>
      <w:r w:rsidR="00E50085">
        <w:rPr>
          <w:color w:val="000000"/>
        </w:rPr>
        <w:t>This is because this scenario had the lowest gas price</w:t>
      </w:r>
      <w:r w:rsidR="00893189">
        <w:rPr>
          <w:color w:val="000000"/>
        </w:rPr>
        <w:t xml:space="preserve"> assumptions</w:t>
      </w:r>
      <w:r w:rsidR="00E50085">
        <w:rPr>
          <w:color w:val="000000"/>
        </w:rPr>
        <w:t>, no CO</w:t>
      </w:r>
      <w:r w:rsidR="00E50085" w:rsidRPr="00915826">
        <w:rPr>
          <w:color w:val="000000"/>
          <w:vertAlign w:val="subscript"/>
        </w:rPr>
        <w:t>2</w:t>
      </w:r>
      <w:r w:rsidR="00E50085">
        <w:rPr>
          <w:color w:val="000000"/>
        </w:rPr>
        <w:t xml:space="preserve"> costs </w:t>
      </w:r>
      <w:r w:rsidR="00893189">
        <w:rPr>
          <w:color w:val="000000"/>
        </w:rPr>
        <w:t xml:space="preserve">and </w:t>
      </w:r>
      <w:r w:rsidR="00E50085">
        <w:rPr>
          <w:color w:val="000000"/>
        </w:rPr>
        <w:t>low customer demand.</w:t>
      </w:r>
    </w:p>
    <w:p w14:paraId="24AA2928" w14:textId="77777777" w:rsidR="00537B41" w:rsidRDefault="00537B41" w:rsidP="00862469">
      <w:pPr>
        <w:pStyle w:val="IRPtitle"/>
        <w:rPr>
          <w:rFonts w:ascii="Arial" w:hAnsi="Arial"/>
          <w:sz w:val="32"/>
        </w:rPr>
      </w:pPr>
    </w:p>
    <w:p w14:paraId="2EF9B880" w14:textId="77777777" w:rsidR="00F07011" w:rsidRPr="00C16003" w:rsidRDefault="00F07011" w:rsidP="00F07011">
      <w:pPr>
        <w:pStyle w:val="IRPsanstext"/>
        <w:rPr>
          <w:b/>
          <w:sz w:val="24"/>
          <w:szCs w:val="24"/>
          <w:u w:val="single"/>
        </w:rPr>
      </w:pPr>
    </w:p>
    <w:p w14:paraId="3D27DF97" w14:textId="77777777" w:rsidR="00862469" w:rsidRPr="00DF0B1D" w:rsidRDefault="00862469" w:rsidP="00862469">
      <w:pPr>
        <w:pStyle w:val="IRPtitle"/>
        <w:ind w:left="0" w:firstLine="0"/>
        <w:rPr>
          <w:rFonts w:ascii="Arial" w:hAnsi="Arial"/>
          <w:caps/>
          <w:sz w:val="32"/>
        </w:rPr>
      </w:pPr>
      <w:r w:rsidRPr="00DF0B1D">
        <w:rPr>
          <w:rFonts w:ascii="Arial" w:hAnsi="Arial"/>
          <w:sz w:val="32"/>
        </w:rPr>
        <w:t>Sensitivity Analyses</w:t>
      </w:r>
    </w:p>
    <w:p w14:paraId="3DB97C92" w14:textId="77777777" w:rsidR="00862469" w:rsidRDefault="00862469" w:rsidP="00227F0A">
      <w:pPr>
        <w:pStyle w:val="IRPsanstext"/>
      </w:pPr>
    </w:p>
    <w:p w14:paraId="0FECC947" w14:textId="77777777" w:rsidR="00862469" w:rsidRDefault="00862469" w:rsidP="00227F0A">
      <w:pPr>
        <w:pStyle w:val="IRPsanstext"/>
      </w:pPr>
      <w:r>
        <w:t xml:space="preserve">Two sensitivities were modeled in the gas sales analysis for this IRP. Sensitivities start with all of the assumptions in the Base Scenario and change one variable. This allows </w:t>
      </w:r>
      <w:r w:rsidR="00B67636">
        <w:t>PSE</w:t>
      </w:r>
      <w:r w:rsidR="00B67636" w:rsidRPr="00891D84">
        <w:t xml:space="preserve"> </w:t>
      </w:r>
      <w:r>
        <w:t xml:space="preserve">to evaluate the impact of a single resource change on the portfolio. Two sensitivities were tested in the gas analysis for this IRP: </w:t>
      </w:r>
    </w:p>
    <w:p w14:paraId="09F27346" w14:textId="77777777" w:rsidR="00862469" w:rsidRDefault="00862469" w:rsidP="00862469">
      <w:pPr>
        <w:pStyle w:val="IRPsanstext"/>
      </w:pPr>
    </w:p>
    <w:p w14:paraId="353D0D09" w14:textId="77777777" w:rsidR="00862469" w:rsidRDefault="00862469" w:rsidP="00862469">
      <w:pPr>
        <w:pStyle w:val="IRPsanstext"/>
        <w:ind w:left="720"/>
        <w:rPr>
          <w:b/>
        </w:rPr>
      </w:pPr>
      <w:r>
        <w:rPr>
          <w:b/>
        </w:rPr>
        <w:t>1.</w:t>
      </w:r>
      <w:r w:rsidR="001843AA">
        <w:rPr>
          <w:b/>
        </w:rPr>
        <w:t xml:space="preserve"> ALTERNATE DISCOUNT RATE FOR DSR</w:t>
      </w:r>
    </w:p>
    <w:p w14:paraId="0229EC7D" w14:textId="77777777" w:rsidR="00862469" w:rsidRDefault="00862469" w:rsidP="00862469">
      <w:pPr>
        <w:pStyle w:val="IRPsanstext"/>
        <w:ind w:left="720"/>
      </w:pPr>
      <w:r w:rsidRPr="00DE34A9">
        <w:rPr>
          <w:b/>
        </w:rPr>
        <w:t>Baseline:</w:t>
      </w:r>
      <w:r>
        <w:t xml:space="preserve"> Demand-side resources are evaluated using the weighted average cost of capital (WACC) assigned to PSE. </w:t>
      </w:r>
    </w:p>
    <w:p w14:paraId="1D621F33" w14:textId="77777777" w:rsidR="00862469" w:rsidRDefault="00862469" w:rsidP="00862469">
      <w:pPr>
        <w:pStyle w:val="IRPsanstext"/>
        <w:ind w:left="720"/>
      </w:pPr>
      <w:r w:rsidRPr="00DE34A9">
        <w:rPr>
          <w:b/>
        </w:rPr>
        <w:t>Sensitivity:</w:t>
      </w:r>
      <w:r>
        <w:t xml:space="preserve"> Demand-side resources are evaluated using an alternate discount rate. </w:t>
      </w:r>
    </w:p>
    <w:p w14:paraId="5853AC50" w14:textId="77777777" w:rsidR="00862469" w:rsidRDefault="00862469" w:rsidP="00862469">
      <w:pPr>
        <w:pStyle w:val="IRPsanstext"/>
      </w:pPr>
    </w:p>
    <w:p w14:paraId="1D06602B" w14:textId="77777777" w:rsidR="00862469" w:rsidRPr="006762C9" w:rsidRDefault="00862469" w:rsidP="00862469">
      <w:pPr>
        <w:pStyle w:val="IRPsanstext"/>
        <w:ind w:firstLine="720"/>
        <w:rPr>
          <w:b/>
          <w:caps/>
        </w:rPr>
      </w:pPr>
      <w:r>
        <w:rPr>
          <w:b/>
          <w:caps/>
        </w:rPr>
        <w:t xml:space="preserve">2. </w:t>
      </w:r>
      <w:r w:rsidRPr="006762C9">
        <w:rPr>
          <w:b/>
          <w:caps/>
        </w:rPr>
        <w:t>Pipeline expansion timing</w:t>
      </w:r>
    </w:p>
    <w:p w14:paraId="18A402B4" w14:textId="77777777" w:rsidR="00862469" w:rsidRDefault="00862469" w:rsidP="007F71CB">
      <w:pPr>
        <w:pStyle w:val="IRPsanstext"/>
        <w:ind w:left="720"/>
      </w:pPr>
      <w:r>
        <w:rPr>
          <w:b/>
        </w:rPr>
        <w:t>Baseline:</w:t>
      </w:r>
      <w:r>
        <w:t xml:space="preserve"> Pipeline expansion</w:t>
      </w:r>
      <w:r w:rsidR="00863C22">
        <w:t>s are built in 2022, 2026 and 2030 because they are</w:t>
      </w:r>
      <w:r>
        <w:t xml:space="preserve"> allowed only every four years in the model.</w:t>
      </w:r>
    </w:p>
    <w:p w14:paraId="670865E4" w14:textId="77777777" w:rsidR="00862469" w:rsidRDefault="00862469" w:rsidP="00862469">
      <w:pPr>
        <w:pStyle w:val="IRPsanstext"/>
      </w:pPr>
      <w:r>
        <w:tab/>
      </w:r>
      <w:r w:rsidRPr="006762C9">
        <w:rPr>
          <w:b/>
        </w:rPr>
        <w:t xml:space="preserve">Sensitivity: </w:t>
      </w:r>
      <w:r>
        <w:t xml:space="preserve">Pipeline expansion is allowed every year </w:t>
      </w:r>
      <w:r w:rsidR="00863C22">
        <w:t>starting in 2022</w:t>
      </w:r>
      <w:r>
        <w:t xml:space="preserve">. </w:t>
      </w:r>
    </w:p>
    <w:p w14:paraId="4839C600" w14:textId="77777777" w:rsidR="00862469" w:rsidRDefault="00862469" w:rsidP="00862469">
      <w:pPr>
        <w:pStyle w:val="IRPsanstext"/>
      </w:pPr>
    </w:p>
    <w:p w14:paraId="6B6DD699" w14:textId="77777777" w:rsidR="0063181C" w:rsidRDefault="00862469" w:rsidP="00862469">
      <w:pPr>
        <w:spacing w:line="360" w:lineRule="auto"/>
        <w:rPr>
          <w:rFonts w:ascii="Arial" w:hAnsi="Arial" w:cs="Arial"/>
          <w:sz w:val="20"/>
          <w:szCs w:val="20"/>
        </w:rPr>
      </w:pPr>
      <w:proofErr w:type="gramStart"/>
      <w:r w:rsidRPr="00227F0A">
        <w:rPr>
          <w:rFonts w:ascii="Arial" w:hAnsi="Arial" w:cs="Arial"/>
          <w:b/>
          <w:color w:val="006C71"/>
          <w:sz w:val="28"/>
          <w:szCs w:val="20"/>
        </w:rPr>
        <w:t>Alternate Discount Rate Sensitivity.</w:t>
      </w:r>
      <w:proofErr w:type="gramEnd"/>
      <w:r>
        <w:rPr>
          <w:rFonts w:ascii="Arial" w:hAnsi="Arial" w:cs="Arial"/>
          <w:sz w:val="20"/>
          <w:szCs w:val="20"/>
        </w:rPr>
        <w:t xml:space="preserve"> An alternate discount rate was applied in this sensitivity </w:t>
      </w:r>
      <w:r w:rsidR="00F5515C">
        <w:rPr>
          <w:rFonts w:ascii="Arial" w:hAnsi="Arial" w:cs="Arial"/>
          <w:sz w:val="20"/>
          <w:szCs w:val="20"/>
        </w:rPr>
        <w:t>analysis (</w:t>
      </w:r>
      <w:r>
        <w:rPr>
          <w:rFonts w:ascii="Arial" w:hAnsi="Arial" w:cs="Arial"/>
          <w:sz w:val="20"/>
          <w:szCs w:val="20"/>
        </w:rPr>
        <w:t xml:space="preserve">one that was lower </w:t>
      </w:r>
      <w:r w:rsidR="00F5515C">
        <w:rPr>
          <w:rFonts w:ascii="Arial" w:hAnsi="Arial" w:cs="Arial"/>
          <w:sz w:val="20"/>
          <w:szCs w:val="20"/>
        </w:rPr>
        <w:t>than PSE’s</w:t>
      </w:r>
      <w:r>
        <w:rPr>
          <w:rFonts w:ascii="Arial" w:hAnsi="Arial" w:cs="Arial"/>
          <w:sz w:val="20"/>
          <w:szCs w:val="20"/>
        </w:rPr>
        <w:t xml:space="preserve"> assigned WACC) to find out if it would result in a higher level of cost-effective DSR.  The alternate discount rate was first discussed in the April 2014 DSR Technical Advisory Meeting, and later finalized as 1) the weighted average of a long-term 30-year nominal treasury rate for residential customer class</w:t>
      </w:r>
      <w:r w:rsidR="001843AA">
        <w:rPr>
          <w:rFonts w:ascii="Arial" w:hAnsi="Arial" w:cs="Arial"/>
          <w:sz w:val="20"/>
          <w:szCs w:val="20"/>
        </w:rPr>
        <w:t>,</w:t>
      </w:r>
      <w:r>
        <w:rPr>
          <w:rFonts w:ascii="Arial" w:hAnsi="Arial" w:cs="Arial"/>
          <w:sz w:val="20"/>
          <w:szCs w:val="20"/>
        </w:rPr>
        <w:t xml:space="preserve"> and 2) the WACC discount rate for the commercial and industrial customer classes. The weighting was based on the proportionate share of the savings from these customer classes achieved in the most recent program cycle.</w:t>
      </w:r>
    </w:p>
    <w:p w14:paraId="6FCE9B4C" w14:textId="77777777" w:rsidR="00862469" w:rsidRDefault="00862469" w:rsidP="00862469">
      <w:pPr>
        <w:spacing w:line="360" w:lineRule="auto"/>
        <w:rPr>
          <w:rFonts w:ascii="Arial" w:hAnsi="Arial" w:cs="Arial"/>
          <w:sz w:val="20"/>
          <w:szCs w:val="20"/>
        </w:rPr>
      </w:pPr>
    </w:p>
    <w:p w14:paraId="6428AC37" w14:textId="77777777" w:rsidR="00862469" w:rsidRDefault="00862469" w:rsidP="00862469">
      <w:pPr>
        <w:spacing w:line="360" w:lineRule="auto"/>
        <w:ind w:left="720"/>
        <w:rPr>
          <w:rFonts w:ascii="Arial" w:hAnsi="Arial" w:cs="Arial"/>
          <w:i/>
          <w:sz w:val="20"/>
          <w:szCs w:val="20"/>
        </w:rPr>
      </w:pPr>
      <w:r w:rsidRPr="00AE4587">
        <w:rPr>
          <w:rFonts w:ascii="Arial" w:hAnsi="Arial" w:cs="Arial"/>
          <w:b/>
          <w:i/>
          <w:sz w:val="20"/>
          <w:szCs w:val="20"/>
        </w:rPr>
        <w:t>Weighted Average Alternate Discount Rate</w:t>
      </w:r>
      <w:r>
        <w:rPr>
          <w:rFonts w:ascii="Arial" w:hAnsi="Arial" w:cs="Arial"/>
          <w:i/>
          <w:sz w:val="20"/>
          <w:szCs w:val="20"/>
        </w:rPr>
        <w:t xml:space="preserve"> = Res * LT </w:t>
      </w:r>
      <w:proofErr w:type="spellStart"/>
      <w:r>
        <w:rPr>
          <w:rFonts w:ascii="Arial" w:hAnsi="Arial" w:cs="Arial"/>
          <w:i/>
          <w:sz w:val="20"/>
          <w:szCs w:val="20"/>
        </w:rPr>
        <w:t>CMT</w:t>
      </w:r>
      <w:r>
        <w:rPr>
          <w:rFonts w:ascii="Arial" w:hAnsi="Arial" w:cs="Arial"/>
          <w:i/>
          <w:sz w:val="20"/>
          <w:szCs w:val="20"/>
          <w:vertAlign w:val="subscript"/>
        </w:rPr>
        <w:t>ave</w:t>
      </w:r>
      <w:proofErr w:type="spellEnd"/>
      <w:r>
        <w:rPr>
          <w:rFonts w:ascii="Arial" w:hAnsi="Arial" w:cs="Arial"/>
          <w:i/>
          <w:sz w:val="20"/>
          <w:szCs w:val="20"/>
        </w:rPr>
        <w:t xml:space="preserve"> + C&amp;I * WACC</w:t>
      </w:r>
    </w:p>
    <w:p w14:paraId="0763B2B2" w14:textId="77777777" w:rsidR="00862469" w:rsidRDefault="00862469" w:rsidP="00862469">
      <w:pPr>
        <w:spacing w:line="360" w:lineRule="auto"/>
        <w:ind w:left="720"/>
        <w:rPr>
          <w:rFonts w:ascii="Arial" w:hAnsi="Arial" w:cs="Arial"/>
          <w:i/>
          <w:sz w:val="20"/>
          <w:szCs w:val="20"/>
        </w:rPr>
      </w:pPr>
      <w:proofErr w:type="spellStart"/>
      <w:r w:rsidRPr="00AE4587">
        <w:rPr>
          <w:rFonts w:ascii="Arial" w:hAnsi="Arial" w:cs="Arial"/>
          <w:b/>
          <w:i/>
          <w:sz w:val="20"/>
          <w:szCs w:val="20"/>
        </w:rPr>
        <w:t>Res</w:t>
      </w:r>
      <w:r w:rsidRPr="00AE4587">
        <w:rPr>
          <w:rFonts w:ascii="Arial" w:hAnsi="Arial" w:cs="Arial"/>
          <w:b/>
          <w:i/>
          <w:sz w:val="20"/>
          <w:szCs w:val="20"/>
          <w:vertAlign w:val="subscript"/>
        </w:rPr>
        <w:t>T</w:t>
      </w:r>
      <w:proofErr w:type="spellEnd"/>
      <w:r w:rsidRPr="00AE4587">
        <w:rPr>
          <w:rFonts w:ascii="Arial" w:hAnsi="Arial" w:cs="Arial"/>
          <w:b/>
          <w:i/>
          <w:sz w:val="20"/>
          <w:szCs w:val="20"/>
        </w:rPr>
        <w:t xml:space="preserve"> </w:t>
      </w:r>
      <w:r>
        <w:rPr>
          <w:rFonts w:ascii="Arial" w:hAnsi="Arial" w:cs="Arial"/>
          <w:i/>
          <w:sz w:val="20"/>
          <w:szCs w:val="20"/>
        </w:rPr>
        <w:t>= Share of Residential Savings from 2014-15 program cycle (58 percent)</w:t>
      </w:r>
    </w:p>
    <w:p w14:paraId="16CAFBAE" w14:textId="77777777" w:rsidR="00862469" w:rsidRDefault="00862469" w:rsidP="00862469">
      <w:pPr>
        <w:spacing w:line="360" w:lineRule="auto"/>
        <w:ind w:left="720"/>
        <w:rPr>
          <w:rFonts w:ascii="Arial" w:hAnsi="Arial" w:cs="Arial"/>
          <w:i/>
          <w:sz w:val="20"/>
          <w:szCs w:val="20"/>
        </w:rPr>
      </w:pPr>
      <w:r w:rsidRPr="00AE4587">
        <w:rPr>
          <w:rFonts w:ascii="Arial" w:hAnsi="Arial" w:cs="Arial"/>
          <w:b/>
          <w:i/>
          <w:sz w:val="20"/>
          <w:szCs w:val="20"/>
        </w:rPr>
        <w:t xml:space="preserve">LT </w:t>
      </w:r>
      <w:proofErr w:type="spellStart"/>
      <w:r w:rsidRPr="00AE4587">
        <w:rPr>
          <w:rFonts w:ascii="Arial" w:hAnsi="Arial" w:cs="Arial"/>
          <w:b/>
          <w:i/>
          <w:sz w:val="20"/>
          <w:szCs w:val="20"/>
        </w:rPr>
        <w:t>CMT</w:t>
      </w:r>
      <w:r w:rsidRPr="00AE4587">
        <w:rPr>
          <w:rFonts w:ascii="Arial" w:hAnsi="Arial" w:cs="Arial"/>
          <w:b/>
          <w:i/>
          <w:sz w:val="20"/>
          <w:szCs w:val="20"/>
          <w:vertAlign w:val="subscript"/>
        </w:rPr>
        <w:t>ave</w:t>
      </w:r>
      <w:proofErr w:type="spellEnd"/>
      <w:r>
        <w:rPr>
          <w:rFonts w:ascii="Arial" w:hAnsi="Arial" w:cs="Arial"/>
          <w:i/>
          <w:sz w:val="20"/>
          <w:szCs w:val="20"/>
        </w:rPr>
        <w:t xml:space="preserve"> = 3 month average of Long Term Constant Maturity Treasury Rate</w:t>
      </w:r>
      <w:r>
        <w:rPr>
          <w:rStyle w:val="FootnoteReference"/>
          <w:rFonts w:ascii="Arial" w:hAnsi="Arial" w:cs="Arial"/>
          <w:i/>
          <w:sz w:val="20"/>
          <w:szCs w:val="20"/>
        </w:rPr>
        <w:footnoteReference w:id="9"/>
      </w:r>
      <w:r>
        <w:rPr>
          <w:rFonts w:ascii="Arial" w:hAnsi="Arial" w:cs="Arial"/>
          <w:i/>
          <w:sz w:val="20"/>
          <w:szCs w:val="20"/>
        </w:rPr>
        <w:t>(2.87 percent fall 2014)</w:t>
      </w:r>
    </w:p>
    <w:p w14:paraId="042611B7" w14:textId="77777777" w:rsidR="00862469" w:rsidRDefault="00862469" w:rsidP="00862469">
      <w:pPr>
        <w:spacing w:line="360" w:lineRule="auto"/>
        <w:ind w:left="720"/>
        <w:rPr>
          <w:rFonts w:ascii="Arial" w:hAnsi="Arial" w:cs="Arial"/>
          <w:i/>
          <w:sz w:val="20"/>
          <w:szCs w:val="20"/>
        </w:rPr>
      </w:pPr>
      <w:r w:rsidRPr="00AE4587">
        <w:rPr>
          <w:rFonts w:ascii="Arial" w:hAnsi="Arial" w:cs="Arial"/>
          <w:b/>
          <w:i/>
          <w:sz w:val="20"/>
          <w:szCs w:val="20"/>
        </w:rPr>
        <w:t>C&amp;I</w:t>
      </w:r>
      <w:r w:rsidRPr="00AE4587">
        <w:rPr>
          <w:rFonts w:ascii="Arial" w:hAnsi="Arial" w:cs="Arial"/>
          <w:b/>
          <w:i/>
          <w:sz w:val="20"/>
          <w:szCs w:val="20"/>
          <w:vertAlign w:val="subscript"/>
        </w:rPr>
        <w:t>T</w:t>
      </w:r>
      <w:r>
        <w:rPr>
          <w:rFonts w:ascii="Arial" w:hAnsi="Arial" w:cs="Arial"/>
          <w:i/>
          <w:sz w:val="20"/>
          <w:szCs w:val="20"/>
        </w:rPr>
        <w:t xml:space="preserve"> = Share of Commercial &amp; Industrial Savings from 2014-15 program cycle (42 percent)</w:t>
      </w:r>
    </w:p>
    <w:p w14:paraId="4382423E" w14:textId="77777777" w:rsidR="00862469" w:rsidRDefault="00862469" w:rsidP="00862469">
      <w:pPr>
        <w:spacing w:line="360" w:lineRule="auto"/>
        <w:ind w:left="720"/>
        <w:rPr>
          <w:rFonts w:ascii="Arial" w:hAnsi="Arial" w:cs="Arial"/>
          <w:i/>
          <w:sz w:val="20"/>
          <w:szCs w:val="20"/>
        </w:rPr>
      </w:pPr>
      <w:r w:rsidRPr="00AE4587">
        <w:rPr>
          <w:rFonts w:ascii="Arial" w:hAnsi="Arial" w:cs="Arial"/>
          <w:b/>
          <w:i/>
          <w:sz w:val="20"/>
          <w:szCs w:val="20"/>
        </w:rPr>
        <w:t xml:space="preserve">WACC </w:t>
      </w:r>
      <w:r>
        <w:rPr>
          <w:rFonts w:ascii="Arial" w:hAnsi="Arial" w:cs="Arial"/>
          <w:i/>
          <w:sz w:val="20"/>
          <w:szCs w:val="20"/>
        </w:rPr>
        <w:t>= Weighted Average Cost of Capital for PSE (7.77 percent)</w:t>
      </w:r>
    </w:p>
    <w:p w14:paraId="7734172B" w14:textId="77777777" w:rsidR="00227F0A" w:rsidRDefault="00227F0A">
      <w:pPr>
        <w:rPr>
          <w:rFonts w:ascii="Arial" w:hAnsi="Arial" w:cs="Arial"/>
          <w:sz w:val="20"/>
          <w:szCs w:val="20"/>
        </w:rPr>
      </w:pPr>
      <w:r>
        <w:rPr>
          <w:rFonts w:ascii="Arial" w:hAnsi="Arial" w:cs="Arial"/>
          <w:sz w:val="20"/>
          <w:szCs w:val="20"/>
        </w:rPr>
        <w:br w:type="page"/>
      </w:r>
    </w:p>
    <w:p w14:paraId="2469B3E0" w14:textId="77777777" w:rsidR="00227F0A" w:rsidRDefault="00227F0A" w:rsidP="00862469">
      <w:pPr>
        <w:spacing w:line="360" w:lineRule="auto"/>
        <w:rPr>
          <w:rFonts w:ascii="Arial" w:hAnsi="Arial" w:cs="Arial"/>
          <w:sz w:val="20"/>
          <w:szCs w:val="20"/>
        </w:rPr>
      </w:pPr>
    </w:p>
    <w:p w14:paraId="0626578B" w14:textId="77777777" w:rsidR="00862469" w:rsidRDefault="00862469" w:rsidP="00862469">
      <w:pPr>
        <w:spacing w:line="360" w:lineRule="auto"/>
        <w:rPr>
          <w:rFonts w:ascii="Arial" w:hAnsi="Arial" w:cs="Arial"/>
          <w:sz w:val="20"/>
          <w:szCs w:val="20"/>
        </w:rPr>
      </w:pPr>
      <w:r>
        <w:rPr>
          <w:rFonts w:ascii="Arial" w:hAnsi="Arial" w:cs="Arial"/>
          <w:sz w:val="20"/>
          <w:szCs w:val="20"/>
        </w:rPr>
        <w:t>The alternate discount rate used was 4.93 perc</w:t>
      </w:r>
      <w:r w:rsidR="001843AA">
        <w:rPr>
          <w:rFonts w:ascii="Arial" w:hAnsi="Arial" w:cs="Arial"/>
          <w:sz w:val="20"/>
          <w:szCs w:val="20"/>
        </w:rPr>
        <w:t>ent (0.58</w:t>
      </w:r>
      <w:r w:rsidR="00915826">
        <w:rPr>
          <w:rFonts w:ascii="Arial" w:hAnsi="Arial" w:cs="Arial"/>
          <w:sz w:val="20"/>
          <w:szCs w:val="20"/>
        </w:rPr>
        <w:t xml:space="preserve"> </w:t>
      </w:r>
      <w:r w:rsidR="001843AA">
        <w:rPr>
          <w:rFonts w:ascii="Arial" w:hAnsi="Arial" w:cs="Arial"/>
          <w:sz w:val="20"/>
          <w:szCs w:val="20"/>
        </w:rPr>
        <w:t>*</w:t>
      </w:r>
      <w:r w:rsidR="00915826">
        <w:rPr>
          <w:rFonts w:ascii="Arial" w:hAnsi="Arial" w:cs="Arial"/>
          <w:sz w:val="20"/>
          <w:szCs w:val="20"/>
        </w:rPr>
        <w:t xml:space="preserve"> </w:t>
      </w:r>
      <w:r w:rsidR="001843AA">
        <w:rPr>
          <w:rFonts w:ascii="Arial" w:hAnsi="Arial" w:cs="Arial"/>
          <w:sz w:val="20"/>
          <w:szCs w:val="20"/>
        </w:rPr>
        <w:t>0.0287</w:t>
      </w:r>
      <w:r w:rsidR="00915826">
        <w:rPr>
          <w:rFonts w:ascii="Arial" w:hAnsi="Arial" w:cs="Arial"/>
          <w:sz w:val="20"/>
          <w:szCs w:val="20"/>
        </w:rPr>
        <w:t xml:space="preserve"> </w:t>
      </w:r>
      <w:r w:rsidR="001843AA">
        <w:rPr>
          <w:rFonts w:ascii="Arial" w:hAnsi="Arial" w:cs="Arial"/>
          <w:sz w:val="20"/>
          <w:szCs w:val="20"/>
        </w:rPr>
        <w:t>+</w:t>
      </w:r>
      <w:r w:rsidR="00915826">
        <w:rPr>
          <w:rFonts w:ascii="Arial" w:hAnsi="Arial" w:cs="Arial"/>
          <w:sz w:val="20"/>
          <w:szCs w:val="20"/>
        </w:rPr>
        <w:t xml:space="preserve"> </w:t>
      </w:r>
      <w:r w:rsidR="001843AA">
        <w:rPr>
          <w:rFonts w:ascii="Arial" w:hAnsi="Arial" w:cs="Arial"/>
          <w:sz w:val="20"/>
          <w:szCs w:val="20"/>
        </w:rPr>
        <w:t>0.42</w:t>
      </w:r>
      <w:r w:rsidR="00915826">
        <w:rPr>
          <w:rFonts w:ascii="Arial" w:hAnsi="Arial" w:cs="Arial"/>
          <w:sz w:val="20"/>
          <w:szCs w:val="20"/>
        </w:rPr>
        <w:t xml:space="preserve"> </w:t>
      </w:r>
      <w:r w:rsidR="001843AA">
        <w:rPr>
          <w:rFonts w:ascii="Arial" w:hAnsi="Arial" w:cs="Arial"/>
          <w:sz w:val="20"/>
          <w:szCs w:val="20"/>
        </w:rPr>
        <w:t>*</w:t>
      </w:r>
      <w:r w:rsidR="00915826">
        <w:rPr>
          <w:rFonts w:ascii="Arial" w:hAnsi="Arial" w:cs="Arial"/>
          <w:sz w:val="20"/>
          <w:szCs w:val="20"/>
        </w:rPr>
        <w:t xml:space="preserve"> </w:t>
      </w:r>
      <w:r w:rsidR="001843AA">
        <w:rPr>
          <w:rFonts w:ascii="Arial" w:hAnsi="Arial" w:cs="Arial"/>
          <w:sz w:val="20"/>
          <w:szCs w:val="20"/>
        </w:rPr>
        <w:t xml:space="preserve">0.0777). </w:t>
      </w:r>
      <w:r>
        <w:rPr>
          <w:rFonts w:ascii="Arial" w:hAnsi="Arial" w:cs="Arial"/>
          <w:sz w:val="20"/>
          <w:szCs w:val="20"/>
        </w:rPr>
        <w:t>This alternate discount rate was used to estimate the DSR achievable potential for the n</w:t>
      </w:r>
      <w:r w:rsidR="001843AA">
        <w:rPr>
          <w:rFonts w:ascii="Arial" w:hAnsi="Arial" w:cs="Arial"/>
          <w:sz w:val="20"/>
          <w:szCs w:val="20"/>
        </w:rPr>
        <w:t>ew DSR bundles (see Fig</w:t>
      </w:r>
      <w:r w:rsidR="00863C22">
        <w:rPr>
          <w:rFonts w:ascii="Arial" w:hAnsi="Arial" w:cs="Arial"/>
          <w:sz w:val="20"/>
          <w:szCs w:val="20"/>
        </w:rPr>
        <w:t>ure</w:t>
      </w:r>
      <w:r w:rsidR="001843AA">
        <w:rPr>
          <w:rFonts w:ascii="Arial" w:hAnsi="Arial" w:cs="Arial"/>
          <w:sz w:val="20"/>
          <w:szCs w:val="20"/>
        </w:rPr>
        <w:t xml:space="preserve"> 7-1</w:t>
      </w:r>
      <w:r w:rsidR="00893189">
        <w:rPr>
          <w:rFonts w:ascii="Arial" w:hAnsi="Arial" w:cs="Arial"/>
          <w:sz w:val="20"/>
          <w:szCs w:val="20"/>
        </w:rPr>
        <w:t>3</w:t>
      </w:r>
      <w:r w:rsidR="001843AA">
        <w:rPr>
          <w:rFonts w:ascii="Arial" w:hAnsi="Arial" w:cs="Arial"/>
          <w:sz w:val="20"/>
          <w:szCs w:val="20"/>
        </w:rPr>
        <w:t xml:space="preserve">). </w:t>
      </w:r>
      <w:r>
        <w:rPr>
          <w:rFonts w:ascii="Arial" w:hAnsi="Arial" w:cs="Arial"/>
          <w:sz w:val="20"/>
          <w:szCs w:val="20"/>
        </w:rPr>
        <w:t>These “alternate discount rate” bundles were then input into the gas portfolio model to obtain the cost-effective level of DSR.  It should be noted that this lower discount rate was applied uniformly to both demand and supply-side resources.</w:t>
      </w:r>
    </w:p>
    <w:p w14:paraId="07F927B2" w14:textId="77777777" w:rsidR="00227F0A" w:rsidRDefault="00227F0A" w:rsidP="00862469">
      <w:pPr>
        <w:spacing w:line="360" w:lineRule="auto"/>
        <w:rPr>
          <w:rFonts w:ascii="Arial" w:hAnsi="Arial" w:cs="Arial"/>
          <w:sz w:val="20"/>
          <w:szCs w:val="20"/>
        </w:rPr>
      </w:pPr>
    </w:p>
    <w:p w14:paraId="7C7493FA" w14:textId="77777777" w:rsidR="00862469" w:rsidRDefault="00862469" w:rsidP="00862469">
      <w:pPr>
        <w:spacing w:line="360" w:lineRule="auto"/>
        <w:rPr>
          <w:rFonts w:ascii="Arial" w:hAnsi="Arial" w:cs="Arial"/>
          <w:sz w:val="20"/>
          <w:szCs w:val="20"/>
        </w:rPr>
      </w:pPr>
      <w:r>
        <w:rPr>
          <w:rFonts w:ascii="Arial" w:hAnsi="Arial" w:cs="Arial"/>
          <w:sz w:val="20"/>
          <w:szCs w:val="20"/>
        </w:rPr>
        <w:t xml:space="preserve">The bundles chosen with the alternate discount rate were at the same point on the supply curve for the residential class and one bundle lower for the commercial class of customers. The net effect was that </w:t>
      </w:r>
    </w:p>
    <w:p w14:paraId="1F5DE67E" w14:textId="77777777" w:rsidR="00862469" w:rsidRDefault="00862469" w:rsidP="0063181C">
      <w:pPr>
        <w:numPr>
          <w:ilvl w:val="0"/>
          <w:numId w:val="23"/>
        </w:numPr>
        <w:spacing w:line="320" w:lineRule="exact"/>
        <w:rPr>
          <w:rFonts w:ascii="Arial" w:hAnsi="Arial" w:cs="Arial"/>
          <w:sz w:val="20"/>
          <w:szCs w:val="20"/>
        </w:rPr>
      </w:pPr>
      <w:proofErr w:type="gramStart"/>
      <w:r>
        <w:rPr>
          <w:rFonts w:ascii="Arial" w:hAnsi="Arial" w:cs="Arial"/>
          <w:sz w:val="20"/>
          <w:szCs w:val="20"/>
        </w:rPr>
        <w:t>savings</w:t>
      </w:r>
      <w:proofErr w:type="gramEnd"/>
      <w:r>
        <w:rPr>
          <w:rFonts w:ascii="Arial" w:hAnsi="Arial" w:cs="Arial"/>
          <w:sz w:val="20"/>
          <w:szCs w:val="20"/>
        </w:rPr>
        <w:t xml:space="preserve"> from residential customers increased near</w:t>
      </w:r>
      <w:r w:rsidR="003E519D">
        <w:rPr>
          <w:rFonts w:ascii="Arial" w:hAnsi="Arial" w:cs="Arial"/>
          <w:sz w:val="20"/>
          <w:szCs w:val="20"/>
        </w:rPr>
        <w:t>ly</w:t>
      </w:r>
      <w:r>
        <w:rPr>
          <w:rFonts w:ascii="Arial" w:hAnsi="Arial" w:cs="Arial"/>
          <w:sz w:val="20"/>
          <w:szCs w:val="20"/>
        </w:rPr>
        <w:t xml:space="preserve"> 50 percent, </w:t>
      </w:r>
    </w:p>
    <w:p w14:paraId="70602F3C" w14:textId="77777777" w:rsidR="00862469" w:rsidRDefault="00862469" w:rsidP="0063181C">
      <w:pPr>
        <w:numPr>
          <w:ilvl w:val="0"/>
          <w:numId w:val="23"/>
        </w:numPr>
        <w:spacing w:line="320" w:lineRule="exact"/>
        <w:rPr>
          <w:rFonts w:ascii="Arial" w:hAnsi="Arial" w:cs="Arial"/>
          <w:sz w:val="20"/>
          <w:szCs w:val="20"/>
        </w:rPr>
      </w:pPr>
      <w:proofErr w:type="gramStart"/>
      <w:r>
        <w:rPr>
          <w:rFonts w:ascii="Arial" w:hAnsi="Arial" w:cs="Arial"/>
          <w:sz w:val="20"/>
          <w:szCs w:val="20"/>
        </w:rPr>
        <w:t>the</w:t>
      </w:r>
      <w:proofErr w:type="gramEnd"/>
      <w:r>
        <w:rPr>
          <w:rFonts w:ascii="Arial" w:hAnsi="Arial" w:cs="Arial"/>
          <w:sz w:val="20"/>
          <w:szCs w:val="20"/>
        </w:rPr>
        <w:t xml:space="preserve"> change in the commercial class was unnoticeable, as the lower bundle had almost the same amount of savings, and </w:t>
      </w:r>
    </w:p>
    <w:p w14:paraId="35010B3B" w14:textId="77777777" w:rsidR="00862469" w:rsidRDefault="00862469" w:rsidP="0063181C">
      <w:pPr>
        <w:numPr>
          <w:ilvl w:val="0"/>
          <w:numId w:val="23"/>
        </w:numPr>
        <w:spacing w:line="320" w:lineRule="exact"/>
        <w:rPr>
          <w:rFonts w:ascii="Arial" w:hAnsi="Arial" w:cs="Arial"/>
          <w:sz w:val="20"/>
          <w:szCs w:val="20"/>
        </w:rPr>
      </w:pPr>
      <w:proofErr w:type="gramStart"/>
      <w:r>
        <w:rPr>
          <w:rFonts w:ascii="Arial" w:hAnsi="Arial" w:cs="Arial"/>
          <w:sz w:val="20"/>
          <w:szCs w:val="20"/>
        </w:rPr>
        <w:t>the</w:t>
      </w:r>
      <w:proofErr w:type="gramEnd"/>
      <w:r>
        <w:rPr>
          <w:rFonts w:ascii="Arial" w:hAnsi="Arial" w:cs="Arial"/>
          <w:sz w:val="20"/>
          <w:szCs w:val="20"/>
        </w:rPr>
        <w:t xml:space="preserve"> industrial class results were the same in both cases </w:t>
      </w:r>
    </w:p>
    <w:p w14:paraId="0418A8C9" w14:textId="77777777" w:rsidR="00227F0A" w:rsidRDefault="00227F0A" w:rsidP="00862469">
      <w:pPr>
        <w:spacing w:line="360" w:lineRule="auto"/>
        <w:rPr>
          <w:rFonts w:ascii="Arial" w:hAnsi="Arial" w:cs="Arial"/>
          <w:sz w:val="20"/>
          <w:szCs w:val="20"/>
        </w:rPr>
      </w:pPr>
    </w:p>
    <w:p w14:paraId="410FCC09" w14:textId="77777777" w:rsidR="00862469" w:rsidRPr="00511E9B" w:rsidRDefault="00862469" w:rsidP="00862469">
      <w:pPr>
        <w:spacing w:line="360" w:lineRule="auto"/>
        <w:rPr>
          <w:rFonts w:ascii="Arial" w:hAnsi="Arial" w:cs="Arial"/>
          <w:sz w:val="20"/>
          <w:szCs w:val="20"/>
        </w:rPr>
      </w:pPr>
      <w:r>
        <w:rPr>
          <w:rFonts w:ascii="Arial" w:hAnsi="Arial" w:cs="Arial"/>
          <w:sz w:val="20"/>
          <w:szCs w:val="20"/>
        </w:rPr>
        <w:t>S</w:t>
      </w:r>
      <w:r w:rsidRPr="00511E9B">
        <w:rPr>
          <w:rFonts w:ascii="Arial" w:hAnsi="Arial" w:cs="Arial"/>
          <w:sz w:val="20"/>
          <w:szCs w:val="20"/>
        </w:rPr>
        <w:t>ee Fig</w:t>
      </w:r>
      <w:r>
        <w:rPr>
          <w:rFonts w:ascii="Arial" w:hAnsi="Arial" w:cs="Arial"/>
          <w:sz w:val="20"/>
          <w:szCs w:val="20"/>
        </w:rPr>
        <w:t>ure</w:t>
      </w:r>
      <w:r w:rsidRPr="00511E9B">
        <w:rPr>
          <w:rFonts w:ascii="Arial" w:hAnsi="Arial" w:cs="Arial"/>
          <w:sz w:val="20"/>
          <w:szCs w:val="20"/>
        </w:rPr>
        <w:t xml:space="preserve"> 7-</w:t>
      </w:r>
      <w:r w:rsidR="009D2100">
        <w:rPr>
          <w:rFonts w:ascii="Arial" w:hAnsi="Arial" w:cs="Arial"/>
          <w:sz w:val="20"/>
          <w:szCs w:val="20"/>
        </w:rPr>
        <w:t>30</w:t>
      </w:r>
      <w:r w:rsidRPr="00511E9B">
        <w:rPr>
          <w:rFonts w:ascii="Arial" w:hAnsi="Arial" w:cs="Arial"/>
          <w:sz w:val="20"/>
          <w:szCs w:val="20"/>
        </w:rPr>
        <w:t xml:space="preserve"> below for the residential customer DSR savings comparison.  </w:t>
      </w:r>
    </w:p>
    <w:p w14:paraId="161344C5" w14:textId="77777777" w:rsidR="00227F0A" w:rsidRDefault="00227F0A" w:rsidP="00862469">
      <w:pPr>
        <w:spacing w:line="360" w:lineRule="auto"/>
        <w:rPr>
          <w:rFonts w:ascii="Arial" w:hAnsi="Arial" w:cs="Arial"/>
          <w:sz w:val="20"/>
          <w:szCs w:val="20"/>
        </w:rPr>
      </w:pPr>
    </w:p>
    <w:p w14:paraId="7C4208B0" w14:textId="77777777" w:rsidR="00862469" w:rsidRDefault="00862469" w:rsidP="00862469">
      <w:pPr>
        <w:spacing w:line="360" w:lineRule="auto"/>
        <w:rPr>
          <w:rFonts w:ascii="Arial" w:hAnsi="Arial" w:cs="Arial"/>
          <w:sz w:val="20"/>
          <w:szCs w:val="20"/>
        </w:rPr>
      </w:pPr>
      <w:r>
        <w:rPr>
          <w:rFonts w:ascii="Arial" w:hAnsi="Arial" w:cs="Arial"/>
          <w:sz w:val="20"/>
          <w:szCs w:val="20"/>
        </w:rPr>
        <w:t>There are slightly more measures – in particular in the residential bundles – since the lower discount rate shifted some of the measures on the margin to the lower cost bundles. Thus the overall cost-effective level of DSR increased on average by about 20 percent by the end of the twentieth year (see Figure 7-</w:t>
      </w:r>
      <w:r w:rsidR="00F761C6">
        <w:rPr>
          <w:rFonts w:ascii="Arial" w:hAnsi="Arial" w:cs="Arial"/>
          <w:sz w:val="20"/>
          <w:szCs w:val="20"/>
        </w:rPr>
        <w:t>3</w:t>
      </w:r>
      <w:r w:rsidR="009E5C65">
        <w:rPr>
          <w:rFonts w:ascii="Arial" w:hAnsi="Arial" w:cs="Arial"/>
          <w:sz w:val="20"/>
          <w:szCs w:val="20"/>
        </w:rPr>
        <w:t>1</w:t>
      </w:r>
      <w:r>
        <w:rPr>
          <w:rFonts w:ascii="Arial" w:hAnsi="Arial" w:cs="Arial"/>
          <w:sz w:val="20"/>
          <w:szCs w:val="20"/>
        </w:rPr>
        <w:t xml:space="preserve">).  While the choice of the appropriate discount rate by customer class is still a topic of discussion, a lower discount </w:t>
      </w:r>
      <w:r w:rsidR="00F5515C">
        <w:rPr>
          <w:rFonts w:ascii="Arial" w:hAnsi="Arial" w:cs="Arial"/>
          <w:sz w:val="20"/>
          <w:szCs w:val="20"/>
        </w:rPr>
        <w:t>rate</w:t>
      </w:r>
      <w:r>
        <w:rPr>
          <w:rFonts w:ascii="Arial" w:hAnsi="Arial" w:cs="Arial"/>
          <w:sz w:val="20"/>
          <w:szCs w:val="20"/>
        </w:rPr>
        <w:t xml:space="preserve"> increases the amount of cost-effective DSR, as expected.  However, in a real program-level evaluation, such an increase in the level of savings will also impact acquisition costs. Higher administrative costs would need to be </w:t>
      </w:r>
      <w:r w:rsidR="00F5515C">
        <w:rPr>
          <w:rFonts w:ascii="Arial" w:hAnsi="Arial" w:cs="Arial"/>
          <w:sz w:val="20"/>
          <w:szCs w:val="20"/>
        </w:rPr>
        <w:t>reflected</w:t>
      </w:r>
      <w:r>
        <w:rPr>
          <w:rFonts w:ascii="Arial" w:hAnsi="Arial" w:cs="Arial"/>
          <w:sz w:val="20"/>
          <w:szCs w:val="20"/>
        </w:rPr>
        <w:t xml:space="preserve"> in the assumptions, and then the bundles would need to be re-optimized.  </w:t>
      </w:r>
    </w:p>
    <w:p w14:paraId="0C5440F3" w14:textId="77777777" w:rsidR="00227F0A" w:rsidRDefault="00227F0A">
      <w:pPr>
        <w:rPr>
          <w:rFonts w:ascii="Arial" w:hAnsi="Arial" w:cs="Arial"/>
          <w:sz w:val="20"/>
          <w:szCs w:val="20"/>
        </w:rPr>
      </w:pPr>
      <w:r>
        <w:rPr>
          <w:rFonts w:ascii="Arial" w:hAnsi="Arial" w:cs="Arial"/>
          <w:sz w:val="20"/>
          <w:szCs w:val="20"/>
        </w:rPr>
        <w:br w:type="page"/>
      </w:r>
    </w:p>
    <w:p w14:paraId="174C6B3E" w14:textId="77777777" w:rsidR="00227F0A" w:rsidRDefault="00227F0A" w:rsidP="00862469">
      <w:pPr>
        <w:spacing w:line="360" w:lineRule="auto"/>
        <w:rPr>
          <w:rFonts w:ascii="Arial" w:hAnsi="Arial" w:cs="Arial"/>
          <w:sz w:val="20"/>
          <w:szCs w:val="20"/>
        </w:rPr>
      </w:pPr>
    </w:p>
    <w:p w14:paraId="69BAEF81" w14:textId="77777777" w:rsidR="0063181C" w:rsidRDefault="00862469" w:rsidP="003667C9">
      <w:pPr>
        <w:pStyle w:val="IRPFigureSub"/>
        <w:spacing w:line="240" w:lineRule="auto"/>
      </w:pPr>
      <w:r>
        <w:t>Fig</w:t>
      </w:r>
      <w:r w:rsidR="00863C22">
        <w:t>ure</w:t>
      </w:r>
      <w:r>
        <w:t xml:space="preserve"> 7-</w:t>
      </w:r>
      <w:r w:rsidR="009D2100">
        <w:t>30</w:t>
      </w:r>
      <w:r>
        <w:t xml:space="preserve">: Compare </w:t>
      </w:r>
      <w:r w:rsidR="0063181C">
        <w:t xml:space="preserve">Cost-effective </w:t>
      </w:r>
      <w:r w:rsidR="00123BCD">
        <w:t>L</w:t>
      </w:r>
      <w:r w:rsidR="0063181C">
        <w:t>evel of Gas DSR,</w:t>
      </w:r>
      <w:r>
        <w:t xml:space="preserve"> </w:t>
      </w:r>
    </w:p>
    <w:p w14:paraId="43831ABA" w14:textId="77777777" w:rsidR="00862469" w:rsidRDefault="00862469" w:rsidP="003667C9">
      <w:pPr>
        <w:pStyle w:val="IRPFigureSub"/>
        <w:spacing w:line="240" w:lineRule="auto"/>
      </w:pPr>
      <w:r>
        <w:t>Base vs</w:t>
      </w:r>
      <w:r w:rsidR="00123BCD">
        <w:t>.</w:t>
      </w:r>
      <w:r>
        <w:t xml:space="preserve"> Alternate Discount Rate by Customer Class – Residential</w:t>
      </w:r>
      <w:r w:rsidR="003667C9">
        <w:br/>
      </w:r>
    </w:p>
    <w:p w14:paraId="17A53CDF" w14:textId="77777777" w:rsidR="00862469" w:rsidRDefault="00862469" w:rsidP="007F71CB">
      <w:pPr>
        <w:tabs>
          <w:tab w:val="left" w:pos="5310"/>
        </w:tabs>
        <w:spacing w:line="360" w:lineRule="auto"/>
        <w:jc w:val="center"/>
        <w:rPr>
          <w:rFonts w:ascii="Arial" w:hAnsi="Arial" w:cs="Arial"/>
          <w:i/>
          <w:sz w:val="20"/>
          <w:szCs w:val="20"/>
        </w:rPr>
      </w:pPr>
      <w:r>
        <w:rPr>
          <w:rFonts w:ascii="Arial" w:hAnsi="Arial" w:cs="Arial"/>
          <w:i/>
          <w:noProof/>
          <w:sz w:val="20"/>
          <w:szCs w:val="20"/>
          <w:lang w:eastAsia="en-US"/>
        </w:rPr>
        <w:drawing>
          <wp:inline distT="0" distB="0" distL="0" distR="0" wp14:anchorId="51F863A1" wp14:editId="4112FF90">
            <wp:extent cx="5362279" cy="3895556"/>
            <wp:effectExtent l="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65076" cy="3897588"/>
                    </a:xfrm>
                    <a:prstGeom prst="rect">
                      <a:avLst/>
                    </a:prstGeom>
                    <a:noFill/>
                  </pic:spPr>
                </pic:pic>
              </a:graphicData>
            </a:graphic>
          </wp:inline>
        </w:drawing>
      </w:r>
    </w:p>
    <w:p w14:paraId="391CEEAF" w14:textId="77777777" w:rsidR="00227F0A" w:rsidRDefault="00227F0A">
      <w:pPr>
        <w:rPr>
          <w:rFonts w:ascii="Arial" w:hAnsi="Arial" w:cs="Arial"/>
          <w:i/>
          <w:sz w:val="20"/>
          <w:szCs w:val="20"/>
        </w:rPr>
      </w:pPr>
      <w:r>
        <w:rPr>
          <w:rFonts w:ascii="Arial" w:hAnsi="Arial" w:cs="Arial"/>
          <w:i/>
          <w:sz w:val="20"/>
          <w:szCs w:val="20"/>
        </w:rPr>
        <w:br w:type="page"/>
      </w:r>
    </w:p>
    <w:p w14:paraId="25FD87D7" w14:textId="77777777" w:rsidR="00862469" w:rsidRDefault="00862469" w:rsidP="00862469">
      <w:pPr>
        <w:spacing w:line="360" w:lineRule="auto"/>
        <w:jc w:val="center"/>
        <w:rPr>
          <w:rFonts w:ascii="Arial" w:hAnsi="Arial" w:cs="Arial"/>
          <w:i/>
          <w:sz w:val="20"/>
          <w:szCs w:val="20"/>
        </w:rPr>
      </w:pPr>
    </w:p>
    <w:p w14:paraId="0A511BE6" w14:textId="77777777" w:rsidR="0063181C" w:rsidRDefault="00862469" w:rsidP="003667C9">
      <w:pPr>
        <w:jc w:val="center"/>
        <w:rPr>
          <w:rFonts w:ascii="Arial" w:hAnsi="Arial" w:cs="Arial"/>
          <w:i/>
          <w:sz w:val="20"/>
          <w:szCs w:val="20"/>
        </w:rPr>
      </w:pPr>
      <w:r>
        <w:rPr>
          <w:rFonts w:ascii="Arial" w:hAnsi="Arial" w:cs="Arial"/>
          <w:i/>
          <w:sz w:val="20"/>
          <w:szCs w:val="20"/>
        </w:rPr>
        <w:t>Fig</w:t>
      </w:r>
      <w:r w:rsidR="00863C22">
        <w:rPr>
          <w:rFonts w:ascii="Arial" w:hAnsi="Arial" w:cs="Arial"/>
          <w:i/>
          <w:sz w:val="20"/>
          <w:szCs w:val="20"/>
        </w:rPr>
        <w:t>ure</w:t>
      </w:r>
      <w:r>
        <w:rPr>
          <w:rFonts w:ascii="Arial" w:hAnsi="Arial" w:cs="Arial"/>
          <w:i/>
          <w:sz w:val="20"/>
          <w:szCs w:val="20"/>
        </w:rPr>
        <w:t xml:space="preserve"> 7-</w:t>
      </w:r>
      <w:r w:rsidR="00F761C6">
        <w:rPr>
          <w:rFonts w:ascii="Arial" w:hAnsi="Arial" w:cs="Arial"/>
          <w:i/>
          <w:sz w:val="20"/>
          <w:szCs w:val="20"/>
        </w:rPr>
        <w:t>3</w:t>
      </w:r>
      <w:r w:rsidR="009D2100">
        <w:rPr>
          <w:rFonts w:ascii="Arial" w:hAnsi="Arial" w:cs="Arial"/>
          <w:i/>
          <w:sz w:val="20"/>
          <w:szCs w:val="20"/>
        </w:rPr>
        <w:t>1</w:t>
      </w:r>
      <w:r>
        <w:rPr>
          <w:rFonts w:ascii="Arial" w:hAnsi="Arial" w:cs="Arial"/>
          <w:i/>
          <w:sz w:val="20"/>
          <w:szCs w:val="20"/>
        </w:rPr>
        <w:t xml:space="preserve">: Compare </w:t>
      </w:r>
      <w:r w:rsidR="0063181C">
        <w:rPr>
          <w:rFonts w:ascii="Arial" w:hAnsi="Arial" w:cs="Arial"/>
          <w:i/>
          <w:sz w:val="20"/>
          <w:szCs w:val="20"/>
        </w:rPr>
        <w:t>Cost-effective Level of Gas DSR,</w:t>
      </w:r>
      <w:r>
        <w:rPr>
          <w:rFonts w:ascii="Arial" w:hAnsi="Arial" w:cs="Arial"/>
          <w:i/>
          <w:sz w:val="20"/>
          <w:szCs w:val="20"/>
        </w:rPr>
        <w:t xml:space="preserve"> </w:t>
      </w:r>
    </w:p>
    <w:p w14:paraId="64A80365" w14:textId="77777777" w:rsidR="00862469" w:rsidRDefault="00862469" w:rsidP="003667C9">
      <w:pPr>
        <w:jc w:val="center"/>
        <w:rPr>
          <w:rFonts w:ascii="Arial" w:hAnsi="Arial" w:cs="Arial"/>
          <w:i/>
          <w:sz w:val="20"/>
          <w:szCs w:val="20"/>
        </w:rPr>
      </w:pPr>
      <w:r>
        <w:rPr>
          <w:rFonts w:ascii="Arial" w:hAnsi="Arial" w:cs="Arial"/>
          <w:i/>
          <w:sz w:val="20"/>
          <w:szCs w:val="20"/>
        </w:rPr>
        <w:t>Base vs</w:t>
      </w:r>
      <w:r w:rsidR="00123BCD">
        <w:rPr>
          <w:rFonts w:ascii="Arial" w:hAnsi="Arial" w:cs="Arial"/>
          <w:i/>
          <w:sz w:val="20"/>
          <w:szCs w:val="20"/>
        </w:rPr>
        <w:t>.</w:t>
      </w:r>
      <w:r>
        <w:rPr>
          <w:rFonts w:ascii="Arial" w:hAnsi="Arial" w:cs="Arial"/>
          <w:i/>
          <w:sz w:val="20"/>
          <w:szCs w:val="20"/>
        </w:rPr>
        <w:t xml:space="preserve"> Alternate Discount Rate</w:t>
      </w:r>
      <w:r w:rsidR="003667C9">
        <w:rPr>
          <w:rFonts w:ascii="Arial" w:hAnsi="Arial" w:cs="Arial"/>
          <w:i/>
          <w:sz w:val="20"/>
          <w:szCs w:val="20"/>
        </w:rPr>
        <w:br/>
      </w:r>
    </w:p>
    <w:p w14:paraId="1C97266A" w14:textId="77777777" w:rsidR="00862469" w:rsidRDefault="00862469" w:rsidP="00862469">
      <w:pPr>
        <w:spacing w:line="360" w:lineRule="auto"/>
        <w:rPr>
          <w:rFonts w:ascii="Arial" w:hAnsi="Arial" w:cs="Arial"/>
          <w:sz w:val="20"/>
          <w:szCs w:val="20"/>
        </w:rPr>
      </w:pPr>
      <w:r>
        <w:rPr>
          <w:rFonts w:ascii="Arial" w:hAnsi="Arial" w:cs="Arial"/>
          <w:sz w:val="20"/>
          <w:szCs w:val="20"/>
        </w:rPr>
        <w:t xml:space="preserve"> </w:t>
      </w:r>
      <w:r>
        <w:rPr>
          <w:rFonts w:ascii="Arial" w:hAnsi="Arial" w:cs="Arial"/>
          <w:noProof/>
          <w:sz w:val="20"/>
          <w:szCs w:val="20"/>
          <w:lang w:eastAsia="en-US"/>
        </w:rPr>
        <w:drawing>
          <wp:inline distT="0" distB="0" distL="0" distR="0" wp14:anchorId="10E31C9E" wp14:editId="73CDA30D">
            <wp:extent cx="5294180" cy="3837940"/>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4180" cy="3837940"/>
                    </a:xfrm>
                    <a:prstGeom prst="rect">
                      <a:avLst/>
                    </a:prstGeom>
                    <a:noFill/>
                    <a:ln>
                      <a:noFill/>
                    </a:ln>
                  </pic:spPr>
                </pic:pic>
              </a:graphicData>
            </a:graphic>
          </wp:inline>
        </w:drawing>
      </w:r>
    </w:p>
    <w:p w14:paraId="6DA9797C" w14:textId="77777777" w:rsidR="00862469" w:rsidRDefault="00862469" w:rsidP="00862469">
      <w:pPr>
        <w:spacing w:line="360" w:lineRule="auto"/>
        <w:rPr>
          <w:rFonts w:ascii="Arial" w:hAnsi="Arial" w:cs="Arial"/>
          <w:sz w:val="20"/>
          <w:szCs w:val="20"/>
        </w:rPr>
      </w:pPr>
    </w:p>
    <w:p w14:paraId="19A6871B" w14:textId="77777777" w:rsidR="001843AA" w:rsidRDefault="00862469" w:rsidP="00862469">
      <w:pPr>
        <w:spacing w:line="360" w:lineRule="auto"/>
        <w:rPr>
          <w:rFonts w:ascii="Arial" w:hAnsi="Arial" w:cs="Arial"/>
          <w:sz w:val="20"/>
          <w:szCs w:val="20"/>
        </w:rPr>
      </w:pPr>
      <w:r w:rsidRPr="00227F0A">
        <w:rPr>
          <w:rFonts w:ascii="Arial" w:hAnsi="Arial" w:cs="Arial"/>
          <w:b/>
          <w:color w:val="006C71"/>
          <w:sz w:val="28"/>
          <w:szCs w:val="20"/>
        </w:rPr>
        <w:t>Pipeline Timing Sensitivity.</w:t>
      </w:r>
      <w:r w:rsidRPr="0066696F">
        <w:rPr>
          <w:rFonts w:ascii="Arial" w:hAnsi="Arial" w:cs="Arial"/>
          <w:b/>
          <w:color w:val="3366FF"/>
          <w:sz w:val="28"/>
          <w:szCs w:val="20"/>
        </w:rPr>
        <w:t xml:space="preserve"> </w:t>
      </w:r>
      <w:r>
        <w:rPr>
          <w:rFonts w:ascii="Arial" w:hAnsi="Arial" w:cs="Arial"/>
          <w:sz w:val="20"/>
          <w:szCs w:val="20"/>
        </w:rPr>
        <w:t xml:space="preserve">In response to the WUTC comments in their letter on the 2013 IRP, PSE ran a “Pipeline Timing” sensitivity to find out how allowing the portfolio model to add pipeline expansions </w:t>
      </w:r>
      <w:r w:rsidR="00E17551">
        <w:rPr>
          <w:rFonts w:ascii="Arial" w:hAnsi="Arial" w:cs="Arial"/>
          <w:sz w:val="20"/>
          <w:szCs w:val="20"/>
        </w:rPr>
        <w:t>more frequently would</w:t>
      </w:r>
      <w:r>
        <w:rPr>
          <w:rFonts w:ascii="Arial" w:hAnsi="Arial" w:cs="Arial"/>
          <w:sz w:val="20"/>
          <w:szCs w:val="20"/>
        </w:rPr>
        <w:t xml:space="preserve"> impact </w:t>
      </w:r>
      <w:r w:rsidR="00E17551">
        <w:rPr>
          <w:rFonts w:ascii="Arial" w:hAnsi="Arial" w:cs="Arial"/>
          <w:sz w:val="20"/>
          <w:szCs w:val="20"/>
        </w:rPr>
        <w:t xml:space="preserve">the </w:t>
      </w:r>
      <w:r>
        <w:rPr>
          <w:rFonts w:ascii="Arial" w:hAnsi="Arial" w:cs="Arial"/>
          <w:sz w:val="20"/>
          <w:szCs w:val="20"/>
        </w:rPr>
        <w:t>resource choices</w:t>
      </w:r>
      <w:r w:rsidR="00E17551">
        <w:rPr>
          <w:rFonts w:ascii="Arial" w:hAnsi="Arial" w:cs="Arial"/>
          <w:sz w:val="20"/>
          <w:szCs w:val="20"/>
        </w:rPr>
        <w:t xml:space="preserve"> made</w:t>
      </w:r>
      <w:r>
        <w:rPr>
          <w:rFonts w:ascii="Arial" w:hAnsi="Arial" w:cs="Arial"/>
          <w:sz w:val="20"/>
          <w:szCs w:val="20"/>
        </w:rPr>
        <w:t xml:space="preserve">. The </w:t>
      </w:r>
      <w:r w:rsidR="00E17551">
        <w:rPr>
          <w:rFonts w:ascii="Arial" w:hAnsi="Arial" w:cs="Arial"/>
          <w:sz w:val="20"/>
          <w:szCs w:val="20"/>
        </w:rPr>
        <w:t xml:space="preserve">2015 IRP </w:t>
      </w:r>
      <w:r>
        <w:rPr>
          <w:rFonts w:ascii="Arial" w:hAnsi="Arial" w:cs="Arial"/>
          <w:sz w:val="20"/>
          <w:szCs w:val="20"/>
        </w:rPr>
        <w:t>baseline assumption of expansion every four years is a more realistic simulation of the acquisition process, since pipeline expansions must be constructed in larger capacities to make them financially viable</w:t>
      </w:r>
      <w:r w:rsidR="00E17551">
        <w:rPr>
          <w:rFonts w:ascii="Arial" w:hAnsi="Arial" w:cs="Arial"/>
          <w:sz w:val="20"/>
          <w:szCs w:val="20"/>
        </w:rPr>
        <w:t>, they require</w:t>
      </w:r>
      <w:r>
        <w:rPr>
          <w:rFonts w:ascii="Arial" w:hAnsi="Arial" w:cs="Arial"/>
          <w:sz w:val="20"/>
          <w:szCs w:val="20"/>
        </w:rPr>
        <w:t xml:space="preserve"> longer lead times to build these larger capacity projects.</w:t>
      </w:r>
    </w:p>
    <w:p w14:paraId="2499D06E" w14:textId="77777777" w:rsidR="00862469" w:rsidRDefault="00862469" w:rsidP="00862469">
      <w:pPr>
        <w:spacing w:line="360" w:lineRule="auto"/>
        <w:rPr>
          <w:rFonts w:ascii="Arial" w:hAnsi="Arial" w:cs="Arial"/>
          <w:sz w:val="20"/>
          <w:szCs w:val="20"/>
        </w:rPr>
      </w:pPr>
    </w:p>
    <w:p w14:paraId="3BDDD996" w14:textId="77777777" w:rsidR="00862469" w:rsidRDefault="00862469" w:rsidP="00862469">
      <w:pPr>
        <w:spacing w:line="360" w:lineRule="auto"/>
        <w:rPr>
          <w:rFonts w:ascii="Arial" w:hAnsi="Arial" w:cs="Arial"/>
          <w:sz w:val="20"/>
          <w:szCs w:val="20"/>
        </w:rPr>
      </w:pPr>
      <w:r>
        <w:rPr>
          <w:rFonts w:ascii="Arial" w:hAnsi="Arial" w:cs="Arial"/>
          <w:sz w:val="20"/>
          <w:szCs w:val="20"/>
        </w:rPr>
        <w:t xml:space="preserve">The results of most of the scenarios </w:t>
      </w:r>
      <w:r w:rsidR="00E17551">
        <w:rPr>
          <w:rFonts w:ascii="Arial" w:hAnsi="Arial" w:cs="Arial"/>
          <w:sz w:val="20"/>
          <w:szCs w:val="20"/>
        </w:rPr>
        <w:t>discussed</w:t>
      </w:r>
      <w:r>
        <w:rPr>
          <w:rFonts w:ascii="Arial" w:hAnsi="Arial" w:cs="Arial"/>
          <w:sz w:val="20"/>
          <w:szCs w:val="20"/>
        </w:rPr>
        <w:t xml:space="preserve"> above show that pipeline expansions were not added till 202</w:t>
      </w:r>
      <w:r w:rsidR="00E17551">
        <w:rPr>
          <w:rFonts w:ascii="Arial" w:hAnsi="Arial" w:cs="Arial"/>
          <w:sz w:val="20"/>
          <w:szCs w:val="20"/>
        </w:rPr>
        <w:t>2</w:t>
      </w:r>
      <w:r>
        <w:rPr>
          <w:rFonts w:ascii="Arial" w:hAnsi="Arial" w:cs="Arial"/>
          <w:sz w:val="20"/>
          <w:szCs w:val="20"/>
        </w:rPr>
        <w:t>.  So, in this sensitivity, the model was modified to allow for pipeline expansion in every year, starting in 202</w:t>
      </w:r>
      <w:r w:rsidR="00DC6D7F">
        <w:rPr>
          <w:rFonts w:ascii="Arial" w:hAnsi="Arial" w:cs="Arial"/>
          <w:sz w:val="20"/>
          <w:szCs w:val="20"/>
        </w:rPr>
        <w:t>2</w:t>
      </w:r>
      <w:r>
        <w:rPr>
          <w:rFonts w:ascii="Arial" w:hAnsi="Arial" w:cs="Arial"/>
          <w:sz w:val="20"/>
          <w:szCs w:val="20"/>
        </w:rPr>
        <w:t xml:space="preserve">. </w:t>
      </w:r>
      <w:r w:rsidR="00893189">
        <w:rPr>
          <w:rFonts w:ascii="Arial" w:hAnsi="Arial" w:cs="Arial"/>
          <w:sz w:val="20"/>
          <w:szCs w:val="20"/>
        </w:rPr>
        <w:t>As shown in Figure 7-32, t</w:t>
      </w:r>
      <w:r>
        <w:rPr>
          <w:rFonts w:ascii="Arial" w:hAnsi="Arial" w:cs="Arial"/>
          <w:sz w:val="20"/>
          <w:szCs w:val="20"/>
        </w:rPr>
        <w:t>he result was a smoother load/resource balance starting in 202</w:t>
      </w:r>
      <w:r w:rsidR="00DC6D7F">
        <w:rPr>
          <w:rFonts w:ascii="Arial" w:hAnsi="Arial" w:cs="Arial"/>
          <w:sz w:val="20"/>
          <w:szCs w:val="20"/>
        </w:rPr>
        <w:t>2</w:t>
      </w:r>
      <w:r>
        <w:rPr>
          <w:rFonts w:ascii="Arial" w:hAnsi="Arial" w:cs="Arial"/>
          <w:sz w:val="20"/>
          <w:szCs w:val="20"/>
        </w:rPr>
        <w:t xml:space="preserve"> instead of the step or “lumpy” resource additions that were seen in Figure 7-</w:t>
      </w:r>
      <w:r w:rsidR="00E30D9C">
        <w:rPr>
          <w:rFonts w:ascii="Arial" w:hAnsi="Arial" w:cs="Arial"/>
          <w:sz w:val="20"/>
          <w:szCs w:val="20"/>
        </w:rPr>
        <w:t>2</w:t>
      </w:r>
      <w:r w:rsidR="00893189">
        <w:rPr>
          <w:rFonts w:ascii="Arial" w:hAnsi="Arial" w:cs="Arial"/>
          <w:sz w:val="20"/>
          <w:szCs w:val="20"/>
        </w:rPr>
        <w:t>7</w:t>
      </w:r>
      <w:r w:rsidR="00E30D9C">
        <w:rPr>
          <w:rFonts w:ascii="Arial" w:hAnsi="Arial" w:cs="Arial"/>
          <w:sz w:val="20"/>
          <w:szCs w:val="20"/>
        </w:rPr>
        <w:t xml:space="preserve"> </w:t>
      </w:r>
      <w:r>
        <w:rPr>
          <w:rFonts w:ascii="Arial" w:hAnsi="Arial" w:cs="Arial"/>
          <w:sz w:val="20"/>
          <w:szCs w:val="20"/>
        </w:rPr>
        <w:t xml:space="preserve">above. </w:t>
      </w:r>
    </w:p>
    <w:p w14:paraId="48F13039" w14:textId="77777777" w:rsidR="00227F0A" w:rsidRDefault="00227F0A">
      <w:pPr>
        <w:rPr>
          <w:rFonts w:ascii="Arial" w:hAnsi="Arial" w:cs="Arial"/>
          <w:sz w:val="20"/>
          <w:szCs w:val="20"/>
          <w:highlight w:val="yellow"/>
        </w:rPr>
      </w:pPr>
      <w:r>
        <w:rPr>
          <w:rFonts w:ascii="Arial" w:hAnsi="Arial" w:cs="Arial"/>
          <w:sz w:val="20"/>
          <w:szCs w:val="20"/>
          <w:highlight w:val="yellow"/>
        </w:rPr>
        <w:br w:type="page"/>
      </w:r>
    </w:p>
    <w:p w14:paraId="67D3E7A7" w14:textId="77777777" w:rsidR="00227F0A" w:rsidRDefault="00227F0A" w:rsidP="00862469">
      <w:pPr>
        <w:spacing w:line="360" w:lineRule="auto"/>
        <w:rPr>
          <w:rFonts w:ascii="Arial" w:hAnsi="Arial" w:cs="Arial"/>
          <w:sz w:val="20"/>
          <w:szCs w:val="20"/>
        </w:rPr>
      </w:pPr>
    </w:p>
    <w:p w14:paraId="476ACF8E" w14:textId="77777777" w:rsidR="00862469" w:rsidRDefault="00862469" w:rsidP="00227F0A">
      <w:pPr>
        <w:spacing w:after="120" w:line="360" w:lineRule="auto"/>
        <w:jc w:val="center"/>
        <w:rPr>
          <w:rFonts w:ascii="Arial" w:hAnsi="Arial" w:cs="Arial"/>
          <w:i/>
          <w:sz w:val="20"/>
          <w:szCs w:val="20"/>
        </w:rPr>
      </w:pPr>
      <w:r>
        <w:rPr>
          <w:rFonts w:ascii="Arial" w:hAnsi="Arial" w:cs="Arial"/>
          <w:i/>
          <w:sz w:val="20"/>
          <w:szCs w:val="20"/>
        </w:rPr>
        <w:t>Fig</w:t>
      </w:r>
      <w:r w:rsidR="00863C22">
        <w:rPr>
          <w:rFonts w:ascii="Arial" w:hAnsi="Arial" w:cs="Arial"/>
          <w:i/>
          <w:sz w:val="20"/>
          <w:szCs w:val="20"/>
        </w:rPr>
        <w:t>ure</w:t>
      </w:r>
      <w:r>
        <w:rPr>
          <w:rFonts w:ascii="Arial" w:hAnsi="Arial" w:cs="Arial"/>
          <w:i/>
          <w:sz w:val="20"/>
          <w:szCs w:val="20"/>
        </w:rPr>
        <w:t xml:space="preserve"> 7-</w:t>
      </w:r>
      <w:r w:rsidR="00F761C6">
        <w:rPr>
          <w:rFonts w:ascii="Arial" w:hAnsi="Arial" w:cs="Arial"/>
          <w:i/>
          <w:sz w:val="20"/>
          <w:szCs w:val="20"/>
        </w:rPr>
        <w:t>3</w:t>
      </w:r>
      <w:r w:rsidR="009D2100">
        <w:rPr>
          <w:rFonts w:ascii="Arial" w:hAnsi="Arial" w:cs="Arial"/>
          <w:i/>
          <w:sz w:val="20"/>
          <w:szCs w:val="20"/>
        </w:rPr>
        <w:t>2</w:t>
      </w:r>
      <w:r w:rsidR="00227F0A">
        <w:rPr>
          <w:rFonts w:ascii="Arial" w:hAnsi="Arial" w:cs="Arial"/>
          <w:i/>
          <w:sz w:val="20"/>
          <w:szCs w:val="20"/>
        </w:rPr>
        <w:t xml:space="preserve">. </w:t>
      </w:r>
      <w:r>
        <w:rPr>
          <w:rFonts w:ascii="Arial" w:hAnsi="Arial" w:cs="Arial"/>
          <w:i/>
          <w:sz w:val="20"/>
          <w:szCs w:val="20"/>
        </w:rPr>
        <w:t>Pipeline Timing Sensitivity Gas Resource Portfolio</w:t>
      </w:r>
    </w:p>
    <w:p w14:paraId="67A944EA" w14:textId="77777777" w:rsidR="00862469" w:rsidRDefault="00DC6D7F" w:rsidP="00862469">
      <w:pPr>
        <w:spacing w:line="360" w:lineRule="auto"/>
        <w:jc w:val="center"/>
        <w:rPr>
          <w:rFonts w:ascii="Arial" w:hAnsi="Arial" w:cs="Arial"/>
          <w:i/>
          <w:sz w:val="20"/>
          <w:szCs w:val="20"/>
        </w:rPr>
      </w:pPr>
      <w:r>
        <w:rPr>
          <w:rFonts w:ascii="Arial" w:hAnsi="Arial" w:cs="Arial"/>
          <w:i/>
          <w:noProof/>
          <w:sz w:val="20"/>
          <w:szCs w:val="20"/>
          <w:lang w:eastAsia="en-US"/>
        </w:rPr>
        <w:drawing>
          <wp:inline distT="0" distB="0" distL="0" distR="0" wp14:anchorId="32F518C4" wp14:editId="7FC3F888">
            <wp:extent cx="5240145" cy="3657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38695" cy="3656588"/>
                    </a:xfrm>
                    <a:prstGeom prst="rect">
                      <a:avLst/>
                    </a:prstGeom>
                    <a:noFill/>
                  </pic:spPr>
                </pic:pic>
              </a:graphicData>
            </a:graphic>
          </wp:inline>
        </w:drawing>
      </w:r>
    </w:p>
    <w:p w14:paraId="63C5A60A" w14:textId="77777777" w:rsidR="00862469" w:rsidRDefault="00862469" w:rsidP="00862469">
      <w:pPr>
        <w:spacing w:line="360" w:lineRule="auto"/>
        <w:jc w:val="center"/>
        <w:rPr>
          <w:rFonts w:ascii="Arial" w:hAnsi="Arial" w:cs="Arial"/>
          <w:i/>
          <w:sz w:val="20"/>
          <w:szCs w:val="20"/>
        </w:rPr>
      </w:pPr>
    </w:p>
    <w:p w14:paraId="307FB017" w14:textId="77777777" w:rsidR="00862469" w:rsidRDefault="00862469" w:rsidP="00862469">
      <w:pPr>
        <w:spacing w:line="360" w:lineRule="auto"/>
        <w:rPr>
          <w:rFonts w:ascii="Arial" w:hAnsi="Arial" w:cs="Arial"/>
          <w:sz w:val="20"/>
          <w:szCs w:val="20"/>
        </w:rPr>
      </w:pPr>
      <w:r w:rsidRPr="00644F7F">
        <w:rPr>
          <w:rFonts w:ascii="Arial" w:hAnsi="Arial" w:cs="Arial"/>
          <w:sz w:val="20"/>
          <w:szCs w:val="20"/>
        </w:rPr>
        <w:t xml:space="preserve">The portfolio builds for the </w:t>
      </w:r>
      <w:r w:rsidR="00DC6D7F">
        <w:rPr>
          <w:rFonts w:ascii="Arial" w:hAnsi="Arial" w:cs="Arial"/>
          <w:sz w:val="20"/>
          <w:szCs w:val="20"/>
        </w:rPr>
        <w:t>Pipeline Timing sensitivity</w:t>
      </w:r>
      <w:r w:rsidR="00DC6D7F" w:rsidRPr="00644F7F">
        <w:rPr>
          <w:rFonts w:ascii="Arial" w:hAnsi="Arial" w:cs="Arial"/>
          <w:sz w:val="20"/>
          <w:szCs w:val="20"/>
        </w:rPr>
        <w:t xml:space="preserve"> </w:t>
      </w:r>
      <w:r w:rsidRPr="00644F7F">
        <w:rPr>
          <w:rFonts w:ascii="Arial" w:hAnsi="Arial" w:cs="Arial"/>
          <w:sz w:val="20"/>
          <w:szCs w:val="20"/>
        </w:rPr>
        <w:t>are</w:t>
      </w:r>
      <w:r>
        <w:rPr>
          <w:rFonts w:ascii="Arial" w:hAnsi="Arial" w:cs="Arial"/>
          <w:sz w:val="20"/>
          <w:szCs w:val="20"/>
        </w:rPr>
        <w:t xml:space="preserve"> shown in comparison with the Base Scenario portfolio in Figure 7-3</w:t>
      </w:r>
      <w:r w:rsidR="009D2100">
        <w:rPr>
          <w:rFonts w:ascii="Arial" w:hAnsi="Arial" w:cs="Arial"/>
          <w:sz w:val="20"/>
          <w:szCs w:val="20"/>
        </w:rPr>
        <w:t>3</w:t>
      </w:r>
      <w:r>
        <w:rPr>
          <w:rFonts w:ascii="Arial" w:hAnsi="Arial" w:cs="Arial"/>
          <w:sz w:val="20"/>
          <w:szCs w:val="20"/>
        </w:rPr>
        <w:t xml:space="preserve"> below. The chart below shows that the </w:t>
      </w:r>
      <w:proofErr w:type="spellStart"/>
      <w:r w:rsidR="00163C77">
        <w:rPr>
          <w:rFonts w:ascii="Arial" w:hAnsi="Arial" w:cs="Arial"/>
          <w:sz w:val="20"/>
          <w:szCs w:val="20"/>
        </w:rPr>
        <w:t>Swarr</w:t>
      </w:r>
      <w:proofErr w:type="spellEnd"/>
      <w:r w:rsidR="00163C77">
        <w:rPr>
          <w:rFonts w:ascii="Arial" w:hAnsi="Arial" w:cs="Arial"/>
          <w:sz w:val="20"/>
          <w:szCs w:val="20"/>
        </w:rPr>
        <w:t xml:space="preserve"> and PSE LNG Project </w:t>
      </w:r>
      <w:r>
        <w:rPr>
          <w:rFonts w:ascii="Arial" w:hAnsi="Arial" w:cs="Arial"/>
          <w:sz w:val="20"/>
          <w:szCs w:val="20"/>
        </w:rPr>
        <w:t xml:space="preserve">non-pipeline resource additions are the same in the Base Scenario as in the </w:t>
      </w:r>
      <w:r w:rsidR="00163C77">
        <w:rPr>
          <w:rFonts w:ascii="Arial" w:hAnsi="Arial" w:cs="Arial"/>
          <w:sz w:val="20"/>
          <w:szCs w:val="20"/>
        </w:rPr>
        <w:t xml:space="preserve">Pipeline Timing </w:t>
      </w:r>
      <w:r>
        <w:rPr>
          <w:rFonts w:ascii="Arial" w:hAnsi="Arial" w:cs="Arial"/>
          <w:sz w:val="20"/>
          <w:szCs w:val="20"/>
        </w:rPr>
        <w:t xml:space="preserve">sensitivity. </w:t>
      </w:r>
      <w:r w:rsidR="00B67143">
        <w:rPr>
          <w:rFonts w:ascii="Arial" w:hAnsi="Arial" w:cs="Arial"/>
          <w:sz w:val="20"/>
          <w:szCs w:val="20"/>
        </w:rPr>
        <w:t>The GPM indicates that gas pipeline capacity is more cost effective than t</w:t>
      </w:r>
      <w:r w:rsidR="00EF16E0">
        <w:rPr>
          <w:rFonts w:ascii="Arial" w:hAnsi="Arial" w:cs="Arial"/>
          <w:sz w:val="20"/>
          <w:szCs w:val="20"/>
        </w:rPr>
        <w:t xml:space="preserve">he Mist storage expansion </w:t>
      </w:r>
      <w:r w:rsidR="00116F83">
        <w:rPr>
          <w:rFonts w:ascii="Arial" w:hAnsi="Arial" w:cs="Arial"/>
          <w:sz w:val="20"/>
          <w:szCs w:val="20"/>
        </w:rPr>
        <w:t>as it chooses</w:t>
      </w:r>
      <w:r w:rsidR="00EF16E0">
        <w:rPr>
          <w:rFonts w:ascii="Arial" w:hAnsi="Arial" w:cs="Arial"/>
          <w:sz w:val="20"/>
          <w:szCs w:val="20"/>
        </w:rPr>
        <w:t xml:space="preserve"> less than half of the </w:t>
      </w:r>
      <w:r w:rsidR="00116F83">
        <w:rPr>
          <w:rFonts w:ascii="Arial" w:hAnsi="Arial" w:cs="Arial"/>
          <w:sz w:val="20"/>
          <w:szCs w:val="20"/>
        </w:rPr>
        <w:t>Mist storage expansion tha</w:t>
      </w:r>
      <w:r w:rsidR="00893189">
        <w:rPr>
          <w:rFonts w:ascii="Arial" w:hAnsi="Arial" w:cs="Arial"/>
          <w:sz w:val="20"/>
          <w:szCs w:val="20"/>
        </w:rPr>
        <w:t>t</w:t>
      </w:r>
      <w:r w:rsidR="00116F83">
        <w:rPr>
          <w:rFonts w:ascii="Arial" w:hAnsi="Arial" w:cs="Arial"/>
          <w:sz w:val="20"/>
          <w:szCs w:val="20"/>
        </w:rPr>
        <w:t xml:space="preserve"> was</w:t>
      </w:r>
      <w:r w:rsidR="00EF16E0">
        <w:rPr>
          <w:rFonts w:ascii="Arial" w:hAnsi="Arial" w:cs="Arial"/>
          <w:sz w:val="20"/>
          <w:szCs w:val="20"/>
        </w:rPr>
        <w:t xml:space="preserve"> selected in the Base Scenario.  </w:t>
      </w:r>
      <w:r w:rsidR="00163C77">
        <w:rPr>
          <w:rFonts w:ascii="Arial" w:hAnsi="Arial" w:cs="Arial"/>
          <w:sz w:val="20"/>
          <w:szCs w:val="20"/>
        </w:rPr>
        <w:t>DSR for the commercial firm customers</w:t>
      </w:r>
      <w:r w:rsidR="00116F83">
        <w:rPr>
          <w:rFonts w:ascii="Arial" w:hAnsi="Arial" w:cs="Arial"/>
          <w:sz w:val="20"/>
          <w:szCs w:val="20"/>
        </w:rPr>
        <w:t xml:space="preserve"> is also less in the Pipeline Timing sensitivity</w:t>
      </w:r>
      <w:r w:rsidR="00163C77">
        <w:rPr>
          <w:rFonts w:ascii="Arial" w:hAnsi="Arial" w:cs="Arial"/>
          <w:sz w:val="20"/>
          <w:szCs w:val="20"/>
        </w:rPr>
        <w:t xml:space="preserve">.  </w:t>
      </w:r>
      <w:r w:rsidR="00116F83">
        <w:rPr>
          <w:rFonts w:ascii="Arial" w:hAnsi="Arial" w:cs="Arial"/>
          <w:sz w:val="20"/>
          <w:szCs w:val="20"/>
        </w:rPr>
        <w:t>All in all,</w:t>
      </w:r>
      <w:r>
        <w:rPr>
          <w:rFonts w:ascii="Arial" w:hAnsi="Arial" w:cs="Arial"/>
          <w:sz w:val="20"/>
          <w:szCs w:val="20"/>
        </w:rPr>
        <w:t xml:space="preserve"> there is no impact to other resource additions</w:t>
      </w:r>
      <w:r w:rsidR="00116F83">
        <w:rPr>
          <w:rFonts w:ascii="Arial" w:hAnsi="Arial" w:cs="Arial"/>
          <w:sz w:val="20"/>
          <w:szCs w:val="20"/>
        </w:rPr>
        <w:t xml:space="preserve"> prior to 2030</w:t>
      </w:r>
      <w:r>
        <w:rPr>
          <w:rFonts w:ascii="Arial" w:hAnsi="Arial" w:cs="Arial"/>
          <w:sz w:val="20"/>
          <w:szCs w:val="20"/>
        </w:rPr>
        <w:t xml:space="preserve">, even when pipeline capacity is added every year versus every four years.  </w:t>
      </w:r>
    </w:p>
    <w:p w14:paraId="2D932FC2" w14:textId="77777777" w:rsidR="00227F0A" w:rsidRDefault="00227F0A">
      <w:pPr>
        <w:rPr>
          <w:rFonts w:ascii="Arial" w:hAnsi="Arial" w:cs="Arial"/>
          <w:sz w:val="20"/>
          <w:szCs w:val="20"/>
        </w:rPr>
      </w:pPr>
      <w:r>
        <w:rPr>
          <w:rFonts w:ascii="Arial" w:hAnsi="Arial" w:cs="Arial"/>
          <w:sz w:val="20"/>
          <w:szCs w:val="20"/>
        </w:rPr>
        <w:br w:type="page"/>
      </w:r>
    </w:p>
    <w:p w14:paraId="029BF14F" w14:textId="77777777" w:rsidR="00227F0A" w:rsidRDefault="00227F0A" w:rsidP="00227F0A">
      <w:pPr>
        <w:spacing w:line="360" w:lineRule="auto"/>
        <w:rPr>
          <w:rFonts w:ascii="Arial" w:hAnsi="Arial" w:cs="Arial"/>
          <w:sz w:val="20"/>
          <w:szCs w:val="20"/>
        </w:rPr>
      </w:pPr>
    </w:p>
    <w:p w14:paraId="33851048" w14:textId="77777777" w:rsidR="00862469" w:rsidRDefault="00862469" w:rsidP="00F36970">
      <w:pPr>
        <w:spacing w:after="120" w:line="360" w:lineRule="auto"/>
        <w:jc w:val="center"/>
        <w:rPr>
          <w:rFonts w:ascii="Arial" w:hAnsi="Arial" w:cs="Arial"/>
          <w:i/>
          <w:sz w:val="20"/>
          <w:szCs w:val="20"/>
        </w:rPr>
      </w:pPr>
      <w:r>
        <w:rPr>
          <w:rFonts w:ascii="Arial" w:hAnsi="Arial" w:cs="Arial"/>
          <w:i/>
          <w:sz w:val="20"/>
          <w:szCs w:val="20"/>
        </w:rPr>
        <w:t>Fig</w:t>
      </w:r>
      <w:r w:rsidR="00863C22">
        <w:rPr>
          <w:rFonts w:ascii="Arial" w:hAnsi="Arial" w:cs="Arial"/>
          <w:i/>
          <w:sz w:val="20"/>
          <w:szCs w:val="20"/>
        </w:rPr>
        <w:t>ure</w:t>
      </w:r>
      <w:r>
        <w:rPr>
          <w:rFonts w:ascii="Arial" w:hAnsi="Arial" w:cs="Arial"/>
          <w:i/>
          <w:sz w:val="20"/>
          <w:szCs w:val="20"/>
        </w:rPr>
        <w:t xml:space="preserve"> 7-3</w:t>
      </w:r>
      <w:r w:rsidR="009D2100">
        <w:rPr>
          <w:rFonts w:ascii="Arial" w:hAnsi="Arial" w:cs="Arial"/>
          <w:i/>
          <w:sz w:val="20"/>
          <w:szCs w:val="20"/>
        </w:rPr>
        <w:t>3</w:t>
      </w:r>
      <w:r w:rsidR="003667C9">
        <w:rPr>
          <w:rFonts w:ascii="Arial" w:hAnsi="Arial" w:cs="Arial"/>
          <w:i/>
          <w:sz w:val="20"/>
          <w:szCs w:val="20"/>
        </w:rPr>
        <w:t xml:space="preserve">. </w:t>
      </w:r>
      <w:r>
        <w:rPr>
          <w:rFonts w:ascii="Arial" w:hAnsi="Arial" w:cs="Arial"/>
          <w:i/>
          <w:sz w:val="20"/>
          <w:szCs w:val="20"/>
        </w:rPr>
        <w:t>Impact on other Resource Builds from Pipeline Timing Sensitivity</w:t>
      </w:r>
    </w:p>
    <w:p w14:paraId="12CE76EC" w14:textId="77777777" w:rsidR="00862469" w:rsidRDefault="002D313B" w:rsidP="00862469">
      <w:pPr>
        <w:spacing w:line="360" w:lineRule="auto"/>
        <w:jc w:val="center"/>
        <w:rPr>
          <w:rFonts w:ascii="Arial" w:hAnsi="Arial" w:cs="Arial"/>
          <w:i/>
          <w:sz w:val="20"/>
          <w:szCs w:val="20"/>
        </w:rPr>
      </w:pPr>
      <w:r>
        <w:rPr>
          <w:rFonts w:ascii="Arial" w:hAnsi="Arial" w:cs="Arial"/>
          <w:i/>
          <w:noProof/>
          <w:sz w:val="20"/>
          <w:szCs w:val="20"/>
          <w:lang w:eastAsia="en-US"/>
        </w:rPr>
        <w:drawing>
          <wp:inline distT="0" distB="0" distL="0" distR="0" wp14:anchorId="1C2277BD" wp14:editId="71584AB9">
            <wp:extent cx="5011947" cy="3501984"/>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13995" cy="3503415"/>
                    </a:xfrm>
                    <a:prstGeom prst="rect">
                      <a:avLst/>
                    </a:prstGeom>
                    <a:noFill/>
                  </pic:spPr>
                </pic:pic>
              </a:graphicData>
            </a:graphic>
          </wp:inline>
        </w:drawing>
      </w:r>
    </w:p>
    <w:p w14:paraId="15B50145" w14:textId="77777777" w:rsidR="00862469" w:rsidRDefault="00862469" w:rsidP="00862469"/>
    <w:p w14:paraId="5BFE7D1F" w14:textId="77777777" w:rsidR="00F96C37" w:rsidRDefault="00F96C37" w:rsidP="00862469">
      <w:pPr>
        <w:pStyle w:val="IRPsanstext"/>
      </w:pPr>
    </w:p>
    <w:sectPr w:rsidR="00F96C37" w:rsidSect="003B257E">
      <w:headerReference w:type="default" r:id="rId34"/>
      <w:footerReference w:type="default" r:id="rId35"/>
      <w:pgSz w:w="12240" w:h="15840"/>
      <w:pgMar w:top="1440" w:right="1800" w:bottom="126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6A0AE9" w14:textId="77777777" w:rsidR="00CD3F21" w:rsidRDefault="00CD3F21" w:rsidP="00601E72">
      <w:r>
        <w:separator/>
      </w:r>
    </w:p>
  </w:endnote>
  <w:endnote w:type="continuationSeparator" w:id="0">
    <w:p w14:paraId="15B0B824" w14:textId="77777777" w:rsidR="00CD3F21" w:rsidRDefault="00CD3F21" w:rsidP="0060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altName w:val="Arial"/>
    <w:panose1 w:val="020F0502020204030204"/>
    <w:charset w:val="00"/>
    <w:family w:val="roman"/>
    <w:notTrueType/>
    <w:pitch w:val="default"/>
  </w:font>
  <w:font w:name="MS Mincho">
    <w:altName w:val="ＭＳ 明朝"/>
    <w:charset w:val="80"/>
    <w:family w:val="modern"/>
    <w:pitch w:val="fixed"/>
    <w:sig w:usb0="E00002FF" w:usb1="6AC7FDFB" w:usb2="00000012" w:usb3="00000000" w:csb0="000200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Garamond">
    <w:altName w:val="Athelas Bold Italic"/>
    <w:panose1 w:val="02020404030301010803"/>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Palatino">
    <w:panose1 w:val="020005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ArialNarrow-Italic">
    <w:altName w:val="Arial Narrow"/>
    <w:panose1 w:val="020B05060202020A0204"/>
    <w:charset w:val="00"/>
    <w:family w:val="swiss"/>
    <w:notTrueType/>
    <w:pitch w:val="default"/>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Cambria">
    <w:altName w:val="Times New Roman"/>
    <w:panose1 w:val="02040503050406030204"/>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AA820" w14:textId="77777777" w:rsidR="00CD3F21" w:rsidRPr="00A075A9" w:rsidRDefault="00CD3F21" w:rsidP="003B257E">
    <w:pPr>
      <w:pStyle w:val="Footer"/>
      <w:framePr w:wrap="around" w:vAnchor="text" w:hAnchor="page" w:x="5905" w:y="-3"/>
      <w:ind w:right="-72"/>
      <w:rPr>
        <w:rStyle w:val="PageNumber"/>
      </w:rPr>
    </w:pPr>
    <w:r>
      <w:rPr>
        <w:rStyle w:val="PageNumber"/>
        <w:rFonts w:ascii="Palatino" w:hAnsi="Palatino"/>
        <w:i/>
        <w:sz w:val="20"/>
        <w:szCs w:val="20"/>
      </w:rPr>
      <w:t>7</w:t>
    </w:r>
    <w:r w:rsidRPr="00A075A9">
      <w:rPr>
        <w:rStyle w:val="PageNumber"/>
        <w:rFonts w:ascii="Palatino" w:hAnsi="Palatino"/>
        <w:i/>
        <w:sz w:val="20"/>
        <w:szCs w:val="20"/>
      </w:rPr>
      <w:t xml:space="preserve"> - </w:t>
    </w:r>
    <w:r w:rsidR="000B429E" w:rsidRPr="00A075A9">
      <w:rPr>
        <w:rStyle w:val="PageNumber"/>
        <w:rFonts w:ascii="Palatino" w:hAnsi="Palatino"/>
        <w:i/>
        <w:sz w:val="20"/>
        <w:szCs w:val="20"/>
      </w:rPr>
      <w:fldChar w:fldCharType="begin"/>
    </w:r>
    <w:r w:rsidRPr="00A075A9">
      <w:rPr>
        <w:rStyle w:val="PageNumber"/>
        <w:rFonts w:ascii="Palatino" w:hAnsi="Palatino"/>
        <w:i/>
        <w:sz w:val="20"/>
        <w:szCs w:val="20"/>
      </w:rPr>
      <w:instrText xml:space="preserve">PAGE  </w:instrText>
    </w:r>
    <w:r w:rsidR="000B429E" w:rsidRPr="00A075A9">
      <w:rPr>
        <w:rStyle w:val="PageNumber"/>
        <w:rFonts w:ascii="Palatino" w:hAnsi="Palatino"/>
        <w:i/>
        <w:sz w:val="20"/>
        <w:szCs w:val="20"/>
      </w:rPr>
      <w:fldChar w:fldCharType="separate"/>
    </w:r>
    <w:r w:rsidR="00DC12BD">
      <w:rPr>
        <w:rStyle w:val="PageNumber"/>
        <w:rFonts w:ascii="Palatino" w:hAnsi="Palatino"/>
        <w:i/>
        <w:noProof/>
        <w:sz w:val="20"/>
        <w:szCs w:val="20"/>
      </w:rPr>
      <w:t>32</w:t>
    </w:r>
    <w:r w:rsidR="000B429E" w:rsidRPr="00A075A9">
      <w:rPr>
        <w:rStyle w:val="PageNumber"/>
        <w:rFonts w:ascii="Palatino" w:hAnsi="Palatino"/>
        <w:i/>
        <w:sz w:val="20"/>
        <w:szCs w:val="20"/>
      </w:rPr>
      <w:fldChar w:fldCharType="end"/>
    </w:r>
  </w:p>
  <w:p w14:paraId="6040AC7D" w14:textId="70C6F985" w:rsidR="00CD3F21" w:rsidRDefault="009D7D51" w:rsidP="0020632A">
    <w:pPr>
      <w:pStyle w:val="Footer"/>
      <w:jc w:val="center"/>
      <w:rPr>
        <w:rFonts w:ascii="Palatino" w:hAnsi="Palatino"/>
      </w:rPr>
    </w:pPr>
    <w:r>
      <w:rPr>
        <w:rFonts w:ascii="Palatino" w:hAnsi="Palatino"/>
        <w:noProof/>
        <w:lang w:eastAsia="en-US"/>
      </w:rPr>
      <mc:AlternateContent>
        <mc:Choice Requires="wps">
          <w:drawing>
            <wp:anchor distT="0" distB="0" distL="114300" distR="114300" simplePos="0" relativeHeight="251661312" behindDoc="0" locked="0" layoutInCell="1" allowOverlap="1" wp14:anchorId="2F7D390A" wp14:editId="18DCFC47">
              <wp:simplePos x="0" y="0"/>
              <wp:positionH relativeFrom="column">
                <wp:posOffset>3480435</wp:posOffset>
              </wp:positionH>
              <wp:positionV relativeFrom="paragraph">
                <wp:posOffset>-4445</wp:posOffset>
              </wp:positionV>
              <wp:extent cx="2286000" cy="2286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9168636" w14:textId="77777777" w:rsidR="00CD3F21" w:rsidRDefault="00CD3F21" w:rsidP="00F67D2D">
                          <w:pPr>
                            <w:jc w:val="right"/>
                          </w:pPr>
                          <w:r>
                            <w:rPr>
                              <w:rFonts w:ascii="Palatino" w:eastAsiaTheme="minorEastAsia" w:hAnsi="Palatino" w:cs="Arial"/>
                              <w:i/>
                              <w:color w:val="156570"/>
                              <w:sz w:val="20"/>
                              <w:szCs w:val="20"/>
                            </w:rPr>
                            <w:t>2015 PSE IRP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8" type="#_x0000_t202" style="position:absolute;left:0;text-align:left;margin-left:274.05pt;margin-top:-.3pt;width:18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" filled="f" stroked="f">
              <v:path arrowok="t"/>
              <v:textbox>
                <w:txbxContent>
                  <w:p w14:paraId="79168636" w14:textId="77777777" w:rsidR="00CD3F21" w:rsidRDefault="00CD3F21" w:rsidP="00F67D2D">
                    <w:pPr>
                      <w:jc w:val="right"/>
                    </w:pPr>
                    <w:r>
                      <w:rPr>
                        <w:rFonts w:ascii="Palatino" w:eastAsiaTheme="minorEastAsia" w:hAnsi="Palatino" w:cs="Arial"/>
                        <w:i/>
                        <w:color w:val="156570"/>
                        <w:sz w:val="20"/>
                        <w:szCs w:val="20"/>
                      </w:rPr>
                      <w:t>2015 PSE IRP</w:t>
                    </w:r>
                  </w:p>
                </w:txbxContent>
              </v:textbox>
            </v:shape>
          </w:pict>
        </mc:Fallback>
      </mc:AlternateContent>
    </w:r>
  </w:p>
  <w:p w14:paraId="2C262196" w14:textId="77777777" w:rsidR="00CD3F21" w:rsidRPr="0020632A" w:rsidRDefault="00CD3F21" w:rsidP="003B257E">
    <w:pPr>
      <w:pStyle w:val="Footer"/>
      <w:tabs>
        <w:tab w:val="left" w:pos="4680"/>
      </w:tabs>
      <w:jc w:val="center"/>
      <w:rPr>
        <w:rFonts w:ascii="Palatino" w:hAnsi="Palatino"/>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79CD5" w14:textId="77777777" w:rsidR="00CD3F21" w:rsidRDefault="00CD3F21" w:rsidP="00601E72">
      <w:r>
        <w:separator/>
      </w:r>
    </w:p>
  </w:footnote>
  <w:footnote w:type="continuationSeparator" w:id="0">
    <w:p w14:paraId="79D0B2FA" w14:textId="77777777" w:rsidR="00CD3F21" w:rsidRDefault="00CD3F21" w:rsidP="00601E72">
      <w:r>
        <w:continuationSeparator/>
      </w:r>
    </w:p>
  </w:footnote>
  <w:footnote w:id="1">
    <w:p w14:paraId="720202C8" w14:textId="77777777" w:rsidR="00CD3F21" w:rsidRPr="00D8076D" w:rsidRDefault="00CD3F21" w:rsidP="00BB4AB8">
      <w:pPr>
        <w:pStyle w:val="IRPfooter"/>
        <w:rPr>
          <w:sz w:val="18"/>
          <w:szCs w:val="18"/>
        </w:rPr>
      </w:pPr>
      <w:r w:rsidRPr="00D8076D">
        <w:rPr>
          <w:rStyle w:val="FootnoteReference"/>
          <w:sz w:val="18"/>
          <w:szCs w:val="18"/>
          <w:vertAlign w:val="baseline"/>
        </w:rPr>
        <w:footnoteRef/>
      </w:r>
      <w:r w:rsidRPr="00D8076D">
        <w:rPr>
          <w:sz w:val="18"/>
          <w:szCs w:val="18"/>
        </w:rPr>
        <w:t xml:space="preserve"> / One of the major tasks of the IRP analysis is to identify the most cost-effective amount of conservation to include in the resource plan. To accomplish this, it is necessary to start with demand forecasts that do not already include forward projections of conservation savings. Therefore the IRP Gas Demand Forecasts include only DSR measures implemented </w:t>
      </w:r>
      <w:r w:rsidRPr="00D8076D">
        <w:rPr>
          <w:b/>
          <w:sz w:val="18"/>
          <w:szCs w:val="18"/>
        </w:rPr>
        <w:t>before</w:t>
      </w:r>
      <w:r w:rsidRPr="00D8076D">
        <w:rPr>
          <w:sz w:val="18"/>
          <w:szCs w:val="18"/>
        </w:rPr>
        <w:t xml:space="preserve"> the study period begins in 2016. These charts and tables are labeled “before DSR.”</w:t>
      </w:r>
    </w:p>
  </w:footnote>
  <w:footnote w:id="2">
    <w:p w14:paraId="52319DCE" w14:textId="77777777" w:rsidR="00CD3F21" w:rsidRPr="00D8076D" w:rsidRDefault="00CD3F21" w:rsidP="00FE5D0C">
      <w:pPr>
        <w:pStyle w:val="IRPfooter"/>
        <w:rPr>
          <w:sz w:val="18"/>
          <w:szCs w:val="18"/>
        </w:rPr>
      </w:pPr>
      <w:r w:rsidRPr="00D8076D">
        <w:rPr>
          <w:rStyle w:val="FootnoteReference"/>
          <w:sz w:val="18"/>
          <w:szCs w:val="18"/>
          <w:vertAlign w:val="baseline"/>
        </w:rPr>
        <w:footnoteRef/>
      </w:r>
      <w:r w:rsidRPr="00D8076D">
        <w:rPr>
          <w:sz w:val="18"/>
          <w:szCs w:val="18"/>
        </w:rPr>
        <w:t xml:space="preserve"> / For planning purposes, PSE uses a design peak day demand equivalent to a day with 52 Heating Degree Days (HDDs) or an average temperature of 13° Fahrenheit. HDDs are defined as the number of degrees relative to the base temperature of 65 degrees Fahrenheit.  A 52 HDD day is calculated as 65° less the 13° temperature for the day.</w:t>
      </w:r>
    </w:p>
  </w:footnote>
  <w:footnote w:id="3">
    <w:p w14:paraId="547FB815" w14:textId="77777777" w:rsidR="00CD3F21" w:rsidRPr="008B33B7" w:rsidRDefault="00CD3F21" w:rsidP="00FE5D0C">
      <w:pPr>
        <w:pStyle w:val="IRPfooter"/>
        <w:rPr>
          <w:sz w:val="20"/>
          <w:szCs w:val="20"/>
        </w:rPr>
      </w:pPr>
      <w:r w:rsidRPr="00D8076D">
        <w:rPr>
          <w:rStyle w:val="FootnoteReference"/>
          <w:sz w:val="18"/>
          <w:szCs w:val="18"/>
          <w:vertAlign w:val="baseline"/>
        </w:rPr>
        <w:footnoteRef/>
      </w:r>
      <w:r w:rsidRPr="00D8076D">
        <w:rPr>
          <w:sz w:val="18"/>
          <w:szCs w:val="18"/>
        </w:rPr>
        <w:t xml:space="preserve"> / </w:t>
      </w:r>
      <w:r w:rsidRPr="00D8076D">
        <w:rPr>
          <w:w w:val="105"/>
          <w:sz w:val="18"/>
          <w:szCs w:val="18"/>
        </w:rPr>
        <w:t>The 2015 IRP demand forecasts are discussed in detail in Chapter 5, Demand Forecast.</w:t>
      </w:r>
      <w:r w:rsidRPr="008B33B7">
        <w:rPr>
          <w:w w:val="105"/>
          <w:sz w:val="20"/>
          <w:szCs w:val="20"/>
        </w:rPr>
        <w:t xml:space="preserve">  </w:t>
      </w:r>
    </w:p>
  </w:footnote>
  <w:footnote w:id="4">
    <w:p w14:paraId="42C5EC13" w14:textId="77777777" w:rsidR="00CD3F21" w:rsidRPr="008C3221" w:rsidRDefault="00CD3F21" w:rsidP="0021713B">
      <w:pPr>
        <w:pStyle w:val="IRPfooter"/>
        <w:rPr>
          <w:sz w:val="18"/>
          <w:szCs w:val="18"/>
        </w:rPr>
      </w:pPr>
      <w:r w:rsidRPr="008C3221">
        <w:rPr>
          <w:rStyle w:val="FootnoteReference"/>
          <w:sz w:val="18"/>
          <w:szCs w:val="18"/>
          <w:vertAlign w:val="baseline"/>
        </w:rPr>
        <w:footnoteRef/>
      </w:r>
      <w:r w:rsidRPr="008C3221">
        <w:rPr>
          <w:sz w:val="18"/>
          <w:szCs w:val="18"/>
        </w:rPr>
        <w:t xml:space="preserve"> / Demand-side resources are resources that are generated on the customer (demand) side of the meter.</w:t>
      </w:r>
    </w:p>
  </w:footnote>
  <w:footnote w:id="5">
    <w:p w14:paraId="3DFE64B4" w14:textId="77777777" w:rsidR="00CD3F21" w:rsidRDefault="00CD3F21" w:rsidP="0021713B">
      <w:pPr>
        <w:pStyle w:val="IRPfooter"/>
      </w:pPr>
      <w:r w:rsidRPr="008C3221">
        <w:rPr>
          <w:rStyle w:val="FootnoteReference"/>
          <w:sz w:val="18"/>
          <w:szCs w:val="18"/>
          <w:vertAlign w:val="baseline"/>
        </w:rPr>
        <w:footnoteRef/>
      </w:r>
      <w:r w:rsidRPr="008C3221">
        <w:rPr>
          <w:sz w:val="18"/>
          <w:szCs w:val="18"/>
        </w:rPr>
        <w:t xml:space="preserve"> </w:t>
      </w:r>
      <w:proofErr w:type="gramStart"/>
      <w:r w:rsidRPr="008C3221">
        <w:rPr>
          <w:sz w:val="18"/>
          <w:szCs w:val="18"/>
        </w:rPr>
        <w:t>/ PSE’s 2001 General Rate Case, WUTC Docket Nos. UG-011571 and UE-011570.</w:t>
      </w:r>
      <w:proofErr w:type="gramEnd"/>
    </w:p>
  </w:footnote>
  <w:footnote w:id="6">
    <w:p w14:paraId="636A1206" w14:textId="77777777" w:rsidR="00CD3F21" w:rsidRPr="008C3221" w:rsidRDefault="00CD3F21" w:rsidP="00326BAA">
      <w:pPr>
        <w:pStyle w:val="IRPfooter"/>
        <w:rPr>
          <w:sz w:val="18"/>
          <w:szCs w:val="18"/>
        </w:rPr>
      </w:pPr>
      <w:r w:rsidRPr="008C3221">
        <w:rPr>
          <w:rStyle w:val="FootnoteReference"/>
          <w:sz w:val="18"/>
          <w:szCs w:val="18"/>
          <w:vertAlign w:val="baseline"/>
        </w:rPr>
        <w:footnoteRef/>
      </w:r>
      <w:r w:rsidRPr="008C3221">
        <w:rPr>
          <w:sz w:val="18"/>
          <w:szCs w:val="18"/>
        </w:rPr>
        <w:t xml:space="preserve"> / Scenarios are explained in detail Chapter 4, Key Analytical Assumptions.</w:t>
      </w:r>
    </w:p>
  </w:footnote>
  <w:footnote w:id="7">
    <w:p w14:paraId="774258B4" w14:textId="77777777" w:rsidR="00CD3F21" w:rsidRPr="003B257E" w:rsidRDefault="00CD3F21">
      <w:pPr>
        <w:pStyle w:val="FootnoteText"/>
        <w:rPr>
          <w:rFonts w:ascii="Palatino" w:hAnsi="Palatino"/>
          <w:i/>
          <w:sz w:val="20"/>
        </w:rPr>
      </w:pPr>
      <w:r w:rsidRPr="003B257E">
        <w:rPr>
          <w:rStyle w:val="FootnoteReference"/>
          <w:rFonts w:ascii="Palatino" w:hAnsi="Palatino"/>
          <w:i/>
          <w:sz w:val="20"/>
          <w:vertAlign w:val="baseline"/>
        </w:rPr>
        <w:footnoteRef/>
      </w:r>
      <w:r w:rsidRPr="003B257E">
        <w:rPr>
          <w:rFonts w:ascii="Palatino" w:hAnsi="Palatino"/>
          <w:i/>
          <w:sz w:val="20"/>
        </w:rPr>
        <w:t xml:space="preserve"> / These savings are based on a no-intra year ramping, which are used to set conservation program targets.</w:t>
      </w:r>
    </w:p>
  </w:footnote>
  <w:footnote w:id="8">
    <w:p w14:paraId="4751DA24" w14:textId="77777777" w:rsidR="00CD3F21" w:rsidRPr="008C3221" w:rsidRDefault="00CD3F21" w:rsidP="00FE2597">
      <w:pPr>
        <w:pStyle w:val="IRPfooter"/>
        <w:rPr>
          <w:sz w:val="18"/>
          <w:szCs w:val="18"/>
        </w:rPr>
      </w:pPr>
      <w:r w:rsidRPr="008C3221">
        <w:rPr>
          <w:rStyle w:val="FootnoteReference"/>
          <w:sz w:val="18"/>
          <w:szCs w:val="18"/>
          <w:vertAlign w:val="baseline"/>
        </w:rPr>
        <w:footnoteRef/>
      </w:r>
      <w:r w:rsidRPr="008C3221">
        <w:rPr>
          <w:sz w:val="18"/>
          <w:szCs w:val="18"/>
        </w:rPr>
        <w:t xml:space="preserve"> / As noted above, </w:t>
      </w:r>
      <w:r>
        <w:rPr>
          <w:sz w:val="18"/>
          <w:szCs w:val="18"/>
        </w:rPr>
        <w:t>the analyses assume that</w:t>
      </w:r>
      <w:r w:rsidRPr="008C3221">
        <w:rPr>
          <w:sz w:val="18"/>
          <w:szCs w:val="18"/>
        </w:rPr>
        <w:t xml:space="preserve"> 69 </w:t>
      </w:r>
      <w:proofErr w:type="spellStart"/>
      <w:r w:rsidRPr="008C3221">
        <w:rPr>
          <w:sz w:val="18"/>
          <w:szCs w:val="18"/>
        </w:rPr>
        <w:t>MDth</w:t>
      </w:r>
      <w:proofErr w:type="spellEnd"/>
      <w:r w:rsidRPr="008C3221">
        <w:rPr>
          <w:sz w:val="18"/>
          <w:szCs w:val="18"/>
        </w:rPr>
        <w:t xml:space="preserve"> per day will be available </w:t>
      </w:r>
      <w:r>
        <w:rPr>
          <w:sz w:val="18"/>
          <w:szCs w:val="18"/>
        </w:rPr>
        <w:t>for</w:t>
      </w:r>
      <w:r w:rsidRPr="008C3221">
        <w:rPr>
          <w:sz w:val="18"/>
          <w:szCs w:val="18"/>
        </w:rPr>
        <w:t xml:space="preserve"> the 201</w:t>
      </w:r>
      <w:r>
        <w:rPr>
          <w:sz w:val="18"/>
          <w:szCs w:val="18"/>
        </w:rPr>
        <w:t>8-19 heating season</w:t>
      </w:r>
      <w:r w:rsidRPr="008C3221">
        <w:rPr>
          <w:sz w:val="18"/>
          <w:szCs w:val="18"/>
        </w:rPr>
        <w:t xml:space="preserve"> and 85 </w:t>
      </w:r>
      <w:proofErr w:type="spellStart"/>
      <w:r w:rsidRPr="008C3221">
        <w:rPr>
          <w:sz w:val="18"/>
          <w:szCs w:val="18"/>
        </w:rPr>
        <w:t>MDth</w:t>
      </w:r>
      <w:proofErr w:type="spellEnd"/>
      <w:r w:rsidRPr="008C3221">
        <w:rPr>
          <w:sz w:val="18"/>
          <w:szCs w:val="18"/>
        </w:rPr>
        <w:t xml:space="preserve"> per day will be available </w:t>
      </w:r>
      <w:r>
        <w:rPr>
          <w:sz w:val="18"/>
          <w:szCs w:val="18"/>
        </w:rPr>
        <w:t>for</w:t>
      </w:r>
      <w:r w:rsidRPr="008C3221">
        <w:rPr>
          <w:sz w:val="18"/>
          <w:szCs w:val="18"/>
        </w:rPr>
        <w:t xml:space="preserve"> the 2020</w:t>
      </w:r>
      <w:r>
        <w:rPr>
          <w:sz w:val="18"/>
          <w:szCs w:val="18"/>
        </w:rPr>
        <w:t>-21 heating season</w:t>
      </w:r>
      <w:r w:rsidRPr="008C3221">
        <w:rPr>
          <w:sz w:val="18"/>
          <w:szCs w:val="18"/>
        </w:rPr>
        <w:t>.</w:t>
      </w:r>
    </w:p>
  </w:footnote>
  <w:footnote w:id="9">
    <w:p w14:paraId="2A2A6E85" w14:textId="77777777" w:rsidR="00CD3F21" w:rsidRPr="003667C9" w:rsidRDefault="00CD3F21" w:rsidP="00227F0A">
      <w:pPr>
        <w:pStyle w:val="IRPfooter"/>
        <w:rPr>
          <w:sz w:val="18"/>
          <w:szCs w:val="18"/>
        </w:rPr>
      </w:pPr>
      <w:r w:rsidRPr="003667C9">
        <w:rPr>
          <w:rStyle w:val="FootnoteReference"/>
          <w:sz w:val="18"/>
          <w:szCs w:val="18"/>
          <w:vertAlign w:val="baseline"/>
        </w:rPr>
        <w:footnoteRef/>
      </w:r>
      <w:r w:rsidRPr="003667C9">
        <w:rPr>
          <w:sz w:val="18"/>
          <w:szCs w:val="18"/>
        </w:rPr>
        <w:t xml:space="preserve"> / Source: http://www.treasury.gov/resource-center/data-chart-center/interest-rates/Pages/TextView.aspx</w:t>
      </w:r>
      <w:proofErr w:type="gramStart"/>
      <w:r w:rsidRPr="003667C9">
        <w:rPr>
          <w:sz w:val="18"/>
          <w:szCs w:val="18"/>
        </w:rPr>
        <w:t>?data</w:t>
      </w:r>
      <w:proofErr w:type="gramEnd"/>
      <w:r w:rsidRPr="003667C9">
        <w:rPr>
          <w:sz w:val="18"/>
          <w:szCs w:val="18"/>
        </w:rPr>
        <w:t>=yieldYear&amp;year=2014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A58D5" w14:textId="5438F74C" w:rsidR="00CD3F21" w:rsidRDefault="009D7D51">
    <w:pPr>
      <w:pStyle w:val="Header"/>
    </w:pPr>
    <w:r>
      <w:rPr>
        <w:noProof/>
        <w:lang w:eastAsia="en-US"/>
      </w:rPr>
      <mc:AlternateContent>
        <mc:Choice Requires="wps">
          <w:drawing>
            <wp:anchor distT="0" distB="0" distL="114300" distR="114300" simplePos="0" relativeHeight="251659264" behindDoc="0" locked="0" layoutInCell="1" allowOverlap="1" wp14:anchorId="7721DE0D" wp14:editId="5A24E383">
              <wp:simplePos x="0" y="0"/>
              <wp:positionH relativeFrom="column">
                <wp:posOffset>51435</wp:posOffset>
              </wp:positionH>
              <wp:positionV relativeFrom="paragraph">
                <wp:posOffset>2540</wp:posOffset>
              </wp:positionV>
              <wp:extent cx="4343400" cy="457200"/>
              <wp:effectExtent l="0" t="0" r="0" b="0"/>
              <wp:wrapThrough wrapText="bothSides">
                <wp:wrapPolygon edited="0">
                  <wp:start x="126" y="1200"/>
                  <wp:lineTo x="126" y="19200"/>
                  <wp:lineTo x="21347" y="19200"/>
                  <wp:lineTo x="21347" y="1200"/>
                  <wp:lineTo x="126" y="1200"/>
                </wp:wrapPolygon>
              </wp:wrapThrough>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039FC" w14:textId="77777777" w:rsidR="00CD3F21" w:rsidRPr="00C04720" w:rsidRDefault="00CD3F21" w:rsidP="00BC31F5">
                          <w:pPr>
                            <w:pStyle w:val="irpsubsanstext16"/>
                          </w:pPr>
                          <w:r w:rsidRPr="00C04720">
                            <w:t xml:space="preserve">Chapter </w:t>
                          </w:r>
                          <w:r>
                            <w:t>7</w:t>
                          </w:r>
                          <w:r w:rsidRPr="00C04720">
                            <w:t xml:space="preserve">: </w:t>
                          </w:r>
                          <w:r>
                            <w:t>Gas Analysis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7" type="#_x0000_t202" style="position:absolute;margin-left:4.05pt;margin-top:.2pt;width:34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" filled="f" stroked="f">
              <v:textbox inset=",7.2pt,,7.2pt">
                <w:txbxContent>
                  <w:p w14:paraId="046039FC" w14:textId="77777777" w:rsidR="00CD3F21" w:rsidRPr="00C04720" w:rsidRDefault="00CD3F21" w:rsidP="00BC31F5">
                    <w:pPr>
                      <w:pStyle w:val="irpsubsanstext16"/>
                    </w:pPr>
                    <w:r w:rsidRPr="00C04720">
                      <w:t xml:space="preserve">Chapter </w:t>
                    </w:r>
                    <w:r>
                      <w:t>7</w:t>
                    </w:r>
                    <w:r w:rsidRPr="00C04720">
                      <w:t xml:space="preserve">: </w:t>
                    </w:r>
                    <w:r>
                      <w:t>Gas Analysis</w:t>
                    </w:r>
                  </w:p>
                </w:txbxContent>
              </v:textbox>
              <w10:wrap type="through"/>
            </v:shape>
          </w:pict>
        </mc:Fallback>
      </mc:AlternateContent>
    </w:r>
    <w:r w:rsidR="00CD3F21">
      <w:rPr>
        <w:noProof/>
        <w:lang w:eastAsia="en-US"/>
      </w:rPr>
      <w:drawing>
        <wp:inline distT="0" distB="0" distL="0" distR="0" wp14:anchorId="69508A63" wp14:editId="51D9E6EF">
          <wp:extent cx="5418455" cy="451538"/>
          <wp:effectExtent l="0" t="0" r="0" b="5715"/>
          <wp:docPr id="24" name="Picture 24" descr="Macintosh HD:Users:annrhodes:Documents:01 RHODES-D-SIGNS:PSE_IRP2015:Title bands:title_greydkt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nnrhodes:Documents:01 RHODES-D-SIGNS:PSE_IRP2015:Title bands:title_greydkte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8455" cy="451538"/>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AEA0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F1259BA"/>
    <w:lvl w:ilvl="0">
      <w:start w:val="1"/>
      <w:numFmt w:val="decimal"/>
      <w:lvlText w:val="%1."/>
      <w:lvlJc w:val="left"/>
      <w:pPr>
        <w:tabs>
          <w:tab w:val="num" w:pos="1800"/>
        </w:tabs>
        <w:ind w:left="1800" w:hanging="360"/>
      </w:pPr>
    </w:lvl>
  </w:abstractNum>
  <w:abstractNum w:abstractNumId="2">
    <w:nsid w:val="FFFFFF7D"/>
    <w:multiLevelType w:val="singleLevel"/>
    <w:tmpl w:val="F9B2CF0C"/>
    <w:lvl w:ilvl="0">
      <w:start w:val="1"/>
      <w:numFmt w:val="decimal"/>
      <w:lvlText w:val="%1."/>
      <w:lvlJc w:val="left"/>
      <w:pPr>
        <w:tabs>
          <w:tab w:val="num" w:pos="1440"/>
        </w:tabs>
        <w:ind w:left="1440" w:hanging="360"/>
      </w:pPr>
    </w:lvl>
  </w:abstractNum>
  <w:abstractNum w:abstractNumId="3">
    <w:nsid w:val="FFFFFF7E"/>
    <w:multiLevelType w:val="singleLevel"/>
    <w:tmpl w:val="2AA2ECFC"/>
    <w:lvl w:ilvl="0">
      <w:start w:val="1"/>
      <w:numFmt w:val="decimal"/>
      <w:lvlText w:val="%1."/>
      <w:lvlJc w:val="left"/>
      <w:pPr>
        <w:tabs>
          <w:tab w:val="num" w:pos="1080"/>
        </w:tabs>
        <w:ind w:left="1080" w:hanging="360"/>
      </w:pPr>
    </w:lvl>
  </w:abstractNum>
  <w:abstractNum w:abstractNumId="4">
    <w:nsid w:val="FFFFFF7F"/>
    <w:multiLevelType w:val="singleLevel"/>
    <w:tmpl w:val="7AD0EE10"/>
    <w:lvl w:ilvl="0">
      <w:start w:val="1"/>
      <w:numFmt w:val="decimal"/>
      <w:lvlText w:val="%1."/>
      <w:lvlJc w:val="left"/>
      <w:pPr>
        <w:tabs>
          <w:tab w:val="num" w:pos="720"/>
        </w:tabs>
        <w:ind w:left="720" w:hanging="360"/>
      </w:pPr>
    </w:lvl>
  </w:abstractNum>
  <w:abstractNum w:abstractNumId="5">
    <w:nsid w:val="FFFFFF80"/>
    <w:multiLevelType w:val="singleLevel"/>
    <w:tmpl w:val="59E0727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4A645B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C946CB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57E60E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2AE4F8AA"/>
    <w:lvl w:ilvl="0">
      <w:start w:val="1"/>
      <w:numFmt w:val="decimal"/>
      <w:lvlText w:val="%1."/>
      <w:lvlJc w:val="left"/>
      <w:pPr>
        <w:tabs>
          <w:tab w:val="num" w:pos="360"/>
        </w:tabs>
        <w:ind w:left="360" w:hanging="360"/>
      </w:pPr>
    </w:lvl>
  </w:abstractNum>
  <w:abstractNum w:abstractNumId="10">
    <w:nsid w:val="FFFFFF89"/>
    <w:multiLevelType w:val="singleLevel"/>
    <w:tmpl w:val="CD8AA48A"/>
    <w:lvl w:ilvl="0">
      <w:start w:val="1"/>
      <w:numFmt w:val="bullet"/>
      <w:lvlText w:val=""/>
      <w:lvlJc w:val="left"/>
      <w:pPr>
        <w:tabs>
          <w:tab w:val="num" w:pos="360"/>
        </w:tabs>
        <w:ind w:left="360" w:hanging="360"/>
      </w:pPr>
      <w:rPr>
        <w:rFonts w:ascii="Symbol" w:hAnsi="Symbol" w:hint="default"/>
      </w:rPr>
    </w:lvl>
  </w:abstractNum>
  <w:abstractNum w:abstractNumId="11">
    <w:nsid w:val="09D96A66"/>
    <w:multiLevelType w:val="hybridMultilevel"/>
    <w:tmpl w:val="290AEAD6"/>
    <w:lvl w:ilvl="0" w:tplc="4F5E5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6F136B"/>
    <w:multiLevelType w:val="hybridMultilevel"/>
    <w:tmpl w:val="66CAB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596D2B"/>
    <w:multiLevelType w:val="hybridMultilevel"/>
    <w:tmpl w:val="C80AA3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9114862"/>
    <w:multiLevelType w:val="hybridMultilevel"/>
    <w:tmpl w:val="199CE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5944A3"/>
    <w:multiLevelType w:val="hybridMultilevel"/>
    <w:tmpl w:val="D8F83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810BCB"/>
    <w:multiLevelType w:val="hybridMultilevel"/>
    <w:tmpl w:val="59BE3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6B1669"/>
    <w:multiLevelType w:val="hybridMultilevel"/>
    <w:tmpl w:val="023E57D8"/>
    <w:lvl w:ilvl="0" w:tplc="C65ACF4A">
      <w:start w:val="1"/>
      <w:numFmt w:val="bullet"/>
      <w:pStyle w:val="IRP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8">
    <w:nsid w:val="20AD45AF"/>
    <w:multiLevelType w:val="multilevel"/>
    <w:tmpl w:val="3E1884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2A370F2"/>
    <w:multiLevelType w:val="hybridMultilevel"/>
    <w:tmpl w:val="6468586C"/>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0F4BEE"/>
    <w:multiLevelType w:val="hybridMultilevel"/>
    <w:tmpl w:val="94E0C706"/>
    <w:lvl w:ilvl="0" w:tplc="7DA219D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1DB654B"/>
    <w:multiLevelType w:val="hybridMultilevel"/>
    <w:tmpl w:val="82A0A698"/>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2">
    <w:nsid w:val="32A63D39"/>
    <w:multiLevelType w:val="multilevel"/>
    <w:tmpl w:val="DEB0A7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5B175F2"/>
    <w:multiLevelType w:val="hybridMultilevel"/>
    <w:tmpl w:val="06926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BF1C80"/>
    <w:multiLevelType w:val="hybridMultilevel"/>
    <w:tmpl w:val="06926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8505C8"/>
    <w:multiLevelType w:val="hybridMultilevel"/>
    <w:tmpl w:val="D5884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alibri"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alibri" w:hint="default"/>
      </w:rPr>
    </w:lvl>
    <w:lvl w:ilvl="8" w:tplc="04090005">
      <w:start w:val="1"/>
      <w:numFmt w:val="bullet"/>
      <w:lvlText w:val=""/>
      <w:lvlJc w:val="left"/>
      <w:pPr>
        <w:ind w:left="6480" w:hanging="360"/>
      </w:pPr>
      <w:rPr>
        <w:rFonts w:ascii="Wingdings" w:hAnsi="Wingdings" w:hint="default"/>
      </w:rPr>
    </w:lvl>
  </w:abstractNum>
  <w:abstractNum w:abstractNumId="26">
    <w:nsid w:val="410178FB"/>
    <w:multiLevelType w:val="hybridMultilevel"/>
    <w:tmpl w:val="07A6C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986A59"/>
    <w:multiLevelType w:val="hybridMultilevel"/>
    <w:tmpl w:val="3E18843E"/>
    <w:lvl w:ilvl="0" w:tplc="EECA7B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0E5E7A"/>
    <w:multiLevelType w:val="hybridMultilevel"/>
    <w:tmpl w:val="648CE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ED7B9E"/>
    <w:multiLevelType w:val="hybridMultilevel"/>
    <w:tmpl w:val="71DA3BA6"/>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564C01"/>
    <w:multiLevelType w:val="hybridMultilevel"/>
    <w:tmpl w:val="F86E43B4"/>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CA1765"/>
    <w:multiLevelType w:val="hybridMultilevel"/>
    <w:tmpl w:val="C5B2E986"/>
    <w:lvl w:ilvl="0" w:tplc="B8D682BC">
      <w:start w:val="7"/>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DC5EAF"/>
    <w:multiLevelType w:val="hybridMultilevel"/>
    <w:tmpl w:val="6388C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665810"/>
    <w:multiLevelType w:val="hybridMultilevel"/>
    <w:tmpl w:val="285A5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140BA9"/>
    <w:multiLevelType w:val="hybridMultilevel"/>
    <w:tmpl w:val="DEB0A7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430FE7"/>
    <w:multiLevelType w:val="hybridMultilevel"/>
    <w:tmpl w:val="FF1EBBB2"/>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E5542F"/>
    <w:multiLevelType w:val="hybridMultilevel"/>
    <w:tmpl w:val="CC1CF100"/>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5C0AE9"/>
    <w:multiLevelType w:val="hybridMultilevel"/>
    <w:tmpl w:val="7EF646A2"/>
    <w:lvl w:ilvl="0" w:tplc="4F5E5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AB5875"/>
    <w:multiLevelType w:val="hybridMultilevel"/>
    <w:tmpl w:val="F3F6D320"/>
    <w:lvl w:ilvl="0" w:tplc="FFFFFFFF">
      <w:start w:val="1"/>
      <w:numFmt w:val="decimal"/>
      <w:pStyle w:val="IRPnumbnote"/>
      <w:lvlText w:val="%1)"/>
      <w:lvlJc w:val="left"/>
      <w:pPr>
        <w:tabs>
          <w:tab w:val="num" w:pos="1440"/>
        </w:tabs>
        <w:ind w:left="144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707E73AB"/>
    <w:multiLevelType w:val="hybridMultilevel"/>
    <w:tmpl w:val="2BACC6BE"/>
    <w:lvl w:ilvl="0" w:tplc="04090001">
      <w:start w:val="1"/>
      <w:numFmt w:val="bullet"/>
      <w:lvlText w:val=""/>
      <w:lvlJc w:val="left"/>
      <w:pPr>
        <w:ind w:left="720" w:hanging="360"/>
      </w:pPr>
      <w:rPr>
        <w:rFonts w:ascii="Symbol" w:hAnsi="Symbol" w:hint="default"/>
      </w:rPr>
    </w:lvl>
    <w:lvl w:ilvl="1" w:tplc="02D04F9C">
      <w:start w:val="1"/>
      <w:numFmt w:val="bullet"/>
      <w:pStyle w:val="11RFPBodyBullet"/>
      <w:lvlText w:val=""/>
      <w:lvlJc w:val="left"/>
      <w:pPr>
        <w:tabs>
          <w:tab w:val="num" w:pos="1440"/>
        </w:tabs>
        <w:ind w:left="1440" w:hanging="360"/>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30"/>
  </w:num>
  <w:num w:numId="3">
    <w:abstractNumId w:val="36"/>
  </w:num>
  <w:num w:numId="4">
    <w:abstractNumId w:val="19"/>
  </w:num>
  <w:num w:numId="5">
    <w:abstractNumId w:val="29"/>
  </w:num>
  <w:num w:numId="6">
    <w:abstractNumId w:val="35"/>
  </w:num>
  <w:num w:numId="7">
    <w:abstractNumId w:val="12"/>
  </w:num>
  <w:num w:numId="8">
    <w:abstractNumId w:val="38"/>
  </w:num>
  <w:num w:numId="9">
    <w:abstractNumId w:val="14"/>
  </w:num>
  <w:num w:numId="10">
    <w:abstractNumId w:val="39"/>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34"/>
  </w:num>
  <w:num w:numId="14">
    <w:abstractNumId w:val="21"/>
  </w:num>
  <w:num w:numId="15">
    <w:abstractNumId w:val="27"/>
  </w:num>
  <w:num w:numId="16">
    <w:abstractNumId w:val="20"/>
  </w:num>
  <w:num w:numId="17">
    <w:abstractNumId w:val="15"/>
  </w:num>
  <w:num w:numId="18">
    <w:abstractNumId w:val="33"/>
  </w:num>
  <w:num w:numId="19">
    <w:abstractNumId w:val="24"/>
  </w:num>
  <w:num w:numId="20">
    <w:abstractNumId w:val="22"/>
  </w:num>
  <w:num w:numId="21">
    <w:abstractNumId w:val="37"/>
  </w:num>
  <w:num w:numId="22">
    <w:abstractNumId w:val="18"/>
  </w:num>
  <w:num w:numId="23">
    <w:abstractNumId w:val="11"/>
  </w:num>
  <w:num w:numId="24">
    <w:abstractNumId w:val="26"/>
  </w:num>
  <w:num w:numId="25">
    <w:abstractNumId w:val="31"/>
  </w:num>
  <w:num w:numId="26">
    <w:abstractNumId w:val="16"/>
  </w:num>
  <w:num w:numId="27">
    <w:abstractNumId w:val="23"/>
  </w:num>
  <w:num w:numId="28">
    <w:abstractNumId w:val="28"/>
  </w:num>
  <w:num w:numId="29">
    <w:abstractNumId w:val="10"/>
  </w:num>
  <w:num w:numId="30">
    <w:abstractNumId w:val="8"/>
  </w:num>
  <w:num w:numId="31">
    <w:abstractNumId w:val="7"/>
  </w:num>
  <w:num w:numId="32">
    <w:abstractNumId w:val="6"/>
  </w:num>
  <w:num w:numId="33">
    <w:abstractNumId w:val="5"/>
  </w:num>
  <w:num w:numId="34">
    <w:abstractNumId w:val="9"/>
  </w:num>
  <w:num w:numId="35">
    <w:abstractNumId w:val="4"/>
  </w:num>
  <w:num w:numId="36">
    <w:abstractNumId w:val="3"/>
  </w:num>
  <w:num w:numId="37">
    <w:abstractNumId w:val="2"/>
  </w:num>
  <w:num w:numId="38">
    <w:abstractNumId w:val="1"/>
  </w:num>
  <w:num w:numId="39">
    <w:abstractNumId w:val="0"/>
  </w:num>
  <w:num w:numId="40">
    <w:abstractNumId w:val="32"/>
  </w:num>
  <w:num w:numId="41">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E72"/>
    <w:rsid w:val="00006F0D"/>
    <w:rsid w:val="000169DE"/>
    <w:rsid w:val="00022AE1"/>
    <w:rsid w:val="000430C1"/>
    <w:rsid w:val="00045148"/>
    <w:rsid w:val="00052D7E"/>
    <w:rsid w:val="00067E84"/>
    <w:rsid w:val="000811E5"/>
    <w:rsid w:val="00085551"/>
    <w:rsid w:val="000A7792"/>
    <w:rsid w:val="000B429E"/>
    <w:rsid w:val="000E4936"/>
    <w:rsid w:val="000E5E62"/>
    <w:rsid w:val="000E6E57"/>
    <w:rsid w:val="000F320C"/>
    <w:rsid w:val="001071D9"/>
    <w:rsid w:val="0011145C"/>
    <w:rsid w:val="00116F83"/>
    <w:rsid w:val="00121B7B"/>
    <w:rsid w:val="00123BCD"/>
    <w:rsid w:val="00136C0F"/>
    <w:rsid w:val="00137D55"/>
    <w:rsid w:val="0014203C"/>
    <w:rsid w:val="00152184"/>
    <w:rsid w:val="00155762"/>
    <w:rsid w:val="00156604"/>
    <w:rsid w:val="00163C77"/>
    <w:rsid w:val="0016724B"/>
    <w:rsid w:val="0017638E"/>
    <w:rsid w:val="00181AEF"/>
    <w:rsid w:val="001843AA"/>
    <w:rsid w:val="00193B59"/>
    <w:rsid w:val="001B5F2B"/>
    <w:rsid w:val="001C19CC"/>
    <w:rsid w:val="001D052C"/>
    <w:rsid w:val="001D31E6"/>
    <w:rsid w:val="001D4E32"/>
    <w:rsid w:val="001D6146"/>
    <w:rsid w:val="001D628F"/>
    <w:rsid w:val="001F7A5D"/>
    <w:rsid w:val="00201B7A"/>
    <w:rsid w:val="0020632A"/>
    <w:rsid w:val="00212580"/>
    <w:rsid w:val="002158C8"/>
    <w:rsid w:val="0021646D"/>
    <w:rsid w:val="0021713B"/>
    <w:rsid w:val="002264DF"/>
    <w:rsid w:val="00227F0A"/>
    <w:rsid w:val="00234579"/>
    <w:rsid w:val="00252860"/>
    <w:rsid w:val="00255AA2"/>
    <w:rsid w:val="00255D45"/>
    <w:rsid w:val="00261C33"/>
    <w:rsid w:val="00261F11"/>
    <w:rsid w:val="002708A5"/>
    <w:rsid w:val="002816E0"/>
    <w:rsid w:val="00291AB5"/>
    <w:rsid w:val="00293A4E"/>
    <w:rsid w:val="002A64E4"/>
    <w:rsid w:val="002B05FB"/>
    <w:rsid w:val="002B4D55"/>
    <w:rsid w:val="002C1ECE"/>
    <w:rsid w:val="002D313B"/>
    <w:rsid w:val="002E4588"/>
    <w:rsid w:val="002F173E"/>
    <w:rsid w:val="002F6C37"/>
    <w:rsid w:val="002F77B4"/>
    <w:rsid w:val="00301FA8"/>
    <w:rsid w:val="00307C88"/>
    <w:rsid w:val="00310D80"/>
    <w:rsid w:val="00315C9F"/>
    <w:rsid w:val="00321542"/>
    <w:rsid w:val="00321C5D"/>
    <w:rsid w:val="00325509"/>
    <w:rsid w:val="00326BAA"/>
    <w:rsid w:val="00341E87"/>
    <w:rsid w:val="00343B90"/>
    <w:rsid w:val="003667C9"/>
    <w:rsid w:val="003675F1"/>
    <w:rsid w:val="00377182"/>
    <w:rsid w:val="00382146"/>
    <w:rsid w:val="003956DE"/>
    <w:rsid w:val="00397EFC"/>
    <w:rsid w:val="003A0016"/>
    <w:rsid w:val="003B257E"/>
    <w:rsid w:val="003E519D"/>
    <w:rsid w:val="003E7037"/>
    <w:rsid w:val="003F13F7"/>
    <w:rsid w:val="003F3D5D"/>
    <w:rsid w:val="00405338"/>
    <w:rsid w:val="00412FDA"/>
    <w:rsid w:val="0041403C"/>
    <w:rsid w:val="004160A4"/>
    <w:rsid w:val="004220AB"/>
    <w:rsid w:val="00427D40"/>
    <w:rsid w:val="00440047"/>
    <w:rsid w:val="00451F0E"/>
    <w:rsid w:val="004707FA"/>
    <w:rsid w:val="0047535B"/>
    <w:rsid w:val="004753BF"/>
    <w:rsid w:val="0048211A"/>
    <w:rsid w:val="004A10AC"/>
    <w:rsid w:val="004A26B6"/>
    <w:rsid w:val="004C325D"/>
    <w:rsid w:val="004D0808"/>
    <w:rsid w:val="004D4517"/>
    <w:rsid w:val="00504B9A"/>
    <w:rsid w:val="00521E04"/>
    <w:rsid w:val="00533DD9"/>
    <w:rsid w:val="005348A5"/>
    <w:rsid w:val="00537B41"/>
    <w:rsid w:val="00543F27"/>
    <w:rsid w:val="00555205"/>
    <w:rsid w:val="00556E81"/>
    <w:rsid w:val="005612D6"/>
    <w:rsid w:val="00567768"/>
    <w:rsid w:val="00571E09"/>
    <w:rsid w:val="00580CBC"/>
    <w:rsid w:val="00585985"/>
    <w:rsid w:val="005924F8"/>
    <w:rsid w:val="005A32B0"/>
    <w:rsid w:val="005B05E2"/>
    <w:rsid w:val="005B239A"/>
    <w:rsid w:val="005B7741"/>
    <w:rsid w:val="005C5CF2"/>
    <w:rsid w:val="005D27A7"/>
    <w:rsid w:val="005D7FF6"/>
    <w:rsid w:val="005E3B33"/>
    <w:rsid w:val="005F0D49"/>
    <w:rsid w:val="005F721A"/>
    <w:rsid w:val="00601E72"/>
    <w:rsid w:val="00606052"/>
    <w:rsid w:val="00615718"/>
    <w:rsid w:val="00621AB3"/>
    <w:rsid w:val="006263F5"/>
    <w:rsid w:val="0063113C"/>
    <w:rsid w:val="0063181C"/>
    <w:rsid w:val="006360C2"/>
    <w:rsid w:val="00640365"/>
    <w:rsid w:val="00670EF9"/>
    <w:rsid w:val="00675FDD"/>
    <w:rsid w:val="006766F4"/>
    <w:rsid w:val="00677A48"/>
    <w:rsid w:val="00681421"/>
    <w:rsid w:val="0068280F"/>
    <w:rsid w:val="00694DA4"/>
    <w:rsid w:val="006A1768"/>
    <w:rsid w:val="006D0410"/>
    <w:rsid w:val="006E7925"/>
    <w:rsid w:val="00704A63"/>
    <w:rsid w:val="00712F92"/>
    <w:rsid w:val="00713242"/>
    <w:rsid w:val="007247D3"/>
    <w:rsid w:val="007264B2"/>
    <w:rsid w:val="00741AD2"/>
    <w:rsid w:val="0075111E"/>
    <w:rsid w:val="00766C30"/>
    <w:rsid w:val="00782CFE"/>
    <w:rsid w:val="0078360D"/>
    <w:rsid w:val="00785A65"/>
    <w:rsid w:val="007A4835"/>
    <w:rsid w:val="007A7FE5"/>
    <w:rsid w:val="007B3EB1"/>
    <w:rsid w:val="007B64FA"/>
    <w:rsid w:val="007C4C3C"/>
    <w:rsid w:val="007E05AD"/>
    <w:rsid w:val="007E49E8"/>
    <w:rsid w:val="007F2800"/>
    <w:rsid w:val="007F4DD4"/>
    <w:rsid w:val="007F71CB"/>
    <w:rsid w:val="008101AC"/>
    <w:rsid w:val="00816B3B"/>
    <w:rsid w:val="00834253"/>
    <w:rsid w:val="008507B6"/>
    <w:rsid w:val="008612AE"/>
    <w:rsid w:val="00862469"/>
    <w:rsid w:val="00863C22"/>
    <w:rsid w:val="00866D45"/>
    <w:rsid w:val="00872C47"/>
    <w:rsid w:val="00882098"/>
    <w:rsid w:val="00882948"/>
    <w:rsid w:val="00890504"/>
    <w:rsid w:val="00893189"/>
    <w:rsid w:val="008A0F01"/>
    <w:rsid w:val="008A1B61"/>
    <w:rsid w:val="008B33B7"/>
    <w:rsid w:val="008B3493"/>
    <w:rsid w:val="008B5881"/>
    <w:rsid w:val="008B5F11"/>
    <w:rsid w:val="008B75F4"/>
    <w:rsid w:val="008C13BB"/>
    <w:rsid w:val="008C3221"/>
    <w:rsid w:val="008D302A"/>
    <w:rsid w:val="008D398E"/>
    <w:rsid w:val="008E0828"/>
    <w:rsid w:val="008E23C7"/>
    <w:rsid w:val="008F21F1"/>
    <w:rsid w:val="00906A0A"/>
    <w:rsid w:val="009102B1"/>
    <w:rsid w:val="00915826"/>
    <w:rsid w:val="009570A3"/>
    <w:rsid w:val="009604C9"/>
    <w:rsid w:val="00961689"/>
    <w:rsid w:val="00964651"/>
    <w:rsid w:val="009761E3"/>
    <w:rsid w:val="009930AB"/>
    <w:rsid w:val="009A21AD"/>
    <w:rsid w:val="009A2D7A"/>
    <w:rsid w:val="009B688B"/>
    <w:rsid w:val="009C0BDA"/>
    <w:rsid w:val="009C0E0D"/>
    <w:rsid w:val="009D2100"/>
    <w:rsid w:val="009D7D51"/>
    <w:rsid w:val="009E1675"/>
    <w:rsid w:val="009E5C65"/>
    <w:rsid w:val="009E7ED1"/>
    <w:rsid w:val="00A075A9"/>
    <w:rsid w:val="00A100A6"/>
    <w:rsid w:val="00A12F45"/>
    <w:rsid w:val="00A136E8"/>
    <w:rsid w:val="00A157B1"/>
    <w:rsid w:val="00A171D0"/>
    <w:rsid w:val="00A216E6"/>
    <w:rsid w:val="00A47CC2"/>
    <w:rsid w:val="00A47D61"/>
    <w:rsid w:val="00A5080B"/>
    <w:rsid w:val="00A6558F"/>
    <w:rsid w:val="00A70CF7"/>
    <w:rsid w:val="00A74B32"/>
    <w:rsid w:val="00A74D8F"/>
    <w:rsid w:val="00A75AB8"/>
    <w:rsid w:val="00A86E89"/>
    <w:rsid w:val="00A96423"/>
    <w:rsid w:val="00AA175B"/>
    <w:rsid w:val="00AB637D"/>
    <w:rsid w:val="00AD5D86"/>
    <w:rsid w:val="00AD6374"/>
    <w:rsid w:val="00AE6946"/>
    <w:rsid w:val="00AF5574"/>
    <w:rsid w:val="00B12366"/>
    <w:rsid w:val="00B22EBC"/>
    <w:rsid w:val="00B3033A"/>
    <w:rsid w:val="00B4381C"/>
    <w:rsid w:val="00B55D27"/>
    <w:rsid w:val="00B67143"/>
    <w:rsid w:val="00B67636"/>
    <w:rsid w:val="00B72944"/>
    <w:rsid w:val="00B74566"/>
    <w:rsid w:val="00B82F6C"/>
    <w:rsid w:val="00B83FC2"/>
    <w:rsid w:val="00B914FA"/>
    <w:rsid w:val="00B96C21"/>
    <w:rsid w:val="00BB4AB8"/>
    <w:rsid w:val="00BC31F5"/>
    <w:rsid w:val="00BC4FD3"/>
    <w:rsid w:val="00BC5EF5"/>
    <w:rsid w:val="00BD384F"/>
    <w:rsid w:val="00BE48AB"/>
    <w:rsid w:val="00BF45F8"/>
    <w:rsid w:val="00C04720"/>
    <w:rsid w:val="00C048DE"/>
    <w:rsid w:val="00C12FBA"/>
    <w:rsid w:val="00C21FA5"/>
    <w:rsid w:val="00C22AF8"/>
    <w:rsid w:val="00C25C8C"/>
    <w:rsid w:val="00C264AA"/>
    <w:rsid w:val="00C37A60"/>
    <w:rsid w:val="00C70410"/>
    <w:rsid w:val="00C9014E"/>
    <w:rsid w:val="00C97149"/>
    <w:rsid w:val="00CA10E8"/>
    <w:rsid w:val="00CA1290"/>
    <w:rsid w:val="00CB6D2F"/>
    <w:rsid w:val="00CC13F7"/>
    <w:rsid w:val="00CD3F21"/>
    <w:rsid w:val="00CD662B"/>
    <w:rsid w:val="00CE0E54"/>
    <w:rsid w:val="00CE3BBD"/>
    <w:rsid w:val="00CE5954"/>
    <w:rsid w:val="00D076A4"/>
    <w:rsid w:val="00D134C8"/>
    <w:rsid w:val="00D150CF"/>
    <w:rsid w:val="00D40B33"/>
    <w:rsid w:val="00D52668"/>
    <w:rsid w:val="00D56E80"/>
    <w:rsid w:val="00D648BC"/>
    <w:rsid w:val="00D8076D"/>
    <w:rsid w:val="00D8315D"/>
    <w:rsid w:val="00D8339F"/>
    <w:rsid w:val="00D8630D"/>
    <w:rsid w:val="00D959D4"/>
    <w:rsid w:val="00DC12BD"/>
    <w:rsid w:val="00DC16C8"/>
    <w:rsid w:val="00DC6D7F"/>
    <w:rsid w:val="00DF0EF9"/>
    <w:rsid w:val="00DF7449"/>
    <w:rsid w:val="00E02579"/>
    <w:rsid w:val="00E11FE6"/>
    <w:rsid w:val="00E13D20"/>
    <w:rsid w:val="00E16024"/>
    <w:rsid w:val="00E17551"/>
    <w:rsid w:val="00E20A71"/>
    <w:rsid w:val="00E2386F"/>
    <w:rsid w:val="00E30D9C"/>
    <w:rsid w:val="00E466BC"/>
    <w:rsid w:val="00E50085"/>
    <w:rsid w:val="00E51DDB"/>
    <w:rsid w:val="00E52BCA"/>
    <w:rsid w:val="00E62204"/>
    <w:rsid w:val="00E72663"/>
    <w:rsid w:val="00E74DBA"/>
    <w:rsid w:val="00E8136B"/>
    <w:rsid w:val="00E87BB5"/>
    <w:rsid w:val="00E968A5"/>
    <w:rsid w:val="00EA5670"/>
    <w:rsid w:val="00EC4408"/>
    <w:rsid w:val="00ED056D"/>
    <w:rsid w:val="00ED2002"/>
    <w:rsid w:val="00EE4A23"/>
    <w:rsid w:val="00EF16E0"/>
    <w:rsid w:val="00EF6885"/>
    <w:rsid w:val="00F053F8"/>
    <w:rsid w:val="00F0569E"/>
    <w:rsid w:val="00F07011"/>
    <w:rsid w:val="00F109EA"/>
    <w:rsid w:val="00F133C9"/>
    <w:rsid w:val="00F24265"/>
    <w:rsid w:val="00F35EE8"/>
    <w:rsid w:val="00F36970"/>
    <w:rsid w:val="00F5515C"/>
    <w:rsid w:val="00F553CE"/>
    <w:rsid w:val="00F673CB"/>
    <w:rsid w:val="00F67D2D"/>
    <w:rsid w:val="00F761C6"/>
    <w:rsid w:val="00F96C37"/>
    <w:rsid w:val="00FA0B14"/>
    <w:rsid w:val="00FA348A"/>
    <w:rsid w:val="00FA5F2F"/>
    <w:rsid w:val="00FB198F"/>
    <w:rsid w:val="00FB4821"/>
    <w:rsid w:val="00FC2848"/>
    <w:rsid w:val="00FC6CCF"/>
    <w:rsid w:val="00FE2597"/>
    <w:rsid w:val="00FE51A0"/>
    <w:rsid w:val="00FE5D0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4D64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uiPriority w:val="9"/>
    <w:qFormat/>
    <w:rsid w:val="001D4E3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CB1DEA"/>
    <w:rPr>
      <w:rFonts w:ascii="Lucida Grande" w:hAnsi="Lucida Grande" w:cs="Lucida Grande"/>
      <w:sz w:val="18"/>
      <w:szCs w:val="18"/>
    </w:rPr>
  </w:style>
  <w:style w:type="character" w:customStyle="1" w:styleId="BalloonTextChar0">
    <w:name w:val="Balloon Text Char"/>
    <w:basedOn w:val="DefaultParagraphFont"/>
    <w:uiPriority w:val="99"/>
    <w:semiHidden/>
    <w:rsid w:val="00CB1DEA"/>
    <w:rPr>
      <w:rFonts w:ascii="Lucida Grande" w:hAnsi="Lucida Grande" w:cs="Lucida Grande"/>
      <w:sz w:val="18"/>
      <w:szCs w:val="18"/>
    </w:rPr>
  </w:style>
  <w:style w:type="character" w:customStyle="1" w:styleId="BalloonTextChar2">
    <w:name w:val="Balloon Text Char"/>
    <w:basedOn w:val="DefaultParagraphFont"/>
    <w:uiPriority w:val="99"/>
    <w:semiHidden/>
    <w:rsid w:val="00CB1DEA"/>
    <w:rPr>
      <w:rFonts w:ascii="Lucida Grande" w:hAnsi="Lucida Grande" w:cs="Lucida Grande"/>
      <w:sz w:val="18"/>
      <w:szCs w:val="18"/>
    </w:rPr>
  </w:style>
  <w:style w:type="character" w:customStyle="1" w:styleId="BalloonTextChar3">
    <w:name w:val="Balloon Text Char"/>
    <w:basedOn w:val="DefaultParagraphFont"/>
    <w:uiPriority w:val="99"/>
    <w:semiHidden/>
    <w:rsid w:val="001337BF"/>
    <w:rPr>
      <w:rFonts w:ascii="Lucida Grande" w:hAnsi="Lucida Grande" w:cs="Lucida Grande"/>
      <w:sz w:val="18"/>
      <w:szCs w:val="18"/>
    </w:rPr>
  </w:style>
  <w:style w:type="character" w:customStyle="1" w:styleId="BalloonTextChar4">
    <w:name w:val="Balloon Text Char"/>
    <w:basedOn w:val="DefaultParagraphFont"/>
    <w:uiPriority w:val="99"/>
    <w:semiHidden/>
    <w:rsid w:val="004E2EDC"/>
    <w:rPr>
      <w:rFonts w:ascii="Lucida Grande" w:hAnsi="Lucida Grande"/>
      <w:sz w:val="18"/>
      <w:szCs w:val="18"/>
    </w:rPr>
  </w:style>
  <w:style w:type="character" w:customStyle="1" w:styleId="BalloonTextChar5">
    <w:name w:val="Balloon Text Char"/>
    <w:basedOn w:val="DefaultParagraphFont"/>
    <w:uiPriority w:val="99"/>
    <w:semiHidden/>
    <w:rsid w:val="004E2EDC"/>
    <w:rPr>
      <w:rFonts w:ascii="Lucida Grande" w:hAnsi="Lucida Grande"/>
      <w:sz w:val="18"/>
      <w:szCs w:val="18"/>
    </w:rPr>
  </w:style>
  <w:style w:type="character" w:customStyle="1" w:styleId="BalloonTextChar6">
    <w:name w:val="Balloon Text Char"/>
    <w:basedOn w:val="DefaultParagraphFont"/>
    <w:uiPriority w:val="99"/>
    <w:semiHidden/>
    <w:rsid w:val="00021BE3"/>
    <w:rPr>
      <w:rFonts w:ascii="Lucida Grande" w:hAnsi="Lucida Grande"/>
      <w:sz w:val="18"/>
      <w:szCs w:val="18"/>
    </w:rPr>
  </w:style>
  <w:style w:type="character" w:customStyle="1" w:styleId="Heading1Char">
    <w:name w:val="Heading 1 Char"/>
    <w:basedOn w:val="DefaultParagraphFont"/>
    <w:link w:val="Heading1"/>
    <w:uiPriority w:val="9"/>
    <w:rsid w:val="001D4E3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paragraph" w:customStyle="1" w:styleId="IRPsanstext">
    <w:name w:val="IRPsanstext"/>
    <w:basedOn w:val="Normal"/>
    <w:link w:val="IRPsanstextChar1"/>
    <w:rsid w:val="005B05E2"/>
    <w:pPr>
      <w:spacing w:line="320" w:lineRule="exact"/>
    </w:pPr>
    <w:rPr>
      <w:rFonts w:ascii="Arial" w:hAnsi="Arial"/>
      <w:sz w:val="20"/>
      <w:szCs w:val="20"/>
    </w:rPr>
  </w:style>
  <w:style w:type="character" w:customStyle="1" w:styleId="IRPsanstextChar1">
    <w:name w:val="IRPsanstext Char1"/>
    <w:link w:val="IRPsanstext"/>
    <w:locked/>
    <w:rsid w:val="005B05E2"/>
    <w:rPr>
      <w:rFonts w:ascii="Arial" w:eastAsia="MS Mincho" w:hAnsi="Arial"/>
      <w:sz w:val="20"/>
      <w:szCs w:val="20"/>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character" w:customStyle="1" w:styleId="BalloonTextChar1">
    <w:name w:val="Balloon Text Char1"/>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BC31F5"/>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qFormat/>
    <w:rsid w:val="00B12366"/>
    <w:pPr>
      <w:jc w:val="center"/>
    </w:pPr>
    <w:rPr>
      <w:i/>
      <w:szCs w:val="22"/>
    </w:rPr>
  </w:style>
  <w:style w:type="character" w:customStyle="1" w:styleId="IRPFigureSubChar">
    <w:name w:val="IRPFigureSub Char"/>
    <w:link w:val="IRPFigureSub"/>
    <w:uiPriority w:val="99"/>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rPr>
  </w:style>
  <w:style w:type="paragraph" w:customStyle="1" w:styleId="IRPtitle">
    <w:name w:val="IRPtitle"/>
    <w:basedOn w:val="Normal"/>
    <w:rsid w:val="00B12366"/>
    <w:pPr>
      <w:ind w:left="576" w:hanging="576"/>
    </w:pPr>
    <w:rPr>
      <w:rFonts w:ascii="Palatino" w:hAnsi="Palatino"/>
      <w:sz w:val="40"/>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customStyle="1" w:styleId="Highhead">
    <w:name w:val="Highhead"/>
    <w:basedOn w:val="IRPtitle"/>
    <w:rsid w:val="005B05E2"/>
    <w:rPr>
      <w:i/>
      <w:color w:val="008000"/>
      <w:sz w:val="32"/>
      <w:szCs w:val="40"/>
    </w:rPr>
  </w:style>
  <w:style w:type="paragraph" w:customStyle="1" w:styleId="IRPseriftext">
    <w:name w:val="IRPseriftext"/>
    <w:basedOn w:val="Normal"/>
    <w:rsid w:val="00307C88"/>
    <w:pPr>
      <w:spacing w:line="320" w:lineRule="exact"/>
      <w:ind w:left="720"/>
    </w:pPr>
    <w:rPr>
      <w:rFonts w:ascii="Palatino" w:hAnsi="Palatino"/>
      <w:i/>
    </w:rPr>
  </w:style>
  <w:style w:type="character" w:styleId="CommentReference">
    <w:name w:val="annotation reference"/>
    <w:uiPriority w:val="99"/>
    <w:semiHidden/>
    <w:rsid w:val="00307C88"/>
    <w:rPr>
      <w:sz w:val="16"/>
      <w:szCs w:val="16"/>
    </w:rPr>
  </w:style>
  <w:style w:type="paragraph" w:styleId="CommentText">
    <w:name w:val="annotation text"/>
    <w:basedOn w:val="Normal"/>
    <w:link w:val="CommentTextChar"/>
    <w:uiPriority w:val="99"/>
    <w:semiHidden/>
    <w:rsid w:val="00307C88"/>
  </w:style>
  <w:style w:type="character" w:customStyle="1" w:styleId="CommentTextChar">
    <w:name w:val="Comment Text Char"/>
    <w:basedOn w:val="DefaultParagraphFont"/>
    <w:link w:val="CommentText"/>
    <w:uiPriority w:val="99"/>
    <w:semiHidden/>
    <w:rsid w:val="00307C88"/>
    <w:rPr>
      <w:rFonts w:eastAsia="MS Mincho"/>
    </w:rPr>
  </w:style>
  <w:style w:type="paragraph" w:customStyle="1" w:styleId="IRPfiguresub0">
    <w:name w:val="IRPfiguresub"/>
    <w:basedOn w:val="BodyText"/>
    <w:rsid w:val="004D0808"/>
    <w:pPr>
      <w:spacing w:beforeAutospacing="1" w:after="0" w:afterAutospacing="1"/>
    </w:pPr>
    <w:rPr>
      <w:rFonts w:ascii="Arial" w:eastAsia="Times New Roman" w:hAnsi="Arial"/>
      <w:b/>
      <w:sz w:val="20"/>
    </w:rPr>
  </w:style>
  <w:style w:type="paragraph" w:styleId="BodyText">
    <w:name w:val="Body Text"/>
    <w:basedOn w:val="Normal"/>
    <w:link w:val="BodyTextChar"/>
    <w:uiPriority w:val="99"/>
    <w:semiHidden/>
    <w:unhideWhenUsed/>
    <w:rsid w:val="004D0808"/>
    <w:pPr>
      <w:spacing w:after="120"/>
    </w:pPr>
  </w:style>
  <w:style w:type="character" w:customStyle="1" w:styleId="BodyTextChar">
    <w:name w:val="Body Text Char"/>
    <w:basedOn w:val="DefaultParagraphFont"/>
    <w:link w:val="BodyText"/>
    <w:uiPriority w:val="99"/>
    <w:semiHidden/>
    <w:rsid w:val="004D0808"/>
    <w:rPr>
      <w:rFonts w:eastAsia="MS Mincho"/>
    </w:rPr>
  </w:style>
  <w:style w:type="paragraph" w:customStyle="1" w:styleId="IRPnumbnote">
    <w:name w:val="IRPnumbnote"/>
    <w:basedOn w:val="Normal"/>
    <w:rsid w:val="00862469"/>
    <w:pPr>
      <w:numPr>
        <w:numId w:val="8"/>
      </w:numPr>
      <w:tabs>
        <w:tab w:val="left" w:pos="144"/>
      </w:tabs>
    </w:pPr>
    <w:rPr>
      <w:rFonts w:ascii="Arial" w:hAnsi="Arial"/>
      <w:i/>
      <w:sz w:val="18"/>
      <w:szCs w:val="20"/>
    </w:rPr>
  </w:style>
  <w:style w:type="paragraph" w:customStyle="1" w:styleId="11RFPBodyBullet">
    <w:name w:val="11RFP Body Bullet"/>
    <w:basedOn w:val="Normal"/>
    <w:link w:val="11RFPBodyBulletChar"/>
    <w:rsid w:val="00862469"/>
    <w:pPr>
      <w:numPr>
        <w:ilvl w:val="1"/>
        <w:numId w:val="10"/>
      </w:numPr>
    </w:pPr>
    <w:rPr>
      <w:sz w:val="20"/>
      <w:szCs w:val="20"/>
    </w:rPr>
  </w:style>
  <w:style w:type="character" w:customStyle="1" w:styleId="11RFPBodyBulletChar">
    <w:name w:val="11RFP Body Bullet Char"/>
    <w:link w:val="11RFPBodyBullet"/>
    <w:rsid w:val="00862469"/>
    <w:rPr>
      <w:rFonts w:eastAsia="MS Mincho"/>
      <w:sz w:val="20"/>
      <w:szCs w:val="20"/>
    </w:rPr>
  </w:style>
  <w:style w:type="character" w:customStyle="1" w:styleId="CommentSubjectChar">
    <w:name w:val="Comment Subject Char"/>
    <w:basedOn w:val="CommentTextChar"/>
    <w:link w:val="CommentSubject"/>
    <w:semiHidden/>
    <w:rsid w:val="00862469"/>
    <w:rPr>
      <w:rFonts w:ascii="Calibri" w:eastAsia="Times New Roman" w:hAnsi="Calibri"/>
      <w:b/>
      <w:bCs/>
      <w:sz w:val="20"/>
      <w:szCs w:val="20"/>
    </w:rPr>
  </w:style>
  <w:style w:type="paragraph" w:styleId="CommentSubject">
    <w:name w:val="annotation subject"/>
    <w:basedOn w:val="CommentText"/>
    <w:next w:val="CommentText"/>
    <w:link w:val="CommentSubjectChar"/>
    <w:semiHidden/>
    <w:unhideWhenUsed/>
    <w:rsid w:val="00862469"/>
    <w:pPr>
      <w:spacing w:after="200"/>
    </w:pPr>
    <w:rPr>
      <w:rFonts w:ascii="Calibri" w:eastAsia="Times New Roman" w:hAnsi="Calibri"/>
      <w:b/>
      <w:bCs/>
      <w:sz w:val="20"/>
      <w:szCs w:val="20"/>
    </w:rPr>
  </w:style>
  <w:style w:type="table" w:styleId="TableGrid">
    <w:name w:val="Table Grid"/>
    <w:basedOn w:val="TableNormal"/>
    <w:rsid w:val="00862469"/>
    <w:rPr>
      <w:rFonts w:ascii="Calibri" w:eastAsia="Times New Roman"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67E84"/>
    <w:pPr>
      <w:ind w:left="720"/>
      <w:contextualSpacing/>
    </w:pPr>
  </w:style>
  <w:style w:type="character" w:styleId="Hyperlink">
    <w:name w:val="Hyperlink"/>
    <w:rsid w:val="00F07011"/>
    <w:rPr>
      <w:rFonts w:ascii="Arial" w:hAnsi="Arial"/>
      <w:color w:val="31849B"/>
      <w:sz w:val="18"/>
      <w:szCs w:val="2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uiPriority w:val="9"/>
    <w:qFormat/>
    <w:rsid w:val="001D4E3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CB1DEA"/>
    <w:rPr>
      <w:rFonts w:ascii="Lucida Grande" w:hAnsi="Lucida Grande" w:cs="Lucida Grande"/>
      <w:sz w:val="18"/>
      <w:szCs w:val="18"/>
    </w:rPr>
  </w:style>
  <w:style w:type="character" w:customStyle="1" w:styleId="BalloonTextChar0">
    <w:name w:val="Balloon Text Char"/>
    <w:basedOn w:val="DefaultParagraphFont"/>
    <w:uiPriority w:val="99"/>
    <w:semiHidden/>
    <w:rsid w:val="00CB1DEA"/>
    <w:rPr>
      <w:rFonts w:ascii="Lucida Grande" w:hAnsi="Lucida Grande" w:cs="Lucida Grande"/>
      <w:sz w:val="18"/>
      <w:szCs w:val="18"/>
    </w:rPr>
  </w:style>
  <w:style w:type="character" w:customStyle="1" w:styleId="BalloonTextChar2">
    <w:name w:val="Balloon Text Char"/>
    <w:basedOn w:val="DefaultParagraphFont"/>
    <w:uiPriority w:val="99"/>
    <w:semiHidden/>
    <w:rsid w:val="00CB1DEA"/>
    <w:rPr>
      <w:rFonts w:ascii="Lucida Grande" w:hAnsi="Lucida Grande" w:cs="Lucida Grande"/>
      <w:sz w:val="18"/>
      <w:szCs w:val="18"/>
    </w:rPr>
  </w:style>
  <w:style w:type="character" w:customStyle="1" w:styleId="BalloonTextChar3">
    <w:name w:val="Balloon Text Char"/>
    <w:basedOn w:val="DefaultParagraphFont"/>
    <w:uiPriority w:val="99"/>
    <w:semiHidden/>
    <w:rsid w:val="001337BF"/>
    <w:rPr>
      <w:rFonts w:ascii="Lucida Grande" w:hAnsi="Lucida Grande" w:cs="Lucida Grande"/>
      <w:sz w:val="18"/>
      <w:szCs w:val="18"/>
    </w:rPr>
  </w:style>
  <w:style w:type="character" w:customStyle="1" w:styleId="BalloonTextChar4">
    <w:name w:val="Balloon Text Char"/>
    <w:basedOn w:val="DefaultParagraphFont"/>
    <w:uiPriority w:val="99"/>
    <w:semiHidden/>
    <w:rsid w:val="004E2EDC"/>
    <w:rPr>
      <w:rFonts w:ascii="Lucida Grande" w:hAnsi="Lucida Grande"/>
      <w:sz w:val="18"/>
      <w:szCs w:val="18"/>
    </w:rPr>
  </w:style>
  <w:style w:type="character" w:customStyle="1" w:styleId="BalloonTextChar5">
    <w:name w:val="Balloon Text Char"/>
    <w:basedOn w:val="DefaultParagraphFont"/>
    <w:uiPriority w:val="99"/>
    <w:semiHidden/>
    <w:rsid w:val="004E2EDC"/>
    <w:rPr>
      <w:rFonts w:ascii="Lucida Grande" w:hAnsi="Lucida Grande"/>
      <w:sz w:val="18"/>
      <w:szCs w:val="18"/>
    </w:rPr>
  </w:style>
  <w:style w:type="character" w:customStyle="1" w:styleId="BalloonTextChar6">
    <w:name w:val="Balloon Text Char"/>
    <w:basedOn w:val="DefaultParagraphFont"/>
    <w:uiPriority w:val="99"/>
    <w:semiHidden/>
    <w:rsid w:val="00021BE3"/>
    <w:rPr>
      <w:rFonts w:ascii="Lucida Grande" w:hAnsi="Lucida Grande"/>
      <w:sz w:val="18"/>
      <w:szCs w:val="18"/>
    </w:rPr>
  </w:style>
  <w:style w:type="character" w:customStyle="1" w:styleId="Heading1Char">
    <w:name w:val="Heading 1 Char"/>
    <w:basedOn w:val="DefaultParagraphFont"/>
    <w:link w:val="Heading1"/>
    <w:uiPriority w:val="9"/>
    <w:rsid w:val="001D4E3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paragraph" w:customStyle="1" w:styleId="IRPsanstext">
    <w:name w:val="IRPsanstext"/>
    <w:basedOn w:val="Normal"/>
    <w:link w:val="IRPsanstextChar1"/>
    <w:rsid w:val="005B05E2"/>
    <w:pPr>
      <w:spacing w:line="320" w:lineRule="exact"/>
    </w:pPr>
    <w:rPr>
      <w:rFonts w:ascii="Arial" w:hAnsi="Arial"/>
      <w:sz w:val="20"/>
      <w:szCs w:val="20"/>
    </w:rPr>
  </w:style>
  <w:style w:type="character" w:customStyle="1" w:styleId="IRPsanstextChar1">
    <w:name w:val="IRPsanstext Char1"/>
    <w:link w:val="IRPsanstext"/>
    <w:locked/>
    <w:rsid w:val="005B05E2"/>
    <w:rPr>
      <w:rFonts w:ascii="Arial" w:eastAsia="MS Mincho" w:hAnsi="Arial"/>
      <w:sz w:val="20"/>
      <w:szCs w:val="20"/>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character" w:customStyle="1" w:styleId="BalloonTextChar1">
    <w:name w:val="Balloon Text Char1"/>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BC31F5"/>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qFormat/>
    <w:rsid w:val="00B12366"/>
    <w:pPr>
      <w:jc w:val="center"/>
    </w:pPr>
    <w:rPr>
      <w:i/>
      <w:szCs w:val="22"/>
    </w:rPr>
  </w:style>
  <w:style w:type="character" w:customStyle="1" w:styleId="IRPFigureSubChar">
    <w:name w:val="IRPFigureSub Char"/>
    <w:link w:val="IRPFigureSub"/>
    <w:uiPriority w:val="99"/>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rPr>
  </w:style>
  <w:style w:type="paragraph" w:customStyle="1" w:styleId="IRPtitle">
    <w:name w:val="IRPtitle"/>
    <w:basedOn w:val="Normal"/>
    <w:rsid w:val="00B12366"/>
    <w:pPr>
      <w:ind w:left="576" w:hanging="576"/>
    </w:pPr>
    <w:rPr>
      <w:rFonts w:ascii="Palatino" w:hAnsi="Palatino"/>
      <w:sz w:val="40"/>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customStyle="1" w:styleId="Highhead">
    <w:name w:val="Highhead"/>
    <w:basedOn w:val="IRPtitle"/>
    <w:rsid w:val="005B05E2"/>
    <w:rPr>
      <w:i/>
      <w:color w:val="008000"/>
      <w:sz w:val="32"/>
      <w:szCs w:val="40"/>
    </w:rPr>
  </w:style>
  <w:style w:type="paragraph" w:customStyle="1" w:styleId="IRPseriftext">
    <w:name w:val="IRPseriftext"/>
    <w:basedOn w:val="Normal"/>
    <w:rsid w:val="00307C88"/>
    <w:pPr>
      <w:spacing w:line="320" w:lineRule="exact"/>
      <w:ind w:left="720"/>
    </w:pPr>
    <w:rPr>
      <w:rFonts w:ascii="Palatino" w:hAnsi="Palatino"/>
      <w:i/>
    </w:rPr>
  </w:style>
  <w:style w:type="character" w:styleId="CommentReference">
    <w:name w:val="annotation reference"/>
    <w:uiPriority w:val="99"/>
    <w:semiHidden/>
    <w:rsid w:val="00307C88"/>
    <w:rPr>
      <w:sz w:val="16"/>
      <w:szCs w:val="16"/>
    </w:rPr>
  </w:style>
  <w:style w:type="paragraph" w:styleId="CommentText">
    <w:name w:val="annotation text"/>
    <w:basedOn w:val="Normal"/>
    <w:link w:val="CommentTextChar"/>
    <w:uiPriority w:val="99"/>
    <w:semiHidden/>
    <w:rsid w:val="00307C88"/>
  </w:style>
  <w:style w:type="character" w:customStyle="1" w:styleId="CommentTextChar">
    <w:name w:val="Comment Text Char"/>
    <w:basedOn w:val="DefaultParagraphFont"/>
    <w:link w:val="CommentText"/>
    <w:uiPriority w:val="99"/>
    <w:semiHidden/>
    <w:rsid w:val="00307C88"/>
    <w:rPr>
      <w:rFonts w:eastAsia="MS Mincho"/>
    </w:rPr>
  </w:style>
  <w:style w:type="paragraph" w:customStyle="1" w:styleId="IRPfiguresub0">
    <w:name w:val="IRPfiguresub"/>
    <w:basedOn w:val="BodyText"/>
    <w:rsid w:val="004D0808"/>
    <w:pPr>
      <w:spacing w:beforeAutospacing="1" w:after="0" w:afterAutospacing="1"/>
    </w:pPr>
    <w:rPr>
      <w:rFonts w:ascii="Arial" w:eastAsia="Times New Roman" w:hAnsi="Arial"/>
      <w:b/>
      <w:sz w:val="20"/>
    </w:rPr>
  </w:style>
  <w:style w:type="paragraph" w:styleId="BodyText">
    <w:name w:val="Body Text"/>
    <w:basedOn w:val="Normal"/>
    <w:link w:val="BodyTextChar"/>
    <w:uiPriority w:val="99"/>
    <w:semiHidden/>
    <w:unhideWhenUsed/>
    <w:rsid w:val="004D0808"/>
    <w:pPr>
      <w:spacing w:after="120"/>
    </w:pPr>
  </w:style>
  <w:style w:type="character" w:customStyle="1" w:styleId="BodyTextChar">
    <w:name w:val="Body Text Char"/>
    <w:basedOn w:val="DefaultParagraphFont"/>
    <w:link w:val="BodyText"/>
    <w:uiPriority w:val="99"/>
    <w:semiHidden/>
    <w:rsid w:val="004D0808"/>
    <w:rPr>
      <w:rFonts w:eastAsia="MS Mincho"/>
    </w:rPr>
  </w:style>
  <w:style w:type="paragraph" w:customStyle="1" w:styleId="IRPnumbnote">
    <w:name w:val="IRPnumbnote"/>
    <w:basedOn w:val="Normal"/>
    <w:rsid w:val="00862469"/>
    <w:pPr>
      <w:numPr>
        <w:numId w:val="8"/>
      </w:numPr>
      <w:tabs>
        <w:tab w:val="left" w:pos="144"/>
      </w:tabs>
    </w:pPr>
    <w:rPr>
      <w:rFonts w:ascii="Arial" w:hAnsi="Arial"/>
      <w:i/>
      <w:sz w:val="18"/>
      <w:szCs w:val="20"/>
    </w:rPr>
  </w:style>
  <w:style w:type="paragraph" w:customStyle="1" w:styleId="11RFPBodyBullet">
    <w:name w:val="11RFP Body Bullet"/>
    <w:basedOn w:val="Normal"/>
    <w:link w:val="11RFPBodyBulletChar"/>
    <w:rsid w:val="00862469"/>
    <w:pPr>
      <w:numPr>
        <w:ilvl w:val="1"/>
        <w:numId w:val="10"/>
      </w:numPr>
    </w:pPr>
    <w:rPr>
      <w:sz w:val="20"/>
      <w:szCs w:val="20"/>
    </w:rPr>
  </w:style>
  <w:style w:type="character" w:customStyle="1" w:styleId="11RFPBodyBulletChar">
    <w:name w:val="11RFP Body Bullet Char"/>
    <w:link w:val="11RFPBodyBullet"/>
    <w:rsid w:val="00862469"/>
    <w:rPr>
      <w:rFonts w:eastAsia="MS Mincho"/>
      <w:sz w:val="20"/>
      <w:szCs w:val="20"/>
    </w:rPr>
  </w:style>
  <w:style w:type="character" w:customStyle="1" w:styleId="CommentSubjectChar">
    <w:name w:val="Comment Subject Char"/>
    <w:basedOn w:val="CommentTextChar"/>
    <w:link w:val="CommentSubject"/>
    <w:semiHidden/>
    <w:rsid w:val="00862469"/>
    <w:rPr>
      <w:rFonts w:ascii="Calibri" w:eastAsia="Times New Roman" w:hAnsi="Calibri"/>
      <w:b/>
      <w:bCs/>
      <w:sz w:val="20"/>
      <w:szCs w:val="20"/>
    </w:rPr>
  </w:style>
  <w:style w:type="paragraph" w:styleId="CommentSubject">
    <w:name w:val="annotation subject"/>
    <w:basedOn w:val="CommentText"/>
    <w:next w:val="CommentText"/>
    <w:link w:val="CommentSubjectChar"/>
    <w:semiHidden/>
    <w:unhideWhenUsed/>
    <w:rsid w:val="00862469"/>
    <w:pPr>
      <w:spacing w:after="200"/>
    </w:pPr>
    <w:rPr>
      <w:rFonts w:ascii="Calibri" w:eastAsia="Times New Roman" w:hAnsi="Calibri"/>
      <w:b/>
      <w:bCs/>
      <w:sz w:val="20"/>
      <w:szCs w:val="20"/>
    </w:rPr>
  </w:style>
  <w:style w:type="table" w:styleId="TableGrid">
    <w:name w:val="Table Grid"/>
    <w:basedOn w:val="TableNormal"/>
    <w:rsid w:val="00862469"/>
    <w:rPr>
      <w:rFonts w:ascii="Calibri" w:eastAsia="Times New Roman"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67E84"/>
    <w:pPr>
      <w:ind w:left="720"/>
      <w:contextualSpacing/>
    </w:pPr>
  </w:style>
  <w:style w:type="character" w:styleId="Hyperlink">
    <w:name w:val="Hyperlink"/>
    <w:rsid w:val="00F07011"/>
    <w:rPr>
      <w:rFonts w:ascii="Arial" w:hAnsi="Arial"/>
      <w:color w:val="31849B"/>
      <w:sz w:val="18"/>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069520">
      <w:bodyDiv w:val="1"/>
      <w:marLeft w:val="0"/>
      <w:marRight w:val="0"/>
      <w:marTop w:val="0"/>
      <w:marBottom w:val="0"/>
      <w:divBdr>
        <w:top w:val="none" w:sz="0" w:space="0" w:color="auto"/>
        <w:left w:val="none" w:sz="0" w:space="0" w:color="auto"/>
        <w:bottom w:val="none" w:sz="0" w:space="0" w:color="auto"/>
        <w:right w:val="none" w:sz="0" w:space="0" w:color="auto"/>
      </w:divBdr>
    </w:div>
    <w:div w:id="615601600">
      <w:bodyDiv w:val="1"/>
      <w:marLeft w:val="0"/>
      <w:marRight w:val="0"/>
      <w:marTop w:val="0"/>
      <w:marBottom w:val="0"/>
      <w:divBdr>
        <w:top w:val="none" w:sz="0" w:space="0" w:color="auto"/>
        <w:left w:val="none" w:sz="0" w:space="0" w:color="auto"/>
        <w:bottom w:val="none" w:sz="0" w:space="0" w:color="auto"/>
        <w:right w:val="none" w:sz="0" w:space="0" w:color="auto"/>
      </w:divBdr>
    </w:div>
    <w:div w:id="1427263486">
      <w:bodyDiv w:val="1"/>
      <w:marLeft w:val="0"/>
      <w:marRight w:val="0"/>
      <w:marTop w:val="0"/>
      <w:marBottom w:val="0"/>
      <w:divBdr>
        <w:top w:val="none" w:sz="0" w:space="0" w:color="auto"/>
        <w:left w:val="none" w:sz="0" w:space="0" w:color="auto"/>
        <w:bottom w:val="none" w:sz="0" w:space="0" w:color="auto"/>
        <w:right w:val="none" w:sz="0" w:space="0" w:color="auto"/>
      </w:divBdr>
    </w:div>
    <w:div w:id="17752430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footnotes" Target="footnotes.xml"/><Relationship Id="rId20" Type="http://schemas.openxmlformats.org/officeDocument/2006/relationships/image" Target="media/image11.emf"/><Relationship Id="rId29"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7.jpeg"/><Relationship Id="rId41" Type="http://schemas.openxmlformats.org/officeDocument/2006/relationships/customXml" Target="../customXml/item5.xml"/><Relationship Id="rId24" Type="http://schemas.openxmlformats.org/officeDocument/2006/relationships/image" Target="media/image15.png"/><Relationship Id="rId1" Type="http://schemas.openxmlformats.org/officeDocument/2006/relationships/customXml" Target="../customXml/item1.xml"/><Relationship Id="rId32" Type="http://schemas.openxmlformats.org/officeDocument/2006/relationships/image" Target="media/image23.png"/><Relationship Id="rId6" Type="http://schemas.openxmlformats.org/officeDocument/2006/relationships/webSettings" Target="webSettings.xml"/><Relationship Id="rId11" Type="http://schemas.openxmlformats.org/officeDocument/2006/relationships/image" Target="media/image3.emf"/><Relationship Id="rId37" Type="http://schemas.openxmlformats.org/officeDocument/2006/relationships/theme" Target="theme/theme1.xml"/><Relationship Id="rId40" Type="http://schemas.openxmlformats.org/officeDocument/2006/relationships/customXml" Target="../customXml/item4.xml"/><Relationship Id="rId23" Type="http://schemas.openxmlformats.org/officeDocument/2006/relationships/image" Target="media/image14.png"/><Relationship Id="rId28" Type="http://schemas.openxmlformats.org/officeDocument/2006/relationships/image" Target="media/image19.emf"/><Relationship Id="rId5" Type="http://schemas.openxmlformats.org/officeDocument/2006/relationships/settings" Target="settings.xml"/><Relationship Id="rId36" Type="http://schemas.openxmlformats.org/officeDocument/2006/relationships/fontTable" Target="fontTable.xml"/><Relationship Id="rId15" Type="http://schemas.openxmlformats.org/officeDocument/2006/relationships/oleObject" Target="embeddings/oleObject1.bin"/><Relationship Id="rId31"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0.png"/><Relationship Id="rId22" Type="http://schemas.openxmlformats.org/officeDocument/2006/relationships/image" Target="media/image13.png"/><Relationship Id="rId27" Type="http://schemas.openxmlformats.org/officeDocument/2006/relationships/image" Target="media/image18.png"/><Relationship Id="rId4" Type="http://schemas.microsoft.com/office/2007/relationships/stylesWithEffects" Target="stylesWithEffects.xml"/><Relationship Id="rId30" Type="http://schemas.openxmlformats.org/officeDocument/2006/relationships/image" Target="media/image21.png"/><Relationship Id="rId9" Type="http://schemas.openxmlformats.org/officeDocument/2006/relationships/image" Target="media/image1.png"/><Relationship Id="rId35" Type="http://schemas.openxmlformats.org/officeDocument/2006/relationships/footer" Target="footer1.xml"/><Relationship Id="rId14" Type="http://schemas.openxmlformats.org/officeDocument/2006/relationships/image" Target="media/image6.emf"/><Relationship Id="rId8" Type="http://schemas.openxmlformats.org/officeDocument/2006/relationships/endnotes" Target="endnotes.xml"/><Relationship Id="rId3" Type="http://schemas.openxmlformats.org/officeDocument/2006/relationships/styles" Target="styles.xml"/><Relationship Id="rId25" Type="http://schemas.openxmlformats.org/officeDocument/2006/relationships/image" Target="media/image16.png"/><Relationship Id="rId33" Type="http://schemas.openxmlformats.org/officeDocument/2006/relationships/image" Target="media/image24.png"/><Relationship Id="rId12" Type="http://schemas.openxmlformats.org/officeDocument/2006/relationships/image" Target="media/image4.png"/><Relationship Id="rId17" Type="http://schemas.openxmlformats.org/officeDocument/2006/relationships/image" Target="media/image8.png"/><Relationship Id="rId38"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D7830C01A199B4B9669B9266D9E57D0" ma:contentTypeVersion="175" ma:contentTypeDescription="" ma:contentTypeScope="" ma:versionID="267235b268ef2103aa72b6bb0c12b36a">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Plan</DocumentSetType>
    <IsConfidential xmlns="dc463f71-b30c-4ab2-9473-d307f9d35888">false</IsConfidential>
    <AgendaOrder xmlns="dc463f71-b30c-4ab2-9473-d307f9d35888">false</AgendaOrder>
    <CaseType xmlns="dc463f71-b30c-4ab2-9473-d307f9d35888">Staff Investigation</CaseType>
    <IndustryCode xmlns="dc463f71-b30c-4ab2-9473-d307f9d35888">150</IndustryCode>
    <CaseStatus xmlns="dc463f71-b30c-4ab2-9473-d307f9d35888">Closed</CaseStatus>
    <OpenedDate xmlns="dc463f71-b30c-4ab2-9473-d307f9d35888">2014-05-29T07:00:00+00:00</OpenedDate>
    <Date1 xmlns="dc463f71-b30c-4ab2-9473-d307f9d35888">2015-11-25T08:00:00+00:00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141169</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EF21735B-91E8-4CA4-8269-6CE0D3DEBAE7}"/>
</file>

<file path=customXml/itemProps2.xml><?xml version="1.0" encoding="utf-8"?>
<ds:datastoreItem xmlns:ds="http://schemas.openxmlformats.org/officeDocument/2006/customXml" ds:itemID="{FC942FD4-779C-48B7-A98F-C680106EC72A}"/>
</file>

<file path=customXml/itemProps3.xml><?xml version="1.0" encoding="utf-8"?>
<ds:datastoreItem xmlns:ds="http://schemas.openxmlformats.org/officeDocument/2006/customXml" ds:itemID="{1D562914-B596-C64A-AE0B-18C0065DAD41}"/>
</file>

<file path=customXml/itemProps4.xml><?xml version="1.0" encoding="utf-8"?>
<ds:datastoreItem xmlns:ds="http://schemas.openxmlformats.org/officeDocument/2006/customXml" ds:itemID="{9EC4B4BE-5941-41DE-A7EE-CAD4BCB48FE6}"/>
</file>

<file path=customXml/itemProps5.xml><?xml version="1.0" encoding="utf-8"?>
<ds:datastoreItem xmlns:ds="http://schemas.openxmlformats.org/officeDocument/2006/customXml" ds:itemID="{FC0B86F4-2B21-429D-A447-5B37F06A95E6}"/>
</file>

<file path=docProps/app.xml><?xml version="1.0" encoding="utf-8"?>
<Properties xmlns="http://schemas.openxmlformats.org/officeDocument/2006/extended-properties" xmlns:vt="http://schemas.openxmlformats.org/officeDocument/2006/docPropsVTypes">
  <Template>Normal.dotm</Template>
  <TotalTime>10</TotalTime>
  <Pages>49</Pages>
  <Words>9608</Words>
  <Characters>54768</Characters>
  <Application>Microsoft Macintosh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64248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Rhodes User</dc:creator>
  <cp:lastModifiedBy>Ann Rhodes</cp:lastModifiedBy>
  <cp:revision>5</cp:revision>
  <cp:lastPrinted>2015-10-27T18:59:00Z</cp:lastPrinted>
  <dcterms:created xsi:type="dcterms:W3CDTF">2015-11-10T19:02:00Z</dcterms:created>
  <dcterms:modified xsi:type="dcterms:W3CDTF">2015-11-10T19:44:00Z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0x0101006E56B4D1795A2E4DB2F0B01679ED314A00CD7830C01A199B4B9669B9266D9E57D0</vt:lpwstr>
  </property>
  <property fmtid="{D5CDD505-2E9C-101B-9397-08002B2CF9AE}" pid="3" name="_docset_NoMedatataSyncRequired">
    <vt:lpwstr>False</vt:lpwstr>
  </property>
</Properties>
</file>