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FD" w:rsidRPr="00415972" w:rsidRDefault="008A6368" w:rsidP="005908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972">
        <w:rPr>
          <w:rFonts w:ascii="Times New Roman" w:hAnsi="Times New Roman" w:cs="Times New Roman"/>
          <w:b/>
          <w:sz w:val="24"/>
          <w:szCs w:val="24"/>
        </w:rPr>
        <w:t>UTC Comment form for Energy Independence Act Rulemaking, WAC 480-109</w:t>
      </w:r>
      <w:r w:rsidR="00101011" w:rsidRPr="00415972">
        <w:rPr>
          <w:rFonts w:ascii="Times New Roman" w:hAnsi="Times New Roman" w:cs="Times New Roman"/>
          <w:b/>
          <w:sz w:val="24"/>
          <w:szCs w:val="24"/>
        </w:rPr>
        <w:t xml:space="preserve">, Docket </w:t>
      </w:r>
      <w:r w:rsidR="00C656B7" w:rsidRPr="00415972">
        <w:rPr>
          <w:rFonts w:ascii="Times New Roman" w:hAnsi="Times New Roman" w:cs="Times New Roman"/>
          <w:b/>
          <w:sz w:val="24"/>
          <w:szCs w:val="24"/>
        </w:rPr>
        <w:t>UE-</w:t>
      </w:r>
      <w:r w:rsidR="00101011" w:rsidRPr="00415972">
        <w:rPr>
          <w:rFonts w:ascii="Times New Roman" w:hAnsi="Times New Roman" w:cs="Times New Roman"/>
          <w:b/>
          <w:sz w:val="24"/>
          <w:szCs w:val="24"/>
        </w:rPr>
        <w:t>131723</w:t>
      </w:r>
    </w:p>
    <w:p w:rsidR="002C039A" w:rsidRPr="00415972" w:rsidRDefault="00101011" w:rsidP="0010101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5972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C656B7" w:rsidRPr="00415972">
        <w:rPr>
          <w:rFonts w:ascii="Times New Roman" w:hAnsi="Times New Roman" w:cs="Times New Roman"/>
          <w:sz w:val="24"/>
          <w:szCs w:val="24"/>
          <w:u w:val="single"/>
        </w:rPr>
        <w:t>ubmit this form</w:t>
      </w:r>
      <w:r w:rsidR="009F6B32" w:rsidRPr="00415972">
        <w:rPr>
          <w:rFonts w:ascii="Times New Roman" w:hAnsi="Times New Roman" w:cs="Times New Roman"/>
          <w:sz w:val="24"/>
          <w:szCs w:val="24"/>
          <w:u w:val="single"/>
        </w:rPr>
        <w:t xml:space="preserve"> by </w:t>
      </w:r>
      <w:r w:rsidRPr="00415972">
        <w:rPr>
          <w:rFonts w:ascii="Times New Roman" w:hAnsi="Times New Roman" w:cs="Times New Roman"/>
          <w:sz w:val="24"/>
          <w:szCs w:val="24"/>
          <w:u w:val="single"/>
        </w:rPr>
        <w:t xml:space="preserve">5 PM </w:t>
      </w:r>
      <w:r w:rsidR="00590852" w:rsidRPr="00415972">
        <w:rPr>
          <w:rFonts w:ascii="Times New Roman" w:hAnsi="Times New Roman" w:cs="Times New Roman"/>
          <w:sz w:val="24"/>
          <w:szCs w:val="24"/>
          <w:u w:val="single"/>
        </w:rPr>
        <w:t xml:space="preserve">Monday, </w:t>
      </w:r>
      <w:r w:rsidR="009F6B32" w:rsidRPr="00415972">
        <w:rPr>
          <w:rFonts w:ascii="Times New Roman" w:hAnsi="Times New Roman" w:cs="Times New Roman"/>
          <w:sz w:val="24"/>
          <w:szCs w:val="24"/>
          <w:u w:val="single"/>
        </w:rPr>
        <w:t xml:space="preserve">Dec. 2, 2013 </w:t>
      </w:r>
      <w:r w:rsidRPr="00415972">
        <w:rPr>
          <w:rFonts w:ascii="Times New Roman" w:hAnsi="Times New Roman" w:cs="Times New Roman"/>
          <w:sz w:val="24"/>
          <w:szCs w:val="24"/>
          <w:u w:val="single"/>
        </w:rPr>
        <w:t xml:space="preserve">via the Commission’s Web portal at </w:t>
      </w:r>
      <w:hyperlink r:id="rId6" w:history="1">
        <w:r w:rsidRPr="00415972">
          <w:rPr>
            <w:rStyle w:val="Hyperlink"/>
            <w:rFonts w:ascii="Times New Roman" w:hAnsi="Times New Roman" w:cs="Times New Roman"/>
            <w:sz w:val="24"/>
            <w:szCs w:val="24"/>
          </w:rPr>
          <w:t>www.utc.wa.gov/e-filing</w:t>
        </w:r>
      </w:hyperlink>
      <w:r w:rsidRPr="00415972">
        <w:rPr>
          <w:rFonts w:ascii="Times New Roman" w:hAnsi="Times New Roman" w:cs="Times New Roman"/>
          <w:sz w:val="24"/>
          <w:szCs w:val="24"/>
          <w:u w:val="single"/>
        </w:rPr>
        <w:t xml:space="preserve"> or by e-mail to </w:t>
      </w:r>
      <w:hyperlink r:id="rId7" w:history="1">
        <w:r w:rsidR="008353FD" w:rsidRPr="0041597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records@utc.wa.gov</w:t>
        </w:r>
      </w:hyperlink>
      <w:r w:rsidR="009F6B32" w:rsidRPr="0041597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A6368" w:rsidRPr="00415972" w:rsidRDefault="008A6368" w:rsidP="00AD3312">
      <w:pPr>
        <w:rPr>
          <w:rFonts w:ascii="Times New Roman" w:hAnsi="Times New Roman" w:cs="Times New Roman"/>
          <w:sz w:val="24"/>
          <w:szCs w:val="24"/>
        </w:rPr>
      </w:pPr>
    </w:p>
    <w:p w:rsidR="002E1B3B" w:rsidRDefault="007C27A6" w:rsidP="008A6368">
      <w:pPr>
        <w:rPr>
          <w:rFonts w:ascii="Times New Roman" w:hAnsi="Times New Roman" w:cs="Times New Roman"/>
          <w:sz w:val="24"/>
          <w:szCs w:val="24"/>
        </w:rPr>
      </w:pPr>
      <w:r w:rsidRPr="00415972">
        <w:rPr>
          <w:rFonts w:ascii="Times New Roman" w:hAnsi="Times New Roman" w:cs="Times New Roman"/>
          <w:sz w:val="24"/>
          <w:szCs w:val="24"/>
        </w:rPr>
        <w:t>Comments on behalf of</w:t>
      </w:r>
      <w:r w:rsidR="00EB4D85" w:rsidRPr="00EB4D85">
        <w:rPr>
          <w:rFonts w:ascii="Times New Roman" w:hAnsi="Times New Roman" w:cs="Times New Roman"/>
          <w:sz w:val="24"/>
          <w:szCs w:val="24"/>
        </w:rPr>
        <w:t>:</w:t>
      </w:r>
      <w:r w:rsidR="00EB4D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9495B">
        <w:rPr>
          <w:rFonts w:ascii="Times New Roman" w:hAnsi="Times New Roman" w:cs="Times New Roman"/>
          <w:sz w:val="24"/>
          <w:szCs w:val="24"/>
          <w:u w:val="single"/>
        </w:rPr>
        <w:t>Public Counsel</w:t>
      </w:r>
      <w:r w:rsidR="002E1B3B">
        <w:rPr>
          <w:rFonts w:ascii="Times New Roman" w:hAnsi="Times New Roman" w:cs="Times New Roman"/>
          <w:sz w:val="24"/>
          <w:szCs w:val="24"/>
        </w:rPr>
        <w:t xml:space="preserve">   </w:t>
      </w:r>
      <w:r w:rsidR="00590852" w:rsidRPr="0079126F">
        <w:rPr>
          <w:rFonts w:ascii="Times New Roman" w:hAnsi="Times New Roman" w:cs="Times New Roman"/>
          <w:sz w:val="24"/>
          <w:szCs w:val="24"/>
        </w:rPr>
        <w:t>Commenter</w:t>
      </w:r>
      <w:r w:rsidRPr="0079126F">
        <w:rPr>
          <w:rFonts w:ascii="Times New Roman" w:hAnsi="Times New Roman" w:cs="Times New Roman"/>
          <w:sz w:val="24"/>
          <w:szCs w:val="24"/>
        </w:rPr>
        <w:t>:</w:t>
      </w:r>
      <w:r w:rsidRPr="0079495B">
        <w:rPr>
          <w:rFonts w:ascii="Times New Roman" w:hAnsi="Times New Roman" w:cs="Times New Roman"/>
          <w:sz w:val="24"/>
          <w:szCs w:val="24"/>
          <w:u w:val="single"/>
        </w:rPr>
        <w:t xml:space="preserve"> Mary Kimball, Lea Fisher, Stefanie Johnson</w:t>
      </w:r>
      <w:r w:rsidR="005C5A94" w:rsidRPr="00415972">
        <w:rPr>
          <w:rFonts w:ascii="Times New Roman" w:hAnsi="Times New Roman" w:cs="Times New Roman"/>
          <w:sz w:val="24"/>
          <w:szCs w:val="24"/>
        </w:rPr>
        <w:t xml:space="preserve">   E-mail: </w:t>
      </w:r>
      <w:hyperlink r:id="rId8" w:history="1">
        <w:r w:rsidR="00EB4D85" w:rsidRPr="006729E5">
          <w:rPr>
            <w:rStyle w:val="Hyperlink"/>
            <w:rFonts w:ascii="Times New Roman" w:hAnsi="Times New Roman" w:cs="Times New Roman"/>
            <w:sz w:val="24"/>
            <w:szCs w:val="24"/>
          </w:rPr>
          <w:t>Maryk2@atg.wa.gov</w:t>
        </w:r>
      </w:hyperlink>
      <w:r w:rsidRPr="00415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B32" w:rsidRPr="00415972" w:rsidRDefault="005C5A94" w:rsidP="008A6368">
      <w:pPr>
        <w:rPr>
          <w:rFonts w:ascii="Times New Roman" w:hAnsi="Times New Roman" w:cs="Times New Roman"/>
          <w:sz w:val="24"/>
          <w:szCs w:val="24"/>
        </w:rPr>
      </w:pPr>
      <w:r w:rsidRPr="00415972">
        <w:rPr>
          <w:rFonts w:ascii="Times New Roman" w:hAnsi="Times New Roman" w:cs="Times New Roman"/>
          <w:sz w:val="24"/>
          <w:szCs w:val="24"/>
        </w:rPr>
        <w:t xml:space="preserve"> P</w:t>
      </w:r>
      <w:r w:rsidR="008A6368" w:rsidRPr="00415972">
        <w:rPr>
          <w:rFonts w:ascii="Times New Roman" w:hAnsi="Times New Roman" w:cs="Times New Roman"/>
          <w:sz w:val="24"/>
          <w:szCs w:val="24"/>
        </w:rPr>
        <w:t xml:space="preserve">hone: </w:t>
      </w:r>
      <w:r w:rsidR="007C27A6" w:rsidRPr="0079495B">
        <w:rPr>
          <w:rFonts w:ascii="Times New Roman" w:hAnsi="Times New Roman" w:cs="Times New Roman"/>
          <w:sz w:val="24"/>
          <w:szCs w:val="24"/>
          <w:u w:val="single"/>
        </w:rPr>
        <w:t>206-389-2529</w:t>
      </w:r>
      <w:r w:rsidR="0079495B">
        <w:rPr>
          <w:rFonts w:ascii="Times New Roman" w:hAnsi="Times New Roman" w:cs="Times New Roman"/>
          <w:sz w:val="24"/>
          <w:szCs w:val="24"/>
          <w:u w:val="single"/>
        </w:rPr>
        <w:t xml:space="preserve"> (Kimball)</w:t>
      </w:r>
    </w:p>
    <w:p w:rsidR="00590852" w:rsidRPr="00415972" w:rsidRDefault="008A6368" w:rsidP="00590852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415972">
        <w:rPr>
          <w:rFonts w:ascii="Times New Roman" w:hAnsi="Times New Roman" w:cs="Times New Roman"/>
          <w:sz w:val="24"/>
          <w:szCs w:val="24"/>
        </w:rPr>
        <w:tab/>
      </w:r>
      <w:r w:rsidRPr="00415972">
        <w:rPr>
          <w:rFonts w:ascii="Times New Roman" w:hAnsi="Times New Roman" w:cs="Times New Roman"/>
          <w:sz w:val="24"/>
          <w:szCs w:val="24"/>
        </w:rPr>
        <w:tab/>
      </w:r>
      <w:r w:rsidRPr="0041597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01011" w:rsidRPr="00415972">
        <w:rPr>
          <w:rFonts w:ascii="Times New Roman" w:hAnsi="Times New Roman" w:cs="Times New Roman"/>
          <w:sz w:val="24"/>
          <w:szCs w:val="24"/>
        </w:rPr>
        <w:t xml:space="preserve">  </w:t>
      </w:r>
      <w:r w:rsidRPr="0041597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9F6B32" w:rsidRPr="00415972" w:rsidRDefault="008353FD" w:rsidP="00590852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415972">
        <w:rPr>
          <w:rFonts w:ascii="Times New Roman" w:hAnsi="Times New Roman" w:cs="Times New Roman"/>
          <w:sz w:val="24"/>
          <w:szCs w:val="24"/>
        </w:rPr>
        <w:t>In the first column</w:t>
      </w:r>
      <w:r w:rsidR="005C5A94" w:rsidRPr="00415972">
        <w:rPr>
          <w:rFonts w:ascii="Times New Roman" w:hAnsi="Times New Roman" w:cs="Times New Roman"/>
          <w:sz w:val="24"/>
          <w:szCs w:val="24"/>
        </w:rPr>
        <w:t>,</w:t>
      </w:r>
      <w:r w:rsidRPr="00415972">
        <w:rPr>
          <w:rFonts w:ascii="Times New Roman" w:hAnsi="Times New Roman" w:cs="Times New Roman"/>
          <w:sz w:val="24"/>
          <w:szCs w:val="24"/>
        </w:rPr>
        <w:t xml:space="preserve"> fill </w:t>
      </w:r>
      <w:r w:rsidR="00590852" w:rsidRPr="00415972">
        <w:rPr>
          <w:rFonts w:ascii="Times New Roman" w:hAnsi="Times New Roman" w:cs="Times New Roman"/>
          <w:sz w:val="24"/>
          <w:szCs w:val="24"/>
        </w:rPr>
        <w:t>in the section</w:t>
      </w:r>
      <w:r w:rsidR="00101011" w:rsidRPr="00415972">
        <w:rPr>
          <w:rFonts w:ascii="Times New Roman" w:hAnsi="Times New Roman" w:cs="Times New Roman"/>
          <w:sz w:val="24"/>
          <w:szCs w:val="24"/>
        </w:rPr>
        <w:t xml:space="preserve"> or subsection</w:t>
      </w:r>
      <w:r w:rsidR="00590852" w:rsidRPr="00415972">
        <w:rPr>
          <w:rFonts w:ascii="Times New Roman" w:hAnsi="Times New Roman" w:cs="Times New Roman"/>
          <w:sz w:val="24"/>
          <w:szCs w:val="24"/>
        </w:rPr>
        <w:t xml:space="preserve"> of</w:t>
      </w:r>
      <w:r w:rsidR="00101011" w:rsidRPr="00415972">
        <w:rPr>
          <w:rFonts w:ascii="Times New Roman" w:hAnsi="Times New Roman" w:cs="Times New Roman"/>
          <w:sz w:val="24"/>
          <w:szCs w:val="24"/>
        </w:rPr>
        <w:t xml:space="preserve"> interest in the rule</w:t>
      </w:r>
      <w:r w:rsidRPr="00415972">
        <w:rPr>
          <w:rFonts w:ascii="Times New Roman" w:hAnsi="Times New Roman" w:cs="Times New Roman"/>
          <w:sz w:val="24"/>
          <w:szCs w:val="24"/>
        </w:rPr>
        <w:t xml:space="preserve">.  </w:t>
      </w:r>
      <w:r w:rsidR="00590852" w:rsidRPr="00415972">
        <w:rPr>
          <w:rFonts w:ascii="Times New Roman" w:hAnsi="Times New Roman" w:cs="Times New Roman"/>
          <w:sz w:val="24"/>
          <w:szCs w:val="24"/>
        </w:rPr>
        <w:t xml:space="preserve">In </w:t>
      </w:r>
      <w:r w:rsidR="005C5A94" w:rsidRPr="00415972">
        <w:rPr>
          <w:rFonts w:ascii="Times New Roman" w:hAnsi="Times New Roman" w:cs="Times New Roman"/>
          <w:sz w:val="24"/>
          <w:szCs w:val="24"/>
        </w:rPr>
        <w:t xml:space="preserve">the </w:t>
      </w:r>
      <w:r w:rsidR="00590852" w:rsidRPr="00415972">
        <w:rPr>
          <w:rFonts w:ascii="Times New Roman" w:hAnsi="Times New Roman" w:cs="Times New Roman"/>
          <w:sz w:val="24"/>
          <w:szCs w:val="24"/>
        </w:rPr>
        <w:t>next columns</w:t>
      </w:r>
      <w:r w:rsidRPr="00415972">
        <w:rPr>
          <w:rFonts w:ascii="Times New Roman" w:hAnsi="Times New Roman" w:cs="Times New Roman"/>
          <w:sz w:val="24"/>
          <w:szCs w:val="24"/>
        </w:rPr>
        <w:t xml:space="preserve"> provide the specific text, proposal for change, and rationale.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060"/>
        <w:gridCol w:w="450"/>
        <w:gridCol w:w="2790"/>
        <w:gridCol w:w="990"/>
        <w:gridCol w:w="4590"/>
        <w:gridCol w:w="90"/>
      </w:tblGrid>
      <w:tr w:rsidR="008A6368" w:rsidRPr="00415972" w:rsidTr="00BF4D51">
        <w:trPr>
          <w:gridAfter w:val="1"/>
          <w:wAfter w:w="90" w:type="dxa"/>
        </w:trPr>
        <w:tc>
          <w:tcPr>
            <w:tcW w:w="1908" w:type="dxa"/>
          </w:tcPr>
          <w:p w:rsidR="008A6368" w:rsidRPr="00415972" w:rsidRDefault="008353FD" w:rsidP="004B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72">
              <w:rPr>
                <w:rFonts w:ascii="Times New Roman" w:hAnsi="Times New Roman" w:cs="Times New Roman"/>
                <w:sz w:val="24"/>
                <w:szCs w:val="24"/>
              </w:rPr>
              <w:t>Comment 1</w:t>
            </w:r>
          </w:p>
        </w:tc>
        <w:tc>
          <w:tcPr>
            <w:tcW w:w="3510" w:type="dxa"/>
            <w:gridSpan w:val="2"/>
          </w:tcPr>
          <w:p w:rsidR="008A6368" w:rsidRPr="00415972" w:rsidRDefault="008A636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72"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  <w:gridSpan w:val="2"/>
          </w:tcPr>
          <w:p w:rsidR="008A6368" w:rsidRPr="00415972" w:rsidRDefault="008A6368" w:rsidP="008A6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72"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:rsidR="008A6368" w:rsidRPr="00415972" w:rsidRDefault="008A636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72"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8A6368" w:rsidRPr="00415972" w:rsidTr="00BF4D51">
        <w:trPr>
          <w:gridAfter w:val="1"/>
          <w:wAfter w:w="90" w:type="dxa"/>
          <w:trHeight w:val="4032"/>
        </w:trPr>
        <w:tc>
          <w:tcPr>
            <w:tcW w:w="1908" w:type="dxa"/>
            <w:shd w:val="clear" w:color="auto" w:fill="FFFFFF" w:themeFill="background1"/>
          </w:tcPr>
          <w:p w:rsidR="00180401" w:rsidRPr="00415972" w:rsidRDefault="004B371D" w:rsidP="00DC738C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15972"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="00BF4D51" w:rsidRPr="00415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3FD" w:rsidRPr="00415972">
              <w:rPr>
                <w:rFonts w:ascii="Times New Roman" w:hAnsi="Times New Roman" w:cs="Times New Roman"/>
                <w:sz w:val="24"/>
                <w:szCs w:val="24"/>
              </w:rPr>
              <w:t>WAC 480-109-</w:t>
            </w:r>
            <w:r w:rsidR="00DC738C" w:rsidRPr="00415972">
              <w:rPr>
                <w:rFonts w:ascii="Times New Roman" w:hAnsi="Times New Roman" w:cs="Times New Roman"/>
                <w:sz w:val="24"/>
                <w:szCs w:val="24"/>
              </w:rPr>
              <w:t xml:space="preserve">010 </w:t>
            </w:r>
            <w:r w:rsidR="00180401" w:rsidRPr="00C07C90">
              <w:rPr>
                <w:rFonts w:ascii="Times New Roman" w:hAnsi="Times New Roman" w:cs="Times New Roman"/>
                <w:sz w:val="24"/>
                <w:szCs w:val="24"/>
              </w:rPr>
              <w:t>(1)(b</w:t>
            </w:r>
            <w:r w:rsidR="007C27A6" w:rsidRPr="00C07C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80401" w:rsidRPr="00C07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401" w:rsidRPr="004159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</w:p>
        </w:tc>
        <w:tc>
          <w:tcPr>
            <w:tcW w:w="3510" w:type="dxa"/>
            <w:gridSpan w:val="2"/>
          </w:tcPr>
          <w:p w:rsidR="00180401" w:rsidRPr="00415972" w:rsidRDefault="00180401" w:rsidP="00180401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972">
              <w:rPr>
                <w:rFonts w:ascii="Times New Roman" w:eastAsia="Times New Roman" w:hAnsi="Times New Roman" w:cs="Times New Roman"/>
                <w:sz w:val="24"/>
                <w:szCs w:val="24"/>
              </w:rPr>
              <w:t>(b) This projection must be derived from and reasonably consistent with one of two sources:</w:t>
            </w:r>
          </w:p>
          <w:p w:rsidR="004250FD" w:rsidRPr="004250FD" w:rsidRDefault="004250FD" w:rsidP="004250FD">
            <w:pPr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4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4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The utility's most recent IRP, including any information learned in its subsequent resource acquisition process, or the utility must document the reasons for any differences.</w:t>
            </w:r>
            <w:r w:rsidR="002E1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When developing this projection, utilities must use methodologies that are consistent with those used by the conservation council in its most recent regional power plan. </w:t>
            </w:r>
            <w:r w:rsidR="002E1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utility may, with full documentation on the rationale for any modification, alter the conservation council's methodologies to better fit the attributes and characteristics of its service territory.</w:t>
            </w:r>
          </w:p>
          <w:p w:rsidR="004250FD" w:rsidRPr="004250FD" w:rsidRDefault="004250FD" w:rsidP="004250FD">
            <w:pPr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(ii) The utility's proportionate </w:t>
            </w:r>
            <w:proofErr w:type="gramStart"/>
            <w:r w:rsidRPr="004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share,</w:t>
            </w:r>
            <w:proofErr w:type="gramEnd"/>
            <w:r w:rsidRPr="004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developed as a percentage of its retail sales, of the conservation council's current power plan targets for the state of Washington.</w:t>
            </w:r>
          </w:p>
          <w:p w:rsidR="008A6368" w:rsidRPr="00415972" w:rsidRDefault="008A636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180401" w:rsidRPr="00415972" w:rsidRDefault="00180401" w:rsidP="004250FD">
            <w:pPr>
              <w:ind w:firstLine="360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415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(b) This projection must be derived from and reasonably consistent with </w:t>
            </w:r>
            <w:r w:rsidRPr="00415972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one of two sources:</w:t>
            </w:r>
          </w:p>
          <w:p w:rsidR="004250FD" w:rsidRPr="004250FD" w:rsidRDefault="004250FD" w:rsidP="004250FD">
            <w:pPr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972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(</w:t>
            </w:r>
            <w:proofErr w:type="spellStart"/>
            <w:r w:rsidRPr="00415972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i</w:t>
            </w:r>
            <w:proofErr w:type="spellEnd"/>
            <w:r w:rsidRPr="00415972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 xml:space="preserve">) </w:t>
            </w:r>
            <w:r w:rsidRPr="00415972"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  <w:t>T</w:t>
            </w:r>
            <w:r w:rsidR="0073102C" w:rsidRPr="00415972"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  <w:t xml:space="preserve"> </w:t>
            </w:r>
            <w:r w:rsidR="0073102C" w:rsidRPr="00415972"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  <w:u w:val="single"/>
              </w:rPr>
              <w:t>t</w:t>
            </w:r>
            <w:r w:rsidRPr="004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 utility's most recent IRP, including any information learned in its subsequent resource acquisition process, or the utility must document the reasons for any differences.</w:t>
            </w:r>
            <w:r w:rsidR="002E1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When developing this projection, utilities must use methodologies that are consistent with those used by the conservation council in its most recent regional power plan.</w:t>
            </w:r>
            <w:r w:rsidR="002E1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utility may, with full documentation on the rationale for any modification, alter the conservation council's methodologies to better fit the attributes and characteristics of its service territory.</w:t>
            </w:r>
          </w:p>
          <w:p w:rsidR="004250FD" w:rsidRPr="00415972" w:rsidRDefault="004250FD" w:rsidP="004250FD">
            <w:pPr>
              <w:ind w:firstLine="360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15972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 xml:space="preserve">(ii) The utility's proportionate </w:t>
            </w:r>
            <w:proofErr w:type="gramStart"/>
            <w:r w:rsidRPr="00415972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share,</w:t>
            </w:r>
            <w:proofErr w:type="gramEnd"/>
            <w:r w:rsidRPr="00415972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 xml:space="preserve"> developed as a percentage of its retail sales, of the conservation council's current power plan targets for the state of Washington.</w:t>
            </w:r>
          </w:p>
          <w:p w:rsidR="008A6368" w:rsidRPr="00415972" w:rsidRDefault="008A6368" w:rsidP="009B1FF0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8A6368" w:rsidRPr="00415972" w:rsidRDefault="0079495B" w:rsidP="009B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 Counsel believes the</w:t>
            </w:r>
            <w:r w:rsidR="00B75044" w:rsidRPr="00415972">
              <w:rPr>
                <w:rFonts w:ascii="Times New Roman" w:hAnsi="Times New Roman" w:cs="Times New Roman"/>
                <w:sz w:val="24"/>
                <w:szCs w:val="24"/>
              </w:rPr>
              <w:t xml:space="preserve"> Commission should eliminate, in rule, the option for utilities to use the Council Calculator.  Instead, all IOUs should use</w:t>
            </w:r>
            <w:r w:rsidR="00085724" w:rsidRPr="00415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38C" w:rsidRPr="00415972">
              <w:rPr>
                <w:rFonts w:ascii="Times New Roman" w:hAnsi="Times New Roman" w:cs="Times New Roman"/>
                <w:sz w:val="24"/>
                <w:szCs w:val="24"/>
              </w:rPr>
              <w:t xml:space="preserve">the conservation potential assessment (CPA) from </w:t>
            </w:r>
            <w:r w:rsidR="00B75044" w:rsidRPr="0041597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085724" w:rsidRPr="00415972">
              <w:rPr>
                <w:rFonts w:ascii="Times New Roman" w:hAnsi="Times New Roman" w:cs="Times New Roman"/>
                <w:sz w:val="24"/>
                <w:szCs w:val="24"/>
              </w:rPr>
              <w:t xml:space="preserve"> most recent </w:t>
            </w:r>
            <w:r w:rsidR="00DC738C" w:rsidRPr="00415972">
              <w:rPr>
                <w:rFonts w:ascii="Times New Roman" w:hAnsi="Times New Roman" w:cs="Times New Roman"/>
                <w:sz w:val="24"/>
                <w:szCs w:val="24"/>
              </w:rPr>
              <w:t xml:space="preserve">electric </w:t>
            </w:r>
            <w:r w:rsidR="00085724" w:rsidRPr="00415972">
              <w:rPr>
                <w:rFonts w:ascii="Times New Roman" w:hAnsi="Times New Roman" w:cs="Times New Roman"/>
                <w:sz w:val="24"/>
                <w:szCs w:val="24"/>
              </w:rPr>
              <w:t>IRP to develop a projection of cumulative ten-year conservation po</w:t>
            </w:r>
            <w:r w:rsidR="000C617E" w:rsidRPr="00415972">
              <w:rPr>
                <w:rFonts w:ascii="Times New Roman" w:hAnsi="Times New Roman" w:cs="Times New Roman"/>
                <w:sz w:val="24"/>
                <w:szCs w:val="24"/>
              </w:rPr>
              <w:t>tential</w:t>
            </w:r>
            <w:r w:rsidR="00B75044" w:rsidRPr="00415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617E" w:rsidRPr="00415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17E" w:rsidRPr="00415972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r w:rsidR="00B75044" w:rsidRPr="00415972">
              <w:rPr>
                <w:rFonts w:ascii="Times New Roman" w:hAnsi="Times New Roman" w:cs="Times New Roman"/>
                <w:sz w:val="24"/>
                <w:szCs w:val="24"/>
              </w:rPr>
              <w:t xml:space="preserve"> change is appropriate</w:t>
            </w:r>
            <w:r w:rsidR="000C617E" w:rsidRPr="00415972">
              <w:rPr>
                <w:rFonts w:ascii="Times New Roman" w:hAnsi="Times New Roman" w:cs="Times New Roman"/>
                <w:sz w:val="24"/>
                <w:szCs w:val="24"/>
              </w:rPr>
              <w:t xml:space="preserve"> because (1) the IRP provide</w:t>
            </w:r>
            <w:r w:rsidR="00B75044" w:rsidRPr="0041597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C617E" w:rsidRPr="00415972">
              <w:rPr>
                <w:rFonts w:ascii="Times New Roman" w:hAnsi="Times New Roman" w:cs="Times New Roman"/>
                <w:sz w:val="24"/>
                <w:szCs w:val="24"/>
              </w:rPr>
              <w:t xml:space="preserve"> “fresher” projections as </w:t>
            </w:r>
            <w:r w:rsidR="00B75044" w:rsidRPr="00415972">
              <w:rPr>
                <w:rFonts w:ascii="Times New Roman" w:hAnsi="Times New Roman" w:cs="Times New Roman"/>
                <w:sz w:val="24"/>
                <w:szCs w:val="24"/>
              </w:rPr>
              <w:t>it is</w:t>
            </w:r>
            <w:r w:rsidR="000C617E" w:rsidRPr="00415972">
              <w:rPr>
                <w:rFonts w:ascii="Times New Roman" w:hAnsi="Times New Roman" w:cs="Times New Roman"/>
                <w:sz w:val="24"/>
                <w:szCs w:val="24"/>
              </w:rPr>
              <w:t xml:space="preserve"> updated more frequently than the Council’</w:t>
            </w:r>
            <w:r w:rsidR="00C60B26" w:rsidRPr="00415972">
              <w:rPr>
                <w:rFonts w:ascii="Times New Roman" w:hAnsi="Times New Roman" w:cs="Times New Roman"/>
                <w:sz w:val="24"/>
                <w:szCs w:val="24"/>
              </w:rPr>
              <w:t>s power plan</w:t>
            </w:r>
            <w:r w:rsidR="00B75044" w:rsidRPr="00415972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="009B1FF0" w:rsidRPr="00415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044" w:rsidRPr="0041597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3102C" w:rsidRPr="00415972">
              <w:rPr>
                <w:rFonts w:ascii="Times New Roman" w:hAnsi="Times New Roman" w:cs="Times New Roman"/>
                <w:sz w:val="24"/>
                <w:szCs w:val="24"/>
              </w:rPr>
              <w:t xml:space="preserve">the IRP is tailored to fit </w:t>
            </w:r>
            <w:r w:rsidR="009B1FF0" w:rsidRPr="00415972">
              <w:rPr>
                <w:rFonts w:ascii="Times New Roman" w:hAnsi="Times New Roman" w:cs="Times New Roman"/>
                <w:sz w:val="24"/>
                <w:szCs w:val="24"/>
              </w:rPr>
              <w:t>each utility’s</w:t>
            </w:r>
            <w:r w:rsidR="00DC738C" w:rsidRPr="00415972">
              <w:rPr>
                <w:rFonts w:ascii="Times New Roman" w:hAnsi="Times New Roman" w:cs="Times New Roman"/>
                <w:sz w:val="24"/>
                <w:szCs w:val="24"/>
              </w:rPr>
              <w:t xml:space="preserve"> service territory</w:t>
            </w:r>
            <w:r w:rsidR="009B1FF0" w:rsidRPr="00415972">
              <w:rPr>
                <w:rFonts w:ascii="Times New Roman" w:hAnsi="Times New Roman" w:cs="Times New Roman"/>
                <w:sz w:val="24"/>
                <w:szCs w:val="24"/>
              </w:rPr>
              <w:t>, (3) this is the current standard practice</w:t>
            </w:r>
            <w:r w:rsidR="000C617E" w:rsidRPr="00415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5724" w:rsidRPr="00415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38C" w:rsidRPr="00415972">
              <w:rPr>
                <w:rFonts w:ascii="Times New Roman" w:hAnsi="Times New Roman" w:cs="Times New Roman"/>
                <w:sz w:val="24"/>
                <w:szCs w:val="24"/>
              </w:rPr>
              <w:t xml:space="preserve"> The CPA can be conducted consistent with the Council's methodology, as required by statute, and will generate a much more accurate conservation potential for the IOUs than the Council calculator. </w:t>
            </w:r>
          </w:p>
        </w:tc>
      </w:tr>
      <w:tr w:rsidR="009F6B32" w:rsidRPr="00415972" w:rsidTr="008C6D87">
        <w:trPr>
          <w:cantSplit/>
        </w:trPr>
        <w:tc>
          <w:tcPr>
            <w:tcW w:w="1908" w:type="dxa"/>
          </w:tcPr>
          <w:p w:rsidR="009F6B32" w:rsidRPr="00415972" w:rsidRDefault="00C07C90" w:rsidP="0008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Comment 2</w:t>
            </w:r>
            <w:r w:rsidR="004B371D" w:rsidRPr="00415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</w:tcPr>
          <w:p w:rsidR="009F6B32" w:rsidRPr="00415972" w:rsidRDefault="009F6B32" w:rsidP="0008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72"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240" w:type="dxa"/>
            <w:gridSpan w:val="2"/>
          </w:tcPr>
          <w:p w:rsidR="009F6B32" w:rsidRPr="00415972" w:rsidRDefault="009F6B32" w:rsidP="0008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72"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5670" w:type="dxa"/>
            <w:gridSpan w:val="3"/>
          </w:tcPr>
          <w:p w:rsidR="009F6B32" w:rsidRPr="00415972" w:rsidRDefault="009F6B32" w:rsidP="0008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72"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9F6B32" w:rsidRPr="00415972" w:rsidTr="008C6D87">
        <w:trPr>
          <w:cantSplit/>
          <w:trHeight w:val="1700"/>
        </w:trPr>
        <w:tc>
          <w:tcPr>
            <w:tcW w:w="1908" w:type="dxa"/>
          </w:tcPr>
          <w:p w:rsidR="009F6B32" w:rsidRPr="00415972" w:rsidRDefault="004B371D" w:rsidP="00BF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72"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="00BF4D51" w:rsidRPr="00415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972">
              <w:rPr>
                <w:rFonts w:ascii="Times New Roman" w:hAnsi="Times New Roman" w:cs="Times New Roman"/>
                <w:sz w:val="24"/>
                <w:szCs w:val="24"/>
              </w:rPr>
              <w:t>WAC 480-109-</w:t>
            </w:r>
            <w:r w:rsidR="004D23AD" w:rsidRPr="00415972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  <w:r w:rsidR="00DC738C" w:rsidRPr="00415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3AD" w:rsidRPr="00415972">
              <w:rPr>
                <w:rFonts w:ascii="Times New Roman" w:hAnsi="Times New Roman" w:cs="Times New Roman"/>
                <w:sz w:val="24"/>
                <w:szCs w:val="24"/>
              </w:rPr>
              <w:t>(2)(a)</w:t>
            </w:r>
          </w:p>
        </w:tc>
        <w:tc>
          <w:tcPr>
            <w:tcW w:w="3060" w:type="dxa"/>
          </w:tcPr>
          <w:p w:rsidR="004D23AD" w:rsidRPr="00415972" w:rsidRDefault="004D23AD" w:rsidP="004D23AD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972">
              <w:rPr>
                <w:rFonts w:ascii="Times New Roman" w:eastAsia="Times New Roman" w:hAnsi="Times New Roman" w:cs="Times New Roman"/>
                <w:sz w:val="24"/>
                <w:szCs w:val="24"/>
              </w:rPr>
              <w:t>(2)(a</w:t>
            </w:r>
            <w:r w:rsidR="002E1B3B" w:rsidRPr="00415972">
              <w:rPr>
                <w:rFonts w:ascii="Times New Roman" w:eastAsia="Times New Roman" w:hAnsi="Times New Roman" w:cs="Times New Roman"/>
                <w:sz w:val="24"/>
                <w:szCs w:val="24"/>
              </w:rPr>
              <w:t>) The</w:t>
            </w:r>
            <w:r w:rsidRPr="00415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biennial conservation target must identify all achievable conservation opportunities.</w:t>
            </w:r>
          </w:p>
          <w:p w:rsidR="009F6B32" w:rsidRPr="00415972" w:rsidRDefault="009F6B32" w:rsidP="0008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4D23AD" w:rsidRPr="00415972" w:rsidRDefault="004D23AD" w:rsidP="004D23AD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972">
              <w:rPr>
                <w:rFonts w:ascii="Times New Roman" w:eastAsia="Times New Roman" w:hAnsi="Times New Roman" w:cs="Times New Roman"/>
                <w:sz w:val="24"/>
                <w:szCs w:val="24"/>
              </w:rPr>
              <w:t>(2)(a</w:t>
            </w:r>
            <w:r w:rsidR="002E1B3B" w:rsidRPr="00415972">
              <w:rPr>
                <w:rFonts w:ascii="Times New Roman" w:eastAsia="Times New Roman" w:hAnsi="Times New Roman" w:cs="Times New Roman"/>
                <w:sz w:val="24"/>
                <w:szCs w:val="24"/>
              </w:rPr>
              <w:t>) The</w:t>
            </w:r>
            <w:r w:rsidRPr="00415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biennial conservation target must identify all achievable conservation opportunities.</w:t>
            </w:r>
          </w:p>
          <w:p w:rsidR="009F6B32" w:rsidRPr="00415972" w:rsidRDefault="009F6B32" w:rsidP="0008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943B16" w:rsidRPr="00415972" w:rsidRDefault="004D23AD" w:rsidP="001F13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 this time</w:t>
            </w:r>
            <w:r w:rsidR="00794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5603D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Public Counsel does</w:t>
            </w:r>
            <w:r w:rsidR="001D114F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not have any proposed </w:t>
            </w:r>
            <w:r w:rsidR="00974A3F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changes to</w:t>
            </w:r>
            <w:r w:rsidR="00DA30C6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this section</w:t>
            </w:r>
            <w:r w:rsidR="00974A3F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the rule</w:t>
            </w:r>
            <w:r w:rsidR="001D114F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 w:rsidR="00995D56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E47124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everal of the issues </w:t>
            </w:r>
            <w:r w:rsidR="00995D56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raised</w:t>
            </w:r>
            <w:r w:rsidR="00E47124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 item A2 </w:t>
            </w:r>
            <w:r w:rsidR="00995D56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of the Commission’s October 4, 2013 Notice </w:t>
            </w:r>
            <w:r w:rsidR="009246E3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are being explored further</w:t>
            </w:r>
            <w:r w:rsidR="00995D56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07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995D56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the current review of the companies’ 2014-2015 Biennial Conservation Targets,</w:t>
            </w:r>
            <w:r w:rsidR="00DA30C6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as discussed below</w:t>
            </w:r>
            <w:r w:rsidR="009246E3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43B16" w:rsidRPr="00415972" w:rsidRDefault="00943B16" w:rsidP="001F13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6B32" w:rsidRPr="00415972" w:rsidRDefault="00943B16" w:rsidP="003560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First, o</w:t>
            </w:r>
            <w:r w:rsidR="002D7786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 the issue of incorporating regional market transformation savings (NEEA) in the biennial target, </w:t>
            </w:r>
            <w:r w:rsidR="00DA30C6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 October 2012, </w:t>
            </w:r>
            <w:r w:rsidR="002D7786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IOUs filed a joint proposal to remove NEEA savings from the biennial target</w:t>
            </w:r>
            <w:r w:rsidR="00995D56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E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5D56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recently filed 2014-2015 biennial targets</w:t>
            </w:r>
            <w:r w:rsidR="00DA30C6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5D56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represent the first opportunity for parties to </w:t>
            </w:r>
            <w:r w:rsidR="00DA30C6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review </w:t>
            </w:r>
            <w:r w:rsidR="0035603D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how each IOU has implemented </w:t>
            </w:r>
            <w:r w:rsidR="00995D56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joint proposal</w:t>
            </w:r>
            <w:r w:rsidR="002D7786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 w:rsidR="00E47124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0055AB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he specific methodologies used by </w:t>
            </w:r>
            <w:r w:rsidR="00E47124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each utility are still under review</w:t>
            </w:r>
            <w:r w:rsidR="000055AB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At this time we are not proposing</w:t>
            </w:r>
            <w:r w:rsidR="001F13E8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or recommending</w:t>
            </w:r>
            <w:r w:rsidR="000055AB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any specific methodology</w:t>
            </w:r>
            <w:r w:rsidR="0035603D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055AB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055AB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0055AB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Second, there </w:t>
            </w:r>
            <w:r w:rsidR="00BE034F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here is variability in the way the three IOUs</w:t>
            </w:r>
            <w:r w:rsidR="00D30F6F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055AB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incorporate</w:t>
            </w:r>
            <w:r w:rsidR="0035603D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D30F6F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for behavioral</w:t>
            </w:r>
            <w:r w:rsidR="00BE034F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savings in</w:t>
            </w:r>
            <w:r w:rsidR="00D30F6F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5603D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development of </w:t>
            </w:r>
            <w:r w:rsidR="00BE034F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biennial conservation target</w:t>
            </w:r>
            <w:r w:rsidR="0035603D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0055AB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for 2014-2015</w:t>
            </w:r>
            <w:r w:rsidR="00BE034F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2E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E2CC8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While we see value in </w:t>
            </w:r>
            <w:r w:rsidR="000055AB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striving for</w:t>
            </w:r>
            <w:r w:rsidR="008E2CC8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consistency in approaches to </w:t>
            </w:r>
            <w:r w:rsidR="000055AB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incorporating</w:t>
            </w:r>
            <w:r w:rsidR="008E2CC8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savings from behav</w:t>
            </w:r>
            <w:r w:rsidR="00D30F6F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ior programs</w:t>
            </w:r>
            <w:r w:rsidR="000055AB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 the biennial target</w:t>
            </w:r>
            <w:r w:rsidR="0035603D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C07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at this time</w:t>
            </w:r>
            <w:r w:rsidR="000055AB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E2CC8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this is more appropriately addressed</w:t>
            </w:r>
            <w:r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 consultation with the advisory groups as a part of</w:t>
            </w:r>
            <w:r w:rsidR="008E2CC8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biennial conservation planning and target setting</w:t>
            </w:r>
            <w:r w:rsidR="00D30F6F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E2CC8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process. This process allows for flexibility and changes going forward</w:t>
            </w:r>
            <w:r w:rsidR="0035603D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as we learn more about behavioral programs</w:t>
            </w:r>
            <w:r w:rsidR="008E2CC8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F13E8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055AB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EB186C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Two other topics that have emerged during the biennial conservation plan reviews are whether: (1) unit energy savings values should be updated mid-biennium, and (2) the IOUs are using consistent baseline assumptions in the CPA and in development of the biennial target. </w:t>
            </w:r>
            <w:r w:rsidR="002E1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B186C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We do not have any proposed rule language at this time and will continue to consider this issue during the </w:t>
            </w:r>
            <w:r w:rsidR="007D67D1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current BCP review and this </w:t>
            </w:r>
            <w:r w:rsidR="00EB186C" w:rsidRPr="00415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rulemaking proceeding.</w:t>
            </w:r>
          </w:p>
        </w:tc>
      </w:tr>
      <w:tr w:rsidR="009F6B32" w:rsidRPr="00415972" w:rsidTr="00BF4D51">
        <w:trPr>
          <w:gridAfter w:val="1"/>
          <w:wAfter w:w="90" w:type="dxa"/>
          <w:cantSplit/>
        </w:trPr>
        <w:tc>
          <w:tcPr>
            <w:tcW w:w="1908" w:type="dxa"/>
          </w:tcPr>
          <w:p w:rsidR="009F6B32" w:rsidRPr="00415972" w:rsidRDefault="008353FD" w:rsidP="00C0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Comment </w:t>
            </w:r>
            <w:r w:rsidR="00C07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0" w:type="dxa"/>
            <w:gridSpan w:val="2"/>
          </w:tcPr>
          <w:p w:rsidR="009F6B32" w:rsidRPr="00415972" w:rsidRDefault="009F6B32" w:rsidP="0008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72"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  <w:gridSpan w:val="2"/>
          </w:tcPr>
          <w:p w:rsidR="009F6B32" w:rsidRPr="00415972" w:rsidRDefault="009F6B32" w:rsidP="0008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72"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:rsidR="009F6B32" w:rsidRPr="00415972" w:rsidRDefault="009F6B32" w:rsidP="0008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72"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9F6B32" w:rsidRPr="00415972" w:rsidTr="00BF4D51">
        <w:trPr>
          <w:gridAfter w:val="1"/>
          <w:wAfter w:w="90" w:type="dxa"/>
          <w:cantSplit/>
          <w:trHeight w:val="4032"/>
        </w:trPr>
        <w:tc>
          <w:tcPr>
            <w:tcW w:w="1908" w:type="dxa"/>
          </w:tcPr>
          <w:p w:rsidR="009F6B32" w:rsidRPr="00415972" w:rsidRDefault="004B371D" w:rsidP="00817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72"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="00BF4D51" w:rsidRPr="00415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972">
              <w:rPr>
                <w:rFonts w:ascii="Times New Roman" w:hAnsi="Times New Roman" w:cs="Times New Roman"/>
                <w:sz w:val="24"/>
                <w:szCs w:val="24"/>
              </w:rPr>
              <w:t>WAC 480-109</w:t>
            </w:r>
            <w:r w:rsidR="00817E12" w:rsidRPr="004159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5167" w:rsidRPr="00415972">
              <w:rPr>
                <w:rFonts w:ascii="Times New Roman" w:hAnsi="Times New Roman" w:cs="Times New Roman"/>
                <w:sz w:val="24"/>
                <w:szCs w:val="24"/>
              </w:rPr>
              <w:t xml:space="preserve">040 </w:t>
            </w:r>
            <w:r w:rsidR="00817E12" w:rsidRPr="00415972">
              <w:rPr>
                <w:rFonts w:ascii="Times New Roman" w:hAnsi="Times New Roman" w:cs="Times New Roman"/>
                <w:sz w:val="24"/>
                <w:szCs w:val="24"/>
              </w:rPr>
              <w:t>(1)(</w:t>
            </w:r>
            <w:r w:rsidR="00466E17" w:rsidRPr="00415972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3510" w:type="dxa"/>
            <w:gridSpan w:val="2"/>
          </w:tcPr>
          <w:p w:rsidR="0076656A" w:rsidRPr="00415972" w:rsidRDefault="00AB79E7" w:rsidP="0076656A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  <w:r w:rsidR="0076656A" w:rsidRPr="00415972">
              <w:rPr>
                <w:rFonts w:ascii="Times New Roman" w:eastAsia="Times New Roman" w:hAnsi="Times New Roman" w:cs="Times New Roman"/>
                <w:sz w:val="24"/>
                <w:szCs w:val="24"/>
              </w:rPr>
              <w:t>(a) The report must include the conservation target for that year, the expected and actual electricity savings from conservation, and all expenditures made to acquire conservation.</w:t>
            </w:r>
          </w:p>
          <w:p w:rsidR="009F6B32" w:rsidRPr="00415972" w:rsidRDefault="009F6B32" w:rsidP="0008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9F6B32" w:rsidRPr="00415972" w:rsidRDefault="00DF7FC6" w:rsidP="0041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72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="002E1B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15972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415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report must include the conservation target for that year, the expected and actual electricity savings from conservation</w:t>
            </w:r>
            <w:r w:rsidR="00E30912" w:rsidRPr="00415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0912" w:rsidRPr="00415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by program</w:t>
            </w:r>
            <w:r w:rsidRPr="00415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and all </w:t>
            </w:r>
            <w:r w:rsidR="00AC6F80" w:rsidRPr="004159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forecasted </w:t>
            </w:r>
            <w:r w:rsidRPr="004159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expenditures</w:t>
            </w:r>
            <w:r w:rsidR="00E30912" w:rsidRPr="004159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and actual expenditures</w:t>
            </w:r>
            <w:r w:rsidR="00415972" w:rsidRPr="004159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E30912" w:rsidRPr="004159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for the biennium, by program</w:t>
            </w:r>
            <w:r w:rsidR="00E30912" w:rsidRPr="0041597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15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made to acquire conservation</w:t>
            </w:r>
            <w:r w:rsidRPr="004159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E30912" w:rsidRPr="004159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B79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E30912" w:rsidRPr="004159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In addition, the following </w:t>
            </w:r>
            <w:r w:rsidR="00533684" w:rsidRPr="004159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supporting documents should be included as attachments to the report</w:t>
            </w:r>
            <w:r w:rsidR="00E30912" w:rsidRPr="004159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 (1) Utility’s annual conservation reports filed by the utility during the biennium; (</w:t>
            </w:r>
            <w:r w:rsidR="008E5167" w:rsidRPr="004159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="00E30912" w:rsidRPr="004159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) </w:t>
            </w:r>
            <w:r w:rsidR="00533684" w:rsidRPr="004159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All conservation program evaluations completed during the biennium; (</w:t>
            </w:r>
            <w:r w:rsidR="008E5167" w:rsidRPr="004159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</w:t>
            </w:r>
            <w:r w:rsidR="00533684" w:rsidRPr="004159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) Matrix demonstrating biennial conservation plan condition requirements and utility compliance</w:t>
            </w:r>
            <w:r w:rsidR="00533684" w:rsidRPr="00415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0" w:type="dxa"/>
          </w:tcPr>
          <w:p w:rsidR="009F6B32" w:rsidRPr="00415972" w:rsidRDefault="00B74786" w:rsidP="003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72">
              <w:rPr>
                <w:rFonts w:ascii="Times New Roman" w:hAnsi="Times New Roman" w:cs="Times New Roman"/>
                <w:sz w:val="24"/>
                <w:szCs w:val="24"/>
              </w:rPr>
              <w:t>Public Counsel believes more explicit standards for reporting conservation achiev</w:t>
            </w:r>
            <w:r w:rsidR="00362788" w:rsidRPr="00415972">
              <w:rPr>
                <w:rFonts w:ascii="Times New Roman" w:hAnsi="Times New Roman" w:cs="Times New Roman"/>
                <w:sz w:val="24"/>
                <w:szCs w:val="24"/>
              </w:rPr>
              <w:t>ement would be beneficial.</w:t>
            </w:r>
            <w:r w:rsidR="00AB7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788" w:rsidRPr="00415972">
              <w:rPr>
                <w:rFonts w:ascii="Times New Roman" w:hAnsi="Times New Roman" w:cs="Times New Roman"/>
                <w:sz w:val="24"/>
                <w:szCs w:val="24"/>
              </w:rPr>
              <w:t xml:space="preserve"> Our additions and revisions to rule</w:t>
            </w:r>
            <w:r w:rsidRPr="00415972">
              <w:rPr>
                <w:rFonts w:ascii="Times New Roman" w:hAnsi="Times New Roman" w:cs="Times New Roman"/>
                <w:sz w:val="24"/>
                <w:szCs w:val="24"/>
              </w:rPr>
              <w:t xml:space="preserve"> reflect, to a great extent, what most of the utilities</w:t>
            </w:r>
            <w:r w:rsidR="00362788" w:rsidRPr="00415972">
              <w:rPr>
                <w:rFonts w:ascii="Times New Roman" w:hAnsi="Times New Roman" w:cs="Times New Roman"/>
                <w:sz w:val="24"/>
                <w:szCs w:val="24"/>
              </w:rPr>
              <w:t xml:space="preserve"> already include in their biennial conservation reports. </w:t>
            </w:r>
            <w:r w:rsidR="00AB7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972">
              <w:rPr>
                <w:rFonts w:ascii="Times New Roman" w:hAnsi="Times New Roman" w:cs="Times New Roman"/>
                <w:sz w:val="24"/>
                <w:szCs w:val="24"/>
              </w:rPr>
              <w:t xml:space="preserve">However, for consistency sake and to ensure these documents continue to be </w:t>
            </w:r>
            <w:proofErr w:type="gramStart"/>
            <w:r w:rsidRPr="00415972">
              <w:rPr>
                <w:rFonts w:ascii="Times New Roman" w:hAnsi="Times New Roman" w:cs="Times New Roman"/>
                <w:sz w:val="24"/>
                <w:szCs w:val="24"/>
              </w:rPr>
              <w:t>filed,</w:t>
            </w:r>
            <w:proofErr w:type="gramEnd"/>
            <w:r w:rsidRPr="00415972">
              <w:rPr>
                <w:rFonts w:ascii="Times New Roman" w:hAnsi="Times New Roman" w:cs="Times New Roman"/>
                <w:sz w:val="24"/>
                <w:szCs w:val="24"/>
              </w:rPr>
              <w:t xml:space="preserve"> we see value in adding these requirements to rule.</w:t>
            </w:r>
          </w:p>
        </w:tc>
      </w:tr>
    </w:tbl>
    <w:p w:rsidR="009F6B32" w:rsidRPr="00415972" w:rsidRDefault="009F6B32" w:rsidP="009F6B3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510"/>
        <w:gridCol w:w="3780"/>
        <w:gridCol w:w="4590"/>
      </w:tblGrid>
      <w:tr w:rsidR="009F6B32" w:rsidRPr="00415972" w:rsidTr="00BF4D51">
        <w:trPr>
          <w:cantSplit/>
        </w:trPr>
        <w:tc>
          <w:tcPr>
            <w:tcW w:w="1908" w:type="dxa"/>
          </w:tcPr>
          <w:p w:rsidR="009F6B32" w:rsidRPr="00415972" w:rsidRDefault="008353FD" w:rsidP="00C0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72">
              <w:rPr>
                <w:rFonts w:ascii="Times New Roman" w:hAnsi="Times New Roman" w:cs="Times New Roman"/>
                <w:sz w:val="24"/>
                <w:szCs w:val="24"/>
              </w:rPr>
              <w:t xml:space="preserve">Comment </w:t>
            </w:r>
            <w:r w:rsidR="00C07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371D" w:rsidRPr="00415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:rsidR="009F6B32" w:rsidRPr="00415972" w:rsidRDefault="009F6B32" w:rsidP="0008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72"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:rsidR="009F6B32" w:rsidRPr="00415972" w:rsidRDefault="009F6B32" w:rsidP="0008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72"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:rsidR="009F6B32" w:rsidRPr="00415972" w:rsidRDefault="009F6B32" w:rsidP="0008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72"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9F6B32" w:rsidRPr="00415972" w:rsidTr="00BF4D51">
        <w:trPr>
          <w:cantSplit/>
          <w:trHeight w:val="4032"/>
        </w:trPr>
        <w:tc>
          <w:tcPr>
            <w:tcW w:w="1908" w:type="dxa"/>
          </w:tcPr>
          <w:p w:rsidR="009F6B32" w:rsidRPr="00415972" w:rsidRDefault="004B371D" w:rsidP="004B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72"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="00BF4D51" w:rsidRPr="00415972">
              <w:rPr>
                <w:rFonts w:ascii="Times New Roman" w:hAnsi="Times New Roman" w:cs="Times New Roman"/>
                <w:sz w:val="24"/>
                <w:szCs w:val="24"/>
              </w:rPr>
              <w:t xml:space="preserve"> WAC</w:t>
            </w:r>
            <w:r w:rsidRPr="00415972">
              <w:rPr>
                <w:rFonts w:ascii="Times New Roman" w:hAnsi="Times New Roman" w:cs="Times New Roman"/>
                <w:sz w:val="24"/>
                <w:szCs w:val="24"/>
              </w:rPr>
              <w:t xml:space="preserve"> 480-109-</w:t>
            </w:r>
            <w:r w:rsidR="0080522C" w:rsidRPr="00415972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  <w:r w:rsidR="00C07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22C" w:rsidRPr="00415972">
              <w:rPr>
                <w:rFonts w:ascii="Times New Roman" w:hAnsi="Times New Roman" w:cs="Times New Roman"/>
                <w:sz w:val="24"/>
                <w:szCs w:val="24"/>
              </w:rPr>
              <w:t>(2)(b)</w:t>
            </w:r>
          </w:p>
        </w:tc>
        <w:tc>
          <w:tcPr>
            <w:tcW w:w="3510" w:type="dxa"/>
          </w:tcPr>
          <w:p w:rsidR="0080522C" w:rsidRPr="00415972" w:rsidRDefault="0080522C" w:rsidP="0080522C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972">
              <w:rPr>
                <w:rFonts w:ascii="Times New Roman" w:eastAsia="Times New Roman" w:hAnsi="Times New Roman" w:cs="Times New Roman"/>
                <w:sz w:val="24"/>
                <w:szCs w:val="24"/>
              </w:rPr>
              <w:t>(2)(b)</w:t>
            </w:r>
            <w:r w:rsidR="00AB7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5972">
              <w:rPr>
                <w:rFonts w:ascii="Times New Roman" w:eastAsia="Times New Roman" w:hAnsi="Times New Roman" w:cs="Times New Roman"/>
                <w:sz w:val="24"/>
                <w:szCs w:val="24"/>
              </w:rPr>
              <w:t>The biennial conservation target must be no lower than a pro rata share of the utility's ten-year cumulative achievable conservation potential. Each utility must fully document how it prorated its ten-year cumulative conservation potential to determine the minimum level for its biennial conservation target.</w:t>
            </w:r>
          </w:p>
          <w:p w:rsidR="009F6B32" w:rsidRPr="00415972" w:rsidRDefault="009F6B32" w:rsidP="0008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9F6B32" w:rsidRPr="00415972" w:rsidRDefault="009F6B32" w:rsidP="0080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9F6B32" w:rsidRPr="00415972" w:rsidRDefault="00805DB7" w:rsidP="0008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72">
              <w:rPr>
                <w:rFonts w:ascii="Times New Roman" w:hAnsi="Times New Roman" w:cs="Times New Roman"/>
                <w:sz w:val="24"/>
                <w:szCs w:val="24"/>
              </w:rPr>
              <w:t>Public Counsel does not have proposed language at this time, but we believe this rule would benefit from stakeholder discussion as to whether it should be eliminated or modified.  A biennial target may be lower than the pro-rata share of the ten year potential, for example, due to ramp rates that expect accelerated acquisition in later years.</w:t>
            </w:r>
          </w:p>
        </w:tc>
      </w:tr>
    </w:tbl>
    <w:p w:rsidR="009F6B32" w:rsidRPr="00415972" w:rsidRDefault="009F6B32" w:rsidP="009F6B32">
      <w:pPr>
        <w:rPr>
          <w:rFonts w:ascii="Times New Roman" w:hAnsi="Times New Roman" w:cs="Times New Roman"/>
          <w:sz w:val="24"/>
          <w:szCs w:val="24"/>
        </w:rPr>
      </w:pPr>
    </w:p>
    <w:p w:rsidR="009F6B32" w:rsidRPr="00415972" w:rsidRDefault="009F6B32" w:rsidP="00AD3312">
      <w:pPr>
        <w:rPr>
          <w:rFonts w:ascii="Times New Roman" w:hAnsi="Times New Roman" w:cs="Times New Roman"/>
          <w:sz w:val="24"/>
          <w:szCs w:val="24"/>
        </w:rPr>
      </w:pPr>
    </w:p>
    <w:p w:rsidR="004B371D" w:rsidRPr="00415972" w:rsidRDefault="004B371D" w:rsidP="004B37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890"/>
        <w:gridCol w:w="3510"/>
        <w:gridCol w:w="3780"/>
        <w:gridCol w:w="4590"/>
      </w:tblGrid>
      <w:tr w:rsidR="004B371D" w:rsidRPr="00415972" w:rsidTr="000D7B33">
        <w:trPr>
          <w:cantSplit/>
        </w:trPr>
        <w:tc>
          <w:tcPr>
            <w:tcW w:w="1890" w:type="dxa"/>
          </w:tcPr>
          <w:p w:rsidR="004B371D" w:rsidRPr="00415972" w:rsidRDefault="004B371D" w:rsidP="00C0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Comment </w:t>
            </w:r>
            <w:r w:rsidR="00C07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0" w:type="dxa"/>
          </w:tcPr>
          <w:p w:rsidR="004B371D" w:rsidRPr="00415972" w:rsidRDefault="004B371D" w:rsidP="0008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72"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:rsidR="004B371D" w:rsidRPr="00415972" w:rsidRDefault="004B371D" w:rsidP="0008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72"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:rsidR="004B371D" w:rsidRPr="00415972" w:rsidRDefault="004B371D" w:rsidP="0008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72"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4B371D" w:rsidRPr="00415972" w:rsidTr="000D7B33">
        <w:trPr>
          <w:cantSplit/>
          <w:trHeight w:val="1592"/>
        </w:trPr>
        <w:tc>
          <w:tcPr>
            <w:tcW w:w="1890" w:type="dxa"/>
          </w:tcPr>
          <w:p w:rsidR="004B371D" w:rsidRPr="00415972" w:rsidRDefault="004B371D" w:rsidP="00BF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72"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="00BF4D51" w:rsidRPr="00415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972">
              <w:rPr>
                <w:rFonts w:ascii="Times New Roman" w:hAnsi="Times New Roman" w:cs="Times New Roman"/>
                <w:sz w:val="24"/>
                <w:szCs w:val="24"/>
              </w:rPr>
              <w:t>WAC 480-109-</w:t>
            </w:r>
            <w:r w:rsidR="00B01260" w:rsidRPr="00415972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  <w:r w:rsidR="003D4710" w:rsidRPr="00415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260" w:rsidRPr="00415972">
              <w:rPr>
                <w:rFonts w:ascii="Times New Roman" w:hAnsi="Times New Roman" w:cs="Times New Roman"/>
                <w:sz w:val="24"/>
                <w:szCs w:val="24"/>
              </w:rPr>
              <w:t>(2)(c)</w:t>
            </w:r>
          </w:p>
        </w:tc>
        <w:tc>
          <w:tcPr>
            <w:tcW w:w="3510" w:type="dxa"/>
          </w:tcPr>
          <w:p w:rsidR="00B01260" w:rsidRPr="00415972" w:rsidRDefault="00B01260" w:rsidP="00B01260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972">
              <w:rPr>
                <w:rFonts w:ascii="Times New Roman" w:eastAsia="Times New Roman" w:hAnsi="Times New Roman" w:cs="Times New Roman"/>
                <w:sz w:val="24"/>
                <w:szCs w:val="24"/>
              </w:rPr>
              <w:t>(2)(c) The biennial conservation target may be a range rather than a point target.</w:t>
            </w:r>
          </w:p>
          <w:p w:rsidR="004B371D" w:rsidRPr="00415972" w:rsidRDefault="004B371D" w:rsidP="0008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B371D" w:rsidRPr="00415972" w:rsidRDefault="004B371D" w:rsidP="0008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4B371D" w:rsidRPr="00415972" w:rsidRDefault="003D4710" w:rsidP="0008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72">
              <w:rPr>
                <w:rFonts w:ascii="Times New Roman" w:hAnsi="Times New Roman" w:cs="Times New Roman"/>
                <w:sz w:val="24"/>
                <w:szCs w:val="24"/>
              </w:rPr>
              <w:t>Public Counsel does not have specific proposed language at this time, but we recommend stakeholder discussion on the issue of whether the range option should be retained in rule.</w:t>
            </w:r>
          </w:p>
        </w:tc>
      </w:tr>
    </w:tbl>
    <w:p w:rsidR="004B371D" w:rsidRPr="00415972" w:rsidRDefault="004B371D" w:rsidP="004B37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510"/>
        <w:gridCol w:w="3780"/>
        <w:gridCol w:w="4590"/>
      </w:tblGrid>
      <w:tr w:rsidR="004B371D" w:rsidRPr="00415972" w:rsidTr="00BF4D51">
        <w:trPr>
          <w:cantSplit/>
        </w:trPr>
        <w:tc>
          <w:tcPr>
            <w:tcW w:w="1908" w:type="dxa"/>
          </w:tcPr>
          <w:p w:rsidR="004B371D" w:rsidRPr="00415972" w:rsidRDefault="004B371D" w:rsidP="00C0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72">
              <w:rPr>
                <w:rFonts w:ascii="Times New Roman" w:hAnsi="Times New Roman" w:cs="Times New Roman"/>
                <w:sz w:val="24"/>
                <w:szCs w:val="24"/>
              </w:rPr>
              <w:t xml:space="preserve">Comment </w:t>
            </w:r>
            <w:r w:rsidR="00C07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5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:rsidR="004B371D" w:rsidRPr="00415972" w:rsidRDefault="004B371D" w:rsidP="0008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72">
              <w:rPr>
                <w:rFonts w:ascii="Times New Roman" w:hAnsi="Times New Roman" w:cs="Times New Roman"/>
                <w:sz w:val="24"/>
                <w:szCs w:val="24"/>
              </w:rPr>
              <w:t>Current Text</w:t>
            </w:r>
          </w:p>
        </w:tc>
        <w:tc>
          <w:tcPr>
            <w:tcW w:w="3780" w:type="dxa"/>
          </w:tcPr>
          <w:p w:rsidR="004B371D" w:rsidRPr="00415972" w:rsidRDefault="004B371D" w:rsidP="0008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72">
              <w:rPr>
                <w:rFonts w:ascii="Times New Roman" w:hAnsi="Times New Roman" w:cs="Times New Roman"/>
                <w:sz w:val="24"/>
                <w:szCs w:val="24"/>
              </w:rPr>
              <w:t>Proposed Text</w:t>
            </w:r>
          </w:p>
        </w:tc>
        <w:tc>
          <w:tcPr>
            <w:tcW w:w="4590" w:type="dxa"/>
          </w:tcPr>
          <w:p w:rsidR="004B371D" w:rsidRPr="00415972" w:rsidRDefault="004B371D" w:rsidP="0008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72">
              <w:rPr>
                <w:rFonts w:ascii="Times New Roman" w:hAnsi="Times New Roman" w:cs="Times New Roman"/>
                <w:sz w:val="24"/>
                <w:szCs w:val="24"/>
              </w:rPr>
              <w:t>Rationale for proposed change</w:t>
            </w:r>
          </w:p>
        </w:tc>
      </w:tr>
      <w:tr w:rsidR="004B371D" w:rsidRPr="00415972" w:rsidTr="0079495B">
        <w:trPr>
          <w:cantSplit/>
          <w:trHeight w:val="5903"/>
        </w:trPr>
        <w:tc>
          <w:tcPr>
            <w:tcW w:w="1908" w:type="dxa"/>
          </w:tcPr>
          <w:p w:rsidR="004B371D" w:rsidRPr="00415972" w:rsidRDefault="004B371D" w:rsidP="00BF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72"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r w:rsidR="00BF4D51" w:rsidRPr="00415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972">
              <w:rPr>
                <w:rFonts w:ascii="Times New Roman" w:hAnsi="Times New Roman" w:cs="Times New Roman"/>
                <w:sz w:val="24"/>
                <w:szCs w:val="24"/>
              </w:rPr>
              <w:t>WAC 480-</w:t>
            </w:r>
            <w:r w:rsidRPr="0079495B">
              <w:rPr>
                <w:rFonts w:ascii="Times New Roman" w:hAnsi="Times New Roman" w:cs="Times New Roman"/>
                <w:sz w:val="24"/>
                <w:szCs w:val="24"/>
              </w:rPr>
              <w:t>109-</w:t>
            </w:r>
            <w:r w:rsidR="007863A4" w:rsidRPr="0079495B">
              <w:rPr>
                <w:rFonts w:ascii="Times New Roman" w:hAnsi="Times New Roman" w:cs="Times New Roman"/>
                <w:sz w:val="24"/>
                <w:szCs w:val="24"/>
              </w:rPr>
              <w:t>010 (3)</w:t>
            </w:r>
            <w:r w:rsidR="007863A4" w:rsidRPr="004159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510" w:type="dxa"/>
          </w:tcPr>
          <w:p w:rsidR="004B371D" w:rsidRPr="00415972" w:rsidRDefault="00AB7F0C" w:rsidP="0008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(3) </w:t>
            </w:r>
            <w:r w:rsidR="007863A4" w:rsidRPr="00415972">
              <w:rPr>
                <w:rFonts w:ascii="Times New Roman" w:hAnsi="Times New Roman" w:cs="Times New Roman"/>
                <w:sz w:val="24"/>
                <w:szCs w:val="24"/>
              </w:rPr>
              <w:t>On or before January 31, 2010, and every two years thereafter, each utility must file with the commission a report identifying its ten-year achievable conservation potential and its biennial conservation target.</w:t>
            </w:r>
          </w:p>
        </w:tc>
        <w:tc>
          <w:tcPr>
            <w:tcW w:w="3780" w:type="dxa"/>
          </w:tcPr>
          <w:p w:rsidR="004B371D" w:rsidRPr="00415972" w:rsidRDefault="007863A4" w:rsidP="0008572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5972">
              <w:rPr>
                <w:rFonts w:ascii="Times New Roman" w:hAnsi="Times New Roman" w:cs="Times New Roman"/>
                <w:sz w:val="24"/>
                <w:szCs w:val="24"/>
              </w:rPr>
              <w:t>Proposed new subsection (3)(d):</w:t>
            </w:r>
            <w:r w:rsidRPr="004159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9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(d) This report must include: </w:t>
            </w:r>
          </w:p>
          <w:p w:rsidR="007863A4" w:rsidRPr="00415972" w:rsidRDefault="000E4E00" w:rsidP="00AB7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9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proofErr w:type="gramStart"/>
            <w:r w:rsidRPr="004159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</w:t>
            </w:r>
            <w:proofErr w:type="gramEnd"/>
            <w:r w:rsidRPr="004159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) </w:t>
            </w:r>
            <w:r w:rsidR="007863A4" w:rsidRPr="004159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projected conservation savin</w:t>
            </w:r>
            <w:r w:rsidR="007F13E3" w:rsidRPr="004159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gs for the biennium, by program;</w:t>
            </w:r>
            <w:r w:rsidR="007863A4" w:rsidRPr="004159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159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(ii) </w:t>
            </w:r>
            <w:r w:rsidR="007F13E3" w:rsidRPr="004159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projected expenditures for conservation programs for the biennium; (iii) </w:t>
            </w:r>
            <w:r w:rsidRPr="004159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 list of measures, unit energy sa</w:t>
            </w:r>
            <w:r w:rsidR="007F13E3" w:rsidRPr="004159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vings values, and sources used for development of the proposed biennial conservation target</w:t>
            </w:r>
            <w:r w:rsidR="00067975" w:rsidRPr="004159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AB79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67975" w:rsidRPr="004159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In addition,</w:t>
            </w:r>
            <w:r w:rsidR="00067975" w:rsidRPr="004159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the following supporting documents should be included as attachments to the report: </w:t>
            </w:r>
            <w:r w:rsidR="00067975" w:rsidRPr="004159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(iv) DSM business plan for the upcoming biennium; (v) the </w:t>
            </w:r>
            <w:proofErr w:type="gramStart"/>
            <w:r w:rsidR="00067975" w:rsidRPr="004159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utility’s</w:t>
            </w:r>
            <w:proofErr w:type="gramEnd"/>
            <w:r w:rsidR="00067975" w:rsidRPr="004159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most recently updated EM&amp;V framework</w:t>
            </w:r>
            <w:r w:rsidR="00C07C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4590" w:type="dxa"/>
          </w:tcPr>
          <w:p w:rsidR="004B371D" w:rsidRPr="00415972" w:rsidRDefault="000D7B33" w:rsidP="0008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 Counsel</w:t>
            </w:r>
            <w:r w:rsidR="007863A4" w:rsidRPr="00415972">
              <w:rPr>
                <w:rFonts w:ascii="Times New Roman" w:hAnsi="Times New Roman" w:cs="Times New Roman"/>
                <w:sz w:val="24"/>
                <w:szCs w:val="24"/>
              </w:rPr>
              <w:t xml:space="preserve"> recommend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863A4" w:rsidRPr="00415972">
              <w:rPr>
                <w:rFonts w:ascii="Times New Roman" w:hAnsi="Times New Roman" w:cs="Times New Roman"/>
                <w:sz w:val="24"/>
                <w:szCs w:val="24"/>
              </w:rPr>
              <w:t xml:space="preserve"> consideration of minimum reporting requirements for the biennial conservation plan.  </w:t>
            </w:r>
            <w:r w:rsidR="00220476" w:rsidRPr="00415972">
              <w:rPr>
                <w:rFonts w:ascii="Times New Roman" w:hAnsi="Times New Roman" w:cs="Times New Roman"/>
                <w:sz w:val="24"/>
                <w:szCs w:val="24"/>
              </w:rPr>
              <w:t>For the most part the IOUs already provide the information included here.</w:t>
            </w:r>
            <w:r w:rsidR="007F13E3" w:rsidRPr="00415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 may be useful to discuss whether the Commission should adopt a standard format for reporting all savings and expenses in a single worksheet, so that it is possible to see in one place how the program savings and expenses add together to the total numbers.</w:t>
            </w:r>
          </w:p>
        </w:tc>
      </w:tr>
    </w:tbl>
    <w:p w:rsidR="004B371D" w:rsidRPr="00415972" w:rsidRDefault="004B371D" w:rsidP="00AD3312">
      <w:pPr>
        <w:rPr>
          <w:rFonts w:ascii="Times New Roman" w:hAnsi="Times New Roman" w:cs="Times New Roman"/>
          <w:sz w:val="24"/>
          <w:szCs w:val="24"/>
        </w:rPr>
      </w:pPr>
    </w:p>
    <w:p w:rsidR="004B371D" w:rsidRPr="00415972" w:rsidRDefault="004B371D" w:rsidP="00AD3312">
      <w:pPr>
        <w:rPr>
          <w:rFonts w:ascii="Times New Roman" w:hAnsi="Times New Roman" w:cs="Times New Roman"/>
          <w:sz w:val="24"/>
          <w:szCs w:val="24"/>
        </w:rPr>
      </w:pPr>
    </w:p>
    <w:p w:rsidR="004B371D" w:rsidRPr="00415972" w:rsidRDefault="004B371D" w:rsidP="00AD3312">
      <w:pPr>
        <w:rPr>
          <w:rFonts w:ascii="Times New Roman" w:hAnsi="Times New Roman" w:cs="Times New Roman"/>
          <w:sz w:val="24"/>
          <w:szCs w:val="24"/>
        </w:rPr>
      </w:pPr>
    </w:p>
    <w:p w:rsidR="004B371D" w:rsidRPr="00415972" w:rsidRDefault="004B371D" w:rsidP="004B371D">
      <w:pPr>
        <w:rPr>
          <w:rFonts w:ascii="Times New Roman" w:hAnsi="Times New Roman" w:cs="Times New Roman"/>
          <w:sz w:val="24"/>
          <w:szCs w:val="24"/>
        </w:rPr>
      </w:pPr>
    </w:p>
    <w:sectPr w:rsidR="004B371D" w:rsidRPr="00415972" w:rsidSect="008A636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68"/>
    <w:rsid w:val="000055AB"/>
    <w:rsid w:val="00032D98"/>
    <w:rsid w:val="00067975"/>
    <w:rsid w:val="00085724"/>
    <w:rsid w:val="000C617E"/>
    <w:rsid w:val="000D4DAE"/>
    <w:rsid w:val="000D7B33"/>
    <w:rsid w:val="000E4E00"/>
    <w:rsid w:val="000E640C"/>
    <w:rsid w:val="00101011"/>
    <w:rsid w:val="00120E27"/>
    <w:rsid w:val="00180401"/>
    <w:rsid w:val="001C5AB1"/>
    <w:rsid w:val="001D114F"/>
    <w:rsid w:val="001E1D7A"/>
    <w:rsid w:val="001F13E8"/>
    <w:rsid w:val="00220476"/>
    <w:rsid w:val="002C039A"/>
    <w:rsid w:val="002D7786"/>
    <w:rsid w:val="002E1122"/>
    <w:rsid w:val="002E1B3B"/>
    <w:rsid w:val="0035603D"/>
    <w:rsid w:val="00362788"/>
    <w:rsid w:val="0039640E"/>
    <w:rsid w:val="003A3E96"/>
    <w:rsid w:val="003B155F"/>
    <w:rsid w:val="003D4710"/>
    <w:rsid w:val="003E79B0"/>
    <w:rsid w:val="00415972"/>
    <w:rsid w:val="0042465E"/>
    <w:rsid w:val="004250FD"/>
    <w:rsid w:val="00466E17"/>
    <w:rsid w:val="00487AF9"/>
    <w:rsid w:val="004B371D"/>
    <w:rsid w:val="004D23AD"/>
    <w:rsid w:val="00533684"/>
    <w:rsid w:val="00552600"/>
    <w:rsid w:val="00590852"/>
    <w:rsid w:val="005908E7"/>
    <w:rsid w:val="005A57F3"/>
    <w:rsid w:val="005A6C74"/>
    <w:rsid w:val="005C5A94"/>
    <w:rsid w:val="006467FC"/>
    <w:rsid w:val="00665787"/>
    <w:rsid w:val="00672F7B"/>
    <w:rsid w:val="006A41EE"/>
    <w:rsid w:val="007071BD"/>
    <w:rsid w:val="0073102C"/>
    <w:rsid w:val="0076656A"/>
    <w:rsid w:val="007863A4"/>
    <w:rsid w:val="0079126F"/>
    <w:rsid w:val="0079495B"/>
    <w:rsid w:val="007C27A6"/>
    <w:rsid w:val="007D67D1"/>
    <w:rsid w:val="007F13E3"/>
    <w:rsid w:val="0080522C"/>
    <w:rsid w:val="00805DB7"/>
    <w:rsid w:val="00817E12"/>
    <w:rsid w:val="008353FD"/>
    <w:rsid w:val="00874BD0"/>
    <w:rsid w:val="008A6368"/>
    <w:rsid w:val="008C6D87"/>
    <w:rsid w:val="008E2CC8"/>
    <w:rsid w:val="008E5167"/>
    <w:rsid w:val="009246E3"/>
    <w:rsid w:val="00935206"/>
    <w:rsid w:val="00943B16"/>
    <w:rsid w:val="00974A3F"/>
    <w:rsid w:val="00995D56"/>
    <w:rsid w:val="009B1FF0"/>
    <w:rsid w:val="009F6B32"/>
    <w:rsid w:val="009F74B4"/>
    <w:rsid w:val="00A84C2A"/>
    <w:rsid w:val="00AB79E7"/>
    <w:rsid w:val="00AB7F0C"/>
    <w:rsid w:val="00AC6F80"/>
    <w:rsid w:val="00AD3312"/>
    <w:rsid w:val="00AE273E"/>
    <w:rsid w:val="00B01260"/>
    <w:rsid w:val="00B13041"/>
    <w:rsid w:val="00B6713D"/>
    <w:rsid w:val="00B74786"/>
    <w:rsid w:val="00B75044"/>
    <w:rsid w:val="00BC3B1B"/>
    <w:rsid w:val="00BE034F"/>
    <w:rsid w:val="00BF4D51"/>
    <w:rsid w:val="00C07C90"/>
    <w:rsid w:val="00C60B26"/>
    <w:rsid w:val="00C656B7"/>
    <w:rsid w:val="00D30F6F"/>
    <w:rsid w:val="00DA1B86"/>
    <w:rsid w:val="00DA30C6"/>
    <w:rsid w:val="00DC738C"/>
    <w:rsid w:val="00DD2A47"/>
    <w:rsid w:val="00DF7FC6"/>
    <w:rsid w:val="00E30912"/>
    <w:rsid w:val="00E47124"/>
    <w:rsid w:val="00E8488F"/>
    <w:rsid w:val="00EB186C"/>
    <w:rsid w:val="00EB4D85"/>
    <w:rsid w:val="00EB664D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A6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6B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7F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50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0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0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0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0F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A6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6B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7F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50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0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0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0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0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64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28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87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2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7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7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8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k2@atg.wa.gov" TargetMode="Externa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mailto:records@utc.wa.gov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tc.wa.gov/e-filing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140</IndustryCode>
    <CaseStatus xmlns="dc463f71-b30c-4ab2-9473-d307f9d35888">Formal</CaseStatus>
    <OpenedDate xmlns="dc463f71-b30c-4ab2-9473-d307f9d35888">2013-09-12T07:00:00+00:00</OpenedDate>
    <Date1 xmlns="dc463f71-b30c-4ab2-9473-d307f9d35888">2013-12-02T08:00:00+00:00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131723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1828D9AD7978C44B84C17DE6D43F527" ma:contentTypeVersion="135" ma:contentTypeDescription="" ma:contentTypeScope="" ma:versionID="aa66af37047f1ccfa431515b335d3b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21E9FE6-BA52-4AA6-9675-4E920445C141}"/>
</file>

<file path=customXml/itemProps2.xml><?xml version="1.0" encoding="utf-8"?>
<ds:datastoreItem xmlns:ds="http://schemas.openxmlformats.org/officeDocument/2006/customXml" ds:itemID="{1A42D61F-DCA8-49ED-9725-BF7618ADEA84}"/>
</file>

<file path=customXml/itemProps3.xml><?xml version="1.0" encoding="utf-8"?>
<ds:datastoreItem xmlns:ds="http://schemas.openxmlformats.org/officeDocument/2006/customXml" ds:itemID="{1FB5B694-874A-4820-BA41-E2B9CFCF4BE1}"/>
</file>

<file path=customXml/itemProps4.xml><?xml version="1.0" encoding="utf-8"?>
<ds:datastoreItem xmlns:ds="http://schemas.openxmlformats.org/officeDocument/2006/customXml" ds:itemID="{3376CEB9-85B3-4F93-A08A-CE67D5AAB04F}"/>
</file>

<file path=customXml/itemProps5.xml><?xml version="1.0" encoding="utf-8"?>
<ds:datastoreItem xmlns:ds="http://schemas.openxmlformats.org/officeDocument/2006/customXml" ds:itemID="{A8899658-A280-407F-8F58-7FC513C4D5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Attorney General</Company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AnnyaR</cp:lastModifiedBy>
  <cp:revision>7</cp:revision>
  <cp:lastPrinted>2013-12-02T21:18:00Z</cp:lastPrinted>
  <dcterms:created xsi:type="dcterms:W3CDTF">2013-12-02T20:55:00Z</dcterms:created>
  <dcterms:modified xsi:type="dcterms:W3CDTF">2013-12-02T21:19:00Z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-158233260</vt:i4>
  </property>
  <property fmtid="{D5CDD505-2E9C-101B-9397-08002B2CF9AE}" pid="4" name="_EmailSubject">
    <vt:lpwstr>E-Filing: Docket UE-131723 EIA Rulemaking - PC Comments</vt:lpwstr>
  </property>
  <property fmtid="{D5CDD505-2E9C-101B-9397-08002B2CF9AE}" pid="5" name="_AuthorEmail">
    <vt:lpwstr>AnnyaR@ATG.WA.GOV</vt:lpwstr>
  </property>
  <property fmtid="{D5CDD505-2E9C-101B-9397-08002B2CF9AE}" pid="6" name="_AuthorEmailDisplayName">
    <vt:lpwstr>Ritchie, Annya (ATG)</vt:lpwstr>
  </property>
  <property fmtid="{D5CDD505-2E9C-101B-9397-08002B2CF9AE}" pid="7" name="ContentTypeId">
    <vt:lpwstr>0x0101006E56B4D1795A2E4DB2F0B01679ED314A0031828D9AD7978C44B84C17DE6D43F527</vt:lpwstr>
  </property>
  <property fmtid="{D5CDD505-2E9C-101B-9397-08002B2CF9AE}" pid="8" name="_docset_NoMedatataSyncRequired">
    <vt:lpwstr>False</vt:lpwstr>
  </property>
</Properties>
</file>