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14:paraId="03293218" w14:textId="77777777" w:rsidTr="00F45919">
        <w:tc>
          <w:tcPr>
            <w:tcW w:w="4788" w:type="dxa"/>
          </w:tcPr>
          <w:p w14:paraId="03293211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14:paraId="03293212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14:paraId="03293213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14:paraId="03293214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14:paraId="03293215" w14:textId="77777777"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14:paraId="03293216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14:paraId="03293217" w14:textId="77777777"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14:paraId="03293219" w14:textId="77777777"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0329321A" w14:textId="77777777" w:rsidR="00F45919" w:rsidRPr="00C4686F" w:rsidRDefault="00C602FD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15, 2017</w:t>
      </w:r>
    </w:p>
    <w:p w14:paraId="0329321B" w14:textId="77777777"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0329321C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14:paraId="0329321D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329321E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0329321F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14:paraId="03293220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14:paraId="03293221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14:paraId="03293222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14:paraId="03293223" w14:textId="77777777"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14:paraId="03293224" w14:textId="77777777"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3293225" w14:textId="77777777"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CA725C">
        <w:rPr>
          <w:rFonts w:ascii="Times New Roman" w:hAnsi="Times New Roman"/>
          <w:sz w:val="24"/>
          <w:szCs w:val="24"/>
        </w:rPr>
        <w:t xml:space="preserve">Docket No. A-130355 - </w:t>
      </w:r>
      <w:r w:rsidR="00CA725C" w:rsidRPr="004E6D17">
        <w:rPr>
          <w:rFonts w:ascii="Times New Roman" w:hAnsi="Times New Roman"/>
          <w:sz w:val="24"/>
          <w:szCs w:val="24"/>
        </w:rPr>
        <w:t>Comments of Avista Utilities on the “</w:t>
      </w:r>
      <w:r w:rsidR="00CA725C">
        <w:rPr>
          <w:rFonts w:ascii="Times New Roman" w:hAnsi="Times New Roman"/>
          <w:sz w:val="24"/>
          <w:szCs w:val="24"/>
        </w:rPr>
        <w:t>Rulemaking to Consider Possible Corrections and Changes in Rules in WAC 480-07, Relating to Procedural Rules</w:t>
      </w:r>
      <w:r w:rsidR="00CA725C" w:rsidRPr="004E6D17">
        <w:rPr>
          <w:rFonts w:ascii="Times New Roman" w:hAnsi="Times New Roman"/>
          <w:sz w:val="24"/>
          <w:szCs w:val="24"/>
        </w:rPr>
        <w:t>”</w:t>
      </w:r>
    </w:p>
    <w:p w14:paraId="03293226" w14:textId="77777777"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03293227" w14:textId="77777777"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14:paraId="03293228" w14:textId="77777777" w:rsidR="00CA725C" w:rsidRDefault="00CA725C" w:rsidP="00CA725C">
      <w:pPr>
        <w:pStyle w:val="Default"/>
        <w:spacing w:line="360" w:lineRule="auto"/>
        <w:ind w:firstLine="720"/>
        <w:jc w:val="both"/>
      </w:pPr>
      <w:r>
        <w:t>Avista Corporation dba Avista Utilities</w:t>
      </w:r>
      <w:r w:rsidRPr="0066295E">
        <w:t xml:space="preserve"> (</w:t>
      </w:r>
      <w:r>
        <w:t>Avista</w:t>
      </w:r>
      <w:r w:rsidRPr="0066295E">
        <w:t xml:space="preserve"> or Company) submits the following comments in accordance with the Washington Utilities and Transportation Commission’s (Commission) Notice of Opportunity to </w:t>
      </w:r>
      <w:r>
        <w:t>Submit</w:t>
      </w:r>
      <w:r w:rsidRPr="0066295E">
        <w:t xml:space="preserve"> Written Comments</w:t>
      </w:r>
      <w:r>
        <w:t xml:space="preserve"> (Notice) issued in Docket A-130355</w:t>
      </w:r>
      <w:r w:rsidRPr="0066295E">
        <w:t>.</w:t>
      </w:r>
    </w:p>
    <w:p w14:paraId="03293229" w14:textId="77777777" w:rsidR="00CA725C" w:rsidRDefault="00CA725C" w:rsidP="00CA725C">
      <w:pPr>
        <w:pStyle w:val="Default"/>
        <w:spacing w:line="360" w:lineRule="auto"/>
        <w:ind w:firstLine="720"/>
        <w:jc w:val="both"/>
      </w:pPr>
      <w:r>
        <w:t>The Company sup</w:t>
      </w:r>
      <w:r w:rsidR="00C602FD">
        <w:t>ports</w:t>
      </w:r>
      <w:r w:rsidR="00CA5CB4">
        <w:t>, in part</w:t>
      </w:r>
      <w:r w:rsidR="00023A24">
        <w:t>,</w:t>
      </w:r>
      <w:r w:rsidR="00C602FD">
        <w:t xml:space="preserve"> the draft rules for Part III</w:t>
      </w:r>
      <w:r>
        <w:t xml:space="preserve"> </w:t>
      </w:r>
      <w:r w:rsidR="00C602FD">
        <w:t xml:space="preserve">B </w:t>
      </w:r>
      <w:r>
        <w:t>of WAC 480-07 that have been developed by the Commission</w:t>
      </w:r>
      <w:r w:rsidR="00023A24">
        <w:t>,</w:t>
      </w:r>
      <w:r>
        <w:t xml:space="preserve"> with the following </w:t>
      </w:r>
      <w:r w:rsidR="00FF5E22">
        <w:t>comments</w:t>
      </w:r>
      <w:r w:rsidR="00CA5CB4">
        <w:t>, and requested clarifications</w:t>
      </w:r>
      <w:r>
        <w:t>:</w:t>
      </w:r>
    </w:p>
    <w:p w14:paraId="0329322A" w14:textId="77777777" w:rsidR="00175B49" w:rsidRDefault="00175B49" w:rsidP="00777CFA">
      <w:pPr>
        <w:pStyle w:val="Default"/>
        <w:ind w:firstLine="720"/>
        <w:jc w:val="both"/>
        <w:rPr>
          <w:b/>
        </w:rPr>
      </w:pPr>
    </w:p>
    <w:p w14:paraId="0329322B" w14:textId="77777777" w:rsidR="00C602FD" w:rsidRDefault="00175B49" w:rsidP="00776574">
      <w:pPr>
        <w:pStyle w:val="Default"/>
        <w:ind w:firstLine="720"/>
        <w:jc w:val="both"/>
        <w:rPr>
          <w:b/>
        </w:rPr>
      </w:pPr>
      <w:r w:rsidRPr="00175B49">
        <w:rPr>
          <w:b/>
        </w:rPr>
        <w:t xml:space="preserve">WAC </w:t>
      </w:r>
      <w:r w:rsidR="004E6258" w:rsidRPr="00175B49">
        <w:rPr>
          <w:b/>
        </w:rPr>
        <w:t>480</w:t>
      </w:r>
      <w:r>
        <w:rPr>
          <w:b/>
        </w:rPr>
        <w:t>-07-500 (4):</w:t>
      </w:r>
      <w:r w:rsidR="00776574">
        <w:rPr>
          <w:b/>
        </w:rPr>
        <w:t xml:space="preserve"> Summary Rejection</w:t>
      </w:r>
    </w:p>
    <w:p w14:paraId="0329322C" w14:textId="77777777" w:rsidR="00175B49" w:rsidRDefault="00023A24" w:rsidP="00342B09">
      <w:pPr>
        <w:pStyle w:val="Default"/>
        <w:ind w:left="720"/>
        <w:jc w:val="both"/>
      </w:pPr>
      <w:r>
        <w:t>A party should</w:t>
      </w:r>
      <w:r w:rsidR="00342B09">
        <w:t xml:space="preserve"> be p</w:t>
      </w:r>
      <w:r w:rsidR="00175B49">
        <w:t>rovide</w:t>
      </w:r>
      <w:r w:rsidR="00342B09">
        <w:t>d an</w:t>
      </w:r>
      <w:r w:rsidR="00175B49">
        <w:t xml:space="preserve"> opportunity to correct incidental errors or omissions</w:t>
      </w:r>
      <w:r w:rsidR="00FF5E22">
        <w:t xml:space="preserve"> without </w:t>
      </w:r>
      <w:r w:rsidR="00460052">
        <w:t xml:space="preserve">otherwise </w:t>
      </w:r>
      <w:r w:rsidR="00FF5E22">
        <w:t>extending the effective date of the tariffs</w:t>
      </w:r>
      <w:r w:rsidR="00460052">
        <w:t xml:space="preserve"> because of a summary rejection of the filing and the need to refile the entire case</w:t>
      </w:r>
      <w:r w:rsidR="00FF5E22">
        <w:t>.</w:t>
      </w:r>
      <w:r w:rsidR="00756418">
        <w:t xml:space="preserve">  </w:t>
      </w:r>
      <w:r w:rsidR="00460052">
        <w:t xml:space="preserve">An </w:t>
      </w:r>
      <w:r w:rsidR="009C6962">
        <w:t>opportunity</w:t>
      </w:r>
      <w:r w:rsidR="00460052">
        <w:t xml:space="preserve"> to correct minor incidental errors or omissions reflects current practice </w:t>
      </w:r>
      <w:r w:rsidR="009C6962">
        <w:t>and</w:t>
      </w:r>
      <w:r w:rsidR="00460052">
        <w:t xml:space="preserve"> is more </w:t>
      </w:r>
      <w:r w:rsidR="005D443D">
        <w:t>ministerial</w:t>
      </w:r>
      <w:r w:rsidR="00460052">
        <w:t xml:space="preserve"> than substantive.</w:t>
      </w:r>
    </w:p>
    <w:p w14:paraId="0329322D" w14:textId="77777777" w:rsidR="00175B49" w:rsidRDefault="00175B49" w:rsidP="00342B09">
      <w:pPr>
        <w:pStyle w:val="Default"/>
        <w:ind w:firstLine="720"/>
        <w:jc w:val="both"/>
      </w:pPr>
    </w:p>
    <w:p w14:paraId="0329322E" w14:textId="77777777" w:rsidR="00175B49" w:rsidRDefault="00175B49" w:rsidP="00776574">
      <w:pPr>
        <w:pStyle w:val="Default"/>
        <w:ind w:firstLine="720"/>
        <w:jc w:val="both"/>
        <w:rPr>
          <w:b/>
        </w:rPr>
      </w:pPr>
      <w:r w:rsidRPr="00175B49">
        <w:rPr>
          <w:b/>
        </w:rPr>
        <w:t>WAC 480-07-505 (2)(a):</w:t>
      </w:r>
      <w:r w:rsidR="00776574">
        <w:rPr>
          <w:b/>
        </w:rPr>
        <w:t xml:space="preserve"> Periodic Rate Adjustments</w:t>
      </w:r>
    </w:p>
    <w:p w14:paraId="0329322F" w14:textId="77777777" w:rsidR="00175B49" w:rsidRDefault="00175B49" w:rsidP="00342B09">
      <w:pPr>
        <w:pStyle w:val="Default"/>
        <w:ind w:left="720"/>
        <w:jc w:val="both"/>
      </w:pPr>
      <w:r>
        <w:t xml:space="preserve">Expand the definition of types of </w:t>
      </w:r>
      <w:r w:rsidR="00460052">
        <w:t>submissions that may not otherwise constitute a general rate filing to</w:t>
      </w:r>
      <w:r w:rsidR="00023A24">
        <w:t xml:space="preserve"> explicitly</w:t>
      </w:r>
      <w:r w:rsidR="00460052">
        <w:t xml:space="preserve"> include tracking mechanisms designed to track other ch</w:t>
      </w:r>
      <w:r w:rsidR="005D443D">
        <w:t>arges or</w:t>
      </w:r>
      <w:r w:rsidR="00460052">
        <w:t xml:space="preserve"> costs outside a general rate case.</w:t>
      </w:r>
    </w:p>
    <w:p w14:paraId="03293230" w14:textId="77777777" w:rsidR="00023A24" w:rsidRDefault="00023A24" w:rsidP="00342B09">
      <w:pPr>
        <w:pStyle w:val="Default"/>
        <w:ind w:left="720"/>
        <w:jc w:val="both"/>
      </w:pPr>
    </w:p>
    <w:p w14:paraId="03293231" w14:textId="77777777" w:rsidR="00777CFA" w:rsidRDefault="00777CFA" w:rsidP="00342B09">
      <w:pPr>
        <w:pStyle w:val="Default"/>
        <w:ind w:left="720"/>
        <w:jc w:val="both"/>
      </w:pPr>
    </w:p>
    <w:p w14:paraId="03293232" w14:textId="77777777" w:rsidR="0051002C" w:rsidRDefault="0051002C" w:rsidP="00342B09">
      <w:pPr>
        <w:pStyle w:val="Default"/>
        <w:ind w:left="720"/>
        <w:jc w:val="both"/>
      </w:pPr>
    </w:p>
    <w:p w14:paraId="03293233" w14:textId="77777777" w:rsidR="006F4097" w:rsidRPr="006F4097" w:rsidRDefault="006F4097" w:rsidP="00776574">
      <w:pPr>
        <w:pStyle w:val="Default"/>
        <w:ind w:firstLine="720"/>
        <w:jc w:val="both"/>
        <w:rPr>
          <w:b/>
        </w:rPr>
      </w:pPr>
      <w:r w:rsidRPr="006F4097">
        <w:rPr>
          <w:b/>
        </w:rPr>
        <w:lastRenderedPageBreak/>
        <w:t>WAC 480-07-510 (1)</w:t>
      </w:r>
      <w:r>
        <w:rPr>
          <w:b/>
        </w:rPr>
        <w:t xml:space="preserve"> Testimony and Exhibits</w:t>
      </w:r>
    </w:p>
    <w:p w14:paraId="03293234" w14:textId="77777777" w:rsidR="006F4097" w:rsidRDefault="00460052" w:rsidP="006F4097">
      <w:pPr>
        <w:pStyle w:val="Default"/>
        <w:ind w:left="720"/>
        <w:jc w:val="both"/>
      </w:pPr>
      <w:r>
        <w:t>As i</w:t>
      </w:r>
      <w:r w:rsidR="00023A24">
        <w:t>s</w:t>
      </w:r>
      <w:r>
        <w:t xml:space="preserve"> the current practice, the sub</w:t>
      </w:r>
      <w:r w:rsidR="007F15F4">
        <w:t>mission of</w:t>
      </w:r>
      <w:r>
        <w:t xml:space="preserve"> five paper copies for filing sh</w:t>
      </w:r>
      <w:r w:rsidR="00023A24">
        <w:t>ould be allowed on the day following</w:t>
      </w:r>
      <w:r>
        <w:t xml:space="preserve"> the electronic filing of testimony and exhibits.  Also, t</w:t>
      </w:r>
      <w:r w:rsidR="006F4097">
        <w:t xml:space="preserve">he Company believes </w:t>
      </w:r>
      <w:r>
        <w:t>that requiring a showing of</w:t>
      </w:r>
      <w:r w:rsidR="006F4097">
        <w:t xml:space="preserve"> the effect for each restating and proforma adjustment on </w:t>
      </w:r>
      <w:r>
        <w:t xml:space="preserve">a </w:t>
      </w:r>
      <w:r w:rsidR="006F4097">
        <w:t xml:space="preserve">rate of return </w:t>
      </w:r>
      <w:r w:rsidR="002D3589">
        <w:t xml:space="preserve">basis </w:t>
      </w:r>
      <w:r w:rsidR="006F4097">
        <w:t xml:space="preserve">would provide little value as some adjustments would be </w:t>
      </w:r>
      <w:r w:rsidR="007D076D">
        <w:t>de</w:t>
      </w:r>
      <w:r w:rsidR="002D3589">
        <w:t xml:space="preserve"> </w:t>
      </w:r>
      <w:r w:rsidR="007D076D">
        <w:t>minim</w:t>
      </w:r>
      <w:r w:rsidR="002D3589">
        <w:t>i</w:t>
      </w:r>
      <w:r w:rsidR="007D076D">
        <w:t>s</w:t>
      </w:r>
      <w:r>
        <w:t xml:space="preserve"> on an ROR basis;</w:t>
      </w:r>
      <w:r w:rsidR="006F4097">
        <w:t xml:space="preserve"> </w:t>
      </w:r>
      <w:r w:rsidR="009C6962">
        <w:t>rather, the</w:t>
      </w:r>
      <w:r w:rsidR="006F4097">
        <w:t xml:space="preserve"> Company </w:t>
      </w:r>
      <w:r w:rsidR="002D3589">
        <w:t>believes</w:t>
      </w:r>
      <w:r w:rsidR="009C6962">
        <w:t xml:space="preserve"> that</w:t>
      </w:r>
      <w:r w:rsidR="002D3589">
        <w:t xml:space="preserve"> </w:t>
      </w:r>
      <w:r w:rsidR="006F4097">
        <w:t xml:space="preserve">providing the Revenue Requirement </w:t>
      </w:r>
      <w:r w:rsidR="009C6962">
        <w:t xml:space="preserve">impact </w:t>
      </w:r>
      <w:r w:rsidR="006F4097">
        <w:t>of each adjustment would provide more value.</w:t>
      </w:r>
    </w:p>
    <w:p w14:paraId="03293235" w14:textId="77777777" w:rsidR="002D3589" w:rsidRDefault="002D3589" w:rsidP="002D3589">
      <w:pPr>
        <w:pStyle w:val="Default"/>
        <w:ind w:firstLine="720"/>
        <w:jc w:val="both"/>
        <w:rPr>
          <w:b/>
        </w:rPr>
      </w:pPr>
    </w:p>
    <w:p w14:paraId="03293236" w14:textId="77777777" w:rsidR="002D3589" w:rsidRDefault="002D3589" w:rsidP="002D3589">
      <w:pPr>
        <w:pStyle w:val="Default"/>
        <w:ind w:firstLine="720"/>
        <w:jc w:val="both"/>
        <w:rPr>
          <w:b/>
        </w:rPr>
      </w:pPr>
      <w:r w:rsidRPr="00175B49">
        <w:rPr>
          <w:b/>
        </w:rPr>
        <w:t>WAC 480-07-5</w:t>
      </w:r>
      <w:r>
        <w:rPr>
          <w:b/>
        </w:rPr>
        <w:t>1</w:t>
      </w:r>
      <w:r w:rsidRPr="00175B49">
        <w:rPr>
          <w:b/>
        </w:rPr>
        <w:t>0 (</w:t>
      </w:r>
      <w:r>
        <w:rPr>
          <w:b/>
        </w:rPr>
        <w:t>3</w:t>
      </w:r>
      <w:r w:rsidRPr="00175B49">
        <w:rPr>
          <w:b/>
        </w:rPr>
        <w:t>)(a):</w:t>
      </w:r>
      <w:r>
        <w:rPr>
          <w:b/>
        </w:rPr>
        <w:t xml:space="preserve"> Work Papers</w:t>
      </w:r>
    </w:p>
    <w:p w14:paraId="03293237" w14:textId="77777777" w:rsidR="002D3589" w:rsidRDefault="002D3589" w:rsidP="002D3589">
      <w:pPr>
        <w:pStyle w:val="Default"/>
        <w:ind w:left="720"/>
        <w:jc w:val="both"/>
      </w:pPr>
      <w:r>
        <w:t xml:space="preserve">The Company would like clarification </w:t>
      </w:r>
      <w:r w:rsidR="009C6962">
        <w:t>that workpapers are not</w:t>
      </w:r>
      <w:r>
        <w:t xml:space="preserve"> part of the record, unless introduced into evidence by a party.  </w:t>
      </w:r>
      <w:r w:rsidR="009C6962">
        <w:t>Work</w:t>
      </w:r>
      <w:r w:rsidR="00BE053A">
        <w:t xml:space="preserve">papers </w:t>
      </w:r>
      <w:r w:rsidR="009430ED">
        <w:t xml:space="preserve">that are provided as supporting documents </w:t>
      </w:r>
      <w:r w:rsidR="009C6962">
        <w:t xml:space="preserve">should </w:t>
      </w:r>
      <w:r w:rsidR="009430ED">
        <w:t xml:space="preserve">only become </w:t>
      </w:r>
      <w:bookmarkStart w:id="0" w:name="_GoBack"/>
      <w:r w:rsidR="009430ED">
        <w:t xml:space="preserve">part of the record </w:t>
      </w:r>
      <w:r w:rsidR="009C6962">
        <w:t xml:space="preserve">after </w:t>
      </w:r>
      <w:r w:rsidR="009430ED">
        <w:t>being formally introduced into evidence.</w:t>
      </w:r>
    </w:p>
    <w:p w14:paraId="03293238" w14:textId="77777777" w:rsidR="006F4097" w:rsidRDefault="006F4097" w:rsidP="00776574">
      <w:pPr>
        <w:pStyle w:val="Default"/>
        <w:ind w:firstLine="720"/>
        <w:jc w:val="both"/>
      </w:pPr>
    </w:p>
    <w:bookmarkEnd w:id="0"/>
    <w:p w14:paraId="03293239" w14:textId="77777777" w:rsidR="00776574" w:rsidRDefault="00776574" w:rsidP="00776574">
      <w:pPr>
        <w:pStyle w:val="Default"/>
        <w:ind w:firstLine="720"/>
        <w:jc w:val="both"/>
        <w:rPr>
          <w:b/>
        </w:rPr>
      </w:pPr>
      <w:r w:rsidRPr="00175B49">
        <w:rPr>
          <w:b/>
        </w:rPr>
        <w:t>WAC 480-07-5</w:t>
      </w:r>
      <w:r>
        <w:rPr>
          <w:b/>
        </w:rPr>
        <w:t>1</w:t>
      </w:r>
      <w:r w:rsidRPr="00175B49">
        <w:rPr>
          <w:b/>
        </w:rPr>
        <w:t>0 (</w:t>
      </w:r>
      <w:r>
        <w:rPr>
          <w:b/>
        </w:rPr>
        <w:t>3)(c</w:t>
      </w:r>
      <w:r w:rsidRPr="00175B49">
        <w:rPr>
          <w:b/>
        </w:rPr>
        <w:t>):</w:t>
      </w:r>
      <w:r>
        <w:rPr>
          <w:b/>
        </w:rPr>
        <w:t xml:space="preserve"> Work Papers Cross-Referenced</w:t>
      </w:r>
    </w:p>
    <w:p w14:paraId="0329323A" w14:textId="77777777" w:rsidR="00776574" w:rsidRPr="00776574" w:rsidRDefault="006A7DEA" w:rsidP="006F4097">
      <w:pPr>
        <w:pStyle w:val="Default"/>
        <w:ind w:left="720"/>
        <w:jc w:val="both"/>
      </w:pPr>
      <w:r>
        <w:t xml:space="preserve">The Company would like some </w:t>
      </w:r>
      <w:r w:rsidR="009C6962">
        <w:t xml:space="preserve">further </w:t>
      </w:r>
      <w:r>
        <w:t>clarification</w:t>
      </w:r>
      <w:r w:rsidR="009C6962">
        <w:t xml:space="preserve"> and guidance regarding t</w:t>
      </w:r>
      <w:r w:rsidR="002D3589">
        <w:t xml:space="preserve">he </w:t>
      </w:r>
      <w:r w:rsidR="009430ED">
        <w:t>cross-referencing methodology</w:t>
      </w:r>
      <w:r w:rsidR="009C6962">
        <w:t xml:space="preserve"> </w:t>
      </w:r>
      <w:r w:rsidR="00EE3AB7">
        <w:t>referenced</w:t>
      </w:r>
      <w:r w:rsidR="009C6962">
        <w:t xml:space="preserve"> in the rule</w:t>
      </w:r>
      <w:r w:rsidR="009430ED">
        <w:t>.</w:t>
      </w:r>
    </w:p>
    <w:p w14:paraId="0329323B" w14:textId="77777777" w:rsidR="006F4097" w:rsidRDefault="006F4097" w:rsidP="007D076D">
      <w:pPr>
        <w:pStyle w:val="Default"/>
        <w:ind w:left="720"/>
        <w:jc w:val="both"/>
        <w:rPr>
          <w:b/>
        </w:rPr>
      </w:pPr>
    </w:p>
    <w:p w14:paraId="0329323C" w14:textId="77777777" w:rsidR="009430ED" w:rsidRDefault="009430ED" w:rsidP="009430ED">
      <w:pPr>
        <w:pStyle w:val="Default"/>
        <w:ind w:left="720"/>
        <w:jc w:val="both"/>
        <w:rPr>
          <w:b/>
        </w:rPr>
      </w:pPr>
      <w:r>
        <w:rPr>
          <w:b/>
        </w:rPr>
        <w:t>WAC 480-07-515 (1)(b)</w:t>
      </w:r>
    </w:p>
    <w:p w14:paraId="0329323D" w14:textId="77777777" w:rsidR="009430ED" w:rsidRPr="00776574" w:rsidRDefault="009430ED" w:rsidP="009430ED">
      <w:pPr>
        <w:pStyle w:val="Default"/>
        <w:ind w:left="720"/>
        <w:jc w:val="both"/>
      </w:pPr>
      <w:r>
        <w:t xml:space="preserve">The Company would like some </w:t>
      </w:r>
      <w:r w:rsidR="00023A24">
        <w:t xml:space="preserve">further </w:t>
      </w:r>
      <w:r>
        <w:t>clarification</w:t>
      </w:r>
      <w:r w:rsidR="00023A24">
        <w:t xml:space="preserve"> of</w:t>
      </w:r>
      <w:r>
        <w:t xml:space="preserve"> </w:t>
      </w:r>
      <w:r w:rsidR="009C6962">
        <w:t xml:space="preserve">the types of </w:t>
      </w:r>
      <w:r>
        <w:t xml:space="preserve">data </w:t>
      </w:r>
      <w:r w:rsidR="009C6962">
        <w:t xml:space="preserve">to be provided </w:t>
      </w:r>
      <w:r>
        <w:t xml:space="preserve">through the end of the most recent month that is available.  </w:t>
      </w:r>
      <w:r w:rsidR="009C6962">
        <w:t>More discussions of this should occur at the rules workshop</w:t>
      </w:r>
    </w:p>
    <w:p w14:paraId="0329323E" w14:textId="77777777" w:rsidR="007D076D" w:rsidRDefault="007D076D" w:rsidP="009430ED">
      <w:pPr>
        <w:pStyle w:val="Default"/>
        <w:ind w:firstLine="720"/>
        <w:jc w:val="both"/>
        <w:rPr>
          <w:b/>
        </w:rPr>
      </w:pPr>
    </w:p>
    <w:p w14:paraId="0329323F" w14:textId="77777777" w:rsidR="00776574" w:rsidRDefault="00776574" w:rsidP="00776574">
      <w:pPr>
        <w:pStyle w:val="Default"/>
        <w:ind w:firstLine="720"/>
        <w:jc w:val="both"/>
        <w:rPr>
          <w:b/>
        </w:rPr>
      </w:pPr>
      <w:r w:rsidRPr="00175B49">
        <w:rPr>
          <w:b/>
        </w:rPr>
        <w:t>WAC 480-07-5</w:t>
      </w:r>
      <w:r>
        <w:rPr>
          <w:b/>
        </w:rPr>
        <w:t>15</w:t>
      </w:r>
      <w:r w:rsidRPr="00175B49">
        <w:rPr>
          <w:b/>
        </w:rPr>
        <w:t xml:space="preserve"> (</w:t>
      </w:r>
      <w:r>
        <w:rPr>
          <w:b/>
        </w:rPr>
        <w:t>1)(</w:t>
      </w:r>
      <w:r w:rsidR="007D076D">
        <w:rPr>
          <w:b/>
        </w:rPr>
        <w:t>f</w:t>
      </w:r>
      <w:r w:rsidRPr="00175B49">
        <w:rPr>
          <w:b/>
        </w:rPr>
        <w:t>)</w:t>
      </w:r>
      <w:r>
        <w:rPr>
          <w:b/>
        </w:rPr>
        <w:t xml:space="preserve"> </w:t>
      </w:r>
    </w:p>
    <w:p w14:paraId="03293240" w14:textId="77777777" w:rsidR="00776574" w:rsidRDefault="007D076D" w:rsidP="007D076D">
      <w:pPr>
        <w:pStyle w:val="Default"/>
        <w:ind w:left="720"/>
        <w:jc w:val="both"/>
      </w:pPr>
      <w:r>
        <w:t xml:space="preserve">The Company would like this section to </w:t>
      </w:r>
      <w:r w:rsidR="00023A24">
        <w:t>recognize that each Company could have a different type of power cost mechanism.</w:t>
      </w:r>
      <w:r>
        <w:t xml:space="preserve"> </w:t>
      </w:r>
      <w:r w:rsidR="00023A24">
        <w:t xml:space="preserve"> </w:t>
      </w:r>
      <w:r w:rsidR="000E3868">
        <w:t>Accordingly, any affected utility must</w:t>
      </w:r>
      <w:r>
        <w:t xml:space="preserve"> remove costs and revenues included in </w:t>
      </w:r>
      <w:r w:rsidRPr="009C6962">
        <w:rPr>
          <w:u w:val="single"/>
        </w:rPr>
        <w:t>its</w:t>
      </w:r>
      <w:r>
        <w:t xml:space="preserve"> power </w:t>
      </w:r>
      <w:r w:rsidR="009C6962">
        <w:t>cost</w:t>
      </w:r>
      <w:r>
        <w:t xml:space="preserve"> mechanism</w:t>
      </w:r>
      <w:r w:rsidR="009C6962">
        <w:t xml:space="preserve"> (</w:t>
      </w:r>
      <w:r w:rsidR="000E3868">
        <w:t xml:space="preserve">e.g. </w:t>
      </w:r>
      <w:r w:rsidR="009C6962">
        <w:t>each company may treat production rate base differently in their power cost mechanism</w:t>
      </w:r>
      <w:r w:rsidR="000E3868">
        <w:t>)</w:t>
      </w:r>
      <w:r>
        <w:t>.</w:t>
      </w:r>
      <w:r w:rsidR="006F30A6">
        <w:t xml:space="preserve"> </w:t>
      </w:r>
    </w:p>
    <w:p w14:paraId="03293241" w14:textId="77777777" w:rsidR="00776574" w:rsidRDefault="00776574" w:rsidP="00776574">
      <w:pPr>
        <w:pStyle w:val="Default"/>
        <w:ind w:firstLine="720"/>
        <w:jc w:val="both"/>
      </w:pPr>
    </w:p>
    <w:p w14:paraId="03293242" w14:textId="77777777" w:rsidR="00776574" w:rsidRPr="002D3589" w:rsidRDefault="002D3589" w:rsidP="00776574">
      <w:pPr>
        <w:pStyle w:val="Default"/>
        <w:ind w:firstLine="720"/>
        <w:jc w:val="both"/>
        <w:rPr>
          <w:b/>
        </w:rPr>
      </w:pPr>
      <w:r w:rsidRPr="002D3589">
        <w:rPr>
          <w:b/>
        </w:rPr>
        <w:t>WAC 480-07-515(3)</w:t>
      </w:r>
    </w:p>
    <w:p w14:paraId="03293243" w14:textId="77777777" w:rsidR="00776574" w:rsidRDefault="002D3589" w:rsidP="002D3589">
      <w:pPr>
        <w:pStyle w:val="Default"/>
        <w:ind w:left="720"/>
        <w:jc w:val="both"/>
      </w:pPr>
      <w:r>
        <w:t xml:space="preserve">The Company believes the Commission should enter a final order </w:t>
      </w:r>
      <w:r w:rsidRPr="002D3589">
        <w:rPr>
          <w:u w:val="single"/>
        </w:rPr>
        <w:t xml:space="preserve">within </w:t>
      </w:r>
      <w:r w:rsidR="009C6962">
        <w:rPr>
          <w:u w:val="single"/>
        </w:rPr>
        <w:t>12</w:t>
      </w:r>
      <w:r w:rsidRPr="002D3589">
        <w:rPr>
          <w:u w:val="single"/>
        </w:rPr>
        <w:t>0-days</w:t>
      </w:r>
      <w:r>
        <w:t xml:space="preserve"> from the stated effective date of the Tariff changes.</w:t>
      </w:r>
      <w:r w:rsidR="006F30A6">
        <w:t xml:space="preserve">  The Company believes that the limited amount of </w:t>
      </w:r>
      <w:r w:rsidR="003C1237">
        <w:t xml:space="preserve">data and information </w:t>
      </w:r>
      <w:r w:rsidR="00023A24">
        <w:t xml:space="preserve">presented </w:t>
      </w:r>
      <w:r w:rsidR="003C1237">
        <w:t xml:space="preserve">would </w:t>
      </w:r>
      <w:r w:rsidR="00023A24">
        <w:t xml:space="preserve">generally </w:t>
      </w:r>
      <w:r w:rsidR="003C1237">
        <w:t>allow for a shorter timeframe</w:t>
      </w:r>
      <w:r w:rsidR="000E3868">
        <w:t xml:space="preserve"> to review and approve</w:t>
      </w:r>
      <w:r w:rsidR="003C1237">
        <w:t xml:space="preserve">. </w:t>
      </w:r>
    </w:p>
    <w:p w14:paraId="03293244" w14:textId="77777777" w:rsidR="00776574" w:rsidRDefault="00776574" w:rsidP="00776574">
      <w:pPr>
        <w:pStyle w:val="Default"/>
        <w:ind w:firstLine="720"/>
        <w:jc w:val="both"/>
      </w:pPr>
    </w:p>
    <w:p w14:paraId="03293245" w14:textId="77777777" w:rsidR="00F45919" w:rsidRPr="001A7B6D" w:rsidRDefault="00777CFA" w:rsidP="00777CFA">
      <w:pPr>
        <w:pStyle w:val="Default"/>
        <w:spacing w:line="360" w:lineRule="auto"/>
        <w:ind w:firstLine="720"/>
        <w:jc w:val="both"/>
      </w:pPr>
      <w:r w:rsidRPr="0067498C">
        <w:t xml:space="preserve">Avista appreciates the opportunity to provide these comments, and </w:t>
      </w:r>
      <w:r>
        <w:t>we look forward to participating in the workshop scheduled for June 12, 2017</w:t>
      </w:r>
      <w:r w:rsidRPr="0067498C">
        <w:t>.</w:t>
      </w:r>
      <w:r>
        <w:t xml:space="preserve">  Please direct any questions</w:t>
      </w:r>
      <w:r w:rsidRPr="0067498C">
        <w:t xml:space="preserve"> regarding these comments</w:t>
      </w:r>
      <w:r>
        <w:t xml:space="preserve"> to Paul Kimball at 509-495-4584 or </w:t>
      </w:r>
      <w:hyperlink r:id="rId11" w:history="1">
        <w:r w:rsidRPr="00B87D2F">
          <w:rPr>
            <w:rStyle w:val="Hyperlink"/>
          </w:rPr>
          <w:t>paul.kimball@avistacorp.com</w:t>
        </w:r>
      </w:hyperlink>
      <w:r>
        <w:t xml:space="preserve"> or myself </w:t>
      </w:r>
      <w:r w:rsidR="001A7B6D" w:rsidRPr="001A7B6D">
        <w:t>at 509-495-4975</w:t>
      </w:r>
      <w:r>
        <w:t xml:space="preserve"> or </w:t>
      </w:r>
      <w:hyperlink r:id="rId12" w:history="1">
        <w:r w:rsidRPr="00B87D2F">
          <w:rPr>
            <w:rStyle w:val="Hyperlink"/>
          </w:rPr>
          <w:t>linda.gervais@avistacorp.com</w:t>
        </w:r>
      </w:hyperlink>
      <w:r>
        <w:t>.</w:t>
      </w:r>
    </w:p>
    <w:p w14:paraId="03293246" w14:textId="77777777" w:rsidR="001B29A5" w:rsidRPr="0067498C" w:rsidRDefault="001B29A5" w:rsidP="00777CFA">
      <w:pPr>
        <w:pStyle w:val="NoSpacing"/>
        <w:ind w:right="-274" w:firstLine="720"/>
        <w:jc w:val="both"/>
        <w:rPr>
          <w:rFonts w:ascii="Times New Roman" w:hAnsi="Times New Roman"/>
          <w:sz w:val="24"/>
          <w:szCs w:val="24"/>
        </w:rPr>
      </w:pPr>
    </w:p>
    <w:p w14:paraId="03293247" w14:textId="77777777" w:rsidR="00337F64" w:rsidRDefault="00337F64" w:rsidP="00777CFA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14:paraId="03293248" w14:textId="77777777" w:rsidR="00777CFA" w:rsidRPr="000D15BF" w:rsidRDefault="00777CFA" w:rsidP="00777CFA">
      <w:pPr>
        <w:jc w:val="both"/>
        <w:rPr>
          <w:rFonts w:ascii="Times New Roman" w:hAnsi="Times New Roman" w:cs="Times New Roman"/>
        </w:rPr>
      </w:pPr>
    </w:p>
    <w:p w14:paraId="03293249" w14:textId="77777777" w:rsidR="00337F64" w:rsidRPr="00777CFA" w:rsidRDefault="00337F64" w:rsidP="00777CFA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14:paraId="0329324A" w14:textId="77777777" w:rsidR="00337F64" w:rsidRPr="000D15BF" w:rsidRDefault="00337F64" w:rsidP="00777CFA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14:paraId="0329324B" w14:textId="77777777"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sectPr w:rsidR="00337F64" w:rsidRPr="00FF70D0" w:rsidSect="0051002C">
      <w:headerReference w:type="default" r:id="rId13"/>
      <w:footerReference w:type="default" r:id="rId14"/>
      <w:headerReference w:type="first" r:id="rId15"/>
      <w:pgSz w:w="12240" w:h="15840"/>
      <w:pgMar w:top="1800" w:right="1440" w:bottom="99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9324E" w14:textId="77777777" w:rsidR="002F3873" w:rsidRDefault="002F3873" w:rsidP="002A1126">
      <w:r>
        <w:separator/>
      </w:r>
    </w:p>
  </w:endnote>
  <w:endnote w:type="continuationSeparator" w:id="0">
    <w:p w14:paraId="0329324F" w14:textId="77777777" w:rsidR="002F3873" w:rsidRDefault="002F3873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93251" w14:textId="77777777" w:rsidR="00CA725C" w:rsidRPr="00342B09" w:rsidRDefault="00CA725C" w:rsidP="00342B09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EndPr/>
      <w:sdtContent>
        <w:r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Pr="00F6459F">
          <w:rPr>
            <w:rFonts w:ascii="Times New Roman" w:hAnsi="Times New Roman" w:cs="Times New Roman"/>
          </w:rPr>
          <w:fldChar w:fldCharType="separate"/>
        </w:r>
        <w:r w:rsidR="00444D0B">
          <w:rPr>
            <w:rFonts w:ascii="Times New Roman" w:hAnsi="Times New Roman" w:cs="Times New Roman"/>
            <w:noProof/>
          </w:rPr>
          <w:t>2</w:t>
        </w:r>
        <w:r w:rsidRPr="00F6459F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9324C" w14:textId="77777777" w:rsidR="002F3873" w:rsidRDefault="002F3873" w:rsidP="002A1126">
      <w:r>
        <w:separator/>
      </w:r>
    </w:p>
  </w:footnote>
  <w:footnote w:type="continuationSeparator" w:id="0">
    <w:p w14:paraId="0329324D" w14:textId="77777777" w:rsidR="002F3873" w:rsidRDefault="002F3873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93250" w14:textId="77777777" w:rsidR="00CA725C" w:rsidRDefault="00CA725C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93252" w14:textId="77777777"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03293253" wp14:editId="03293254">
          <wp:extent cx="7397115" cy="1158881"/>
          <wp:effectExtent l="25400" t="0" r="0" b="0"/>
          <wp:docPr id="2" name="Picture 2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23A24"/>
    <w:rsid w:val="000E3868"/>
    <w:rsid w:val="000F4873"/>
    <w:rsid w:val="00114E77"/>
    <w:rsid w:val="00161957"/>
    <w:rsid w:val="00175B49"/>
    <w:rsid w:val="001A6786"/>
    <w:rsid w:val="001A7B6D"/>
    <w:rsid w:val="001B29A5"/>
    <w:rsid w:val="001E2AB9"/>
    <w:rsid w:val="002A1126"/>
    <w:rsid w:val="002D3589"/>
    <w:rsid w:val="002F1859"/>
    <w:rsid w:val="002F3873"/>
    <w:rsid w:val="00337F64"/>
    <w:rsid w:val="00342B09"/>
    <w:rsid w:val="00355E5A"/>
    <w:rsid w:val="003C1237"/>
    <w:rsid w:val="003D0502"/>
    <w:rsid w:val="00417F7D"/>
    <w:rsid w:val="00421E87"/>
    <w:rsid w:val="00444D0B"/>
    <w:rsid w:val="00460052"/>
    <w:rsid w:val="004A6346"/>
    <w:rsid w:val="004E6258"/>
    <w:rsid w:val="005011E0"/>
    <w:rsid w:val="0051002C"/>
    <w:rsid w:val="005B066B"/>
    <w:rsid w:val="005D443D"/>
    <w:rsid w:val="00651A83"/>
    <w:rsid w:val="006722CD"/>
    <w:rsid w:val="0067498C"/>
    <w:rsid w:val="00694FC3"/>
    <w:rsid w:val="006A2183"/>
    <w:rsid w:val="006A7DEA"/>
    <w:rsid w:val="006F30A6"/>
    <w:rsid w:val="006F4097"/>
    <w:rsid w:val="00706C17"/>
    <w:rsid w:val="00756418"/>
    <w:rsid w:val="00776574"/>
    <w:rsid w:val="00777CFA"/>
    <w:rsid w:val="007B73D2"/>
    <w:rsid w:val="007D076D"/>
    <w:rsid w:val="007F1527"/>
    <w:rsid w:val="007F15F4"/>
    <w:rsid w:val="00807809"/>
    <w:rsid w:val="008C1322"/>
    <w:rsid w:val="009430ED"/>
    <w:rsid w:val="00971839"/>
    <w:rsid w:val="0098158F"/>
    <w:rsid w:val="009C6962"/>
    <w:rsid w:val="00A3592C"/>
    <w:rsid w:val="00A56024"/>
    <w:rsid w:val="00A87384"/>
    <w:rsid w:val="00AB0867"/>
    <w:rsid w:val="00B156C5"/>
    <w:rsid w:val="00B3771B"/>
    <w:rsid w:val="00BE053A"/>
    <w:rsid w:val="00C602FD"/>
    <w:rsid w:val="00CA3409"/>
    <w:rsid w:val="00CA5CB4"/>
    <w:rsid w:val="00CA725C"/>
    <w:rsid w:val="00CB706C"/>
    <w:rsid w:val="00D013B6"/>
    <w:rsid w:val="00D64EBE"/>
    <w:rsid w:val="00D96E8B"/>
    <w:rsid w:val="00DA1C41"/>
    <w:rsid w:val="00DC294F"/>
    <w:rsid w:val="00DD1414"/>
    <w:rsid w:val="00E15441"/>
    <w:rsid w:val="00E3352F"/>
    <w:rsid w:val="00E4016E"/>
    <w:rsid w:val="00E657EE"/>
    <w:rsid w:val="00E72C00"/>
    <w:rsid w:val="00E83AF0"/>
    <w:rsid w:val="00EE3AB7"/>
    <w:rsid w:val="00F31804"/>
    <w:rsid w:val="00F3627B"/>
    <w:rsid w:val="00F45919"/>
    <w:rsid w:val="00F6459F"/>
    <w:rsid w:val="00F8014E"/>
    <w:rsid w:val="00F86C06"/>
    <w:rsid w:val="00FD44D5"/>
    <w:rsid w:val="00FF5E22"/>
    <w:rsid w:val="00FF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03293211"/>
  <w15:docId w15:val="{27FB47F8-3DA9-4AA2-9967-5F3BEC16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nda.gervais@avistacor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kimball@avistacor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2017-05-15T07:00:00+00:00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130355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F8078-3F28-4B75-B016-2353A159C0F2}">
  <ds:schemaRefs>
    <ds:schemaRef ds:uri="6a7bd91e-004b-490a-8704-e368d63d59a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9D1C78-C65C-4410-9157-7B8A03523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00854-90CC-4CB0-9E09-331F736F359B}"/>
</file>

<file path=customXml/itemProps4.xml><?xml version="1.0" encoding="utf-8"?>
<ds:datastoreItem xmlns:ds="http://schemas.openxmlformats.org/officeDocument/2006/customXml" ds:itemID="{BA476B0C-0FAF-410E-87AE-E74EAAB25F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9F6C0F-57F2-4AF9-853E-3290EF1C9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Huey, Lorilyn (UTC)</cp:lastModifiedBy>
  <cp:revision>2</cp:revision>
  <cp:lastPrinted>2017-05-12T21:03:00Z</cp:lastPrinted>
  <dcterms:created xsi:type="dcterms:W3CDTF">2017-05-15T15:50:00Z</dcterms:created>
  <dcterms:modified xsi:type="dcterms:W3CDTF">2017-05-15T15:50:00Z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