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355AE" w14:textId="4034315E" w:rsidR="005B0BEE" w:rsidRDefault="007B3F13" w:rsidP="007B3F13">
      <w:pPr>
        <w:tabs>
          <w:tab w:val="right" w:pos="9270"/>
        </w:tabs>
      </w:pPr>
      <w:r>
        <w:tab/>
      </w:r>
      <w:r w:rsidR="00290F53">
        <w:t>EXHIBIT NO. _____ (</w:t>
      </w:r>
      <w:r w:rsidR="0014748E">
        <w:t>AML-</w:t>
      </w:r>
      <w:r w:rsidR="00EB7D06">
        <w:t>13</w:t>
      </w:r>
      <w:r w:rsidR="0014748E">
        <w:t>T</w:t>
      </w:r>
      <w:r w:rsidR="003662C6">
        <w:t>)</w:t>
      </w:r>
    </w:p>
    <w:p w14:paraId="5F6ACDAC" w14:textId="77777777" w:rsidR="003662C6" w:rsidRDefault="007B3F13" w:rsidP="007B3F13">
      <w:pPr>
        <w:tabs>
          <w:tab w:val="right" w:pos="9270"/>
        </w:tabs>
      </w:pPr>
      <w:r>
        <w:tab/>
      </w:r>
      <w:r w:rsidR="003662C6">
        <w:t>DOCKET NO</w:t>
      </w:r>
      <w:r w:rsidR="00050D85">
        <w:t>S</w:t>
      </w:r>
      <w:r w:rsidR="003662C6">
        <w:t xml:space="preserve">. </w:t>
      </w:r>
      <w:r w:rsidR="0014748E">
        <w:t>UE-170033/UG-170034</w:t>
      </w:r>
    </w:p>
    <w:p w14:paraId="1F613B0B" w14:textId="77777777" w:rsidR="0014748E" w:rsidRDefault="0014748E" w:rsidP="007B3F13">
      <w:pPr>
        <w:tabs>
          <w:tab w:val="right" w:pos="9270"/>
        </w:tabs>
      </w:pPr>
      <w:r>
        <w:tab/>
        <w:t>2017 PSE GENERAL RATE CASE</w:t>
      </w:r>
    </w:p>
    <w:p w14:paraId="7022DCA0" w14:textId="77777777" w:rsidR="003662C6" w:rsidRDefault="007B3F13" w:rsidP="007B3F13">
      <w:pPr>
        <w:tabs>
          <w:tab w:val="right" w:pos="9270"/>
        </w:tabs>
      </w:pPr>
      <w:r>
        <w:tab/>
      </w:r>
      <w:r w:rsidR="003662C6">
        <w:t>WITNESS:</w:t>
      </w:r>
      <w:r w:rsidR="0014748E">
        <w:t xml:space="preserve"> </w:t>
      </w:r>
      <w:r w:rsidR="00FE31FB">
        <w:t xml:space="preserve"> </w:t>
      </w:r>
      <w:r w:rsidR="0014748E">
        <w:t>AMANDA M. LEVIN</w:t>
      </w:r>
    </w:p>
    <w:p w14:paraId="0476D8D8" w14:textId="77777777" w:rsidR="005B0BEE" w:rsidRDefault="005B0BEE" w:rsidP="005B0BEE"/>
    <w:p w14:paraId="5E698D8A" w14:textId="77777777" w:rsidR="005B0BEE" w:rsidRDefault="005B0BEE" w:rsidP="005B0BEE"/>
    <w:p w14:paraId="1267D462" w14:textId="77777777" w:rsidR="005B0BEE" w:rsidRDefault="005B0BEE" w:rsidP="005B0BEE"/>
    <w:p w14:paraId="344B60A2" w14:textId="77777777" w:rsidR="00050D85" w:rsidRDefault="00050D85" w:rsidP="005B0BEE"/>
    <w:p w14:paraId="4AC7070F" w14:textId="77777777" w:rsidR="007B3F13" w:rsidRDefault="007B3F13" w:rsidP="005B0BEE"/>
    <w:p w14:paraId="5066ACFB" w14:textId="77777777" w:rsidR="005B0BEE" w:rsidRDefault="005B0BEE" w:rsidP="005B0BEE">
      <w:pPr>
        <w:jc w:val="center"/>
      </w:pPr>
      <w:r>
        <w:t>BEFORE THE WASHINGTON</w:t>
      </w:r>
    </w:p>
    <w:p w14:paraId="0E06ED8E" w14:textId="77777777" w:rsidR="005B0BEE" w:rsidRDefault="005B0BEE" w:rsidP="005B0BEE">
      <w:pPr>
        <w:jc w:val="center"/>
      </w:pPr>
      <w:r>
        <w:t>UTILITIES AND TRANSPORTATION COMMISSION</w:t>
      </w:r>
    </w:p>
    <w:p w14:paraId="3AD4284B" w14:textId="77777777" w:rsidR="005B0BEE" w:rsidRDefault="005B0BEE" w:rsidP="005B0BEE"/>
    <w:p w14:paraId="781A9890" w14:textId="77777777" w:rsidR="004D1603" w:rsidRDefault="004D1603" w:rsidP="005B0BEE"/>
    <w:tbl>
      <w:tblPr>
        <w:tblW w:w="9363" w:type="dxa"/>
        <w:tblInd w:w="8" w:type="dxa"/>
        <w:tblLayout w:type="fixed"/>
        <w:tblCellMar>
          <w:left w:w="0" w:type="dxa"/>
          <w:right w:w="0" w:type="dxa"/>
        </w:tblCellMar>
        <w:tblLook w:val="0000" w:firstRow="0" w:lastRow="0" w:firstColumn="0" w:lastColumn="0" w:noHBand="0" w:noVBand="0"/>
      </w:tblPr>
      <w:tblGrid>
        <w:gridCol w:w="4492"/>
        <w:gridCol w:w="270"/>
        <w:gridCol w:w="4601"/>
      </w:tblGrid>
      <w:tr w:rsidR="005B0BEE" w14:paraId="20524331" w14:textId="77777777" w:rsidTr="0014748E">
        <w:tc>
          <w:tcPr>
            <w:tcW w:w="4492" w:type="dxa"/>
            <w:tcBorders>
              <w:bottom w:val="single" w:sz="4" w:space="0" w:color="auto"/>
              <w:right w:val="single" w:sz="4" w:space="0" w:color="auto"/>
            </w:tcBorders>
          </w:tcPr>
          <w:p w14:paraId="2F5BCBEB" w14:textId="77777777" w:rsidR="009533DA" w:rsidRDefault="0014748E" w:rsidP="0014748E">
            <w:pPr>
              <w:widowControl/>
              <w:rPr>
                <w:rFonts w:eastAsiaTheme="minorHAnsi" w:cstheme="minorBidi"/>
                <w:szCs w:val="24"/>
              </w:rPr>
            </w:pPr>
            <w:r>
              <w:rPr>
                <w:rFonts w:eastAsiaTheme="minorHAnsi" w:cstheme="minorBidi"/>
                <w:szCs w:val="24"/>
              </w:rPr>
              <w:t>WASHINGTON UTILITES AND TRANSPORTATION COMMISSION,</w:t>
            </w:r>
          </w:p>
          <w:p w14:paraId="6FAAB6BB" w14:textId="77777777" w:rsidR="0014748E" w:rsidRDefault="0014748E" w:rsidP="0014748E">
            <w:pPr>
              <w:widowControl/>
              <w:rPr>
                <w:rFonts w:eastAsiaTheme="minorHAnsi" w:cstheme="minorBidi"/>
                <w:szCs w:val="24"/>
              </w:rPr>
            </w:pPr>
          </w:p>
          <w:p w14:paraId="03312544" w14:textId="77777777" w:rsidR="0014748E" w:rsidRPr="009533DA" w:rsidRDefault="0014748E" w:rsidP="0014748E">
            <w:pPr>
              <w:widowControl/>
              <w:ind w:left="2152"/>
              <w:rPr>
                <w:rFonts w:eastAsiaTheme="minorHAnsi" w:cstheme="minorBidi"/>
                <w:szCs w:val="24"/>
              </w:rPr>
            </w:pPr>
            <w:r>
              <w:rPr>
                <w:rFonts w:eastAsiaTheme="minorHAnsi" w:cstheme="minorBidi"/>
                <w:szCs w:val="24"/>
              </w:rPr>
              <w:t>Complainant,</w:t>
            </w:r>
          </w:p>
          <w:p w14:paraId="0F6F429A" w14:textId="77777777" w:rsidR="009533DA" w:rsidRDefault="009533DA" w:rsidP="009533DA">
            <w:pPr>
              <w:widowControl/>
              <w:rPr>
                <w:rFonts w:eastAsiaTheme="minorHAnsi" w:cstheme="minorBidi"/>
                <w:szCs w:val="24"/>
              </w:rPr>
            </w:pPr>
          </w:p>
          <w:p w14:paraId="3A5AB775" w14:textId="77777777" w:rsidR="0014748E" w:rsidRDefault="0014748E" w:rsidP="009533DA">
            <w:pPr>
              <w:widowControl/>
              <w:rPr>
                <w:rFonts w:eastAsiaTheme="minorHAnsi" w:cstheme="minorBidi"/>
                <w:szCs w:val="24"/>
              </w:rPr>
            </w:pPr>
            <w:r>
              <w:rPr>
                <w:rFonts w:eastAsiaTheme="minorHAnsi" w:cstheme="minorBidi"/>
                <w:szCs w:val="24"/>
              </w:rPr>
              <w:tab/>
              <w:t>v.</w:t>
            </w:r>
          </w:p>
          <w:p w14:paraId="453CE61C" w14:textId="77777777" w:rsidR="0014748E" w:rsidRDefault="0014748E" w:rsidP="009533DA">
            <w:pPr>
              <w:widowControl/>
              <w:rPr>
                <w:rFonts w:eastAsiaTheme="minorHAnsi" w:cstheme="minorBidi"/>
                <w:szCs w:val="24"/>
              </w:rPr>
            </w:pPr>
          </w:p>
          <w:p w14:paraId="4C549B82" w14:textId="77777777" w:rsidR="0014748E" w:rsidRPr="009533DA" w:rsidRDefault="0014748E" w:rsidP="009533DA">
            <w:pPr>
              <w:widowControl/>
              <w:rPr>
                <w:rFonts w:eastAsiaTheme="minorHAnsi" w:cstheme="minorBidi"/>
                <w:szCs w:val="24"/>
              </w:rPr>
            </w:pPr>
            <w:r>
              <w:rPr>
                <w:rFonts w:eastAsiaTheme="minorHAnsi" w:cstheme="minorBidi"/>
                <w:szCs w:val="24"/>
              </w:rPr>
              <w:t>PUGET SOUND ENERGY,</w:t>
            </w:r>
          </w:p>
          <w:p w14:paraId="64DEB42C" w14:textId="77777777" w:rsidR="009533DA" w:rsidRDefault="009533DA" w:rsidP="009533DA">
            <w:pPr>
              <w:widowControl/>
              <w:rPr>
                <w:rFonts w:eastAsiaTheme="minorHAnsi" w:cstheme="minorBidi"/>
                <w:szCs w:val="24"/>
              </w:rPr>
            </w:pPr>
          </w:p>
          <w:p w14:paraId="4EB2F60B" w14:textId="77777777" w:rsidR="0014748E" w:rsidRPr="009533DA" w:rsidRDefault="0014748E" w:rsidP="0014748E">
            <w:pPr>
              <w:widowControl/>
              <w:ind w:left="2152"/>
              <w:rPr>
                <w:rFonts w:eastAsiaTheme="minorHAnsi" w:cstheme="minorBidi"/>
                <w:szCs w:val="24"/>
              </w:rPr>
            </w:pPr>
            <w:r>
              <w:rPr>
                <w:rFonts w:eastAsiaTheme="minorHAnsi" w:cstheme="minorBidi"/>
                <w:szCs w:val="24"/>
              </w:rPr>
              <w:t>Respondent.</w:t>
            </w:r>
          </w:p>
          <w:p w14:paraId="4295D9B7" w14:textId="77777777" w:rsidR="005B0BEE" w:rsidRDefault="005B0BEE" w:rsidP="003C3A3F"/>
        </w:tc>
        <w:tc>
          <w:tcPr>
            <w:tcW w:w="270" w:type="dxa"/>
            <w:tcBorders>
              <w:left w:val="single" w:sz="4" w:space="0" w:color="auto"/>
            </w:tcBorders>
          </w:tcPr>
          <w:p w14:paraId="09CE1388" w14:textId="77777777" w:rsidR="005B0BEE" w:rsidRDefault="005B0BEE" w:rsidP="003C3A3F">
            <w:pPr>
              <w:pStyle w:val="SingleSpacing"/>
            </w:pPr>
          </w:p>
        </w:tc>
        <w:tc>
          <w:tcPr>
            <w:tcW w:w="4601" w:type="dxa"/>
          </w:tcPr>
          <w:p w14:paraId="41CFF7E9" w14:textId="77777777" w:rsidR="005B0BEE" w:rsidRDefault="005B0BEE" w:rsidP="003C3A3F">
            <w:pPr>
              <w:ind w:right="183"/>
            </w:pPr>
            <w:r>
              <w:t xml:space="preserve">DOCKET NOS. </w:t>
            </w:r>
            <w:r w:rsidR="0014748E">
              <w:t>UE-170033</w:t>
            </w:r>
          </w:p>
          <w:p w14:paraId="626685A0" w14:textId="77777777" w:rsidR="005B0BEE" w:rsidRDefault="005B0BEE" w:rsidP="003C3A3F">
            <w:pPr>
              <w:ind w:right="183"/>
            </w:pPr>
            <w:r>
              <w:t>and UG-</w:t>
            </w:r>
            <w:r w:rsidR="0014748E">
              <w:t xml:space="preserve">170034 </w:t>
            </w:r>
            <w:r>
              <w:t>(</w:t>
            </w:r>
            <w:r>
              <w:rPr>
                <w:i/>
              </w:rPr>
              <w:t>Consolidated)</w:t>
            </w:r>
          </w:p>
          <w:p w14:paraId="12213F1E" w14:textId="77777777" w:rsidR="005B0BEE" w:rsidRDefault="005B0BEE" w:rsidP="003C3A3F">
            <w:pPr>
              <w:ind w:right="183"/>
            </w:pPr>
          </w:p>
          <w:p w14:paraId="207F1C45" w14:textId="77777777" w:rsidR="005B0BEE" w:rsidRDefault="005B0BEE" w:rsidP="003C3A3F"/>
          <w:p w14:paraId="476C49A6" w14:textId="77777777" w:rsidR="005B0BEE" w:rsidRDefault="005B0BEE" w:rsidP="003C3A3F"/>
        </w:tc>
      </w:tr>
    </w:tbl>
    <w:p w14:paraId="0EE87922" w14:textId="77777777" w:rsidR="005B0BEE" w:rsidRDefault="005B0BEE" w:rsidP="005B0BEE">
      <w:pPr>
        <w:pStyle w:val="BodyText"/>
      </w:pPr>
    </w:p>
    <w:p w14:paraId="077BC806" w14:textId="77777777" w:rsidR="00C11E06" w:rsidRDefault="00C11E06" w:rsidP="004D1603">
      <w:pPr>
        <w:pStyle w:val="BodyText"/>
      </w:pPr>
    </w:p>
    <w:p w14:paraId="32B54A46" w14:textId="77777777" w:rsidR="003662C6" w:rsidRDefault="003662C6" w:rsidP="004D1603">
      <w:pPr>
        <w:pStyle w:val="BodyText"/>
      </w:pPr>
    </w:p>
    <w:p w14:paraId="6FEF2CD4" w14:textId="4F84D566" w:rsidR="003662C6" w:rsidRDefault="00EC0C3A" w:rsidP="00EB7D06">
      <w:pPr>
        <w:pStyle w:val="BodyText"/>
        <w:jc w:val="center"/>
      </w:pPr>
      <w:r>
        <w:t xml:space="preserve">CROSS-ANSWERING </w:t>
      </w:r>
      <w:r w:rsidR="00EB7D06">
        <w:t xml:space="preserve">TESTIMONY (NON-CONFIDENTIAL) </w:t>
      </w:r>
      <w:r w:rsidR="003662C6">
        <w:t>OF</w:t>
      </w:r>
    </w:p>
    <w:p w14:paraId="4597B335" w14:textId="77777777" w:rsidR="003662C6" w:rsidRDefault="0086403E" w:rsidP="003662C6">
      <w:pPr>
        <w:pStyle w:val="BodyText"/>
        <w:jc w:val="center"/>
      </w:pPr>
      <w:r>
        <w:t>AMANDA M. LEVIN</w:t>
      </w:r>
    </w:p>
    <w:p w14:paraId="67C2CB33" w14:textId="547A0367" w:rsidR="003662C6" w:rsidRDefault="003662C6" w:rsidP="003662C6">
      <w:pPr>
        <w:pStyle w:val="BodyText"/>
        <w:jc w:val="center"/>
      </w:pPr>
      <w:r>
        <w:t>ON BEHALF OF N</w:t>
      </w:r>
      <w:r w:rsidR="00255F4C">
        <w:t>ORTH</w:t>
      </w:r>
      <w:r>
        <w:t>W</w:t>
      </w:r>
      <w:r w:rsidR="00255F4C">
        <w:t>EST</w:t>
      </w:r>
      <w:r>
        <w:t xml:space="preserve"> ENERGY COALITION</w:t>
      </w:r>
      <w:r w:rsidR="00122564">
        <w:t>,</w:t>
      </w:r>
      <w:r w:rsidR="00122564" w:rsidRPr="00122564">
        <w:rPr>
          <w:szCs w:val="28"/>
        </w:rPr>
        <w:t xml:space="preserve"> </w:t>
      </w:r>
      <w:r w:rsidR="00122564" w:rsidRPr="00122564">
        <w:t>REN</w:t>
      </w:r>
      <w:r w:rsidR="00122564">
        <w:t>E</w:t>
      </w:r>
      <w:r w:rsidR="00122564" w:rsidRPr="00122564">
        <w:t>WABLE NORTHWEST, AND NATURAL RESOURCES DEFENSE COUNCIL</w:t>
      </w:r>
    </w:p>
    <w:p w14:paraId="36FA404A" w14:textId="77777777" w:rsidR="003662C6" w:rsidRDefault="003662C6" w:rsidP="003662C6"/>
    <w:p w14:paraId="39812BC7" w14:textId="77777777" w:rsidR="003662C6" w:rsidRDefault="003662C6" w:rsidP="003662C6"/>
    <w:p w14:paraId="2B79436A" w14:textId="77777777" w:rsidR="003662C6" w:rsidRDefault="003662C6" w:rsidP="003662C6"/>
    <w:p w14:paraId="661C1658" w14:textId="77777777" w:rsidR="00BA3005" w:rsidRDefault="00BA3005" w:rsidP="003662C6"/>
    <w:p w14:paraId="5E9209D4" w14:textId="77777777" w:rsidR="003662C6" w:rsidRDefault="003662C6" w:rsidP="003662C6"/>
    <w:p w14:paraId="238FFE62" w14:textId="1EB1E6A4" w:rsidR="003662C6" w:rsidRDefault="003E335F" w:rsidP="003662C6">
      <w:pPr>
        <w:pStyle w:val="BodyText"/>
        <w:jc w:val="center"/>
      </w:pPr>
      <w:r>
        <w:t>August 9</w:t>
      </w:r>
      <w:r w:rsidR="0086403E">
        <w:t>, 2017</w:t>
      </w:r>
    </w:p>
    <w:p w14:paraId="661EAC72" w14:textId="77777777" w:rsidR="003662C6" w:rsidRDefault="003662C6" w:rsidP="003662C6"/>
    <w:p w14:paraId="41CA901E" w14:textId="77777777" w:rsidR="003662C6" w:rsidRDefault="003662C6" w:rsidP="003662C6">
      <w:pPr>
        <w:sectPr w:rsidR="003662C6" w:rsidSect="003662C6">
          <w:pgSz w:w="12240" w:h="15840" w:code="1"/>
          <w:pgMar w:top="1440" w:right="1440" w:bottom="1440" w:left="1440" w:header="720" w:footer="432" w:gutter="0"/>
          <w:paperSrc w:first="275" w:other="275"/>
          <w:pgNumType w:start="1"/>
          <w:cols w:space="720"/>
        </w:sectPr>
      </w:pPr>
    </w:p>
    <w:p w14:paraId="1307AEA9" w14:textId="77777777" w:rsidR="003662C6" w:rsidRDefault="00DA6899" w:rsidP="00DA6899">
      <w:pPr>
        <w:pStyle w:val="BodyText"/>
        <w:jc w:val="center"/>
      </w:pPr>
      <w:r>
        <w:lastRenderedPageBreak/>
        <w:t>TABLE OF CONTENTS</w:t>
      </w:r>
    </w:p>
    <w:p w14:paraId="01A58443" w14:textId="19B297D8" w:rsidR="008E50C9" w:rsidRDefault="00A16DB7">
      <w:pPr>
        <w:pStyle w:val="TOC2"/>
        <w:rPr>
          <w:rFonts w:asciiTheme="minorHAnsi" w:eastAsiaTheme="minorEastAsia" w:hAnsiTheme="minorHAnsi" w:cstheme="minorBidi"/>
          <w:caps w:val="0"/>
          <w:sz w:val="22"/>
          <w:szCs w:val="22"/>
        </w:rPr>
      </w:pPr>
      <w:r>
        <w:fldChar w:fldCharType="begin"/>
      </w:r>
      <w:r>
        <w:instrText xml:space="preserve"> TOC \o "1-2" \h \z \u </w:instrText>
      </w:r>
      <w:r>
        <w:fldChar w:fldCharType="separate"/>
      </w:r>
      <w:hyperlink w:anchor="_Toc489609443" w:history="1">
        <w:r w:rsidR="008E50C9" w:rsidRPr="009B4ED7">
          <w:rPr>
            <w:rStyle w:val="Hyperlink"/>
          </w:rPr>
          <w:t>I.</w:t>
        </w:r>
        <w:r w:rsidR="008E50C9">
          <w:rPr>
            <w:rFonts w:asciiTheme="minorHAnsi" w:eastAsiaTheme="minorEastAsia" w:hAnsiTheme="minorHAnsi" w:cstheme="minorBidi"/>
            <w:caps w:val="0"/>
            <w:sz w:val="22"/>
            <w:szCs w:val="22"/>
          </w:rPr>
          <w:tab/>
        </w:r>
        <w:r w:rsidR="008E50C9" w:rsidRPr="009B4ED7">
          <w:rPr>
            <w:rStyle w:val="Hyperlink"/>
          </w:rPr>
          <w:t>INTRODUCTION</w:t>
        </w:r>
        <w:r w:rsidR="008E50C9">
          <w:rPr>
            <w:webHidden/>
          </w:rPr>
          <w:tab/>
        </w:r>
        <w:r w:rsidR="008E50C9">
          <w:rPr>
            <w:webHidden/>
          </w:rPr>
          <w:fldChar w:fldCharType="begin"/>
        </w:r>
        <w:r w:rsidR="008E50C9">
          <w:rPr>
            <w:webHidden/>
          </w:rPr>
          <w:instrText xml:space="preserve"> PAGEREF _Toc489609443 \h </w:instrText>
        </w:r>
        <w:r w:rsidR="008E50C9">
          <w:rPr>
            <w:webHidden/>
          </w:rPr>
        </w:r>
        <w:r w:rsidR="008E50C9">
          <w:rPr>
            <w:webHidden/>
          </w:rPr>
          <w:fldChar w:fldCharType="separate"/>
        </w:r>
        <w:r w:rsidR="00DD72B8">
          <w:rPr>
            <w:webHidden/>
          </w:rPr>
          <w:t>1</w:t>
        </w:r>
        <w:r w:rsidR="008E50C9">
          <w:rPr>
            <w:webHidden/>
          </w:rPr>
          <w:fldChar w:fldCharType="end"/>
        </w:r>
      </w:hyperlink>
    </w:p>
    <w:p w14:paraId="45CFB197" w14:textId="019A7552" w:rsidR="008E50C9" w:rsidRDefault="00DD72B8">
      <w:pPr>
        <w:pStyle w:val="TOC2"/>
        <w:rPr>
          <w:rFonts w:asciiTheme="minorHAnsi" w:eastAsiaTheme="minorEastAsia" w:hAnsiTheme="minorHAnsi" w:cstheme="minorBidi"/>
          <w:caps w:val="0"/>
          <w:sz w:val="22"/>
          <w:szCs w:val="22"/>
        </w:rPr>
      </w:pPr>
      <w:hyperlink w:anchor="_Toc489609444" w:history="1">
        <w:r w:rsidR="008E50C9" w:rsidRPr="009B4ED7">
          <w:rPr>
            <w:rStyle w:val="Hyperlink"/>
            <w:rFonts w:eastAsia="SimSun"/>
          </w:rPr>
          <w:t>II.</w:t>
        </w:r>
        <w:r w:rsidR="008E50C9">
          <w:rPr>
            <w:rFonts w:asciiTheme="minorHAnsi" w:eastAsiaTheme="minorEastAsia" w:hAnsiTheme="minorHAnsi" w:cstheme="minorBidi"/>
            <w:caps w:val="0"/>
            <w:sz w:val="22"/>
            <w:szCs w:val="22"/>
          </w:rPr>
          <w:tab/>
        </w:r>
        <w:r w:rsidR="008E50C9" w:rsidRPr="009B4ED7">
          <w:rPr>
            <w:rStyle w:val="Hyperlink"/>
            <w:rFonts w:eastAsia="SimSun"/>
          </w:rPr>
          <w:t>BASIC CHARGE ISSUES</w:t>
        </w:r>
        <w:r w:rsidR="008E50C9">
          <w:rPr>
            <w:webHidden/>
          </w:rPr>
          <w:tab/>
        </w:r>
        <w:r w:rsidR="008E50C9">
          <w:rPr>
            <w:webHidden/>
          </w:rPr>
          <w:fldChar w:fldCharType="begin"/>
        </w:r>
        <w:r w:rsidR="008E50C9">
          <w:rPr>
            <w:webHidden/>
          </w:rPr>
          <w:instrText xml:space="preserve"> PAGEREF _Toc489609444 \h </w:instrText>
        </w:r>
        <w:r w:rsidR="008E50C9">
          <w:rPr>
            <w:webHidden/>
          </w:rPr>
        </w:r>
        <w:r w:rsidR="008E50C9">
          <w:rPr>
            <w:webHidden/>
          </w:rPr>
          <w:fldChar w:fldCharType="separate"/>
        </w:r>
        <w:r>
          <w:rPr>
            <w:webHidden/>
          </w:rPr>
          <w:t>1</w:t>
        </w:r>
        <w:r w:rsidR="008E50C9">
          <w:rPr>
            <w:webHidden/>
          </w:rPr>
          <w:fldChar w:fldCharType="end"/>
        </w:r>
      </w:hyperlink>
    </w:p>
    <w:p w14:paraId="4BDCD0FD" w14:textId="152A5059" w:rsidR="008E50C9" w:rsidRDefault="00DD72B8">
      <w:pPr>
        <w:pStyle w:val="TOC2"/>
        <w:rPr>
          <w:rFonts w:asciiTheme="minorHAnsi" w:eastAsiaTheme="minorEastAsia" w:hAnsiTheme="minorHAnsi" w:cstheme="minorBidi"/>
          <w:caps w:val="0"/>
          <w:sz w:val="22"/>
          <w:szCs w:val="22"/>
        </w:rPr>
      </w:pPr>
      <w:hyperlink w:anchor="_Toc489609445" w:history="1">
        <w:r w:rsidR="008E50C9" w:rsidRPr="009B4ED7">
          <w:rPr>
            <w:rStyle w:val="Hyperlink"/>
            <w:rFonts w:eastAsia="SimSun"/>
          </w:rPr>
          <w:t>III.</w:t>
        </w:r>
        <w:r w:rsidR="008E50C9">
          <w:rPr>
            <w:rFonts w:asciiTheme="minorHAnsi" w:eastAsiaTheme="minorEastAsia" w:hAnsiTheme="minorHAnsi" w:cstheme="minorBidi"/>
            <w:caps w:val="0"/>
            <w:sz w:val="22"/>
            <w:szCs w:val="22"/>
          </w:rPr>
          <w:tab/>
        </w:r>
        <w:r w:rsidR="008E50C9" w:rsidRPr="009B4ED7">
          <w:rPr>
            <w:rStyle w:val="Hyperlink"/>
          </w:rPr>
          <w:t xml:space="preserve">CoNTINUATION OF </w:t>
        </w:r>
        <w:r w:rsidR="008E50C9" w:rsidRPr="009B4ED7">
          <w:rPr>
            <w:rStyle w:val="Hyperlink"/>
            <w:rFonts w:eastAsia="SimSun"/>
          </w:rPr>
          <w:t>DECOUPLING MECHANISM</w:t>
        </w:r>
        <w:r w:rsidR="008E50C9">
          <w:rPr>
            <w:webHidden/>
          </w:rPr>
          <w:tab/>
        </w:r>
        <w:r w:rsidR="008E50C9">
          <w:rPr>
            <w:webHidden/>
          </w:rPr>
          <w:fldChar w:fldCharType="begin"/>
        </w:r>
        <w:r w:rsidR="008E50C9">
          <w:rPr>
            <w:webHidden/>
          </w:rPr>
          <w:instrText xml:space="preserve"> PAGEREF _Toc489609445 \h </w:instrText>
        </w:r>
        <w:r w:rsidR="008E50C9">
          <w:rPr>
            <w:webHidden/>
          </w:rPr>
        </w:r>
        <w:r w:rsidR="008E50C9">
          <w:rPr>
            <w:webHidden/>
          </w:rPr>
          <w:fldChar w:fldCharType="separate"/>
        </w:r>
        <w:r>
          <w:rPr>
            <w:webHidden/>
          </w:rPr>
          <w:t>4</w:t>
        </w:r>
        <w:r w:rsidR="008E50C9">
          <w:rPr>
            <w:webHidden/>
          </w:rPr>
          <w:fldChar w:fldCharType="end"/>
        </w:r>
      </w:hyperlink>
    </w:p>
    <w:p w14:paraId="714A44C3" w14:textId="562A11EB" w:rsidR="008E50C9" w:rsidRDefault="00DD72B8">
      <w:pPr>
        <w:pStyle w:val="TOC2"/>
        <w:rPr>
          <w:rFonts w:asciiTheme="minorHAnsi" w:eastAsiaTheme="minorEastAsia" w:hAnsiTheme="minorHAnsi" w:cstheme="minorBidi"/>
          <w:caps w:val="0"/>
          <w:sz w:val="22"/>
          <w:szCs w:val="22"/>
        </w:rPr>
      </w:pPr>
      <w:hyperlink w:anchor="_Toc489609446" w:history="1">
        <w:r w:rsidR="008E50C9" w:rsidRPr="009B4ED7">
          <w:rPr>
            <w:rStyle w:val="Hyperlink"/>
          </w:rPr>
          <w:t>IV.</w:t>
        </w:r>
        <w:r w:rsidR="008E50C9">
          <w:rPr>
            <w:rFonts w:asciiTheme="minorHAnsi" w:eastAsiaTheme="minorEastAsia" w:hAnsiTheme="minorHAnsi" w:cstheme="minorBidi"/>
            <w:caps w:val="0"/>
            <w:sz w:val="22"/>
            <w:szCs w:val="22"/>
          </w:rPr>
          <w:tab/>
        </w:r>
        <w:r w:rsidR="008E50C9" w:rsidRPr="009B4ED7">
          <w:rPr>
            <w:rStyle w:val="Hyperlink"/>
          </w:rPr>
          <w:t>RETURN ON EQUITY (“ROE”) ISSUES</w:t>
        </w:r>
        <w:r w:rsidR="008E50C9">
          <w:rPr>
            <w:webHidden/>
          </w:rPr>
          <w:tab/>
        </w:r>
        <w:r w:rsidR="008E50C9">
          <w:rPr>
            <w:webHidden/>
          </w:rPr>
          <w:fldChar w:fldCharType="begin"/>
        </w:r>
        <w:r w:rsidR="008E50C9">
          <w:rPr>
            <w:webHidden/>
          </w:rPr>
          <w:instrText xml:space="preserve"> PAGEREF _Toc489609446 \h </w:instrText>
        </w:r>
        <w:r w:rsidR="008E50C9">
          <w:rPr>
            <w:webHidden/>
          </w:rPr>
        </w:r>
        <w:r w:rsidR="008E50C9">
          <w:rPr>
            <w:webHidden/>
          </w:rPr>
          <w:fldChar w:fldCharType="separate"/>
        </w:r>
        <w:r>
          <w:rPr>
            <w:webHidden/>
          </w:rPr>
          <w:t>7</w:t>
        </w:r>
        <w:r w:rsidR="008E50C9">
          <w:rPr>
            <w:webHidden/>
          </w:rPr>
          <w:fldChar w:fldCharType="end"/>
        </w:r>
      </w:hyperlink>
    </w:p>
    <w:p w14:paraId="493CD849" w14:textId="01704ED2" w:rsidR="008E50C9" w:rsidRDefault="00DD72B8">
      <w:pPr>
        <w:pStyle w:val="TOC2"/>
        <w:rPr>
          <w:rFonts w:asciiTheme="minorHAnsi" w:eastAsiaTheme="minorEastAsia" w:hAnsiTheme="minorHAnsi" w:cstheme="minorBidi"/>
          <w:caps w:val="0"/>
          <w:sz w:val="22"/>
          <w:szCs w:val="22"/>
        </w:rPr>
      </w:pPr>
      <w:hyperlink w:anchor="_Toc489609447" w:history="1">
        <w:r w:rsidR="008E50C9" w:rsidRPr="009B4ED7">
          <w:rPr>
            <w:rStyle w:val="Hyperlink"/>
          </w:rPr>
          <w:t>IV.</w:t>
        </w:r>
        <w:r w:rsidR="008E50C9">
          <w:rPr>
            <w:rFonts w:asciiTheme="minorHAnsi" w:eastAsiaTheme="minorEastAsia" w:hAnsiTheme="minorHAnsi" w:cstheme="minorBidi"/>
            <w:caps w:val="0"/>
            <w:sz w:val="22"/>
            <w:szCs w:val="22"/>
          </w:rPr>
          <w:tab/>
        </w:r>
        <w:r w:rsidR="008E50C9" w:rsidRPr="009B4ED7">
          <w:rPr>
            <w:rStyle w:val="Hyperlink"/>
          </w:rPr>
          <w:t>dECOUPLING OF fIXED pOWER cOSTS</w:t>
        </w:r>
        <w:r w:rsidR="008E50C9">
          <w:rPr>
            <w:webHidden/>
          </w:rPr>
          <w:tab/>
        </w:r>
        <w:r w:rsidR="008E50C9">
          <w:rPr>
            <w:webHidden/>
          </w:rPr>
          <w:fldChar w:fldCharType="begin"/>
        </w:r>
        <w:r w:rsidR="008E50C9">
          <w:rPr>
            <w:webHidden/>
          </w:rPr>
          <w:instrText xml:space="preserve"> PAGEREF _Toc489609447 \h </w:instrText>
        </w:r>
        <w:r w:rsidR="008E50C9">
          <w:rPr>
            <w:webHidden/>
          </w:rPr>
        </w:r>
        <w:r w:rsidR="008E50C9">
          <w:rPr>
            <w:webHidden/>
          </w:rPr>
          <w:fldChar w:fldCharType="separate"/>
        </w:r>
        <w:r>
          <w:rPr>
            <w:webHidden/>
          </w:rPr>
          <w:t>8</w:t>
        </w:r>
        <w:r w:rsidR="008E50C9">
          <w:rPr>
            <w:webHidden/>
          </w:rPr>
          <w:fldChar w:fldCharType="end"/>
        </w:r>
      </w:hyperlink>
    </w:p>
    <w:p w14:paraId="3E4254A4" w14:textId="4EEBF3D8" w:rsidR="008E50C9" w:rsidRDefault="00DD72B8">
      <w:pPr>
        <w:pStyle w:val="TOC2"/>
        <w:rPr>
          <w:rFonts w:asciiTheme="minorHAnsi" w:eastAsiaTheme="minorEastAsia" w:hAnsiTheme="minorHAnsi" w:cstheme="minorBidi"/>
          <w:caps w:val="0"/>
          <w:sz w:val="22"/>
          <w:szCs w:val="22"/>
        </w:rPr>
      </w:pPr>
      <w:hyperlink w:anchor="_Toc489609448" w:history="1">
        <w:r w:rsidR="008E50C9" w:rsidRPr="009B4ED7">
          <w:rPr>
            <w:rStyle w:val="Hyperlink"/>
          </w:rPr>
          <w:t>V.</w:t>
        </w:r>
        <w:r w:rsidR="008E50C9">
          <w:rPr>
            <w:rFonts w:asciiTheme="minorHAnsi" w:eastAsiaTheme="minorEastAsia" w:hAnsiTheme="minorHAnsi" w:cstheme="minorBidi"/>
            <w:caps w:val="0"/>
            <w:sz w:val="22"/>
            <w:szCs w:val="22"/>
          </w:rPr>
          <w:tab/>
        </w:r>
        <w:r w:rsidR="008E50C9" w:rsidRPr="009B4ED7">
          <w:rPr>
            <w:rStyle w:val="Hyperlink"/>
          </w:rPr>
          <w:t>MiscellanEous Issues</w:t>
        </w:r>
        <w:r w:rsidR="008E50C9">
          <w:rPr>
            <w:webHidden/>
          </w:rPr>
          <w:tab/>
        </w:r>
        <w:r w:rsidR="008E50C9">
          <w:rPr>
            <w:webHidden/>
          </w:rPr>
          <w:fldChar w:fldCharType="begin"/>
        </w:r>
        <w:r w:rsidR="008E50C9">
          <w:rPr>
            <w:webHidden/>
          </w:rPr>
          <w:instrText xml:space="preserve"> PAGEREF _Toc489609448 \h </w:instrText>
        </w:r>
        <w:r w:rsidR="008E50C9">
          <w:rPr>
            <w:webHidden/>
          </w:rPr>
        </w:r>
        <w:r w:rsidR="008E50C9">
          <w:rPr>
            <w:webHidden/>
          </w:rPr>
          <w:fldChar w:fldCharType="separate"/>
        </w:r>
        <w:r>
          <w:rPr>
            <w:webHidden/>
          </w:rPr>
          <w:t>9</w:t>
        </w:r>
        <w:r w:rsidR="008E50C9">
          <w:rPr>
            <w:webHidden/>
          </w:rPr>
          <w:fldChar w:fldCharType="end"/>
        </w:r>
      </w:hyperlink>
    </w:p>
    <w:p w14:paraId="5BE1AF35" w14:textId="03A23A5C" w:rsidR="00DA6899" w:rsidRDefault="00A16DB7" w:rsidP="00050D85">
      <w:pPr>
        <w:pStyle w:val="BodyText"/>
      </w:pPr>
      <w:r>
        <w:fldChar w:fldCharType="end"/>
      </w:r>
    </w:p>
    <w:p w14:paraId="7C0B71B9" w14:textId="77777777" w:rsidR="0086403E" w:rsidRDefault="0086403E" w:rsidP="00050D85">
      <w:pPr>
        <w:pStyle w:val="BodyText"/>
      </w:pPr>
    </w:p>
    <w:p w14:paraId="5E16AE81" w14:textId="77777777" w:rsidR="0086403E" w:rsidRDefault="0086403E">
      <w:pPr>
        <w:widowControl/>
      </w:pPr>
      <w:r>
        <w:br w:type="page"/>
      </w:r>
    </w:p>
    <w:p w14:paraId="27318513" w14:textId="77777777" w:rsidR="0086403E" w:rsidRDefault="0086403E" w:rsidP="0086403E">
      <w:pPr>
        <w:pStyle w:val="BodyText"/>
        <w:jc w:val="center"/>
      </w:pPr>
      <w:r>
        <w:lastRenderedPageBreak/>
        <w:t>EXHIBIT LIST</w:t>
      </w:r>
    </w:p>
    <w:p w14:paraId="2DC8B66E" w14:textId="5FCDAAEA" w:rsidR="00B6301E" w:rsidRDefault="00B6301E" w:rsidP="00B6301E">
      <w:pPr>
        <w:pStyle w:val="ListParagraph"/>
        <w:widowControl w:val="0"/>
        <w:spacing w:line="480" w:lineRule="auto"/>
        <w:ind w:left="1440" w:hanging="720"/>
        <w:contextualSpacing w:val="0"/>
        <w:rPr>
          <w:bCs/>
          <w:szCs w:val="24"/>
        </w:rPr>
      </w:pPr>
      <w:r>
        <w:rPr>
          <w:bCs/>
          <w:szCs w:val="24"/>
        </w:rPr>
        <w:t>AML-13T</w:t>
      </w:r>
      <w:r>
        <w:rPr>
          <w:bCs/>
          <w:szCs w:val="24"/>
        </w:rPr>
        <w:tab/>
      </w:r>
      <w:r w:rsidR="00EC0C3A">
        <w:rPr>
          <w:bCs/>
          <w:szCs w:val="24"/>
        </w:rPr>
        <w:t xml:space="preserve">Cross-Answering </w:t>
      </w:r>
      <w:r w:rsidR="0086403E" w:rsidRPr="00E34586">
        <w:rPr>
          <w:bCs/>
          <w:szCs w:val="24"/>
        </w:rPr>
        <w:t>Testimony (Non</w:t>
      </w:r>
      <w:r w:rsidR="008E50C9">
        <w:rPr>
          <w:bCs/>
          <w:szCs w:val="24"/>
        </w:rPr>
        <w:t>-C</w:t>
      </w:r>
      <w:r w:rsidR="0086403E" w:rsidRPr="00E34586">
        <w:rPr>
          <w:bCs/>
          <w:szCs w:val="24"/>
        </w:rPr>
        <w:t>onfidential) of Amanda M. Levin</w:t>
      </w:r>
    </w:p>
    <w:p w14:paraId="28801A36" w14:textId="19863E55" w:rsidR="00B6301E" w:rsidRDefault="00B6301E" w:rsidP="00B6301E">
      <w:pPr>
        <w:pStyle w:val="ListParagraph"/>
        <w:widowControl w:val="0"/>
        <w:spacing w:line="480" w:lineRule="auto"/>
        <w:ind w:left="1440" w:hanging="720"/>
        <w:contextualSpacing w:val="0"/>
        <w:rPr>
          <w:bCs/>
          <w:szCs w:val="24"/>
        </w:rPr>
      </w:pPr>
      <w:r>
        <w:t>AML-14</w:t>
      </w:r>
      <w:r>
        <w:tab/>
      </w:r>
      <w:r w:rsidR="00842B72">
        <w:t>FEA Response to NWEC-RNW-NRDC Data Request No. 001</w:t>
      </w:r>
    </w:p>
    <w:p w14:paraId="10B0FCDB" w14:textId="6A30A642" w:rsidR="00194E5E" w:rsidRDefault="00B6301E" w:rsidP="00B6301E">
      <w:pPr>
        <w:pStyle w:val="ListParagraph"/>
        <w:widowControl w:val="0"/>
        <w:spacing w:line="480" w:lineRule="auto"/>
        <w:ind w:left="1440" w:hanging="720"/>
        <w:contextualSpacing w:val="0"/>
      </w:pPr>
      <w:r>
        <w:t>AML-15</w:t>
      </w:r>
      <w:r>
        <w:tab/>
      </w:r>
      <w:r w:rsidR="00194E5E">
        <w:t>FEA Response to NWEC-RNW-NRDC Data Request No. 003</w:t>
      </w:r>
    </w:p>
    <w:p w14:paraId="67672AFC" w14:textId="0FE7E7BF" w:rsidR="005D735D" w:rsidRDefault="005D735D" w:rsidP="005D735D">
      <w:pPr>
        <w:pStyle w:val="ListParagraph"/>
        <w:widowControl w:val="0"/>
        <w:spacing w:after="240" w:line="240" w:lineRule="auto"/>
        <w:ind w:left="2160" w:hanging="1440"/>
        <w:contextualSpacing w:val="0"/>
      </w:pPr>
      <w:r>
        <w:t>AML-16</w:t>
      </w:r>
      <w:r>
        <w:tab/>
      </w:r>
      <w:r w:rsidRPr="005D735D">
        <w:t xml:space="preserve">Direct Testimony of Paul </w:t>
      </w:r>
      <w:proofErr w:type="spellStart"/>
      <w:r w:rsidRPr="005D735D">
        <w:t>Chernick</w:t>
      </w:r>
      <w:proofErr w:type="spellEnd"/>
      <w:r w:rsidRPr="005D735D">
        <w:t xml:space="preserve">, Case. No. 16-1852-EL-SSO </w:t>
      </w:r>
      <w:r>
        <w:t>(</w:t>
      </w:r>
      <w:r w:rsidRPr="005D735D">
        <w:t>May 2, 2017</w:t>
      </w:r>
      <w:r>
        <w:t>),</w:t>
      </w:r>
      <w:r w:rsidRPr="005D735D">
        <w:t xml:space="preserve"> Public Utilities Council of Ohio (PUCO)</w:t>
      </w:r>
    </w:p>
    <w:p w14:paraId="2AE94196" w14:textId="6FB65603" w:rsidR="005D735D" w:rsidRDefault="005D735D" w:rsidP="005D735D">
      <w:pPr>
        <w:pStyle w:val="ListParagraph"/>
        <w:widowControl w:val="0"/>
        <w:spacing w:after="240" w:line="240" w:lineRule="auto"/>
        <w:ind w:left="2160" w:hanging="1440"/>
        <w:contextualSpacing w:val="0"/>
      </w:pPr>
      <w:r>
        <w:t>AML-17</w:t>
      </w:r>
      <w:r>
        <w:tab/>
      </w:r>
      <w:r w:rsidRPr="005D735D">
        <w:t>Rebuttal Testimony (Non-Confidential) of Ralph C. Cavanagh</w:t>
      </w:r>
      <w:r>
        <w:t>, Docket No. UE-121697</w:t>
      </w:r>
    </w:p>
    <w:p w14:paraId="175BEE64" w14:textId="07D09490" w:rsidR="005D735D" w:rsidRDefault="005D735D" w:rsidP="005D735D">
      <w:pPr>
        <w:pStyle w:val="ListParagraph"/>
        <w:widowControl w:val="0"/>
        <w:spacing w:after="240" w:line="240" w:lineRule="auto"/>
        <w:ind w:left="2160" w:hanging="1440"/>
        <w:contextualSpacing w:val="0"/>
      </w:pPr>
      <w:r>
        <w:t>AML-18</w:t>
      </w:r>
      <w:r>
        <w:tab/>
      </w:r>
      <w:r w:rsidRPr="005D735D">
        <w:t xml:space="preserve">Morgan, Pamela, “A Decade of Decoupling for US Energy Utilities: Rate Impacts, Designs, and Observations” </w:t>
      </w:r>
      <w:r>
        <w:t>(</w:t>
      </w:r>
      <w:r w:rsidRPr="005D735D">
        <w:t>November 2012</w:t>
      </w:r>
      <w:r>
        <w:t>)</w:t>
      </w:r>
    </w:p>
    <w:p w14:paraId="5640F9B1" w14:textId="337AB5FD" w:rsidR="005D735D" w:rsidRPr="00E34586" w:rsidRDefault="005D735D" w:rsidP="005D735D">
      <w:pPr>
        <w:pStyle w:val="ListParagraph"/>
        <w:widowControl w:val="0"/>
        <w:spacing w:after="240" w:line="240" w:lineRule="auto"/>
        <w:ind w:left="2160" w:hanging="1440"/>
        <w:contextualSpacing w:val="0"/>
        <w:rPr>
          <w:bCs/>
          <w:szCs w:val="24"/>
        </w:rPr>
      </w:pPr>
      <w:r>
        <w:t>AML-19</w:t>
      </w:r>
      <w:r>
        <w:tab/>
      </w:r>
      <w:proofErr w:type="spellStart"/>
      <w:r w:rsidRPr="005D735D">
        <w:t>Vilbert</w:t>
      </w:r>
      <w:proofErr w:type="spellEnd"/>
      <w:r w:rsidRPr="005D735D">
        <w:t>, Michael, Joseph B. Wharton, Charles Gibbons, Melanie Rosenberg, and Yang Wei Neo</w:t>
      </w:r>
      <w:r>
        <w:t>,</w:t>
      </w:r>
      <w:r w:rsidRPr="005D735D">
        <w:t xml:space="preserve"> “The impact of revenue decoupling on the cost of capital for electric utilities: an empirical investigation</w:t>
      </w:r>
      <w:r>
        <w:t>,</w:t>
      </w:r>
      <w:r w:rsidRPr="005D735D">
        <w:t xml:space="preserve">” </w:t>
      </w:r>
      <w:r w:rsidRPr="005D735D">
        <w:rPr>
          <w:smallCaps/>
        </w:rPr>
        <w:t>Brattle Group</w:t>
      </w:r>
      <w:r w:rsidRPr="005D735D">
        <w:t>, Prepared for The Energy Foundation (2014)</w:t>
      </w:r>
    </w:p>
    <w:p w14:paraId="7F17610E" w14:textId="77777777" w:rsidR="0086403E" w:rsidRDefault="0086403E" w:rsidP="0086403E">
      <w:pPr>
        <w:pStyle w:val="BodyText"/>
      </w:pPr>
    </w:p>
    <w:p w14:paraId="3EF3473A" w14:textId="77777777" w:rsidR="00DA6899" w:rsidRDefault="00DA6899" w:rsidP="00050D85">
      <w:pPr>
        <w:pStyle w:val="BodyText"/>
      </w:pPr>
    </w:p>
    <w:p w14:paraId="160060B4" w14:textId="77777777" w:rsidR="00DA6899" w:rsidRDefault="00DA6899" w:rsidP="00050D85">
      <w:pPr>
        <w:pStyle w:val="BodyText"/>
        <w:sectPr w:rsidR="00DA6899" w:rsidSect="00DA6899">
          <w:headerReference w:type="default" r:id="rId8"/>
          <w:footerReference w:type="default" r:id="rId9"/>
          <w:pgSz w:w="12240" w:h="15840" w:code="1"/>
          <w:pgMar w:top="1440" w:right="1440" w:bottom="1440" w:left="1440" w:header="720" w:footer="432" w:gutter="0"/>
          <w:paperSrc w:first="275" w:other="275"/>
          <w:pgNumType w:fmt="lowerRoman" w:start="1"/>
          <w:cols w:space="720"/>
        </w:sectPr>
      </w:pPr>
    </w:p>
    <w:p w14:paraId="278A8AB2" w14:textId="77777777" w:rsidR="00DA6899" w:rsidRDefault="00486CAE" w:rsidP="006062B7">
      <w:pPr>
        <w:pStyle w:val="Heading2"/>
      </w:pPr>
      <w:bookmarkStart w:id="0" w:name="_Toc489609443"/>
      <w:r>
        <w:lastRenderedPageBreak/>
        <w:t>INTRODUCTION</w:t>
      </w:r>
      <w:bookmarkEnd w:id="0"/>
    </w:p>
    <w:p w14:paraId="4AE2EE8F" w14:textId="58161486" w:rsidR="003E335F" w:rsidRDefault="003E335F" w:rsidP="00B6301E">
      <w:pPr>
        <w:pStyle w:val="BodyText"/>
        <w:ind w:left="720" w:hanging="720"/>
        <w:rPr>
          <w:b/>
        </w:rPr>
      </w:pPr>
      <w:bookmarkStart w:id="1" w:name="_Toc314431234"/>
      <w:r>
        <w:rPr>
          <w:b/>
        </w:rPr>
        <w:t>Q.</w:t>
      </w:r>
      <w:r>
        <w:rPr>
          <w:b/>
        </w:rPr>
        <w:tab/>
        <w:t xml:space="preserve">Are you the same Amanda M. Levin who provided in this proceeding </w:t>
      </w:r>
      <w:proofErr w:type="spellStart"/>
      <w:r>
        <w:rPr>
          <w:b/>
        </w:rPr>
        <w:t>Prefiled</w:t>
      </w:r>
      <w:proofErr w:type="spellEnd"/>
      <w:r>
        <w:rPr>
          <w:b/>
        </w:rPr>
        <w:t xml:space="preserve"> Direct Testimony, Exhibit No. ____ (AML-1T), and supporting exhibits on June 30, 201</w:t>
      </w:r>
      <w:r w:rsidR="008A2F27">
        <w:rPr>
          <w:b/>
        </w:rPr>
        <w:t>7</w:t>
      </w:r>
      <w:r>
        <w:rPr>
          <w:b/>
        </w:rPr>
        <w:t>, on behalf of the NW Energy Coalition (“the Coalition</w:t>
      </w:r>
      <w:r w:rsidR="008E50C9">
        <w:rPr>
          <w:b/>
        </w:rPr>
        <w:t>”</w:t>
      </w:r>
      <w:r>
        <w:rPr>
          <w:b/>
        </w:rPr>
        <w:t>)?</w:t>
      </w:r>
    </w:p>
    <w:p w14:paraId="7EE6BD56" w14:textId="6D5A35DA" w:rsidR="003E335F" w:rsidRDefault="003E335F" w:rsidP="003E335F">
      <w:pPr>
        <w:pStyle w:val="BodyText"/>
      </w:pPr>
      <w:r>
        <w:t>A.</w:t>
      </w:r>
      <w:r>
        <w:tab/>
        <w:t>Yes.</w:t>
      </w:r>
    </w:p>
    <w:bookmarkEnd w:id="1"/>
    <w:p w14:paraId="74FA80D4" w14:textId="381118BE" w:rsidR="003E335F" w:rsidRDefault="003E335F" w:rsidP="003E335F">
      <w:pPr>
        <w:pStyle w:val="BodyText"/>
        <w:rPr>
          <w:b/>
        </w:rPr>
      </w:pPr>
      <w:r>
        <w:rPr>
          <w:b/>
        </w:rPr>
        <w:t>Q.</w:t>
      </w:r>
      <w:r>
        <w:rPr>
          <w:b/>
        </w:rPr>
        <w:tab/>
        <w:t xml:space="preserve">What is the purpose of this </w:t>
      </w:r>
      <w:r w:rsidR="00EC0C3A">
        <w:rPr>
          <w:b/>
        </w:rPr>
        <w:t xml:space="preserve">cross-answering </w:t>
      </w:r>
      <w:r>
        <w:rPr>
          <w:b/>
        </w:rPr>
        <w:t>testimony?</w:t>
      </w:r>
    </w:p>
    <w:p w14:paraId="41A63C3D" w14:textId="65233BF2" w:rsidR="00486CAE" w:rsidRDefault="003E335F" w:rsidP="00B6301E">
      <w:pPr>
        <w:pStyle w:val="BodyText"/>
      </w:pPr>
      <w:r>
        <w:t>A.</w:t>
      </w:r>
      <w:r>
        <w:tab/>
      </w:r>
      <w:r w:rsidR="00B727FD">
        <w:t xml:space="preserve">First, I respond to proposals concerning the classification of customer-related costs for residential electric service raised by witnesses for both Staff and Public Counsel. </w:t>
      </w:r>
      <w:r w:rsidR="00CE19D8">
        <w:t xml:space="preserve"> </w:t>
      </w:r>
      <w:r w:rsidR="00B727FD">
        <w:t>From this, I respond t</w:t>
      </w:r>
      <w:r w:rsidR="00E4748D">
        <w:t>o Staff’s proposal to increase fixed</w:t>
      </w:r>
      <w:r w:rsidR="00B727FD">
        <w:t xml:space="preserve"> charge</w:t>
      </w:r>
      <w:r w:rsidR="00B124FA">
        <w:t>s</w:t>
      </w:r>
      <w:r w:rsidR="00B727FD">
        <w:t xml:space="preserve"> for residential electric customers and concur with Public Counsel’s recommendation </w:t>
      </w:r>
      <w:r w:rsidR="00B124FA">
        <w:t xml:space="preserve">on the </w:t>
      </w:r>
      <w:r w:rsidR="00B727FD">
        <w:t xml:space="preserve">Basic Charge. </w:t>
      </w:r>
      <w:r w:rsidR="000363CD">
        <w:t xml:space="preserve"> </w:t>
      </w:r>
      <w:r>
        <w:t xml:space="preserve">I </w:t>
      </w:r>
      <w:r w:rsidR="00177AFF">
        <w:t xml:space="preserve">also </w:t>
      </w:r>
      <w:r>
        <w:t>respond to objections that have been raised by witnesses for the Industrial Customers of Northwest Utilities (ICNU), Kroger</w:t>
      </w:r>
      <w:r w:rsidR="002F60B3">
        <w:t>,</w:t>
      </w:r>
      <w:r>
        <w:t xml:space="preserve"> and FEA to </w:t>
      </w:r>
      <w:r w:rsidR="000B3B52">
        <w:t>the continuation of the C</w:t>
      </w:r>
      <w:r w:rsidR="00177AFF">
        <w:t xml:space="preserve">ompany’s </w:t>
      </w:r>
      <w:r>
        <w:t>decoupling</w:t>
      </w:r>
      <w:r w:rsidR="00177AFF">
        <w:t xml:space="preserve"> mechanism and related impacts on ROE and conservation efforts</w:t>
      </w:r>
      <w:r>
        <w:t xml:space="preserve">. </w:t>
      </w:r>
      <w:r w:rsidR="000363CD">
        <w:t xml:space="preserve"> </w:t>
      </w:r>
      <w:r>
        <w:t xml:space="preserve">I </w:t>
      </w:r>
      <w:r w:rsidR="00734203">
        <w:t>then</w:t>
      </w:r>
      <w:r>
        <w:t xml:space="preserve"> respond to Public Counsel and Staf</w:t>
      </w:r>
      <w:r w:rsidR="000B3B52">
        <w:t>f’s suggested revisions to the C</w:t>
      </w:r>
      <w:r>
        <w:t>ompany’s decoupling mechanism</w:t>
      </w:r>
      <w:r w:rsidR="00734203">
        <w:t xml:space="preserve"> concerning the treatment of fixed power costs</w:t>
      </w:r>
      <w:r>
        <w:t>.</w:t>
      </w:r>
      <w:r w:rsidR="00734203">
        <w:t xml:space="preserve"> </w:t>
      </w:r>
      <w:r w:rsidR="000363CD">
        <w:t xml:space="preserve"> </w:t>
      </w:r>
      <w:r w:rsidR="00734203">
        <w:t>Lastly, I address other rate design proposals from Staff and Public Counsel, including potential three-tier rate design methodologies and investigation into revising the first</w:t>
      </w:r>
      <w:r w:rsidR="008A2F27">
        <w:t>-</w:t>
      </w:r>
      <w:r w:rsidR="00734203">
        <w:t xml:space="preserve">tier block level. </w:t>
      </w:r>
    </w:p>
    <w:p w14:paraId="5FCE7206" w14:textId="7D9F5E7C" w:rsidR="00486CAE" w:rsidRDefault="00CC0820" w:rsidP="00CC0820">
      <w:pPr>
        <w:pStyle w:val="Heading2"/>
        <w:rPr>
          <w:rFonts w:eastAsia="SimSun"/>
        </w:rPr>
      </w:pPr>
      <w:bookmarkStart w:id="2" w:name="_Toc489609444"/>
      <w:r w:rsidRPr="00CC0820">
        <w:rPr>
          <w:rFonts w:eastAsia="SimSun"/>
        </w:rPr>
        <w:t>BASIC CHARGE ISSUES</w:t>
      </w:r>
      <w:bookmarkEnd w:id="2"/>
    </w:p>
    <w:p w14:paraId="66F484B6" w14:textId="1F76E23C" w:rsidR="00CC0820" w:rsidRDefault="00CC0820" w:rsidP="00B6301E">
      <w:pPr>
        <w:pStyle w:val="BodyText"/>
        <w:ind w:left="720" w:hanging="720"/>
        <w:rPr>
          <w:b/>
        </w:rPr>
      </w:pPr>
      <w:r>
        <w:rPr>
          <w:b/>
        </w:rPr>
        <w:t>Q.</w:t>
      </w:r>
      <w:r>
        <w:rPr>
          <w:b/>
        </w:rPr>
        <w:tab/>
      </w:r>
      <w:r w:rsidR="00FB2E49">
        <w:rPr>
          <w:b/>
        </w:rPr>
        <w:t xml:space="preserve">Do you agree with Staff Witness Ball that “the Basic Customer Method should be revised </w:t>
      </w:r>
      <w:r w:rsidR="008A2F27">
        <w:rPr>
          <w:b/>
        </w:rPr>
        <w:t>to</w:t>
      </w:r>
      <w:r w:rsidR="00FB2E49">
        <w:rPr>
          <w:b/>
        </w:rPr>
        <w:t xml:space="preserve"> include the costs of line transformers”?</w:t>
      </w:r>
      <w:r w:rsidR="000363CD">
        <w:rPr>
          <w:b/>
        </w:rPr>
        <w:t xml:space="preserve"> </w:t>
      </w:r>
      <w:r w:rsidR="00FB2E49">
        <w:rPr>
          <w:b/>
        </w:rPr>
        <w:t xml:space="preserve"> (Exhibit No.___ (JLB-1T), p. 25)</w:t>
      </w:r>
    </w:p>
    <w:p w14:paraId="6C03DFFE" w14:textId="5456B719" w:rsidR="00EB151F" w:rsidRDefault="00CC0820" w:rsidP="00CC0820">
      <w:pPr>
        <w:pStyle w:val="BodyText"/>
      </w:pPr>
      <w:r>
        <w:t>A.</w:t>
      </w:r>
      <w:r>
        <w:tab/>
      </w:r>
      <w:r w:rsidR="00FB2E49">
        <w:t xml:space="preserve">No. </w:t>
      </w:r>
      <w:r w:rsidR="000363CD">
        <w:t xml:space="preserve"> </w:t>
      </w:r>
      <w:r w:rsidR="00FB2E49">
        <w:t>As discussed in my direct testimony, line transformers should not be characterized as a customer-related cost</w:t>
      </w:r>
      <w:r w:rsidR="00B91373">
        <w:t>.</w:t>
      </w:r>
      <w:r w:rsidR="00B91373">
        <w:rPr>
          <w:rStyle w:val="FootnoteReference"/>
        </w:rPr>
        <w:footnoteReference w:id="1"/>
      </w:r>
      <w:r w:rsidR="00B91373">
        <w:t xml:space="preserve"> </w:t>
      </w:r>
      <w:r w:rsidR="000363CD">
        <w:t xml:space="preserve"> </w:t>
      </w:r>
      <w:r w:rsidR="00FB2E49">
        <w:t xml:space="preserve">Ball states that these line transformers are “essentially customer </w:t>
      </w:r>
      <w:r w:rsidR="00FB2E49">
        <w:lastRenderedPageBreak/>
        <w:t>dedicated facilities</w:t>
      </w:r>
      <w:r w:rsidR="005D735D">
        <w:t>,</w:t>
      </w:r>
      <w:r w:rsidR="00FB2E49">
        <w:t>”</w:t>
      </w:r>
      <w:r w:rsidR="00B91373">
        <w:rPr>
          <w:rStyle w:val="FootnoteReference"/>
        </w:rPr>
        <w:footnoteReference w:id="2"/>
      </w:r>
      <w:r w:rsidR="00B91373">
        <w:t xml:space="preserve"> </w:t>
      </w:r>
      <w:r w:rsidR="00FB2E49">
        <w:t xml:space="preserve">even if they serve five or six residential or small commercial customers. </w:t>
      </w:r>
      <w:r w:rsidR="000363CD">
        <w:t xml:space="preserve"> </w:t>
      </w:r>
      <w:r w:rsidR="00FB2E49">
        <w:t xml:space="preserve">However, this glosses over the variability in the number of customers </w:t>
      </w:r>
      <w:r w:rsidR="00FB2E49">
        <w:rPr>
          <w:i/>
        </w:rPr>
        <w:t xml:space="preserve">in the same rate class </w:t>
      </w:r>
      <w:r w:rsidR="00FB2E49">
        <w:t xml:space="preserve">a transformer can serve. </w:t>
      </w:r>
      <w:r w:rsidR="000363CD">
        <w:t xml:space="preserve"> </w:t>
      </w:r>
      <w:r w:rsidR="00FB2E49">
        <w:t xml:space="preserve">Transformers can serve one residential customer in a more rural area and up to twenty residential customers in </w:t>
      </w:r>
      <w:r w:rsidR="009D3FE9">
        <w:t>an</w:t>
      </w:r>
      <w:r w:rsidR="00FB2E49">
        <w:t xml:space="preserve"> urban</w:t>
      </w:r>
      <w:r w:rsidR="00EB151F">
        <w:t xml:space="preserve"> setting. </w:t>
      </w:r>
      <w:r w:rsidR="000363CD">
        <w:t xml:space="preserve"> </w:t>
      </w:r>
      <w:r w:rsidR="00EB151F">
        <w:t xml:space="preserve">And in certain cases, such as a “mother-in-law” apartment, no new transformer would be required to connect a customer. </w:t>
      </w:r>
      <w:r w:rsidR="000363CD">
        <w:t xml:space="preserve"> </w:t>
      </w:r>
      <w:r w:rsidR="00EB151F">
        <w:t>In addition, as noted by Public Counsel Witness Watkins, transformers are fundamentally demand-driven, “sized and installed based on peak load requirements.”</w:t>
      </w:r>
      <w:r w:rsidR="00B91373">
        <w:rPr>
          <w:rStyle w:val="FootnoteReference"/>
        </w:rPr>
        <w:footnoteReference w:id="3"/>
      </w:r>
    </w:p>
    <w:p w14:paraId="379AD7D7" w14:textId="0997BC5E" w:rsidR="00CC0820" w:rsidRPr="00FB2E49" w:rsidRDefault="000363CD" w:rsidP="00CC0820">
      <w:pPr>
        <w:pStyle w:val="BodyText"/>
      </w:pPr>
      <w:r>
        <w:tab/>
      </w:r>
      <w:r w:rsidR="00EB151F">
        <w:t xml:space="preserve">The inclusion of Line Transformer costs as customer-related costs in both </w:t>
      </w:r>
      <w:r w:rsidR="00897BE9">
        <w:t xml:space="preserve">PSE’s </w:t>
      </w:r>
      <w:r w:rsidR="00EB151F">
        <w:t>and Staff’s proposal</w:t>
      </w:r>
      <w:r w:rsidR="008E50C9">
        <w:t>s</w:t>
      </w:r>
      <w:r w:rsidR="00EB151F">
        <w:t xml:space="preserve"> should be rejected by this Commission.  </w:t>
      </w:r>
    </w:p>
    <w:p w14:paraId="0339C1A8" w14:textId="44CD9545" w:rsidR="003262A2" w:rsidRDefault="003262A2" w:rsidP="00B6301E">
      <w:pPr>
        <w:pStyle w:val="BodyText"/>
        <w:ind w:left="720" w:hanging="720"/>
        <w:rPr>
          <w:b/>
        </w:rPr>
      </w:pPr>
      <w:r>
        <w:rPr>
          <w:b/>
        </w:rPr>
        <w:t>Q.</w:t>
      </w:r>
      <w:r>
        <w:rPr>
          <w:b/>
        </w:rPr>
        <w:tab/>
      </w:r>
      <w:r w:rsidR="00EB151F">
        <w:rPr>
          <w:b/>
        </w:rPr>
        <w:t xml:space="preserve">Do you support Staff’s proposed electric basic charge? </w:t>
      </w:r>
      <w:r w:rsidR="005D735D">
        <w:rPr>
          <w:b/>
        </w:rPr>
        <w:t xml:space="preserve"> </w:t>
      </w:r>
      <w:r w:rsidR="00EB151F">
        <w:rPr>
          <w:b/>
        </w:rPr>
        <w:t>(</w:t>
      </w:r>
      <w:r w:rsidR="00B6301E">
        <w:rPr>
          <w:b/>
        </w:rPr>
        <w:t>Exhibit No.___ (JLB-1T), p. </w:t>
      </w:r>
      <w:r w:rsidR="00EB151F" w:rsidRPr="00EB151F">
        <w:rPr>
          <w:b/>
        </w:rPr>
        <w:t>29)</w:t>
      </w:r>
    </w:p>
    <w:p w14:paraId="59C70CF1" w14:textId="6B3BFBD6" w:rsidR="003262A2" w:rsidRDefault="003262A2" w:rsidP="003262A2">
      <w:pPr>
        <w:pStyle w:val="BodyText"/>
      </w:pPr>
      <w:r>
        <w:t>A.</w:t>
      </w:r>
      <w:r>
        <w:tab/>
      </w:r>
      <w:r w:rsidR="00EB151F">
        <w:t xml:space="preserve">No. </w:t>
      </w:r>
      <w:r w:rsidR="000363CD">
        <w:t xml:space="preserve"> </w:t>
      </w:r>
      <w:r w:rsidR="00EB151F">
        <w:t xml:space="preserve">Staff’s preferred proposed electric basic charge would add a new minimum bill component on top of the existing basic charge fee to achieve a </w:t>
      </w:r>
      <w:r w:rsidR="00EB151F" w:rsidRPr="000363CD">
        <w:rPr>
          <w:i/>
        </w:rPr>
        <w:t>de</w:t>
      </w:r>
      <w:r w:rsidR="00CE19D8">
        <w:rPr>
          <w:i/>
        </w:rPr>
        <w:t xml:space="preserve"> </w:t>
      </w:r>
      <w:r w:rsidR="00EB151F" w:rsidRPr="000363CD">
        <w:rPr>
          <w:i/>
        </w:rPr>
        <w:t>facto</w:t>
      </w:r>
      <w:r w:rsidR="00EB151F">
        <w:t xml:space="preserve"> fixed monthly fee of $10.88. </w:t>
      </w:r>
      <w:r w:rsidR="000363CD">
        <w:t xml:space="preserve"> </w:t>
      </w:r>
      <w:r w:rsidR="00EB151F">
        <w:t>This is what Staff has determined is the customer-related monthly cost for residential electric service</w:t>
      </w:r>
      <w:r w:rsidR="00A851EB">
        <w:t>.</w:t>
      </w:r>
      <w:r w:rsidR="00C646E9">
        <w:rPr>
          <w:rStyle w:val="FootnoteReference"/>
        </w:rPr>
        <w:footnoteReference w:id="4"/>
      </w:r>
      <w:r w:rsidR="00C646E9">
        <w:t xml:space="preserve"> </w:t>
      </w:r>
      <w:r w:rsidR="000363CD">
        <w:t xml:space="preserve"> </w:t>
      </w:r>
      <w:r w:rsidR="00A851EB">
        <w:t xml:space="preserve">However, this determination hinges on the inclusion of line transformer costs. </w:t>
      </w:r>
      <w:r w:rsidR="000363CD">
        <w:t xml:space="preserve"> </w:t>
      </w:r>
      <w:r w:rsidR="00A851EB">
        <w:t xml:space="preserve">As noted above, we oppose Staff’s and </w:t>
      </w:r>
      <w:r w:rsidR="005D735D">
        <w:t>PSE</w:t>
      </w:r>
      <w:r w:rsidR="00A851EB">
        <w:t xml:space="preserve">’s efforts to </w:t>
      </w:r>
      <w:proofErr w:type="spellStart"/>
      <w:r w:rsidR="00A851EB">
        <w:t>recharacterize</w:t>
      </w:r>
      <w:proofErr w:type="spellEnd"/>
      <w:r w:rsidR="00A851EB">
        <w:t xml:space="preserve"> these line transformer costs as customer-related.</w:t>
      </w:r>
    </w:p>
    <w:p w14:paraId="09A27EFD" w14:textId="06B7E505" w:rsidR="00B6301E" w:rsidRDefault="00B6301E" w:rsidP="00B6301E">
      <w:pPr>
        <w:pStyle w:val="BodyText"/>
      </w:pPr>
      <w:r>
        <w:tab/>
      </w:r>
      <w:r w:rsidR="00A851EB">
        <w:t>As Staff notes in its Alternative Recommendations, “of note is that a minimum bill component is not necessary in this alternative because the basic charge increase would be small,</w:t>
      </w:r>
      <w:r w:rsidR="00A851EB">
        <w:rPr>
          <w:rStyle w:val="FootnoteReference"/>
        </w:rPr>
        <w:footnoteReference w:id="5"/>
      </w:r>
      <w:r w:rsidR="00A851EB">
        <w:t xml:space="preserve"> </w:t>
      </w:r>
      <w:r w:rsidR="00A851EB">
        <w:lastRenderedPageBreak/>
        <w:t>and thus, sufficient, to recover the customer related costs exclusive of transformers.”</w:t>
      </w:r>
      <w:r w:rsidR="00C646E9">
        <w:rPr>
          <w:rStyle w:val="FootnoteReference"/>
        </w:rPr>
        <w:footnoteReference w:id="6"/>
      </w:r>
      <w:r w:rsidR="00A851EB">
        <w:t xml:space="preserve"> </w:t>
      </w:r>
      <w:r w:rsidR="000363CD">
        <w:t xml:space="preserve"> </w:t>
      </w:r>
      <w:r w:rsidR="00BF5CB3">
        <w:t xml:space="preserve">If line transformers costs are properly characterized as demand-related, there is no need to impose an additional minimum bill component as Staff proposes. </w:t>
      </w:r>
      <w:r w:rsidR="000363CD">
        <w:t xml:space="preserve"> </w:t>
      </w:r>
      <w:r w:rsidR="00BF5CB3">
        <w:t xml:space="preserve">In addition, the existing basic charge is likely sufficient to recover all true customer-related costs, and </w:t>
      </w:r>
      <w:r w:rsidR="008E50C9">
        <w:t xml:space="preserve">is </w:t>
      </w:r>
      <w:r w:rsidR="00BF5CB3">
        <w:t>possibly already even higher than the direct residential customer cost</w:t>
      </w:r>
      <w:r w:rsidR="00C646E9">
        <w:t>.</w:t>
      </w:r>
      <w:r w:rsidR="00C646E9">
        <w:rPr>
          <w:rStyle w:val="FootnoteReference"/>
        </w:rPr>
        <w:footnoteReference w:id="7"/>
      </w:r>
    </w:p>
    <w:p w14:paraId="59A7BDC5" w14:textId="3CE6DA08" w:rsidR="00B6301E" w:rsidRDefault="00BF5CB3" w:rsidP="00B6301E">
      <w:pPr>
        <w:pStyle w:val="BodyText"/>
        <w:ind w:left="720" w:hanging="720"/>
      </w:pPr>
      <w:r>
        <w:rPr>
          <w:b/>
        </w:rPr>
        <w:t>Q.</w:t>
      </w:r>
      <w:r>
        <w:rPr>
          <w:b/>
        </w:rPr>
        <w:tab/>
        <w:t xml:space="preserve">Do you </w:t>
      </w:r>
      <w:r w:rsidR="00F93686">
        <w:rPr>
          <w:b/>
        </w:rPr>
        <w:t>support Public Counsel</w:t>
      </w:r>
      <w:r>
        <w:rPr>
          <w:b/>
        </w:rPr>
        <w:t xml:space="preserve">’s proposed electric basic charge? </w:t>
      </w:r>
      <w:r w:rsidR="00CE19D8">
        <w:rPr>
          <w:b/>
        </w:rPr>
        <w:t xml:space="preserve"> </w:t>
      </w:r>
      <w:r>
        <w:rPr>
          <w:b/>
        </w:rPr>
        <w:t>(</w:t>
      </w:r>
      <w:r w:rsidR="00F93686">
        <w:rPr>
          <w:b/>
        </w:rPr>
        <w:t>Exhibit No.___ (GAW</w:t>
      </w:r>
      <w:r w:rsidRPr="00EB151F">
        <w:rPr>
          <w:b/>
        </w:rPr>
        <w:t xml:space="preserve">-1T), p. </w:t>
      </w:r>
      <w:r w:rsidR="00F93686">
        <w:rPr>
          <w:b/>
        </w:rPr>
        <w:t>51</w:t>
      </w:r>
      <w:r w:rsidRPr="00EB151F">
        <w:rPr>
          <w:b/>
        </w:rPr>
        <w:t>)</w:t>
      </w:r>
    </w:p>
    <w:p w14:paraId="103BB0D0" w14:textId="7B9C1548" w:rsidR="00BF5CB3" w:rsidRPr="00CC0820" w:rsidRDefault="00F93686" w:rsidP="00B6301E">
      <w:pPr>
        <w:pStyle w:val="BodyText"/>
      </w:pPr>
      <w:r>
        <w:t>A.</w:t>
      </w:r>
      <w:r>
        <w:tab/>
        <w:t xml:space="preserve">Yes. </w:t>
      </w:r>
      <w:r w:rsidR="000363CD">
        <w:t xml:space="preserve"> </w:t>
      </w:r>
      <w:r>
        <w:t>Public Counsel proposes no increase in PSE’s basic monthly customer charge, outside of a $0.01 rounding from $7.49 to $7.50 to create a more logical rate.</w:t>
      </w:r>
      <w:r w:rsidR="000363CD">
        <w:t xml:space="preserve"> </w:t>
      </w:r>
      <w:r w:rsidR="002D1EA6">
        <w:t xml:space="preserve"> Public Counsel also notes that there is actually justification for the fixed charge to be reduced to under $6.00 a month</w:t>
      </w:r>
      <w:r w:rsidR="00856FA3">
        <w:t>, though they decline to recommend a reduction for rate continuity purposes.</w:t>
      </w:r>
      <w:r w:rsidR="00856FA3">
        <w:rPr>
          <w:rStyle w:val="FootnoteReference"/>
        </w:rPr>
        <w:footnoteReference w:id="8"/>
      </w:r>
    </w:p>
    <w:p w14:paraId="018E367C" w14:textId="3B6D31E6" w:rsidR="003262A2" w:rsidRDefault="003262A2" w:rsidP="00B6301E">
      <w:pPr>
        <w:pStyle w:val="BodyText"/>
        <w:ind w:left="720" w:hanging="720"/>
        <w:rPr>
          <w:b/>
        </w:rPr>
      </w:pPr>
      <w:r>
        <w:rPr>
          <w:b/>
        </w:rPr>
        <w:t>Q.</w:t>
      </w:r>
      <w:r>
        <w:rPr>
          <w:b/>
        </w:rPr>
        <w:tab/>
      </w:r>
      <w:r w:rsidR="00BF5CB3">
        <w:rPr>
          <w:b/>
        </w:rPr>
        <w:t>Are there broader public policy reasons to avoid imposing higher fixed charges on customers?</w:t>
      </w:r>
    </w:p>
    <w:p w14:paraId="47CCDE5B" w14:textId="48DE84C4" w:rsidR="003262A2" w:rsidRDefault="003262A2" w:rsidP="003262A2">
      <w:pPr>
        <w:pStyle w:val="BodyText"/>
      </w:pPr>
      <w:r>
        <w:t>A.</w:t>
      </w:r>
      <w:r>
        <w:tab/>
      </w:r>
      <w:r w:rsidR="00BF5CB3">
        <w:t xml:space="preserve">Yes. </w:t>
      </w:r>
      <w:r w:rsidR="000363CD">
        <w:t xml:space="preserve"> </w:t>
      </w:r>
      <w:r w:rsidR="00DA5812">
        <w:t>High fixed charges can reduce customer incentives to conserve energy and promote additional</w:t>
      </w:r>
      <w:r w:rsidR="00F129FE">
        <w:t xml:space="preserve"> consumption since the volumetric rate, or incremental cost of consumption, is lower than it would be with a smaller fixed charge component. </w:t>
      </w:r>
      <w:r w:rsidR="000363CD">
        <w:t xml:space="preserve"> </w:t>
      </w:r>
      <w:r w:rsidR="00F129FE">
        <w:t>Public Counsel Witness Watkins provides an example of how a more extreme fixed pricing approach, Straight Fixed Variable pricing, was adopted by federal regulators in the gas industry with the expressed intent to promote additional consumption of natural gas</w:t>
      </w:r>
      <w:r w:rsidR="00C646E9">
        <w:t>.</w:t>
      </w:r>
      <w:r w:rsidR="00C646E9">
        <w:rPr>
          <w:rStyle w:val="FootnoteReference"/>
        </w:rPr>
        <w:footnoteReference w:id="9"/>
      </w:r>
      <w:r w:rsidR="00C646E9">
        <w:t xml:space="preserve"> </w:t>
      </w:r>
      <w:r w:rsidR="000363CD">
        <w:t xml:space="preserve"> </w:t>
      </w:r>
      <w:r w:rsidR="00526408">
        <w:t xml:space="preserve">The Energy Project also notes that high fixed charges “run counter to state policies and utility programs that promote energy efficiency and </w:t>
      </w:r>
      <w:r w:rsidR="00526408">
        <w:lastRenderedPageBreak/>
        <w:t>encourage customers to weatherize homes, purchase energy efficient appliances and reduce usage in other ways.</w:t>
      </w:r>
      <w:r w:rsidR="00184674">
        <w:t>”</w:t>
      </w:r>
      <w:r w:rsidR="00C646E9">
        <w:rPr>
          <w:rStyle w:val="FootnoteReference"/>
        </w:rPr>
        <w:footnoteReference w:id="10"/>
      </w:r>
    </w:p>
    <w:p w14:paraId="17A45A80" w14:textId="742917FC" w:rsidR="003262A2" w:rsidRPr="00CC0820" w:rsidRDefault="00B6301E" w:rsidP="003E3DDF">
      <w:pPr>
        <w:pStyle w:val="BodyText"/>
      </w:pPr>
      <w:r>
        <w:tab/>
      </w:r>
      <w:r w:rsidR="003D6146">
        <w:t>In addition, higher fixed charges can make ene</w:t>
      </w:r>
      <w:r w:rsidR="00526408">
        <w:t>rgy services less affordable, since a greater portion of the bill is fixed and customers have less ability to reduce consumption to keep bills low.</w:t>
      </w:r>
      <w:r w:rsidR="00BA1CB2">
        <w:t xml:space="preserve"> </w:t>
      </w:r>
      <w:r w:rsidR="000363CD">
        <w:t xml:space="preserve"> </w:t>
      </w:r>
      <w:r w:rsidR="00BA1CB2">
        <w:t xml:space="preserve">These increases in the monthly fixed fees tend to </w:t>
      </w:r>
      <w:r w:rsidR="00817DFA">
        <w:t>have the biggest impact on low-income and fixed-income households.</w:t>
      </w:r>
      <w:r w:rsidR="007302D2">
        <w:t xml:space="preserve"> </w:t>
      </w:r>
      <w:r w:rsidR="000363CD">
        <w:t xml:space="preserve"> </w:t>
      </w:r>
      <w:r w:rsidR="007302D2">
        <w:t>Concerns about the impacts of high fixed charges on low-volume, low-income customers have been raised in front of this Commission and across the country over the past few years.</w:t>
      </w:r>
      <w:r w:rsidR="00817DFA">
        <w:rPr>
          <w:rStyle w:val="FootnoteReference"/>
        </w:rPr>
        <w:footnoteReference w:id="11"/>
      </w:r>
      <w:r w:rsidR="003E3DDF">
        <w:t xml:space="preserve"> </w:t>
      </w:r>
      <w:r w:rsidR="000363CD">
        <w:t xml:space="preserve"> </w:t>
      </w:r>
      <w:r w:rsidR="003E3DDF">
        <w:t>Commissions have been wary about raising these monthly fixed fees:</w:t>
      </w:r>
      <w:r w:rsidR="000363CD">
        <w:t xml:space="preserve"> </w:t>
      </w:r>
      <w:r w:rsidR="003E3DDF">
        <w:t xml:space="preserve"> in 2016, utility commissions around the country rejected or reduced 85% of proposals by electric</w:t>
      </w:r>
      <w:r w:rsidR="000363CD">
        <w:t xml:space="preserve"> </w:t>
      </w:r>
      <w:r w:rsidR="003E3DDF">
        <w:t>companies to increase fixed customer charges; in 2015, 91% of proposals were rejected or reduced by utility commissions.</w:t>
      </w:r>
      <w:r w:rsidR="003E3DDF">
        <w:rPr>
          <w:rStyle w:val="FootnoteReference"/>
        </w:rPr>
        <w:footnoteReference w:id="12"/>
      </w:r>
    </w:p>
    <w:p w14:paraId="6DFE9BF2" w14:textId="789113DD" w:rsidR="003262A2" w:rsidRDefault="00D3234F" w:rsidP="003262A2">
      <w:pPr>
        <w:pStyle w:val="Heading2"/>
        <w:rPr>
          <w:rFonts w:eastAsia="SimSun"/>
        </w:rPr>
      </w:pPr>
      <w:bookmarkStart w:id="3" w:name="_Toc489609445"/>
      <w:r>
        <w:t>CoNTINUATION OF</w:t>
      </w:r>
      <w:r w:rsidR="003262A2" w:rsidRPr="00CC0820">
        <w:t xml:space="preserve"> </w:t>
      </w:r>
      <w:r w:rsidR="003262A2">
        <w:rPr>
          <w:rFonts w:eastAsia="SimSun"/>
        </w:rPr>
        <w:t>DECOU</w:t>
      </w:r>
      <w:r w:rsidR="00B8480E">
        <w:rPr>
          <w:rFonts w:eastAsia="SimSun"/>
        </w:rPr>
        <w:t>P</w:t>
      </w:r>
      <w:r w:rsidR="003262A2">
        <w:rPr>
          <w:rFonts w:eastAsia="SimSun"/>
        </w:rPr>
        <w:t>LING MECHANISM</w:t>
      </w:r>
      <w:bookmarkEnd w:id="3"/>
    </w:p>
    <w:p w14:paraId="6B81271F" w14:textId="765CE84E" w:rsidR="00B37897" w:rsidRPr="000B3ED3" w:rsidRDefault="00B37897" w:rsidP="00B6301E">
      <w:pPr>
        <w:pStyle w:val="BodyText"/>
        <w:ind w:left="720" w:hanging="720"/>
        <w:rPr>
          <w:b/>
        </w:rPr>
      </w:pPr>
      <w:r w:rsidRPr="000B3ED3">
        <w:rPr>
          <w:b/>
        </w:rPr>
        <w:t>Q.</w:t>
      </w:r>
      <w:r w:rsidRPr="000B3ED3">
        <w:rPr>
          <w:b/>
        </w:rPr>
        <w:tab/>
        <w:t xml:space="preserve">Do you agree with </w:t>
      </w:r>
      <w:r w:rsidR="005D735D">
        <w:rPr>
          <w:b/>
        </w:rPr>
        <w:t>W</w:t>
      </w:r>
      <w:r w:rsidRPr="000B3ED3">
        <w:rPr>
          <w:b/>
        </w:rPr>
        <w:t>itness</w:t>
      </w:r>
      <w:r w:rsidR="005D735D">
        <w:rPr>
          <w:b/>
        </w:rPr>
        <w:t>es</w:t>
      </w:r>
      <w:r w:rsidRPr="000B3ED3">
        <w:rPr>
          <w:b/>
        </w:rPr>
        <w:t xml:space="preserve"> </w:t>
      </w:r>
      <w:r w:rsidR="00D01F63">
        <w:rPr>
          <w:b/>
        </w:rPr>
        <w:t>Al-Jabir and Higgins</w:t>
      </w:r>
      <w:r w:rsidRPr="000B3ED3">
        <w:rPr>
          <w:b/>
        </w:rPr>
        <w:t xml:space="preserve"> that revenue decoupling </w:t>
      </w:r>
      <w:r w:rsidR="00D01F63">
        <w:rPr>
          <w:b/>
        </w:rPr>
        <w:t>discourages customer efforts to pursue energy efficiency</w:t>
      </w:r>
      <w:r w:rsidR="005D735D">
        <w:rPr>
          <w:b/>
        </w:rPr>
        <w:t xml:space="preserve">? </w:t>
      </w:r>
      <w:r w:rsidRPr="000B3ED3">
        <w:rPr>
          <w:b/>
        </w:rPr>
        <w:t xml:space="preserve"> (Exhibit No. ____ (</w:t>
      </w:r>
      <w:r w:rsidR="00D01F63">
        <w:rPr>
          <w:b/>
        </w:rPr>
        <w:t>AZA</w:t>
      </w:r>
      <w:r w:rsidRPr="000B3ED3">
        <w:rPr>
          <w:b/>
        </w:rPr>
        <w:t xml:space="preserve">-1T), p. </w:t>
      </w:r>
      <w:r w:rsidR="00D01F63">
        <w:rPr>
          <w:b/>
        </w:rPr>
        <w:t>7</w:t>
      </w:r>
      <w:r w:rsidR="00367EAC">
        <w:rPr>
          <w:b/>
        </w:rPr>
        <w:t>;</w:t>
      </w:r>
      <w:r w:rsidR="00D01F63">
        <w:rPr>
          <w:b/>
        </w:rPr>
        <w:t xml:space="preserve"> </w:t>
      </w:r>
      <w:r w:rsidR="00D01F63" w:rsidRPr="000B3ED3">
        <w:rPr>
          <w:b/>
        </w:rPr>
        <w:t>Exhibit No. ____ (</w:t>
      </w:r>
      <w:r w:rsidR="00D01F63">
        <w:rPr>
          <w:b/>
        </w:rPr>
        <w:t>KCH</w:t>
      </w:r>
      <w:r w:rsidR="00D01F63" w:rsidRPr="000B3ED3">
        <w:rPr>
          <w:b/>
        </w:rPr>
        <w:t xml:space="preserve">-1T), p. </w:t>
      </w:r>
      <w:r w:rsidR="00D01F63">
        <w:rPr>
          <w:b/>
        </w:rPr>
        <w:t>15</w:t>
      </w:r>
      <w:r w:rsidR="005D735D">
        <w:rPr>
          <w:b/>
        </w:rPr>
        <w:t>)</w:t>
      </w:r>
    </w:p>
    <w:p w14:paraId="54C6D2C0" w14:textId="1F07994A" w:rsidR="00B37897" w:rsidRDefault="00B37897" w:rsidP="00B37897">
      <w:pPr>
        <w:pStyle w:val="BodyText"/>
      </w:pPr>
      <w:r>
        <w:t>A.</w:t>
      </w:r>
      <w:r>
        <w:tab/>
        <w:t>No.  System</w:t>
      </w:r>
      <w:r w:rsidR="00E747CF">
        <w:t>-</w:t>
      </w:r>
      <w:r>
        <w:t>wide revenue decoupling adjustments under the proposed mechanism could go either up or down and would never exceed three</w:t>
      </w:r>
      <w:r w:rsidR="00020453">
        <w:t xml:space="preserve"> or five</w:t>
      </w:r>
      <w:r>
        <w:t xml:space="preserve"> percent; an individual</w:t>
      </w:r>
      <w:r w:rsidR="00367EAC">
        <w:t>’s</w:t>
      </w:r>
      <w:r>
        <w:t xml:space="preserve"> or business’s voluntary conservation efforts could easily yield tenfold greater savings.</w:t>
      </w:r>
      <w:r w:rsidR="00020453">
        <w:t xml:space="preserve"> </w:t>
      </w:r>
      <w:r w:rsidR="000363CD">
        <w:t xml:space="preserve"> </w:t>
      </w:r>
      <w:r w:rsidR="002E1A43">
        <w:t xml:space="preserve">These witnesses have </w:t>
      </w:r>
      <w:r w:rsidR="002E1A43">
        <w:lastRenderedPageBreak/>
        <w:t>not provided</w:t>
      </w:r>
      <w:r w:rsidR="008924F7">
        <w:t xml:space="preserve"> or been able to cite </w:t>
      </w:r>
      <w:r w:rsidR="002E1A43">
        <w:t>evidence to back up their claim that revenue decoupling has discouraged customer conservation efforts.</w:t>
      </w:r>
      <w:r w:rsidR="0047402F">
        <w:rPr>
          <w:rStyle w:val="FootnoteReference"/>
        </w:rPr>
        <w:footnoteReference w:id="13"/>
      </w:r>
      <w:r w:rsidR="002E1A43">
        <w:t xml:space="preserve"> </w:t>
      </w:r>
      <w:r w:rsidR="000363CD">
        <w:t xml:space="preserve"> </w:t>
      </w:r>
      <w:r w:rsidR="002E1A43">
        <w:t xml:space="preserve">On the other hand, there is evidence that the decoupling mechanism has had no negative impact on customer incentives to conserve. </w:t>
      </w:r>
      <w:r w:rsidR="00020453">
        <w:t xml:space="preserve"> </w:t>
      </w:r>
      <w:r w:rsidR="002E1A43">
        <w:t xml:space="preserve">Gil Peach’s third-year evaluation of PSE’s decoupling mechanism found that the </w:t>
      </w:r>
      <w:r w:rsidR="00812937">
        <w:t>decoupling adjustments were small enough to be within the normal range customers would expect</w:t>
      </w:r>
      <w:r w:rsidR="00020453">
        <w:t>.</w:t>
      </w:r>
      <w:r w:rsidR="009A0D43">
        <w:rPr>
          <w:rStyle w:val="FootnoteReference"/>
        </w:rPr>
        <w:footnoteReference w:id="14"/>
      </w:r>
      <w:r w:rsidR="00812937">
        <w:t xml:space="preserve"> </w:t>
      </w:r>
      <w:r w:rsidR="000363CD">
        <w:t xml:space="preserve"> </w:t>
      </w:r>
      <w:r w:rsidR="002E1A43">
        <w:t xml:space="preserve">They </w:t>
      </w:r>
      <w:r w:rsidR="00812937">
        <w:t>concluded that the</w:t>
      </w:r>
      <w:r w:rsidR="00EB5774">
        <w:t xml:space="preserve"> decoupling</w:t>
      </w:r>
      <w:r w:rsidR="00812937">
        <w:t xml:space="preserve"> adjustments were too small to negatively impact customer incentives to conserve.</w:t>
      </w:r>
      <w:r w:rsidR="009A0D43" w:rsidRPr="009A0D43">
        <w:rPr>
          <w:rStyle w:val="FootnoteReference"/>
        </w:rPr>
        <w:t xml:space="preserve"> </w:t>
      </w:r>
      <w:r w:rsidR="009A0D43">
        <w:rPr>
          <w:rStyle w:val="FootnoteReference"/>
        </w:rPr>
        <w:footnoteReference w:id="15"/>
      </w:r>
      <w:r w:rsidR="005E6AC8">
        <w:t xml:space="preserve"> </w:t>
      </w:r>
      <w:r w:rsidR="000363CD">
        <w:t xml:space="preserve"> </w:t>
      </w:r>
      <w:r w:rsidR="005E6AC8">
        <w:t xml:space="preserve">In addition, PSE </w:t>
      </w:r>
      <w:r w:rsidR="00BB37A6">
        <w:t xml:space="preserve">agreed </w:t>
      </w:r>
      <w:r w:rsidR="000B3B52">
        <w:t>to a 5 percent increase of the C</w:t>
      </w:r>
      <w:r w:rsidR="00BB37A6">
        <w:t xml:space="preserve">ompany’s energy efficiency conservation targets as part of </w:t>
      </w:r>
      <w:r w:rsidR="009A0D43">
        <w:t>the</w:t>
      </w:r>
      <w:r w:rsidR="00BB37A6">
        <w:t xml:space="preserve"> approval of the </w:t>
      </w:r>
      <w:r w:rsidR="009A0D43">
        <w:t xml:space="preserve">Company’s decoupling mechanism. </w:t>
      </w:r>
      <w:r w:rsidR="000363CD">
        <w:t xml:space="preserve"> </w:t>
      </w:r>
      <w:r w:rsidR="009A0D43">
        <w:t xml:space="preserve">PSE has </w:t>
      </w:r>
      <w:r w:rsidR="002E1A43">
        <w:t>exceeded</w:t>
      </w:r>
      <w:r w:rsidR="009A0D43">
        <w:t xml:space="preserve"> this higher level of savings</w:t>
      </w:r>
      <w:r w:rsidR="002E1A43">
        <w:t xml:space="preserve"> consistently since decoupling and has agreed to continue to achieve higher levels than statutorily required in future years.</w:t>
      </w:r>
      <w:r w:rsidR="002E1A43">
        <w:rPr>
          <w:rStyle w:val="FootnoteReference"/>
        </w:rPr>
        <w:footnoteReference w:id="16"/>
      </w:r>
      <w:r w:rsidR="002E1A43">
        <w:t xml:space="preserve">   </w:t>
      </w:r>
    </w:p>
    <w:p w14:paraId="3238043D" w14:textId="64FBB2DD" w:rsidR="001977BD" w:rsidRPr="00D3693F" w:rsidRDefault="001977BD" w:rsidP="00B6301E">
      <w:pPr>
        <w:pStyle w:val="BodyText"/>
        <w:ind w:left="720" w:hanging="720"/>
        <w:rPr>
          <w:b/>
        </w:rPr>
      </w:pPr>
      <w:r w:rsidRPr="00D3693F">
        <w:rPr>
          <w:b/>
        </w:rPr>
        <w:t>Q.</w:t>
      </w:r>
      <w:r w:rsidRPr="00D3693F">
        <w:rPr>
          <w:b/>
        </w:rPr>
        <w:tab/>
      </w:r>
      <w:r>
        <w:rPr>
          <w:b/>
        </w:rPr>
        <w:t>Does decoupling</w:t>
      </w:r>
      <w:r w:rsidRPr="00D3693F">
        <w:rPr>
          <w:b/>
        </w:rPr>
        <w:t xml:space="preserve"> reduce the Company’s incentive to </w:t>
      </w:r>
      <w:r w:rsidR="005D735D">
        <w:rPr>
          <w:b/>
        </w:rPr>
        <w:t>control costs, as contended by W</w:t>
      </w:r>
      <w:r w:rsidRPr="00D3693F">
        <w:rPr>
          <w:b/>
        </w:rPr>
        <w:t xml:space="preserve">itness </w:t>
      </w:r>
      <w:r w:rsidR="001635D3">
        <w:rPr>
          <w:b/>
        </w:rPr>
        <w:t>Al-Jabi</w:t>
      </w:r>
      <w:r w:rsidR="009F77D5">
        <w:rPr>
          <w:b/>
        </w:rPr>
        <w:t>r</w:t>
      </w:r>
      <w:r w:rsidR="005D735D">
        <w:rPr>
          <w:b/>
        </w:rPr>
        <w:t xml:space="preserve">? </w:t>
      </w:r>
      <w:r w:rsidRPr="00D3693F">
        <w:rPr>
          <w:b/>
        </w:rPr>
        <w:t xml:space="preserve"> (Exhibit No. ____ (</w:t>
      </w:r>
      <w:r w:rsidR="009F77D5">
        <w:rPr>
          <w:b/>
        </w:rPr>
        <w:t>AZA-1T)</w:t>
      </w:r>
      <w:r w:rsidR="00D72DFE">
        <w:rPr>
          <w:b/>
        </w:rPr>
        <w:t xml:space="preserve">, pg. </w:t>
      </w:r>
      <w:r w:rsidR="00012969">
        <w:rPr>
          <w:b/>
        </w:rPr>
        <w:t>8</w:t>
      </w:r>
      <w:r w:rsidR="00AF2E6F">
        <w:rPr>
          <w:b/>
        </w:rPr>
        <w:t>)</w:t>
      </w:r>
    </w:p>
    <w:p w14:paraId="211B3667" w14:textId="02D6F38A" w:rsidR="001977BD" w:rsidRDefault="001977BD" w:rsidP="009F77D5">
      <w:pPr>
        <w:pStyle w:val="BodyText"/>
      </w:pPr>
      <w:r>
        <w:t>A.</w:t>
      </w:r>
      <w:r>
        <w:tab/>
        <w:t xml:space="preserve">No.  In fact, </w:t>
      </w:r>
      <w:r w:rsidR="00A14268">
        <w:t>Gil Peach’s</w:t>
      </w:r>
      <w:r>
        <w:t xml:space="preserve"> third-party review found </w:t>
      </w:r>
      <w:r w:rsidR="009F77D5">
        <w:t xml:space="preserve">just the opposite. </w:t>
      </w:r>
      <w:r w:rsidR="000363CD">
        <w:t xml:space="preserve"> </w:t>
      </w:r>
      <w:r w:rsidR="009F77D5">
        <w:t xml:space="preserve">PSE’s O&amp;M costs grew at a slower rate </w:t>
      </w:r>
      <w:r w:rsidR="00A20E18">
        <w:t xml:space="preserve">than the historical growth rate and at a slower rate than PSE expected would occur in its </w:t>
      </w:r>
      <w:r w:rsidR="00500004">
        <w:t>ERF/decoupling proceedings</w:t>
      </w:r>
      <w:r>
        <w:t>.</w:t>
      </w:r>
      <w:r w:rsidR="00A14268">
        <w:rPr>
          <w:rStyle w:val="FootnoteReference"/>
        </w:rPr>
        <w:footnoteReference w:id="17"/>
      </w:r>
      <w:r>
        <w:t xml:space="preserve"> </w:t>
      </w:r>
      <w:r w:rsidR="000363CD">
        <w:t xml:space="preserve"> </w:t>
      </w:r>
      <w:r w:rsidR="00500004">
        <w:t>T</w:t>
      </w:r>
      <w:r>
        <w:t xml:space="preserve">his finding </w:t>
      </w:r>
      <w:r w:rsidR="00500004">
        <w:t>fits with the logic submitted by witnesses in previous proceedings</w:t>
      </w:r>
      <w:r>
        <w:t>.</w:t>
      </w:r>
      <w:r w:rsidR="00500004">
        <w:rPr>
          <w:rStyle w:val="FootnoteReference"/>
        </w:rPr>
        <w:footnoteReference w:id="18"/>
      </w:r>
      <w:r>
        <w:t xml:space="preserve"> </w:t>
      </w:r>
      <w:r w:rsidR="000363CD">
        <w:t xml:space="preserve"> </w:t>
      </w:r>
      <w:r>
        <w:t xml:space="preserve">Decoupling provides </w:t>
      </w:r>
      <w:r w:rsidRPr="008B59F0">
        <w:t xml:space="preserve">assurance to </w:t>
      </w:r>
      <w:r>
        <w:t xml:space="preserve">PSE </w:t>
      </w:r>
      <w:r w:rsidRPr="008B59F0">
        <w:t>and its customers that the utility will recover</w:t>
      </w:r>
      <w:r>
        <w:t xml:space="preserve"> only</w:t>
      </w:r>
      <w:r w:rsidRPr="008B59F0">
        <w:t xml:space="preserve"> authorized </w:t>
      </w:r>
      <w:r>
        <w:t>revenues.  Without the mechanism</w:t>
      </w:r>
      <w:r w:rsidRPr="008B59F0">
        <w:t xml:space="preserve">, </w:t>
      </w:r>
      <w:r>
        <w:t xml:space="preserve">PSE’s </w:t>
      </w:r>
      <w:r w:rsidRPr="008B59F0">
        <w:t xml:space="preserve">profit </w:t>
      </w:r>
      <w:r>
        <w:t xml:space="preserve">would be </w:t>
      </w:r>
      <w:r w:rsidRPr="008B59F0">
        <w:t xml:space="preserve">tied both to sales growth and cost control. </w:t>
      </w:r>
      <w:r>
        <w:t xml:space="preserve"> </w:t>
      </w:r>
      <w:r w:rsidRPr="008B59F0">
        <w:t>With</w:t>
      </w:r>
      <w:r>
        <w:t xml:space="preserve"> the mechanism</w:t>
      </w:r>
      <w:r w:rsidRPr="008B59F0">
        <w:t xml:space="preserve">, controlling costs takes </w:t>
      </w:r>
      <w:r w:rsidRPr="008B59F0">
        <w:lastRenderedPageBreak/>
        <w:t>on even greater importance</w:t>
      </w:r>
      <w:r>
        <w:t>,</w:t>
      </w:r>
      <w:r w:rsidRPr="008B59F0">
        <w:t xml:space="preserve"> since </w:t>
      </w:r>
      <w:r>
        <w:t xml:space="preserve">PSE </w:t>
      </w:r>
      <w:r w:rsidRPr="008B59F0">
        <w:t>can no longer increa</w:t>
      </w:r>
      <w:r>
        <w:t xml:space="preserve">se profits by increasing sales. </w:t>
      </w:r>
    </w:p>
    <w:p w14:paraId="5B7D17D3" w14:textId="1D2C5910" w:rsidR="00807F89" w:rsidRDefault="000363CD" w:rsidP="0059527B">
      <w:pPr>
        <w:pStyle w:val="BodyText"/>
      </w:pPr>
      <w:r>
        <w:tab/>
      </w:r>
      <w:r w:rsidR="00194E5E">
        <w:t xml:space="preserve">Witness Al-Jabir also claimed in the same </w:t>
      </w:r>
      <w:r w:rsidR="000B3B52">
        <w:t xml:space="preserve">portion </w:t>
      </w:r>
      <w:r w:rsidR="00194E5E">
        <w:t xml:space="preserve">of his </w:t>
      </w:r>
      <w:r w:rsidR="003D480C">
        <w:t xml:space="preserve">response </w:t>
      </w:r>
      <w:r w:rsidR="00194E5E">
        <w:t>testimony that decoupling would make the utility “less focused on providing quality customer service.”</w:t>
      </w:r>
      <w:r w:rsidR="00194E5E">
        <w:rPr>
          <w:rStyle w:val="FootnoteReference"/>
        </w:rPr>
        <w:footnoteReference w:id="19"/>
      </w:r>
      <w:r w:rsidR="00194E5E">
        <w:t xml:space="preserve"> </w:t>
      </w:r>
      <w:r>
        <w:t xml:space="preserve"> </w:t>
      </w:r>
      <w:r w:rsidR="00194E5E">
        <w:t>However, the witness was unable to provide any studies or other evidence that decoupling had any negative impact on the utility’s customer service.</w:t>
      </w:r>
      <w:r w:rsidR="00194E5E">
        <w:rPr>
          <w:rStyle w:val="FootnoteReference"/>
        </w:rPr>
        <w:footnoteReference w:id="20"/>
      </w:r>
      <w:r w:rsidR="00194E5E">
        <w:t xml:space="preserve"> </w:t>
      </w:r>
      <w:r>
        <w:t xml:space="preserve"> </w:t>
      </w:r>
      <w:r w:rsidR="0059527B">
        <w:t>On the other hand, the Company’s third-year evaluation notes, “there is no evident pattern of adverse impact to customer service through the second year of decoupling” and “</w:t>
      </w:r>
      <w:r w:rsidR="0059527B" w:rsidRPr="0059527B">
        <w:t>indicators of customer satisfaction usually exceed target levels</w:t>
      </w:r>
      <w:r w:rsidR="0059527B">
        <w:t>.”</w:t>
      </w:r>
      <w:r w:rsidR="0059527B">
        <w:rPr>
          <w:rStyle w:val="FootnoteReference"/>
        </w:rPr>
        <w:footnoteReference w:id="21"/>
      </w:r>
      <w:r w:rsidR="0059527B">
        <w:t xml:space="preserve"> </w:t>
      </w:r>
      <w:r>
        <w:t xml:space="preserve"> </w:t>
      </w:r>
      <w:r w:rsidR="0059527B">
        <w:t>The evaluation does note some issues in 2015, though the evaluation concludes the performance issues are likely due to difficult weather.</w:t>
      </w:r>
      <w:r w:rsidR="0059527B">
        <w:rPr>
          <w:rStyle w:val="FootnoteReference"/>
        </w:rPr>
        <w:footnoteReference w:id="22"/>
      </w:r>
      <w:r w:rsidR="0059527B">
        <w:t xml:space="preserve"> </w:t>
      </w:r>
    </w:p>
    <w:p w14:paraId="64A9513D" w14:textId="1DBB6935" w:rsidR="00B37897" w:rsidRPr="000B3ED3" w:rsidRDefault="00367EAC" w:rsidP="00B6301E">
      <w:pPr>
        <w:pStyle w:val="BodyText"/>
        <w:ind w:left="720" w:hanging="720"/>
        <w:rPr>
          <w:b/>
        </w:rPr>
      </w:pPr>
      <w:r>
        <w:rPr>
          <w:b/>
        </w:rPr>
        <w:t>Q.</w:t>
      </w:r>
      <w:r>
        <w:rPr>
          <w:b/>
        </w:rPr>
        <w:tab/>
        <w:t>Do you support W</w:t>
      </w:r>
      <w:r w:rsidR="00B37897" w:rsidRPr="000B3ED3">
        <w:rPr>
          <w:b/>
        </w:rPr>
        <w:t xml:space="preserve">itness </w:t>
      </w:r>
      <w:r w:rsidR="00020453" w:rsidRPr="00DA4A25">
        <w:rPr>
          <w:b/>
        </w:rPr>
        <w:t>A</w:t>
      </w:r>
      <w:r w:rsidR="00DA4A25" w:rsidRPr="00DA4A25">
        <w:rPr>
          <w:b/>
        </w:rPr>
        <w:t>l-Jabir</w:t>
      </w:r>
      <w:r w:rsidR="00020453" w:rsidRPr="00DA4A25">
        <w:rPr>
          <w:b/>
        </w:rPr>
        <w:t>’s</w:t>
      </w:r>
      <w:r w:rsidR="00020453">
        <w:rPr>
          <w:b/>
        </w:rPr>
        <w:t xml:space="preserve"> </w:t>
      </w:r>
      <w:r w:rsidR="00B37897" w:rsidRPr="000B3ED3">
        <w:rPr>
          <w:b/>
        </w:rPr>
        <w:t>proposal to replace decoupling with “recovery of volumetric base revenues that are lost due to the Company’s mandated energy efficiency programs”</w:t>
      </w:r>
      <w:r>
        <w:rPr>
          <w:b/>
        </w:rPr>
        <w:t xml:space="preserve">? </w:t>
      </w:r>
      <w:r w:rsidR="00B37897" w:rsidRPr="000B3ED3">
        <w:rPr>
          <w:b/>
        </w:rPr>
        <w:t xml:space="preserve"> (Exhibit No. __</w:t>
      </w:r>
      <w:r w:rsidR="00B37897">
        <w:rPr>
          <w:b/>
        </w:rPr>
        <w:t>_</w:t>
      </w:r>
      <w:r w:rsidR="00B37897" w:rsidRPr="000B3ED3">
        <w:rPr>
          <w:b/>
        </w:rPr>
        <w:t>_</w:t>
      </w:r>
      <w:r w:rsidR="00970378">
        <w:rPr>
          <w:b/>
        </w:rPr>
        <w:t xml:space="preserve"> (AZA-1T</w:t>
      </w:r>
      <w:r w:rsidR="00B37897" w:rsidRPr="000B3ED3">
        <w:rPr>
          <w:b/>
        </w:rPr>
        <w:t>)</w:t>
      </w:r>
      <w:r w:rsidR="00012969">
        <w:rPr>
          <w:b/>
        </w:rPr>
        <w:t>, pg. 12</w:t>
      </w:r>
      <w:r w:rsidR="006F485A">
        <w:rPr>
          <w:b/>
        </w:rPr>
        <w:t>)</w:t>
      </w:r>
    </w:p>
    <w:p w14:paraId="4E9E7CF0" w14:textId="4AC5804C" w:rsidR="00B37897" w:rsidRDefault="00B37897" w:rsidP="00B37897">
      <w:pPr>
        <w:pStyle w:val="BodyText"/>
      </w:pPr>
      <w:r>
        <w:t>A.</w:t>
      </w:r>
      <w:r>
        <w:tab/>
        <w:t>No</w:t>
      </w:r>
      <w:r w:rsidR="00020453">
        <w:t xml:space="preserve">. </w:t>
      </w:r>
      <w:r w:rsidR="000363CD">
        <w:t xml:space="preserve"> </w:t>
      </w:r>
      <w:r w:rsidR="00020453">
        <w:t>These</w:t>
      </w:r>
      <w:r>
        <w:t xml:space="preserve"> proposal</w:t>
      </w:r>
      <w:r w:rsidR="00020453">
        <w:t>s</w:t>
      </w:r>
      <w:r>
        <w:t xml:space="preserve"> would create perverse incentives, some of which were referenced by the Commission in its first decoupling decision back in 1991: </w:t>
      </w:r>
      <w:r w:rsidR="000363CD">
        <w:t xml:space="preserve"> </w:t>
      </w:r>
      <w:r>
        <w:t>“[T]he Commission believes that a mechanism that attempts to identify and correct only for sales reductions associated with company-sponsored conservation programs may be unduly difficult to implement and monitor.  The company would have an incentive to artificially inflate estimates of sales reductions while actually achieving little conservation.”</w:t>
      </w:r>
      <w:r>
        <w:rPr>
          <w:rStyle w:val="FootnoteReference"/>
          <w:rFonts w:eastAsia="SimSun"/>
        </w:rPr>
        <w:footnoteReference w:id="23"/>
      </w:r>
    </w:p>
    <w:p w14:paraId="221C5C4E" w14:textId="247FD980" w:rsidR="00020453" w:rsidRDefault="00B6301E" w:rsidP="00B37897">
      <w:pPr>
        <w:pStyle w:val="BodyText"/>
      </w:pPr>
      <w:r>
        <w:tab/>
      </w:r>
      <w:r w:rsidR="00020453">
        <w:t>Meta-analysis supports the commission’s previous statements</w:t>
      </w:r>
      <w:r w:rsidR="00331387">
        <w:t xml:space="preserve">. </w:t>
      </w:r>
      <w:r w:rsidR="000363CD">
        <w:t xml:space="preserve"> </w:t>
      </w:r>
      <w:r w:rsidR="00331387">
        <w:t xml:space="preserve">For example, </w:t>
      </w:r>
      <w:r w:rsidR="00991667">
        <w:rPr>
          <w:spacing w:val="3"/>
          <w:position w:val="-2"/>
          <w:szCs w:val="24"/>
        </w:rPr>
        <w:t>an</w:t>
      </w:r>
      <w:r w:rsidR="00991667" w:rsidRPr="008B1B3D">
        <w:rPr>
          <w:spacing w:val="3"/>
          <w:position w:val="-2"/>
          <w:szCs w:val="24"/>
        </w:rPr>
        <w:t xml:space="preserve"> </w:t>
      </w:r>
      <w:r w:rsidR="006C0DF3">
        <w:rPr>
          <w:spacing w:val="3"/>
          <w:position w:val="-2"/>
          <w:szCs w:val="24"/>
        </w:rPr>
        <w:lastRenderedPageBreak/>
        <w:t>American Council for an Energy-Efficient Economy (</w:t>
      </w:r>
      <w:r w:rsidR="00991667" w:rsidRPr="008B1B3D">
        <w:rPr>
          <w:spacing w:val="3"/>
          <w:position w:val="-2"/>
          <w:szCs w:val="24"/>
        </w:rPr>
        <w:t>ACEEE</w:t>
      </w:r>
      <w:r w:rsidR="006C0DF3">
        <w:rPr>
          <w:spacing w:val="3"/>
          <w:position w:val="-2"/>
          <w:szCs w:val="24"/>
        </w:rPr>
        <w:t>)</w:t>
      </w:r>
      <w:r w:rsidR="00991667" w:rsidRPr="008B1B3D">
        <w:rPr>
          <w:spacing w:val="3"/>
          <w:position w:val="-2"/>
          <w:szCs w:val="24"/>
        </w:rPr>
        <w:t xml:space="preserve"> review</w:t>
      </w:r>
      <w:r w:rsidR="00991667">
        <w:rPr>
          <w:rStyle w:val="FootnoteReference"/>
          <w:spacing w:val="3"/>
          <w:position w:val="-2"/>
          <w:szCs w:val="24"/>
        </w:rPr>
        <w:footnoteReference w:id="24"/>
      </w:r>
      <w:r w:rsidR="00991667" w:rsidRPr="008B1B3D">
        <w:rPr>
          <w:spacing w:val="3"/>
          <w:position w:val="-2"/>
          <w:szCs w:val="24"/>
        </w:rPr>
        <w:t xml:space="preserve"> of performance incentives found that decoupling had a significant impact on energy efficiency savings: </w:t>
      </w:r>
      <w:r w:rsidR="000363CD">
        <w:rPr>
          <w:spacing w:val="3"/>
          <w:position w:val="-2"/>
          <w:szCs w:val="24"/>
        </w:rPr>
        <w:t xml:space="preserve"> </w:t>
      </w:r>
      <w:r w:rsidR="00991667" w:rsidRPr="008B1B3D">
        <w:rPr>
          <w:spacing w:val="3"/>
          <w:position w:val="-2"/>
          <w:szCs w:val="24"/>
        </w:rPr>
        <w:t>decoupled utilities achieved an average of 1.4% annual energy savings, compared to non-decoupled, non-</w:t>
      </w:r>
      <w:r w:rsidR="00C532E7">
        <w:rPr>
          <w:spacing w:val="3"/>
          <w:position w:val="-2"/>
          <w:szCs w:val="24"/>
        </w:rPr>
        <w:t>lost revenue adjustment mechanism (</w:t>
      </w:r>
      <w:r w:rsidR="00991667" w:rsidRPr="008B1B3D">
        <w:rPr>
          <w:spacing w:val="3"/>
          <w:position w:val="-2"/>
          <w:szCs w:val="24"/>
        </w:rPr>
        <w:t>LRAM</w:t>
      </w:r>
      <w:r w:rsidR="00C532E7">
        <w:rPr>
          <w:spacing w:val="3"/>
          <w:position w:val="-2"/>
          <w:szCs w:val="24"/>
        </w:rPr>
        <w:t>)</w:t>
      </w:r>
      <w:r w:rsidR="00991667" w:rsidRPr="008B1B3D">
        <w:rPr>
          <w:spacing w:val="3"/>
          <w:position w:val="-2"/>
          <w:szCs w:val="24"/>
        </w:rPr>
        <w:t xml:space="preserve"> utilities’ average of 0.5% savings.</w:t>
      </w:r>
      <w:r w:rsidR="000363CD">
        <w:rPr>
          <w:spacing w:val="3"/>
          <w:position w:val="-2"/>
          <w:szCs w:val="24"/>
        </w:rPr>
        <w:t xml:space="preserve"> </w:t>
      </w:r>
      <w:r w:rsidR="00991667" w:rsidRPr="008B1B3D">
        <w:rPr>
          <w:spacing w:val="3"/>
          <w:position w:val="-2"/>
          <w:szCs w:val="24"/>
        </w:rPr>
        <w:t xml:space="preserve"> Unlike decoupling, LRAM was not associated with higher or lower energy savings, with LRAM utilit</w:t>
      </w:r>
      <w:r w:rsidR="00991667">
        <w:rPr>
          <w:spacing w:val="3"/>
          <w:position w:val="-2"/>
          <w:szCs w:val="24"/>
        </w:rPr>
        <w:t>ies achieving savings of 0.6%</w:t>
      </w:r>
      <w:r w:rsidR="00991667" w:rsidRPr="008B1B3D">
        <w:rPr>
          <w:spacing w:val="3"/>
          <w:position w:val="-2"/>
          <w:szCs w:val="24"/>
        </w:rPr>
        <w:t xml:space="preserve">. </w:t>
      </w:r>
      <w:r w:rsidR="000363CD">
        <w:rPr>
          <w:spacing w:val="3"/>
          <w:position w:val="-2"/>
          <w:szCs w:val="24"/>
        </w:rPr>
        <w:t xml:space="preserve"> </w:t>
      </w:r>
      <w:r w:rsidR="00991667" w:rsidRPr="008B1B3D">
        <w:rPr>
          <w:spacing w:val="3"/>
          <w:position w:val="-2"/>
          <w:szCs w:val="24"/>
        </w:rPr>
        <w:t>These trends held true when accounting for energy efficiency standards (EERS)</w:t>
      </w:r>
      <w:r w:rsidR="00991667">
        <w:rPr>
          <w:spacing w:val="3"/>
          <w:position w:val="-2"/>
          <w:szCs w:val="24"/>
        </w:rPr>
        <w:t xml:space="preserve"> as well</w:t>
      </w:r>
      <w:r w:rsidR="00991667" w:rsidRPr="008B1B3D">
        <w:rPr>
          <w:spacing w:val="3"/>
          <w:position w:val="-2"/>
          <w:szCs w:val="24"/>
        </w:rPr>
        <w:t>.</w:t>
      </w:r>
    </w:p>
    <w:p w14:paraId="64A9D2C6" w14:textId="77777777" w:rsidR="00B37897" w:rsidRDefault="00B37897" w:rsidP="00B6301E">
      <w:pPr>
        <w:pStyle w:val="Heading2"/>
        <w:widowControl/>
        <w:numPr>
          <w:ilvl w:val="1"/>
          <w:numId w:val="14"/>
        </w:numPr>
        <w:tabs>
          <w:tab w:val="clear" w:pos="720"/>
        </w:tabs>
        <w:spacing w:before="0" w:after="240"/>
        <w:ind w:left="0" w:firstLine="0"/>
      </w:pPr>
      <w:bookmarkStart w:id="5" w:name="_Toc355720803"/>
      <w:bookmarkStart w:id="6" w:name="_Toc489609446"/>
      <w:r>
        <w:t>RETURN ON EQUITY (“ROE”) ISSUES</w:t>
      </w:r>
      <w:bookmarkEnd w:id="5"/>
      <w:bookmarkEnd w:id="6"/>
    </w:p>
    <w:p w14:paraId="6207E307" w14:textId="1F02ADA2" w:rsidR="00B37897" w:rsidRPr="00F95350" w:rsidRDefault="00B37897" w:rsidP="00B6301E">
      <w:pPr>
        <w:pStyle w:val="BodyText"/>
        <w:ind w:left="720" w:hanging="720"/>
        <w:rPr>
          <w:b/>
        </w:rPr>
      </w:pPr>
      <w:r w:rsidRPr="00F95350">
        <w:rPr>
          <w:b/>
        </w:rPr>
        <w:t>Q.</w:t>
      </w:r>
      <w:r w:rsidRPr="00F95350">
        <w:rPr>
          <w:b/>
        </w:rPr>
        <w:tab/>
        <w:t xml:space="preserve">Do you agree with </w:t>
      </w:r>
      <w:r w:rsidR="008C4FD0">
        <w:rPr>
          <w:b/>
        </w:rPr>
        <w:t>W</w:t>
      </w:r>
      <w:r w:rsidRPr="00F95350">
        <w:rPr>
          <w:b/>
        </w:rPr>
        <w:t>it</w:t>
      </w:r>
      <w:r w:rsidR="00DF55FE">
        <w:rPr>
          <w:b/>
        </w:rPr>
        <w:t xml:space="preserve">ness Gorman’s, </w:t>
      </w:r>
      <w:r w:rsidR="008C4FD0">
        <w:rPr>
          <w:b/>
        </w:rPr>
        <w:t>W</w:t>
      </w:r>
      <w:r w:rsidR="00DF55FE">
        <w:rPr>
          <w:b/>
        </w:rPr>
        <w:t xml:space="preserve">itness Hill’s, </w:t>
      </w:r>
      <w:r w:rsidR="008C4FD0">
        <w:rPr>
          <w:b/>
        </w:rPr>
        <w:t>W</w:t>
      </w:r>
      <w:r w:rsidRPr="00F95350">
        <w:rPr>
          <w:b/>
        </w:rPr>
        <w:t>itness Higgins’s</w:t>
      </w:r>
      <w:r w:rsidR="00DF55FE">
        <w:rPr>
          <w:b/>
        </w:rPr>
        <w:t xml:space="preserve">, and </w:t>
      </w:r>
      <w:r w:rsidR="008C4FD0">
        <w:rPr>
          <w:b/>
        </w:rPr>
        <w:t>W</w:t>
      </w:r>
      <w:r w:rsidR="00DF55FE">
        <w:rPr>
          <w:b/>
        </w:rPr>
        <w:t xml:space="preserve">itness </w:t>
      </w:r>
      <w:proofErr w:type="spellStart"/>
      <w:r w:rsidR="00DF55FE">
        <w:rPr>
          <w:b/>
        </w:rPr>
        <w:t>Brosch’s</w:t>
      </w:r>
      <w:proofErr w:type="spellEnd"/>
      <w:r w:rsidRPr="00F95350">
        <w:rPr>
          <w:b/>
        </w:rPr>
        <w:t xml:space="preserve"> recommendation for prospective reductions in PSE’s allowed return on common equity </w:t>
      </w:r>
      <w:r w:rsidR="001635D3" w:rsidRPr="00F95350">
        <w:rPr>
          <w:b/>
        </w:rPr>
        <w:t>if</w:t>
      </w:r>
      <w:r w:rsidRPr="00F95350">
        <w:rPr>
          <w:b/>
        </w:rPr>
        <w:t xml:space="preserve"> the Commission approves the </w:t>
      </w:r>
      <w:r w:rsidR="000B3B52">
        <w:rPr>
          <w:b/>
        </w:rPr>
        <w:t>continuation of the C</w:t>
      </w:r>
      <w:r>
        <w:rPr>
          <w:b/>
        </w:rPr>
        <w:t xml:space="preserve">ompany’s </w:t>
      </w:r>
      <w:r w:rsidRPr="00F95350">
        <w:rPr>
          <w:b/>
        </w:rPr>
        <w:t xml:space="preserve">decoupling </w:t>
      </w:r>
      <w:r>
        <w:rPr>
          <w:b/>
        </w:rPr>
        <w:t>mechanism</w:t>
      </w:r>
      <w:r w:rsidRPr="00F95350">
        <w:rPr>
          <w:b/>
        </w:rPr>
        <w:t>?</w:t>
      </w:r>
    </w:p>
    <w:p w14:paraId="4D545930" w14:textId="26F341A6" w:rsidR="00B37897" w:rsidRDefault="00B37897" w:rsidP="00B37897">
      <w:pPr>
        <w:pStyle w:val="BodyText"/>
      </w:pPr>
      <w:r>
        <w:t>A.</w:t>
      </w:r>
      <w:r>
        <w:tab/>
        <w:t>No.  None of these witnesses provide</w:t>
      </w:r>
      <w:r w:rsidR="00957964">
        <w:t>s</w:t>
      </w:r>
      <w:r>
        <w:t xml:space="preserve"> any evidence that decoupling has reduc</w:t>
      </w:r>
      <w:r w:rsidR="00970378">
        <w:t xml:space="preserve">ed </w:t>
      </w:r>
      <w:r w:rsidR="008C4FD0">
        <w:t xml:space="preserve">PSE’s </w:t>
      </w:r>
      <w:r w:rsidR="00970378">
        <w:t>cost of equity</w:t>
      </w:r>
      <w:r>
        <w:t>.</w:t>
      </w:r>
      <w:r w:rsidR="000363CD">
        <w:t xml:space="preserve"> </w:t>
      </w:r>
      <w:r>
        <w:t xml:space="preserve"> In addition, this Commission has declined to impose a prospective reduction in previous ratemaking cases where decoupling has been approved.</w:t>
      </w:r>
      <w:r w:rsidR="005547E3">
        <w:rPr>
          <w:rStyle w:val="FootnoteReference"/>
        </w:rPr>
        <w:footnoteReference w:id="25"/>
      </w:r>
      <w:r>
        <w:t xml:space="preserve">  </w:t>
      </w:r>
    </w:p>
    <w:p w14:paraId="2778E5C0" w14:textId="5A4993F4" w:rsidR="00B37897" w:rsidRDefault="000363CD" w:rsidP="00B37897">
      <w:pPr>
        <w:pStyle w:val="BodyText"/>
      </w:pPr>
      <w:r>
        <w:tab/>
      </w:r>
      <w:r w:rsidR="00B37897">
        <w:t xml:space="preserve">Outside of Washington, there is still no concrete evidence that </w:t>
      </w:r>
      <w:r w:rsidR="007D6ABB">
        <w:t>decoupling ha</w:t>
      </w:r>
      <w:r w:rsidR="006F485A">
        <w:t xml:space="preserve">s a quantifiable impact on ROE. </w:t>
      </w:r>
      <w:r w:rsidR="00CE19D8">
        <w:t xml:space="preserve"> </w:t>
      </w:r>
      <w:r w:rsidR="006F485A">
        <w:t>Pamela Morgan’s</w:t>
      </w:r>
      <w:r w:rsidR="0030589D">
        <w:t>,</w:t>
      </w:r>
      <w:r w:rsidR="006F485A">
        <w:t xml:space="preserve"> “</w:t>
      </w:r>
      <w:r w:rsidR="006F485A" w:rsidRPr="006F485A">
        <w:t>A Decade of Decoupling for US Energy Utilities</w:t>
      </w:r>
      <w:r w:rsidR="0030589D">
        <w:t>,</w:t>
      </w:r>
      <w:r w:rsidR="006F485A">
        <w:t>”</w:t>
      </w:r>
      <w:r w:rsidR="00B37897">
        <w:t xml:space="preserve"> provides a meta-analysis of decoupling orders.</w:t>
      </w:r>
      <w:r w:rsidR="006F485A">
        <w:rPr>
          <w:rStyle w:val="FootnoteReference"/>
        </w:rPr>
        <w:footnoteReference w:id="26"/>
      </w:r>
      <w:r w:rsidR="00B37897">
        <w:t xml:space="preserve"> </w:t>
      </w:r>
      <w:r>
        <w:t xml:space="preserve"> </w:t>
      </w:r>
      <w:r w:rsidR="00B37897">
        <w:t xml:space="preserve">The </w:t>
      </w:r>
      <w:r w:rsidR="006F485A">
        <w:t>paper</w:t>
      </w:r>
      <w:r w:rsidR="00B37897">
        <w:t xml:space="preserve"> </w:t>
      </w:r>
      <w:r w:rsidR="007830E7">
        <w:t>reviewed</w:t>
      </w:r>
      <w:r w:rsidR="008C4FD0">
        <w:t xml:space="preserve"> 76 Commission</w:t>
      </w:r>
      <w:r w:rsidR="00B37897">
        <w:t xml:space="preserve"> decisions, and out of 76 relevant decisions by Commissions, 60 resulted in no ROE reduction </w:t>
      </w:r>
      <w:r w:rsidR="00B37897">
        <w:lastRenderedPageBreak/>
        <w:t>and 9 resulted in a reduction of 10 basis points, with four of those resulting from settlement agreements.</w:t>
      </w:r>
      <w:r w:rsidR="00B37897">
        <w:rPr>
          <w:rStyle w:val="FootnoteReference"/>
          <w:rFonts w:eastAsia="SimSun"/>
        </w:rPr>
        <w:footnoteReference w:id="27"/>
      </w:r>
      <w:r w:rsidR="00B37897">
        <w:t xml:space="preserve">  Reductions went as high as 50 basis points in only four cases, which were limited to the jurisdictions of Maryland and Washington, D.C.  Ms. Morgan concluded that “decoupling adjustments will be both surcharges and refunds, the actual adjustments are likely to be small, and most commissions have declined to make an ROE reduction in connection with the adoption of decoupling.</w:t>
      </w:r>
      <w:r w:rsidR="0030589D">
        <w:t>”</w:t>
      </w:r>
      <w:r w:rsidR="00B37897">
        <w:rPr>
          <w:rStyle w:val="FootnoteReference"/>
          <w:rFonts w:eastAsia="SimSun"/>
        </w:rPr>
        <w:footnoteReference w:id="28"/>
      </w:r>
    </w:p>
    <w:p w14:paraId="54CE6F22" w14:textId="6FD0B737" w:rsidR="001D32BD" w:rsidRDefault="00B6301E" w:rsidP="001D32BD">
      <w:pPr>
        <w:spacing w:line="480" w:lineRule="auto"/>
      </w:pPr>
      <w:r>
        <w:tab/>
      </w:r>
      <w:r w:rsidR="001D32BD">
        <w:t>In addition, studies by The Brattle Group</w:t>
      </w:r>
      <w:r w:rsidR="007830E7">
        <w:rPr>
          <w:rStyle w:val="FootnoteReference"/>
        </w:rPr>
        <w:footnoteReference w:id="29"/>
      </w:r>
      <w:r w:rsidR="001D32BD">
        <w:t xml:space="preserve"> found that a decrease in cost of capital for PSE due to decoupling were not justified.</w:t>
      </w:r>
      <w:r w:rsidR="000363CD">
        <w:t xml:space="preserve"> </w:t>
      </w:r>
      <w:r w:rsidR="001D32BD">
        <w:t xml:space="preserve"> The studies performed by The Brattle Group show that there is no statistically significant, or reliable, empirical evidence that decoupling decreases cost of capital.  Without such evidence, the Commission should not adjust PSE’s ROE downward.</w:t>
      </w:r>
    </w:p>
    <w:p w14:paraId="3FFEE73A" w14:textId="45369678" w:rsidR="007D6ABB" w:rsidRPr="0055388E" w:rsidRDefault="001977BD" w:rsidP="00B6301E">
      <w:pPr>
        <w:pStyle w:val="Heading2"/>
      </w:pPr>
      <w:bookmarkStart w:id="7" w:name="_Toc489609447"/>
      <w:r>
        <w:t>dECOUPLING OF fIXED pOWER cOSTS</w:t>
      </w:r>
      <w:bookmarkEnd w:id="7"/>
      <w:r>
        <w:t xml:space="preserve"> </w:t>
      </w:r>
    </w:p>
    <w:p w14:paraId="38802BAB" w14:textId="5A306357" w:rsidR="00E747CF" w:rsidRPr="00F95350" w:rsidRDefault="00E747CF" w:rsidP="00B6301E">
      <w:pPr>
        <w:pStyle w:val="BodyText"/>
        <w:ind w:left="720" w:hanging="720"/>
        <w:rPr>
          <w:b/>
        </w:rPr>
      </w:pPr>
      <w:r w:rsidRPr="00F95350">
        <w:rPr>
          <w:b/>
        </w:rPr>
        <w:t>Q.</w:t>
      </w:r>
      <w:r w:rsidRPr="00F95350">
        <w:rPr>
          <w:b/>
        </w:rPr>
        <w:tab/>
        <w:t xml:space="preserve">Do you agree with </w:t>
      </w:r>
      <w:r w:rsidR="008C4FD0">
        <w:rPr>
          <w:b/>
        </w:rPr>
        <w:t>W</w:t>
      </w:r>
      <w:r w:rsidRPr="00F95350">
        <w:rPr>
          <w:b/>
        </w:rPr>
        <w:t>it</w:t>
      </w:r>
      <w:r>
        <w:rPr>
          <w:b/>
        </w:rPr>
        <w:t xml:space="preserve">ness Liu and </w:t>
      </w:r>
      <w:r w:rsidR="008C4FD0">
        <w:rPr>
          <w:b/>
        </w:rPr>
        <w:t>W</w:t>
      </w:r>
      <w:r>
        <w:rPr>
          <w:b/>
        </w:rPr>
        <w:t>itness Watkin</w:t>
      </w:r>
      <w:r w:rsidRPr="00F95350">
        <w:rPr>
          <w:b/>
        </w:rPr>
        <w:t xml:space="preserve"> that the Commission </w:t>
      </w:r>
      <w:r>
        <w:rPr>
          <w:b/>
        </w:rPr>
        <w:t xml:space="preserve">should approve a separate decoupling approach for fixed power costs, if the Commission </w:t>
      </w:r>
      <w:r w:rsidRPr="00F95350">
        <w:rPr>
          <w:b/>
        </w:rPr>
        <w:t xml:space="preserve">approves the </w:t>
      </w:r>
      <w:r>
        <w:rPr>
          <w:b/>
        </w:rPr>
        <w:t>continua</w:t>
      </w:r>
      <w:r w:rsidR="000B3B52">
        <w:rPr>
          <w:b/>
        </w:rPr>
        <w:t>tion of the C</w:t>
      </w:r>
      <w:r>
        <w:rPr>
          <w:b/>
        </w:rPr>
        <w:t xml:space="preserve">ompany’s </w:t>
      </w:r>
      <w:r w:rsidRPr="00F95350">
        <w:rPr>
          <w:b/>
        </w:rPr>
        <w:t xml:space="preserve">decoupling </w:t>
      </w:r>
      <w:r>
        <w:rPr>
          <w:b/>
        </w:rPr>
        <w:t>mechanism</w:t>
      </w:r>
      <w:r w:rsidRPr="00F95350">
        <w:rPr>
          <w:b/>
        </w:rPr>
        <w:t>?</w:t>
      </w:r>
    </w:p>
    <w:p w14:paraId="30F97A08" w14:textId="5A0223CF" w:rsidR="001977BD" w:rsidRDefault="00E747CF" w:rsidP="00E747CF">
      <w:pPr>
        <w:pStyle w:val="BodyText"/>
      </w:pPr>
      <w:r>
        <w:t>A.</w:t>
      </w:r>
      <w:r>
        <w:tab/>
        <w:t xml:space="preserve">Yes. </w:t>
      </w:r>
      <w:r w:rsidR="00CE19D8">
        <w:t xml:space="preserve"> </w:t>
      </w:r>
      <w:r>
        <w:t>As noted in my own testimony, and that of Witness</w:t>
      </w:r>
      <w:r w:rsidR="008C4FD0">
        <w:t>es</w:t>
      </w:r>
      <w:r>
        <w:t xml:space="preserve"> Liu and Watkins, fixed power costs should not increase with customer count between rate case proceedings.</w:t>
      </w:r>
      <w:r w:rsidR="006E7158">
        <w:rPr>
          <w:rStyle w:val="FootnoteReference"/>
        </w:rPr>
        <w:footnoteReference w:id="30"/>
      </w:r>
      <w:r>
        <w:t xml:space="preserve"> </w:t>
      </w:r>
      <w:r w:rsidR="000363CD">
        <w:t xml:space="preserve"> </w:t>
      </w:r>
      <w:r>
        <w:t>Thus, including these costs within a revenue-per-customer approach could result in over-recovery of these power costs.</w:t>
      </w:r>
    </w:p>
    <w:p w14:paraId="1D1A719A" w14:textId="4FFB2243" w:rsidR="00E747CF" w:rsidRPr="00F95350" w:rsidRDefault="00E747CF" w:rsidP="0030589D">
      <w:pPr>
        <w:pStyle w:val="BodyText"/>
        <w:ind w:left="720" w:hanging="720"/>
        <w:rPr>
          <w:b/>
        </w:rPr>
      </w:pPr>
      <w:r w:rsidRPr="00F95350">
        <w:rPr>
          <w:b/>
        </w:rPr>
        <w:lastRenderedPageBreak/>
        <w:t>Q.</w:t>
      </w:r>
      <w:r w:rsidRPr="00F95350">
        <w:rPr>
          <w:b/>
        </w:rPr>
        <w:tab/>
        <w:t xml:space="preserve">Do you </w:t>
      </w:r>
      <w:r>
        <w:rPr>
          <w:b/>
        </w:rPr>
        <w:t>support</w:t>
      </w:r>
      <w:r w:rsidRPr="00F95350">
        <w:rPr>
          <w:b/>
        </w:rPr>
        <w:t xml:space="preserve"> </w:t>
      </w:r>
      <w:r w:rsidR="0047402F">
        <w:rPr>
          <w:b/>
        </w:rPr>
        <w:t>Staff’s propos</w:t>
      </w:r>
      <w:r w:rsidR="007463E5">
        <w:rPr>
          <w:b/>
        </w:rPr>
        <w:t>ed modification</w:t>
      </w:r>
      <w:r w:rsidR="0047402F">
        <w:rPr>
          <w:b/>
        </w:rPr>
        <w:t xml:space="preserve"> for recovering fixed power costs</w:t>
      </w:r>
      <w:r w:rsidR="008C4FD0">
        <w:rPr>
          <w:b/>
        </w:rPr>
        <w:t xml:space="preserve">?  </w:t>
      </w:r>
      <w:r w:rsidR="000C7CBB" w:rsidRPr="000C7CBB">
        <w:rPr>
          <w:b/>
        </w:rPr>
        <w:t>(Exhibit. No. _____ (JL-1CT)</w:t>
      </w:r>
      <w:r w:rsidR="00F954A7">
        <w:rPr>
          <w:b/>
        </w:rPr>
        <w:t>,</w:t>
      </w:r>
      <w:r w:rsidR="00F954A7" w:rsidRPr="00F954A7">
        <w:t xml:space="preserve"> </w:t>
      </w:r>
      <w:r w:rsidR="00F954A7" w:rsidRPr="00F954A7">
        <w:rPr>
          <w:b/>
        </w:rPr>
        <w:t xml:space="preserve">pg. </w:t>
      </w:r>
      <w:r w:rsidR="007463E5">
        <w:rPr>
          <w:b/>
        </w:rPr>
        <w:t>49</w:t>
      </w:r>
      <w:r w:rsidR="000C7CBB" w:rsidRPr="000C7CBB">
        <w:rPr>
          <w:b/>
        </w:rPr>
        <w:t>)</w:t>
      </w:r>
    </w:p>
    <w:p w14:paraId="4C18749B" w14:textId="54E8C873" w:rsidR="00AD26FD" w:rsidRDefault="00581808" w:rsidP="00E747CF">
      <w:pPr>
        <w:pStyle w:val="BodyText"/>
      </w:pPr>
      <w:r>
        <w:t>A.</w:t>
      </w:r>
      <w:r>
        <w:tab/>
        <w:t xml:space="preserve">Yes. </w:t>
      </w:r>
      <w:r w:rsidR="000363CD">
        <w:t xml:space="preserve"> </w:t>
      </w:r>
      <w:r w:rsidR="00CD716D">
        <w:t>Staff Witness Liu provides a proposed modification to the Company’s proposed decoupling mechanism for fixed power costs.</w:t>
      </w:r>
      <w:r w:rsidR="00CD716D">
        <w:rPr>
          <w:rStyle w:val="FootnoteReference"/>
        </w:rPr>
        <w:footnoteReference w:id="31"/>
      </w:r>
      <w:r w:rsidR="00CD716D">
        <w:t xml:space="preserve"> </w:t>
      </w:r>
      <w:r w:rsidR="000363CD">
        <w:t xml:space="preserve"> </w:t>
      </w:r>
      <w:r w:rsidR="00CD716D">
        <w:t xml:space="preserve">Under Staff’s proposal, the Commission would set Allowed Revenue for the fixed production decoupling mechanism as determined in this general rate case. </w:t>
      </w:r>
      <w:r w:rsidR="000363CD">
        <w:t xml:space="preserve"> </w:t>
      </w:r>
      <w:r w:rsidR="00CD716D">
        <w:t xml:space="preserve">This Allowed Revenue would be held at the Commission’s pre-determined level </w:t>
      </w:r>
      <w:r w:rsidR="0030589D">
        <w:t xml:space="preserve">until </w:t>
      </w:r>
      <w:r w:rsidR="00CD716D">
        <w:t>the Company “can demonstrate an increase in actual costs in the next general rate case or in a power cost only rate case.”</w:t>
      </w:r>
      <w:r w:rsidR="00CD716D">
        <w:rPr>
          <w:rStyle w:val="FootnoteReference"/>
        </w:rPr>
        <w:footnoteReference w:id="32"/>
      </w:r>
      <w:r w:rsidR="00CD716D">
        <w:t xml:space="preserve"> </w:t>
      </w:r>
      <w:r w:rsidR="000363CD">
        <w:t xml:space="preserve"> </w:t>
      </w:r>
      <w:r w:rsidR="00CD716D">
        <w:t>The Company would be allowed to true-up rates annually to reflect the difference between the Allowed Revenue and actual collected revenue, but the Allowed Revenue would not be tied to customer growth as the Company has proposed.</w:t>
      </w:r>
    </w:p>
    <w:p w14:paraId="02FC19E5" w14:textId="5FDAE11F" w:rsidR="00CD716D" w:rsidRDefault="000363CD" w:rsidP="00E747CF">
      <w:pPr>
        <w:pStyle w:val="BodyText"/>
      </w:pPr>
      <w:r>
        <w:tab/>
      </w:r>
      <w:r w:rsidR="00CD716D">
        <w:t xml:space="preserve">I believe that Staff’s proposal </w:t>
      </w:r>
      <w:r w:rsidR="006B1AFC">
        <w:t xml:space="preserve">appropriately balances </w:t>
      </w:r>
      <w:r w:rsidR="0004394A">
        <w:t xml:space="preserve">parties’ </w:t>
      </w:r>
      <w:r w:rsidR="006B1AFC">
        <w:t xml:space="preserve">concerns around the inclusion of fixed power costs in the Company’s decoupling mechanism and potential perverse utility incentives if these costs are not addressed in either </w:t>
      </w:r>
      <w:r w:rsidR="00832D45">
        <w:t>the</w:t>
      </w:r>
      <w:r w:rsidR="006B1AFC">
        <w:t xml:space="preserve"> PCA</w:t>
      </w:r>
      <w:r w:rsidR="00832D45">
        <w:t>M (as agreed to in the 2015 PCA settlement)</w:t>
      </w:r>
      <w:r w:rsidR="006B1AFC">
        <w:t xml:space="preserve"> or </w:t>
      </w:r>
      <w:r w:rsidR="00832D45">
        <w:t>another mechanism.</w:t>
      </w:r>
      <w:r w:rsidR="006B1AFC">
        <w:t xml:space="preserve"> </w:t>
      </w:r>
      <w:r>
        <w:t xml:space="preserve"> </w:t>
      </w:r>
      <w:r w:rsidR="006B1AFC">
        <w:t>The modification ensures that the decoupling mechanism does not inappropriately provide the Company with additional revenues to cover fixed production costs that do not actually exi</w:t>
      </w:r>
      <w:r w:rsidR="000B3B52">
        <w:t>st, while still addressing the C</w:t>
      </w:r>
      <w:r w:rsidR="006B1AFC">
        <w:t>ompany’s “throughput” incentive, and preventing a new perverse incentive for the Company to prefer purchased power (r</w:t>
      </w:r>
      <w:r w:rsidR="000B3B52">
        <w:t>ecoverable under the PCA) over C</w:t>
      </w:r>
      <w:r w:rsidR="006B1AFC">
        <w:t>ompany-owned resources, even when more expensive.</w:t>
      </w:r>
      <w:r w:rsidR="006B1AFC">
        <w:rPr>
          <w:rStyle w:val="FootnoteReference"/>
        </w:rPr>
        <w:footnoteReference w:id="33"/>
      </w:r>
    </w:p>
    <w:p w14:paraId="3DC71245" w14:textId="47593FC8" w:rsidR="00AD26FD" w:rsidRPr="0055388E" w:rsidRDefault="002E4973" w:rsidP="000363CD">
      <w:pPr>
        <w:pStyle w:val="Heading2"/>
        <w:widowControl/>
        <w:numPr>
          <w:ilvl w:val="1"/>
          <w:numId w:val="14"/>
        </w:numPr>
        <w:tabs>
          <w:tab w:val="clear" w:pos="720"/>
        </w:tabs>
        <w:spacing w:before="0" w:after="240"/>
        <w:ind w:left="0" w:firstLine="0"/>
      </w:pPr>
      <w:bookmarkStart w:id="8" w:name="_Toc489609448"/>
      <w:r>
        <w:t>MiscellanE</w:t>
      </w:r>
      <w:r w:rsidR="00AD26FD">
        <w:t>ous Issues</w:t>
      </w:r>
      <w:bookmarkEnd w:id="8"/>
    </w:p>
    <w:p w14:paraId="62ABFBB6" w14:textId="1DAF5302" w:rsidR="00AD26FD" w:rsidRPr="00581808" w:rsidRDefault="00AD26FD" w:rsidP="000363CD">
      <w:pPr>
        <w:pStyle w:val="BodyText"/>
        <w:ind w:left="720" w:hanging="720"/>
      </w:pPr>
      <w:r w:rsidRPr="00F95350">
        <w:rPr>
          <w:b/>
        </w:rPr>
        <w:t>Q.</w:t>
      </w:r>
      <w:r w:rsidRPr="00F95350">
        <w:rPr>
          <w:b/>
        </w:rPr>
        <w:tab/>
      </w:r>
      <w:r w:rsidR="00FC04DA">
        <w:rPr>
          <w:b/>
        </w:rPr>
        <w:t>Have you reviewed</w:t>
      </w:r>
      <w:r w:rsidR="005E51C9">
        <w:rPr>
          <w:b/>
        </w:rPr>
        <w:t xml:space="preserve"> Staff’s Third-</w:t>
      </w:r>
      <w:r>
        <w:rPr>
          <w:b/>
        </w:rPr>
        <w:t>Tier Block</w:t>
      </w:r>
      <w:r w:rsidR="00FC04DA">
        <w:rPr>
          <w:b/>
        </w:rPr>
        <w:t xml:space="preserve"> calculation</w:t>
      </w:r>
      <w:r w:rsidR="008C4FD0">
        <w:rPr>
          <w:b/>
        </w:rPr>
        <w:t xml:space="preserve">? </w:t>
      </w:r>
      <w:r w:rsidR="000C7CBB">
        <w:rPr>
          <w:b/>
        </w:rPr>
        <w:t xml:space="preserve"> (</w:t>
      </w:r>
      <w:r w:rsidR="000C7CBB" w:rsidRPr="000B3ED3">
        <w:rPr>
          <w:b/>
        </w:rPr>
        <w:t>Exhibit No. __</w:t>
      </w:r>
      <w:r w:rsidR="000C7CBB">
        <w:rPr>
          <w:b/>
        </w:rPr>
        <w:t>_</w:t>
      </w:r>
      <w:r w:rsidR="000C7CBB" w:rsidRPr="000B3ED3">
        <w:rPr>
          <w:b/>
        </w:rPr>
        <w:t>_</w:t>
      </w:r>
      <w:r w:rsidR="000363CD">
        <w:rPr>
          <w:b/>
        </w:rPr>
        <w:t xml:space="preserve"> </w:t>
      </w:r>
      <w:r w:rsidR="000363CD">
        <w:rPr>
          <w:b/>
        </w:rPr>
        <w:lastRenderedPageBreak/>
        <w:t>(JLB</w:t>
      </w:r>
      <w:r w:rsidR="000363CD">
        <w:rPr>
          <w:b/>
        </w:rPr>
        <w:noBreakHyphen/>
      </w:r>
      <w:r w:rsidR="000C7CBB">
        <w:rPr>
          <w:b/>
        </w:rPr>
        <w:t>6</w:t>
      </w:r>
      <w:r w:rsidR="000C7CBB" w:rsidRPr="000B3ED3">
        <w:rPr>
          <w:b/>
        </w:rPr>
        <w:t>)</w:t>
      </w:r>
      <w:r w:rsidR="005547E3">
        <w:rPr>
          <w:b/>
        </w:rPr>
        <w:t>)</w:t>
      </w:r>
    </w:p>
    <w:p w14:paraId="4B0A206C" w14:textId="31A6AAC6" w:rsidR="00B50987" w:rsidRDefault="00AD26FD" w:rsidP="00B50987">
      <w:pPr>
        <w:pStyle w:val="BodyText"/>
        <w:numPr>
          <w:ilvl w:val="0"/>
          <w:numId w:val="14"/>
        </w:numPr>
      </w:pPr>
      <w:r>
        <w:t>A.</w:t>
      </w:r>
      <w:r>
        <w:tab/>
      </w:r>
      <w:r w:rsidR="00FC04DA">
        <w:t xml:space="preserve">Yes. </w:t>
      </w:r>
      <w:r w:rsidR="000363CD">
        <w:t xml:space="preserve"> </w:t>
      </w:r>
      <w:r w:rsidR="00FC04DA">
        <w:t xml:space="preserve">Staff Witness Ball provides additional detail on the third-tier block rate calculation in Exhibit JLB-6. </w:t>
      </w:r>
      <w:r w:rsidR="000363CD">
        <w:t xml:space="preserve"> </w:t>
      </w:r>
      <w:r w:rsidR="00FC04DA">
        <w:t xml:space="preserve">Staff’s revised tiers result in a proper inclining rate, with a third-tier rate of $0.127 or $0.130 per kWh for </w:t>
      </w:r>
      <w:r w:rsidR="00FA2DE3">
        <w:t>usage</w:t>
      </w:r>
      <w:r w:rsidR="00FC04DA">
        <w:t xml:space="preserve"> above 1800 kWh’</w:t>
      </w:r>
      <w:r w:rsidR="00FA2DE3">
        <w:t>s, depending on treatment of transformer costs.</w:t>
      </w:r>
      <w:r w:rsidR="007463E5">
        <w:rPr>
          <w:rStyle w:val="FootnoteReference"/>
        </w:rPr>
        <w:footnoteReference w:id="34"/>
      </w:r>
      <w:r w:rsidR="00FA2DE3">
        <w:t xml:space="preserve"> </w:t>
      </w:r>
    </w:p>
    <w:p w14:paraId="590CEB2A" w14:textId="3C420066" w:rsidR="00AD26FD" w:rsidRPr="00EB616A" w:rsidRDefault="000363CD" w:rsidP="000363CD">
      <w:pPr>
        <w:pStyle w:val="BodyText"/>
      </w:pPr>
      <w:r>
        <w:tab/>
      </w:r>
      <w:r w:rsidR="00FA2DE3">
        <w:t>In my direct testimony, I had proposed a possible three-tier block design that would account for load profiles and factors of high-usage customers, if feasible.</w:t>
      </w:r>
      <w:r>
        <w:t xml:space="preserve"> </w:t>
      </w:r>
      <w:r w:rsidR="00FA2DE3">
        <w:t xml:space="preserve"> PSE does not currently track the data and information necessary to do this. </w:t>
      </w:r>
      <w:r>
        <w:t xml:space="preserve"> </w:t>
      </w:r>
      <w:r w:rsidR="00FA2DE3">
        <w:t>Staff notes the same issue, and relies on an alternative approach to approxim</w:t>
      </w:r>
      <w:r w:rsidR="0030589D">
        <w:t>ate demand variances and demand-</w:t>
      </w:r>
      <w:r w:rsidR="00FA2DE3">
        <w:t>related costs for block groups.</w:t>
      </w:r>
      <w:r w:rsidR="00B50987">
        <w:rPr>
          <w:rStyle w:val="FootnoteReference"/>
        </w:rPr>
        <w:footnoteReference w:id="35"/>
      </w:r>
      <w:r>
        <w:t xml:space="preserve"> </w:t>
      </w:r>
      <w:r w:rsidR="000B3B52">
        <w:t xml:space="preserve"> Staff allocates 100% of the C</w:t>
      </w:r>
      <w:r w:rsidR="00FA2DE3">
        <w:t xml:space="preserve">ompany’s embedded hydro assets and expenses (on a demand and energy basis) to the first block, consistent </w:t>
      </w:r>
      <w:r w:rsidR="00B50987">
        <w:t xml:space="preserve">with previous commission orders </w:t>
      </w:r>
      <w:r w:rsidR="00B50987" w:rsidRPr="00B50987">
        <w:rPr>
          <w:rFonts w:eastAsia="SimSun"/>
        </w:rPr>
        <w:t>endorsing the principle that the low-cost energy should be reserved for the first block.</w:t>
      </w:r>
      <w:r w:rsidR="00B50987">
        <w:rPr>
          <w:rStyle w:val="FootnoteReference"/>
          <w:rFonts w:eastAsia="SimSun"/>
        </w:rPr>
        <w:footnoteReference w:id="36"/>
      </w:r>
      <w:r w:rsidR="00B50987" w:rsidRPr="00B50987">
        <w:rPr>
          <w:rFonts w:eastAsia="SimSun"/>
        </w:rPr>
        <w:t xml:space="preserve"> </w:t>
      </w:r>
      <w:r>
        <w:rPr>
          <w:rFonts w:eastAsia="SimSun"/>
        </w:rPr>
        <w:t xml:space="preserve"> </w:t>
      </w:r>
      <w:r w:rsidR="00B50987" w:rsidRPr="00B50987">
        <w:rPr>
          <w:rFonts w:eastAsia="SimSun"/>
        </w:rPr>
        <w:t xml:space="preserve">Staff then allocates the demand costs of thermal resources between the first and second blocks based </w:t>
      </w:r>
      <w:r w:rsidR="0030589D">
        <w:rPr>
          <w:rFonts w:eastAsia="SimSun"/>
        </w:rPr>
        <w:t xml:space="preserve">on </w:t>
      </w:r>
      <w:r w:rsidR="00B50987" w:rsidRPr="00B50987">
        <w:rPr>
          <w:rFonts w:eastAsia="SimSun"/>
        </w:rPr>
        <w:t>the relative annual energy consumption for each block</w:t>
      </w:r>
      <w:r w:rsidR="0030589D">
        <w:rPr>
          <w:rFonts w:eastAsia="SimSun"/>
        </w:rPr>
        <w:t>, and allocates</w:t>
      </w:r>
      <w:r w:rsidR="00B50987" w:rsidRPr="00B50987">
        <w:rPr>
          <w:rFonts w:eastAsia="SimSun"/>
        </w:rPr>
        <w:t xml:space="preserve"> the demand costs of other and peaking resources between the second and third tier. </w:t>
      </w:r>
      <w:r>
        <w:rPr>
          <w:rFonts w:eastAsia="SimSun"/>
        </w:rPr>
        <w:t xml:space="preserve"> </w:t>
      </w:r>
      <w:r w:rsidR="00B50987" w:rsidRPr="00B50987">
        <w:rPr>
          <w:rFonts w:eastAsia="SimSun"/>
        </w:rPr>
        <w:t xml:space="preserve">On an energy basis, the costs of all non-hydro power (which was allocated 100% to the first block) are allocated based on ratio of total kWh for each block in the test year. </w:t>
      </w:r>
    </w:p>
    <w:p w14:paraId="69B4BDB3" w14:textId="1F6ED5EA" w:rsidR="00EB616A" w:rsidRDefault="000363CD" w:rsidP="000363CD">
      <w:pPr>
        <w:pStyle w:val="BodyText"/>
      </w:pPr>
      <w:r>
        <w:rPr>
          <w:rFonts w:eastAsia="SimSun"/>
        </w:rPr>
        <w:tab/>
      </w:r>
      <w:r w:rsidR="00EB616A">
        <w:rPr>
          <w:rFonts w:eastAsia="SimSun"/>
        </w:rPr>
        <w:t xml:space="preserve">While I have not completed a full robust review of Staff’s calculations, Staff’s three-tier rate methodology may be a potential approach that would not require </w:t>
      </w:r>
      <w:r w:rsidR="008C4FD0">
        <w:rPr>
          <w:rFonts w:eastAsia="SimSun"/>
        </w:rPr>
        <w:t xml:space="preserve">PSE </w:t>
      </w:r>
      <w:r w:rsidR="00EB616A">
        <w:rPr>
          <w:rFonts w:eastAsia="SimSun"/>
        </w:rPr>
        <w:t xml:space="preserve">to track and use information it does not currently have. </w:t>
      </w:r>
      <w:r>
        <w:rPr>
          <w:rFonts w:eastAsia="SimSun"/>
        </w:rPr>
        <w:t xml:space="preserve"> </w:t>
      </w:r>
      <w:r w:rsidR="00EB616A">
        <w:rPr>
          <w:rFonts w:eastAsia="SimSun"/>
        </w:rPr>
        <w:t xml:space="preserve">The Commission and other parties may want to explore </w:t>
      </w:r>
      <w:r w:rsidR="00EB616A">
        <w:rPr>
          <w:rFonts w:eastAsia="SimSun"/>
        </w:rPr>
        <w:lastRenderedPageBreak/>
        <w:t xml:space="preserve">and discuss Staff’s approach as a potential three-tier design option if there is adequate interest in transitioning to a three-tier rate design for residential electric customers. </w:t>
      </w:r>
      <w:r>
        <w:rPr>
          <w:rFonts w:eastAsia="SimSun"/>
        </w:rPr>
        <w:t xml:space="preserve"> </w:t>
      </w:r>
      <w:r w:rsidR="00EB616A">
        <w:rPr>
          <w:rFonts w:eastAsia="SimSun"/>
        </w:rPr>
        <w:t xml:space="preserve">Staff’s approach </w:t>
      </w:r>
      <w:r w:rsidR="00A11687">
        <w:rPr>
          <w:rFonts w:eastAsia="SimSun"/>
        </w:rPr>
        <w:t xml:space="preserve">results in a true inclining block rate, unlike </w:t>
      </w:r>
      <w:r w:rsidR="008C4FD0">
        <w:rPr>
          <w:rFonts w:eastAsia="SimSun"/>
        </w:rPr>
        <w:t xml:space="preserve">PSE’s </w:t>
      </w:r>
      <w:r w:rsidR="00A11687">
        <w:rPr>
          <w:rFonts w:eastAsia="SimSun"/>
        </w:rPr>
        <w:t>proposal, and would not require the Company to measure and track new, more granular data on demand by block level.</w:t>
      </w:r>
    </w:p>
    <w:p w14:paraId="14ED437A" w14:textId="38E8E6E4" w:rsidR="00AD26FD" w:rsidRPr="00F95350" w:rsidRDefault="00AD26FD" w:rsidP="000363CD">
      <w:pPr>
        <w:pStyle w:val="BodyText"/>
        <w:numPr>
          <w:ilvl w:val="0"/>
          <w:numId w:val="14"/>
        </w:numPr>
        <w:ind w:left="720" w:hanging="720"/>
        <w:rPr>
          <w:b/>
        </w:rPr>
      </w:pPr>
      <w:r w:rsidRPr="00F95350">
        <w:rPr>
          <w:b/>
        </w:rPr>
        <w:t>Q.</w:t>
      </w:r>
      <w:r w:rsidRPr="00F95350">
        <w:rPr>
          <w:b/>
        </w:rPr>
        <w:tab/>
      </w:r>
      <w:r w:rsidR="00D26D5C">
        <w:rPr>
          <w:b/>
        </w:rPr>
        <w:t>Have you reviewed</w:t>
      </w:r>
      <w:r>
        <w:rPr>
          <w:b/>
        </w:rPr>
        <w:t xml:space="preserve"> Public Counsel’s suggestion to explore potential revisions to tier levels (</w:t>
      </w:r>
      <w:r w:rsidR="005547E3">
        <w:rPr>
          <w:b/>
        </w:rPr>
        <w:t>e.g.</w:t>
      </w:r>
      <w:r w:rsidR="0030589D">
        <w:rPr>
          <w:b/>
        </w:rPr>
        <w:t>,</w:t>
      </w:r>
      <w:r w:rsidR="005547E3">
        <w:rPr>
          <w:b/>
        </w:rPr>
        <w:t xml:space="preserve"> first block covering consumption up to</w:t>
      </w:r>
      <w:r>
        <w:rPr>
          <w:b/>
        </w:rPr>
        <w:t xml:space="preserve"> 800 k</w:t>
      </w:r>
      <w:r w:rsidR="0030589D">
        <w:rPr>
          <w:b/>
        </w:rPr>
        <w:t>W</w:t>
      </w:r>
      <w:r>
        <w:rPr>
          <w:b/>
        </w:rPr>
        <w:t>h)</w:t>
      </w:r>
      <w:r w:rsidR="008C4FD0">
        <w:rPr>
          <w:b/>
        </w:rPr>
        <w:t xml:space="preserve">? </w:t>
      </w:r>
      <w:r w:rsidR="000C7CBB">
        <w:rPr>
          <w:b/>
        </w:rPr>
        <w:t xml:space="preserve"> (</w:t>
      </w:r>
      <w:r w:rsidR="000C7CBB" w:rsidRPr="000B3ED3">
        <w:rPr>
          <w:b/>
        </w:rPr>
        <w:t>Exhibit No. __</w:t>
      </w:r>
      <w:r w:rsidR="000C7CBB">
        <w:rPr>
          <w:b/>
        </w:rPr>
        <w:t>_</w:t>
      </w:r>
      <w:r w:rsidR="000C7CBB" w:rsidRPr="000B3ED3">
        <w:rPr>
          <w:b/>
        </w:rPr>
        <w:t>_</w:t>
      </w:r>
      <w:r w:rsidR="000C7CBB">
        <w:rPr>
          <w:b/>
        </w:rPr>
        <w:t xml:space="preserve"> (GAW-1T</w:t>
      </w:r>
      <w:r w:rsidR="000C7CBB" w:rsidRPr="000B3ED3">
        <w:rPr>
          <w:b/>
        </w:rPr>
        <w:t>)</w:t>
      </w:r>
      <w:r w:rsidR="000C7CBB">
        <w:rPr>
          <w:b/>
        </w:rPr>
        <w:t>, pg. 62)</w:t>
      </w:r>
    </w:p>
    <w:p w14:paraId="7BE3E8EF" w14:textId="1E966EDF" w:rsidR="000363CD" w:rsidRDefault="00AD26FD" w:rsidP="000363CD">
      <w:pPr>
        <w:pStyle w:val="BodyText"/>
      </w:pPr>
      <w:r>
        <w:t>A.</w:t>
      </w:r>
      <w:r>
        <w:tab/>
      </w:r>
      <w:r w:rsidR="00D26D5C">
        <w:t>Yes.</w:t>
      </w:r>
      <w:r w:rsidR="00CE19D8">
        <w:t xml:space="preserve"> </w:t>
      </w:r>
      <w:r w:rsidR="00D26D5C">
        <w:t xml:space="preserve"> If the Commission and other parties are interested, I would be supportive of parties opening a separate docket to explore possible adjustments and alternative rate designs for residential customers. </w:t>
      </w:r>
      <w:r w:rsidR="00CE19D8">
        <w:t xml:space="preserve"> </w:t>
      </w:r>
      <w:r w:rsidR="00D26D5C">
        <w:t>This could include studying the possibili</w:t>
      </w:r>
      <w:r w:rsidR="0030589D">
        <w:t>ty of raising the current first-</w:t>
      </w:r>
      <w:r w:rsidR="00D26D5C">
        <w:t xml:space="preserve">tier block from 600 kWh to 800 kWh; the benefits, </w:t>
      </w:r>
      <w:r w:rsidR="005547E3">
        <w:t xml:space="preserve">rate </w:t>
      </w:r>
      <w:r w:rsidR="00D26D5C">
        <w:t>structure, and any necessary investments to implement a time-of-use (TOU) offering; seasonal rate</w:t>
      </w:r>
      <w:r w:rsidR="005547E3">
        <w:t xml:space="preserve"> options</w:t>
      </w:r>
      <w:r w:rsidR="00D26D5C">
        <w:t>; and/or a three-tier block rate methodology.</w:t>
      </w:r>
      <w:r w:rsidR="00CE19D8">
        <w:t xml:space="preserve"> </w:t>
      </w:r>
      <w:r w:rsidR="00D26D5C">
        <w:t xml:space="preserve"> In particular</w:t>
      </w:r>
      <w:r w:rsidR="0047402F">
        <w:t>,</w:t>
      </w:r>
      <w:r w:rsidR="00D26D5C">
        <w:t xml:space="preserve"> I would recommend that a proceeding exploring revisions to the </w:t>
      </w:r>
      <w:r w:rsidR="00324225">
        <w:t>first-tier</w:t>
      </w:r>
      <w:r w:rsidR="00D26D5C">
        <w:t xml:space="preserve"> block level specifically study the likely impacts on low-income households.</w:t>
      </w:r>
    </w:p>
    <w:p w14:paraId="319F2AFA" w14:textId="05C3C5F9" w:rsidR="000363CD" w:rsidRDefault="00BC2FA3" w:rsidP="000363CD">
      <w:pPr>
        <w:pStyle w:val="BodyText"/>
        <w:rPr>
          <w:b/>
          <w:szCs w:val="24"/>
        </w:rPr>
      </w:pPr>
      <w:r w:rsidRPr="00BC2FA3">
        <w:rPr>
          <w:b/>
          <w:szCs w:val="24"/>
        </w:rPr>
        <w:t>Q.</w:t>
      </w:r>
      <w:r w:rsidR="000363CD">
        <w:rPr>
          <w:b/>
          <w:szCs w:val="24"/>
        </w:rPr>
        <w:tab/>
      </w:r>
      <w:r w:rsidR="008C4FD0" w:rsidRPr="00BC2FA3">
        <w:rPr>
          <w:b/>
          <w:szCs w:val="24"/>
        </w:rPr>
        <w:t>Does this conclude your testimony</w:t>
      </w:r>
      <w:r w:rsidRPr="00BC2FA3">
        <w:rPr>
          <w:b/>
          <w:szCs w:val="24"/>
        </w:rPr>
        <w:t>?</w:t>
      </w:r>
    </w:p>
    <w:p w14:paraId="409C0B19" w14:textId="68AD5D5F" w:rsidR="006062B7" w:rsidRPr="000363CD" w:rsidRDefault="000363CD" w:rsidP="000363CD">
      <w:pPr>
        <w:pStyle w:val="BodyText"/>
      </w:pPr>
      <w:r w:rsidRPr="000363CD">
        <w:rPr>
          <w:szCs w:val="24"/>
        </w:rPr>
        <w:t>A.</w:t>
      </w:r>
      <w:r w:rsidRPr="000363CD">
        <w:rPr>
          <w:szCs w:val="24"/>
        </w:rPr>
        <w:tab/>
      </w:r>
      <w:r w:rsidR="00BC2FA3" w:rsidRPr="00BC2FA3">
        <w:rPr>
          <w:szCs w:val="24"/>
        </w:rPr>
        <w:t>Yes.</w:t>
      </w:r>
    </w:p>
    <w:sectPr w:rsidR="006062B7" w:rsidRPr="000363CD" w:rsidSect="00DA6899">
      <w:pgSz w:w="12240" w:h="15840" w:code="1"/>
      <w:pgMar w:top="1440" w:right="1440" w:bottom="1440" w:left="1440" w:header="720" w:footer="432" w:gutter="0"/>
      <w:paperSrc w:first="275" w:other="275"/>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1EA94" w14:textId="77777777" w:rsidR="00FC6CAD" w:rsidRDefault="00FC6CAD">
      <w:r>
        <w:separator/>
      </w:r>
    </w:p>
  </w:endnote>
  <w:endnote w:type="continuationSeparator" w:id="0">
    <w:p w14:paraId="351387EE" w14:textId="77777777" w:rsidR="00FC6CAD" w:rsidRDefault="00FC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8BA14" w14:textId="08BAFAAD" w:rsidR="003D480C" w:rsidRPr="003662C6" w:rsidRDefault="003D480C" w:rsidP="00050D85">
    <w:pPr>
      <w:pStyle w:val="Footer"/>
      <w:tabs>
        <w:tab w:val="clear" w:pos="8640"/>
        <w:tab w:val="right" w:pos="9360"/>
      </w:tabs>
      <w:rPr>
        <w:sz w:val="22"/>
        <w:szCs w:val="22"/>
      </w:rPr>
    </w:pPr>
    <w:r>
      <w:rPr>
        <w:sz w:val="22"/>
        <w:szCs w:val="22"/>
      </w:rPr>
      <w:t xml:space="preserve">Cross-Answering </w:t>
    </w:r>
    <w:r w:rsidRPr="00F41507">
      <w:rPr>
        <w:sz w:val="22"/>
        <w:szCs w:val="22"/>
      </w:rPr>
      <w:t>T</w:t>
    </w:r>
    <w:r w:rsidRPr="003662C6">
      <w:rPr>
        <w:sz w:val="22"/>
        <w:szCs w:val="22"/>
      </w:rPr>
      <w:t>estimony</w:t>
    </w:r>
    <w:r>
      <w:rPr>
        <w:sz w:val="22"/>
        <w:szCs w:val="22"/>
      </w:rPr>
      <w:t xml:space="preserve"> (Non-Confidential)</w:t>
    </w:r>
    <w:r w:rsidRPr="003662C6">
      <w:rPr>
        <w:sz w:val="22"/>
        <w:szCs w:val="22"/>
      </w:rPr>
      <w:tab/>
    </w:r>
    <w:r>
      <w:rPr>
        <w:sz w:val="22"/>
        <w:szCs w:val="22"/>
      </w:rPr>
      <w:tab/>
      <w:t>Exhibit No. ______ (AML-13T)</w:t>
    </w:r>
  </w:p>
  <w:p w14:paraId="05D7632B" w14:textId="2A27E3C2" w:rsidR="003D480C" w:rsidRPr="003662C6" w:rsidRDefault="003D480C" w:rsidP="00050D85">
    <w:pPr>
      <w:pStyle w:val="Footer"/>
      <w:tabs>
        <w:tab w:val="clear" w:pos="8640"/>
        <w:tab w:val="right" w:pos="9360"/>
      </w:tabs>
      <w:rPr>
        <w:sz w:val="22"/>
        <w:szCs w:val="22"/>
      </w:rPr>
    </w:pPr>
    <w:r w:rsidRPr="003662C6">
      <w:rPr>
        <w:sz w:val="22"/>
        <w:szCs w:val="22"/>
      </w:rPr>
      <w:t xml:space="preserve">of </w:t>
    </w:r>
    <w:r>
      <w:rPr>
        <w:sz w:val="22"/>
        <w:szCs w:val="22"/>
      </w:rPr>
      <w:t>Amanda M. Levin,</w:t>
    </w:r>
    <w:r w:rsidRPr="003662C6">
      <w:rPr>
        <w:sz w:val="22"/>
        <w:szCs w:val="22"/>
      </w:rPr>
      <w:t xml:space="preserve"> NW Energy Coalition</w:t>
    </w:r>
    <w:r>
      <w:rPr>
        <w:sz w:val="22"/>
        <w:szCs w:val="22"/>
      </w:rPr>
      <w:tab/>
    </w:r>
    <w:r>
      <w:rPr>
        <w:sz w:val="22"/>
        <w:szCs w:val="22"/>
      </w:rPr>
      <w:tab/>
    </w:r>
    <w:r w:rsidRPr="003662C6">
      <w:rPr>
        <w:sz w:val="22"/>
        <w:szCs w:val="22"/>
      </w:rPr>
      <w:t xml:space="preserve">Page </w:t>
    </w:r>
    <w:r w:rsidRPr="003662C6">
      <w:rPr>
        <w:sz w:val="22"/>
        <w:szCs w:val="22"/>
      </w:rPr>
      <w:fldChar w:fldCharType="begin"/>
    </w:r>
    <w:r w:rsidRPr="003662C6">
      <w:rPr>
        <w:sz w:val="22"/>
        <w:szCs w:val="22"/>
      </w:rPr>
      <w:instrText xml:space="preserve"> PAGE   \* MERGEFORMAT </w:instrText>
    </w:r>
    <w:r w:rsidRPr="003662C6">
      <w:rPr>
        <w:sz w:val="22"/>
        <w:szCs w:val="22"/>
      </w:rPr>
      <w:fldChar w:fldCharType="separate"/>
    </w:r>
    <w:r w:rsidR="00DD72B8">
      <w:rPr>
        <w:noProof/>
        <w:sz w:val="22"/>
        <w:szCs w:val="22"/>
      </w:rPr>
      <w:t>8</w:t>
    </w:r>
    <w:r w:rsidRPr="003662C6">
      <w:rPr>
        <w:noProof/>
        <w:sz w:val="22"/>
        <w:szCs w:val="22"/>
      </w:rPr>
      <w:fldChar w:fldCharType="end"/>
    </w:r>
  </w:p>
  <w:p w14:paraId="33040A31" w14:textId="77777777" w:rsidR="003D480C" w:rsidRPr="003662C6" w:rsidRDefault="003D480C">
    <w:pPr>
      <w:pStyle w:val="Footer"/>
      <w:rPr>
        <w:sz w:val="22"/>
        <w:szCs w:val="22"/>
      </w:rPr>
    </w:pPr>
    <w:r w:rsidRPr="003662C6">
      <w:rPr>
        <w:sz w:val="22"/>
        <w:szCs w:val="22"/>
      </w:rPr>
      <w:t>Docket No</w:t>
    </w:r>
    <w:r>
      <w:rPr>
        <w:sz w:val="22"/>
        <w:szCs w:val="22"/>
      </w:rPr>
      <w:t>s</w:t>
    </w:r>
    <w:r w:rsidRPr="003662C6">
      <w:rPr>
        <w:sz w:val="22"/>
        <w:szCs w:val="22"/>
      </w:rPr>
      <w:t>. UE-</w:t>
    </w:r>
    <w:r>
      <w:rPr>
        <w:sz w:val="22"/>
        <w:szCs w:val="22"/>
      </w:rPr>
      <w:t>170033</w:t>
    </w:r>
    <w:r w:rsidRPr="003662C6">
      <w:rPr>
        <w:sz w:val="22"/>
        <w:szCs w:val="22"/>
      </w:rPr>
      <w:t>/UG-</w:t>
    </w:r>
    <w:r>
      <w:rPr>
        <w:sz w:val="22"/>
        <w:szCs w:val="22"/>
      </w:rPr>
      <w:t>170034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6BB68" w14:textId="77777777" w:rsidR="00FC6CAD" w:rsidRDefault="00FC6CAD">
      <w:r>
        <w:separator/>
      </w:r>
    </w:p>
  </w:footnote>
  <w:footnote w:type="continuationSeparator" w:id="0">
    <w:p w14:paraId="68570188" w14:textId="77777777" w:rsidR="00FC6CAD" w:rsidRDefault="00FC6CAD">
      <w:r>
        <w:continuationSeparator/>
      </w:r>
    </w:p>
  </w:footnote>
  <w:footnote w:id="1">
    <w:p w14:paraId="14589FA7" w14:textId="033A8CB6" w:rsidR="003D480C" w:rsidRDefault="003D480C">
      <w:pPr>
        <w:pStyle w:val="FootnoteText"/>
      </w:pPr>
      <w:r>
        <w:rPr>
          <w:rStyle w:val="FootnoteReference"/>
        </w:rPr>
        <w:footnoteRef/>
      </w:r>
      <w:r>
        <w:t xml:space="preserve"> Direct Testimony and Exhibits of</w:t>
      </w:r>
      <w:r w:rsidRPr="00C646E9">
        <w:t xml:space="preserve"> </w:t>
      </w:r>
      <w:r>
        <w:t xml:space="preserve">Amanda M. Levin, </w:t>
      </w:r>
      <w:r w:rsidRPr="00EB151F">
        <w:t>Exhibit No.___ (</w:t>
      </w:r>
      <w:r>
        <w:t>AML</w:t>
      </w:r>
      <w:r w:rsidRPr="00EB151F">
        <w:t xml:space="preserve">-1T), p. </w:t>
      </w:r>
      <w:r>
        <w:t>5-7.</w:t>
      </w:r>
    </w:p>
  </w:footnote>
  <w:footnote w:id="2">
    <w:p w14:paraId="77949026" w14:textId="1ACA86ED" w:rsidR="003D480C" w:rsidRDefault="003D480C">
      <w:pPr>
        <w:pStyle w:val="FootnoteText"/>
      </w:pPr>
      <w:r>
        <w:rPr>
          <w:rStyle w:val="FootnoteReference"/>
        </w:rPr>
        <w:footnoteRef/>
      </w:r>
      <w:r>
        <w:t xml:space="preserve"> Direct Testimony and Exhibits of Jason L. Ball, Exhibit No.___ (JLB-1T), p. 26.</w:t>
      </w:r>
    </w:p>
  </w:footnote>
  <w:footnote w:id="3">
    <w:p w14:paraId="4C1DDA38" w14:textId="3EFED91B" w:rsidR="003D480C" w:rsidRDefault="003D480C">
      <w:pPr>
        <w:pStyle w:val="FootnoteText"/>
      </w:pPr>
      <w:r>
        <w:rPr>
          <w:rStyle w:val="FootnoteReference"/>
        </w:rPr>
        <w:footnoteRef/>
      </w:r>
      <w:r>
        <w:t xml:space="preserve"> Direct Testimony and Exhibits of</w:t>
      </w:r>
      <w:r w:rsidRPr="00C646E9">
        <w:t xml:space="preserve"> </w:t>
      </w:r>
      <w:r>
        <w:t xml:space="preserve">Glenn A. Watkins, </w:t>
      </w:r>
      <w:r w:rsidRPr="00EB151F">
        <w:t>Exhibit No.___ (</w:t>
      </w:r>
      <w:r>
        <w:t>GAW</w:t>
      </w:r>
      <w:r w:rsidRPr="00EB151F">
        <w:t xml:space="preserve">-1T), p. </w:t>
      </w:r>
      <w:r>
        <w:t>44.</w:t>
      </w:r>
    </w:p>
  </w:footnote>
  <w:footnote w:id="4">
    <w:p w14:paraId="3FDAF226" w14:textId="57449A04" w:rsidR="003D480C" w:rsidRDefault="003D480C">
      <w:pPr>
        <w:pStyle w:val="FootnoteText"/>
      </w:pPr>
      <w:r>
        <w:rPr>
          <w:rStyle w:val="FootnoteReference"/>
        </w:rPr>
        <w:footnoteRef/>
      </w:r>
      <w:r>
        <w:t xml:space="preserve"> Direct Testimony and Exhibits of Jason L. Ball, Exhibit No.___ (JLB-1T), p. 29.</w:t>
      </w:r>
    </w:p>
  </w:footnote>
  <w:footnote w:id="5">
    <w:p w14:paraId="1E0503A7" w14:textId="4B662DFD" w:rsidR="003D480C" w:rsidRDefault="003D480C">
      <w:pPr>
        <w:pStyle w:val="FootnoteText"/>
      </w:pPr>
      <w:r>
        <w:rPr>
          <w:rStyle w:val="FootnoteReference"/>
        </w:rPr>
        <w:footnoteRef/>
      </w:r>
      <w:r>
        <w:t xml:space="preserve"> Staff increases the Basic Charge from $7.49 to $7.80 in this alternative.</w:t>
      </w:r>
    </w:p>
  </w:footnote>
  <w:footnote w:id="6">
    <w:p w14:paraId="5DDD0EB0" w14:textId="2A3901F0" w:rsidR="003D480C" w:rsidRDefault="003D480C">
      <w:pPr>
        <w:pStyle w:val="FootnoteText"/>
      </w:pPr>
      <w:r>
        <w:rPr>
          <w:rStyle w:val="FootnoteReference"/>
        </w:rPr>
        <w:footnoteRef/>
      </w:r>
      <w:r>
        <w:t xml:space="preserve"> Direct Testimony and Exhibits of Jason L. Ball, Exhibit No.___ (JLB-1T), p. 43.</w:t>
      </w:r>
    </w:p>
  </w:footnote>
  <w:footnote w:id="7">
    <w:p w14:paraId="7769E7AE" w14:textId="580651C3" w:rsidR="003D480C" w:rsidRDefault="003D480C">
      <w:pPr>
        <w:pStyle w:val="FootnoteText"/>
      </w:pPr>
      <w:r>
        <w:rPr>
          <w:rStyle w:val="FootnoteReference"/>
        </w:rPr>
        <w:footnoteRef/>
      </w:r>
      <w:r>
        <w:t xml:space="preserve"> Direct Testimony and Exhibits of Glenn A. Watkins, </w:t>
      </w:r>
      <w:r w:rsidRPr="00EB151F">
        <w:t>Exhibit No.___ (</w:t>
      </w:r>
      <w:r>
        <w:t>GAW</w:t>
      </w:r>
      <w:r w:rsidRPr="00EB151F">
        <w:t xml:space="preserve">-1T), p. </w:t>
      </w:r>
      <w:r>
        <w:t>49.</w:t>
      </w:r>
    </w:p>
  </w:footnote>
  <w:footnote w:id="8">
    <w:p w14:paraId="7C551598" w14:textId="53E5885B" w:rsidR="003D480C" w:rsidRDefault="003D480C">
      <w:pPr>
        <w:pStyle w:val="FootnoteText"/>
      </w:pPr>
      <w:r>
        <w:rPr>
          <w:rStyle w:val="FootnoteReference"/>
        </w:rPr>
        <w:footnoteRef/>
      </w:r>
      <w:r>
        <w:t xml:space="preserve"> </w:t>
      </w:r>
      <w:r>
        <w:rPr>
          <w:i/>
        </w:rPr>
        <w:t>Id.</w:t>
      </w:r>
      <w:r w:rsidRPr="00EB151F">
        <w:t xml:space="preserve">, p. </w:t>
      </w:r>
      <w:r>
        <w:t>51.</w:t>
      </w:r>
    </w:p>
  </w:footnote>
  <w:footnote w:id="9">
    <w:p w14:paraId="7C087EF7" w14:textId="1C017C55" w:rsidR="003D480C" w:rsidRDefault="003D480C">
      <w:pPr>
        <w:pStyle w:val="FootnoteText"/>
      </w:pPr>
      <w:r>
        <w:rPr>
          <w:rStyle w:val="FootnoteReference"/>
        </w:rPr>
        <w:footnoteRef/>
      </w:r>
      <w:r>
        <w:t xml:space="preserve"> Direct Testimony and Exhibits of</w:t>
      </w:r>
      <w:r w:rsidRPr="00C646E9">
        <w:t xml:space="preserve"> </w:t>
      </w:r>
      <w:r>
        <w:t xml:space="preserve">Glenn A. Watkins, </w:t>
      </w:r>
      <w:r w:rsidRPr="00EB151F">
        <w:t>Exhibit No.___ (</w:t>
      </w:r>
      <w:r>
        <w:t>GAW</w:t>
      </w:r>
      <w:r w:rsidRPr="00EB151F">
        <w:t xml:space="preserve">-1T), p. </w:t>
      </w:r>
      <w:r>
        <w:t>50.</w:t>
      </w:r>
    </w:p>
  </w:footnote>
  <w:footnote w:id="10">
    <w:p w14:paraId="0F03F2E3" w14:textId="1B119388" w:rsidR="003D480C" w:rsidRDefault="003D480C">
      <w:pPr>
        <w:pStyle w:val="FootnoteText"/>
      </w:pPr>
      <w:r>
        <w:rPr>
          <w:rStyle w:val="FootnoteReference"/>
        </w:rPr>
        <w:footnoteRef/>
      </w:r>
      <w:r>
        <w:t xml:space="preserve"> Direct Testimony and Exhibits of</w:t>
      </w:r>
      <w:r w:rsidRPr="00C646E9">
        <w:t xml:space="preserve"> </w:t>
      </w:r>
      <w:r>
        <w:t xml:space="preserve">Shawn M. Collins, </w:t>
      </w:r>
      <w:r w:rsidRPr="00EB151F">
        <w:t>Exhibit No.___ (</w:t>
      </w:r>
      <w:r>
        <w:t>SMC</w:t>
      </w:r>
      <w:r w:rsidRPr="00EB151F">
        <w:t xml:space="preserve">-1T), p. </w:t>
      </w:r>
      <w:r>
        <w:t>20.</w:t>
      </w:r>
    </w:p>
  </w:footnote>
  <w:footnote w:id="11">
    <w:p w14:paraId="7D718D7C" w14:textId="647AD54F" w:rsidR="003D480C" w:rsidRDefault="003D480C">
      <w:pPr>
        <w:pStyle w:val="FootnoteText"/>
      </w:pPr>
      <w:r>
        <w:rPr>
          <w:rStyle w:val="FootnoteReference"/>
        </w:rPr>
        <w:footnoteRef/>
      </w:r>
      <w:r>
        <w:t xml:space="preserve"> For example, one of the most recent cases is in Ohio. See Direct Testimony of Paul </w:t>
      </w:r>
      <w:proofErr w:type="spellStart"/>
      <w:r>
        <w:t>Chernick</w:t>
      </w:r>
      <w:proofErr w:type="spellEnd"/>
      <w:r>
        <w:t>, Case. No. 16-1852-EL-SSO, filed May 2, 2017 in front of the Public Utilities Council of Ohio (PUCO). pgs. 16-23, 19-42 (Exhibit No. ___ (AML-16)).</w:t>
      </w:r>
    </w:p>
  </w:footnote>
  <w:footnote w:id="12">
    <w:p w14:paraId="4392A353" w14:textId="181ABAE7" w:rsidR="003D480C" w:rsidRDefault="003D480C">
      <w:pPr>
        <w:pStyle w:val="FootnoteText"/>
      </w:pPr>
      <w:r>
        <w:rPr>
          <w:rStyle w:val="FootnoteReference"/>
        </w:rPr>
        <w:footnoteRef/>
      </w:r>
      <w:r>
        <w:t xml:space="preserve"> This reflects 34 proceedings and 33 proceedings where increases to fixed charges for electric residential customers were proposed in 2015 and 2016, respectively. </w:t>
      </w:r>
      <w:r w:rsidR="00DD72B8">
        <w:t xml:space="preserve"> </w:t>
      </w:r>
      <w:r>
        <w:t>Williams, Samantha, “</w:t>
      </w:r>
      <w:r w:rsidRPr="003E3DDF">
        <w:t>They’re Ba-</w:t>
      </w:r>
      <w:proofErr w:type="spellStart"/>
      <w:r w:rsidRPr="003E3DDF">
        <w:t>ack</w:t>
      </w:r>
      <w:proofErr w:type="spellEnd"/>
      <w:r w:rsidRPr="003E3DDF">
        <w:t>… But Fixed Fee Hikes Still Getting Nixed</w:t>
      </w:r>
      <w:r>
        <w:t xml:space="preserve">”, February 2013, 2017, </w:t>
      </w:r>
      <w:r>
        <w:rPr>
          <w:i/>
        </w:rPr>
        <w:t xml:space="preserve">NRDC Blog, </w:t>
      </w:r>
      <w:r w:rsidRPr="00DD72B8">
        <w:t>https://www.nrdc.org/experts/samantha-williams/theyre-ba-ack-fixed-fee-hikes-still-getting-nixed</w:t>
      </w:r>
    </w:p>
  </w:footnote>
  <w:footnote w:id="13">
    <w:p w14:paraId="72D49DE6" w14:textId="44686554" w:rsidR="003D480C" w:rsidRDefault="003D480C">
      <w:pPr>
        <w:pStyle w:val="FootnoteText"/>
      </w:pPr>
      <w:r>
        <w:rPr>
          <w:rStyle w:val="FootnoteReference"/>
        </w:rPr>
        <w:footnoteRef/>
      </w:r>
      <w:r>
        <w:t xml:space="preserve"> Exhibit No. ____ (AML-14), FEA Response to NWEC-RNW-NRDC Data Request No. 001.</w:t>
      </w:r>
    </w:p>
  </w:footnote>
  <w:footnote w:id="14">
    <w:p w14:paraId="11C0D8B0" w14:textId="32BCF42E" w:rsidR="003D480C" w:rsidRDefault="003D480C" w:rsidP="009A0D43">
      <w:pPr>
        <w:pStyle w:val="FootnoteText"/>
      </w:pPr>
      <w:r>
        <w:rPr>
          <w:rStyle w:val="FootnoteReference"/>
        </w:rPr>
        <w:footnoteRef/>
      </w:r>
      <w:r>
        <w:t xml:space="preserve"> Direct Testimony and Exhibits of Jon A. </w:t>
      </w:r>
      <w:proofErr w:type="spellStart"/>
      <w:r>
        <w:t>Piliaris</w:t>
      </w:r>
      <w:proofErr w:type="spellEnd"/>
      <w:r>
        <w:t>, Exhibit No. ___ (JAP-29), pg. 27.</w:t>
      </w:r>
    </w:p>
  </w:footnote>
  <w:footnote w:id="15">
    <w:p w14:paraId="3E7ABDC7" w14:textId="0998FD50" w:rsidR="003D480C" w:rsidRDefault="003D480C" w:rsidP="009A0D43">
      <w:pPr>
        <w:pStyle w:val="FootnoteText"/>
      </w:pPr>
      <w:r>
        <w:rPr>
          <w:rStyle w:val="FootnoteReference"/>
        </w:rPr>
        <w:footnoteRef/>
      </w:r>
      <w:r>
        <w:t xml:space="preserve"> </w:t>
      </w:r>
      <w:r>
        <w:rPr>
          <w:i/>
        </w:rPr>
        <w:t>Id.</w:t>
      </w:r>
      <w:r>
        <w:t>, pg. 20.</w:t>
      </w:r>
    </w:p>
  </w:footnote>
  <w:footnote w:id="16">
    <w:p w14:paraId="712CD093" w14:textId="27A6B5A0" w:rsidR="003D480C" w:rsidRDefault="003D480C">
      <w:pPr>
        <w:pStyle w:val="FootnoteText"/>
      </w:pPr>
      <w:r>
        <w:rPr>
          <w:rStyle w:val="FootnoteReference"/>
        </w:rPr>
        <w:footnoteRef/>
      </w:r>
      <w:r>
        <w:t xml:space="preserve"> Direct Testimony and Exhibits of Jon A. </w:t>
      </w:r>
      <w:proofErr w:type="spellStart"/>
      <w:r>
        <w:t>Piliaris</w:t>
      </w:r>
      <w:proofErr w:type="spellEnd"/>
      <w:r>
        <w:t>, Exhibit No. ___ (JAP-1T), pg. 149.</w:t>
      </w:r>
    </w:p>
  </w:footnote>
  <w:footnote w:id="17">
    <w:p w14:paraId="22270835" w14:textId="6F4319A4" w:rsidR="003D480C" w:rsidRDefault="003D480C">
      <w:pPr>
        <w:pStyle w:val="FootnoteText"/>
      </w:pPr>
      <w:r>
        <w:rPr>
          <w:rStyle w:val="FootnoteReference"/>
        </w:rPr>
        <w:footnoteRef/>
      </w:r>
      <w:r>
        <w:t xml:space="preserve"> Direct Testimony and Exhibits of Jon A. </w:t>
      </w:r>
      <w:proofErr w:type="spellStart"/>
      <w:r>
        <w:t>Piliaris</w:t>
      </w:r>
      <w:proofErr w:type="spellEnd"/>
      <w:r>
        <w:t>, Exhibit No. ___ (JAP-29), pg. 106.</w:t>
      </w:r>
    </w:p>
  </w:footnote>
  <w:footnote w:id="18">
    <w:p w14:paraId="25818164" w14:textId="16A8FE43" w:rsidR="003D480C" w:rsidRDefault="003D480C">
      <w:pPr>
        <w:pStyle w:val="FootnoteText"/>
      </w:pPr>
      <w:r>
        <w:rPr>
          <w:rStyle w:val="FootnoteReference"/>
        </w:rPr>
        <w:footnoteRef/>
      </w:r>
      <w:r>
        <w:t xml:space="preserve"> See Rebuttal Testimony (Non-Confidential) of Ralph C. Cavanagh in Docket No. UE-121697 (Exhibit No. ___ (AML-17)).</w:t>
      </w:r>
    </w:p>
  </w:footnote>
  <w:footnote w:id="19">
    <w:p w14:paraId="68F1BFD2" w14:textId="142B4C03" w:rsidR="003D480C" w:rsidRDefault="003D480C">
      <w:pPr>
        <w:pStyle w:val="FootnoteText"/>
      </w:pPr>
      <w:r>
        <w:rPr>
          <w:rStyle w:val="FootnoteReference"/>
        </w:rPr>
        <w:footnoteRef/>
      </w:r>
      <w:r>
        <w:t xml:space="preserve"> Response Testimony of Ali Al-Jabir, Exhibit No. ___ (AZA-1T), pg. 8.</w:t>
      </w:r>
    </w:p>
  </w:footnote>
  <w:footnote w:id="20">
    <w:p w14:paraId="154391A9" w14:textId="08EBFEB3" w:rsidR="003D480C" w:rsidRDefault="003D480C">
      <w:pPr>
        <w:pStyle w:val="FootnoteText"/>
      </w:pPr>
      <w:r>
        <w:rPr>
          <w:rStyle w:val="FootnoteReference"/>
        </w:rPr>
        <w:footnoteRef/>
      </w:r>
      <w:r>
        <w:t xml:space="preserve"> Exhibit No. ____ (AML-15), FEA Response to NWEC-RNW-NRDC Data Request No. 003.</w:t>
      </w:r>
    </w:p>
  </w:footnote>
  <w:footnote w:id="21">
    <w:p w14:paraId="488C7DC9" w14:textId="291694CC" w:rsidR="003D480C" w:rsidRDefault="003D480C">
      <w:pPr>
        <w:pStyle w:val="FootnoteText"/>
      </w:pPr>
      <w:r>
        <w:rPr>
          <w:rStyle w:val="FootnoteReference"/>
        </w:rPr>
        <w:footnoteRef/>
      </w:r>
      <w:r>
        <w:t xml:space="preserve"> Direct Testimony and Exhibits of Jon A. </w:t>
      </w:r>
      <w:proofErr w:type="spellStart"/>
      <w:r>
        <w:t>Piliaris</w:t>
      </w:r>
      <w:proofErr w:type="spellEnd"/>
      <w:r>
        <w:t>, Exhibit No. ___ (JAP-29), pg. 98.</w:t>
      </w:r>
    </w:p>
  </w:footnote>
  <w:footnote w:id="22">
    <w:p w14:paraId="5F6FDF09" w14:textId="1E2D561F" w:rsidR="003D480C" w:rsidRPr="0059527B" w:rsidRDefault="003D480C">
      <w:pPr>
        <w:pStyle w:val="FootnoteText"/>
      </w:pPr>
      <w:r>
        <w:rPr>
          <w:rStyle w:val="FootnoteReference"/>
        </w:rPr>
        <w:footnoteRef/>
      </w:r>
      <w:r>
        <w:t xml:space="preserve"> </w:t>
      </w:r>
      <w:r>
        <w:rPr>
          <w:i/>
        </w:rPr>
        <w:t>Id.</w:t>
      </w:r>
      <w:r>
        <w:t>, pg. 96.</w:t>
      </w:r>
    </w:p>
  </w:footnote>
  <w:footnote w:id="23">
    <w:p w14:paraId="7ABFA7BB" w14:textId="31BD39C0" w:rsidR="003D480C" w:rsidRPr="004D06DA" w:rsidRDefault="003D480C" w:rsidP="00B37897">
      <w:pPr>
        <w:pStyle w:val="FootnoteText"/>
      </w:pPr>
      <w:r>
        <w:rPr>
          <w:rStyle w:val="FootnoteReference"/>
        </w:rPr>
        <w:footnoteRef/>
      </w:r>
      <w:r>
        <w:t xml:space="preserve"> </w:t>
      </w:r>
      <w:r w:rsidRPr="004029E8">
        <w:rPr>
          <w:i/>
        </w:rPr>
        <w:t>Id.</w:t>
      </w:r>
      <w:r>
        <w:t>, p. 4 (quoting Docket No. UE-901183-T, Third Supplemental Order (April 10, 1991), p. 10).</w:t>
      </w:r>
    </w:p>
  </w:footnote>
  <w:footnote w:id="24">
    <w:p w14:paraId="700C424C" w14:textId="76BE21B2" w:rsidR="003D480C" w:rsidRDefault="003D480C" w:rsidP="00991667">
      <w:pPr>
        <w:pStyle w:val="FootnoteText"/>
      </w:pPr>
      <w:r>
        <w:rPr>
          <w:rStyle w:val="FootnoteReference"/>
        </w:rPr>
        <w:footnoteRef/>
      </w:r>
      <w:r>
        <w:t xml:space="preserve"> </w:t>
      </w:r>
      <w:bookmarkStart w:id="4" w:name="_GoBack"/>
      <w:r w:rsidRPr="009D3FE9">
        <w:rPr>
          <w:color w:val="222222"/>
          <w:shd w:val="clear" w:color="auto" w:fill="FFFFFF"/>
        </w:rPr>
        <w:t>M</w:t>
      </w:r>
      <w:r w:rsidR="0030589D">
        <w:rPr>
          <w:color w:val="222222"/>
          <w:shd w:val="clear" w:color="auto" w:fill="FFFFFF"/>
        </w:rPr>
        <w:t xml:space="preserve">olina, M., &amp; </w:t>
      </w:r>
      <w:proofErr w:type="spellStart"/>
      <w:r w:rsidR="0030589D">
        <w:rPr>
          <w:color w:val="222222"/>
          <w:shd w:val="clear" w:color="auto" w:fill="FFFFFF"/>
        </w:rPr>
        <w:t>Kushler</w:t>
      </w:r>
      <w:proofErr w:type="spellEnd"/>
      <w:r w:rsidR="0030589D">
        <w:rPr>
          <w:color w:val="222222"/>
          <w:shd w:val="clear" w:color="auto" w:fill="FFFFFF"/>
        </w:rPr>
        <w:t>, M. (2015),</w:t>
      </w:r>
      <w:r w:rsidRPr="009D3FE9">
        <w:rPr>
          <w:color w:val="222222"/>
          <w:shd w:val="clear" w:color="auto" w:fill="FFFFFF"/>
        </w:rPr>
        <w:t xml:space="preserve"> Policies matter: Creating a foundation for an energy-efficient utility of the future</w:t>
      </w:r>
      <w:r w:rsidR="0030589D">
        <w:rPr>
          <w:color w:val="222222"/>
          <w:shd w:val="clear" w:color="auto" w:fill="FFFFFF"/>
        </w:rPr>
        <w:t>,</w:t>
      </w:r>
      <w:r w:rsidRPr="009D3FE9">
        <w:rPr>
          <w:rStyle w:val="apple-converted-space"/>
          <w:color w:val="222222"/>
          <w:shd w:val="clear" w:color="auto" w:fill="FFFFFF"/>
        </w:rPr>
        <w:t> </w:t>
      </w:r>
      <w:r w:rsidRPr="009D3FE9">
        <w:rPr>
          <w:i/>
          <w:iCs/>
          <w:color w:val="222222"/>
          <w:shd w:val="clear" w:color="auto" w:fill="FFFFFF"/>
        </w:rPr>
        <w:t>ACEEE, Washington, DC</w:t>
      </w:r>
      <w:r w:rsidRPr="009D3FE9">
        <w:rPr>
          <w:color w:val="222222"/>
          <w:shd w:val="clear" w:color="auto" w:fill="FFFFFF"/>
        </w:rPr>
        <w:t xml:space="preserve">. </w:t>
      </w:r>
      <w:r w:rsidRPr="00DD72B8">
        <w:rPr>
          <w:shd w:val="clear" w:color="auto" w:fill="FFFFFF"/>
        </w:rPr>
        <w:t>http://aceee.org/sites/default/files/policies-matter.pdf</w:t>
      </w:r>
      <w:r w:rsidR="00DD72B8">
        <w:t>.</w:t>
      </w:r>
      <w:bookmarkEnd w:id="4"/>
    </w:p>
  </w:footnote>
  <w:footnote w:id="25">
    <w:p w14:paraId="3977B654" w14:textId="1B882294" w:rsidR="003D480C" w:rsidRDefault="003D480C">
      <w:pPr>
        <w:pStyle w:val="FootnoteText"/>
      </w:pPr>
      <w:r>
        <w:rPr>
          <w:rStyle w:val="FootnoteReference"/>
        </w:rPr>
        <w:footnoteRef/>
      </w:r>
      <w:r>
        <w:t xml:space="preserve"> Docket UE-152235, Order 12, pg. 56.</w:t>
      </w:r>
    </w:p>
  </w:footnote>
  <w:footnote w:id="26">
    <w:p w14:paraId="0140FB84" w14:textId="001F83E2" w:rsidR="003D480C" w:rsidRDefault="003D480C">
      <w:pPr>
        <w:pStyle w:val="FootnoteText"/>
      </w:pPr>
      <w:r>
        <w:rPr>
          <w:rStyle w:val="FootnoteReference"/>
        </w:rPr>
        <w:footnoteRef/>
      </w:r>
      <w:r>
        <w:t xml:space="preserve"> Exhibit No. ____ (AML-18) Morgan, Pamela, “</w:t>
      </w:r>
      <w:r w:rsidRPr="006F485A">
        <w:t>A Decade of Decoupling for US Energy Utilities</w:t>
      </w:r>
      <w:r>
        <w:t xml:space="preserve">: </w:t>
      </w:r>
      <w:r w:rsidRPr="006F485A">
        <w:t>Rate Impacts, Designs, and Observations</w:t>
      </w:r>
      <w:r w:rsidR="0030589D">
        <w:t>,</w:t>
      </w:r>
      <w:r>
        <w:t xml:space="preserve">” November 2012, </w:t>
      </w:r>
      <w:r w:rsidRPr="00DD72B8">
        <w:t>http://aceee.org/collaborative-report/decade-of-decoupling</w:t>
      </w:r>
      <w:r>
        <w:t xml:space="preserve">. </w:t>
      </w:r>
      <w:r w:rsidR="0030589D">
        <w:t xml:space="preserve"> </w:t>
      </w:r>
      <w:r>
        <w:t>This paper has been submitted to the WUTC in previous proceedings, including as Exhibit No. ____ (RCC-5) in Docket UE-121697.</w:t>
      </w:r>
    </w:p>
  </w:footnote>
  <w:footnote w:id="27">
    <w:p w14:paraId="11C136B3" w14:textId="05CC3CAE" w:rsidR="003D480C" w:rsidRDefault="003D480C" w:rsidP="00B37897">
      <w:pPr>
        <w:pStyle w:val="FootnoteText"/>
      </w:pPr>
      <w:r>
        <w:rPr>
          <w:rStyle w:val="FootnoteReference"/>
        </w:rPr>
        <w:footnoteRef/>
      </w:r>
      <w:r>
        <w:t xml:space="preserve"> </w:t>
      </w:r>
      <w:r>
        <w:rPr>
          <w:i/>
        </w:rPr>
        <w:t>Id.,</w:t>
      </w:r>
      <w:r>
        <w:t xml:space="preserve"> p. 14.</w:t>
      </w:r>
    </w:p>
  </w:footnote>
  <w:footnote w:id="28">
    <w:p w14:paraId="290D5C84" w14:textId="290F90E0" w:rsidR="003D480C" w:rsidRDefault="003D480C" w:rsidP="00B37897">
      <w:pPr>
        <w:pStyle w:val="FootnoteText"/>
      </w:pPr>
      <w:r>
        <w:rPr>
          <w:rStyle w:val="FootnoteReference"/>
        </w:rPr>
        <w:footnoteRef/>
      </w:r>
      <w:r>
        <w:t xml:space="preserve"> </w:t>
      </w:r>
      <w:r>
        <w:rPr>
          <w:i/>
        </w:rPr>
        <w:t>Id.</w:t>
      </w:r>
      <w:r>
        <w:t>, p. 16.</w:t>
      </w:r>
    </w:p>
  </w:footnote>
  <w:footnote w:id="29">
    <w:p w14:paraId="5020E547" w14:textId="6FA65DD2" w:rsidR="003D480C" w:rsidRDefault="003D480C">
      <w:pPr>
        <w:pStyle w:val="FootnoteText"/>
      </w:pPr>
      <w:r>
        <w:rPr>
          <w:rStyle w:val="FootnoteReference"/>
        </w:rPr>
        <w:footnoteRef/>
      </w:r>
      <w:r>
        <w:t xml:space="preserve"> Exhibit No. ___ (AML-19) </w:t>
      </w:r>
      <w:proofErr w:type="spellStart"/>
      <w:r w:rsidRPr="006F485A">
        <w:t>Vilbert</w:t>
      </w:r>
      <w:proofErr w:type="spellEnd"/>
      <w:r w:rsidRPr="006F485A">
        <w:t>, Michael, Joseph B. Wharton, Charles Gibbons, Melanie Rosenberg, and Yang Wei Neo</w:t>
      </w:r>
      <w:r w:rsidR="0030589D">
        <w:t>,</w:t>
      </w:r>
      <w:r w:rsidRPr="006F485A">
        <w:t xml:space="preserve"> </w:t>
      </w:r>
      <w:r>
        <w:t>“</w:t>
      </w:r>
      <w:r w:rsidRPr="006F485A">
        <w:t>The impact of revenue decoupling on the cost of capital for electric utilities: an empirical investigation</w:t>
      </w:r>
      <w:r w:rsidR="0030589D">
        <w:t>,</w:t>
      </w:r>
      <w:r>
        <w:t xml:space="preserve">” </w:t>
      </w:r>
      <w:r w:rsidRPr="0030589D">
        <w:rPr>
          <w:smallCaps/>
        </w:rPr>
        <w:t>Brattle Group</w:t>
      </w:r>
      <w:r>
        <w:t>, Prepared for The Energy Foundation (2014).</w:t>
      </w:r>
    </w:p>
  </w:footnote>
  <w:footnote w:id="30">
    <w:p w14:paraId="44B1CC53" w14:textId="20E83C38" w:rsidR="003D480C" w:rsidRDefault="003D480C">
      <w:pPr>
        <w:pStyle w:val="FootnoteText"/>
      </w:pPr>
      <w:r>
        <w:rPr>
          <w:rStyle w:val="FootnoteReference"/>
        </w:rPr>
        <w:footnoteRef/>
      </w:r>
      <w:r>
        <w:t xml:space="preserve"> See Direct Testimony and Exhibits of Jing Liu, Exhibit. No. _____ (JL-1CT), pg. 49-52.</w:t>
      </w:r>
    </w:p>
  </w:footnote>
  <w:footnote w:id="31">
    <w:p w14:paraId="6E911B75" w14:textId="4BCF822A" w:rsidR="003D480C" w:rsidRDefault="003D480C">
      <w:pPr>
        <w:pStyle w:val="FootnoteText"/>
      </w:pPr>
      <w:r>
        <w:rPr>
          <w:rStyle w:val="FootnoteReference"/>
        </w:rPr>
        <w:footnoteRef/>
      </w:r>
      <w:r>
        <w:t xml:space="preserve"> </w:t>
      </w:r>
      <w:r>
        <w:rPr>
          <w:i/>
        </w:rPr>
        <w:t>Id.</w:t>
      </w:r>
      <w:r>
        <w:t>, pg. 48-56.</w:t>
      </w:r>
    </w:p>
  </w:footnote>
  <w:footnote w:id="32">
    <w:p w14:paraId="3DE57E8F" w14:textId="792DEE5C" w:rsidR="003D480C" w:rsidRDefault="003D480C">
      <w:pPr>
        <w:pStyle w:val="FootnoteText"/>
      </w:pPr>
      <w:r>
        <w:rPr>
          <w:rStyle w:val="FootnoteReference"/>
        </w:rPr>
        <w:footnoteRef/>
      </w:r>
      <w:r>
        <w:t xml:space="preserve"> </w:t>
      </w:r>
      <w:r>
        <w:rPr>
          <w:i/>
        </w:rPr>
        <w:t>Id.</w:t>
      </w:r>
      <w:r>
        <w:t>, pg. 54.</w:t>
      </w:r>
    </w:p>
  </w:footnote>
  <w:footnote w:id="33">
    <w:p w14:paraId="66B203BB" w14:textId="6AAF1C10" w:rsidR="003D480C" w:rsidRDefault="003D480C">
      <w:pPr>
        <w:pStyle w:val="FootnoteText"/>
      </w:pPr>
      <w:r>
        <w:rPr>
          <w:rStyle w:val="FootnoteReference"/>
        </w:rPr>
        <w:footnoteRef/>
      </w:r>
      <w:r>
        <w:t xml:space="preserve"> Direct Testimony and Exhibits of</w:t>
      </w:r>
      <w:r w:rsidRPr="00C646E9">
        <w:t xml:space="preserve"> </w:t>
      </w:r>
      <w:r>
        <w:t xml:space="preserve">Amanda M. Levin, </w:t>
      </w:r>
      <w:r w:rsidRPr="00EB151F">
        <w:t>Exhibit No.___ (</w:t>
      </w:r>
      <w:r>
        <w:t>AML-1T), pg. 21.</w:t>
      </w:r>
    </w:p>
  </w:footnote>
  <w:footnote w:id="34">
    <w:p w14:paraId="114AC1FA" w14:textId="7C83B305" w:rsidR="003D480C" w:rsidRDefault="003D480C">
      <w:pPr>
        <w:pStyle w:val="FootnoteText"/>
      </w:pPr>
      <w:r>
        <w:rPr>
          <w:rStyle w:val="FootnoteReference"/>
        </w:rPr>
        <w:footnoteRef/>
      </w:r>
      <w:r>
        <w:t xml:space="preserve"> Direct Testimony and Exhibit of Jason L. Ball, Exhibit No. ____ (JBL-1T), pg. 44.</w:t>
      </w:r>
    </w:p>
  </w:footnote>
  <w:footnote w:id="35">
    <w:p w14:paraId="7DDAB327" w14:textId="5EE16196" w:rsidR="003D480C" w:rsidRDefault="003D480C">
      <w:pPr>
        <w:pStyle w:val="FootnoteText"/>
      </w:pPr>
      <w:r>
        <w:rPr>
          <w:rStyle w:val="FootnoteReference"/>
        </w:rPr>
        <w:footnoteRef/>
      </w:r>
      <w:r>
        <w:t xml:space="preserve"> Direct Testimony and Exhibit of Jason L. Ball, Exhibit No. ____ (JBL-6), pg. 3.</w:t>
      </w:r>
    </w:p>
  </w:footnote>
  <w:footnote w:id="36">
    <w:p w14:paraId="73D83A9F" w14:textId="28FC06CA" w:rsidR="003D480C" w:rsidRDefault="003D480C" w:rsidP="00B50987">
      <w:pPr>
        <w:pStyle w:val="FootnoteText"/>
      </w:pPr>
      <w:r>
        <w:rPr>
          <w:rStyle w:val="FootnoteReference"/>
        </w:rPr>
        <w:footnoteRef/>
      </w:r>
      <w:r>
        <w:t xml:space="preserve"> Docket UE-921262, Ninth Supplemental Order, P. 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DE2D0" w14:textId="77777777" w:rsidR="003D480C" w:rsidRDefault="003D480C">
    <w:r>
      <w:rPr>
        <w:noProof/>
      </w:rPr>
      <mc:AlternateContent>
        <mc:Choice Requires="wps">
          <w:drawing>
            <wp:anchor distT="0" distB="0" distL="114300" distR="114300" simplePos="0" relativeHeight="251659776" behindDoc="0" locked="1" layoutInCell="1" allowOverlap="1" wp14:anchorId="4B916FA0" wp14:editId="25743CFF">
              <wp:simplePos x="0" y="0"/>
              <wp:positionH relativeFrom="margin">
                <wp:posOffset>-628650</wp:posOffset>
              </wp:positionH>
              <wp:positionV relativeFrom="margin">
                <wp:posOffset>-32385</wp:posOffset>
              </wp:positionV>
              <wp:extent cx="457200" cy="8817610"/>
              <wp:effectExtent l="0" t="0" r="0" b="254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817610"/>
                      </a:xfrm>
                      <a:prstGeom prst="rect">
                        <a:avLst/>
                      </a:prstGeom>
                      <a:noFill/>
                      <a:ln>
                        <a:noFill/>
                      </a:ln>
                      <a:effectLst/>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AF507438-7753-43e0-B8FC-AC1667EBCBE1}">
                          <a14:hiddenEffect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1A5D4B19" w14:textId="77777777" w:rsidR="003D480C" w:rsidRDefault="003D480C" w:rsidP="005B0BEE">
                          <w:pPr>
                            <w:pStyle w:val="LineNumbers"/>
                          </w:pPr>
                          <w:r>
                            <w:t>1</w:t>
                          </w:r>
                        </w:p>
                        <w:p w14:paraId="0816CFE9" w14:textId="77777777" w:rsidR="003D480C" w:rsidRDefault="003D480C" w:rsidP="005B0BEE">
                          <w:pPr>
                            <w:pStyle w:val="LineNumbers"/>
                          </w:pPr>
                          <w:r>
                            <w:t>2</w:t>
                          </w:r>
                        </w:p>
                        <w:p w14:paraId="6E32C3BE" w14:textId="77777777" w:rsidR="003D480C" w:rsidRDefault="003D480C" w:rsidP="005B0BEE">
                          <w:pPr>
                            <w:pStyle w:val="LineNumbers"/>
                          </w:pPr>
                          <w:r>
                            <w:t>3</w:t>
                          </w:r>
                        </w:p>
                        <w:p w14:paraId="2C8C4B05" w14:textId="77777777" w:rsidR="003D480C" w:rsidRDefault="003D480C" w:rsidP="005B0BEE">
                          <w:pPr>
                            <w:pStyle w:val="LineNumbers"/>
                          </w:pPr>
                          <w:r>
                            <w:t>4</w:t>
                          </w:r>
                        </w:p>
                        <w:p w14:paraId="1D26CBC5" w14:textId="77777777" w:rsidR="003D480C" w:rsidRDefault="003D480C" w:rsidP="005B0BEE">
                          <w:pPr>
                            <w:pStyle w:val="LineNumbers"/>
                          </w:pPr>
                          <w:r>
                            <w:t>5</w:t>
                          </w:r>
                        </w:p>
                        <w:p w14:paraId="74640CF2" w14:textId="77777777" w:rsidR="003D480C" w:rsidRDefault="003D480C" w:rsidP="005B0BEE">
                          <w:pPr>
                            <w:pStyle w:val="LineNumbers"/>
                          </w:pPr>
                          <w:r>
                            <w:t>6</w:t>
                          </w:r>
                        </w:p>
                        <w:p w14:paraId="3D518B96" w14:textId="77777777" w:rsidR="003D480C" w:rsidRDefault="003D480C" w:rsidP="005B0BEE">
                          <w:pPr>
                            <w:pStyle w:val="LineNumbers"/>
                          </w:pPr>
                          <w:r>
                            <w:t>7</w:t>
                          </w:r>
                        </w:p>
                        <w:p w14:paraId="7C64D414" w14:textId="77777777" w:rsidR="003D480C" w:rsidRDefault="003D480C" w:rsidP="005B0BEE">
                          <w:pPr>
                            <w:pStyle w:val="LineNumbers"/>
                          </w:pPr>
                          <w:r>
                            <w:t>8</w:t>
                          </w:r>
                        </w:p>
                        <w:p w14:paraId="4328F442" w14:textId="77777777" w:rsidR="003D480C" w:rsidRDefault="003D480C" w:rsidP="005B0BEE">
                          <w:pPr>
                            <w:pStyle w:val="LineNumbers"/>
                          </w:pPr>
                          <w:r>
                            <w:t>9</w:t>
                          </w:r>
                        </w:p>
                        <w:p w14:paraId="152F5E86" w14:textId="77777777" w:rsidR="003D480C" w:rsidRDefault="003D480C" w:rsidP="005B0BEE">
                          <w:pPr>
                            <w:pStyle w:val="LineNumbers"/>
                          </w:pPr>
                          <w:r>
                            <w:t>10</w:t>
                          </w:r>
                        </w:p>
                        <w:p w14:paraId="5549E649" w14:textId="77777777" w:rsidR="003D480C" w:rsidRDefault="003D480C" w:rsidP="005B0BEE">
                          <w:pPr>
                            <w:pStyle w:val="LineNumbers"/>
                          </w:pPr>
                          <w:r>
                            <w:t>11</w:t>
                          </w:r>
                        </w:p>
                        <w:p w14:paraId="0F1473C9" w14:textId="77777777" w:rsidR="003D480C" w:rsidRDefault="003D480C" w:rsidP="005B0BEE">
                          <w:pPr>
                            <w:pStyle w:val="LineNumbers"/>
                          </w:pPr>
                          <w:r>
                            <w:t>12</w:t>
                          </w:r>
                        </w:p>
                        <w:p w14:paraId="1EAAA3C3" w14:textId="77777777" w:rsidR="003D480C" w:rsidRDefault="003D480C" w:rsidP="005B0BEE">
                          <w:pPr>
                            <w:pStyle w:val="LineNumbers"/>
                          </w:pPr>
                          <w:r>
                            <w:t>13</w:t>
                          </w:r>
                        </w:p>
                        <w:p w14:paraId="13593D18" w14:textId="77777777" w:rsidR="003D480C" w:rsidRDefault="003D480C" w:rsidP="005B0BEE">
                          <w:pPr>
                            <w:pStyle w:val="LineNumbers"/>
                          </w:pPr>
                          <w:r>
                            <w:t>14</w:t>
                          </w:r>
                        </w:p>
                        <w:p w14:paraId="61897F9C" w14:textId="77777777" w:rsidR="003D480C" w:rsidRDefault="003D480C" w:rsidP="005B0BEE">
                          <w:pPr>
                            <w:pStyle w:val="LineNumbers"/>
                          </w:pPr>
                          <w:r>
                            <w:t>15</w:t>
                          </w:r>
                        </w:p>
                        <w:p w14:paraId="72F15EDB" w14:textId="77777777" w:rsidR="003D480C" w:rsidRDefault="003D480C" w:rsidP="005B0BEE">
                          <w:pPr>
                            <w:pStyle w:val="LineNumbers"/>
                          </w:pPr>
                          <w:r>
                            <w:t>16</w:t>
                          </w:r>
                        </w:p>
                        <w:p w14:paraId="30D0F9EF" w14:textId="77777777" w:rsidR="003D480C" w:rsidRDefault="003D480C" w:rsidP="005B0BEE">
                          <w:pPr>
                            <w:pStyle w:val="LineNumbers"/>
                          </w:pPr>
                          <w:r>
                            <w:t>17</w:t>
                          </w:r>
                        </w:p>
                        <w:p w14:paraId="5C1121C3" w14:textId="77777777" w:rsidR="003D480C" w:rsidRDefault="003D480C" w:rsidP="005B0BEE">
                          <w:pPr>
                            <w:pStyle w:val="LineNumbers"/>
                          </w:pPr>
                          <w:r>
                            <w:t>18</w:t>
                          </w:r>
                        </w:p>
                        <w:p w14:paraId="18490AD0" w14:textId="77777777" w:rsidR="003D480C" w:rsidRDefault="003D480C" w:rsidP="005B0BEE">
                          <w:pPr>
                            <w:pStyle w:val="LineNumbers"/>
                          </w:pPr>
                          <w:r>
                            <w:t>19</w:t>
                          </w:r>
                        </w:p>
                        <w:p w14:paraId="4530804A" w14:textId="77777777" w:rsidR="003D480C" w:rsidRDefault="003D480C" w:rsidP="005B0BEE">
                          <w:pPr>
                            <w:pStyle w:val="LineNumbers"/>
                          </w:pPr>
                          <w:r>
                            <w:t>20</w:t>
                          </w:r>
                        </w:p>
                        <w:p w14:paraId="70B66F98" w14:textId="77777777" w:rsidR="003D480C" w:rsidRDefault="003D480C" w:rsidP="005B0BEE">
                          <w:pPr>
                            <w:pStyle w:val="LineNumbers"/>
                          </w:pPr>
                          <w:r>
                            <w:t>21</w:t>
                          </w:r>
                        </w:p>
                        <w:p w14:paraId="21E41CD2" w14:textId="77777777" w:rsidR="003D480C" w:rsidRDefault="003D480C" w:rsidP="005B0BEE">
                          <w:pPr>
                            <w:pStyle w:val="LineNumbers"/>
                          </w:pPr>
                          <w:r>
                            <w:t>22</w:t>
                          </w:r>
                        </w:p>
                        <w:p w14:paraId="47326ED8" w14:textId="77777777" w:rsidR="003D480C" w:rsidRDefault="003D480C" w:rsidP="005B0BEE">
                          <w:pPr>
                            <w:pStyle w:val="LineNumbers"/>
                          </w:pPr>
                          <w:r>
                            <w:t>23</w:t>
                          </w:r>
                        </w:p>
                        <w:p w14:paraId="74D3240A" w14:textId="77777777" w:rsidR="003D480C" w:rsidRDefault="003D480C" w:rsidP="005B0BEE">
                          <w:pPr>
                            <w:pStyle w:val="LineNumbers"/>
                          </w:pPr>
                          <w:r>
                            <w:t>24</w:t>
                          </w:r>
                        </w:p>
                        <w:p w14:paraId="631A9016" w14:textId="77777777" w:rsidR="003D480C" w:rsidRDefault="003D480C" w:rsidP="005B0BEE">
                          <w:pPr>
                            <w:pStyle w:val="LineNumbers"/>
                          </w:pPr>
                          <w:r>
                            <w:t>25</w:t>
                          </w:r>
                        </w:p>
                        <w:p w14:paraId="0D1690F5" w14:textId="77777777" w:rsidR="003D480C" w:rsidRDefault="003D480C" w:rsidP="005B0BEE">
                          <w:pPr>
                            <w:pStyle w:val="LineNumbers"/>
                          </w:pPr>
                          <w:r>
                            <w:t>26</w:t>
                          </w:r>
                        </w:p>
                        <w:p w14:paraId="35C3CF3C" w14:textId="77777777" w:rsidR="003D480C" w:rsidRDefault="003D480C" w:rsidP="005B0BEE">
                          <w:pPr>
                            <w:pStyle w:val="LineNumbers"/>
                          </w:pPr>
                          <w:r>
                            <w:t>27</w:t>
                          </w:r>
                        </w:p>
                        <w:p w14:paraId="33F20E89" w14:textId="77777777" w:rsidR="003D480C" w:rsidRDefault="003D480C" w:rsidP="005B0BEE">
                          <w:pPr>
                            <w:pStyle w:val="LineNumbers"/>
                          </w:pPr>
                          <w:r>
                            <w:t>28</w:t>
                          </w:r>
                        </w:p>
                        <w:p w14:paraId="68245A29" w14:textId="77777777" w:rsidR="003D480C" w:rsidRDefault="003D480C">
                          <w:pPr>
                            <w:pStyle w:val="LineNumbers"/>
                          </w:pPr>
                          <w:r>
                            <w:t>29</w:t>
                          </w:r>
                        </w:p>
                        <w:p w14:paraId="55A3C02B" w14:textId="77777777" w:rsidR="003D480C" w:rsidRDefault="003D480C">
                          <w:pPr>
                            <w:pStyle w:val="LineNumbers"/>
                          </w:pPr>
                          <w:r>
                            <w:t>30</w:t>
                          </w:r>
                        </w:p>
                        <w:p w14:paraId="06101355" w14:textId="77777777" w:rsidR="003D480C" w:rsidRDefault="003D480C">
                          <w:pPr>
                            <w:pStyle w:val="LineNumbers"/>
                          </w:pPr>
                          <w:r>
                            <w:t>31</w:t>
                          </w:r>
                        </w:p>
                        <w:p w14:paraId="31C251F6" w14:textId="77777777" w:rsidR="003D480C" w:rsidRDefault="003D480C">
                          <w:pPr>
                            <w:pStyle w:val="LineNumbers"/>
                          </w:pPr>
                          <w:r>
                            <w:t>32</w:t>
                          </w:r>
                        </w:p>
                        <w:p w14:paraId="06CF190C" w14:textId="77777777" w:rsidR="003D480C" w:rsidRDefault="003D480C">
                          <w:pPr>
                            <w:pStyle w:val="LineNumbers"/>
                          </w:pPr>
                          <w:r>
                            <w:t>33</w:t>
                          </w:r>
                        </w:p>
                        <w:p w14:paraId="52008A32" w14:textId="77777777" w:rsidR="003D480C" w:rsidRDefault="003D480C">
                          <w:pPr>
                            <w:pStyle w:val="LineNumbers"/>
                          </w:pPr>
                          <w:r>
                            <w:t>34</w:t>
                          </w:r>
                        </w:p>
                        <w:p w14:paraId="79C279C6" w14:textId="77777777" w:rsidR="003D480C" w:rsidRDefault="003D480C">
                          <w:pPr>
                            <w:pStyle w:val="LineNumbers"/>
                          </w:pPr>
                          <w:r>
                            <w:t>35</w:t>
                          </w:r>
                        </w:p>
                        <w:p w14:paraId="34C6AA6D" w14:textId="77777777" w:rsidR="003D480C" w:rsidRDefault="003D480C">
                          <w:pPr>
                            <w:pStyle w:val="LineNumbers"/>
                          </w:pPr>
                          <w:r>
                            <w:t>36</w:t>
                          </w:r>
                        </w:p>
                        <w:p w14:paraId="4484D710" w14:textId="77777777" w:rsidR="003D480C" w:rsidRDefault="003D480C">
                          <w:pPr>
                            <w:pStyle w:val="LineNumbers"/>
                          </w:pPr>
                          <w:r>
                            <w:t>37</w:t>
                          </w:r>
                        </w:p>
                        <w:p w14:paraId="373B54E2" w14:textId="77777777" w:rsidR="003D480C" w:rsidRDefault="003D480C">
                          <w:pPr>
                            <w:pStyle w:val="LineNumbers"/>
                          </w:pPr>
                          <w:r>
                            <w:t>38</w:t>
                          </w:r>
                        </w:p>
                        <w:p w14:paraId="7A34344B" w14:textId="77777777" w:rsidR="003D480C" w:rsidRDefault="003D480C">
                          <w:pPr>
                            <w:pStyle w:val="LineNumbers"/>
                          </w:pPr>
                          <w:r>
                            <w:t>39</w:t>
                          </w:r>
                        </w:p>
                        <w:p w14:paraId="3FC72B6A" w14:textId="77777777" w:rsidR="003D480C" w:rsidRDefault="003D480C">
                          <w:pPr>
                            <w:pStyle w:val="LineNumbers"/>
                          </w:pPr>
                          <w:r>
                            <w:t>40</w:t>
                          </w:r>
                        </w:p>
                        <w:p w14:paraId="56D9593F" w14:textId="77777777" w:rsidR="003D480C" w:rsidRDefault="003D480C">
                          <w:pPr>
                            <w:pStyle w:val="LineNumbers"/>
                          </w:pPr>
                          <w:r>
                            <w:t>41</w:t>
                          </w:r>
                        </w:p>
                        <w:p w14:paraId="6B41BA9F" w14:textId="77777777" w:rsidR="003D480C" w:rsidRDefault="003D480C">
                          <w:pPr>
                            <w:pStyle w:val="LineNumbers"/>
                          </w:pPr>
                          <w:r>
                            <w:t>42</w:t>
                          </w:r>
                        </w:p>
                        <w:p w14:paraId="53A165D0" w14:textId="77777777" w:rsidR="003D480C" w:rsidRDefault="003D480C">
                          <w:pPr>
                            <w:pStyle w:val="LineNumbers"/>
                          </w:pPr>
                          <w:r>
                            <w:t>43</w:t>
                          </w:r>
                        </w:p>
                        <w:p w14:paraId="71CBC6BC" w14:textId="77777777" w:rsidR="003D480C" w:rsidRDefault="003D480C">
                          <w:pPr>
                            <w:pStyle w:val="LineNumbers"/>
                          </w:pPr>
                          <w:r>
                            <w:t>44</w:t>
                          </w:r>
                        </w:p>
                        <w:p w14:paraId="319402E6" w14:textId="77777777" w:rsidR="003D480C" w:rsidRDefault="003D480C">
                          <w:pPr>
                            <w:pStyle w:val="LineNumbers"/>
                          </w:pPr>
                          <w:r>
                            <w:t>45</w:t>
                          </w:r>
                        </w:p>
                        <w:p w14:paraId="163FFAEA" w14:textId="77777777" w:rsidR="003D480C" w:rsidRDefault="003D480C">
                          <w:pPr>
                            <w:pStyle w:val="LineNumbers"/>
                          </w:pPr>
                          <w:r>
                            <w:t>46</w:t>
                          </w:r>
                        </w:p>
                        <w:p w14:paraId="2F898FD1" w14:textId="77777777" w:rsidR="003D480C" w:rsidRDefault="003D480C">
                          <w:pPr>
                            <w:pStyle w:val="LineNumbers"/>
                          </w:pPr>
                          <w:r>
                            <w:t>47</w:t>
                          </w:r>
                        </w:p>
                        <w:p w14:paraId="4B5F103A" w14:textId="77777777" w:rsidR="003D480C" w:rsidRDefault="003D480C">
                          <w:pPr>
                            <w:pStyle w:val="LineNumbers"/>
                          </w:pPr>
                          <w:r>
                            <w:t>48</w:t>
                          </w:r>
                        </w:p>
                        <w:p w14:paraId="18FE6FF8" w14:textId="77777777" w:rsidR="003D480C" w:rsidRDefault="003D480C">
                          <w:pPr>
                            <w:pStyle w:val="LineNumbers"/>
                          </w:pPr>
                          <w:r>
                            <w:t>49</w:t>
                          </w:r>
                        </w:p>
                        <w:p w14:paraId="741A29F9" w14:textId="77777777" w:rsidR="003D480C" w:rsidRDefault="003D480C">
                          <w:pPr>
                            <w:pStyle w:val="LineNumbers"/>
                          </w:pPr>
                          <w:r>
                            <w:t>50</w:t>
                          </w:r>
                        </w:p>
                        <w:p w14:paraId="2AC92E18" w14:textId="77777777" w:rsidR="003D480C" w:rsidRDefault="003D480C">
                          <w:pPr>
                            <w:pStyle w:val="LineNumbers"/>
                          </w:pPr>
                          <w:r>
                            <w:t>51</w:t>
                          </w:r>
                        </w:p>
                        <w:p w14:paraId="02FA1348" w14:textId="77777777" w:rsidR="003D480C" w:rsidRDefault="003D480C">
                          <w:pPr>
                            <w:pStyle w:val="LineNumbers"/>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w14:anchorId="4B916FA0" id="Rectangle 1" o:spid="_x0000_s1026" style="position:absolute;margin-left:-49.5pt;margin-top:-2.55pt;width:36pt;height:694.3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" filled="f" stroked="f">
              <v:textbox inset="1pt,1pt,1pt,1pt">
                <w:txbxContent>
                  <w:p w14:paraId="1A5D4B19" w14:textId="77777777" w:rsidR="003D480C" w:rsidRDefault="003D480C" w:rsidP="005B0BEE">
                    <w:pPr>
                      <w:pStyle w:val="LineNumbers"/>
                    </w:pPr>
                    <w:r>
                      <w:t>1</w:t>
                    </w:r>
                  </w:p>
                  <w:p w14:paraId="0816CFE9" w14:textId="77777777" w:rsidR="003D480C" w:rsidRDefault="003D480C" w:rsidP="005B0BEE">
                    <w:pPr>
                      <w:pStyle w:val="LineNumbers"/>
                    </w:pPr>
                    <w:r>
                      <w:t>2</w:t>
                    </w:r>
                  </w:p>
                  <w:p w14:paraId="6E32C3BE" w14:textId="77777777" w:rsidR="003D480C" w:rsidRDefault="003D480C" w:rsidP="005B0BEE">
                    <w:pPr>
                      <w:pStyle w:val="LineNumbers"/>
                    </w:pPr>
                    <w:r>
                      <w:t>3</w:t>
                    </w:r>
                  </w:p>
                  <w:p w14:paraId="2C8C4B05" w14:textId="77777777" w:rsidR="003D480C" w:rsidRDefault="003D480C" w:rsidP="005B0BEE">
                    <w:pPr>
                      <w:pStyle w:val="LineNumbers"/>
                    </w:pPr>
                    <w:r>
                      <w:t>4</w:t>
                    </w:r>
                  </w:p>
                  <w:p w14:paraId="1D26CBC5" w14:textId="77777777" w:rsidR="003D480C" w:rsidRDefault="003D480C" w:rsidP="005B0BEE">
                    <w:pPr>
                      <w:pStyle w:val="LineNumbers"/>
                    </w:pPr>
                    <w:r>
                      <w:t>5</w:t>
                    </w:r>
                  </w:p>
                  <w:p w14:paraId="74640CF2" w14:textId="77777777" w:rsidR="003D480C" w:rsidRDefault="003D480C" w:rsidP="005B0BEE">
                    <w:pPr>
                      <w:pStyle w:val="LineNumbers"/>
                    </w:pPr>
                    <w:r>
                      <w:t>6</w:t>
                    </w:r>
                  </w:p>
                  <w:p w14:paraId="3D518B96" w14:textId="77777777" w:rsidR="003D480C" w:rsidRDefault="003D480C" w:rsidP="005B0BEE">
                    <w:pPr>
                      <w:pStyle w:val="LineNumbers"/>
                    </w:pPr>
                    <w:r>
                      <w:t>7</w:t>
                    </w:r>
                  </w:p>
                  <w:p w14:paraId="7C64D414" w14:textId="77777777" w:rsidR="003D480C" w:rsidRDefault="003D480C" w:rsidP="005B0BEE">
                    <w:pPr>
                      <w:pStyle w:val="LineNumbers"/>
                    </w:pPr>
                    <w:r>
                      <w:t>8</w:t>
                    </w:r>
                  </w:p>
                  <w:p w14:paraId="4328F442" w14:textId="77777777" w:rsidR="003D480C" w:rsidRDefault="003D480C" w:rsidP="005B0BEE">
                    <w:pPr>
                      <w:pStyle w:val="LineNumbers"/>
                    </w:pPr>
                    <w:r>
                      <w:t>9</w:t>
                    </w:r>
                  </w:p>
                  <w:p w14:paraId="152F5E86" w14:textId="77777777" w:rsidR="003D480C" w:rsidRDefault="003D480C" w:rsidP="005B0BEE">
                    <w:pPr>
                      <w:pStyle w:val="LineNumbers"/>
                    </w:pPr>
                    <w:r>
                      <w:t>10</w:t>
                    </w:r>
                  </w:p>
                  <w:p w14:paraId="5549E649" w14:textId="77777777" w:rsidR="003D480C" w:rsidRDefault="003D480C" w:rsidP="005B0BEE">
                    <w:pPr>
                      <w:pStyle w:val="LineNumbers"/>
                    </w:pPr>
                    <w:r>
                      <w:t>11</w:t>
                    </w:r>
                  </w:p>
                  <w:p w14:paraId="0F1473C9" w14:textId="77777777" w:rsidR="003D480C" w:rsidRDefault="003D480C" w:rsidP="005B0BEE">
                    <w:pPr>
                      <w:pStyle w:val="LineNumbers"/>
                    </w:pPr>
                    <w:r>
                      <w:t>12</w:t>
                    </w:r>
                  </w:p>
                  <w:p w14:paraId="1EAAA3C3" w14:textId="77777777" w:rsidR="003D480C" w:rsidRDefault="003D480C" w:rsidP="005B0BEE">
                    <w:pPr>
                      <w:pStyle w:val="LineNumbers"/>
                    </w:pPr>
                    <w:r>
                      <w:t>13</w:t>
                    </w:r>
                  </w:p>
                  <w:p w14:paraId="13593D18" w14:textId="77777777" w:rsidR="003D480C" w:rsidRDefault="003D480C" w:rsidP="005B0BEE">
                    <w:pPr>
                      <w:pStyle w:val="LineNumbers"/>
                    </w:pPr>
                    <w:r>
                      <w:t>14</w:t>
                    </w:r>
                  </w:p>
                  <w:p w14:paraId="61897F9C" w14:textId="77777777" w:rsidR="003D480C" w:rsidRDefault="003D480C" w:rsidP="005B0BEE">
                    <w:pPr>
                      <w:pStyle w:val="LineNumbers"/>
                    </w:pPr>
                    <w:r>
                      <w:t>15</w:t>
                    </w:r>
                  </w:p>
                  <w:p w14:paraId="72F15EDB" w14:textId="77777777" w:rsidR="003D480C" w:rsidRDefault="003D480C" w:rsidP="005B0BEE">
                    <w:pPr>
                      <w:pStyle w:val="LineNumbers"/>
                    </w:pPr>
                    <w:r>
                      <w:t>16</w:t>
                    </w:r>
                  </w:p>
                  <w:p w14:paraId="30D0F9EF" w14:textId="77777777" w:rsidR="003D480C" w:rsidRDefault="003D480C" w:rsidP="005B0BEE">
                    <w:pPr>
                      <w:pStyle w:val="LineNumbers"/>
                    </w:pPr>
                    <w:r>
                      <w:t>17</w:t>
                    </w:r>
                  </w:p>
                  <w:p w14:paraId="5C1121C3" w14:textId="77777777" w:rsidR="003D480C" w:rsidRDefault="003D480C" w:rsidP="005B0BEE">
                    <w:pPr>
                      <w:pStyle w:val="LineNumbers"/>
                    </w:pPr>
                    <w:r>
                      <w:t>18</w:t>
                    </w:r>
                  </w:p>
                  <w:p w14:paraId="18490AD0" w14:textId="77777777" w:rsidR="003D480C" w:rsidRDefault="003D480C" w:rsidP="005B0BEE">
                    <w:pPr>
                      <w:pStyle w:val="LineNumbers"/>
                    </w:pPr>
                    <w:r>
                      <w:t>19</w:t>
                    </w:r>
                  </w:p>
                  <w:p w14:paraId="4530804A" w14:textId="77777777" w:rsidR="003D480C" w:rsidRDefault="003D480C" w:rsidP="005B0BEE">
                    <w:pPr>
                      <w:pStyle w:val="LineNumbers"/>
                    </w:pPr>
                    <w:r>
                      <w:t>20</w:t>
                    </w:r>
                  </w:p>
                  <w:p w14:paraId="70B66F98" w14:textId="77777777" w:rsidR="003D480C" w:rsidRDefault="003D480C" w:rsidP="005B0BEE">
                    <w:pPr>
                      <w:pStyle w:val="LineNumbers"/>
                    </w:pPr>
                    <w:r>
                      <w:t>21</w:t>
                    </w:r>
                  </w:p>
                  <w:p w14:paraId="21E41CD2" w14:textId="77777777" w:rsidR="003D480C" w:rsidRDefault="003D480C" w:rsidP="005B0BEE">
                    <w:pPr>
                      <w:pStyle w:val="LineNumbers"/>
                    </w:pPr>
                    <w:r>
                      <w:t>22</w:t>
                    </w:r>
                  </w:p>
                  <w:p w14:paraId="47326ED8" w14:textId="77777777" w:rsidR="003D480C" w:rsidRDefault="003D480C" w:rsidP="005B0BEE">
                    <w:pPr>
                      <w:pStyle w:val="LineNumbers"/>
                    </w:pPr>
                    <w:r>
                      <w:t>23</w:t>
                    </w:r>
                  </w:p>
                  <w:p w14:paraId="74D3240A" w14:textId="77777777" w:rsidR="003D480C" w:rsidRDefault="003D480C" w:rsidP="005B0BEE">
                    <w:pPr>
                      <w:pStyle w:val="LineNumbers"/>
                    </w:pPr>
                    <w:r>
                      <w:t>24</w:t>
                    </w:r>
                  </w:p>
                  <w:p w14:paraId="631A9016" w14:textId="77777777" w:rsidR="003D480C" w:rsidRDefault="003D480C" w:rsidP="005B0BEE">
                    <w:pPr>
                      <w:pStyle w:val="LineNumbers"/>
                    </w:pPr>
                    <w:r>
                      <w:t>25</w:t>
                    </w:r>
                  </w:p>
                  <w:p w14:paraId="0D1690F5" w14:textId="77777777" w:rsidR="003D480C" w:rsidRDefault="003D480C" w:rsidP="005B0BEE">
                    <w:pPr>
                      <w:pStyle w:val="LineNumbers"/>
                    </w:pPr>
                    <w:r>
                      <w:t>26</w:t>
                    </w:r>
                  </w:p>
                  <w:p w14:paraId="35C3CF3C" w14:textId="77777777" w:rsidR="003D480C" w:rsidRDefault="003D480C" w:rsidP="005B0BEE">
                    <w:pPr>
                      <w:pStyle w:val="LineNumbers"/>
                    </w:pPr>
                    <w:r>
                      <w:t>27</w:t>
                    </w:r>
                  </w:p>
                  <w:p w14:paraId="33F20E89" w14:textId="77777777" w:rsidR="003D480C" w:rsidRDefault="003D480C" w:rsidP="005B0BEE">
                    <w:pPr>
                      <w:pStyle w:val="LineNumbers"/>
                    </w:pPr>
                    <w:r>
                      <w:t>28</w:t>
                    </w:r>
                  </w:p>
                  <w:p w14:paraId="68245A29" w14:textId="77777777" w:rsidR="003D480C" w:rsidRDefault="003D480C">
                    <w:pPr>
                      <w:pStyle w:val="LineNumbers"/>
                    </w:pPr>
                    <w:r>
                      <w:t>29</w:t>
                    </w:r>
                  </w:p>
                  <w:p w14:paraId="55A3C02B" w14:textId="77777777" w:rsidR="003D480C" w:rsidRDefault="003D480C">
                    <w:pPr>
                      <w:pStyle w:val="LineNumbers"/>
                    </w:pPr>
                    <w:r>
                      <w:t>30</w:t>
                    </w:r>
                  </w:p>
                  <w:p w14:paraId="06101355" w14:textId="77777777" w:rsidR="003D480C" w:rsidRDefault="003D480C">
                    <w:pPr>
                      <w:pStyle w:val="LineNumbers"/>
                    </w:pPr>
                    <w:r>
                      <w:t>31</w:t>
                    </w:r>
                  </w:p>
                  <w:p w14:paraId="31C251F6" w14:textId="77777777" w:rsidR="003D480C" w:rsidRDefault="003D480C">
                    <w:pPr>
                      <w:pStyle w:val="LineNumbers"/>
                    </w:pPr>
                    <w:r>
                      <w:t>32</w:t>
                    </w:r>
                  </w:p>
                  <w:p w14:paraId="06CF190C" w14:textId="77777777" w:rsidR="003D480C" w:rsidRDefault="003D480C">
                    <w:pPr>
                      <w:pStyle w:val="LineNumbers"/>
                    </w:pPr>
                    <w:r>
                      <w:t>33</w:t>
                    </w:r>
                  </w:p>
                  <w:p w14:paraId="52008A32" w14:textId="77777777" w:rsidR="003D480C" w:rsidRDefault="003D480C">
                    <w:pPr>
                      <w:pStyle w:val="LineNumbers"/>
                    </w:pPr>
                    <w:r>
                      <w:t>34</w:t>
                    </w:r>
                  </w:p>
                  <w:p w14:paraId="79C279C6" w14:textId="77777777" w:rsidR="003D480C" w:rsidRDefault="003D480C">
                    <w:pPr>
                      <w:pStyle w:val="LineNumbers"/>
                    </w:pPr>
                    <w:r>
                      <w:t>35</w:t>
                    </w:r>
                  </w:p>
                  <w:p w14:paraId="34C6AA6D" w14:textId="77777777" w:rsidR="003D480C" w:rsidRDefault="003D480C">
                    <w:pPr>
                      <w:pStyle w:val="LineNumbers"/>
                    </w:pPr>
                    <w:r>
                      <w:t>36</w:t>
                    </w:r>
                  </w:p>
                  <w:p w14:paraId="4484D710" w14:textId="77777777" w:rsidR="003D480C" w:rsidRDefault="003D480C">
                    <w:pPr>
                      <w:pStyle w:val="LineNumbers"/>
                    </w:pPr>
                    <w:r>
                      <w:t>37</w:t>
                    </w:r>
                  </w:p>
                  <w:p w14:paraId="373B54E2" w14:textId="77777777" w:rsidR="003D480C" w:rsidRDefault="003D480C">
                    <w:pPr>
                      <w:pStyle w:val="LineNumbers"/>
                    </w:pPr>
                    <w:r>
                      <w:t>38</w:t>
                    </w:r>
                  </w:p>
                  <w:p w14:paraId="7A34344B" w14:textId="77777777" w:rsidR="003D480C" w:rsidRDefault="003D480C">
                    <w:pPr>
                      <w:pStyle w:val="LineNumbers"/>
                    </w:pPr>
                    <w:r>
                      <w:t>39</w:t>
                    </w:r>
                  </w:p>
                  <w:p w14:paraId="3FC72B6A" w14:textId="77777777" w:rsidR="003D480C" w:rsidRDefault="003D480C">
                    <w:pPr>
                      <w:pStyle w:val="LineNumbers"/>
                    </w:pPr>
                    <w:r>
                      <w:t>40</w:t>
                    </w:r>
                  </w:p>
                  <w:p w14:paraId="56D9593F" w14:textId="77777777" w:rsidR="003D480C" w:rsidRDefault="003D480C">
                    <w:pPr>
                      <w:pStyle w:val="LineNumbers"/>
                    </w:pPr>
                    <w:r>
                      <w:t>41</w:t>
                    </w:r>
                  </w:p>
                  <w:p w14:paraId="6B41BA9F" w14:textId="77777777" w:rsidR="003D480C" w:rsidRDefault="003D480C">
                    <w:pPr>
                      <w:pStyle w:val="LineNumbers"/>
                    </w:pPr>
                    <w:r>
                      <w:t>42</w:t>
                    </w:r>
                  </w:p>
                  <w:p w14:paraId="53A165D0" w14:textId="77777777" w:rsidR="003D480C" w:rsidRDefault="003D480C">
                    <w:pPr>
                      <w:pStyle w:val="LineNumbers"/>
                    </w:pPr>
                    <w:r>
                      <w:t>43</w:t>
                    </w:r>
                  </w:p>
                  <w:p w14:paraId="71CBC6BC" w14:textId="77777777" w:rsidR="003D480C" w:rsidRDefault="003D480C">
                    <w:pPr>
                      <w:pStyle w:val="LineNumbers"/>
                    </w:pPr>
                    <w:r>
                      <w:t>44</w:t>
                    </w:r>
                  </w:p>
                  <w:p w14:paraId="319402E6" w14:textId="77777777" w:rsidR="003D480C" w:rsidRDefault="003D480C">
                    <w:pPr>
                      <w:pStyle w:val="LineNumbers"/>
                    </w:pPr>
                    <w:r>
                      <w:t>45</w:t>
                    </w:r>
                  </w:p>
                  <w:p w14:paraId="163FFAEA" w14:textId="77777777" w:rsidR="003D480C" w:rsidRDefault="003D480C">
                    <w:pPr>
                      <w:pStyle w:val="LineNumbers"/>
                    </w:pPr>
                    <w:r>
                      <w:t>46</w:t>
                    </w:r>
                  </w:p>
                  <w:p w14:paraId="2F898FD1" w14:textId="77777777" w:rsidR="003D480C" w:rsidRDefault="003D480C">
                    <w:pPr>
                      <w:pStyle w:val="LineNumbers"/>
                    </w:pPr>
                    <w:r>
                      <w:t>47</w:t>
                    </w:r>
                  </w:p>
                  <w:p w14:paraId="4B5F103A" w14:textId="77777777" w:rsidR="003D480C" w:rsidRDefault="003D480C">
                    <w:pPr>
                      <w:pStyle w:val="LineNumbers"/>
                    </w:pPr>
                    <w:r>
                      <w:t>48</w:t>
                    </w:r>
                  </w:p>
                  <w:p w14:paraId="18FE6FF8" w14:textId="77777777" w:rsidR="003D480C" w:rsidRDefault="003D480C">
                    <w:pPr>
                      <w:pStyle w:val="LineNumbers"/>
                    </w:pPr>
                    <w:r>
                      <w:t>49</w:t>
                    </w:r>
                  </w:p>
                  <w:p w14:paraId="741A29F9" w14:textId="77777777" w:rsidR="003D480C" w:rsidRDefault="003D480C">
                    <w:pPr>
                      <w:pStyle w:val="LineNumbers"/>
                    </w:pPr>
                    <w:r>
                      <w:t>50</w:t>
                    </w:r>
                  </w:p>
                  <w:p w14:paraId="2AC92E18" w14:textId="77777777" w:rsidR="003D480C" w:rsidRDefault="003D480C">
                    <w:pPr>
                      <w:pStyle w:val="LineNumbers"/>
                    </w:pPr>
                    <w:r>
                      <w:t>51</w:t>
                    </w:r>
                  </w:p>
                  <w:p w14:paraId="02FA1348" w14:textId="77777777" w:rsidR="003D480C" w:rsidRDefault="003D480C">
                    <w:pPr>
                      <w:pStyle w:val="LineNumbers"/>
                    </w:pPr>
                  </w:p>
                </w:txbxContent>
              </v:textbox>
              <w10:wrap anchorx="margin" anchory="margin"/>
              <w10:anchorlock/>
            </v:rect>
          </w:pict>
        </mc:Fallback>
      </mc:AlternateContent>
    </w:r>
    <w:r>
      <w:rPr>
        <w:noProof/>
      </w:rPr>
      <mc:AlternateContent>
        <mc:Choice Requires="wps">
          <w:drawing>
            <wp:anchor distT="0" distB="0" distL="114300" distR="114300" simplePos="0" relativeHeight="251660800" behindDoc="0" locked="1" layoutInCell="0" allowOverlap="1" wp14:anchorId="7754BD61" wp14:editId="08F21BAB">
              <wp:simplePos x="0" y="0"/>
              <wp:positionH relativeFrom="margin">
                <wp:posOffset>-45720</wp:posOffset>
              </wp:positionH>
              <wp:positionV relativeFrom="page">
                <wp:posOffset>0</wp:posOffset>
              </wp:positionV>
              <wp:extent cx="635" cy="1005840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w14:anchorId="12B70317" id="Line 2"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5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" o:allowincell="f">
              <v:stroke startarrowwidth="narrow" startarrowlength="short" endarrowwidth="narrow" endarrowlength="short"/>
              <w10:wrap anchorx="margin" anchory="page"/>
              <w10:anchorlock/>
            </v:line>
          </w:pict>
        </mc:Fallback>
      </mc:AlternateContent>
    </w:r>
    <w:r>
      <w:rPr>
        <w:noProof/>
      </w:rPr>
      <mc:AlternateContent>
        <mc:Choice Requires="wps">
          <w:drawing>
            <wp:anchor distT="0" distB="0" distL="114300" distR="114300" simplePos="0" relativeHeight="251661824" behindDoc="0" locked="0" layoutInCell="0" allowOverlap="1" wp14:anchorId="4B1C121D" wp14:editId="0EEFB5B5">
              <wp:simplePos x="0" y="0"/>
              <wp:positionH relativeFrom="margin">
                <wp:posOffset>-91440</wp:posOffset>
              </wp:positionH>
              <wp:positionV relativeFrom="page">
                <wp:posOffset>0</wp:posOffset>
              </wp:positionV>
              <wp:extent cx="635" cy="1005840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w14:anchorId="3976A4C8" id="Line 3" o:spid="_x0000_s1026"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" o:allowincell="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 w15:restartNumberingAfterBreak="0">
    <w:nsid w:val="10E559DE"/>
    <w:multiLevelType w:val="singleLevel"/>
    <w:tmpl w:val="FEE8C3C0"/>
    <w:lvl w:ilvl="0">
      <w:start w:val="1"/>
      <w:numFmt w:val="decimal"/>
      <w:lvlText w:val="%1."/>
      <w:lvlJc w:val="left"/>
      <w:pPr>
        <w:tabs>
          <w:tab w:val="num" w:pos="1440"/>
        </w:tabs>
        <w:ind w:left="1440" w:hanging="720"/>
      </w:pPr>
      <w:rPr>
        <w:rFonts w:hint="default"/>
      </w:rPr>
    </w:lvl>
  </w:abstractNum>
  <w:abstractNum w:abstractNumId="2" w15:restartNumberingAfterBreak="0">
    <w:nsid w:val="145E7C6A"/>
    <w:multiLevelType w:val="multilevel"/>
    <w:tmpl w:val="23DC0FAA"/>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2070"/>
        </w:tabs>
        <w:ind w:left="207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3" w15:restartNumberingAfterBreak="0">
    <w:nsid w:val="15812F1D"/>
    <w:multiLevelType w:val="hybridMultilevel"/>
    <w:tmpl w:val="CF08E8CE"/>
    <w:lvl w:ilvl="0" w:tplc="D542DF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E53F0B"/>
    <w:multiLevelType w:val="multilevel"/>
    <w:tmpl w:val="EC2268B2"/>
    <w:lvl w:ilvl="0">
      <w:start w:val="1"/>
      <w:numFmt w:val="none"/>
      <w:suff w:val="nothing"/>
      <w:lvlText w:val="%1"/>
      <w:lvlJc w:val="center"/>
      <w:pPr>
        <w:ind w:left="0" w:firstLine="0"/>
      </w:pPr>
      <w:rPr>
        <w:rFonts w:hint="default"/>
      </w:rPr>
    </w:lvl>
    <w:lvl w:ilvl="1">
      <w:start w:val="4"/>
      <w:numFmt w:val="upperRoman"/>
      <w:lvlText w:val="%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u w:val="none"/>
      </w:rPr>
    </w:lvl>
    <w:lvl w:ilvl="3">
      <w:start w:val="1"/>
      <w:numFmt w:val="decimal"/>
      <w:lvlText w:val="%4."/>
      <w:lvlJc w:val="left"/>
      <w:pPr>
        <w:tabs>
          <w:tab w:val="num" w:pos="2160"/>
        </w:tabs>
        <w:ind w:left="2160" w:hanging="720"/>
      </w:pPr>
      <w:rPr>
        <w:rFonts w:hint="default"/>
        <w:b w:val="0"/>
        <w:i/>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ascii="Times New Roman" w:hAnsi="Times New Roman"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5" w15:restartNumberingAfterBreak="0">
    <w:nsid w:val="22344F58"/>
    <w:multiLevelType w:val="hybridMultilevel"/>
    <w:tmpl w:val="21E01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15138"/>
    <w:multiLevelType w:val="hybridMultilevel"/>
    <w:tmpl w:val="544C7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C973E9"/>
    <w:multiLevelType w:val="singleLevel"/>
    <w:tmpl w:val="C8608CCE"/>
    <w:lvl w:ilvl="0">
      <w:start w:val="1"/>
      <w:numFmt w:val="decimal"/>
      <w:pStyle w:val="ParaNum"/>
      <w:lvlText w:val="%1."/>
      <w:lvlJc w:val="left"/>
      <w:pPr>
        <w:tabs>
          <w:tab w:val="num" w:pos="360"/>
        </w:tabs>
        <w:ind w:left="360" w:hanging="360"/>
      </w:pPr>
    </w:lvl>
  </w:abstractNum>
  <w:abstractNum w:abstractNumId="8" w15:restartNumberingAfterBreak="0">
    <w:nsid w:val="4A3B0D40"/>
    <w:multiLevelType w:val="hybridMultilevel"/>
    <w:tmpl w:val="0B40FCCE"/>
    <w:lvl w:ilvl="0" w:tplc="0772F502">
      <w:start w:val="13"/>
      <w:numFmt w:val="decimal"/>
      <w:lvlText w:val="AM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5"/>
  </w:num>
  <w:num w:numId="14">
    <w:abstractNumId w:val="4"/>
  </w:num>
  <w:num w:numId="15">
    <w:abstractNumId w:val="8"/>
  </w:num>
  <w:num w:numId="16">
    <w:abstractNumId w:val="0"/>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720"/>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2C6"/>
    <w:rsid w:val="00012969"/>
    <w:rsid w:val="00020453"/>
    <w:rsid w:val="0002435A"/>
    <w:rsid w:val="000363CD"/>
    <w:rsid w:val="0004394A"/>
    <w:rsid w:val="00050D85"/>
    <w:rsid w:val="00061E33"/>
    <w:rsid w:val="000728F0"/>
    <w:rsid w:val="00094D73"/>
    <w:rsid w:val="000B3B52"/>
    <w:rsid w:val="000B75EF"/>
    <w:rsid w:val="000C7AD4"/>
    <w:rsid w:val="000C7CBB"/>
    <w:rsid w:val="000D5B6E"/>
    <w:rsid w:val="000E1454"/>
    <w:rsid w:val="000F2831"/>
    <w:rsid w:val="000F2E19"/>
    <w:rsid w:val="00104AAD"/>
    <w:rsid w:val="00122564"/>
    <w:rsid w:val="00126271"/>
    <w:rsid w:val="00137AB0"/>
    <w:rsid w:val="00142448"/>
    <w:rsid w:val="0014748E"/>
    <w:rsid w:val="001635D3"/>
    <w:rsid w:val="00177AFF"/>
    <w:rsid w:val="00184674"/>
    <w:rsid w:val="00194E5E"/>
    <w:rsid w:val="001977BD"/>
    <w:rsid w:val="001B3439"/>
    <w:rsid w:val="001D32BD"/>
    <w:rsid w:val="001F136F"/>
    <w:rsid w:val="001F5673"/>
    <w:rsid w:val="00215D80"/>
    <w:rsid w:val="0024624B"/>
    <w:rsid w:val="002533DC"/>
    <w:rsid w:val="00255E78"/>
    <w:rsid w:val="00255F4C"/>
    <w:rsid w:val="002615E3"/>
    <w:rsid w:val="00284C96"/>
    <w:rsid w:val="00285142"/>
    <w:rsid w:val="002904EB"/>
    <w:rsid w:val="00290F53"/>
    <w:rsid w:val="002B27ED"/>
    <w:rsid w:val="002B5F62"/>
    <w:rsid w:val="002D1EA6"/>
    <w:rsid w:val="002D627F"/>
    <w:rsid w:val="002E1A43"/>
    <w:rsid w:val="002E4973"/>
    <w:rsid w:val="002E7603"/>
    <w:rsid w:val="002F60B3"/>
    <w:rsid w:val="0030264F"/>
    <w:rsid w:val="0030485B"/>
    <w:rsid w:val="0030589D"/>
    <w:rsid w:val="00324225"/>
    <w:rsid w:val="003262A2"/>
    <w:rsid w:val="00331387"/>
    <w:rsid w:val="003357C5"/>
    <w:rsid w:val="00352863"/>
    <w:rsid w:val="00363E2D"/>
    <w:rsid w:val="003662C6"/>
    <w:rsid w:val="00367EAC"/>
    <w:rsid w:val="003715D6"/>
    <w:rsid w:val="00373FF2"/>
    <w:rsid w:val="00394537"/>
    <w:rsid w:val="00395852"/>
    <w:rsid w:val="003B24C2"/>
    <w:rsid w:val="003B2B10"/>
    <w:rsid w:val="003C3A3F"/>
    <w:rsid w:val="003D1DF1"/>
    <w:rsid w:val="003D480C"/>
    <w:rsid w:val="003D6146"/>
    <w:rsid w:val="003E335F"/>
    <w:rsid w:val="003E3DDF"/>
    <w:rsid w:val="003F3E52"/>
    <w:rsid w:val="003F7939"/>
    <w:rsid w:val="004033BC"/>
    <w:rsid w:val="00405E84"/>
    <w:rsid w:val="0041785F"/>
    <w:rsid w:val="00423DBA"/>
    <w:rsid w:val="004304AE"/>
    <w:rsid w:val="00433A2C"/>
    <w:rsid w:val="00445AC0"/>
    <w:rsid w:val="00471E38"/>
    <w:rsid w:val="00471ED3"/>
    <w:rsid w:val="00472AFC"/>
    <w:rsid w:val="0047402F"/>
    <w:rsid w:val="00481DCB"/>
    <w:rsid w:val="00486CAE"/>
    <w:rsid w:val="004A33C0"/>
    <w:rsid w:val="004A44A2"/>
    <w:rsid w:val="004D1603"/>
    <w:rsid w:val="004D7773"/>
    <w:rsid w:val="00500004"/>
    <w:rsid w:val="00502F32"/>
    <w:rsid w:val="005235A5"/>
    <w:rsid w:val="00526408"/>
    <w:rsid w:val="00543B02"/>
    <w:rsid w:val="005547E3"/>
    <w:rsid w:val="00566865"/>
    <w:rsid w:val="00566FD4"/>
    <w:rsid w:val="00581808"/>
    <w:rsid w:val="00582681"/>
    <w:rsid w:val="00582B37"/>
    <w:rsid w:val="00583A64"/>
    <w:rsid w:val="00587127"/>
    <w:rsid w:val="0059527B"/>
    <w:rsid w:val="005B0BEE"/>
    <w:rsid w:val="005C6929"/>
    <w:rsid w:val="005D482E"/>
    <w:rsid w:val="005D735D"/>
    <w:rsid w:val="005E1F8C"/>
    <w:rsid w:val="005E51C9"/>
    <w:rsid w:val="005E6AC8"/>
    <w:rsid w:val="005E7485"/>
    <w:rsid w:val="005F016F"/>
    <w:rsid w:val="005F4812"/>
    <w:rsid w:val="005F5B80"/>
    <w:rsid w:val="00601D24"/>
    <w:rsid w:val="006062B7"/>
    <w:rsid w:val="00624221"/>
    <w:rsid w:val="0064673F"/>
    <w:rsid w:val="00655D68"/>
    <w:rsid w:val="0067051B"/>
    <w:rsid w:val="00670B5B"/>
    <w:rsid w:val="00684ADC"/>
    <w:rsid w:val="006B1AFC"/>
    <w:rsid w:val="006C0098"/>
    <w:rsid w:val="006C0DF3"/>
    <w:rsid w:val="006D67F8"/>
    <w:rsid w:val="006E3206"/>
    <w:rsid w:val="006E7158"/>
    <w:rsid w:val="006F485A"/>
    <w:rsid w:val="00715001"/>
    <w:rsid w:val="007302D2"/>
    <w:rsid w:val="007325B8"/>
    <w:rsid w:val="00734203"/>
    <w:rsid w:val="00744557"/>
    <w:rsid w:val="0074458F"/>
    <w:rsid w:val="007463E5"/>
    <w:rsid w:val="007830E7"/>
    <w:rsid w:val="0079516C"/>
    <w:rsid w:val="007A28B0"/>
    <w:rsid w:val="007B3F13"/>
    <w:rsid w:val="007C295A"/>
    <w:rsid w:val="007C6050"/>
    <w:rsid w:val="007D6ABB"/>
    <w:rsid w:val="00803D0C"/>
    <w:rsid w:val="00807F89"/>
    <w:rsid w:val="00812937"/>
    <w:rsid w:val="00817DFA"/>
    <w:rsid w:val="00824177"/>
    <w:rsid w:val="00824597"/>
    <w:rsid w:val="00825925"/>
    <w:rsid w:val="00832829"/>
    <w:rsid w:val="00832D45"/>
    <w:rsid w:val="00842B72"/>
    <w:rsid w:val="008557D7"/>
    <w:rsid w:val="00856FA3"/>
    <w:rsid w:val="0086403E"/>
    <w:rsid w:val="008729E2"/>
    <w:rsid w:val="008776B2"/>
    <w:rsid w:val="00877B5E"/>
    <w:rsid w:val="00881498"/>
    <w:rsid w:val="008924F7"/>
    <w:rsid w:val="00897BE9"/>
    <w:rsid w:val="008A2F27"/>
    <w:rsid w:val="008B1823"/>
    <w:rsid w:val="008B432B"/>
    <w:rsid w:val="008B4BBC"/>
    <w:rsid w:val="008C4FD0"/>
    <w:rsid w:val="008C79E9"/>
    <w:rsid w:val="008E50C9"/>
    <w:rsid w:val="008F4206"/>
    <w:rsid w:val="0092182F"/>
    <w:rsid w:val="00924A7D"/>
    <w:rsid w:val="0092541A"/>
    <w:rsid w:val="00946772"/>
    <w:rsid w:val="009533DA"/>
    <w:rsid w:val="00955155"/>
    <w:rsid w:val="00957964"/>
    <w:rsid w:val="00970378"/>
    <w:rsid w:val="00991667"/>
    <w:rsid w:val="009A0D43"/>
    <w:rsid w:val="009A1A8C"/>
    <w:rsid w:val="009D3FE9"/>
    <w:rsid w:val="009E589C"/>
    <w:rsid w:val="009F248B"/>
    <w:rsid w:val="009F77D5"/>
    <w:rsid w:val="00A03C0D"/>
    <w:rsid w:val="00A11687"/>
    <w:rsid w:val="00A14268"/>
    <w:rsid w:val="00A162E4"/>
    <w:rsid w:val="00A16DB7"/>
    <w:rsid w:val="00A20E18"/>
    <w:rsid w:val="00A41ABF"/>
    <w:rsid w:val="00A42F30"/>
    <w:rsid w:val="00A75957"/>
    <w:rsid w:val="00A82D48"/>
    <w:rsid w:val="00A851EB"/>
    <w:rsid w:val="00A92C9E"/>
    <w:rsid w:val="00AB70AF"/>
    <w:rsid w:val="00AC7E17"/>
    <w:rsid w:val="00AD26FD"/>
    <w:rsid w:val="00AE3310"/>
    <w:rsid w:val="00AF2E6F"/>
    <w:rsid w:val="00B03EFB"/>
    <w:rsid w:val="00B124FA"/>
    <w:rsid w:val="00B12FE3"/>
    <w:rsid w:val="00B27A23"/>
    <w:rsid w:val="00B37897"/>
    <w:rsid w:val="00B50987"/>
    <w:rsid w:val="00B548F1"/>
    <w:rsid w:val="00B6301E"/>
    <w:rsid w:val="00B727FD"/>
    <w:rsid w:val="00B8480E"/>
    <w:rsid w:val="00B91373"/>
    <w:rsid w:val="00B9524C"/>
    <w:rsid w:val="00BA1CB2"/>
    <w:rsid w:val="00BA3005"/>
    <w:rsid w:val="00BA7871"/>
    <w:rsid w:val="00BB37A6"/>
    <w:rsid w:val="00BC2FA3"/>
    <w:rsid w:val="00BD0BCB"/>
    <w:rsid w:val="00BD3596"/>
    <w:rsid w:val="00BE390A"/>
    <w:rsid w:val="00BE391A"/>
    <w:rsid w:val="00BF5CB3"/>
    <w:rsid w:val="00C11E06"/>
    <w:rsid w:val="00C15DF0"/>
    <w:rsid w:val="00C517DD"/>
    <w:rsid w:val="00C5228A"/>
    <w:rsid w:val="00C532E7"/>
    <w:rsid w:val="00C54CEA"/>
    <w:rsid w:val="00C63279"/>
    <w:rsid w:val="00C646E9"/>
    <w:rsid w:val="00C715D8"/>
    <w:rsid w:val="00C72FE8"/>
    <w:rsid w:val="00C93DF6"/>
    <w:rsid w:val="00CA0FFE"/>
    <w:rsid w:val="00CA3740"/>
    <w:rsid w:val="00CA43BF"/>
    <w:rsid w:val="00CB5D52"/>
    <w:rsid w:val="00CB6B9A"/>
    <w:rsid w:val="00CB77FC"/>
    <w:rsid w:val="00CC0183"/>
    <w:rsid w:val="00CC0820"/>
    <w:rsid w:val="00CC55EC"/>
    <w:rsid w:val="00CD716D"/>
    <w:rsid w:val="00CE19D8"/>
    <w:rsid w:val="00CE3215"/>
    <w:rsid w:val="00CE3CD9"/>
    <w:rsid w:val="00CE53F5"/>
    <w:rsid w:val="00CF3F5E"/>
    <w:rsid w:val="00CF4CC9"/>
    <w:rsid w:val="00CF6A0A"/>
    <w:rsid w:val="00CF6D3F"/>
    <w:rsid w:val="00D01F63"/>
    <w:rsid w:val="00D049CC"/>
    <w:rsid w:val="00D13ECF"/>
    <w:rsid w:val="00D20297"/>
    <w:rsid w:val="00D26D5C"/>
    <w:rsid w:val="00D3234F"/>
    <w:rsid w:val="00D3664D"/>
    <w:rsid w:val="00D37EC0"/>
    <w:rsid w:val="00D46CAD"/>
    <w:rsid w:val="00D573EF"/>
    <w:rsid w:val="00D61F3D"/>
    <w:rsid w:val="00D70514"/>
    <w:rsid w:val="00D71DAB"/>
    <w:rsid w:val="00D71EAD"/>
    <w:rsid w:val="00D72DFE"/>
    <w:rsid w:val="00D83CE6"/>
    <w:rsid w:val="00D862DF"/>
    <w:rsid w:val="00D924E5"/>
    <w:rsid w:val="00DA4A25"/>
    <w:rsid w:val="00DA5812"/>
    <w:rsid w:val="00DA6899"/>
    <w:rsid w:val="00DA7D8B"/>
    <w:rsid w:val="00DC2082"/>
    <w:rsid w:val="00DC2963"/>
    <w:rsid w:val="00DD72B8"/>
    <w:rsid w:val="00DE091C"/>
    <w:rsid w:val="00DF0FE0"/>
    <w:rsid w:val="00DF45A5"/>
    <w:rsid w:val="00DF55FE"/>
    <w:rsid w:val="00E1224E"/>
    <w:rsid w:val="00E12A42"/>
    <w:rsid w:val="00E204DE"/>
    <w:rsid w:val="00E4748D"/>
    <w:rsid w:val="00E53397"/>
    <w:rsid w:val="00E63B45"/>
    <w:rsid w:val="00E747CF"/>
    <w:rsid w:val="00E8765F"/>
    <w:rsid w:val="00E94A28"/>
    <w:rsid w:val="00EA0F2F"/>
    <w:rsid w:val="00EA25A0"/>
    <w:rsid w:val="00EB151F"/>
    <w:rsid w:val="00EB5774"/>
    <w:rsid w:val="00EB616A"/>
    <w:rsid w:val="00EB7D06"/>
    <w:rsid w:val="00EC0C3A"/>
    <w:rsid w:val="00EC3B7D"/>
    <w:rsid w:val="00EC48BE"/>
    <w:rsid w:val="00ED117C"/>
    <w:rsid w:val="00ED2116"/>
    <w:rsid w:val="00EF1902"/>
    <w:rsid w:val="00F129FE"/>
    <w:rsid w:val="00F31940"/>
    <w:rsid w:val="00F41507"/>
    <w:rsid w:val="00F62944"/>
    <w:rsid w:val="00F8156D"/>
    <w:rsid w:val="00F93686"/>
    <w:rsid w:val="00F954A7"/>
    <w:rsid w:val="00FA1AB7"/>
    <w:rsid w:val="00FA2DE3"/>
    <w:rsid w:val="00FB2E49"/>
    <w:rsid w:val="00FB572F"/>
    <w:rsid w:val="00FB6DB8"/>
    <w:rsid w:val="00FC04DA"/>
    <w:rsid w:val="00FC6CAD"/>
    <w:rsid w:val="00FD7F49"/>
    <w:rsid w:val="00FE2F58"/>
    <w:rsid w:val="00FE31FB"/>
    <w:rsid w:val="00FF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DB11717"/>
  <w15:docId w15:val="{30A2CC73-8C76-4E6A-B048-0F308357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310"/>
    <w:pPr>
      <w:widowControl w:val="0"/>
    </w:pPr>
    <w:rPr>
      <w:sz w:val="24"/>
    </w:rPr>
  </w:style>
  <w:style w:type="paragraph" w:styleId="Heading1">
    <w:name w:val="heading 1"/>
    <w:basedOn w:val="Normal"/>
    <w:next w:val="BodyText"/>
    <w:link w:val="Heading1Char"/>
    <w:uiPriority w:val="9"/>
    <w:qFormat/>
    <w:rsid w:val="00566FD4"/>
    <w:pPr>
      <w:keepNext/>
      <w:keepLines/>
      <w:numPr>
        <w:numId w:val="12"/>
      </w:numPr>
      <w:spacing w:before="40" w:after="200"/>
      <w:jc w:val="center"/>
      <w:outlineLvl w:val="0"/>
    </w:pPr>
    <w:rPr>
      <w:caps/>
      <w:kern w:val="28"/>
    </w:rPr>
  </w:style>
  <w:style w:type="paragraph" w:styleId="Heading2">
    <w:name w:val="heading 2"/>
    <w:basedOn w:val="Normal"/>
    <w:next w:val="BodyText"/>
    <w:link w:val="Heading2Char"/>
    <w:uiPriority w:val="9"/>
    <w:qFormat/>
    <w:rsid w:val="006062B7"/>
    <w:pPr>
      <w:keepNext/>
      <w:keepLines/>
      <w:numPr>
        <w:ilvl w:val="1"/>
        <w:numId w:val="12"/>
      </w:numPr>
      <w:tabs>
        <w:tab w:val="clear" w:pos="2070"/>
      </w:tabs>
      <w:spacing w:before="40" w:after="200"/>
      <w:ind w:left="0" w:firstLine="0"/>
      <w:jc w:val="center"/>
      <w:outlineLvl w:val="1"/>
    </w:pPr>
    <w:rPr>
      <w:caps/>
    </w:rPr>
  </w:style>
  <w:style w:type="paragraph" w:styleId="Heading3">
    <w:name w:val="heading 3"/>
    <w:basedOn w:val="Normal"/>
    <w:next w:val="BodyText"/>
    <w:uiPriority w:val="9"/>
    <w:qFormat/>
    <w:rsid w:val="00566FD4"/>
    <w:pPr>
      <w:keepNext/>
      <w:keepLines/>
      <w:numPr>
        <w:ilvl w:val="2"/>
        <w:numId w:val="12"/>
      </w:numPr>
      <w:spacing w:before="40" w:after="200"/>
      <w:outlineLvl w:val="2"/>
    </w:pPr>
    <w:rPr>
      <w:u w:val="single"/>
    </w:rPr>
  </w:style>
  <w:style w:type="paragraph" w:styleId="Heading4">
    <w:name w:val="heading 4"/>
    <w:basedOn w:val="Normal"/>
    <w:next w:val="BodyText"/>
    <w:qFormat/>
    <w:rsid w:val="00566FD4"/>
    <w:pPr>
      <w:keepNext/>
      <w:keepLines/>
      <w:numPr>
        <w:ilvl w:val="3"/>
        <w:numId w:val="12"/>
      </w:numPr>
      <w:spacing w:before="40" w:after="200"/>
      <w:outlineLvl w:val="3"/>
    </w:pPr>
    <w:rPr>
      <w:i/>
    </w:rPr>
  </w:style>
  <w:style w:type="paragraph" w:styleId="Heading5">
    <w:name w:val="heading 5"/>
    <w:basedOn w:val="Normal"/>
    <w:next w:val="BodyText"/>
    <w:qFormat/>
    <w:rsid w:val="00566FD4"/>
    <w:pPr>
      <w:keepNext/>
      <w:keepLines/>
      <w:numPr>
        <w:ilvl w:val="4"/>
        <w:numId w:val="12"/>
      </w:numPr>
      <w:spacing w:before="40" w:after="20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6FD4"/>
    <w:pPr>
      <w:spacing w:line="480" w:lineRule="auto"/>
    </w:pPr>
  </w:style>
  <w:style w:type="character" w:customStyle="1" w:styleId="BodyTextChar">
    <w:name w:val="Body Text Char"/>
    <w:basedOn w:val="DefaultParagraphFont"/>
    <w:link w:val="BodyText"/>
    <w:rsid w:val="00D61F3D"/>
    <w:rPr>
      <w:sz w:val="24"/>
    </w:rPr>
  </w:style>
  <w:style w:type="character" w:customStyle="1" w:styleId="Heading1Char">
    <w:name w:val="Heading 1 Char"/>
    <w:basedOn w:val="DefaultParagraphFont"/>
    <w:link w:val="Heading1"/>
    <w:uiPriority w:val="9"/>
    <w:rsid w:val="00D61F3D"/>
    <w:rPr>
      <w:caps/>
      <w:kern w:val="28"/>
      <w:sz w:val="24"/>
    </w:rPr>
  </w:style>
  <w:style w:type="character" w:customStyle="1" w:styleId="Heading2Char">
    <w:name w:val="Heading 2 Char"/>
    <w:basedOn w:val="DefaultParagraphFont"/>
    <w:link w:val="Heading2"/>
    <w:uiPriority w:val="9"/>
    <w:rsid w:val="006062B7"/>
    <w:rPr>
      <w:caps/>
      <w:sz w:val="24"/>
    </w:rPr>
  </w:style>
  <w:style w:type="paragraph" w:styleId="Header">
    <w:name w:val="header"/>
    <w:basedOn w:val="Normal"/>
    <w:rsid w:val="0030485B"/>
    <w:pPr>
      <w:tabs>
        <w:tab w:val="center" w:pos="4320"/>
        <w:tab w:val="right" w:pos="8640"/>
      </w:tabs>
      <w:spacing w:after="120"/>
    </w:pPr>
  </w:style>
  <w:style w:type="paragraph" w:styleId="Footer">
    <w:name w:val="footer"/>
    <w:basedOn w:val="Normal"/>
    <w:pPr>
      <w:tabs>
        <w:tab w:val="center" w:pos="4320"/>
        <w:tab w:val="right" w:pos="8640"/>
      </w:tabs>
    </w:pPr>
  </w:style>
  <w:style w:type="paragraph" w:customStyle="1" w:styleId="LineNumbers">
    <w:name w:val="LineNumbers"/>
    <w:basedOn w:val="Normal"/>
    <w:pPr>
      <w:spacing w:line="480" w:lineRule="auto"/>
      <w:jc w:val="right"/>
    </w:pPr>
  </w:style>
  <w:style w:type="paragraph" w:styleId="NormalIndent">
    <w:name w:val="Normal Indent"/>
    <w:basedOn w:val="Normal"/>
    <w:pPr>
      <w:ind w:left="720"/>
    </w:pPr>
    <w:rPr>
      <w:rFonts w:ascii="Tms Rmn" w:hAnsi="Tms Rmn"/>
      <w:sz w:val="3276"/>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Normal"/>
    <w:link w:val="FootnoteTextChar"/>
    <w:qFormat/>
    <w:rsid w:val="00E1224E"/>
    <w:pPr>
      <w:spacing w:after="120"/>
    </w:pPr>
    <w:rPr>
      <w:sz w:val="22"/>
      <w:szCs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 Char"/>
    <w:basedOn w:val="DefaultParagraphFont"/>
    <w:link w:val="FootnoteText"/>
    <w:uiPriority w:val="99"/>
    <w:rsid w:val="00E1224E"/>
    <w:rPr>
      <w:sz w:val="22"/>
      <w:szCs w:val="22"/>
    </w:rPr>
  </w:style>
  <w:style w:type="paragraph" w:customStyle="1" w:styleId="SingleSpacing">
    <w:name w:val="Single Spacing"/>
    <w:basedOn w:val="Normal"/>
  </w:style>
  <w:style w:type="paragraph" w:customStyle="1" w:styleId="DoubleSpacing">
    <w:name w:val="Double Spacing"/>
    <w:basedOn w:val="Normal"/>
    <w:pPr>
      <w:spacing w:line="480" w:lineRule="auto"/>
    </w:pPr>
  </w:style>
  <w:style w:type="character" w:styleId="PageNumber">
    <w:name w:val="page number"/>
    <w:basedOn w:val="DefaultParagraphFont"/>
  </w:style>
  <w:style w:type="character" w:styleId="LineNumber">
    <w:name w:val="line number"/>
    <w:basedOn w:val="DefaultParagraphFont"/>
    <w:rPr>
      <w:rFonts w:ascii="Times New Roman" w:hAnsi="Times New Roman"/>
      <w:sz w:val="24"/>
    </w:rPr>
  </w:style>
  <w:style w:type="paragraph" w:customStyle="1" w:styleId="SpaceAfter">
    <w:name w:val="Space After"/>
    <w:basedOn w:val="BodyText"/>
    <w:pPr>
      <w:spacing w:after="160"/>
    </w:pPr>
  </w:style>
  <w:style w:type="paragraph" w:styleId="TOC1">
    <w:name w:val="toc 1"/>
    <w:basedOn w:val="Normal"/>
    <w:next w:val="Normal"/>
    <w:autoRedefine/>
    <w:uiPriority w:val="39"/>
    <w:rsid w:val="007A28B0"/>
    <w:pPr>
      <w:tabs>
        <w:tab w:val="left" w:pos="1440"/>
        <w:tab w:val="right" w:leader="dot" w:pos="9350"/>
      </w:tabs>
      <w:spacing w:after="240"/>
      <w:ind w:left="1440" w:right="720" w:hanging="1440"/>
    </w:pPr>
    <w:rPr>
      <w:caps/>
      <w:noProof/>
    </w:rPr>
  </w:style>
  <w:style w:type="paragraph" w:styleId="TOC2">
    <w:name w:val="toc 2"/>
    <w:basedOn w:val="Normal"/>
    <w:next w:val="Normal"/>
    <w:autoRedefine/>
    <w:uiPriority w:val="39"/>
    <w:rsid w:val="00B6301E"/>
    <w:pPr>
      <w:keepLines/>
      <w:tabs>
        <w:tab w:val="left" w:pos="720"/>
        <w:tab w:val="left" w:pos="1440"/>
        <w:tab w:val="right" w:leader="dot" w:pos="9350"/>
      </w:tabs>
      <w:spacing w:after="240"/>
      <w:ind w:left="720" w:right="720" w:hanging="720"/>
    </w:pPr>
    <w:rPr>
      <w:caps/>
      <w:noProof/>
    </w:rPr>
  </w:style>
  <w:style w:type="paragraph" w:styleId="TOC3">
    <w:name w:val="toc 3"/>
    <w:basedOn w:val="Normal"/>
    <w:next w:val="Normal"/>
    <w:autoRedefine/>
    <w:semiHidden/>
    <w:pPr>
      <w:keepLines/>
      <w:tabs>
        <w:tab w:val="left" w:pos="1440"/>
        <w:tab w:val="right" w:leader="dot" w:pos="9360"/>
      </w:tabs>
      <w:spacing w:after="240"/>
      <w:ind w:left="1872" w:right="720" w:hanging="432"/>
    </w:pPr>
    <w:rPr>
      <w:noProof/>
    </w:rPr>
  </w:style>
  <w:style w:type="paragraph" w:styleId="TOC4">
    <w:name w:val="toc 4"/>
    <w:basedOn w:val="Normal"/>
    <w:next w:val="Normal"/>
    <w:autoRedefine/>
    <w:semiHidden/>
    <w:pPr>
      <w:tabs>
        <w:tab w:val="right" w:leader="dot" w:pos="9360"/>
      </w:tabs>
      <w:spacing w:after="240"/>
      <w:ind w:left="2592" w:right="720" w:hanging="432"/>
    </w:pPr>
  </w:style>
  <w:style w:type="paragraph" w:styleId="TOC5">
    <w:name w:val="toc 5"/>
    <w:basedOn w:val="Normal"/>
    <w:next w:val="Normal"/>
    <w:autoRedefine/>
    <w:semiHidden/>
    <w:pPr>
      <w:tabs>
        <w:tab w:val="right" w:leader="dot" w:pos="9360"/>
      </w:tabs>
      <w:spacing w:after="240"/>
      <w:ind w:left="3312" w:right="720" w:hanging="432"/>
    </w:pPr>
  </w:style>
  <w:style w:type="paragraph" w:customStyle="1" w:styleId="ParaNum">
    <w:name w:val="ParaNum"/>
    <w:basedOn w:val="Normal"/>
    <w:rsid w:val="00566FD4"/>
    <w:pPr>
      <w:numPr>
        <w:numId w:val="1"/>
      </w:numPr>
      <w:tabs>
        <w:tab w:val="clear" w:pos="360"/>
      </w:tabs>
      <w:suppressAutoHyphens/>
      <w:spacing w:line="480" w:lineRule="auto"/>
      <w:ind w:left="0" w:firstLine="720"/>
    </w:pPr>
  </w:style>
  <w:style w:type="character" w:styleId="Hyperlink">
    <w:name w:val="Hyperlink"/>
    <w:basedOn w:val="DefaultParagraphFont"/>
    <w:uiPriority w:val="99"/>
    <w:rPr>
      <w:color w:val="0000FF"/>
      <w:u w:val="single"/>
    </w:rPr>
  </w:style>
  <w:style w:type="paragraph" w:styleId="BlockText">
    <w:name w:val="Block Text"/>
    <w:basedOn w:val="Normal"/>
    <w:uiPriority w:val="98"/>
    <w:rsid w:val="00684ADC"/>
    <w:pPr>
      <w:widowControl/>
      <w:spacing w:after="240"/>
      <w:ind w:left="1440" w:right="1440"/>
    </w:pPr>
  </w:style>
  <w:style w:type="paragraph" w:styleId="ListParagraph">
    <w:name w:val="List Paragraph"/>
    <w:basedOn w:val="Normal"/>
    <w:uiPriority w:val="1"/>
    <w:qFormat/>
    <w:rsid w:val="0086403E"/>
    <w:pPr>
      <w:widowControl/>
      <w:spacing w:line="480" w:lineRule="atLeast"/>
      <w:ind w:left="720" w:firstLine="720"/>
      <w:contextualSpacing/>
    </w:pPr>
    <w:rPr>
      <w:lang w:eastAsia="zh-CN"/>
    </w:rPr>
  </w:style>
  <w:style w:type="paragraph" w:customStyle="1" w:styleId="question">
    <w:name w:val="question"/>
    <w:basedOn w:val="Normal"/>
    <w:next w:val="answer"/>
    <w:link w:val="questionChar"/>
    <w:rsid w:val="006062B7"/>
    <w:pPr>
      <w:widowControl/>
      <w:spacing w:line="480" w:lineRule="auto"/>
      <w:ind w:left="720" w:hanging="720"/>
    </w:pPr>
    <w:rPr>
      <w:rFonts w:ascii="CG Times (WN)" w:hAnsi="CG Times (WN)"/>
      <w:b/>
      <w:lang w:eastAsia="zh-CN"/>
    </w:rPr>
  </w:style>
  <w:style w:type="paragraph" w:customStyle="1" w:styleId="answer">
    <w:name w:val="answer"/>
    <w:basedOn w:val="Normal"/>
    <w:link w:val="answerChar1"/>
    <w:rsid w:val="00B12FE3"/>
    <w:pPr>
      <w:spacing w:line="480" w:lineRule="auto"/>
    </w:pPr>
    <w:rPr>
      <w:rFonts w:eastAsia="SimSun"/>
      <w:lang w:eastAsia="zh-CN"/>
    </w:rPr>
  </w:style>
  <w:style w:type="character" w:customStyle="1" w:styleId="answerChar1">
    <w:name w:val="answer Char1"/>
    <w:basedOn w:val="DefaultParagraphFont"/>
    <w:link w:val="answer"/>
    <w:locked/>
    <w:rsid w:val="00B12FE3"/>
    <w:rPr>
      <w:rFonts w:eastAsia="SimSun"/>
      <w:sz w:val="24"/>
      <w:lang w:eastAsia="zh-CN"/>
    </w:rPr>
  </w:style>
  <w:style w:type="character" w:customStyle="1" w:styleId="questionChar">
    <w:name w:val="question Char"/>
    <w:basedOn w:val="DefaultParagraphFont"/>
    <w:link w:val="question"/>
    <w:locked/>
    <w:rsid w:val="006062B7"/>
    <w:rPr>
      <w:rFonts w:ascii="CG Times (WN)" w:hAnsi="CG Times (WN)"/>
      <w:b/>
      <w:sz w:val="24"/>
      <w:lang w:eastAsia="zh-CN"/>
    </w:rPr>
  </w:style>
  <w:style w:type="paragraph" w:customStyle="1" w:styleId="Numbr10SS">
    <w:name w:val="Numbr 10+ SS"/>
    <w:basedOn w:val="Normal"/>
    <w:uiPriority w:val="99"/>
    <w:rsid w:val="00486CAE"/>
    <w:pPr>
      <w:widowControl/>
      <w:numPr>
        <w:numId w:val="16"/>
      </w:numPr>
      <w:tabs>
        <w:tab w:val="left" w:pos="547"/>
        <w:tab w:val="left" w:pos="878"/>
      </w:tabs>
    </w:pPr>
    <w:rPr>
      <w:rFonts w:ascii="Times" w:hAnsi="Times"/>
      <w:sz w:val="23"/>
      <w:lang w:eastAsia="zh-CN"/>
    </w:rPr>
  </w:style>
  <w:style w:type="table" w:styleId="TableGrid">
    <w:name w:val="Table Grid"/>
    <w:basedOn w:val="TableNormal"/>
    <w:uiPriority w:val="99"/>
    <w:rsid w:val="006062B7"/>
    <w:rPr>
      <w:rFonts w:ascii="CG Times (WN)" w:hAnsi="CG Times (W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AB70AF"/>
    <w:rPr>
      <w:sz w:val="16"/>
      <w:szCs w:val="16"/>
    </w:rPr>
  </w:style>
  <w:style w:type="paragraph" w:styleId="CommentText">
    <w:name w:val="annotation text"/>
    <w:basedOn w:val="Normal"/>
    <w:link w:val="CommentTextChar"/>
    <w:rsid w:val="00AB70AF"/>
    <w:rPr>
      <w:sz w:val="20"/>
    </w:rPr>
  </w:style>
  <w:style w:type="character" w:customStyle="1" w:styleId="CommentTextChar">
    <w:name w:val="Comment Text Char"/>
    <w:basedOn w:val="DefaultParagraphFont"/>
    <w:link w:val="CommentText"/>
    <w:rsid w:val="00AB70AF"/>
  </w:style>
  <w:style w:type="paragraph" w:styleId="CommentSubject">
    <w:name w:val="annotation subject"/>
    <w:basedOn w:val="CommentText"/>
    <w:next w:val="CommentText"/>
    <w:link w:val="CommentSubjectChar"/>
    <w:rsid w:val="00AB70AF"/>
    <w:rPr>
      <w:b/>
      <w:bCs/>
    </w:rPr>
  </w:style>
  <w:style w:type="character" w:customStyle="1" w:styleId="CommentSubjectChar">
    <w:name w:val="Comment Subject Char"/>
    <w:basedOn w:val="CommentTextChar"/>
    <w:link w:val="CommentSubject"/>
    <w:rsid w:val="00AB70AF"/>
    <w:rPr>
      <w:b/>
      <w:bCs/>
    </w:rPr>
  </w:style>
  <w:style w:type="paragraph" w:styleId="BalloonText">
    <w:name w:val="Balloon Text"/>
    <w:basedOn w:val="Normal"/>
    <w:link w:val="BalloonTextChar"/>
    <w:rsid w:val="00AB70AF"/>
    <w:rPr>
      <w:rFonts w:ascii="Tahoma" w:hAnsi="Tahoma" w:cs="Tahoma"/>
      <w:sz w:val="16"/>
      <w:szCs w:val="16"/>
    </w:rPr>
  </w:style>
  <w:style w:type="character" w:customStyle="1" w:styleId="BalloonTextChar">
    <w:name w:val="Balloon Text Char"/>
    <w:basedOn w:val="DefaultParagraphFont"/>
    <w:link w:val="BalloonText"/>
    <w:rsid w:val="00AB70AF"/>
    <w:rPr>
      <w:rFonts w:ascii="Tahoma" w:hAnsi="Tahoma" w:cs="Tahoma"/>
      <w:sz w:val="16"/>
      <w:szCs w:val="16"/>
    </w:rPr>
  </w:style>
  <w:style w:type="character" w:styleId="FootnoteReference">
    <w:name w:val="footnote reference"/>
    <w:aliases w:val="o,fr,Style 3,Style 13,Style 12,Style 15,Style 17,Style 9,o1,fr1,o2,fr2,o3,fr3,Style 18,(NECG) Footnote Reference,Style 20,Style 7,Style 8,Style 19,Style 28,Style 11,Style 16,Styl"/>
    <w:basedOn w:val="DefaultParagraphFont"/>
    <w:qFormat/>
    <w:rsid w:val="00B37897"/>
    <w:rPr>
      <w:vertAlign w:val="superscript"/>
    </w:rPr>
  </w:style>
  <w:style w:type="paragraph" w:styleId="BodyTextIndent">
    <w:name w:val="Body Text Indent"/>
    <w:basedOn w:val="Normal"/>
    <w:link w:val="BodyTextIndentChar"/>
    <w:semiHidden/>
    <w:unhideWhenUsed/>
    <w:qFormat/>
    <w:rsid w:val="00B37897"/>
    <w:pPr>
      <w:spacing w:after="120"/>
      <w:ind w:left="360"/>
    </w:pPr>
  </w:style>
  <w:style w:type="character" w:customStyle="1" w:styleId="BodyTextIndentChar">
    <w:name w:val="Body Text Indent Char"/>
    <w:basedOn w:val="DefaultParagraphFont"/>
    <w:link w:val="BodyTextIndent"/>
    <w:semiHidden/>
    <w:rsid w:val="00B37897"/>
    <w:rPr>
      <w:sz w:val="24"/>
    </w:rPr>
  </w:style>
  <w:style w:type="character" w:customStyle="1" w:styleId="apple-converted-space">
    <w:name w:val="apple-converted-space"/>
    <w:basedOn w:val="DefaultParagraphFont"/>
    <w:rsid w:val="00991667"/>
  </w:style>
  <w:style w:type="character" w:customStyle="1" w:styleId="Mention1">
    <w:name w:val="Mention1"/>
    <w:basedOn w:val="DefaultParagraphFont"/>
    <w:uiPriority w:val="99"/>
    <w:semiHidden/>
    <w:unhideWhenUsed/>
    <w:rsid w:val="006F485A"/>
    <w:rPr>
      <w:color w:val="2B579A"/>
      <w:shd w:val="clear" w:color="auto" w:fill="E6E6E6"/>
    </w:rPr>
  </w:style>
  <w:style w:type="character" w:styleId="FollowedHyperlink">
    <w:name w:val="FollowedHyperlink"/>
    <w:basedOn w:val="DefaultParagraphFont"/>
    <w:semiHidden/>
    <w:unhideWhenUsed/>
    <w:rsid w:val="009A1A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5902">
      <w:bodyDiv w:val="1"/>
      <w:marLeft w:val="0"/>
      <w:marRight w:val="0"/>
      <w:marTop w:val="0"/>
      <w:marBottom w:val="0"/>
      <w:divBdr>
        <w:top w:val="none" w:sz="0" w:space="0" w:color="auto"/>
        <w:left w:val="none" w:sz="0" w:space="0" w:color="auto"/>
        <w:bottom w:val="none" w:sz="0" w:space="0" w:color="auto"/>
        <w:right w:val="none" w:sz="0" w:space="0" w:color="auto"/>
      </w:divBdr>
    </w:div>
    <w:div w:id="427625503">
      <w:bodyDiv w:val="1"/>
      <w:marLeft w:val="0"/>
      <w:marRight w:val="0"/>
      <w:marTop w:val="0"/>
      <w:marBottom w:val="0"/>
      <w:divBdr>
        <w:top w:val="none" w:sz="0" w:space="0" w:color="auto"/>
        <w:left w:val="none" w:sz="0" w:space="0" w:color="auto"/>
        <w:bottom w:val="none" w:sz="0" w:space="0" w:color="auto"/>
        <w:right w:val="none" w:sz="0" w:space="0" w:color="auto"/>
      </w:divBdr>
    </w:div>
    <w:div w:id="754279626">
      <w:bodyDiv w:val="1"/>
      <w:marLeft w:val="0"/>
      <w:marRight w:val="0"/>
      <w:marTop w:val="0"/>
      <w:marBottom w:val="0"/>
      <w:divBdr>
        <w:top w:val="none" w:sz="0" w:space="0" w:color="auto"/>
        <w:left w:val="none" w:sz="0" w:space="0" w:color="auto"/>
        <w:bottom w:val="none" w:sz="0" w:space="0" w:color="auto"/>
        <w:right w:val="none" w:sz="0" w:space="0" w:color="auto"/>
      </w:divBdr>
    </w:div>
    <w:div w:id="162079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2017-08-09T07:00:00+00:00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286E7361-E3B1-432A-A014-2B2E7D038DA4}">
  <ds:schemaRefs>
    <ds:schemaRef ds:uri="http://schemas.openxmlformats.org/officeDocument/2006/bibliography"/>
  </ds:schemaRefs>
</ds:datastoreItem>
</file>

<file path=customXml/itemProps2.xml><?xml version="1.0" encoding="utf-8"?>
<ds:datastoreItem xmlns:ds="http://schemas.openxmlformats.org/officeDocument/2006/customXml" ds:itemID="{BAE67532-F323-4DCC-88C6-85430CE275DD}"/>
</file>

<file path=customXml/itemProps3.xml><?xml version="1.0" encoding="utf-8"?>
<ds:datastoreItem xmlns:ds="http://schemas.openxmlformats.org/officeDocument/2006/customXml" ds:itemID="{3F9B7F5E-2AAC-4857-9B16-A64D1570F642}"/>
</file>

<file path=customXml/itemProps4.xml><?xml version="1.0" encoding="utf-8"?>
<ds:datastoreItem xmlns:ds="http://schemas.openxmlformats.org/officeDocument/2006/customXml" ds:itemID="{E95E64D3-2209-45AE-85A8-3F11D74A04EF}"/>
</file>

<file path=customXml/itemProps5.xml><?xml version="1.0" encoding="utf-8"?>
<ds:datastoreItem xmlns:ds="http://schemas.openxmlformats.org/officeDocument/2006/customXml" ds:itemID="{30CB6CF5-7D01-4052-9763-23D3CD4DC5C8}"/>
</file>

<file path=docProps/app.xml><?xml version="1.0" encoding="utf-8"?>
<Properties xmlns="http://schemas.openxmlformats.org/officeDocument/2006/extended-properties" xmlns:vt="http://schemas.openxmlformats.org/officeDocument/2006/docPropsVTypes">
  <Template>CB1BF1B6</Template>
  <TotalTime>7</TotalTime>
  <Pages>14</Pages>
  <Words>2761</Words>
  <Characters>16071</Characters>
  <Application>Microsoft Office Word</Application>
  <DocSecurity>0</DocSecurity>
  <Lines>1071</Lines>
  <Paragraphs>538</Paragraphs>
  <ScaleCrop>false</ScaleCrop>
  <HeadingPairs>
    <vt:vector size="2" baseType="variant">
      <vt:variant>
        <vt:lpstr>Title</vt:lpstr>
      </vt:variant>
      <vt:variant>
        <vt:i4>1</vt:i4>
      </vt:variant>
    </vt:vector>
  </HeadingPairs>
  <TitlesOfParts>
    <vt:vector size="1" baseType="lpstr">
      <vt:lpstr>District Court Pleadings Caption</vt:lpstr>
    </vt:vector>
  </TitlesOfParts>
  <Company>Dell Computer Corporation</Company>
  <LinksUpToDate>false</LinksUpToDate>
  <CharactersWithSpaces>18294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Pleadings Caption</dc:title>
  <dc:subject>pleadings</dc:subject>
  <dc:creator>Catherine Hamborg</dc:creator>
  <dc:description>District Court Caption with line numbering and vertical lines</dc:description>
  <cp:lastModifiedBy>Cathy Hendrickson</cp:lastModifiedBy>
  <cp:revision>5</cp:revision>
  <cp:lastPrinted>2017-08-03T20:17:00Z</cp:lastPrinted>
  <dcterms:created xsi:type="dcterms:W3CDTF">2017-08-09T17:02:00Z</dcterms:created>
  <dcterms:modified xsi:type="dcterms:W3CDTF">2017-08-09T19:07:00Z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0x0101006E56B4D1795A2E4DB2F0B01679ED314A00718D2FBB09848246B6FD4A5A815592E3</vt:lpwstr>
  </property>
  <property fmtid="{D5CDD505-2E9C-101B-9397-08002B2CF9AE}" pid="3" name="_docset_NoMedatataSyncRequired">
    <vt:lpwstr>False</vt:lpwstr>
  </property>
  <property fmtid="{D5CDD505-2E9C-101B-9397-08002B2CF9AE}" pid="4" name="IsEFSEC">
    <vt:bool>false</vt:bool>
  </property>
</Properties>
</file>