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09" w:rsidRPr="00DA5DBB" w:rsidRDefault="000B3609" w:rsidP="000B3609">
      <w:pPr>
        <w:pStyle w:val="BodyText"/>
        <w:rPr>
          <w:b/>
          <w:bCs/>
          <w:sz w:val="25"/>
          <w:szCs w:val="25"/>
        </w:rPr>
      </w:pPr>
      <w:bookmarkStart w:id="0" w:name="_GoBack"/>
      <w:bookmarkEnd w:id="0"/>
      <w:r w:rsidRPr="00DA5DBB">
        <w:rPr>
          <w:b/>
          <w:bCs/>
          <w:sz w:val="25"/>
          <w:szCs w:val="25"/>
        </w:rPr>
        <w:t>BEFORE THE WASHINGTON</w:t>
      </w:r>
    </w:p>
    <w:p w:rsidR="000B3609" w:rsidRPr="00DA5DBB" w:rsidRDefault="000B3609" w:rsidP="000B3609">
      <w:pPr>
        <w:pStyle w:val="BodyText"/>
        <w:rPr>
          <w:b/>
          <w:bCs/>
          <w:sz w:val="25"/>
          <w:szCs w:val="25"/>
        </w:rPr>
      </w:pPr>
      <w:r w:rsidRPr="00DA5DBB">
        <w:rPr>
          <w:b/>
          <w:bCs/>
          <w:sz w:val="25"/>
          <w:szCs w:val="25"/>
        </w:rPr>
        <w:t>UTILITIES AND TRANSPORTATION COMMISSION</w:t>
      </w:r>
    </w:p>
    <w:p w:rsidR="000B3609" w:rsidRPr="00DA5DBB" w:rsidRDefault="000B3609" w:rsidP="000B3609">
      <w:pPr>
        <w:rPr>
          <w:sz w:val="25"/>
          <w:szCs w:val="25"/>
        </w:rPr>
      </w:pPr>
    </w:p>
    <w:tbl>
      <w:tblPr>
        <w:tblW w:w="0" w:type="auto"/>
        <w:tblLook w:val="0000" w:firstRow="0" w:lastRow="0" w:firstColumn="0" w:lastColumn="0" w:noHBand="0" w:noVBand="0"/>
      </w:tblPr>
      <w:tblGrid>
        <w:gridCol w:w="4248"/>
        <w:gridCol w:w="360"/>
        <w:gridCol w:w="4248"/>
      </w:tblGrid>
      <w:tr w:rsidR="000B3609" w:rsidRPr="00CB7F45" w:rsidTr="008804FA">
        <w:tc>
          <w:tcPr>
            <w:tcW w:w="4248" w:type="dxa"/>
          </w:tcPr>
          <w:p w:rsidR="000B3609" w:rsidRDefault="000B3609" w:rsidP="008804FA">
            <w:pPr>
              <w:tabs>
                <w:tab w:val="left" w:pos="2160"/>
              </w:tabs>
              <w:spacing w:line="264" w:lineRule="auto"/>
              <w:rPr>
                <w:bCs/>
                <w:sz w:val="25"/>
                <w:szCs w:val="25"/>
              </w:rPr>
            </w:pPr>
            <w:r>
              <w:rPr>
                <w:bCs/>
                <w:sz w:val="25"/>
                <w:szCs w:val="25"/>
              </w:rPr>
              <w:t>WASHINGTON UTILITIES AND TRANSPORTATION COMMISSION,</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
                <w:bCs/>
                <w:sz w:val="25"/>
                <w:szCs w:val="25"/>
              </w:rPr>
              <w:tab/>
            </w:r>
            <w:r w:rsidRPr="009C7F90">
              <w:rPr>
                <w:bCs/>
                <w:sz w:val="25"/>
                <w:szCs w:val="25"/>
              </w:rPr>
              <w:t>Complainant,</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proofErr w:type="gramStart"/>
            <w:r>
              <w:rPr>
                <w:bCs/>
                <w:sz w:val="25"/>
                <w:szCs w:val="25"/>
              </w:rPr>
              <w:t>v</w:t>
            </w:r>
            <w:proofErr w:type="gramEnd"/>
            <w:r>
              <w:rPr>
                <w:bCs/>
                <w:sz w:val="25"/>
                <w:szCs w:val="25"/>
              </w:rPr>
              <w:t>.</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AVISTA CORPORATION d/b/a AVISTA UTILITIES,</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ab/>
              <w:t>Respondent.</w:t>
            </w:r>
          </w:p>
          <w:p w:rsidR="000B3609" w:rsidRPr="00CB7F45" w:rsidRDefault="000B3609" w:rsidP="008804FA">
            <w:pPr>
              <w:tabs>
                <w:tab w:val="left" w:pos="2160"/>
              </w:tabs>
              <w:spacing w:line="264" w:lineRule="auto"/>
              <w:rPr>
                <w:sz w:val="25"/>
                <w:szCs w:val="25"/>
              </w:rPr>
            </w:pPr>
            <w:r w:rsidRPr="00CB7F45">
              <w:rPr>
                <w:sz w:val="25"/>
                <w:szCs w:val="25"/>
              </w:rPr>
              <w:t xml:space="preserve">. . . . . . . . . . . . . . . . . . . . . . . . . . . . . . . . </w:t>
            </w:r>
          </w:p>
        </w:tc>
        <w:tc>
          <w:tcPr>
            <w:tcW w:w="360" w:type="dxa"/>
          </w:tcPr>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Default="000B3609" w:rsidP="008804FA">
            <w:pPr>
              <w:spacing w:line="264" w:lineRule="auto"/>
              <w:rPr>
                <w:sz w:val="25"/>
                <w:szCs w:val="25"/>
              </w:rPr>
            </w:pPr>
            <w:r w:rsidRPr="00CB7F45">
              <w:rPr>
                <w:sz w:val="25"/>
                <w:szCs w:val="25"/>
              </w:rPr>
              <w:t>)</w:t>
            </w:r>
          </w:p>
          <w:p w:rsidR="000B3609" w:rsidRDefault="000B3609" w:rsidP="008804FA">
            <w:pPr>
              <w:spacing w:line="264" w:lineRule="auto"/>
              <w:rPr>
                <w:sz w:val="25"/>
                <w:szCs w:val="25"/>
              </w:rPr>
            </w:pPr>
            <w:r>
              <w:rPr>
                <w:sz w:val="25"/>
                <w:szCs w:val="25"/>
              </w:rPr>
              <w:t>)</w:t>
            </w:r>
          </w:p>
          <w:p w:rsidR="000B3609" w:rsidRPr="00CB7F45" w:rsidRDefault="000B3609" w:rsidP="008804FA">
            <w:pPr>
              <w:spacing w:line="264" w:lineRule="auto"/>
              <w:rPr>
                <w:sz w:val="25"/>
                <w:szCs w:val="25"/>
              </w:rPr>
            </w:pPr>
            <w:r>
              <w:rPr>
                <w:sz w:val="25"/>
                <w:szCs w:val="25"/>
              </w:rPr>
              <w:t>)</w:t>
            </w:r>
          </w:p>
        </w:tc>
        <w:tc>
          <w:tcPr>
            <w:tcW w:w="4248" w:type="dxa"/>
          </w:tcPr>
          <w:p w:rsidR="000B3609" w:rsidRPr="00225A2A" w:rsidRDefault="000B3609" w:rsidP="008804FA">
            <w:pPr>
              <w:spacing w:line="264" w:lineRule="auto"/>
              <w:rPr>
                <w:i/>
                <w:sz w:val="25"/>
                <w:szCs w:val="25"/>
              </w:rPr>
            </w:pPr>
            <w:r w:rsidRPr="00CB7F45">
              <w:rPr>
                <w:sz w:val="25"/>
                <w:szCs w:val="25"/>
              </w:rPr>
              <w:t>DOCKET</w:t>
            </w:r>
            <w:r>
              <w:rPr>
                <w:sz w:val="25"/>
                <w:szCs w:val="25"/>
              </w:rPr>
              <w:t>S</w:t>
            </w:r>
            <w:r w:rsidRPr="00CB7F45">
              <w:rPr>
                <w:sz w:val="25"/>
                <w:szCs w:val="25"/>
              </w:rPr>
              <w:t xml:space="preserve"> </w:t>
            </w:r>
            <w:r>
              <w:rPr>
                <w:sz w:val="25"/>
                <w:szCs w:val="25"/>
              </w:rPr>
              <w:t>UE-120436 and             UG-120437 (</w:t>
            </w:r>
            <w:r>
              <w:rPr>
                <w:i/>
                <w:sz w:val="25"/>
                <w:szCs w:val="25"/>
              </w:rPr>
              <w:t>Consolidated)</w:t>
            </w:r>
          </w:p>
          <w:p w:rsidR="000B3609" w:rsidRPr="00CB7F45" w:rsidRDefault="000B3609" w:rsidP="008804FA">
            <w:pPr>
              <w:spacing w:line="264" w:lineRule="auto"/>
              <w:rPr>
                <w:sz w:val="25"/>
                <w:szCs w:val="25"/>
              </w:rPr>
            </w:pPr>
          </w:p>
          <w:p w:rsidR="000B3609" w:rsidRPr="001275DD" w:rsidRDefault="000B3609" w:rsidP="008804FA">
            <w:pPr>
              <w:pStyle w:val="Header"/>
              <w:tabs>
                <w:tab w:val="clear" w:pos="4320"/>
                <w:tab w:val="clear" w:pos="8640"/>
              </w:tabs>
              <w:spacing w:line="264" w:lineRule="auto"/>
              <w:rPr>
                <w:sz w:val="25"/>
                <w:szCs w:val="25"/>
              </w:rPr>
            </w:pPr>
            <w:r w:rsidRPr="001275DD">
              <w:rPr>
                <w:sz w:val="25"/>
                <w:szCs w:val="25"/>
              </w:rPr>
              <w:t>ORDER 0</w:t>
            </w:r>
            <w:r w:rsidR="00586281">
              <w:rPr>
                <w:sz w:val="25"/>
                <w:szCs w:val="25"/>
              </w:rPr>
              <w:t>4</w:t>
            </w:r>
          </w:p>
          <w:p w:rsidR="000B3609" w:rsidRDefault="000B3609" w:rsidP="008804FA">
            <w:pPr>
              <w:spacing w:line="264" w:lineRule="auto"/>
              <w:rPr>
                <w:sz w:val="25"/>
                <w:szCs w:val="25"/>
              </w:rPr>
            </w:pPr>
          </w:p>
          <w:p w:rsidR="000B3609" w:rsidRPr="00CB7F45" w:rsidRDefault="000B3609" w:rsidP="008804FA">
            <w:pPr>
              <w:spacing w:line="264" w:lineRule="auto"/>
              <w:rPr>
                <w:sz w:val="25"/>
                <w:szCs w:val="25"/>
              </w:rPr>
            </w:pPr>
            <w:r>
              <w:rPr>
                <w:sz w:val="25"/>
                <w:szCs w:val="25"/>
              </w:rPr>
              <w:t xml:space="preserve">ORDER </w:t>
            </w:r>
            <w:r w:rsidR="00586281">
              <w:rPr>
                <w:sz w:val="25"/>
                <w:szCs w:val="25"/>
              </w:rPr>
              <w:t>DENYING AVISTA’S MOTION FOR LEAVE TO FILE LETTER OF CLARIFICATION</w:t>
            </w:r>
            <w:r>
              <w:rPr>
                <w:sz w:val="25"/>
                <w:szCs w:val="25"/>
              </w:rPr>
              <w:t xml:space="preserve"> </w:t>
            </w:r>
          </w:p>
          <w:p w:rsidR="000B3609" w:rsidRPr="00CB7F45" w:rsidRDefault="000B3609" w:rsidP="001F091E">
            <w:pPr>
              <w:spacing w:line="264" w:lineRule="auto"/>
              <w:rPr>
                <w:sz w:val="25"/>
                <w:szCs w:val="25"/>
              </w:rPr>
            </w:pPr>
          </w:p>
        </w:tc>
      </w:tr>
      <w:tr w:rsidR="000B3609" w:rsidRPr="00CB7F45" w:rsidTr="008804FA">
        <w:tc>
          <w:tcPr>
            <w:tcW w:w="4248" w:type="dxa"/>
          </w:tcPr>
          <w:p w:rsidR="000B3609" w:rsidRDefault="000B3609" w:rsidP="008804FA">
            <w:pPr>
              <w:tabs>
                <w:tab w:val="left" w:pos="2160"/>
              </w:tabs>
              <w:spacing w:line="264" w:lineRule="auto"/>
              <w:rPr>
                <w:bCs/>
                <w:sz w:val="25"/>
                <w:szCs w:val="25"/>
              </w:rPr>
            </w:pPr>
            <w:r>
              <w:rPr>
                <w:bCs/>
                <w:sz w:val="25"/>
                <w:szCs w:val="25"/>
              </w:rPr>
              <w:t>WASHINGTON UTILITIES AND TRANSPORTATION COMMISSION,</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
                <w:bCs/>
                <w:sz w:val="25"/>
                <w:szCs w:val="25"/>
              </w:rPr>
              <w:tab/>
            </w:r>
            <w:r w:rsidRPr="009C7F90">
              <w:rPr>
                <w:bCs/>
                <w:sz w:val="25"/>
                <w:szCs w:val="25"/>
              </w:rPr>
              <w:t>Complainant,</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proofErr w:type="gramStart"/>
            <w:r>
              <w:rPr>
                <w:bCs/>
                <w:sz w:val="25"/>
                <w:szCs w:val="25"/>
              </w:rPr>
              <w:t>v</w:t>
            </w:r>
            <w:proofErr w:type="gramEnd"/>
            <w:r>
              <w:rPr>
                <w:bCs/>
                <w:sz w:val="25"/>
                <w:szCs w:val="25"/>
              </w:rPr>
              <w:t>.</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AVISTA CORPORATION d/b/a AVISTA UTILITIES,</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ab/>
              <w:t>Respondent.</w:t>
            </w:r>
          </w:p>
          <w:p w:rsidR="000B3609" w:rsidRPr="00CB7F45" w:rsidRDefault="000B3609" w:rsidP="008804FA">
            <w:pPr>
              <w:tabs>
                <w:tab w:val="left" w:pos="2160"/>
              </w:tabs>
              <w:spacing w:line="264" w:lineRule="auto"/>
              <w:rPr>
                <w:sz w:val="25"/>
                <w:szCs w:val="25"/>
              </w:rPr>
            </w:pPr>
            <w:r w:rsidRPr="00CB7F45">
              <w:rPr>
                <w:sz w:val="25"/>
                <w:szCs w:val="25"/>
              </w:rPr>
              <w:t xml:space="preserve">. . . . . . . . . . . . . . . . . . . . . . . . . . . . . . . . </w:t>
            </w:r>
          </w:p>
        </w:tc>
        <w:tc>
          <w:tcPr>
            <w:tcW w:w="360" w:type="dxa"/>
          </w:tcPr>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Default="000B3609" w:rsidP="008804FA">
            <w:pPr>
              <w:spacing w:line="264" w:lineRule="auto"/>
              <w:rPr>
                <w:sz w:val="25"/>
                <w:szCs w:val="25"/>
              </w:rPr>
            </w:pPr>
            <w:r w:rsidRPr="00CB7F45">
              <w:rPr>
                <w:sz w:val="25"/>
                <w:szCs w:val="25"/>
              </w:rPr>
              <w:t>)</w:t>
            </w:r>
          </w:p>
          <w:p w:rsidR="000B3609" w:rsidRDefault="000B3609" w:rsidP="008804FA">
            <w:pPr>
              <w:spacing w:line="264" w:lineRule="auto"/>
              <w:rPr>
                <w:sz w:val="25"/>
                <w:szCs w:val="25"/>
              </w:rPr>
            </w:pPr>
            <w:r>
              <w:rPr>
                <w:sz w:val="25"/>
                <w:szCs w:val="25"/>
              </w:rPr>
              <w:t>)</w:t>
            </w:r>
          </w:p>
          <w:p w:rsidR="000B3609" w:rsidRPr="00CB7F45" w:rsidRDefault="000B3609" w:rsidP="008804FA">
            <w:pPr>
              <w:spacing w:line="264" w:lineRule="auto"/>
              <w:rPr>
                <w:sz w:val="25"/>
                <w:szCs w:val="25"/>
              </w:rPr>
            </w:pPr>
            <w:r>
              <w:rPr>
                <w:sz w:val="25"/>
                <w:szCs w:val="25"/>
              </w:rPr>
              <w:t>)</w:t>
            </w:r>
          </w:p>
        </w:tc>
        <w:tc>
          <w:tcPr>
            <w:tcW w:w="4248" w:type="dxa"/>
          </w:tcPr>
          <w:p w:rsidR="000B3609" w:rsidRPr="00225A2A" w:rsidRDefault="000B3609" w:rsidP="008804FA">
            <w:pPr>
              <w:spacing w:line="264" w:lineRule="auto"/>
              <w:rPr>
                <w:i/>
                <w:sz w:val="25"/>
                <w:szCs w:val="25"/>
              </w:rPr>
            </w:pPr>
            <w:r w:rsidRPr="00CB7F45">
              <w:rPr>
                <w:sz w:val="25"/>
                <w:szCs w:val="25"/>
              </w:rPr>
              <w:t>DOCKET</w:t>
            </w:r>
            <w:r>
              <w:rPr>
                <w:sz w:val="25"/>
                <w:szCs w:val="25"/>
              </w:rPr>
              <w:t>S</w:t>
            </w:r>
            <w:r w:rsidRPr="00CB7F45">
              <w:rPr>
                <w:sz w:val="25"/>
                <w:szCs w:val="25"/>
              </w:rPr>
              <w:t xml:space="preserve"> </w:t>
            </w:r>
            <w:r>
              <w:rPr>
                <w:sz w:val="25"/>
                <w:szCs w:val="25"/>
              </w:rPr>
              <w:t>UE-110876 and             UG-110877 (</w:t>
            </w:r>
            <w:r>
              <w:rPr>
                <w:i/>
                <w:sz w:val="25"/>
                <w:szCs w:val="25"/>
              </w:rPr>
              <w:t>Consolidated)</w:t>
            </w:r>
          </w:p>
          <w:p w:rsidR="000B3609" w:rsidRPr="00CB7F45" w:rsidRDefault="000B3609" w:rsidP="008804FA">
            <w:pPr>
              <w:spacing w:line="264" w:lineRule="auto"/>
              <w:rPr>
                <w:sz w:val="25"/>
                <w:szCs w:val="25"/>
              </w:rPr>
            </w:pPr>
          </w:p>
          <w:p w:rsidR="000B3609" w:rsidRPr="001275DD" w:rsidRDefault="000B3609" w:rsidP="008804FA">
            <w:pPr>
              <w:pStyle w:val="Header"/>
              <w:tabs>
                <w:tab w:val="clear" w:pos="4320"/>
                <w:tab w:val="clear" w:pos="8640"/>
              </w:tabs>
              <w:spacing w:line="264" w:lineRule="auto"/>
              <w:rPr>
                <w:sz w:val="25"/>
                <w:szCs w:val="25"/>
              </w:rPr>
            </w:pPr>
            <w:r w:rsidRPr="001275DD">
              <w:rPr>
                <w:sz w:val="25"/>
                <w:szCs w:val="25"/>
              </w:rPr>
              <w:t>ORDER 0</w:t>
            </w:r>
            <w:r w:rsidR="00586281">
              <w:rPr>
                <w:sz w:val="25"/>
                <w:szCs w:val="25"/>
              </w:rPr>
              <w:t>9</w:t>
            </w:r>
          </w:p>
          <w:p w:rsidR="000B3609" w:rsidRDefault="000B3609" w:rsidP="008804FA">
            <w:pPr>
              <w:spacing w:line="264" w:lineRule="auto"/>
              <w:rPr>
                <w:sz w:val="25"/>
                <w:szCs w:val="25"/>
              </w:rPr>
            </w:pPr>
          </w:p>
          <w:p w:rsidR="000B3609" w:rsidRPr="000B3609" w:rsidRDefault="000B3609" w:rsidP="00586281">
            <w:pPr>
              <w:spacing w:line="264" w:lineRule="auto"/>
              <w:rPr>
                <w:b/>
                <w:sz w:val="25"/>
                <w:szCs w:val="25"/>
              </w:rPr>
            </w:pPr>
            <w:r>
              <w:rPr>
                <w:sz w:val="25"/>
                <w:szCs w:val="25"/>
              </w:rPr>
              <w:t xml:space="preserve">ORDER </w:t>
            </w:r>
            <w:r w:rsidR="00586281">
              <w:rPr>
                <w:sz w:val="25"/>
                <w:szCs w:val="25"/>
              </w:rPr>
              <w:t>DENYING AVISTA’S MOTION FOR LEAVE TO FILE LETTER OF CLARIFICATION</w:t>
            </w:r>
          </w:p>
          <w:p w:rsidR="000B3609" w:rsidRPr="00CB7F45" w:rsidRDefault="000B3609" w:rsidP="008804FA">
            <w:pPr>
              <w:spacing w:line="264" w:lineRule="auto"/>
              <w:rPr>
                <w:sz w:val="25"/>
                <w:szCs w:val="25"/>
              </w:rPr>
            </w:pPr>
          </w:p>
          <w:p w:rsidR="000B3609" w:rsidRPr="00CB7F45" w:rsidRDefault="000B3609" w:rsidP="008804FA">
            <w:pPr>
              <w:spacing w:line="264" w:lineRule="auto"/>
              <w:rPr>
                <w:sz w:val="25"/>
                <w:szCs w:val="25"/>
              </w:rPr>
            </w:pPr>
          </w:p>
        </w:tc>
      </w:tr>
    </w:tbl>
    <w:p w:rsidR="000B3609" w:rsidRDefault="000B3609" w:rsidP="000B3609">
      <w:pPr>
        <w:spacing w:line="288" w:lineRule="auto"/>
        <w:rPr>
          <w:sz w:val="25"/>
          <w:szCs w:val="25"/>
        </w:rPr>
      </w:pPr>
    </w:p>
    <w:p w:rsidR="000B3609" w:rsidRPr="002102DE" w:rsidRDefault="000B3609" w:rsidP="000B3609">
      <w:pPr>
        <w:spacing w:line="288" w:lineRule="auto"/>
        <w:rPr>
          <w:sz w:val="25"/>
          <w:szCs w:val="25"/>
        </w:rPr>
      </w:pPr>
    </w:p>
    <w:p w:rsidR="000B3609" w:rsidRPr="00383C59" w:rsidRDefault="000B3609" w:rsidP="000B3609">
      <w:pPr>
        <w:numPr>
          <w:ilvl w:val="0"/>
          <w:numId w:val="1"/>
        </w:numPr>
        <w:spacing w:line="288" w:lineRule="auto"/>
        <w:ind w:hanging="720"/>
        <w:rPr>
          <w:sz w:val="25"/>
          <w:szCs w:val="25"/>
        </w:rPr>
      </w:pPr>
      <w:r w:rsidRPr="00383C59">
        <w:rPr>
          <w:b/>
          <w:sz w:val="25"/>
          <w:szCs w:val="25"/>
        </w:rPr>
        <w:t>NATURE OF PROCEEDING</w:t>
      </w:r>
      <w:r w:rsidR="00096CC9">
        <w:rPr>
          <w:b/>
          <w:sz w:val="25"/>
          <w:szCs w:val="25"/>
        </w:rPr>
        <w:t>S</w:t>
      </w:r>
      <w:r w:rsidRPr="00383C59">
        <w:rPr>
          <w:b/>
          <w:sz w:val="25"/>
          <w:szCs w:val="25"/>
        </w:rPr>
        <w:t xml:space="preserve">:  </w:t>
      </w:r>
      <w:r w:rsidRPr="00383C59">
        <w:rPr>
          <w:bCs/>
          <w:sz w:val="25"/>
          <w:szCs w:val="25"/>
        </w:rPr>
        <w:t>On April 2, 2012, Avista Corporation d/b/a Avista Utilities (Avista</w:t>
      </w:r>
      <w:r w:rsidR="002B3B52">
        <w:rPr>
          <w:bCs/>
          <w:sz w:val="25"/>
          <w:szCs w:val="25"/>
        </w:rPr>
        <w:t xml:space="preserve"> or </w:t>
      </w:r>
      <w:r w:rsidR="00912039">
        <w:rPr>
          <w:bCs/>
          <w:sz w:val="25"/>
          <w:szCs w:val="25"/>
        </w:rPr>
        <w:t xml:space="preserve">the </w:t>
      </w:r>
      <w:r w:rsidR="002B3B52">
        <w:rPr>
          <w:bCs/>
          <w:sz w:val="25"/>
          <w:szCs w:val="25"/>
        </w:rPr>
        <w:t>Company</w:t>
      </w:r>
      <w:r w:rsidRPr="00383C59">
        <w:rPr>
          <w:bCs/>
          <w:sz w:val="25"/>
          <w:szCs w:val="25"/>
        </w:rPr>
        <w:t>)</w:t>
      </w:r>
      <w:r w:rsidRPr="00383C59">
        <w:rPr>
          <w:sz w:val="25"/>
          <w:szCs w:val="25"/>
        </w:rPr>
        <w:t xml:space="preserve"> </w:t>
      </w:r>
      <w:r w:rsidR="00912039">
        <w:rPr>
          <w:sz w:val="25"/>
          <w:szCs w:val="25"/>
        </w:rPr>
        <w:t xml:space="preserve">filed </w:t>
      </w:r>
      <w:r w:rsidRPr="00383C59">
        <w:rPr>
          <w:sz w:val="25"/>
          <w:szCs w:val="25"/>
        </w:rPr>
        <w:t xml:space="preserve">revisions to its currently effective Tariff WN U-28, Electric Service in Docket UE-120436 and revisions to its currently effective Tariff WN U-29, Gas Service in Docket UG-120437.  Avista requests an electric rate increase of $41.0 million, or 9.0 percent, and a gas rate increase of $10.1 million or 7.0 percent.  In addition, Avista filed tariff Schedule 93, which reflects a proposed one-year Energy Recovery Mechanism bill decrease, or rebate, to electric customers of $13.6 million (about 2.9 percent).  On April 26, 2012, the Washington Utilities and Transportation Commission (Commission) suspended operation of the tariffs and </w:t>
      </w:r>
      <w:r w:rsidRPr="00383C59">
        <w:rPr>
          <w:sz w:val="25"/>
          <w:szCs w:val="25"/>
        </w:rPr>
        <w:lastRenderedPageBreak/>
        <w:t>consolidated the dockets for hearing.</w:t>
      </w:r>
      <w:r>
        <w:rPr>
          <w:sz w:val="25"/>
          <w:szCs w:val="25"/>
        </w:rPr>
        <w:t xml:space="preserve">  The Commission entered a standard protective order on April 27, 2012.</w:t>
      </w:r>
    </w:p>
    <w:p w:rsidR="000B3609" w:rsidRDefault="000B3609" w:rsidP="000B3609">
      <w:pPr>
        <w:spacing w:line="288" w:lineRule="auto"/>
        <w:ind w:left="-720"/>
        <w:rPr>
          <w:sz w:val="25"/>
          <w:szCs w:val="25"/>
        </w:rPr>
      </w:pPr>
      <w:r w:rsidRPr="00DA5DBB">
        <w:rPr>
          <w:sz w:val="25"/>
          <w:szCs w:val="25"/>
        </w:rPr>
        <w:t xml:space="preserve"> </w:t>
      </w:r>
    </w:p>
    <w:p w:rsidR="000B3609" w:rsidRDefault="000B3609" w:rsidP="000B3609">
      <w:pPr>
        <w:numPr>
          <w:ilvl w:val="0"/>
          <w:numId w:val="1"/>
        </w:numPr>
        <w:spacing w:line="288" w:lineRule="auto"/>
        <w:ind w:hanging="720"/>
        <w:rPr>
          <w:sz w:val="25"/>
          <w:szCs w:val="25"/>
        </w:rPr>
      </w:pPr>
      <w:r w:rsidRPr="00DA5DBB">
        <w:rPr>
          <w:sz w:val="25"/>
          <w:szCs w:val="25"/>
        </w:rPr>
        <w:t xml:space="preserve">The Commission convened a prehearing conference in this proceeding at </w:t>
      </w:r>
      <w:r w:rsidRPr="00DA5DBB">
        <w:rPr>
          <w:bCs/>
          <w:sz w:val="25"/>
          <w:szCs w:val="25"/>
        </w:rPr>
        <w:t>Olympia</w:t>
      </w:r>
      <w:r w:rsidRPr="00DA5DBB">
        <w:rPr>
          <w:sz w:val="25"/>
          <w:szCs w:val="25"/>
        </w:rPr>
        <w:t xml:space="preserve">, Washington on </w:t>
      </w:r>
      <w:r>
        <w:rPr>
          <w:sz w:val="25"/>
          <w:szCs w:val="25"/>
        </w:rPr>
        <w:t>May 9, 2012</w:t>
      </w:r>
      <w:r w:rsidRPr="00DA5DBB">
        <w:rPr>
          <w:b/>
          <w:bCs/>
          <w:sz w:val="25"/>
          <w:szCs w:val="25"/>
        </w:rPr>
        <w:t>,</w:t>
      </w:r>
      <w:r w:rsidRPr="00DA5DBB">
        <w:rPr>
          <w:sz w:val="25"/>
          <w:szCs w:val="25"/>
        </w:rPr>
        <w:t xml:space="preserve"> before Administrative Law Judge </w:t>
      </w:r>
      <w:r>
        <w:rPr>
          <w:sz w:val="25"/>
          <w:szCs w:val="25"/>
        </w:rPr>
        <w:t>Marguerite E. Friedlander, whom the Commission appoints as presiding officer in this proceeding</w:t>
      </w:r>
      <w:r w:rsidRPr="00DA5DBB">
        <w:rPr>
          <w:sz w:val="25"/>
          <w:szCs w:val="25"/>
        </w:rPr>
        <w:t>.</w:t>
      </w:r>
    </w:p>
    <w:p w:rsidR="00912039" w:rsidRDefault="00912039" w:rsidP="00912039">
      <w:pPr>
        <w:pStyle w:val="ListParagraph"/>
        <w:rPr>
          <w:sz w:val="25"/>
          <w:szCs w:val="25"/>
        </w:rPr>
      </w:pPr>
    </w:p>
    <w:p w:rsidR="00912039" w:rsidRPr="00CC5973" w:rsidRDefault="00912039" w:rsidP="000B3609">
      <w:pPr>
        <w:numPr>
          <w:ilvl w:val="0"/>
          <w:numId w:val="1"/>
        </w:numPr>
        <w:spacing w:line="288" w:lineRule="auto"/>
        <w:ind w:hanging="720"/>
        <w:rPr>
          <w:sz w:val="25"/>
          <w:szCs w:val="25"/>
        </w:rPr>
      </w:pPr>
      <w:r>
        <w:rPr>
          <w:sz w:val="25"/>
          <w:szCs w:val="25"/>
        </w:rPr>
        <w:t>On May 14, 2012, the Commission entered Order 03/08</w:t>
      </w:r>
      <w:r>
        <w:rPr>
          <w:rStyle w:val="FootnoteReference"/>
          <w:sz w:val="25"/>
          <w:szCs w:val="25"/>
        </w:rPr>
        <w:footnoteReference w:id="1"/>
      </w:r>
      <w:r w:rsidR="007E533A">
        <w:rPr>
          <w:sz w:val="25"/>
          <w:szCs w:val="25"/>
        </w:rPr>
        <w:t xml:space="preserve"> consolidating Dockets UE-120436 and UG-120437 with the second phase of Dockets UE-110876 and UG-110877, which raises the issue of full decoupling for the Company.</w:t>
      </w:r>
    </w:p>
    <w:p w:rsidR="000B3609" w:rsidRPr="00CC5973" w:rsidRDefault="000B3609" w:rsidP="000B3609">
      <w:pPr>
        <w:spacing w:line="288" w:lineRule="auto"/>
        <w:ind w:left="-720"/>
        <w:rPr>
          <w:sz w:val="25"/>
          <w:szCs w:val="25"/>
        </w:rPr>
      </w:pPr>
    </w:p>
    <w:p w:rsidR="00ED4577" w:rsidRPr="00ED4577" w:rsidRDefault="007E533A" w:rsidP="00ED4577">
      <w:pPr>
        <w:numPr>
          <w:ilvl w:val="0"/>
          <w:numId w:val="1"/>
        </w:numPr>
        <w:spacing w:line="288" w:lineRule="auto"/>
        <w:ind w:hanging="720"/>
        <w:rPr>
          <w:sz w:val="25"/>
          <w:szCs w:val="25"/>
        </w:rPr>
      </w:pPr>
      <w:r>
        <w:rPr>
          <w:b/>
          <w:bCs/>
          <w:sz w:val="25"/>
          <w:szCs w:val="25"/>
        </w:rPr>
        <w:t>MOTION FOR LEAVE TO FILE LETTER OF CLARIFICATION</w:t>
      </w:r>
      <w:r w:rsidR="000B3609" w:rsidRPr="00E512B4">
        <w:rPr>
          <w:b/>
          <w:bCs/>
          <w:sz w:val="25"/>
          <w:szCs w:val="25"/>
        </w:rPr>
        <w:t>.</w:t>
      </w:r>
      <w:r w:rsidR="000B3609" w:rsidRPr="00E512B4">
        <w:rPr>
          <w:sz w:val="25"/>
          <w:szCs w:val="25"/>
        </w:rPr>
        <w:t xml:space="preserve">  </w:t>
      </w:r>
      <w:r>
        <w:rPr>
          <w:sz w:val="25"/>
          <w:szCs w:val="25"/>
        </w:rPr>
        <w:t>On May 16</w:t>
      </w:r>
      <w:r w:rsidR="004D7290">
        <w:rPr>
          <w:sz w:val="25"/>
          <w:szCs w:val="25"/>
        </w:rPr>
        <w:t>, 2012, Avista filed a Motion for Leave to File Letter of Clarification (Motion)</w:t>
      </w:r>
      <w:r w:rsidR="000B3609">
        <w:rPr>
          <w:sz w:val="25"/>
          <w:szCs w:val="25"/>
        </w:rPr>
        <w:t>.</w:t>
      </w:r>
      <w:r w:rsidR="004D7290">
        <w:rPr>
          <w:sz w:val="25"/>
          <w:szCs w:val="25"/>
        </w:rPr>
        <w:t xml:space="preserve">  The Company contends that, during the Commission’s April 26, 2012, open meeting, a member of </w:t>
      </w:r>
      <w:r w:rsidR="00BD25D5">
        <w:rPr>
          <w:sz w:val="25"/>
          <w:szCs w:val="25"/>
        </w:rPr>
        <w:t xml:space="preserve">Commission </w:t>
      </w:r>
      <w:r w:rsidR="004D7290">
        <w:rPr>
          <w:sz w:val="25"/>
          <w:szCs w:val="25"/>
        </w:rPr>
        <w:t xml:space="preserve">Staff stated </w:t>
      </w:r>
      <w:proofErr w:type="spellStart"/>
      <w:r w:rsidR="004D7290">
        <w:rPr>
          <w:sz w:val="25"/>
          <w:szCs w:val="25"/>
        </w:rPr>
        <w:t>Avista’s</w:t>
      </w:r>
      <w:proofErr w:type="spellEnd"/>
      <w:r w:rsidR="004D7290">
        <w:rPr>
          <w:sz w:val="25"/>
          <w:szCs w:val="25"/>
        </w:rPr>
        <w:t xml:space="preserve"> 2011 restated electric earnings rate of return as 8.32 percent.</w:t>
      </w:r>
      <w:r w:rsidR="004D7290">
        <w:rPr>
          <w:rStyle w:val="FootnoteReference"/>
          <w:sz w:val="25"/>
          <w:szCs w:val="25"/>
        </w:rPr>
        <w:footnoteReference w:id="2"/>
      </w:r>
      <w:r w:rsidR="004D7290">
        <w:rPr>
          <w:sz w:val="25"/>
          <w:szCs w:val="25"/>
        </w:rPr>
        <w:t xml:space="preserve">  Avista argues that this figure does not represent its 2011 restated results of operations on a normalized basis.</w:t>
      </w:r>
      <w:r w:rsidR="004D7290">
        <w:rPr>
          <w:rStyle w:val="FootnoteReference"/>
          <w:sz w:val="25"/>
          <w:szCs w:val="25"/>
        </w:rPr>
        <w:footnoteReference w:id="3"/>
      </w:r>
      <w:r w:rsidR="00841A1C">
        <w:rPr>
          <w:sz w:val="25"/>
          <w:szCs w:val="25"/>
        </w:rPr>
        <w:t xml:space="preserve">  Instead, Avista asserts that its 2011 normalized rate of return is 6.56 percent.</w:t>
      </w:r>
      <w:r w:rsidR="00ED4577">
        <w:rPr>
          <w:rStyle w:val="FootnoteReference"/>
          <w:sz w:val="25"/>
          <w:szCs w:val="25"/>
        </w:rPr>
        <w:footnoteReference w:id="4"/>
      </w:r>
      <w:r w:rsidR="005C71D9">
        <w:rPr>
          <w:sz w:val="25"/>
          <w:szCs w:val="25"/>
        </w:rPr>
        <w:t xml:space="preserve">  </w:t>
      </w:r>
      <w:r w:rsidR="002E6F4C">
        <w:rPr>
          <w:sz w:val="25"/>
          <w:szCs w:val="25"/>
        </w:rPr>
        <w:t>The Company states that parties have a duty to correct any misunderstandings on a timely basis.</w:t>
      </w:r>
      <w:r w:rsidR="002E6F4C">
        <w:rPr>
          <w:rStyle w:val="FootnoteReference"/>
          <w:sz w:val="25"/>
          <w:szCs w:val="25"/>
        </w:rPr>
        <w:footnoteReference w:id="5"/>
      </w:r>
      <w:r w:rsidR="002E6F4C">
        <w:rPr>
          <w:sz w:val="25"/>
          <w:szCs w:val="25"/>
        </w:rPr>
        <w:t xml:space="preserve">  Avista requests that the Commission grant its Motion and allow the Company to file a letter addressing this “misunderstanding.”</w:t>
      </w:r>
      <w:r w:rsidR="002E6F4C">
        <w:rPr>
          <w:rStyle w:val="FootnoteReference"/>
          <w:sz w:val="25"/>
          <w:szCs w:val="25"/>
        </w:rPr>
        <w:footnoteReference w:id="6"/>
      </w:r>
      <w:r w:rsidR="002E6F4C">
        <w:rPr>
          <w:sz w:val="25"/>
          <w:szCs w:val="25"/>
        </w:rPr>
        <w:t xml:space="preserve">  </w:t>
      </w:r>
    </w:p>
    <w:p w:rsidR="000B3609" w:rsidRDefault="000B3609" w:rsidP="000B3609">
      <w:pPr>
        <w:pStyle w:val="ListParagraph"/>
        <w:rPr>
          <w:sz w:val="25"/>
          <w:szCs w:val="25"/>
        </w:rPr>
      </w:pPr>
    </w:p>
    <w:p w:rsidR="000B3609" w:rsidRDefault="00EE1975" w:rsidP="000B3609">
      <w:pPr>
        <w:numPr>
          <w:ilvl w:val="0"/>
          <w:numId w:val="1"/>
        </w:numPr>
        <w:spacing w:line="288" w:lineRule="auto"/>
        <w:ind w:hanging="720"/>
        <w:rPr>
          <w:sz w:val="25"/>
          <w:szCs w:val="25"/>
        </w:rPr>
      </w:pPr>
      <w:r>
        <w:rPr>
          <w:sz w:val="25"/>
          <w:szCs w:val="25"/>
        </w:rPr>
        <w:lastRenderedPageBreak/>
        <w:t xml:space="preserve">Staff, Public Counsel, and ICNU filed responses in opposition to </w:t>
      </w:r>
      <w:proofErr w:type="spellStart"/>
      <w:r>
        <w:rPr>
          <w:sz w:val="25"/>
          <w:szCs w:val="25"/>
        </w:rPr>
        <w:t>Avista’s</w:t>
      </w:r>
      <w:proofErr w:type="spellEnd"/>
      <w:r>
        <w:rPr>
          <w:sz w:val="25"/>
          <w:szCs w:val="25"/>
        </w:rPr>
        <w:t xml:space="preserve"> Motion</w:t>
      </w:r>
      <w:r w:rsidR="000B3609" w:rsidRPr="00BD1EB2">
        <w:rPr>
          <w:sz w:val="25"/>
          <w:szCs w:val="25"/>
        </w:rPr>
        <w:t>.</w:t>
      </w:r>
      <w:r>
        <w:rPr>
          <w:sz w:val="25"/>
          <w:szCs w:val="25"/>
        </w:rPr>
        <w:t xml:space="preserve">  Staff characterizes the Company’s request as “a simple recitation of information contained in </w:t>
      </w:r>
      <w:proofErr w:type="spellStart"/>
      <w:r>
        <w:rPr>
          <w:sz w:val="25"/>
          <w:szCs w:val="25"/>
        </w:rPr>
        <w:t>Avista’s</w:t>
      </w:r>
      <w:proofErr w:type="spellEnd"/>
      <w:r>
        <w:rPr>
          <w:sz w:val="25"/>
          <w:szCs w:val="25"/>
        </w:rPr>
        <w:t xml:space="preserve"> direct case, which has been on file with the Commission since early April.”</w:t>
      </w:r>
      <w:r>
        <w:rPr>
          <w:rStyle w:val="FootnoteReference"/>
          <w:sz w:val="25"/>
          <w:szCs w:val="25"/>
        </w:rPr>
        <w:footnoteReference w:id="7"/>
      </w:r>
      <w:r w:rsidR="000B3609" w:rsidRPr="00BD1EB2">
        <w:rPr>
          <w:sz w:val="25"/>
          <w:szCs w:val="25"/>
        </w:rPr>
        <w:t xml:space="preserve">  </w:t>
      </w:r>
      <w:r w:rsidR="009C68E8">
        <w:rPr>
          <w:sz w:val="25"/>
          <w:szCs w:val="25"/>
        </w:rPr>
        <w:t xml:space="preserve">Both </w:t>
      </w:r>
      <w:r w:rsidR="00CD3EFE">
        <w:rPr>
          <w:sz w:val="25"/>
          <w:szCs w:val="25"/>
        </w:rPr>
        <w:t>Staff</w:t>
      </w:r>
      <w:r w:rsidR="00DB10DA">
        <w:rPr>
          <w:sz w:val="25"/>
          <w:szCs w:val="25"/>
        </w:rPr>
        <w:t xml:space="preserve"> and ICNU</w:t>
      </w:r>
      <w:r w:rsidR="00CD3EFE">
        <w:rPr>
          <w:sz w:val="25"/>
          <w:szCs w:val="25"/>
        </w:rPr>
        <w:t xml:space="preserve"> note that Avista representative, Mr. Kelly Norwood, was present at the open meeting and could have corrected any “confusion” at that time.</w:t>
      </w:r>
      <w:r w:rsidR="00CD3EFE">
        <w:rPr>
          <w:rStyle w:val="FootnoteReference"/>
          <w:sz w:val="25"/>
          <w:szCs w:val="25"/>
        </w:rPr>
        <w:footnoteReference w:id="8"/>
      </w:r>
      <w:r w:rsidR="00CD3EFE">
        <w:rPr>
          <w:sz w:val="25"/>
          <w:szCs w:val="25"/>
        </w:rPr>
        <w:t xml:space="preserve">  Staff</w:t>
      </w:r>
      <w:r w:rsidR="00B8011A">
        <w:rPr>
          <w:sz w:val="25"/>
          <w:szCs w:val="25"/>
        </w:rPr>
        <w:t>, Public Counsel, and ICNU all</w:t>
      </w:r>
      <w:r w:rsidR="00CD3EFE">
        <w:rPr>
          <w:sz w:val="25"/>
          <w:szCs w:val="25"/>
        </w:rPr>
        <w:t xml:space="preserve"> argue that </w:t>
      </w:r>
      <w:r w:rsidR="00A86C75">
        <w:rPr>
          <w:sz w:val="25"/>
          <w:szCs w:val="25"/>
        </w:rPr>
        <w:t>Avista has the opportunity to address any alleged misunderstandings in its rebuttal case.</w:t>
      </w:r>
      <w:r w:rsidR="00A86C75">
        <w:rPr>
          <w:rStyle w:val="FootnoteReference"/>
          <w:sz w:val="25"/>
          <w:szCs w:val="25"/>
        </w:rPr>
        <w:footnoteReference w:id="9"/>
      </w:r>
      <w:r w:rsidR="00A86C75">
        <w:rPr>
          <w:sz w:val="25"/>
          <w:szCs w:val="25"/>
        </w:rPr>
        <w:t xml:space="preserve">  </w:t>
      </w:r>
    </w:p>
    <w:p w:rsidR="00540369" w:rsidRDefault="00540369" w:rsidP="00540369">
      <w:pPr>
        <w:pStyle w:val="ListParagraph"/>
        <w:rPr>
          <w:sz w:val="25"/>
          <w:szCs w:val="25"/>
        </w:rPr>
      </w:pPr>
    </w:p>
    <w:p w:rsidR="00431CB3" w:rsidRPr="00B8011A" w:rsidRDefault="009C68E8" w:rsidP="000B3609">
      <w:pPr>
        <w:numPr>
          <w:ilvl w:val="0"/>
          <w:numId w:val="1"/>
        </w:numPr>
        <w:spacing w:line="288" w:lineRule="auto"/>
        <w:ind w:hanging="720"/>
        <w:rPr>
          <w:sz w:val="25"/>
          <w:szCs w:val="25"/>
        </w:rPr>
      </w:pPr>
      <w:r>
        <w:rPr>
          <w:sz w:val="25"/>
          <w:szCs w:val="25"/>
        </w:rPr>
        <w:t xml:space="preserve">In addition, </w:t>
      </w:r>
      <w:r w:rsidR="006B4B23" w:rsidRPr="00B8011A">
        <w:rPr>
          <w:sz w:val="25"/>
          <w:szCs w:val="25"/>
        </w:rPr>
        <w:t xml:space="preserve">Public Counsel </w:t>
      </w:r>
      <w:r w:rsidR="002046E8">
        <w:rPr>
          <w:sz w:val="25"/>
          <w:szCs w:val="25"/>
        </w:rPr>
        <w:t xml:space="preserve">and ICNU </w:t>
      </w:r>
      <w:r w:rsidR="006B4B23" w:rsidRPr="00B8011A">
        <w:rPr>
          <w:sz w:val="25"/>
          <w:szCs w:val="25"/>
        </w:rPr>
        <w:t>argue that the Company’s “normalized rate of return” is one of the</w:t>
      </w:r>
      <w:r w:rsidR="002046E8">
        <w:rPr>
          <w:sz w:val="25"/>
          <w:szCs w:val="25"/>
        </w:rPr>
        <w:t xml:space="preserve"> fact-intensive</w:t>
      </w:r>
      <w:r w:rsidR="006B4B23" w:rsidRPr="00B8011A">
        <w:rPr>
          <w:sz w:val="25"/>
          <w:szCs w:val="25"/>
        </w:rPr>
        <w:t xml:space="preserve"> issues to be decided in the case</w:t>
      </w:r>
      <w:r w:rsidR="00B8011A" w:rsidRPr="00B8011A">
        <w:rPr>
          <w:sz w:val="25"/>
          <w:szCs w:val="25"/>
        </w:rPr>
        <w:t xml:space="preserve">, and it would be improper for the Commission to accept </w:t>
      </w:r>
      <w:proofErr w:type="spellStart"/>
      <w:r w:rsidR="00B8011A" w:rsidRPr="00B8011A">
        <w:rPr>
          <w:sz w:val="25"/>
          <w:szCs w:val="25"/>
        </w:rPr>
        <w:t>Avista’s</w:t>
      </w:r>
      <w:proofErr w:type="spellEnd"/>
      <w:r w:rsidR="00B8011A" w:rsidRPr="00B8011A">
        <w:rPr>
          <w:sz w:val="25"/>
          <w:szCs w:val="25"/>
        </w:rPr>
        <w:t xml:space="preserve"> testimony in the form of a “letter of clarification</w:t>
      </w:r>
      <w:r w:rsidR="006B4B23" w:rsidRPr="00B8011A">
        <w:rPr>
          <w:sz w:val="25"/>
          <w:szCs w:val="25"/>
        </w:rPr>
        <w:t>.</w:t>
      </w:r>
      <w:r w:rsidR="00B8011A" w:rsidRPr="00B8011A">
        <w:rPr>
          <w:sz w:val="25"/>
          <w:szCs w:val="25"/>
        </w:rPr>
        <w:t>”</w:t>
      </w:r>
      <w:r w:rsidR="006B4B23">
        <w:rPr>
          <w:rStyle w:val="FootnoteReference"/>
          <w:sz w:val="25"/>
          <w:szCs w:val="25"/>
        </w:rPr>
        <w:footnoteReference w:id="10"/>
      </w:r>
      <w:r w:rsidR="00B8011A" w:rsidRPr="00B8011A">
        <w:rPr>
          <w:sz w:val="25"/>
          <w:szCs w:val="25"/>
        </w:rPr>
        <w:t xml:space="preserve"> </w:t>
      </w:r>
      <w:r w:rsidR="002046E8">
        <w:rPr>
          <w:sz w:val="25"/>
          <w:szCs w:val="25"/>
        </w:rPr>
        <w:t xml:space="preserve"> </w:t>
      </w:r>
      <w:r w:rsidR="00431CB3" w:rsidRPr="00B8011A">
        <w:rPr>
          <w:sz w:val="25"/>
          <w:szCs w:val="25"/>
        </w:rPr>
        <w:t xml:space="preserve">Public </w:t>
      </w:r>
      <w:r w:rsidR="00B661A2" w:rsidRPr="00B8011A">
        <w:rPr>
          <w:sz w:val="25"/>
          <w:szCs w:val="25"/>
        </w:rPr>
        <w:t xml:space="preserve">Counsel </w:t>
      </w:r>
      <w:r>
        <w:rPr>
          <w:sz w:val="25"/>
          <w:szCs w:val="25"/>
        </w:rPr>
        <w:t xml:space="preserve">also notes </w:t>
      </w:r>
      <w:r w:rsidR="00B661A2" w:rsidRPr="00B8011A">
        <w:rPr>
          <w:sz w:val="25"/>
          <w:szCs w:val="25"/>
        </w:rPr>
        <w:t xml:space="preserve">that </w:t>
      </w:r>
      <w:proofErr w:type="spellStart"/>
      <w:r w:rsidR="00B661A2" w:rsidRPr="00B8011A">
        <w:rPr>
          <w:sz w:val="25"/>
          <w:szCs w:val="25"/>
        </w:rPr>
        <w:t>Avista’s</w:t>
      </w:r>
      <w:proofErr w:type="spellEnd"/>
      <w:r w:rsidR="00B661A2" w:rsidRPr="00B8011A">
        <w:rPr>
          <w:sz w:val="25"/>
          <w:szCs w:val="25"/>
        </w:rPr>
        <w:t xml:space="preserve"> rate filing was not an adjudicative proceeding at the time of the open meeting.</w:t>
      </w:r>
      <w:r w:rsidR="00B661A2">
        <w:rPr>
          <w:rStyle w:val="FootnoteReference"/>
          <w:sz w:val="25"/>
          <w:szCs w:val="25"/>
        </w:rPr>
        <w:footnoteReference w:id="11"/>
      </w:r>
      <w:r w:rsidR="00B661A2" w:rsidRPr="00B8011A">
        <w:rPr>
          <w:sz w:val="25"/>
          <w:szCs w:val="25"/>
        </w:rPr>
        <w:t xml:space="preserve">  Citing RCW 34.05.413(5), Public Counsel argues that the notice of prehearing conference, which was issued on April 27, 2012, began the adjudicative proceeding, and with it, the record in this matter.</w:t>
      </w:r>
      <w:r w:rsidR="00B661A2">
        <w:rPr>
          <w:rStyle w:val="FootnoteReference"/>
          <w:sz w:val="25"/>
          <w:szCs w:val="25"/>
        </w:rPr>
        <w:footnoteReference w:id="12"/>
      </w:r>
      <w:r w:rsidR="00B661A2" w:rsidRPr="00B8011A">
        <w:rPr>
          <w:sz w:val="25"/>
          <w:szCs w:val="25"/>
        </w:rPr>
        <w:t xml:space="preserve">  Statements made at the open meeting, </w:t>
      </w:r>
      <w:r w:rsidR="00BD25D5">
        <w:rPr>
          <w:sz w:val="25"/>
          <w:szCs w:val="25"/>
        </w:rPr>
        <w:t>unless presented</w:t>
      </w:r>
      <w:r w:rsidR="00B661A2" w:rsidRPr="00B8011A">
        <w:rPr>
          <w:sz w:val="25"/>
          <w:szCs w:val="25"/>
        </w:rPr>
        <w:t xml:space="preserve"> by a party after the issuance of the notice of prehearing conference, are not a part of the record</w:t>
      </w:r>
      <w:r w:rsidR="00B8011A" w:rsidRPr="00B8011A">
        <w:rPr>
          <w:sz w:val="25"/>
          <w:szCs w:val="25"/>
        </w:rPr>
        <w:t xml:space="preserve"> upon which the Commission bases its decision.</w:t>
      </w:r>
      <w:r w:rsidR="00B8011A">
        <w:rPr>
          <w:rStyle w:val="FootnoteReference"/>
          <w:sz w:val="25"/>
          <w:szCs w:val="25"/>
        </w:rPr>
        <w:footnoteReference w:id="13"/>
      </w:r>
    </w:p>
    <w:p w:rsidR="00B8011A" w:rsidRDefault="00B8011A" w:rsidP="00B8011A">
      <w:pPr>
        <w:pStyle w:val="ListParagraph"/>
        <w:rPr>
          <w:sz w:val="25"/>
          <w:szCs w:val="25"/>
        </w:rPr>
      </w:pPr>
    </w:p>
    <w:p w:rsidR="009444DD" w:rsidRPr="00B746F1" w:rsidRDefault="009444DD" w:rsidP="009444DD">
      <w:pPr>
        <w:numPr>
          <w:ilvl w:val="0"/>
          <w:numId w:val="1"/>
        </w:numPr>
        <w:spacing w:line="288" w:lineRule="auto"/>
        <w:ind w:hanging="720"/>
        <w:rPr>
          <w:sz w:val="25"/>
          <w:szCs w:val="25"/>
        </w:rPr>
      </w:pPr>
      <w:bookmarkStart w:id="1" w:name="OLE_LINK3"/>
      <w:bookmarkStart w:id="2" w:name="OLE_LINK4"/>
      <w:r w:rsidRPr="00B746F1">
        <w:rPr>
          <w:i/>
          <w:sz w:val="25"/>
          <w:szCs w:val="25"/>
        </w:rPr>
        <w:t>Commission Decision and Determination.</w:t>
      </w:r>
      <w:r w:rsidRPr="00B746F1">
        <w:rPr>
          <w:sz w:val="25"/>
          <w:szCs w:val="25"/>
        </w:rPr>
        <w:t xml:space="preserve">  </w:t>
      </w:r>
      <w:r w:rsidR="004C0F26" w:rsidRPr="00B746F1">
        <w:rPr>
          <w:sz w:val="25"/>
          <w:szCs w:val="25"/>
        </w:rPr>
        <w:t>Public Counsel is correct; the adjudicative process did not commence until the Commission issued the Notice of Prehearing Conference</w:t>
      </w:r>
      <w:r w:rsidR="009C68E8">
        <w:rPr>
          <w:sz w:val="25"/>
          <w:szCs w:val="25"/>
        </w:rPr>
        <w:t xml:space="preserve"> after the April 26, 2012, open meeting</w:t>
      </w:r>
      <w:r w:rsidR="004C0F26" w:rsidRPr="00B746F1">
        <w:rPr>
          <w:sz w:val="25"/>
          <w:szCs w:val="25"/>
        </w:rPr>
        <w:t>.</w:t>
      </w:r>
      <w:r w:rsidR="0096099E" w:rsidRPr="00B746F1">
        <w:rPr>
          <w:sz w:val="25"/>
          <w:szCs w:val="25"/>
        </w:rPr>
        <w:t xml:space="preserve">  </w:t>
      </w:r>
      <w:r w:rsidR="009C68E8">
        <w:rPr>
          <w:sz w:val="25"/>
          <w:szCs w:val="25"/>
        </w:rPr>
        <w:t xml:space="preserve">The Administrative Procedure Act provides that an agency shall maintain an official record of </w:t>
      </w:r>
      <w:r w:rsidR="009C68E8">
        <w:rPr>
          <w:sz w:val="25"/>
          <w:szCs w:val="25"/>
          <w:u w:val="single"/>
        </w:rPr>
        <w:t>each adjudicative</w:t>
      </w:r>
      <w:r w:rsidR="009C68E8" w:rsidRPr="009C68E8">
        <w:rPr>
          <w:sz w:val="25"/>
          <w:szCs w:val="25"/>
        </w:rPr>
        <w:t xml:space="preserve"> proceeding</w:t>
      </w:r>
      <w:r w:rsidR="009C68E8">
        <w:rPr>
          <w:sz w:val="25"/>
          <w:szCs w:val="25"/>
        </w:rPr>
        <w:t xml:space="preserve"> under this chapter.</w:t>
      </w:r>
      <w:r w:rsidR="009C68E8">
        <w:rPr>
          <w:rStyle w:val="FootnoteReference"/>
          <w:sz w:val="25"/>
          <w:szCs w:val="25"/>
        </w:rPr>
        <w:footnoteReference w:id="14"/>
      </w:r>
      <w:r w:rsidR="009C68E8">
        <w:rPr>
          <w:sz w:val="25"/>
          <w:szCs w:val="25"/>
        </w:rPr>
        <w:t xml:space="preserve">  </w:t>
      </w:r>
      <w:r w:rsidR="0096099E" w:rsidRPr="009C68E8">
        <w:rPr>
          <w:sz w:val="25"/>
          <w:szCs w:val="25"/>
        </w:rPr>
        <w:t>The</w:t>
      </w:r>
      <w:r w:rsidR="0096099E" w:rsidRPr="00B746F1">
        <w:rPr>
          <w:sz w:val="25"/>
          <w:szCs w:val="25"/>
        </w:rPr>
        <w:t xml:space="preserve"> statement </w:t>
      </w:r>
      <w:r w:rsidR="00B006EC" w:rsidRPr="00B746F1">
        <w:rPr>
          <w:sz w:val="25"/>
          <w:szCs w:val="25"/>
        </w:rPr>
        <w:t xml:space="preserve">Avista references </w:t>
      </w:r>
      <w:r w:rsidR="00BD25D5">
        <w:rPr>
          <w:sz w:val="25"/>
          <w:szCs w:val="25"/>
        </w:rPr>
        <w:t>is</w:t>
      </w:r>
      <w:r w:rsidR="0096099E" w:rsidRPr="00B746F1">
        <w:rPr>
          <w:sz w:val="25"/>
          <w:szCs w:val="25"/>
        </w:rPr>
        <w:t xml:space="preserve"> not a part of the record in this proceeding</w:t>
      </w:r>
      <w:r w:rsidR="00B746F1" w:rsidRPr="00B746F1">
        <w:rPr>
          <w:sz w:val="25"/>
          <w:szCs w:val="25"/>
        </w:rPr>
        <w:t>.  Further, the issue raised in the Company’s Motion is more appropriately addressed in testimony, not a letter of clarification</w:t>
      </w:r>
      <w:r w:rsidR="0096099E" w:rsidRPr="00B746F1">
        <w:rPr>
          <w:sz w:val="25"/>
          <w:szCs w:val="25"/>
        </w:rPr>
        <w:t xml:space="preserve">.  </w:t>
      </w:r>
      <w:proofErr w:type="spellStart"/>
      <w:r w:rsidR="0096099E" w:rsidRPr="00B746F1">
        <w:rPr>
          <w:sz w:val="25"/>
          <w:szCs w:val="25"/>
        </w:rPr>
        <w:t>Avista’s</w:t>
      </w:r>
      <w:proofErr w:type="spellEnd"/>
      <w:r w:rsidR="0096099E" w:rsidRPr="00B746F1">
        <w:rPr>
          <w:sz w:val="25"/>
          <w:szCs w:val="25"/>
        </w:rPr>
        <w:t xml:space="preserve"> request to file a letter of clarification should be denied.</w:t>
      </w:r>
    </w:p>
    <w:p w:rsidR="009444DD" w:rsidRDefault="009444DD" w:rsidP="009444DD">
      <w:pPr>
        <w:pStyle w:val="ListParagraph"/>
        <w:rPr>
          <w:sz w:val="25"/>
          <w:szCs w:val="25"/>
        </w:rPr>
      </w:pPr>
    </w:p>
    <w:p w:rsidR="00367C05" w:rsidRDefault="00367C05" w:rsidP="00367C05">
      <w:pPr>
        <w:spacing w:line="264" w:lineRule="auto"/>
        <w:jc w:val="center"/>
        <w:rPr>
          <w:b/>
          <w:sz w:val="25"/>
          <w:szCs w:val="25"/>
          <w:u w:val="single"/>
        </w:rPr>
      </w:pPr>
      <w:r>
        <w:rPr>
          <w:b/>
          <w:sz w:val="25"/>
          <w:szCs w:val="25"/>
          <w:u w:val="single"/>
        </w:rPr>
        <w:t>ORDER</w:t>
      </w:r>
    </w:p>
    <w:p w:rsidR="00367C05" w:rsidRPr="001E62BD" w:rsidRDefault="00367C05" w:rsidP="00367C05">
      <w:pPr>
        <w:spacing w:line="264" w:lineRule="auto"/>
        <w:rPr>
          <w:b/>
          <w:sz w:val="25"/>
          <w:szCs w:val="25"/>
          <w:u w:val="single"/>
        </w:rPr>
      </w:pPr>
    </w:p>
    <w:p w:rsidR="00367C05" w:rsidRPr="00367C05" w:rsidRDefault="00367C05" w:rsidP="00B746F1">
      <w:pPr>
        <w:numPr>
          <w:ilvl w:val="0"/>
          <w:numId w:val="1"/>
        </w:numPr>
        <w:spacing w:line="288" w:lineRule="auto"/>
        <w:ind w:hanging="720"/>
        <w:rPr>
          <w:sz w:val="25"/>
          <w:szCs w:val="25"/>
        </w:rPr>
      </w:pPr>
      <w:r>
        <w:rPr>
          <w:b/>
          <w:sz w:val="25"/>
          <w:szCs w:val="25"/>
        </w:rPr>
        <w:t>THE COMMISSION ORDERS That</w:t>
      </w:r>
      <w:r w:rsidR="00B746F1">
        <w:rPr>
          <w:b/>
          <w:sz w:val="25"/>
          <w:szCs w:val="25"/>
        </w:rPr>
        <w:t xml:space="preserve"> </w:t>
      </w:r>
      <w:r w:rsidR="00B746F1">
        <w:rPr>
          <w:sz w:val="25"/>
          <w:szCs w:val="25"/>
        </w:rPr>
        <w:t>the Motion for Leave to File Letter of Clarification filed by Avista Corporation, d/b/a Avista Utilities is denied.</w:t>
      </w:r>
    </w:p>
    <w:p w:rsidR="00367C05" w:rsidRDefault="00367C05" w:rsidP="00367C05">
      <w:pPr>
        <w:pStyle w:val="ListParagraph"/>
        <w:rPr>
          <w:b/>
          <w:sz w:val="25"/>
          <w:szCs w:val="25"/>
        </w:rPr>
      </w:pPr>
    </w:p>
    <w:p w:rsidR="000B3609" w:rsidRPr="00DA5DBB" w:rsidRDefault="000B3609" w:rsidP="000B3609">
      <w:pPr>
        <w:spacing w:line="288" w:lineRule="auto"/>
        <w:ind w:left="-720"/>
        <w:rPr>
          <w:sz w:val="25"/>
          <w:szCs w:val="25"/>
        </w:rPr>
      </w:pPr>
      <w:r>
        <w:rPr>
          <w:sz w:val="25"/>
          <w:szCs w:val="25"/>
        </w:rPr>
        <w:tab/>
      </w:r>
      <w:proofErr w:type="gramStart"/>
      <w:r w:rsidRPr="00DA5DBB">
        <w:rPr>
          <w:sz w:val="25"/>
          <w:szCs w:val="25"/>
        </w:rPr>
        <w:t xml:space="preserve">Dated at Olympia, Washington, and effective </w:t>
      </w:r>
      <w:r w:rsidR="00725298">
        <w:rPr>
          <w:sz w:val="25"/>
          <w:szCs w:val="25"/>
        </w:rPr>
        <w:t>June 1</w:t>
      </w:r>
      <w:r>
        <w:rPr>
          <w:sz w:val="25"/>
          <w:szCs w:val="25"/>
        </w:rPr>
        <w:t>, 2012</w:t>
      </w:r>
      <w:r w:rsidRPr="00DA5DBB">
        <w:rPr>
          <w:sz w:val="25"/>
          <w:szCs w:val="25"/>
        </w:rPr>
        <w:t>.</w:t>
      </w:r>
      <w:proofErr w:type="gramEnd"/>
    </w:p>
    <w:p w:rsidR="000B3609" w:rsidRPr="00DA5DBB" w:rsidRDefault="000B3609" w:rsidP="000B3609">
      <w:pPr>
        <w:pStyle w:val="Header"/>
        <w:tabs>
          <w:tab w:val="clear" w:pos="4320"/>
          <w:tab w:val="clear" w:pos="8640"/>
        </w:tabs>
        <w:spacing w:line="264" w:lineRule="auto"/>
        <w:rPr>
          <w:sz w:val="25"/>
          <w:szCs w:val="25"/>
        </w:rPr>
      </w:pPr>
    </w:p>
    <w:p w:rsidR="000B3609" w:rsidRPr="00DA5DBB" w:rsidRDefault="000B3609" w:rsidP="000B3609">
      <w:pPr>
        <w:spacing w:line="264" w:lineRule="auto"/>
        <w:jc w:val="center"/>
        <w:rPr>
          <w:sz w:val="25"/>
          <w:szCs w:val="25"/>
        </w:rPr>
      </w:pPr>
      <w:r w:rsidRPr="00DA5DBB">
        <w:rPr>
          <w:sz w:val="25"/>
          <w:szCs w:val="25"/>
        </w:rPr>
        <w:t>WASHINGTON UTILITIES AND TRANSPORTATION COMMISSION</w:t>
      </w:r>
    </w:p>
    <w:p w:rsidR="000B3609" w:rsidRPr="00DA5DBB" w:rsidRDefault="000B3609" w:rsidP="000B3609">
      <w:pPr>
        <w:spacing w:line="264" w:lineRule="auto"/>
        <w:rPr>
          <w:sz w:val="25"/>
          <w:szCs w:val="25"/>
        </w:rPr>
      </w:pPr>
    </w:p>
    <w:p w:rsidR="000B3609" w:rsidRPr="00DA5DBB" w:rsidRDefault="000B3609" w:rsidP="000B3609">
      <w:pPr>
        <w:spacing w:line="264" w:lineRule="auto"/>
        <w:rPr>
          <w:sz w:val="25"/>
          <w:szCs w:val="25"/>
        </w:rPr>
      </w:pPr>
    </w:p>
    <w:p w:rsidR="000B3609" w:rsidRPr="00DA5DBB" w:rsidRDefault="000B3609" w:rsidP="000B3609">
      <w:pPr>
        <w:spacing w:line="288" w:lineRule="auto"/>
        <w:rPr>
          <w:sz w:val="25"/>
          <w:szCs w:val="25"/>
        </w:rPr>
      </w:pPr>
    </w:p>
    <w:p w:rsidR="000B3609" w:rsidRPr="00DA5DBB" w:rsidRDefault="000B3609" w:rsidP="000B3609">
      <w:pPr>
        <w:spacing w:line="288" w:lineRule="auto"/>
        <w:ind w:left="4320"/>
        <w:rPr>
          <w:bCs/>
          <w:sz w:val="25"/>
          <w:szCs w:val="25"/>
        </w:rPr>
      </w:pPr>
      <w:r>
        <w:rPr>
          <w:bCs/>
          <w:sz w:val="25"/>
          <w:szCs w:val="25"/>
        </w:rPr>
        <w:t>MARGUERITE E. FRIEDLANDER</w:t>
      </w:r>
    </w:p>
    <w:p w:rsidR="00002DE1" w:rsidRDefault="000B3609" w:rsidP="00B746F1">
      <w:pPr>
        <w:spacing w:line="288" w:lineRule="auto"/>
      </w:pP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t>Administrative Law Judge</w:t>
      </w:r>
      <w:bookmarkEnd w:id="1"/>
      <w:bookmarkEnd w:id="2"/>
    </w:p>
    <w:p w:rsidR="00002DE1" w:rsidRDefault="00002DE1">
      <w:pPr>
        <w:spacing w:after="200" w:line="276" w:lineRule="auto"/>
        <w:rPr>
          <w:b/>
          <w:bCs/>
          <w:sz w:val="25"/>
          <w:szCs w:val="25"/>
        </w:rPr>
      </w:pPr>
    </w:p>
    <w:p w:rsidR="000B3609" w:rsidRDefault="000B3609" w:rsidP="000B3609">
      <w:pPr>
        <w:pStyle w:val="Header"/>
        <w:tabs>
          <w:tab w:val="clear" w:pos="4320"/>
          <w:tab w:val="clear" w:pos="8640"/>
        </w:tabs>
        <w:spacing w:line="264" w:lineRule="auto"/>
        <w:jc w:val="center"/>
        <w:rPr>
          <w:b/>
          <w:bCs/>
          <w:sz w:val="25"/>
          <w:szCs w:val="25"/>
        </w:rPr>
      </w:pPr>
    </w:p>
    <w:p w:rsidR="000B3609" w:rsidRPr="00806B17" w:rsidRDefault="000B3609" w:rsidP="000B3609">
      <w:pPr>
        <w:spacing w:line="264" w:lineRule="auto"/>
        <w:jc w:val="center"/>
        <w:rPr>
          <w:b/>
          <w:bCs/>
          <w:sz w:val="25"/>
          <w:szCs w:val="25"/>
        </w:rPr>
      </w:pPr>
    </w:p>
    <w:p w:rsidR="000B3609" w:rsidRPr="00787DAE" w:rsidRDefault="000B3609" w:rsidP="000B3609">
      <w:pPr>
        <w:spacing w:line="264" w:lineRule="auto"/>
      </w:pPr>
    </w:p>
    <w:p w:rsidR="00026D6C" w:rsidRDefault="00026D6C"/>
    <w:sectPr w:rsidR="00026D6C" w:rsidSect="000B3609">
      <w:headerReference w:type="default" r:id="rId9"/>
      <w:headerReference w:type="first" r:id="rId10"/>
      <w:pgSz w:w="12240" w:h="15840" w:code="1"/>
      <w:pgMar w:top="1440" w:right="1440" w:bottom="1354"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9A3" w:rsidRDefault="00C879A3" w:rsidP="000B3609">
      <w:r>
        <w:separator/>
      </w:r>
    </w:p>
  </w:endnote>
  <w:endnote w:type="continuationSeparator" w:id="0">
    <w:p w:rsidR="00C879A3" w:rsidRDefault="00C879A3" w:rsidP="000B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9A3" w:rsidRDefault="00C879A3" w:rsidP="000B3609">
      <w:r>
        <w:separator/>
      </w:r>
    </w:p>
  </w:footnote>
  <w:footnote w:type="continuationSeparator" w:id="0">
    <w:p w:rsidR="00C879A3" w:rsidRDefault="00C879A3" w:rsidP="000B3609">
      <w:r>
        <w:continuationSeparator/>
      </w:r>
    </w:p>
  </w:footnote>
  <w:footnote w:id="1">
    <w:p w:rsidR="009C68E8" w:rsidRPr="00912039" w:rsidRDefault="009C68E8">
      <w:pPr>
        <w:pStyle w:val="FootnoteText"/>
        <w:rPr>
          <w:rFonts w:ascii="Times New Roman" w:hAnsi="Times New Roman"/>
          <w:sz w:val="22"/>
        </w:rPr>
      </w:pPr>
      <w:r w:rsidRPr="00912039">
        <w:rPr>
          <w:rStyle w:val="FootnoteReference"/>
          <w:rFonts w:ascii="Times New Roman" w:hAnsi="Times New Roman"/>
          <w:sz w:val="22"/>
        </w:rPr>
        <w:footnoteRef/>
      </w:r>
      <w:r w:rsidRPr="00912039">
        <w:rPr>
          <w:rFonts w:ascii="Times New Roman" w:hAnsi="Times New Roman"/>
          <w:sz w:val="22"/>
        </w:rPr>
        <w:t xml:space="preserve"> </w:t>
      </w:r>
      <w:r>
        <w:rPr>
          <w:rFonts w:ascii="Times New Roman" w:hAnsi="Times New Roman"/>
          <w:sz w:val="22"/>
        </w:rPr>
        <w:t xml:space="preserve">The dual order number is the result of consolidation.  </w:t>
      </w:r>
    </w:p>
    <w:p w:rsidR="009C68E8" w:rsidRDefault="009C68E8">
      <w:pPr>
        <w:pStyle w:val="FootnoteText"/>
      </w:pPr>
    </w:p>
  </w:footnote>
  <w:footnote w:id="2">
    <w:p w:rsidR="009C68E8" w:rsidRDefault="009C68E8">
      <w:pPr>
        <w:pStyle w:val="FootnoteText"/>
        <w:rPr>
          <w:rFonts w:ascii="Times New Roman" w:hAnsi="Times New Roman"/>
          <w:sz w:val="22"/>
        </w:rPr>
      </w:pPr>
      <w:r w:rsidRPr="004D7290">
        <w:rPr>
          <w:rStyle w:val="FootnoteReference"/>
          <w:rFonts w:ascii="Times New Roman" w:hAnsi="Times New Roman"/>
          <w:sz w:val="22"/>
        </w:rPr>
        <w:footnoteRef/>
      </w:r>
      <w:r w:rsidRPr="004D7290">
        <w:rPr>
          <w:rFonts w:ascii="Times New Roman" w:hAnsi="Times New Roman"/>
          <w:sz w:val="22"/>
        </w:rPr>
        <w:t xml:space="preserve"> </w:t>
      </w:r>
      <w:proofErr w:type="gramStart"/>
      <w:r>
        <w:rPr>
          <w:rFonts w:ascii="Times New Roman" w:hAnsi="Times New Roman"/>
          <w:sz w:val="22"/>
        </w:rPr>
        <w:t>Motion, ¶ 2.</w:t>
      </w:r>
      <w:proofErr w:type="gramEnd"/>
      <w:r>
        <w:rPr>
          <w:rFonts w:ascii="Times New Roman" w:hAnsi="Times New Roman"/>
          <w:sz w:val="22"/>
        </w:rPr>
        <w:t xml:space="preserve">  Avista suggests that Staff may have relied on the Company’s exhibit, </w:t>
      </w:r>
      <w:proofErr w:type="spellStart"/>
      <w:r>
        <w:rPr>
          <w:rFonts w:ascii="Times New Roman" w:hAnsi="Times New Roman"/>
          <w:sz w:val="22"/>
        </w:rPr>
        <w:t>Exh</w:t>
      </w:r>
      <w:proofErr w:type="spellEnd"/>
      <w:r>
        <w:rPr>
          <w:rFonts w:ascii="Times New Roman" w:hAnsi="Times New Roman"/>
          <w:sz w:val="22"/>
        </w:rPr>
        <w:t xml:space="preserve">. No. </w:t>
      </w:r>
      <w:proofErr w:type="gramStart"/>
      <w:r>
        <w:rPr>
          <w:rFonts w:ascii="Times New Roman" w:hAnsi="Times New Roman"/>
          <w:sz w:val="22"/>
        </w:rPr>
        <w:t>EMA-2, page 7, in representing the percentage.</w:t>
      </w:r>
      <w:proofErr w:type="gramEnd"/>
    </w:p>
    <w:p w:rsidR="009C68E8" w:rsidRPr="004D7290" w:rsidRDefault="009C68E8">
      <w:pPr>
        <w:pStyle w:val="FootnoteText"/>
        <w:rPr>
          <w:rFonts w:ascii="Times New Roman" w:hAnsi="Times New Roman"/>
          <w:sz w:val="22"/>
        </w:rPr>
      </w:pPr>
    </w:p>
  </w:footnote>
  <w:footnote w:id="3">
    <w:p w:rsidR="009C68E8" w:rsidRPr="00ED4577" w:rsidRDefault="009C68E8">
      <w:pPr>
        <w:pStyle w:val="FootnoteText"/>
        <w:rPr>
          <w:rFonts w:ascii="Times New Roman" w:hAnsi="Times New Roman"/>
          <w:i/>
          <w:sz w:val="22"/>
          <w:szCs w:val="22"/>
        </w:rPr>
      </w:pPr>
      <w:r w:rsidRPr="00ED4577">
        <w:rPr>
          <w:rStyle w:val="FootnoteReference"/>
          <w:rFonts w:ascii="Times New Roman" w:hAnsi="Times New Roman"/>
          <w:sz w:val="22"/>
          <w:szCs w:val="22"/>
        </w:rPr>
        <w:footnoteRef/>
      </w:r>
      <w:r w:rsidRPr="00ED4577">
        <w:rPr>
          <w:rFonts w:ascii="Times New Roman" w:hAnsi="Times New Roman"/>
          <w:sz w:val="22"/>
          <w:szCs w:val="22"/>
        </w:rPr>
        <w:t xml:space="preserve"> </w:t>
      </w:r>
      <w:r w:rsidRPr="00ED4577">
        <w:rPr>
          <w:rFonts w:ascii="Times New Roman" w:hAnsi="Times New Roman"/>
          <w:i/>
          <w:sz w:val="22"/>
          <w:szCs w:val="22"/>
        </w:rPr>
        <w:t>Id.</w:t>
      </w:r>
    </w:p>
    <w:p w:rsidR="009C68E8" w:rsidRPr="00ED4577" w:rsidRDefault="009C68E8">
      <w:pPr>
        <w:pStyle w:val="FootnoteText"/>
        <w:rPr>
          <w:rFonts w:ascii="Times New Roman" w:hAnsi="Times New Roman"/>
          <w:i/>
          <w:sz w:val="22"/>
          <w:szCs w:val="22"/>
        </w:rPr>
      </w:pPr>
    </w:p>
  </w:footnote>
  <w:footnote w:id="4">
    <w:p w:rsidR="009C68E8" w:rsidRPr="00EE1975" w:rsidRDefault="009C68E8">
      <w:pPr>
        <w:pStyle w:val="FootnoteText"/>
        <w:rPr>
          <w:rFonts w:ascii="Times New Roman" w:hAnsi="Times New Roman"/>
          <w:sz w:val="22"/>
        </w:rPr>
      </w:pPr>
      <w:r w:rsidRPr="00ED4577">
        <w:rPr>
          <w:rStyle w:val="FootnoteReference"/>
          <w:rFonts w:ascii="Times New Roman" w:hAnsi="Times New Roman"/>
          <w:sz w:val="22"/>
          <w:szCs w:val="22"/>
        </w:rPr>
        <w:footnoteRef/>
      </w:r>
      <w:r>
        <w:t xml:space="preserve"> </w:t>
      </w:r>
      <w:proofErr w:type="gramStart"/>
      <w:r>
        <w:rPr>
          <w:rFonts w:ascii="Times New Roman" w:hAnsi="Times New Roman"/>
          <w:i/>
          <w:sz w:val="22"/>
        </w:rPr>
        <w:t>Id.</w:t>
      </w:r>
      <w:r>
        <w:rPr>
          <w:rFonts w:ascii="Times New Roman" w:hAnsi="Times New Roman"/>
          <w:sz w:val="22"/>
        </w:rPr>
        <w:t xml:space="preserve">, </w:t>
      </w:r>
      <w:r w:rsidRPr="00ED4577">
        <w:rPr>
          <w:rFonts w:ascii="Times New Roman" w:hAnsi="Times New Roman"/>
          <w:sz w:val="22"/>
        </w:rPr>
        <w:t>(citing</w:t>
      </w:r>
      <w:r>
        <w:rPr>
          <w:rFonts w:ascii="Times New Roman" w:hAnsi="Times New Roman"/>
          <w:i/>
          <w:sz w:val="22"/>
        </w:rPr>
        <w:t xml:space="preserve"> </w:t>
      </w:r>
      <w:r>
        <w:rPr>
          <w:rFonts w:ascii="Times New Roman" w:hAnsi="Times New Roman"/>
          <w:sz w:val="22"/>
        </w:rPr>
        <w:t xml:space="preserve">Lowry, </w:t>
      </w:r>
      <w:proofErr w:type="spellStart"/>
      <w:r>
        <w:rPr>
          <w:rFonts w:ascii="Times New Roman" w:hAnsi="Times New Roman"/>
          <w:sz w:val="22"/>
        </w:rPr>
        <w:t>Exh</w:t>
      </w:r>
      <w:proofErr w:type="spellEnd"/>
      <w:r>
        <w:rPr>
          <w:rFonts w:ascii="Times New Roman" w:hAnsi="Times New Roman"/>
          <w:sz w:val="22"/>
        </w:rPr>
        <w:t>.</w:t>
      </w:r>
      <w:proofErr w:type="gramEnd"/>
      <w:r>
        <w:rPr>
          <w:rFonts w:ascii="Times New Roman" w:hAnsi="Times New Roman"/>
          <w:sz w:val="22"/>
        </w:rPr>
        <w:t xml:space="preserve"> No. </w:t>
      </w:r>
      <w:proofErr w:type="gramStart"/>
      <w:r>
        <w:rPr>
          <w:rFonts w:ascii="Times New Roman" w:hAnsi="Times New Roman"/>
          <w:sz w:val="22"/>
        </w:rPr>
        <w:t>MNL-5, at 2).</w:t>
      </w:r>
      <w:proofErr w:type="gramEnd"/>
      <w:r>
        <w:rPr>
          <w:rFonts w:ascii="Times New Roman" w:hAnsi="Times New Roman"/>
          <w:sz w:val="22"/>
        </w:rPr>
        <w:t xml:space="preserve">  The Company also notes that the testimony of its witness, Mr. Kelly O. Norwood, included an illustration demonstrating </w:t>
      </w:r>
      <w:proofErr w:type="spellStart"/>
      <w:r>
        <w:rPr>
          <w:rFonts w:ascii="Times New Roman" w:hAnsi="Times New Roman"/>
          <w:sz w:val="22"/>
        </w:rPr>
        <w:t>Avista’s</w:t>
      </w:r>
      <w:proofErr w:type="spellEnd"/>
      <w:r>
        <w:rPr>
          <w:rFonts w:ascii="Times New Roman" w:hAnsi="Times New Roman"/>
          <w:sz w:val="22"/>
        </w:rPr>
        <w:t xml:space="preserve"> 2011 combined Commission Basis return on equity for its Washington electric and natural gas operations at 7.4 percent.  </w:t>
      </w:r>
      <w:proofErr w:type="gramStart"/>
      <w:r>
        <w:rPr>
          <w:rFonts w:ascii="Times New Roman" w:hAnsi="Times New Roman"/>
          <w:i/>
          <w:sz w:val="22"/>
        </w:rPr>
        <w:t>Id.</w:t>
      </w:r>
      <w:r>
        <w:rPr>
          <w:rFonts w:ascii="Times New Roman" w:hAnsi="Times New Roman"/>
          <w:sz w:val="22"/>
        </w:rPr>
        <w:t xml:space="preserve">, ¶ 2 (citing Norwood, </w:t>
      </w:r>
      <w:proofErr w:type="spellStart"/>
      <w:r>
        <w:rPr>
          <w:rFonts w:ascii="Times New Roman" w:hAnsi="Times New Roman"/>
          <w:sz w:val="22"/>
        </w:rPr>
        <w:t>Exh</w:t>
      </w:r>
      <w:proofErr w:type="spellEnd"/>
      <w:r>
        <w:rPr>
          <w:rFonts w:ascii="Times New Roman" w:hAnsi="Times New Roman"/>
          <w:sz w:val="22"/>
        </w:rPr>
        <w:t>.</w:t>
      </w:r>
      <w:proofErr w:type="gramEnd"/>
      <w:r>
        <w:rPr>
          <w:rFonts w:ascii="Times New Roman" w:hAnsi="Times New Roman"/>
          <w:sz w:val="22"/>
        </w:rPr>
        <w:t xml:space="preserve"> No. </w:t>
      </w:r>
      <w:proofErr w:type="gramStart"/>
      <w:r>
        <w:rPr>
          <w:rFonts w:ascii="Times New Roman" w:hAnsi="Times New Roman"/>
          <w:sz w:val="22"/>
        </w:rPr>
        <w:t>KON-1T, at 9, Illustration 4).</w:t>
      </w:r>
      <w:proofErr w:type="gramEnd"/>
    </w:p>
    <w:p w:rsidR="009C68E8" w:rsidRPr="00ED4577" w:rsidRDefault="009C68E8">
      <w:pPr>
        <w:pStyle w:val="FootnoteText"/>
        <w:rPr>
          <w:rFonts w:ascii="Times New Roman" w:hAnsi="Times New Roman"/>
          <w:sz w:val="22"/>
        </w:rPr>
      </w:pPr>
    </w:p>
  </w:footnote>
  <w:footnote w:id="5">
    <w:p w:rsidR="009C68E8" w:rsidRPr="002E6F4C" w:rsidRDefault="009C68E8">
      <w:pPr>
        <w:pStyle w:val="FootnoteText"/>
        <w:rPr>
          <w:rFonts w:ascii="Times New Roman" w:hAnsi="Times New Roman"/>
          <w:sz w:val="22"/>
        </w:rPr>
      </w:pPr>
      <w:r w:rsidRPr="002E6F4C">
        <w:rPr>
          <w:rStyle w:val="FootnoteReference"/>
          <w:rFonts w:ascii="Times New Roman" w:hAnsi="Times New Roman"/>
          <w:sz w:val="22"/>
        </w:rPr>
        <w:footnoteRef/>
      </w:r>
      <w:r w:rsidRPr="002E6F4C">
        <w:rPr>
          <w:rFonts w:ascii="Times New Roman" w:hAnsi="Times New Roman"/>
          <w:sz w:val="22"/>
        </w:rPr>
        <w:t xml:space="preserve"> </w:t>
      </w:r>
      <w:proofErr w:type="gramStart"/>
      <w:r>
        <w:rPr>
          <w:rFonts w:ascii="Times New Roman" w:hAnsi="Times New Roman"/>
          <w:i/>
          <w:sz w:val="22"/>
        </w:rPr>
        <w:t>Id</w:t>
      </w:r>
      <w:r>
        <w:rPr>
          <w:rFonts w:ascii="Times New Roman" w:hAnsi="Times New Roman"/>
          <w:sz w:val="22"/>
        </w:rPr>
        <w:t>, ¶ 3.</w:t>
      </w:r>
      <w:proofErr w:type="gramEnd"/>
    </w:p>
    <w:p w:rsidR="009C68E8" w:rsidRDefault="009C68E8">
      <w:pPr>
        <w:pStyle w:val="FootnoteText"/>
      </w:pPr>
    </w:p>
  </w:footnote>
  <w:footnote w:id="6">
    <w:p w:rsidR="009C68E8" w:rsidRDefault="009C68E8" w:rsidP="002E6F4C">
      <w:pPr>
        <w:pStyle w:val="FootnoteText"/>
        <w:rPr>
          <w:rFonts w:ascii="Times New Roman" w:hAnsi="Times New Roman"/>
          <w:i/>
          <w:sz w:val="22"/>
        </w:rPr>
      </w:pPr>
      <w:r w:rsidRPr="005C71D9">
        <w:rPr>
          <w:rStyle w:val="FootnoteReference"/>
          <w:rFonts w:ascii="Times New Roman" w:hAnsi="Times New Roman"/>
          <w:sz w:val="22"/>
        </w:rPr>
        <w:footnoteRef/>
      </w:r>
      <w:r w:rsidRPr="005C71D9">
        <w:rPr>
          <w:rFonts w:ascii="Times New Roman" w:hAnsi="Times New Roman"/>
          <w:sz w:val="22"/>
        </w:rPr>
        <w:t xml:space="preserve"> </w:t>
      </w:r>
      <w:r>
        <w:rPr>
          <w:rFonts w:ascii="Times New Roman" w:hAnsi="Times New Roman"/>
          <w:i/>
          <w:sz w:val="22"/>
        </w:rPr>
        <w:t>Id.</w:t>
      </w:r>
    </w:p>
    <w:p w:rsidR="009C68E8" w:rsidRPr="002E6F4C" w:rsidRDefault="009C68E8" w:rsidP="002E6F4C">
      <w:pPr>
        <w:pStyle w:val="FootnoteText"/>
        <w:rPr>
          <w:rFonts w:ascii="Times New Roman" w:hAnsi="Times New Roman"/>
          <w:i/>
        </w:rPr>
      </w:pPr>
    </w:p>
  </w:footnote>
  <w:footnote w:id="7">
    <w:p w:rsidR="009C68E8" w:rsidRDefault="009C68E8">
      <w:pPr>
        <w:pStyle w:val="FootnoteText"/>
        <w:rPr>
          <w:rFonts w:ascii="Times New Roman" w:hAnsi="Times New Roman"/>
          <w:sz w:val="22"/>
        </w:rPr>
      </w:pPr>
      <w:r w:rsidRPr="00EE1975">
        <w:rPr>
          <w:rStyle w:val="FootnoteReference"/>
          <w:rFonts w:ascii="Times New Roman" w:hAnsi="Times New Roman"/>
          <w:sz w:val="22"/>
        </w:rPr>
        <w:footnoteRef/>
      </w:r>
      <w:r w:rsidRPr="00EE1975">
        <w:rPr>
          <w:rFonts w:ascii="Times New Roman" w:hAnsi="Times New Roman"/>
          <w:sz w:val="22"/>
        </w:rPr>
        <w:t xml:space="preserve"> </w:t>
      </w:r>
      <w:r>
        <w:rPr>
          <w:rFonts w:ascii="Times New Roman" w:hAnsi="Times New Roman"/>
          <w:sz w:val="22"/>
        </w:rPr>
        <w:t xml:space="preserve">Staff’s Response, at 2; Public Counsel’s Response, ¶ 3; and ICNU’s Response, ¶ 2.  </w:t>
      </w:r>
    </w:p>
    <w:p w:rsidR="009C68E8" w:rsidRPr="00EE1975" w:rsidRDefault="009C68E8">
      <w:pPr>
        <w:pStyle w:val="FootnoteText"/>
        <w:rPr>
          <w:rFonts w:ascii="Times New Roman" w:hAnsi="Times New Roman"/>
        </w:rPr>
      </w:pPr>
    </w:p>
  </w:footnote>
  <w:footnote w:id="8">
    <w:p w:rsidR="009C68E8" w:rsidRDefault="009C68E8">
      <w:pPr>
        <w:pStyle w:val="FootnoteText"/>
        <w:rPr>
          <w:rFonts w:ascii="Times New Roman" w:hAnsi="Times New Roman"/>
          <w:i/>
          <w:sz w:val="22"/>
        </w:rPr>
      </w:pPr>
      <w:r w:rsidRPr="00CD3EFE">
        <w:rPr>
          <w:rStyle w:val="FootnoteReference"/>
          <w:rFonts w:ascii="Times New Roman" w:hAnsi="Times New Roman"/>
          <w:sz w:val="22"/>
        </w:rPr>
        <w:footnoteRef/>
      </w:r>
      <w:r w:rsidRPr="00CD3EFE">
        <w:rPr>
          <w:rFonts w:ascii="Times New Roman" w:hAnsi="Times New Roman"/>
          <w:sz w:val="22"/>
        </w:rPr>
        <w:t xml:space="preserve"> </w:t>
      </w:r>
      <w:r w:rsidRPr="002046E8">
        <w:rPr>
          <w:rFonts w:ascii="Times New Roman" w:hAnsi="Times New Roman"/>
          <w:sz w:val="22"/>
        </w:rPr>
        <w:t>Staff’s Response, at 2</w:t>
      </w:r>
      <w:r>
        <w:rPr>
          <w:rFonts w:ascii="Times New Roman" w:hAnsi="Times New Roman"/>
          <w:sz w:val="22"/>
        </w:rPr>
        <w:t xml:space="preserve"> and ICNU’s Response, ¶ 8</w:t>
      </w:r>
      <w:r w:rsidRPr="002046E8">
        <w:rPr>
          <w:rFonts w:ascii="Times New Roman" w:hAnsi="Times New Roman"/>
          <w:sz w:val="22"/>
        </w:rPr>
        <w:t>.</w:t>
      </w:r>
    </w:p>
    <w:p w:rsidR="009C68E8" w:rsidRPr="00CD3EFE" w:rsidRDefault="009C68E8">
      <w:pPr>
        <w:pStyle w:val="FootnoteText"/>
        <w:rPr>
          <w:rFonts w:ascii="Times New Roman" w:hAnsi="Times New Roman"/>
        </w:rPr>
      </w:pPr>
    </w:p>
  </w:footnote>
  <w:footnote w:id="9">
    <w:p w:rsidR="009C68E8" w:rsidRDefault="009C68E8">
      <w:pPr>
        <w:pStyle w:val="FootnoteText"/>
        <w:rPr>
          <w:rFonts w:ascii="Times New Roman" w:hAnsi="Times New Roman"/>
          <w:i/>
          <w:sz w:val="22"/>
        </w:rPr>
      </w:pPr>
      <w:r w:rsidRPr="00A86C75">
        <w:rPr>
          <w:rStyle w:val="FootnoteReference"/>
          <w:rFonts w:ascii="Times New Roman" w:hAnsi="Times New Roman"/>
          <w:sz w:val="22"/>
        </w:rPr>
        <w:footnoteRef/>
      </w:r>
      <w:r w:rsidRPr="00A86C75">
        <w:rPr>
          <w:rFonts w:ascii="Times New Roman" w:hAnsi="Times New Roman"/>
          <w:sz w:val="22"/>
        </w:rPr>
        <w:t xml:space="preserve"> </w:t>
      </w:r>
      <w:r>
        <w:rPr>
          <w:rFonts w:ascii="Times New Roman" w:hAnsi="Times New Roman"/>
          <w:i/>
          <w:sz w:val="22"/>
        </w:rPr>
        <w:t>Id.</w:t>
      </w:r>
    </w:p>
    <w:p w:rsidR="009C68E8" w:rsidRPr="00A86C75" w:rsidRDefault="009C68E8">
      <w:pPr>
        <w:pStyle w:val="FootnoteText"/>
        <w:rPr>
          <w:rFonts w:ascii="Times New Roman" w:hAnsi="Times New Roman"/>
          <w:i/>
        </w:rPr>
      </w:pPr>
    </w:p>
  </w:footnote>
  <w:footnote w:id="10">
    <w:p w:rsidR="009C68E8" w:rsidRPr="006B4B23" w:rsidRDefault="009C68E8">
      <w:pPr>
        <w:pStyle w:val="FootnoteText"/>
        <w:rPr>
          <w:rFonts w:ascii="Times New Roman" w:hAnsi="Times New Roman"/>
          <w:sz w:val="22"/>
        </w:rPr>
      </w:pPr>
      <w:r w:rsidRPr="006B4B23">
        <w:rPr>
          <w:rStyle w:val="FootnoteReference"/>
          <w:rFonts w:ascii="Times New Roman" w:hAnsi="Times New Roman"/>
          <w:sz w:val="22"/>
        </w:rPr>
        <w:footnoteRef/>
      </w:r>
      <w:r w:rsidRPr="006B4B23">
        <w:rPr>
          <w:rFonts w:ascii="Times New Roman" w:hAnsi="Times New Roman"/>
          <w:sz w:val="22"/>
        </w:rPr>
        <w:t xml:space="preserve"> </w:t>
      </w:r>
      <w:proofErr w:type="gramStart"/>
      <w:r>
        <w:rPr>
          <w:rFonts w:ascii="Times New Roman" w:hAnsi="Times New Roman"/>
          <w:sz w:val="22"/>
        </w:rPr>
        <w:t>Public Counsel’s Response, ¶ 4 and ICNU’s Response, ¶ 2.</w:t>
      </w:r>
      <w:proofErr w:type="gramEnd"/>
      <w:r>
        <w:rPr>
          <w:rFonts w:ascii="Times New Roman" w:hAnsi="Times New Roman"/>
          <w:sz w:val="22"/>
        </w:rPr>
        <w:t xml:space="preserve">  ICNU attached</w:t>
      </w:r>
      <w:r w:rsidRPr="00B746F1">
        <w:rPr>
          <w:rFonts w:ascii="Times New Roman" w:hAnsi="Times New Roman"/>
          <w:sz w:val="22"/>
        </w:rPr>
        <w:t xml:space="preserve"> </w:t>
      </w:r>
      <w:r>
        <w:rPr>
          <w:rFonts w:ascii="Times New Roman" w:hAnsi="Times New Roman"/>
          <w:sz w:val="22"/>
        </w:rPr>
        <w:t xml:space="preserve">the Declaration of Michael P. Gorman to its Response.  In his Declaration, Mr. Gorman contests the factual accuracy of </w:t>
      </w:r>
      <w:proofErr w:type="spellStart"/>
      <w:r>
        <w:rPr>
          <w:rFonts w:ascii="Times New Roman" w:hAnsi="Times New Roman"/>
          <w:sz w:val="22"/>
        </w:rPr>
        <w:t>Avista’s</w:t>
      </w:r>
      <w:proofErr w:type="spellEnd"/>
      <w:r>
        <w:rPr>
          <w:rFonts w:ascii="Times New Roman" w:hAnsi="Times New Roman"/>
          <w:sz w:val="22"/>
        </w:rPr>
        <w:t xml:space="preserve"> “normalized rate of return.”  As we are denying the Company’s Motion on procedural grounds, we need not address the </w:t>
      </w:r>
      <w:r w:rsidR="00FB700B">
        <w:rPr>
          <w:rFonts w:ascii="Times New Roman" w:hAnsi="Times New Roman"/>
          <w:sz w:val="22"/>
        </w:rPr>
        <w:t>merits</w:t>
      </w:r>
      <w:r>
        <w:rPr>
          <w:rFonts w:ascii="Times New Roman" w:hAnsi="Times New Roman"/>
          <w:sz w:val="22"/>
        </w:rPr>
        <w:t xml:space="preserve"> of </w:t>
      </w:r>
      <w:proofErr w:type="spellStart"/>
      <w:r w:rsidR="00FB700B">
        <w:rPr>
          <w:rFonts w:ascii="Times New Roman" w:hAnsi="Times New Roman"/>
          <w:sz w:val="22"/>
        </w:rPr>
        <w:t>Avista</w:t>
      </w:r>
      <w:r>
        <w:rPr>
          <w:rFonts w:ascii="Times New Roman" w:hAnsi="Times New Roman"/>
          <w:sz w:val="22"/>
        </w:rPr>
        <w:t>’</w:t>
      </w:r>
      <w:r w:rsidR="00FB700B">
        <w:rPr>
          <w:rFonts w:ascii="Times New Roman" w:hAnsi="Times New Roman"/>
          <w:sz w:val="22"/>
        </w:rPr>
        <w:t>s</w:t>
      </w:r>
      <w:proofErr w:type="spellEnd"/>
      <w:r>
        <w:rPr>
          <w:rFonts w:ascii="Times New Roman" w:hAnsi="Times New Roman"/>
          <w:sz w:val="22"/>
        </w:rPr>
        <w:t xml:space="preserve"> proffered rate of return.  Indeed, as ICNU argues, such a decision must wait until we have a full record, with all parties afforded the opportunity to respond to </w:t>
      </w:r>
      <w:proofErr w:type="spellStart"/>
      <w:r>
        <w:rPr>
          <w:rFonts w:ascii="Times New Roman" w:hAnsi="Times New Roman"/>
          <w:sz w:val="22"/>
        </w:rPr>
        <w:t>Avista’s</w:t>
      </w:r>
      <w:proofErr w:type="spellEnd"/>
      <w:r>
        <w:rPr>
          <w:rFonts w:ascii="Times New Roman" w:hAnsi="Times New Roman"/>
          <w:sz w:val="22"/>
        </w:rPr>
        <w:t xml:space="preserve"> proposal.  </w:t>
      </w:r>
      <w:proofErr w:type="gramStart"/>
      <w:r>
        <w:rPr>
          <w:rFonts w:ascii="Times New Roman" w:hAnsi="Times New Roman"/>
          <w:sz w:val="22"/>
        </w:rPr>
        <w:t>ICNU’s Response, ¶ 11.</w:t>
      </w:r>
      <w:proofErr w:type="gramEnd"/>
      <w:r>
        <w:rPr>
          <w:rFonts w:ascii="Times New Roman" w:hAnsi="Times New Roman"/>
          <w:sz w:val="22"/>
        </w:rPr>
        <w:t xml:space="preserve">  </w:t>
      </w:r>
    </w:p>
    <w:p w:rsidR="009C68E8" w:rsidRDefault="009C68E8">
      <w:pPr>
        <w:pStyle w:val="FootnoteText"/>
      </w:pPr>
    </w:p>
  </w:footnote>
  <w:footnote w:id="11">
    <w:p w:rsidR="009C68E8" w:rsidRDefault="009C68E8">
      <w:pPr>
        <w:pStyle w:val="FootnoteText"/>
        <w:rPr>
          <w:rFonts w:ascii="Times New Roman" w:hAnsi="Times New Roman"/>
          <w:sz w:val="22"/>
        </w:rPr>
      </w:pPr>
      <w:r w:rsidRPr="00B661A2">
        <w:rPr>
          <w:rStyle w:val="FootnoteReference"/>
          <w:rFonts w:ascii="Times New Roman" w:hAnsi="Times New Roman"/>
          <w:sz w:val="22"/>
        </w:rPr>
        <w:footnoteRef/>
      </w:r>
      <w:r w:rsidRPr="00B661A2">
        <w:rPr>
          <w:rFonts w:ascii="Times New Roman" w:hAnsi="Times New Roman"/>
          <w:sz w:val="22"/>
        </w:rPr>
        <w:t xml:space="preserve"> </w:t>
      </w:r>
      <w:proofErr w:type="gramStart"/>
      <w:r w:rsidRPr="002046E8">
        <w:rPr>
          <w:rFonts w:ascii="Times New Roman" w:hAnsi="Times New Roman"/>
          <w:sz w:val="22"/>
        </w:rPr>
        <w:t>Public Counsel’s Response,</w:t>
      </w:r>
      <w:r>
        <w:rPr>
          <w:rFonts w:ascii="Times New Roman" w:hAnsi="Times New Roman"/>
          <w:sz w:val="22"/>
        </w:rPr>
        <w:t xml:space="preserve"> ¶ 5.</w:t>
      </w:r>
      <w:proofErr w:type="gramEnd"/>
    </w:p>
    <w:p w:rsidR="009C68E8" w:rsidRPr="00B661A2" w:rsidRDefault="009C68E8">
      <w:pPr>
        <w:pStyle w:val="FootnoteText"/>
        <w:rPr>
          <w:rFonts w:ascii="Times New Roman" w:hAnsi="Times New Roman"/>
        </w:rPr>
      </w:pPr>
    </w:p>
  </w:footnote>
  <w:footnote w:id="12">
    <w:p w:rsidR="009C68E8" w:rsidRDefault="009C68E8">
      <w:pPr>
        <w:pStyle w:val="FootnoteText"/>
        <w:rPr>
          <w:rFonts w:ascii="Times New Roman" w:hAnsi="Times New Roman"/>
          <w:i/>
          <w:sz w:val="22"/>
        </w:rPr>
      </w:pPr>
      <w:r w:rsidRPr="00B661A2">
        <w:rPr>
          <w:rStyle w:val="FootnoteReference"/>
          <w:rFonts w:ascii="Times New Roman" w:hAnsi="Times New Roman"/>
          <w:sz w:val="22"/>
        </w:rPr>
        <w:footnoteRef/>
      </w:r>
      <w:r w:rsidRPr="00B661A2">
        <w:rPr>
          <w:rFonts w:ascii="Times New Roman" w:hAnsi="Times New Roman"/>
          <w:sz w:val="22"/>
        </w:rPr>
        <w:t xml:space="preserve"> </w:t>
      </w:r>
      <w:r>
        <w:rPr>
          <w:rFonts w:ascii="Times New Roman" w:hAnsi="Times New Roman"/>
          <w:i/>
          <w:sz w:val="22"/>
        </w:rPr>
        <w:t>Id.</w:t>
      </w:r>
    </w:p>
    <w:p w:rsidR="009C68E8" w:rsidRPr="00B661A2" w:rsidRDefault="009C68E8">
      <w:pPr>
        <w:pStyle w:val="FootnoteText"/>
        <w:rPr>
          <w:rFonts w:ascii="Times New Roman" w:hAnsi="Times New Roman"/>
          <w:i/>
        </w:rPr>
      </w:pPr>
    </w:p>
  </w:footnote>
  <w:footnote w:id="13">
    <w:p w:rsidR="009C68E8" w:rsidRDefault="009C68E8">
      <w:pPr>
        <w:pStyle w:val="FootnoteText"/>
        <w:rPr>
          <w:rFonts w:ascii="Times New Roman" w:hAnsi="Times New Roman"/>
          <w:i/>
          <w:sz w:val="22"/>
        </w:rPr>
      </w:pPr>
      <w:r w:rsidRPr="00B8011A">
        <w:rPr>
          <w:rStyle w:val="FootnoteReference"/>
          <w:rFonts w:ascii="Times New Roman" w:hAnsi="Times New Roman"/>
          <w:sz w:val="22"/>
        </w:rPr>
        <w:footnoteRef/>
      </w:r>
      <w:r w:rsidRPr="00B8011A">
        <w:rPr>
          <w:rFonts w:ascii="Times New Roman" w:hAnsi="Times New Roman"/>
          <w:sz w:val="22"/>
        </w:rPr>
        <w:t xml:space="preserve"> </w:t>
      </w:r>
      <w:r>
        <w:rPr>
          <w:rFonts w:ascii="Times New Roman" w:hAnsi="Times New Roman"/>
          <w:i/>
          <w:sz w:val="22"/>
        </w:rPr>
        <w:t>Id.</w:t>
      </w:r>
    </w:p>
    <w:p w:rsidR="009C68E8" w:rsidRPr="00B8011A" w:rsidRDefault="009C68E8">
      <w:pPr>
        <w:pStyle w:val="FootnoteText"/>
        <w:rPr>
          <w:rFonts w:ascii="Times New Roman" w:hAnsi="Times New Roman"/>
        </w:rPr>
      </w:pPr>
    </w:p>
  </w:footnote>
  <w:footnote w:id="14">
    <w:p w:rsidR="009C68E8" w:rsidRPr="009C68E8" w:rsidRDefault="009C68E8">
      <w:pPr>
        <w:pStyle w:val="FootnoteText"/>
        <w:rPr>
          <w:rFonts w:ascii="Times New Roman" w:hAnsi="Times New Roman"/>
        </w:rPr>
      </w:pPr>
      <w:r w:rsidRPr="009C68E8">
        <w:rPr>
          <w:rStyle w:val="FootnoteReference"/>
          <w:rFonts w:ascii="Times New Roman" w:hAnsi="Times New Roman"/>
          <w:sz w:val="22"/>
        </w:rPr>
        <w:footnoteRef/>
      </w:r>
      <w:r w:rsidRPr="009C68E8">
        <w:rPr>
          <w:rFonts w:ascii="Times New Roman" w:hAnsi="Times New Roman"/>
          <w:sz w:val="22"/>
        </w:rPr>
        <w:t xml:space="preserve"> </w:t>
      </w:r>
      <w:proofErr w:type="gramStart"/>
      <w:r>
        <w:rPr>
          <w:rFonts w:ascii="Times New Roman" w:hAnsi="Times New Roman"/>
          <w:sz w:val="22"/>
        </w:rPr>
        <w:t>RCW 34.05.476(1).</w:t>
      </w:r>
      <w:proofErr w:type="gramEnd"/>
      <w:r>
        <w:rPr>
          <w:rFonts w:ascii="Times New Roman" w:hAnsi="Times New Roman"/>
          <w:sz w:val="22"/>
        </w:rPr>
        <w:t xml:space="preserve">  (Emphasis added).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8E8" w:rsidRPr="009926F4" w:rsidRDefault="009C68E8">
    <w:pPr>
      <w:pStyle w:val="Header"/>
      <w:tabs>
        <w:tab w:val="left" w:pos="7500"/>
      </w:tabs>
      <w:rPr>
        <w:b/>
        <w:i/>
        <w:sz w:val="20"/>
        <w:szCs w:val="20"/>
      </w:rPr>
    </w:pPr>
    <w:r w:rsidRPr="00A3058F">
      <w:rPr>
        <w:b/>
        <w:sz w:val="20"/>
        <w:szCs w:val="20"/>
      </w:rPr>
      <w:t>DOCKET</w:t>
    </w:r>
    <w:r>
      <w:rPr>
        <w:b/>
        <w:sz w:val="20"/>
        <w:szCs w:val="20"/>
      </w:rPr>
      <w:t>S</w:t>
    </w:r>
    <w:r w:rsidRPr="00A3058F">
      <w:rPr>
        <w:b/>
        <w:sz w:val="20"/>
        <w:szCs w:val="20"/>
      </w:rPr>
      <w:t xml:space="preserve"> UE-</w:t>
    </w:r>
    <w:r>
      <w:rPr>
        <w:b/>
        <w:sz w:val="20"/>
        <w:szCs w:val="20"/>
      </w:rPr>
      <w:t>120436 and UG-120437 (</w:t>
    </w:r>
    <w:r>
      <w:rPr>
        <w:b/>
        <w:i/>
        <w:sz w:val="20"/>
        <w:szCs w:val="20"/>
      </w:rPr>
      <w:t>consolidated</w:t>
    </w:r>
    <w:r w:rsidRPr="00EB40B5">
      <w:rPr>
        <w:b/>
        <w:sz w:val="20"/>
        <w:szCs w:val="20"/>
      </w:rPr>
      <w:t>)</w:t>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B61786">
      <w:rPr>
        <w:rStyle w:val="PageNumber"/>
        <w:b/>
        <w:noProof/>
        <w:sz w:val="20"/>
        <w:szCs w:val="20"/>
      </w:rPr>
      <w:t>2</w:t>
    </w:r>
    <w:r w:rsidRPr="00A3058F">
      <w:rPr>
        <w:rStyle w:val="PageNumber"/>
        <w:b/>
        <w:sz w:val="20"/>
        <w:szCs w:val="20"/>
      </w:rPr>
      <w:fldChar w:fldCharType="end"/>
    </w:r>
  </w:p>
  <w:p w:rsidR="009C68E8" w:rsidRDefault="009C68E8">
    <w:pPr>
      <w:pStyle w:val="Header"/>
      <w:tabs>
        <w:tab w:val="left" w:pos="7500"/>
      </w:tabs>
      <w:rPr>
        <w:b/>
        <w:sz w:val="20"/>
        <w:szCs w:val="20"/>
      </w:rPr>
    </w:pPr>
    <w:r w:rsidRPr="00A3058F">
      <w:rPr>
        <w:b/>
        <w:sz w:val="20"/>
        <w:szCs w:val="20"/>
      </w:rPr>
      <w:t xml:space="preserve">ORDER </w:t>
    </w:r>
    <w:r>
      <w:rPr>
        <w:b/>
        <w:sz w:val="20"/>
        <w:szCs w:val="20"/>
      </w:rPr>
      <w:t>04</w:t>
    </w:r>
  </w:p>
  <w:p w:rsidR="009C68E8" w:rsidRDefault="009C68E8">
    <w:pPr>
      <w:pStyle w:val="Header"/>
      <w:tabs>
        <w:tab w:val="left" w:pos="7500"/>
      </w:tabs>
      <w:rPr>
        <w:b/>
        <w:sz w:val="20"/>
        <w:szCs w:val="20"/>
      </w:rPr>
    </w:pPr>
    <w:r>
      <w:rPr>
        <w:b/>
        <w:sz w:val="20"/>
        <w:szCs w:val="20"/>
      </w:rPr>
      <w:t xml:space="preserve">DOCKETS UE-110876 and UG-110877 </w:t>
    </w:r>
    <w:r>
      <w:rPr>
        <w:b/>
        <w:i/>
        <w:sz w:val="20"/>
        <w:szCs w:val="20"/>
      </w:rPr>
      <w:t>(consolidated)</w:t>
    </w:r>
  </w:p>
  <w:p w:rsidR="009C68E8" w:rsidRPr="000B3609" w:rsidRDefault="009C68E8">
    <w:pPr>
      <w:pStyle w:val="Header"/>
      <w:tabs>
        <w:tab w:val="left" w:pos="7500"/>
      </w:tabs>
      <w:rPr>
        <w:b/>
        <w:sz w:val="20"/>
        <w:szCs w:val="20"/>
      </w:rPr>
    </w:pPr>
    <w:r>
      <w:rPr>
        <w:b/>
        <w:sz w:val="20"/>
        <w:szCs w:val="20"/>
      </w:rPr>
      <w:t>ORDER 09</w:t>
    </w:r>
  </w:p>
  <w:p w:rsidR="009C68E8" w:rsidRDefault="009C68E8">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8E8" w:rsidRDefault="009C68E8" w:rsidP="008804FA">
    <w:pPr>
      <w:pStyle w:val="Header"/>
      <w:tabs>
        <w:tab w:val="clear" w:pos="4320"/>
        <w:tab w:val="clear" w:pos="8640"/>
        <w:tab w:val="right" w:pos="8500"/>
      </w:tabs>
    </w:pPr>
    <w:r>
      <w:rPr>
        <w:b/>
        <w:sz w:val="20"/>
        <w:szCs w:val="20"/>
      </w:rPr>
      <w:tab/>
    </w:r>
    <w:r w:rsidR="006D2287">
      <w:rPr>
        <w:b/>
        <w:sz w:val="20"/>
        <w:szCs w:val="20"/>
      </w:rPr>
      <w:t>[Service Date June 1, 2012]</w:t>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2E7EB7"/>
    <w:multiLevelType w:val="hybridMultilevel"/>
    <w:tmpl w:val="E5CEAAB0"/>
    <w:lvl w:ilvl="0" w:tplc="18608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31C92"/>
    <w:multiLevelType w:val="hybridMultilevel"/>
    <w:tmpl w:val="2140F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D3167A7"/>
    <w:multiLevelType w:val="hybridMultilevel"/>
    <w:tmpl w:val="715E8812"/>
    <w:lvl w:ilvl="0" w:tplc="14685B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09"/>
    <w:rsid w:val="00002DE1"/>
    <w:rsid w:val="00026D6C"/>
    <w:rsid w:val="00096CC9"/>
    <w:rsid w:val="000B1E0F"/>
    <w:rsid w:val="000B3609"/>
    <w:rsid w:val="001F091E"/>
    <w:rsid w:val="002046E8"/>
    <w:rsid w:val="002208BA"/>
    <w:rsid w:val="002B3B52"/>
    <w:rsid w:val="002E6F4C"/>
    <w:rsid w:val="002F2693"/>
    <w:rsid w:val="00367C05"/>
    <w:rsid w:val="003F2F66"/>
    <w:rsid w:val="004173E4"/>
    <w:rsid w:val="00431CB3"/>
    <w:rsid w:val="00472EF7"/>
    <w:rsid w:val="004C0F26"/>
    <w:rsid w:val="004D5EE6"/>
    <w:rsid w:val="004D7290"/>
    <w:rsid w:val="00527106"/>
    <w:rsid w:val="00540369"/>
    <w:rsid w:val="00583FF8"/>
    <w:rsid w:val="00586281"/>
    <w:rsid w:val="0059393D"/>
    <w:rsid w:val="005B0AD0"/>
    <w:rsid w:val="005B31CE"/>
    <w:rsid w:val="005C3D6A"/>
    <w:rsid w:val="005C71D9"/>
    <w:rsid w:val="0061174A"/>
    <w:rsid w:val="00651E50"/>
    <w:rsid w:val="006B4B23"/>
    <w:rsid w:val="006D2287"/>
    <w:rsid w:val="006F6FD4"/>
    <w:rsid w:val="00714285"/>
    <w:rsid w:val="00725298"/>
    <w:rsid w:val="00742B13"/>
    <w:rsid w:val="007A78B2"/>
    <w:rsid w:val="007E533A"/>
    <w:rsid w:val="00841A1C"/>
    <w:rsid w:val="008804FA"/>
    <w:rsid w:val="00912039"/>
    <w:rsid w:val="009444DD"/>
    <w:rsid w:val="00947ABA"/>
    <w:rsid w:val="0096099E"/>
    <w:rsid w:val="00991DFB"/>
    <w:rsid w:val="009A74CB"/>
    <w:rsid w:val="009C68E8"/>
    <w:rsid w:val="009D4C8F"/>
    <w:rsid w:val="00A15886"/>
    <w:rsid w:val="00A25862"/>
    <w:rsid w:val="00A37220"/>
    <w:rsid w:val="00A62A9C"/>
    <w:rsid w:val="00A86C75"/>
    <w:rsid w:val="00A9300E"/>
    <w:rsid w:val="00B006EC"/>
    <w:rsid w:val="00B217B5"/>
    <w:rsid w:val="00B61786"/>
    <w:rsid w:val="00B661A2"/>
    <w:rsid w:val="00B746F1"/>
    <w:rsid w:val="00B8011A"/>
    <w:rsid w:val="00BD25D5"/>
    <w:rsid w:val="00C879A3"/>
    <w:rsid w:val="00CD3EFE"/>
    <w:rsid w:val="00CD7A20"/>
    <w:rsid w:val="00CF1D2D"/>
    <w:rsid w:val="00D16B4C"/>
    <w:rsid w:val="00DB10DA"/>
    <w:rsid w:val="00DC657F"/>
    <w:rsid w:val="00DC7AD4"/>
    <w:rsid w:val="00ED4577"/>
    <w:rsid w:val="00EE1975"/>
    <w:rsid w:val="00FB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DE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B3609"/>
    <w:pPr>
      <w:keepNext/>
      <w:jc w:val="center"/>
      <w:outlineLvl w:val="1"/>
    </w:pPr>
    <w:rPr>
      <w:u w:val="single"/>
    </w:rPr>
  </w:style>
  <w:style w:type="paragraph" w:styleId="Heading3">
    <w:name w:val="heading 3"/>
    <w:basedOn w:val="Normal"/>
    <w:next w:val="Normal"/>
    <w:link w:val="Heading3Char"/>
    <w:qFormat/>
    <w:rsid w:val="000B3609"/>
    <w:pPr>
      <w:keepNext/>
      <w:jc w:val="center"/>
      <w:outlineLvl w:val="2"/>
    </w:pPr>
    <w:rPr>
      <w:rFonts w:ascii="Palatino Linotype" w:hAnsi="Palatino Linotype"/>
      <w:b/>
      <w:bCs/>
    </w:rPr>
  </w:style>
  <w:style w:type="paragraph" w:styleId="Heading4">
    <w:name w:val="heading 4"/>
    <w:basedOn w:val="Normal"/>
    <w:next w:val="Normal"/>
    <w:link w:val="Heading4Char"/>
    <w:qFormat/>
    <w:rsid w:val="000B360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3609"/>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0B3609"/>
    <w:rPr>
      <w:rFonts w:ascii="Palatino Linotype" w:eastAsia="Times New Roman" w:hAnsi="Palatino Linotype" w:cs="Times New Roman"/>
      <w:b/>
      <w:bCs/>
      <w:sz w:val="24"/>
      <w:szCs w:val="24"/>
    </w:rPr>
  </w:style>
  <w:style w:type="character" w:customStyle="1" w:styleId="Heading4Char">
    <w:name w:val="Heading 4 Char"/>
    <w:basedOn w:val="DefaultParagraphFont"/>
    <w:link w:val="Heading4"/>
    <w:rsid w:val="000B3609"/>
    <w:rPr>
      <w:rFonts w:ascii="Times New Roman" w:eastAsia="Times New Roman" w:hAnsi="Times New Roman" w:cs="Times New Roman"/>
      <w:b/>
      <w:bCs/>
      <w:sz w:val="28"/>
      <w:szCs w:val="28"/>
    </w:rPr>
  </w:style>
  <w:style w:type="paragraph" w:styleId="Header">
    <w:name w:val="header"/>
    <w:basedOn w:val="Normal"/>
    <w:link w:val="HeaderChar"/>
    <w:uiPriority w:val="99"/>
    <w:rsid w:val="000B3609"/>
    <w:pPr>
      <w:tabs>
        <w:tab w:val="center" w:pos="4320"/>
        <w:tab w:val="right" w:pos="8640"/>
      </w:tabs>
    </w:pPr>
  </w:style>
  <w:style w:type="character" w:customStyle="1" w:styleId="HeaderChar">
    <w:name w:val="Header Char"/>
    <w:basedOn w:val="DefaultParagraphFont"/>
    <w:link w:val="Header"/>
    <w:uiPriority w:val="99"/>
    <w:rsid w:val="000B3609"/>
    <w:rPr>
      <w:rFonts w:ascii="Times New Roman" w:eastAsia="Times New Roman" w:hAnsi="Times New Roman" w:cs="Times New Roman"/>
      <w:sz w:val="24"/>
      <w:szCs w:val="24"/>
    </w:rPr>
  </w:style>
  <w:style w:type="character" w:styleId="PageNumber">
    <w:name w:val="page number"/>
    <w:basedOn w:val="DefaultParagraphFont"/>
    <w:rsid w:val="000B3609"/>
  </w:style>
  <w:style w:type="paragraph" w:styleId="BodyText">
    <w:name w:val="Body Text"/>
    <w:basedOn w:val="Normal"/>
    <w:link w:val="BodyTextChar"/>
    <w:rsid w:val="000B3609"/>
    <w:pPr>
      <w:jc w:val="center"/>
    </w:pPr>
  </w:style>
  <w:style w:type="character" w:customStyle="1" w:styleId="BodyTextChar">
    <w:name w:val="Body Text Char"/>
    <w:basedOn w:val="DefaultParagraphFont"/>
    <w:link w:val="BodyText"/>
    <w:rsid w:val="000B3609"/>
    <w:rPr>
      <w:rFonts w:ascii="Times New Roman" w:eastAsia="Times New Roman" w:hAnsi="Times New Roman" w:cs="Times New Roman"/>
      <w:sz w:val="24"/>
      <w:szCs w:val="24"/>
    </w:rPr>
  </w:style>
  <w:style w:type="paragraph" w:customStyle="1" w:styleId="FindingsConclusions">
    <w:name w:val="Findings &amp; Conclusions"/>
    <w:basedOn w:val="Normal"/>
    <w:rsid w:val="000B3609"/>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0B3609"/>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0B3609"/>
    <w:rPr>
      <w:rFonts w:ascii="Palatino Linotype" w:eastAsia="Times New Roman" w:hAnsi="Palatino Linotype" w:cs="Times New Roman"/>
      <w:sz w:val="20"/>
      <w:szCs w:val="20"/>
    </w:rPr>
  </w:style>
  <w:style w:type="character" w:styleId="FootnoteReference">
    <w:name w:val="footnote reference"/>
    <w:semiHidden/>
    <w:rsid w:val="000B3609"/>
    <w:rPr>
      <w:vertAlign w:val="superscript"/>
    </w:rPr>
  </w:style>
  <w:style w:type="character" w:styleId="Hyperlink">
    <w:name w:val="Hyperlink"/>
    <w:rsid w:val="000B3609"/>
    <w:rPr>
      <w:color w:val="0000FF"/>
      <w:u w:val="single"/>
    </w:rPr>
  </w:style>
  <w:style w:type="paragraph" w:styleId="ListParagraph">
    <w:name w:val="List Paragraph"/>
    <w:basedOn w:val="Normal"/>
    <w:uiPriority w:val="34"/>
    <w:qFormat/>
    <w:rsid w:val="000B3609"/>
    <w:pPr>
      <w:ind w:left="720"/>
    </w:pPr>
  </w:style>
  <w:style w:type="paragraph" w:styleId="Footer">
    <w:name w:val="footer"/>
    <w:basedOn w:val="Normal"/>
    <w:link w:val="FooterChar"/>
    <w:uiPriority w:val="99"/>
    <w:unhideWhenUsed/>
    <w:rsid w:val="000B3609"/>
    <w:pPr>
      <w:tabs>
        <w:tab w:val="center" w:pos="4680"/>
        <w:tab w:val="right" w:pos="9360"/>
      </w:tabs>
    </w:pPr>
  </w:style>
  <w:style w:type="character" w:customStyle="1" w:styleId="FooterChar">
    <w:name w:val="Footer Char"/>
    <w:basedOn w:val="DefaultParagraphFont"/>
    <w:link w:val="Footer"/>
    <w:uiPriority w:val="99"/>
    <w:rsid w:val="000B36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3B52"/>
    <w:rPr>
      <w:rFonts w:ascii="Tahoma" w:hAnsi="Tahoma" w:cs="Tahoma"/>
      <w:sz w:val="16"/>
      <w:szCs w:val="16"/>
    </w:rPr>
  </w:style>
  <w:style w:type="character" w:customStyle="1" w:styleId="BalloonTextChar">
    <w:name w:val="Balloon Text Char"/>
    <w:basedOn w:val="DefaultParagraphFont"/>
    <w:link w:val="BalloonText"/>
    <w:uiPriority w:val="99"/>
    <w:semiHidden/>
    <w:rsid w:val="002B3B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DE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B3609"/>
    <w:pPr>
      <w:keepNext/>
      <w:jc w:val="center"/>
      <w:outlineLvl w:val="1"/>
    </w:pPr>
    <w:rPr>
      <w:u w:val="single"/>
    </w:rPr>
  </w:style>
  <w:style w:type="paragraph" w:styleId="Heading3">
    <w:name w:val="heading 3"/>
    <w:basedOn w:val="Normal"/>
    <w:next w:val="Normal"/>
    <w:link w:val="Heading3Char"/>
    <w:qFormat/>
    <w:rsid w:val="000B3609"/>
    <w:pPr>
      <w:keepNext/>
      <w:jc w:val="center"/>
      <w:outlineLvl w:val="2"/>
    </w:pPr>
    <w:rPr>
      <w:rFonts w:ascii="Palatino Linotype" w:hAnsi="Palatino Linotype"/>
      <w:b/>
      <w:bCs/>
    </w:rPr>
  </w:style>
  <w:style w:type="paragraph" w:styleId="Heading4">
    <w:name w:val="heading 4"/>
    <w:basedOn w:val="Normal"/>
    <w:next w:val="Normal"/>
    <w:link w:val="Heading4Char"/>
    <w:qFormat/>
    <w:rsid w:val="000B360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3609"/>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0B3609"/>
    <w:rPr>
      <w:rFonts w:ascii="Palatino Linotype" w:eastAsia="Times New Roman" w:hAnsi="Palatino Linotype" w:cs="Times New Roman"/>
      <w:b/>
      <w:bCs/>
      <w:sz w:val="24"/>
      <w:szCs w:val="24"/>
    </w:rPr>
  </w:style>
  <w:style w:type="character" w:customStyle="1" w:styleId="Heading4Char">
    <w:name w:val="Heading 4 Char"/>
    <w:basedOn w:val="DefaultParagraphFont"/>
    <w:link w:val="Heading4"/>
    <w:rsid w:val="000B3609"/>
    <w:rPr>
      <w:rFonts w:ascii="Times New Roman" w:eastAsia="Times New Roman" w:hAnsi="Times New Roman" w:cs="Times New Roman"/>
      <w:b/>
      <w:bCs/>
      <w:sz w:val="28"/>
      <w:szCs w:val="28"/>
    </w:rPr>
  </w:style>
  <w:style w:type="paragraph" w:styleId="Header">
    <w:name w:val="header"/>
    <w:basedOn w:val="Normal"/>
    <w:link w:val="HeaderChar"/>
    <w:uiPriority w:val="99"/>
    <w:rsid w:val="000B3609"/>
    <w:pPr>
      <w:tabs>
        <w:tab w:val="center" w:pos="4320"/>
        <w:tab w:val="right" w:pos="8640"/>
      </w:tabs>
    </w:pPr>
  </w:style>
  <w:style w:type="character" w:customStyle="1" w:styleId="HeaderChar">
    <w:name w:val="Header Char"/>
    <w:basedOn w:val="DefaultParagraphFont"/>
    <w:link w:val="Header"/>
    <w:uiPriority w:val="99"/>
    <w:rsid w:val="000B3609"/>
    <w:rPr>
      <w:rFonts w:ascii="Times New Roman" w:eastAsia="Times New Roman" w:hAnsi="Times New Roman" w:cs="Times New Roman"/>
      <w:sz w:val="24"/>
      <w:szCs w:val="24"/>
    </w:rPr>
  </w:style>
  <w:style w:type="character" w:styleId="PageNumber">
    <w:name w:val="page number"/>
    <w:basedOn w:val="DefaultParagraphFont"/>
    <w:rsid w:val="000B3609"/>
  </w:style>
  <w:style w:type="paragraph" w:styleId="BodyText">
    <w:name w:val="Body Text"/>
    <w:basedOn w:val="Normal"/>
    <w:link w:val="BodyTextChar"/>
    <w:rsid w:val="000B3609"/>
    <w:pPr>
      <w:jc w:val="center"/>
    </w:pPr>
  </w:style>
  <w:style w:type="character" w:customStyle="1" w:styleId="BodyTextChar">
    <w:name w:val="Body Text Char"/>
    <w:basedOn w:val="DefaultParagraphFont"/>
    <w:link w:val="BodyText"/>
    <w:rsid w:val="000B3609"/>
    <w:rPr>
      <w:rFonts w:ascii="Times New Roman" w:eastAsia="Times New Roman" w:hAnsi="Times New Roman" w:cs="Times New Roman"/>
      <w:sz w:val="24"/>
      <w:szCs w:val="24"/>
    </w:rPr>
  </w:style>
  <w:style w:type="paragraph" w:customStyle="1" w:styleId="FindingsConclusions">
    <w:name w:val="Findings &amp; Conclusions"/>
    <w:basedOn w:val="Normal"/>
    <w:rsid w:val="000B3609"/>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0B3609"/>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0B3609"/>
    <w:rPr>
      <w:rFonts w:ascii="Palatino Linotype" w:eastAsia="Times New Roman" w:hAnsi="Palatino Linotype" w:cs="Times New Roman"/>
      <w:sz w:val="20"/>
      <w:szCs w:val="20"/>
    </w:rPr>
  </w:style>
  <w:style w:type="character" w:styleId="FootnoteReference">
    <w:name w:val="footnote reference"/>
    <w:semiHidden/>
    <w:rsid w:val="000B3609"/>
    <w:rPr>
      <w:vertAlign w:val="superscript"/>
    </w:rPr>
  </w:style>
  <w:style w:type="character" w:styleId="Hyperlink">
    <w:name w:val="Hyperlink"/>
    <w:rsid w:val="000B3609"/>
    <w:rPr>
      <w:color w:val="0000FF"/>
      <w:u w:val="single"/>
    </w:rPr>
  </w:style>
  <w:style w:type="paragraph" w:styleId="ListParagraph">
    <w:name w:val="List Paragraph"/>
    <w:basedOn w:val="Normal"/>
    <w:uiPriority w:val="34"/>
    <w:qFormat/>
    <w:rsid w:val="000B3609"/>
    <w:pPr>
      <w:ind w:left="720"/>
    </w:pPr>
  </w:style>
  <w:style w:type="paragraph" w:styleId="Footer">
    <w:name w:val="footer"/>
    <w:basedOn w:val="Normal"/>
    <w:link w:val="FooterChar"/>
    <w:uiPriority w:val="99"/>
    <w:unhideWhenUsed/>
    <w:rsid w:val="000B3609"/>
    <w:pPr>
      <w:tabs>
        <w:tab w:val="center" w:pos="4680"/>
        <w:tab w:val="right" w:pos="9360"/>
      </w:tabs>
    </w:pPr>
  </w:style>
  <w:style w:type="character" w:customStyle="1" w:styleId="FooterChar">
    <w:name w:val="Footer Char"/>
    <w:basedOn w:val="DefaultParagraphFont"/>
    <w:link w:val="Footer"/>
    <w:uiPriority w:val="99"/>
    <w:rsid w:val="000B36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3B52"/>
    <w:rPr>
      <w:rFonts w:ascii="Tahoma" w:hAnsi="Tahoma" w:cs="Tahoma"/>
      <w:sz w:val="16"/>
      <w:szCs w:val="16"/>
    </w:rPr>
  </w:style>
  <w:style w:type="character" w:customStyle="1" w:styleId="BalloonTextChar">
    <w:name w:val="Balloon Text Char"/>
    <w:basedOn w:val="DefaultParagraphFont"/>
    <w:link w:val="BalloonText"/>
    <w:uiPriority w:val="99"/>
    <w:semiHidden/>
    <w:rsid w:val="002B3B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2012-06-01T07:00:00+00:00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0DD6C3F-4955-4994-B6A3-F46483101709}"/>
</file>

<file path=customXml/itemProps2.xml><?xml version="1.0" encoding="utf-8"?>
<ds:datastoreItem xmlns:ds="http://schemas.openxmlformats.org/officeDocument/2006/customXml" ds:itemID="{97048BED-598C-462A-934D-A146930ED61C}"/>
</file>

<file path=customXml/itemProps3.xml><?xml version="1.0" encoding="utf-8"?>
<ds:datastoreItem xmlns:ds="http://schemas.openxmlformats.org/officeDocument/2006/customXml" ds:itemID="{83592B75-86A7-4E2B-B126-5FB98C004BBE}"/>
</file>

<file path=customXml/itemProps4.xml><?xml version="1.0" encoding="utf-8"?>
<ds:datastoreItem xmlns:ds="http://schemas.openxmlformats.org/officeDocument/2006/customXml" ds:itemID="{4EF1A448-B0AB-418A-9F17-B09ACA460993}"/>
</file>

<file path=customXml/itemProps5.xml><?xml version="1.0" encoding="utf-8"?>
<ds:datastoreItem xmlns:ds="http://schemas.openxmlformats.org/officeDocument/2006/customXml" ds:itemID="{6DB207BE-74CD-473D-AF50-17D67A70EF05}"/>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2012-06-01T15:24:00Z</dcterms:created>
  <dcterms:modified xsi:type="dcterms:W3CDTF">2012-06-01T15:24:00Z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