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ind w:left="4320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EXHIBIT NO. ___(MBM-3)</w:t>
      </w:r>
      <w:r>
        <w:rPr>
          <w:rFonts w:eastAsia="SimSun"/>
          <w:b/>
          <w:lang w:eastAsia="zh-CN"/>
        </w:rPr>
        <w:br/>
        <w:t>DOCKETS UE</w:t>
      </w:r>
      <w:r>
        <w:rPr>
          <w:rFonts w:eastAsia="SimSun"/>
          <w:b/>
          <w:lang w:eastAsia="zh-CN"/>
        </w:rPr>
        <w:noBreakHyphen/>
        <w:t>151871/UG-151872</w:t>
      </w:r>
      <w:r>
        <w:rPr>
          <w:rFonts w:eastAsia="SimSun"/>
          <w:b/>
          <w:lang w:eastAsia="zh-CN"/>
        </w:rPr>
        <w:br/>
        <w:t xml:space="preserve">PSE EQUIPMENT LEASING SERVICE </w:t>
      </w:r>
      <w:r>
        <w:rPr>
          <w:rFonts w:eastAsia="SimSun"/>
          <w:b/>
          <w:lang w:eastAsia="zh-CN"/>
        </w:rPr>
        <w:br/>
        <w:t>WITNESS:  </w:t>
      </w:r>
      <w:r>
        <w:rPr>
          <w:rFonts w:eastAsia="SimSun"/>
          <w:b/>
          <w:sz w:val="22"/>
          <w:szCs w:val="22"/>
          <w:lang w:eastAsia="zh-CN"/>
        </w:rPr>
        <w:t>MALCOLM B. MCCULLOCH</w:t>
      </w: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tabs>
          <w:tab w:val="left" w:pos="6480"/>
        </w:tabs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BEFORE THE</w:t>
      </w:r>
    </w:p>
    <w:p>
      <w:pPr>
        <w:widowControl w:val="0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WASHINGTON UTILITIES AND TRANSPORTATION COMMISSION</w:t>
      </w: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240" w:lineRule="exact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WASHINGTON UTILITIES AND</w:t>
            </w:r>
          </w:p>
          <w:p>
            <w:pPr>
              <w:widowControl w:val="0"/>
              <w:spacing w:line="240" w:lineRule="exact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TRANSPORTATION COMMISSION,</w:t>
            </w:r>
          </w:p>
          <w:p>
            <w:pPr>
              <w:widowControl w:val="0"/>
              <w:spacing w:line="240" w:lineRule="exact"/>
              <w:rPr>
                <w:rFonts w:eastAsia="SimSun"/>
                <w:b/>
                <w:lang w:eastAsia="zh-CN"/>
              </w:rPr>
            </w:pPr>
          </w:p>
          <w:p>
            <w:pPr>
              <w:widowControl w:val="0"/>
              <w:tabs>
                <w:tab w:val="left" w:pos="2168"/>
                <w:tab w:val="left" w:pos="4550"/>
              </w:tabs>
              <w:spacing w:line="240" w:lineRule="exact"/>
              <w:ind w:right="360"/>
              <w:jc w:val="right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Complainant,</w:t>
            </w:r>
          </w:p>
          <w:p>
            <w:pPr>
              <w:widowControl w:val="0"/>
              <w:spacing w:line="240" w:lineRule="exact"/>
              <w:rPr>
                <w:rFonts w:eastAsia="SimSun"/>
                <w:b/>
                <w:lang w:eastAsia="zh-CN"/>
              </w:rPr>
            </w:pPr>
          </w:p>
          <w:p>
            <w:pPr>
              <w:widowControl w:val="0"/>
              <w:spacing w:line="240" w:lineRule="exact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ab/>
              <w:t>v.</w:t>
            </w:r>
          </w:p>
          <w:p>
            <w:pPr>
              <w:widowControl w:val="0"/>
              <w:spacing w:line="240" w:lineRule="exact"/>
              <w:rPr>
                <w:rFonts w:eastAsia="SimSun"/>
                <w:b/>
                <w:lang w:eastAsia="zh-CN"/>
              </w:rPr>
            </w:pPr>
          </w:p>
          <w:p>
            <w:pPr>
              <w:widowControl w:val="0"/>
              <w:spacing w:line="240" w:lineRule="exact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PUGET SOUND ENERGY,</w:t>
            </w:r>
          </w:p>
          <w:p>
            <w:pPr>
              <w:widowControl w:val="0"/>
              <w:spacing w:line="240" w:lineRule="exact"/>
              <w:rPr>
                <w:rFonts w:eastAsia="SimSun"/>
                <w:b/>
                <w:lang w:eastAsia="zh-CN"/>
              </w:rPr>
            </w:pPr>
          </w:p>
          <w:p>
            <w:pPr>
              <w:widowControl w:val="0"/>
              <w:tabs>
                <w:tab w:val="left" w:pos="2168"/>
              </w:tabs>
              <w:spacing w:line="240" w:lineRule="exact"/>
              <w:ind w:right="360"/>
              <w:jc w:val="right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Respondent.</w:t>
            </w:r>
          </w:p>
          <w:p>
            <w:pPr>
              <w:widowControl w:val="0"/>
              <w:tabs>
                <w:tab w:val="left" w:pos="1440"/>
              </w:tabs>
              <w:spacing w:line="240" w:lineRule="exact"/>
              <w:rPr>
                <w:rFonts w:eastAsia="SimSun"/>
                <w:b/>
                <w:lang w:eastAsia="zh-CN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>
            <w:pPr>
              <w:widowControl w:val="0"/>
              <w:rPr>
                <w:rFonts w:eastAsia="Times New Roman"/>
                <w:b/>
              </w:rPr>
            </w:pPr>
          </w:p>
        </w:tc>
        <w:tc>
          <w:tcPr>
            <w:tcW w:w="4423" w:type="dxa"/>
            <w:vAlign w:val="center"/>
          </w:tcPr>
          <w:p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Dockets</w:t>
            </w:r>
            <w:r>
              <w:rPr>
                <w:rFonts w:eastAsia="SimSun"/>
                <w:b/>
                <w:lang w:eastAsia="zh-CN"/>
              </w:rPr>
              <w:tab/>
              <w:t>UE-151871</w:t>
            </w:r>
          </w:p>
          <w:p>
            <w:pPr>
              <w:widowControl w:val="0"/>
              <w:tabs>
                <w:tab w:val="left" w:pos="1076"/>
                <w:tab w:val="left" w:pos="1605"/>
              </w:tabs>
              <w:spacing w:line="240" w:lineRule="exact"/>
              <w:ind w:left="198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ab/>
              <w:t>UG-151872</w:t>
            </w:r>
          </w:p>
          <w:p>
            <w:pPr>
              <w:widowControl w:val="0"/>
              <w:spacing w:line="240" w:lineRule="exact"/>
              <w:ind w:left="198"/>
              <w:rPr>
                <w:rFonts w:eastAsia="SimSun"/>
                <w:b/>
                <w:lang w:eastAsia="zh-CN"/>
              </w:rPr>
            </w:pPr>
          </w:p>
        </w:tc>
      </w:tr>
    </w:tbl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SECOND EXHIBIT TO THE PREFILED DIRECT TESTIMONY OF</w:t>
      </w:r>
    </w:p>
    <w:p>
      <w:pPr>
        <w:widowControl w:val="0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MALCOLM B. MCCULLOCH</w:t>
      </w:r>
    </w:p>
    <w:p>
      <w:pPr>
        <w:widowControl w:val="0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ON BEHALF OF PUGET SOUND ENERGY</w:t>
      </w: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SimSun"/>
          <w:b/>
          <w:lang w:eastAsia="zh-CN"/>
        </w:rPr>
      </w:pPr>
    </w:p>
    <w:p>
      <w:pPr>
        <w:widowControl w:val="0"/>
        <w:jc w:val="center"/>
        <w:rPr>
          <w:rFonts w:eastAsia="Times New Roman"/>
          <w:b/>
        </w:rPr>
        <w:sectPr>
          <w:headerReference w:type="default" r:id="rId8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rFonts w:eastAsia="Times New Roman"/>
          <w:b/>
        </w:rPr>
        <w:t>February 25, 2016</w:t>
      </w:r>
    </w:p>
    <w:p>
      <w:pPr>
        <w:widowControl w:val="0"/>
        <w:spacing w:line="480" w:lineRule="auto"/>
        <w:ind w:left="720"/>
        <w:contextualSpacing/>
        <w:jc w:val="center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lastRenderedPageBreak/>
        <w:t>Figure 1 – Residential Space Heat Market Segmentation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9576"/>
      </w:tblGrid>
      <w:tr>
        <w:tc>
          <w:tcPr>
            <w:tcW w:w="9576" w:type="dxa"/>
            <w:shd w:val="clear" w:color="auto" w:fill="auto"/>
          </w:tcPr>
          <w:p>
            <w:pPr>
              <w:spacing w:before="60" w:line="480" w:lineRule="auto"/>
              <w:jc w:val="center"/>
              <w:rPr>
                <w:rFonts w:ascii="Calibri" w:eastAsia="Times New Roman" w:hAnsi="Calibri"/>
                <w:noProof/>
                <w:szCs w:val="22"/>
                <w:lang w:bidi="en-US"/>
              </w:rPr>
            </w:pPr>
            <w:r>
              <w:rPr>
                <w:rFonts w:ascii="Calibri" w:eastAsia="Times New Roman" w:hAnsi="Calibri"/>
                <w:noProof/>
                <w:szCs w:val="22"/>
              </w:rPr>
              <w:drawing>
                <wp:inline distT="0" distB="0" distL="0" distR="0">
                  <wp:extent cx="4754880" cy="3353816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3-1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335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</w:pPr>
    </w:p>
    <w:p>
      <w:pPr>
        <w:widowControl w:val="0"/>
        <w:spacing w:line="480" w:lineRule="auto"/>
        <w:ind w:left="720"/>
        <w:contextualSpacing/>
        <w:jc w:val="center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Figure 2 – Residential Water Heat Market Segmentation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9576"/>
      </w:tblGrid>
      <w:tr>
        <w:tc>
          <w:tcPr>
            <w:tcW w:w="9576" w:type="dxa"/>
            <w:shd w:val="clear" w:color="auto" w:fill="auto"/>
          </w:tcPr>
          <w:p>
            <w:pPr>
              <w:spacing w:before="60" w:line="480" w:lineRule="auto"/>
              <w:jc w:val="center"/>
              <w:rPr>
                <w:rFonts w:ascii="Calibri" w:eastAsia="Times New Roman" w:hAnsi="Calibri"/>
                <w:noProof/>
                <w:szCs w:val="22"/>
                <w:lang w:bidi="en-US"/>
              </w:rPr>
            </w:pPr>
            <w:r>
              <w:rPr>
                <w:rFonts w:ascii="Calibri" w:eastAsia="Times New Roman" w:hAnsi="Calibri"/>
                <w:noProof/>
                <w:szCs w:val="22"/>
              </w:rPr>
              <w:drawing>
                <wp:inline distT="0" distB="0" distL="0" distR="0">
                  <wp:extent cx="4754880" cy="3250692"/>
                  <wp:effectExtent l="0" t="0" r="762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3-2.t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325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</w:pPr>
      <w:bookmarkStart w:id="0" w:name="_GoBack"/>
      <w:bookmarkEnd w:id="0"/>
    </w:p>
    <w:p>
      <w:pPr>
        <w:widowControl w:val="0"/>
        <w:spacing w:line="480" w:lineRule="auto"/>
        <w:ind w:left="720"/>
        <w:contextualSpacing/>
        <w:jc w:val="center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Figure 3 – Commercial Water Heat Market Segmentation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9576"/>
      </w:tblGrid>
      <w:tr>
        <w:tc>
          <w:tcPr>
            <w:tcW w:w="9576" w:type="dxa"/>
            <w:shd w:val="clear" w:color="auto" w:fill="auto"/>
          </w:tcPr>
          <w:p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54880" cy="349170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 3-3.t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0" cy="349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jc w:val="center"/>
      </w:pPr>
    </w:p>
    <w:p>
      <w:pPr>
        <w:pStyle w:val="BodyText"/>
      </w:pPr>
    </w:p>
    <w:p>
      <w:pPr>
        <w:pStyle w:val="BodyText"/>
      </w:pPr>
    </w:p>
    <w:sectPr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noProof/>
      </w:rPr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noProof/>
      </w:rPr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7728" behindDoc="0" locked="0" layoutInCell="0" allowOverlap="1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Dn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yVWQ5x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1|%cm"/>
    <w:docVar w:name="MPDocID" w:val="LEGAL130007787.1"/>
    <w:docVar w:name="MPDocIDTemplate" w:val="%c-|%m/|%l|%n|.%v"/>
    <w:docVar w:name="MPDocIDTemplateDefault" w:val="%c-|%m/|%n|.%v"/>
    <w:docVar w:name="NewDocStampType" w:val="7"/>
    <w:docVar w:name="zzmpFixed_MacPacVersion" w:val="9.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</w:pPr>
    <w:rPr>
      <w:rFonts w:eastAsia="Times New Roman"/>
    </w:rPr>
  </w:style>
  <w:style w:type="character" w:customStyle="1" w:styleId="BodyTextChar">
    <w:name w:val="Body Text Char"/>
    <w:link w:val="BodyText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rPr>
      <w:szCs w:val="20"/>
    </w:rPr>
  </w:style>
  <w:style w:type="paragraph" w:customStyle="1" w:styleId="BTIndent">
    <w:name w:val="BT Indent"/>
    <w:basedOn w:val="BodyText"/>
    <w:pPr>
      <w:ind w:left="720"/>
    </w:pPr>
  </w:style>
  <w:style w:type="paragraph" w:customStyle="1" w:styleId="Table">
    <w:name w:val="Table"/>
    <w:basedOn w:val="Normal"/>
    <w:pPr>
      <w:spacing w:before="60" w:after="60" w:line="240" w:lineRule="exact"/>
    </w:pPr>
    <w:rPr>
      <w:rFonts w:eastAsia="Times New Roman"/>
    </w:rPr>
  </w:style>
  <w:style w:type="paragraph" w:styleId="Quote">
    <w:name w:val="Quote"/>
    <w:basedOn w:val="Normal"/>
    <w:next w:val="BodyTextContinued"/>
    <w:link w:val="QuoteChar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link w:val="Quote"/>
    <w:rPr>
      <w:szCs w:val="20"/>
    </w:rPr>
  </w:style>
  <w:style w:type="paragraph" w:customStyle="1" w:styleId="ResH1">
    <w:name w:val="Res H1"/>
    <w:basedOn w:val="Heading2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ResH2">
    <w:name w:val="Res H2"/>
    <w:basedOn w:val="Heading3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bCs/>
      <w:color w:val="4F81BD"/>
    </w:rPr>
  </w:style>
  <w:style w:type="paragraph" w:customStyle="1" w:styleId="Resolution">
    <w:name w:val="Resolution"/>
    <w:basedOn w:val="NormalIndent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BodyText"/>
    <w:next w:val="BodyText"/>
    <w:link w:val="TitleChar"/>
    <w:qFormat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link w:val="Title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odyTextIndent">
    <w:name w:val="Body Text Indent"/>
    <w:basedOn w:val="BodyText"/>
    <w:link w:val="BodyTextIndentChar"/>
    <w:pPr>
      <w:ind w:left="720"/>
    </w:pPr>
  </w:style>
  <w:style w:type="character" w:customStyle="1" w:styleId="BodyTextIndentChar">
    <w:name w:val="Body Text Indent Char"/>
    <w:link w:val="BodyTextIndent"/>
    <w:rPr>
      <w:rFonts w:eastAsia="Times New Roman" w:cs="Times New Roman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Emphasis">
    <w:name w:val="Emphasis"/>
    <w:qFormat/>
    <w:rPr>
      <w:i/>
      <w:iCs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BookTitle">
    <w:name w:val="Book Title"/>
    <w:qFormat/>
    <w:rPr>
      <w:b/>
      <w:bCs/>
      <w:smallCaps/>
      <w:spacing w:val="5"/>
    </w:rPr>
  </w:style>
  <w:style w:type="paragraph" w:styleId="NoSpacing">
    <w:name w:val="No Spacing"/>
    <w:qFormat/>
    <w:rPr>
      <w:sz w:val="24"/>
      <w:szCs w:val="24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sz w:val="20"/>
      <w:szCs w:val="20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rPr>
      <w:vanish w:val="0"/>
      <w:color w:val="80808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</w:pPr>
    <w:rPr>
      <w:rFonts w:eastAsia="Times New Roman"/>
    </w:rPr>
  </w:style>
  <w:style w:type="character" w:customStyle="1" w:styleId="BodyTextChar">
    <w:name w:val="Body Text Char"/>
    <w:link w:val="BodyText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rPr>
      <w:szCs w:val="20"/>
    </w:rPr>
  </w:style>
  <w:style w:type="paragraph" w:customStyle="1" w:styleId="BTIndent">
    <w:name w:val="BT Indent"/>
    <w:basedOn w:val="BodyText"/>
    <w:pPr>
      <w:ind w:left="720"/>
    </w:pPr>
  </w:style>
  <w:style w:type="paragraph" w:customStyle="1" w:styleId="Table">
    <w:name w:val="Table"/>
    <w:basedOn w:val="Normal"/>
    <w:pPr>
      <w:spacing w:before="60" w:after="60" w:line="240" w:lineRule="exact"/>
    </w:pPr>
    <w:rPr>
      <w:rFonts w:eastAsia="Times New Roman"/>
    </w:rPr>
  </w:style>
  <w:style w:type="paragraph" w:styleId="Quote">
    <w:name w:val="Quote"/>
    <w:basedOn w:val="Normal"/>
    <w:next w:val="BodyTextContinued"/>
    <w:link w:val="QuoteChar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link w:val="Quote"/>
    <w:rPr>
      <w:szCs w:val="20"/>
    </w:rPr>
  </w:style>
  <w:style w:type="paragraph" w:customStyle="1" w:styleId="ResH1">
    <w:name w:val="Res H1"/>
    <w:basedOn w:val="Heading2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ResH2">
    <w:name w:val="Res H2"/>
    <w:basedOn w:val="Heading3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bCs/>
      <w:color w:val="4F81BD"/>
    </w:rPr>
  </w:style>
  <w:style w:type="paragraph" w:customStyle="1" w:styleId="Resolution">
    <w:name w:val="Resolution"/>
    <w:basedOn w:val="NormalIndent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BodyText"/>
    <w:next w:val="BodyText"/>
    <w:link w:val="TitleChar"/>
    <w:qFormat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link w:val="Title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odyTextIndent">
    <w:name w:val="Body Text Indent"/>
    <w:basedOn w:val="BodyText"/>
    <w:link w:val="BodyTextIndentChar"/>
    <w:pPr>
      <w:ind w:left="720"/>
    </w:pPr>
  </w:style>
  <w:style w:type="character" w:customStyle="1" w:styleId="BodyTextIndentChar">
    <w:name w:val="Body Text Indent Char"/>
    <w:link w:val="BodyTextIndent"/>
    <w:rPr>
      <w:rFonts w:eastAsia="Times New Roman" w:cs="Times New Roman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Emphasis">
    <w:name w:val="Emphasis"/>
    <w:qFormat/>
    <w:rPr>
      <w:i/>
      <w:iCs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BookTitle">
    <w:name w:val="Book Title"/>
    <w:qFormat/>
    <w:rPr>
      <w:b/>
      <w:bCs/>
      <w:smallCaps/>
      <w:spacing w:val="5"/>
    </w:rPr>
  </w:style>
  <w:style w:type="paragraph" w:styleId="NoSpacing">
    <w:name w:val="No Spacing"/>
    <w:qFormat/>
    <w:rPr>
      <w:sz w:val="24"/>
      <w:szCs w:val="24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sz w:val="20"/>
      <w:szCs w:val="20"/>
    </w:rPr>
  </w:style>
  <w:style w:type="character" w:styleId="CommentReference">
    <w:name w:val="annotation reference"/>
    <w:rPr>
      <w:rFonts w:ascii="Univers (WN)" w:hAnsi="Univers (WN)"/>
      <w:position w:val="4"/>
      <w:sz w:val="16"/>
      <w:u w:val="doub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rPr>
      <w:vanish w:val="0"/>
      <w:color w:val="80808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ti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ti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EB4EE3-A4CA-4D0E-A57F-BA62F0A4AEA7}"/>
</file>

<file path=customXml/itemProps2.xml><?xml version="1.0" encoding="utf-8"?>
<ds:datastoreItem xmlns:ds="http://schemas.openxmlformats.org/officeDocument/2006/customXml" ds:itemID="{063021F2-B936-46CA-AB6C-090F8FC58DDD}"/>
</file>

<file path=customXml/itemProps3.xml><?xml version="1.0" encoding="utf-8"?>
<ds:datastoreItem xmlns:ds="http://schemas.openxmlformats.org/officeDocument/2006/customXml" ds:itemID="{ECDD4251-74DC-4255-B95E-FA899F85AEB8}"/>
</file>

<file path=customXml/itemProps4.xml><?xml version="1.0" encoding="utf-8"?>
<ds:datastoreItem xmlns:ds="http://schemas.openxmlformats.org/officeDocument/2006/customXml" ds:itemID="{D6746F35-3FC7-467F-BEAC-08779F922B63}"/>
</file>

<file path=customXml/itemProps5.xml><?xml version="1.0" encoding="utf-8"?>
<ds:datastoreItem xmlns:ds="http://schemas.openxmlformats.org/officeDocument/2006/customXml" ds:itemID="{55ABB67E-87DA-4DBA-9A26-979923079E98}"/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13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Perkins Coie LLP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6</cp:revision>
  <cp:lastPrinted>2016-02-25T19:26:00Z</cp:lastPrinted>
  <dcterms:created xsi:type="dcterms:W3CDTF">2016-02-25T17:25:00Z</dcterms:created>
  <dcterms:modified xsi:type="dcterms:W3CDTF">2016-02-25T23:20:00Z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ABAAVOAfoSrQoyyY/MsWzuOXDMyKaxbbjMeCZBbK7b0YYNgCyijYM5Cwz0VxkL6ZKp3R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