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6B935" w14:textId="77777777" w:rsidR="00244353" w:rsidRPr="006C0397" w:rsidRDefault="00244353">
      <w:pPr>
        <w:pStyle w:val="Title"/>
        <w:rPr>
          <w:rFonts w:ascii="Times New Roman" w:hAnsi="Times New Roman"/>
        </w:rPr>
      </w:pPr>
      <w:r w:rsidRPr="006C0397">
        <w:rPr>
          <w:rFonts w:ascii="Times New Roman" w:hAnsi="Times New Roman"/>
        </w:rPr>
        <w:t>BEFORE THE WASHINGTON</w:t>
      </w:r>
      <w:bookmarkStart w:id="0" w:name="_GoBack"/>
      <w:bookmarkEnd w:id="0"/>
    </w:p>
    <w:p w14:paraId="4A7BD8AE" w14:textId="77777777" w:rsidR="00244353" w:rsidRPr="006C0397" w:rsidRDefault="00244353">
      <w:pPr>
        <w:pStyle w:val="Heading2"/>
        <w:rPr>
          <w:rFonts w:ascii="Times New Roman" w:hAnsi="Times New Roman"/>
        </w:rPr>
      </w:pPr>
      <w:r w:rsidRPr="006C0397">
        <w:rPr>
          <w:rFonts w:ascii="Times New Roman" w:hAnsi="Times New Roman"/>
        </w:rPr>
        <w:t>UTILITIES AND TRANSPORTATION COMMISSION</w:t>
      </w:r>
    </w:p>
    <w:p w14:paraId="0C346E6B" w14:textId="77777777" w:rsidR="00DF75E1" w:rsidRPr="006C0397" w:rsidRDefault="00DF75E1">
      <w:pPr>
        <w:rPr>
          <w:rFonts w:ascii="Times New Roman" w:hAnsi="Times New Roman"/>
        </w:rPr>
      </w:pPr>
    </w:p>
    <w:tbl>
      <w:tblPr>
        <w:tblW w:w="0" w:type="auto"/>
        <w:tblLook w:val="0000" w:firstRow="0" w:lastRow="0" w:firstColumn="0" w:lastColumn="0" w:noHBand="0" w:noVBand="0"/>
      </w:tblPr>
      <w:tblGrid>
        <w:gridCol w:w="4214"/>
        <w:gridCol w:w="356"/>
        <w:gridCol w:w="4070"/>
      </w:tblGrid>
      <w:tr w:rsidR="00244353" w:rsidRPr="006C0397" w14:paraId="484AD6D9" w14:textId="77777777">
        <w:tc>
          <w:tcPr>
            <w:tcW w:w="4248" w:type="dxa"/>
          </w:tcPr>
          <w:p w14:paraId="527CC53A" w14:textId="77777777" w:rsidR="00244353" w:rsidRPr="006C0397" w:rsidRDefault="005D0A12">
            <w:pPr>
              <w:tabs>
                <w:tab w:val="left" w:pos="2160"/>
              </w:tabs>
              <w:rPr>
                <w:rFonts w:ascii="Times New Roman" w:hAnsi="Times New Roman"/>
                <w:bCs/>
              </w:rPr>
            </w:pPr>
            <w:r w:rsidRPr="006C0397">
              <w:rPr>
                <w:rFonts w:ascii="Times New Roman" w:hAnsi="Times New Roman"/>
                <w:bCs/>
              </w:rPr>
              <w:t>WALLA WALLA COUNTRY CLUB</w:t>
            </w:r>
            <w:r w:rsidR="000B2D05" w:rsidRPr="006C0397">
              <w:rPr>
                <w:rFonts w:ascii="Times New Roman" w:hAnsi="Times New Roman"/>
                <w:bCs/>
              </w:rPr>
              <w:t>,</w:t>
            </w:r>
          </w:p>
          <w:p w14:paraId="17A7316B" w14:textId="77777777" w:rsidR="000B2D05" w:rsidRPr="006C0397" w:rsidRDefault="000B2D05">
            <w:pPr>
              <w:tabs>
                <w:tab w:val="left" w:pos="2160"/>
              </w:tabs>
              <w:rPr>
                <w:rFonts w:ascii="Times New Roman" w:hAnsi="Times New Roman"/>
                <w:bCs/>
              </w:rPr>
            </w:pPr>
          </w:p>
          <w:p w14:paraId="041F8634" w14:textId="77777777" w:rsidR="000B2D05" w:rsidRPr="006C0397" w:rsidRDefault="000B2D05">
            <w:pPr>
              <w:tabs>
                <w:tab w:val="left" w:pos="2160"/>
              </w:tabs>
              <w:rPr>
                <w:rFonts w:ascii="Times New Roman" w:hAnsi="Times New Roman"/>
                <w:bCs/>
              </w:rPr>
            </w:pPr>
            <w:r w:rsidRPr="006C0397">
              <w:rPr>
                <w:rFonts w:ascii="Times New Roman" w:hAnsi="Times New Roman"/>
                <w:bCs/>
              </w:rPr>
              <w:tab/>
              <w:t>Complainant,</w:t>
            </w:r>
          </w:p>
          <w:p w14:paraId="486C326F" w14:textId="77777777" w:rsidR="000B2D05" w:rsidRPr="006C0397" w:rsidRDefault="000B2D05">
            <w:pPr>
              <w:tabs>
                <w:tab w:val="left" w:pos="2160"/>
              </w:tabs>
              <w:rPr>
                <w:rFonts w:ascii="Times New Roman" w:hAnsi="Times New Roman"/>
                <w:bCs/>
              </w:rPr>
            </w:pPr>
          </w:p>
          <w:p w14:paraId="79D7B957" w14:textId="77777777" w:rsidR="000B2D05" w:rsidRPr="006C0397" w:rsidRDefault="000B2D05">
            <w:pPr>
              <w:tabs>
                <w:tab w:val="left" w:pos="2160"/>
              </w:tabs>
              <w:rPr>
                <w:rFonts w:ascii="Times New Roman" w:hAnsi="Times New Roman"/>
                <w:bCs/>
              </w:rPr>
            </w:pPr>
            <w:r w:rsidRPr="006C0397">
              <w:rPr>
                <w:rFonts w:ascii="Times New Roman" w:hAnsi="Times New Roman"/>
                <w:bCs/>
              </w:rPr>
              <w:t>v.</w:t>
            </w:r>
          </w:p>
          <w:p w14:paraId="63EE49D2" w14:textId="77777777" w:rsidR="000B2D05" w:rsidRPr="006C0397" w:rsidRDefault="000B2D05">
            <w:pPr>
              <w:tabs>
                <w:tab w:val="left" w:pos="2160"/>
              </w:tabs>
              <w:rPr>
                <w:rFonts w:ascii="Times New Roman" w:hAnsi="Times New Roman"/>
                <w:bCs/>
              </w:rPr>
            </w:pPr>
          </w:p>
          <w:p w14:paraId="4792EA03" w14:textId="77777777" w:rsidR="000B2D05" w:rsidRPr="006C0397" w:rsidRDefault="005D0A12">
            <w:pPr>
              <w:tabs>
                <w:tab w:val="left" w:pos="2160"/>
              </w:tabs>
              <w:rPr>
                <w:rFonts w:ascii="Times New Roman" w:hAnsi="Times New Roman"/>
                <w:bCs/>
              </w:rPr>
            </w:pPr>
            <w:r w:rsidRPr="006C0397">
              <w:rPr>
                <w:rFonts w:ascii="Times New Roman" w:hAnsi="Times New Roman"/>
                <w:bCs/>
              </w:rPr>
              <w:t>PACIFIC POWER &amp; LIGHT</w:t>
            </w:r>
            <w:r w:rsidR="00C5542D">
              <w:rPr>
                <w:rFonts w:ascii="Times New Roman" w:hAnsi="Times New Roman"/>
                <w:bCs/>
              </w:rPr>
              <w:t xml:space="preserve"> COMPANY</w:t>
            </w:r>
            <w:r w:rsidR="000B2D05" w:rsidRPr="006C0397">
              <w:rPr>
                <w:rFonts w:ascii="Times New Roman" w:hAnsi="Times New Roman"/>
                <w:bCs/>
              </w:rPr>
              <w:t>,</w:t>
            </w:r>
          </w:p>
          <w:p w14:paraId="6A283E11" w14:textId="77777777" w:rsidR="000B2D05" w:rsidRPr="006C0397" w:rsidRDefault="000B2D05">
            <w:pPr>
              <w:tabs>
                <w:tab w:val="left" w:pos="2160"/>
              </w:tabs>
              <w:rPr>
                <w:rFonts w:ascii="Times New Roman" w:hAnsi="Times New Roman"/>
                <w:bCs/>
              </w:rPr>
            </w:pPr>
          </w:p>
          <w:p w14:paraId="24E20F3C" w14:textId="77777777" w:rsidR="000B2D05" w:rsidRPr="006C0397" w:rsidRDefault="000B2D05">
            <w:pPr>
              <w:tabs>
                <w:tab w:val="left" w:pos="2160"/>
              </w:tabs>
              <w:rPr>
                <w:rFonts w:ascii="Times New Roman" w:hAnsi="Times New Roman"/>
                <w:bCs/>
              </w:rPr>
            </w:pPr>
            <w:r w:rsidRPr="006C0397">
              <w:rPr>
                <w:rFonts w:ascii="Times New Roman" w:hAnsi="Times New Roman"/>
                <w:bCs/>
              </w:rPr>
              <w:tab/>
              <w:t>Respondent.</w:t>
            </w:r>
          </w:p>
          <w:p w14:paraId="0F6F2A58" w14:textId="77777777" w:rsidR="00244353" w:rsidRPr="006C0397" w:rsidRDefault="00244353">
            <w:pPr>
              <w:tabs>
                <w:tab w:val="left" w:pos="2160"/>
              </w:tabs>
              <w:rPr>
                <w:rFonts w:ascii="Times New Roman" w:hAnsi="Times New Roman"/>
              </w:rPr>
            </w:pPr>
            <w:r w:rsidRPr="006C0397">
              <w:rPr>
                <w:rFonts w:ascii="Times New Roman" w:hAnsi="Times New Roman"/>
              </w:rPr>
              <w:t xml:space="preserve">. . . . . . . . . . . . . . . . . . . . . . . . . . . . . . . . </w:t>
            </w:r>
          </w:p>
        </w:tc>
        <w:tc>
          <w:tcPr>
            <w:tcW w:w="360" w:type="dxa"/>
          </w:tcPr>
          <w:p w14:paraId="36B838A1" w14:textId="77777777" w:rsidR="00244353" w:rsidRPr="006C0397" w:rsidRDefault="00244353">
            <w:pPr>
              <w:rPr>
                <w:rFonts w:ascii="Times New Roman" w:hAnsi="Times New Roman"/>
              </w:rPr>
            </w:pPr>
            <w:r w:rsidRPr="006C0397">
              <w:rPr>
                <w:rFonts w:ascii="Times New Roman" w:hAnsi="Times New Roman"/>
              </w:rPr>
              <w:t>)</w:t>
            </w:r>
          </w:p>
          <w:p w14:paraId="546136FA" w14:textId="77777777" w:rsidR="00244353" w:rsidRPr="006C0397" w:rsidRDefault="00244353">
            <w:pPr>
              <w:rPr>
                <w:rFonts w:ascii="Times New Roman" w:hAnsi="Times New Roman"/>
              </w:rPr>
            </w:pPr>
            <w:r w:rsidRPr="006C0397">
              <w:rPr>
                <w:rFonts w:ascii="Times New Roman" w:hAnsi="Times New Roman"/>
              </w:rPr>
              <w:t>)</w:t>
            </w:r>
          </w:p>
          <w:p w14:paraId="30870165" w14:textId="77777777" w:rsidR="00244353" w:rsidRPr="006C0397" w:rsidRDefault="00244353">
            <w:pPr>
              <w:rPr>
                <w:rFonts w:ascii="Times New Roman" w:hAnsi="Times New Roman"/>
              </w:rPr>
            </w:pPr>
            <w:r w:rsidRPr="006C0397">
              <w:rPr>
                <w:rFonts w:ascii="Times New Roman" w:hAnsi="Times New Roman"/>
              </w:rPr>
              <w:t>)</w:t>
            </w:r>
          </w:p>
          <w:p w14:paraId="464D3ABC" w14:textId="77777777" w:rsidR="00244353" w:rsidRPr="006C0397" w:rsidRDefault="00244353">
            <w:pPr>
              <w:rPr>
                <w:rFonts w:ascii="Times New Roman" w:hAnsi="Times New Roman"/>
              </w:rPr>
            </w:pPr>
            <w:r w:rsidRPr="006C0397">
              <w:rPr>
                <w:rFonts w:ascii="Times New Roman" w:hAnsi="Times New Roman"/>
              </w:rPr>
              <w:t>)</w:t>
            </w:r>
          </w:p>
          <w:p w14:paraId="1BD31D3C" w14:textId="77777777" w:rsidR="00244353" w:rsidRPr="006C0397" w:rsidRDefault="00244353">
            <w:pPr>
              <w:rPr>
                <w:rFonts w:ascii="Times New Roman" w:hAnsi="Times New Roman"/>
              </w:rPr>
            </w:pPr>
            <w:r w:rsidRPr="006C0397">
              <w:rPr>
                <w:rFonts w:ascii="Times New Roman" w:hAnsi="Times New Roman"/>
              </w:rPr>
              <w:t>)</w:t>
            </w:r>
          </w:p>
          <w:p w14:paraId="0D153F99" w14:textId="77777777" w:rsidR="00244353" w:rsidRPr="006C0397" w:rsidRDefault="00244353">
            <w:pPr>
              <w:rPr>
                <w:rFonts w:ascii="Times New Roman" w:hAnsi="Times New Roman"/>
              </w:rPr>
            </w:pPr>
            <w:r w:rsidRPr="006C0397">
              <w:rPr>
                <w:rFonts w:ascii="Times New Roman" w:hAnsi="Times New Roman"/>
              </w:rPr>
              <w:t>)</w:t>
            </w:r>
          </w:p>
          <w:p w14:paraId="033577EC" w14:textId="77777777" w:rsidR="00244353" w:rsidRPr="006C0397" w:rsidRDefault="00244353">
            <w:pPr>
              <w:rPr>
                <w:rFonts w:ascii="Times New Roman" w:hAnsi="Times New Roman"/>
              </w:rPr>
            </w:pPr>
            <w:r w:rsidRPr="006C0397">
              <w:rPr>
                <w:rFonts w:ascii="Times New Roman" w:hAnsi="Times New Roman"/>
              </w:rPr>
              <w:t>)</w:t>
            </w:r>
          </w:p>
          <w:p w14:paraId="35465A13" w14:textId="77777777" w:rsidR="00244353" w:rsidRPr="006C0397" w:rsidRDefault="00244353">
            <w:pPr>
              <w:rPr>
                <w:rFonts w:ascii="Times New Roman" w:hAnsi="Times New Roman"/>
              </w:rPr>
            </w:pPr>
            <w:r w:rsidRPr="006C0397">
              <w:rPr>
                <w:rFonts w:ascii="Times New Roman" w:hAnsi="Times New Roman"/>
              </w:rPr>
              <w:t>)</w:t>
            </w:r>
          </w:p>
          <w:p w14:paraId="66FA4D5D" w14:textId="77777777" w:rsidR="00244353" w:rsidRPr="006C0397" w:rsidRDefault="00244353">
            <w:pPr>
              <w:rPr>
                <w:rFonts w:ascii="Times New Roman" w:hAnsi="Times New Roman"/>
              </w:rPr>
            </w:pPr>
            <w:r w:rsidRPr="006C0397">
              <w:rPr>
                <w:rFonts w:ascii="Times New Roman" w:hAnsi="Times New Roman"/>
              </w:rPr>
              <w:t>)</w:t>
            </w:r>
          </w:p>
          <w:p w14:paraId="2B76DE0D" w14:textId="77777777" w:rsidR="00D60681" w:rsidRDefault="00244353" w:rsidP="004E33EB">
            <w:pPr>
              <w:rPr>
                <w:rFonts w:ascii="Times New Roman" w:hAnsi="Times New Roman"/>
              </w:rPr>
            </w:pPr>
            <w:r w:rsidRPr="006C0397">
              <w:rPr>
                <w:rFonts w:ascii="Times New Roman" w:hAnsi="Times New Roman"/>
              </w:rPr>
              <w:t>)</w:t>
            </w:r>
          </w:p>
          <w:p w14:paraId="0A315678" w14:textId="77777777" w:rsidR="005D0A12" w:rsidRPr="006C0397" w:rsidRDefault="00D60681" w:rsidP="004E33EB">
            <w:pPr>
              <w:rPr>
                <w:rFonts w:ascii="Times New Roman" w:hAnsi="Times New Roman"/>
              </w:rPr>
            </w:pPr>
            <w:r>
              <w:rPr>
                <w:rFonts w:ascii="Times New Roman" w:hAnsi="Times New Roman"/>
              </w:rPr>
              <w:t>)</w:t>
            </w:r>
            <w:r w:rsidR="006C0397" w:rsidRPr="006C0397">
              <w:rPr>
                <w:rFonts w:ascii="Times New Roman" w:hAnsi="Times New Roman"/>
              </w:rPr>
              <w:br/>
            </w:r>
          </w:p>
        </w:tc>
        <w:tc>
          <w:tcPr>
            <w:tcW w:w="4248" w:type="dxa"/>
          </w:tcPr>
          <w:p w14:paraId="21CEE07C" w14:textId="77777777" w:rsidR="00244353" w:rsidRPr="006C0397" w:rsidRDefault="00244353">
            <w:pPr>
              <w:rPr>
                <w:rFonts w:ascii="Times New Roman" w:hAnsi="Times New Roman"/>
              </w:rPr>
            </w:pPr>
            <w:r w:rsidRPr="006C0397">
              <w:rPr>
                <w:rFonts w:ascii="Times New Roman" w:hAnsi="Times New Roman"/>
              </w:rPr>
              <w:t>DOCKET</w:t>
            </w:r>
            <w:r w:rsidR="005D0A12" w:rsidRPr="006C0397">
              <w:rPr>
                <w:rFonts w:ascii="Times New Roman" w:hAnsi="Times New Roman"/>
              </w:rPr>
              <w:t xml:space="preserve"> UE-143932</w:t>
            </w:r>
          </w:p>
          <w:p w14:paraId="1886B2F1" w14:textId="77777777" w:rsidR="00244353" w:rsidRDefault="00244353">
            <w:pPr>
              <w:rPr>
                <w:rFonts w:ascii="Times New Roman" w:hAnsi="Times New Roman"/>
              </w:rPr>
            </w:pPr>
          </w:p>
          <w:p w14:paraId="028B7C61" w14:textId="77777777" w:rsidR="00A70FFE" w:rsidRPr="006C0397" w:rsidRDefault="00A70FFE">
            <w:pPr>
              <w:rPr>
                <w:rFonts w:ascii="Times New Roman" w:hAnsi="Times New Roman"/>
              </w:rPr>
            </w:pPr>
          </w:p>
          <w:p w14:paraId="3C2F4AE3" w14:textId="77777777" w:rsidR="00244353" w:rsidRPr="006C0397" w:rsidRDefault="00BF445C">
            <w:pPr>
              <w:rPr>
                <w:rFonts w:ascii="Times New Roman" w:hAnsi="Times New Roman"/>
              </w:rPr>
            </w:pPr>
            <w:r w:rsidRPr="006C0397">
              <w:rPr>
                <w:rFonts w:ascii="Times New Roman" w:hAnsi="Times New Roman"/>
              </w:rPr>
              <w:t>ORDER 0</w:t>
            </w:r>
            <w:r w:rsidR="005B0D05">
              <w:rPr>
                <w:rFonts w:ascii="Times New Roman" w:hAnsi="Times New Roman"/>
              </w:rPr>
              <w:t>4</w:t>
            </w:r>
          </w:p>
          <w:p w14:paraId="7D58C267" w14:textId="77777777" w:rsidR="000B2D05" w:rsidRDefault="000B2D05">
            <w:pPr>
              <w:rPr>
                <w:rFonts w:ascii="Times New Roman" w:hAnsi="Times New Roman"/>
              </w:rPr>
            </w:pPr>
          </w:p>
          <w:p w14:paraId="5126D564" w14:textId="77777777" w:rsidR="00A70FFE" w:rsidRPr="006C0397" w:rsidRDefault="00A70FFE">
            <w:pPr>
              <w:rPr>
                <w:rFonts w:ascii="Times New Roman" w:hAnsi="Times New Roman"/>
              </w:rPr>
            </w:pPr>
          </w:p>
          <w:p w14:paraId="59D52D6D" w14:textId="77777777" w:rsidR="00244353" w:rsidRPr="006C0397" w:rsidRDefault="005B0D05">
            <w:pPr>
              <w:rPr>
                <w:rFonts w:ascii="Times New Roman" w:hAnsi="Times New Roman"/>
              </w:rPr>
            </w:pPr>
            <w:r>
              <w:rPr>
                <w:rFonts w:ascii="Times New Roman" w:hAnsi="Times New Roman"/>
              </w:rPr>
              <w:t>DENYING MOTION TO REJECT FILING</w:t>
            </w:r>
          </w:p>
          <w:p w14:paraId="623C8F1B" w14:textId="77777777" w:rsidR="00244353" w:rsidRPr="006C0397" w:rsidRDefault="00244353">
            <w:pPr>
              <w:rPr>
                <w:rFonts w:ascii="Times New Roman" w:hAnsi="Times New Roman"/>
              </w:rPr>
            </w:pPr>
          </w:p>
        </w:tc>
      </w:tr>
    </w:tbl>
    <w:p w14:paraId="7A212D14" w14:textId="77777777" w:rsidR="006C0397" w:rsidRPr="0092331A" w:rsidRDefault="00A27051" w:rsidP="006C0397">
      <w:pPr>
        <w:spacing w:line="288" w:lineRule="auto"/>
        <w:jc w:val="center"/>
        <w:rPr>
          <w:rFonts w:ascii="Times New Roman" w:hAnsi="Times New Roman"/>
          <w:u w:val="single"/>
        </w:rPr>
      </w:pPr>
      <w:r>
        <w:rPr>
          <w:rFonts w:ascii="Times New Roman" w:hAnsi="Times New Roman"/>
          <w:b/>
        </w:rPr>
        <w:br/>
      </w:r>
      <w:r w:rsidR="0092331A" w:rsidRPr="0092331A">
        <w:rPr>
          <w:rFonts w:ascii="Times New Roman" w:hAnsi="Times New Roman"/>
          <w:b/>
          <w:u w:val="single"/>
        </w:rPr>
        <w:t>MEMORANDUM</w:t>
      </w:r>
    </w:p>
    <w:p w14:paraId="65CB47D5" w14:textId="77777777" w:rsidR="00706D3D" w:rsidRPr="006C0397" w:rsidRDefault="00706D3D">
      <w:pPr>
        <w:rPr>
          <w:rFonts w:ascii="Times New Roman" w:hAnsi="Times New Roman"/>
        </w:rPr>
      </w:pPr>
    </w:p>
    <w:p w14:paraId="428FA20D" w14:textId="77777777" w:rsidR="005B0D05" w:rsidRPr="000D7BED" w:rsidRDefault="000A7BFC" w:rsidP="005B0D05">
      <w:pPr>
        <w:numPr>
          <w:ilvl w:val="0"/>
          <w:numId w:val="1"/>
        </w:numPr>
        <w:spacing w:line="264" w:lineRule="auto"/>
        <w:ind w:hanging="720"/>
        <w:rPr>
          <w:rFonts w:ascii="Times New Roman" w:hAnsi="Times New Roman"/>
        </w:rPr>
      </w:pPr>
      <w:r w:rsidRPr="006C0397">
        <w:rPr>
          <w:rFonts w:ascii="Times New Roman" w:hAnsi="Times New Roman"/>
          <w:bCs/>
        </w:rPr>
        <w:t xml:space="preserve">On </w:t>
      </w:r>
      <w:r w:rsidR="000D7BED">
        <w:rPr>
          <w:rFonts w:ascii="Times New Roman" w:hAnsi="Times New Roman"/>
          <w:bCs/>
        </w:rPr>
        <w:t xml:space="preserve">January 15, 2016, the Washington Utilities and Transportation Commission (Commission) entered </w:t>
      </w:r>
      <w:r w:rsidR="00B45032">
        <w:rPr>
          <w:rFonts w:ascii="Times New Roman" w:hAnsi="Times New Roman"/>
          <w:bCs/>
        </w:rPr>
        <w:t>Order 03, its</w:t>
      </w:r>
      <w:r w:rsidR="000D7BED">
        <w:rPr>
          <w:rFonts w:ascii="Times New Roman" w:hAnsi="Times New Roman"/>
          <w:bCs/>
        </w:rPr>
        <w:t xml:space="preserve"> Initial Order in this proceeding. Pacific Power &amp; Light Company (Pacific Power) filed a Petition for Review of Initial Order on February 4, 2016.</w:t>
      </w:r>
    </w:p>
    <w:p w14:paraId="1B48A73D" w14:textId="77777777" w:rsidR="000D7BED" w:rsidRPr="000D7BED" w:rsidRDefault="000D7BED" w:rsidP="000D7BED">
      <w:pPr>
        <w:spacing w:line="264" w:lineRule="auto"/>
        <w:rPr>
          <w:rFonts w:ascii="Times New Roman" w:hAnsi="Times New Roman"/>
        </w:rPr>
      </w:pPr>
    </w:p>
    <w:p w14:paraId="4D4492D2" w14:textId="77777777" w:rsidR="00117702" w:rsidRPr="00117702" w:rsidRDefault="000D7BED" w:rsidP="00117702">
      <w:pPr>
        <w:numPr>
          <w:ilvl w:val="0"/>
          <w:numId w:val="1"/>
        </w:numPr>
        <w:spacing w:line="264" w:lineRule="auto"/>
        <w:ind w:hanging="720"/>
        <w:rPr>
          <w:rFonts w:ascii="Times New Roman" w:hAnsi="Times New Roman"/>
        </w:rPr>
      </w:pPr>
      <w:r w:rsidRPr="000D7BED">
        <w:rPr>
          <w:rFonts w:ascii="Times New Roman" w:hAnsi="Times New Roman"/>
          <w:bCs/>
        </w:rPr>
        <w:t>Walla Walla Country Club (Walla Walla) filed on February 8, 2016</w:t>
      </w:r>
      <w:r w:rsidR="00B45032">
        <w:rPr>
          <w:rFonts w:ascii="Times New Roman" w:hAnsi="Times New Roman"/>
          <w:bCs/>
        </w:rPr>
        <w:t>, two motions styled:</w:t>
      </w:r>
      <w:r w:rsidRPr="000D7BED">
        <w:rPr>
          <w:rFonts w:ascii="Times New Roman" w:hAnsi="Times New Roman"/>
          <w:bCs/>
        </w:rPr>
        <w:t xml:space="preserve"> “</w:t>
      </w:r>
      <w:r w:rsidRPr="000D7BED">
        <w:rPr>
          <w:rFonts w:ascii="Times New Roman" w:hAnsi="Times New Roman"/>
        </w:rPr>
        <w:t>The Walla Walla Country Club’s Motion To Reject Petition; Alternative Motion To Extend Filing Date for Answer</w:t>
      </w:r>
      <w:r>
        <w:rPr>
          <w:rFonts w:ascii="Times New Roman" w:hAnsi="Times New Roman"/>
        </w:rPr>
        <w:t>.</w:t>
      </w:r>
      <w:r w:rsidRPr="000D7BED">
        <w:rPr>
          <w:rFonts w:ascii="Times New Roman" w:hAnsi="Times New Roman"/>
          <w:bCs/>
        </w:rPr>
        <w:t xml:space="preserve">” </w:t>
      </w:r>
      <w:r w:rsidR="004516C3">
        <w:rPr>
          <w:rFonts w:ascii="Times New Roman" w:hAnsi="Times New Roman"/>
          <w:bCs/>
        </w:rPr>
        <w:t>The Commission gave notice that an answer to the motion to extend the filing date would be due on February 11, 2016, in accordance with the rule governing motions for continuance. In addition, the Commission’s notice set February 18, 2016, as the date for Walla Walla’s answer to the motion to reject petition, in accordance with the separate rule governing dispositive motions. In addition,</w:t>
      </w:r>
      <w:r w:rsidR="00117702">
        <w:rPr>
          <w:rFonts w:ascii="Times New Roman" w:hAnsi="Times New Roman"/>
          <w:bCs/>
        </w:rPr>
        <w:t xml:space="preserve"> the Commission’s notice stated that:</w:t>
      </w:r>
    </w:p>
    <w:p w14:paraId="5AC15CF3" w14:textId="77777777" w:rsidR="00117702" w:rsidRDefault="00117702" w:rsidP="00117702">
      <w:pPr>
        <w:pStyle w:val="ListParagraph"/>
        <w:rPr>
          <w:rFonts w:ascii="Times New Roman" w:hAnsi="Times New Roman"/>
          <w:bCs/>
        </w:rPr>
      </w:pPr>
    </w:p>
    <w:p w14:paraId="4717CE3D" w14:textId="77777777" w:rsidR="004516C3" w:rsidRPr="004516C3" w:rsidRDefault="00117702" w:rsidP="00117702">
      <w:pPr>
        <w:spacing w:line="264" w:lineRule="auto"/>
        <w:ind w:left="720" w:right="720"/>
        <w:rPr>
          <w:rFonts w:ascii="Times New Roman" w:hAnsi="Times New Roman"/>
        </w:rPr>
      </w:pPr>
      <w:r>
        <w:rPr>
          <w:rFonts w:ascii="Times New Roman" w:hAnsi="Times New Roman"/>
          <w:bCs/>
        </w:rPr>
        <w:t>T</w:t>
      </w:r>
      <w:r w:rsidRPr="00117702">
        <w:rPr>
          <w:rFonts w:ascii="Times New Roman" w:hAnsi="Times New Roman"/>
          <w:bCs/>
        </w:rPr>
        <w:t>he date for Walla Walla Country Club’s answer to Pacific Power’s Petition for Administrative Review will be set for ten days after the date of the Commission’s order on Walla Walla Country Club’s motion to dismiss.</w:t>
      </w:r>
    </w:p>
    <w:p w14:paraId="774FCC94" w14:textId="77777777" w:rsidR="00117702" w:rsidRDefault="00117702" w:rsidP="00117702">
      <w:pPr>
        <w:rPr>
          <w:rFonts w:ascii="Times New Roman" w:hAnsi="Times New Roman"/>
          <w:bCs/>
        </w:rPr>
      </w:pPr>
    </w:p>
    <w:p w14:paraId="4B68427A" w14:textId="77777777" w:rsidR="00117702" w:rsidRDefault="00117702" w:rsidP="00117702">
      <w:pPr>
        <w:numPr>
          <w:ilvl w:val="0"/>
          <w:numId w:val="1"/>
        </w:numPr>
        <w:spacing w:line="264" w:lineRule="auto"/>
        <w:ind w:hanging="720"/>
        <w:rPr>
          <w:rFonts w:ascii="Times New Roman" w:hAnsi="Times New Roman"/>
          <w:szCs w:val="20"/>
        </w:rPr>
      </w:pPr>
      <w:r>
        <w:rPr>
          <w:rFonts w:ascii="Times New Roman" w:hAnsi="Times New Roman"/>
          <w:bCs/>
        </w:rPr>
        <w:t>The practical effect of these applications of the Commission’s procedural rules was to provide additional time for Walla Walla to prepare its answer to Pacific Power’s petition for review. Recognizing this effect, and exhibiting a spirit of cooperation and high professionalism, Pacific Power’s response to Walla Walla’s alternative motion to extend the filing date</w:t>
      </w:r>
      <w:r w:rsidRPr="00117702">
        <w:rPr>
          <w:rFonts w:ascii="Times New Roman" w:hAnsi="Times New Roman"/>
          <w:szCs w:val="20"/>
        </w:rPr>
        <w:t xml:space="preserve"> </w:t>
      </w:r>
      <w:r>
        <w:rPr>
          <w:rFonts w:ascii="Times New Roman" w:hAnsi="Times New Roman"/>
          <w:szCs w:val="20"/>
        </w:rPr>
        <w:t>stated that</w:t>
      </w:r>
      <w:r w:rsidR="00D62461">
        <w:rPr>
          <w:rFonts w:ascii="Times New Roman" w:hAnsi="Times New Roman"/>
          <w:szCs w:val="20"/>
        </w:rPr>
        <w:t>:</w:t>
      </w:r>
    </w:p>
    <w:p w14:paraId="79CB0DC5" w14:textId="77777777" w:rsidR="00117702" w:rsidRDefault="00117702" w:rsidP="00117702">
      <w:pPr>
        <w:rPr>
          <w:rFonts w:ascii="Times New Roman" w:hAnsi="Times New Roman"/>
          <w:szCs w:val="20"/>
        </w:rPr>
      </w:pPr>
    </w:p>
    <w:p w14:paraId="7DDC3B65" w14:textId="77777777" w:rsidR="00117702" w:rsidRPr="00117702" w:rsidRDefault="00D62461" w:rsidP="00117702">
      <w:pPr>
        <w:ind w:left="720" w:right="720"/>
        <w:rPr>
          <w:rFonts w:ascii="Times New Roman" w:hAnsi="Times New Roman"/>
          <w:bCs/>
        </w:rPr>
      </w:pPr>
      <w:r>
        <w:rPr>
          <w:rFonts w:ascii="Times New Roman" w:hAnsi="Times New Roman"/>
          <w:szCs w:val="20"/>
        </w:rPr>
        <w:lastRenderedPageBreak/>
        <w:t xml:space="preserve">[It] </w:t>
      </w:r>
      <w:r w:rsidR="00117702" w:rsidRPr="00117702">
        <w:rPr>
          <w:rFonts w:ascii="Times New Roman" w:hAnsi="Times New Roman"/>
          <w:szCs w:val="20"/>
        </w:rPr>
        <w:t>would stipulate to an additional ten days (total of twenty days) after the date of the Commission’s order on the merits of the Walla Walla Country Club’s motion to dismiss, which would afford the Walla Walla Country Club well over thirty days from the filing of the Petition for Administrative Review to prepare its answer.</w:t>
      </w:r>
      <w:r w:rsidR="00117702">
        <w:rPr>
          <w:rStyle w:val="FootnoteReference"/>
          <w:rFonts w:ascii="Times New Roman" w:hAnsi="Times New Roman"/>
          <w:szCs w:val="20"/>
        </w:rPr>
        <w:footnoteReference w:id="1"/>
      </w:r>
    </w:p>
    <w:p w14:paraId="04DF8336" w14:textId="77777777" w:rsidR="00117702" w:rsidRDefault="00117702" w:rsidP="004516C3">
      <w:pPr>
        <w:pStyle w:val="ListParagraph"/>
        <w:rPr>
          <w:rFonts w:ascii="Times New Roman" w:hAnsi="Times New Roman"/>
          <w:bCs/>
        </w:rPr>
      </w:pPr>
    </w:p>
    <w:p w14:paraId="0DB9694A" w14:textId="77777777" w:rsidR="00D62461" w:rsidRPr="00D62461" w:rsidRDefault="00D62461" w:rsidP="00D62461">
      <w:pPr>
        <w:numPr>
          <w:ilvl w:val="0"/>
          <w:numId w:val="1"/>
        </w:numPr>
        <w:spacing w:line="264" w:lineRule="auto"/>
        <w:ind w:hanging="720"/>
        <w:rPr>
          <w:rFonts w:ascii="Times New Roman" w:hAnsi="Times New Roman"/>
          <w:bCs/>
        </w:rPr>
      </w:pPr>
      <w:r>
        <w:rPr>
          <w:rFonts w:ascii="Times New Roman" w:hAnsi="Times New Roman"/>
          <w:bCs/>
        </w:rPr>
        <w:t>The Commission finds</w:t>
      </w:r>
      <w:r w:rsidR="00B45032">
        <w:rPr>
          <w:rFonts w:ascii="Times New Roman" w:hAnsi="Times New Roman"/>
          <w:bCs/>
        </w:rPr>
        <w:t xml:space="preserve"> as a preliminary matter that</w:t>
      </w:r>
      <w:r>
        <w:rPr>
          <w:rFonts w:ascii="Times New Roman" w:hAnsi="Times New Roman"/>
          <w:bCs/>
        </w:rPr>
        <w:t xml:space="preserve"> the Company’s response addresses the practical concern raised by Walla Walla’s alternative motion.  This is particularly true given that the basis for Walla Walla’s late-filing argument is that:</w:t>
      </w:r>
      <w:r w:rsidRPr="00D62461">
        <w:rPr>
          <w:rFonts w:ascii="Times New Roman" w:hAnsi="Times New Roman"/>
          <w:bCs/>
        </w:rPr>
        <w:t xml:space="preserve"> </w:t>
      </w:r>
    </w:p>
    <w:p w14:paraId="1D08F7FA" w14:textId="77777777" w:rsidR="00D62461" w:rsidRDefault="00D62461" w:rsidP="004516C3">
      <w:pPr>
        <w:pStyle w:val="ListParagraph"/>
        <w:rPr>
          <w:rFonts w:ascii="Times New Roman" w:hAnsi="Times New Roman"/>
          <w:bCs/>
        </w:rPr>
      </w:pPr>
    </w:p>
    <w:p w14:paraId="7C1DFF38" w14:textId="77777777" w:rsidR="006C0397" w:rsidRDefault="000D7BED" w:rsidP="000D7BED">
      <w:pPr>
        <w:spacing w:line="288" w:lineRule="auto"/>
        <w:ind w:left="720" w:right="720"/>
        <w:rPr>
          <w:rFonts w:ascii="Times New Roman" w:hAnsi="Times New Roman"/>
        </w:rPr>
      </w:pPr>
      <w:r w:rsidRPr="000D7BED">
        <w:rPr>
          <w:rFonts w:ascii="Times New Roman" w:hAnsi="Times New Roman"/>
        </w:rPr>
        <w:t>In adjudicative proceedings</w:t>
      </w:r>
      <w:r w:rsidR="004516C3">
        <w:rPr>
          <w:rFonts w:ascii="Times New Roman" w:hAnsi="Times New Roman"/>
        </w:rPr>
        <w:t xml:space="preserve"> . . .</w:t>
      </w:r>
      <w:r w:rsidRPr="000D7BED">
        <w:rPr>
          <w:rFonts w:ascii="Times New Roman" w:hAnsi="Times New Roman"/>
        </w:rPr>
        <w:t xml:space="preserve"> Commission rules state:  “Electronic submissions must be </w:t>
      </w:r>
      <w:r w:rsidRPr="000D7BED">
        <w:rPr>
          <w:rFonts w:ascii="Times New Roman" w:hAnsi="Times New Roman"/>
          <w:i/>
        </w:rPr>
        <w:t>completed</w:t>
      </w:r>
      <w:r w:rsidRPr="000D7BED">
        <w:rPr>
          <w:rFonts w:ascii="Times New Roman" w:hAnsi="Times New Roman"/>
        </w:rPr>
        <w:t xml:space="preserve"> by 3:00 p.m. on the date established for filing.”</w:t>
      </w:r>
      <w:r w:rsidRPr="000D7BED">
        <w:rPr>
          <w:rFonts w:ascii="Times New Roman" w:hAnsi="Times New Roman"/>
          <w:vertAlign w:val="superscript"/>
        </w:rPr>
        <w:t xml:space="preserve"> </w:t>
      </w:r>
      <w:r w:rsidRPr="000D7BED">
        <w:rPr>
          <w:rFonts w:ascii="Times New Roman" w:hAnsi="Times New Roman"/>
        </w:rPr>
        <w:t xml:space="preserve"> Under WUTC rules, the filing of a “pleading … with the commission in an adjudicative proceeding is not complete </w:t>
      </w:r>
      <w:r w:rsidRPr="000D7BED">
        <w:rPr>
          <w:rFonts w:ascii="Times New Roman" w:hAnsi="Times New Roman"/>
          <w:i/>
        </w:rPr>
        <w:t>unless</w:t>
      </w:r>
      <w:r w:rsidRPr="000D7BED">
        <w:rPr>
          <w:rFonts w:ascii="Times New Roman" w:hAnsi="Times New Roman"/>
        </w:rPr>
        <w:t xml:space="preserve"> service has been made upon all parties.</w:t>
      </w:r>
      <w:r w:rsidRPr="000D7BED">
        <w:rPr>
          <w:rFonts w:ascii="Times New Roman" w:hAnsi="Times New Roman"/>
          <w:vertAlign w:val="superscript"/>
        </w:rPr>
        <w:t>”</w:t>
      </w:r>
      <w:r w:rsidRPr="000D7BED">
        <w:rPr>
          <w:rFonts w:ascii="Times New Roman" w:hAnsi="Times New Roman"/>
        </w:rPr>
        <w:t xml:space="preserve">  Given that the Club was not served with the Petition until 4:04 p.m., on February 4, 2016, the Petition was not timely filed and may be rejected by the Commission.</w:t>
      </w:r>
      <w:r w:rsidR="004516C3">
        <w:rPr>
          <w:rStyle w:val="FootnoteReference"/>
          <w:rFonts w:ascii="Times New Roman" w:hAnsi="Times New Roman"/>
        </w:rPr>
        <w:footnoteReference w:id="2"/>
      </w:r>
      <w:r w:rsidR="006C0397" w:rsidRPr="00FB2651">
        <w:rPr>
          <w:rFonts w:ascii="Times New Roman" w:hAnsi="Times New Roman"/>
        </w:rPr>
        <w:br/>
      </w:r>
    </w:p>
    <w:p w14:paraId="25D4F989" w14:textId="77777777" w:rsidR="00B45032" w:rsidRDefault="00B45032" w:rsidP="00B45032">
      <w:pPr>
        <w:spacing w:line="288" w:lineRule="auto"/>
        <w:ind w:right="720"/>
        <w:rPr>
          <w:rFonts w:ascii="Times New Roman" w:hAnsi="Times New Roman"/>
        </w:rPr>
      </w:pPr>
      <w:r>
        <w:rPr>
          <w:rFonts w:ascii="Times New Roman" w:hAnsi="Times New Roman"/>
        </w:rPr>
        <w:t>In other words, the petition at worst was 64 minutes late but made by the calendar deadline (</w:t>
      </w:r>
      <w:r w:rsidRPr="00B45032">
        <w:rPr>
          <w:rFonts w:ascii="Times New Roman" w:hAnsi="Times New Roman"/>
          <w:i/>
        </w:rPr>
        <w:t>i.e.,</w:t>
      </w:r>
      <w:r>
        <w:rPr>
          <w:rFonts w:ascii="Times New Roman" w:hAnsi="Times New Roman"/>
        </w:rPr>
        <w:t xml:space="preserve"> February 4, 2016) for the filing.</w:t>
      </w:r>
    </w:p>
    <w:p w14:paraId="7675CFB6" w14:textId="77777777" w:rsidR="00B45032" w:rsidRPr="00B45032" w:rsidRDefault="00B45032" w:rsidP="00B45032">
      <w:pPr>
        <w:spacing w:line="288" w:lineRule="auto"/>
        <w:ind w:right="720"/>
        <w:rPr>
          <w:rFonts w:ascii="Times New Roman" w:hAnsi="Times New Roman"/>
        </w:rPr>
      </w:pPr>
    </w:p>
    <w:p w14:paraId="20AE7C3E" w14:textId="77777777" w:rsidR="004516C3" w:rsidRPr="00B45032" w:rsidRDefault="00D62461" w:rsidP="00A40098">
      <w:pPr>
        <w:numPr>
          <w:ilvl w:val="0"/>
          <w:numId w:val="1"/>
        </w:numPr>
        <w:spacing w:line="264" w:lineRule="auto"/>
        <w:ind w:hanging="720"/>
        <w:rPr>
          <w:rFonts w:ascii="Times New Roman" w:hAnsi="Times New Roman"/>
        </w:rPr>
      </w:pPr>
      <w:r w:rsidRPr="00B45032">
        <w:rPr>
          <w:rFonts w:ascii="Times New Roman" w:hAnsi="Times New Roman"/>
        </w:rPr>
        <w:t xml:space="preserve">We consider also </w:t>
      </w:r>
      <w:r w:rsidR="004516C3" w:rsidRPr="00B45032">
        <w:rPr>
          <w:rFonts w:ascii="Times New Roman" w:hAnsi="Times New Roman"/>
        </w:rPr>
        <w:t>Pacific Power</w:t>
      </w:r>
      <w:r w:rsidRPr="00B45032">
        <w:rPr>
          <w:rFonts w:ascii="Times New Roman" w:hAnsi="Times New Roman"/>
        </w:rPr>
        <w:t>’s</w:t>
      </w:r>
      <w:r w:rsidR="004516C3" w:rsidRPr="00B45032">
        <w:rPr>
          <w:rFonts w:ascii="Times New Roman" w:hAnsi="Times New Roman"/>
        </w:rPr>
        <w:t xml:space="preserve"> </w:t>
      </w:r>
      <w:r w:rsidRPr="00B45032">
        <w:rPr>
          <w:rFonts w:ascii="Times New Roman" w:hAnsi="Times New Roman"/>
        </w:rPr>
        <w:t>answer to</w:t>
      </w:r>
      <w:r w:rsidR="004516C3" w:rsidRPr="00B45032">
        <w:rPr>
          <w:rFonts w:ascii="Times New Roman" w:hAnsi="Times New Roman"/>
        </w:rPr>
        <w:t xml:space="preserve"> Walla Walla’s motion on February 18, 2016, </w:t>
      </w:r>
      <w:r w:rsidRPr="00B45032">
        <w:rPr>
          <w:rFonts w:ascii="Times New Roman" w:hAnsi="Times New Roman"/>
        </w:rPr>
        <w:t xml:space="preserve">which </w:t>
      </w:r>
      <w:r w:rsidR="004516C3" w:rsidRPr="00B45032">
        <w:rPr>
          <w:rFonts w:ascii="Times New Roman" w:hAnsi="Times New Roman"/>
        </w:rPr>
        <w:t>explain</w:t>
      </w:r>
      <w:r w:rsidRPr="00B45032">
        <w:rPr>
          <w:rFonts w:ascii="Times New Roman" w:hAnsi="Times New Roman"/>
        </w:rPr>
        <w:t>s</w:t>
      </w:r>
      <w:r w:rsidR="004516C3" w:rsidRPr="00B45032">
        <w:rPr>
          <w:rFonts w:ascii="Times New Roman" w:hAnsi="Times New Roman"/>
        </w:rPr>
        <w:t xml:space="preserve"> among other things that:</w:t>
      </w:r>
    </w:p>
    <w:p w14:paraId="60E12B91" w14:textId="77777777" w:rsidR="004516C3" w:rsidRDefault="004516C3" w:rsidP="004516C3">
      <w:pPr>
        <w:pStyle w:val="BodyText"/>
        <w:rPr>
          <w:rFonts w:ascii="Times New Roman" w:hAnsi="Times New Roman"/>
          <w:b w:val="0"/>
        </w:rPr>
      </w:pPr>
    </w:p>
    <w:p w14:paraId="395139BC" w14:textId="77777777" w:rsidR="004516C3" w:rsidRDefault="004516C3" w:rsidP="004516C3">
      <w:pPr>
        <w:pStyle w:val="BodyText"/>
        <w:ind w:left="720" w:right="720"/>
        <w:rPr>
          <w:rFonts w:ascii="Times New Roman" w:hAnsi="Times New Roman"/>
          <w:b w:val="0"/>
        </w:rPr>
      </w:pPr>
      <w:r w:rsidRPr="004516C3">
        <w:rPr>
          <w:rFonts w:ascii="Times New Roman" w:hAnsi="Times New Roman"/>
          <w:b w:val="0"/>
        </w:rPr>
        <w:t>Upon receipt of the Prehearing Conference Order issued on January 21, 2015 (Order 01), Company personnel interpreted the language of paragraph 15 regarding electronic submission of documents to modify the general or default time of day specification found at WAC 480-07-145(6)(a)(i).  Paragraphs 8, 9, 10 and 15 of the Prehearing Conference Order all include time of day specifications for various acts.  Company personnel interpreted the absence of any reference to 3:00 p.m. in paragraph 15, which addresses electronic submission of documents, to be a modification allowing filing and service up to 5:00 p.m. on the calendar day deadline.  All of Pacific Power’s filings, following issuance of the Prehearing Conference Order, were completed after 3:00 p.m., but before 5:00 p.m., reflecting the Company’s interpretation.</w:t>
      </w:r>
    </w:p>
    <w:p w14:paraId="7C20B5E3" w14:textId="77777777" w:rsidR="00B45032" w:rsidRDefault="00B45032" w:rsidP="00B45032">
      <w:pPr>
        <w:pStyle w:val="BodyText"/>
        <w:ind w:right="720"/>
        <w:rPr>
          <w:rFonts w:ascii="Times New Roman" w:hAnsi="Times New Roman"/>
          <w:b w:val="0"/>
        </w:rPr>
      </w:pPr>
    </w:p>
    <w:p w14:paraId="0DEEC871" w14:textId="77777777" w:rsidR="00B45032" w:rsidRDefault="00B45032" w:rsidP="00B45032">
      <w:pPr>
        <w:pStyle w:val="BodyText"/>
        <w:ind w:right="720"/>
        <w:rPr>
          <w:rFonts w:ascii="Times New Roman" w:hAnsi="Times New Roman"/>
          <w:b w:val="0"/>
        </w:rPr>
      </w:pPr>
      <w:r>
        <w:rPr>
          <w:rFonts w:ascii="Times New Roman" w:hAnsi="Times New Roman"/>
          <w:b w:val="0"/>
        </w:rPr>
        <w:lastRenderedPageBreak/>
        <w:t xml:space="preserve">While Pacific Power’s assumption, leading it apparently to misinterpret the Prehearing Conference Order in one particular, arguably should not have guided its timing of filings in this proceeding, its unchecked course of conduct </w:t>
      </w:r>
      <w:r w:rsidR="0092331A">
        <w:rPr>
          <w:rFonts w:ascii="Times New Roman" w:hAnsi="Times New Roman"/>
          <w:b w:val="0"/>
        </w:rPr>
        <w:t xml:space="preserve">in adhering to its understanding </w:t>
      </w:r>
      <w:r>
        <w:rPr>
          <w:rFonts w:ascii="Times New Roman" w:hAnsi="Times New Roman"/>
          <w:b w:val="0"/>
        </w:rPr>
        <w:t>throughout the proceeding</w:t>
      </w:r>
      <w:r w:rsidR="0092331A">
        <w:rPr>
          <w:rFonts w:ascii="Times New Roman" w:hAnsi="Times New Roman"/>
          <w:b w:val="0"/>
        </w:rPr>
        <w:t xml:space="preserve"> should have been called out by Walla Walla, another party, or the Commission itself were it perceived to be causing any prejudice. We do not think this pattern has caused any prejudice to any party during the conduct of this proceeding, nor does its filing here one hour beyond the specified time do so.</w:t>
      </w:r>
    </w:p>
    <w:p w14:paraId="1C8C5E03" w14:textId="77777777" w:rsidR="00B45032" w:rsidRPr="004516C3" w:rsidRDefault="00B45032" w:rsidP="00B45032">
      <w:pPr>
        <w:pStyle w:val="BodyText"/>
        <w:ind w:right="720"/>
        <w:rPr>
          <w:rFonts w:ascii="Times New Roman" w:hAnsi="Times New Roman"/>
          <w:b w:val="0"/>
        </w:rPr>
      </w:pPr>
    </w:p>
    <w:p w14:paraId="4FFF4D17" w14:textId="77777777" w:rsidR="001E7B86" w:rsidRPr="0092331A" w:rsidRDefault="004516C3" w:rsidP="00F363D2">
      <w:pPr>
        <w:numPr>
          <w:ilvl w:val="0"/>
          <w:numId w:val="1"/>
        </w:numPr>
        <w:spacing w:line="264" w:lineRule="auto"/>
        <w:ind w:hanging="720"/>
        <w:rPr>
          <w:rFonts w:ascii="Times New Roman" w:hAnsi="Times New Roman"/>
          <w:szCs w:val="20"/>
        </w:rPr>
      </w:pPr>
      <w:r w:rsidRPr="0092331A">
        <w:rPr>
          <w:rFonts w:ascii="Times New Roman" w:hAnsi="Times New Roman"/>
          <w:bCs/>
        </w:rPr>
        <w:t>The</w:t>
      </w:r>
      <w:r w:rsidRPr="0092331A">
        <w:rPr>
          <w:rFonts w:ascii="Times New Roman" w:hAnsi="Times New Roman"/>
        </w:rPr>
        <w:t xml:space="preserve"> Company argues that good cause exists to deny</w:t>
      </w:r>
      <w:r w:rsidR="001E7B86" w:rsidRPr="0092331A">
        <w:rPr>
          <w:rFonts w:ascii="Times New Roman" w:hAnsi="Times New Roman"/>
        </w:rPr>
        <w:t xml:space="preserve"> Walla Walla’s alternative motion in light of its explanation and because it was only 64 minutes late in filing its petition for administrative review relative to what </w:t>
      </w:r>
      <w:r w:rsidR="001E7B86" w:rsidRPr="0092331A">
        <w:rPr>
          <w:rFonts w:ascii="Times New Roman" w:hAnsi="Times New Roman"/>
          <w:szCs w:val="20"/>
        </w:rPr>
        <w:t>WAC 480-07-145(6)(a)(i) requires.</w:t>
      </w:r>
      <w:r w:rsidR="0092331A" w:rsidRPr="0092331A">
        <w:rPr>
          <w:rFonts w:ascii="Times New Roman" w:hAnsi="Times New Roman"/>
          <w:szCs w:val="20"/>
        </w:rPr>
        <w:t xml:space="preserve"> </w:t>
      </w:r>
      <w:r w:rsidR="001E7B86" w:rsidRPr="0092331A">
        <w:rPr>
          <w:rFonts w:ascii="Times New Roman" w:hAnsi="Times New Roman"/>
          <w:szCs w:val="20"/>
        </w:rPr>
        <w:t>The Commission agrees with Pacific Power that good cause exists to excuse its tardy filing.</w:t>
      </w:r>
    </w:p>
    <w:p w14:paraId="103D4772" w14:textId="77777777" w:rsidR="001E7B86" w:rsidRDefault="001E7B86" w:rsidP="004516C3">
      <w:pPr>
        <w:spacing w:line="264" w:lineRule="auto"/>
        <w:rPr>
          <w:rFonts w:ascii="Times New Roman" w:hAnsi="Times New Roman"/>
          <w:szCs w:val="20"/>
        </w:rPr>
      </w:pPr>
    </w:p>
    <w:p w14:paraId="19EA9CF5" w14:textId="77777777" w:rsidR="001E7B86" w:rsidRDefault="001E7B86" w:rsidP="00A40098">
      <w:pPr>
        <w:numPr>
          <w:ilvl w:val="0"/>
          <w:numId w:val="1"/>
        </w:numPr>
        <w:spacing w:line="264" w:lineRule="auto"/>
        <w:ind w:hanging="720"/>
        <w:rPr>
          <w:rFonts w:ascii="Times New Roman" w:hAnsi="Times New Roman"/>
        </w:rPr>
      </w:pPr>
      <w:r>
        <w:rPr>
          <w:rFonts w:ascii="Times New Roman" w:hAnsi="Times New Roman"/>
        </w:rPr>
        <w:t>Walla Walla</w:t>
      </w:r>
      <w:r w:rsidR="00E87E0A">
        <w:rPr>
          <w:rFonts w:ascii="Times New Roman" w:hAnsi="Times New Roman"/>
        </w:rPr>
        <w:t xml:space="preserve"> also </w:t>
      </w:r>
      <w:r>
        <w:rPr>
          <w:rFonts w:ascii="Times New Roman" w:hAnsi="Times New Roman"/>
        </w:rPr>
        <w:t>conten</w:t>
      </w:r>
      <w:r w:rsidR="00E87E0A">
        <w:rPr>
          <w:rFonts w:ascii="Times New Roman" w:hAnsi="Times New Roman"/>
        </w:rPr>
        <w:t>ds</w:t>
      </w:r>
      <w:r>
        <w:rPr>
          <w:rFonts w:ascii="Times New Roman" w:hAnsi="Times New Roman"/>
        </w:rPr>
        <w:t xml:space="preserve"> that Pacific Power’s petition for review should be dismissed because it </w:t>
      </w:r>
      <w:r w:rsidRPr="001E7B86">
        <w:rPr>
          <w:rFonts w:ascii="Times New Roman" w:hAnsi="Times New Roman"/>
        </w:rPr>
        <w:t>does not meet the contents requirements</w:t>
      </w:r>
      <w:r>
        <w:rPr>
          <w:rFonts w:ascii="Times New Roman" w:hAnsi="Times New Roman"/>
        </w:rPr>
        <w:t xml:space="preserve"> under </w:t>
      </w:r>
      <w:r w:rsidR="00E87E0A" w:rsidRPr="00E87E0A">
        <w:rPr>
          <w:rFonts w:ascii="Times New Roman" w:hAnsi="Times New Roman"/>
          <w:color w:val="000000"/>
          <w:szCs w:val="20"/>
        </w:rPr>
        <w:t>WAC</w:t>
      </w:r>
      <w:r w:rsidR="00E87E0A">
        <w:rPr>
          <w:rFonts w:ascii="Times New Roman" w:hAnsi="Times New Roman"/>
          <w:color w:val="000000"/>
          <w:szCs w:val="20"/>
        </w:rPr>
        <w:t xml:space="preserve"> </w:t>
      </w:r>
      <w:r w:rsidR="00E87E0A" w:rsidRPr="00E87E0A">
        <w:rPr>
          <w:rFonts w:ascii="Times New Roman" w:hAnsi="Times New Roman"/>
          <w:color w:val="000000"/>
          <w:szCs w:val="20"/>
        </w:rPr>
        <w:t>480-07-825(3)</w:t>
      </w:r>
      <w:r w:rsidR="00E87E0A">
        <w:rPr>
          <w:rFonts w:ascii="Times New Roman" w:hAnsi="Times New Roman"/>
          <w:color w:val="000000"/>
          <w:szCs w:val="20"/>
        </w:rPr>
        <w:t xml:space="preserve"> </w:t>
      </w:r>
      <w:r w:rsidRPr="001E7B86">
        <w:rPr>
          <w:rFonts w:ascii="Times New Roman" w:hAnsi="Times New Roman"/>
        </w:rPr>
        <w:t>for a petition for administrative review</w:t>
      </w:r>
      <w:r>
        <w:rPr>
          <w:rFonts w:ascii="Times New Roman" w:hAnsi="Times New Roman"/>
        </w:rPr>
        <w:t>.</w:t>
      </w:r>
      <w:r w:rsidR="00E87E0A">
        <w:rPr>
          <w:rFonts w:ascii="Times New Roman" w:hAnsi="Times New Roman"/>
        </w:rPr>
        <w:t xml:space="preserve"> Pacific Power responds with the observation that:</w:t>
      </w:r>
    </w:p>
    <w:p w14:paraId="589433DA" w14:textId="77777777" w:rsidR="00E87E0A" w:rsidRDefault="00E87E0A" w:rsidP="004516C3">
      <w:pPr>
        <w:spacing w:line="264" w:lineRule="auto"/>
        <w:rPr>
          <w:rFonts w:ascii="Times New Roman" w:hAnsi="Times New Roman"/>
        </w:rPr>
      </w:pPr>
    </w:p>
    <w:p w14:paraId="48960BA9" w14:textId="77777777" w:rsidR="00E87E0A" w:rsidRPr="004516C3" w:rsidRDefault="00E87E0A" w:rsidP="00E87E0A">
      <w:pPr>
        <w:spacing w:line="264" w:lineRule="auto"/>
        <w:ind w:left="720" w:right="720"/>
        <w:rPr>
          <w:rFonts w:ascii="Times New Roman" w:hAnsi="Times New Roman"/>
        </w:rPr>
      </w:pPr>
      <w:r>
        <w:rPr>
          <w:rFonts w:ascii="Times New Roman" w:hAnsi="Times New Roman"/>
          <w:szCs w:val="20"/>
        </w:rPr>
        <w:t xml:space="preserve">[Under] </w:t>
      </w:r>
      <w:r w:rsidRPr="00E87E0A">
        <w:rPr>
          <w:rFonts w:ascii="Times New Roman" w:hAnsi="Times New Roman"/>
          <w:szCs w:val="20"/>
        </w:rPr>
        <w:t>WAC 480-07-395(4), the Commission liberally construes pleadings and motions with a view to effect justice among the parties. At every stage of any proceeding, the Commission disregards errors or defects in pleadings, motions, or other documents that do not affect the substantial rights of the parties.</w:t>
      </w:r>
      <w:r>
        <w:rPr>
          <w:rStyle w:val="FootnoteReference"/>
          <w:rFonts w:ascii="Times New Roman" w:hAnsi="Times New Roman"/>
          <w:szCs w:val="20"/>
        </w:rPr>
        <w:footnoteReference w:id="3"/>
      </w:r>
    </w:p>
    <w:p w14:paraId="3F4A2797" w14:textId="77777777" w:rsidR="00E87E0A" w:rsidRDefault="00E87E0A" w:rsidP="00E87E0A">
      <w:pPr>
        <w:spacing w:line="288" w:lineRule="auto"/>
        <w:rPr>
          <w:rFonts w:ascii="Times New Roman" w:hAnsi="Times New Roman"/>
          <w:b/>
        </w:rPr>
      </w:pPr>
    </w:p>
    <w:p w14:paraId="1ADD937D" w14:textId="77777777" w:rsidR="00E87E0A" w:rsidRPr="00E87E0A" w:rsidRDefault="00E87E0A" w:rsidP="00B45032">
      <w:pPr>
        <w:numPr>
          <w:ilvl w:val="0"/>
          <w:numId w:val="1"/>
        </w:numPr>
        <w:spacing w:line="264" w:lineRule="auto"/>
        <w:ind w:hanging="720"/>
        <w:rPr>
          <w:rFonts w:ascii="Times New Roman" w:hAnsi="Times New Roman"/>
        </w:rPr>
      </w:pPr>
      <w:r>
        <w:rPr>
          <w:rFonts w:ascii="Times New Roman" w:hAnsi="Times New Roman"/>
        </w:rPr>
        <w:t xml:space="preserve">Pacific Power disputes that its petition for review does not meet the requirements of WAC 480-07-825(3) and discusses the organization of its pleading explaining how it does in fact conform to the requirement that </w:t>
      </w:r>
      <w:r w:rsidR="00D05218">
        <w:rPr>
          <w:rFonts w:ascii="Times New Roman" w:hAnsi="Times New Roman"/>
        </w:rPr>
        <w:t>the Company’s contentions on review be “separately stated.” The Company acknowledges that it did not “separately number” its contentions, but instead used bullet points to distinguish one from another. Pacific Power offer</w:t>
      </w:r>
      <w:r w:rsidR="0092331A">
        <w:rPr>
          <w:rFonts w:ascii="Times New Roman" w:hAnsi="Times New Roman"/>
        </w:rPr>
        <w:t>s</w:t>
      </w:r>
      <w:r w:rsidR="00D05218">
        <w:rPr>
          <w:rFonts w:ascii="Times New Roman" w:hAnsi="Times New Roman"/>
        </w:rPr>
        <w:t xml:space="preserve"> to cure this defect with an amended pleading, if required.  However, the Company </w:t>
      </w:r>
      <w:r w:rsidR="00D05218" w:rsidRPr="00D05218">
        <w:rPr>
          <w:rFonts w:ascii="Times New Roman" w:hAnsi="Times New Roman"/>
          <w:szCs w:val="20"/>
        </w:rPr>
        <w:t xml:space="preserve">urges </w:t>
      </w:r>
      <w:r w:rsidR="00D05218">
        <w:rPr>
          <w:rFonts w:ascii="Times New Roman" w:hAnsi="Times New Roman"/>
          <w:szCs w:val="20"/>
        </w:rPr>
        <w:t xml:space="preserve">that the Commission follow its rule concerning </w:t>
      </w:r>
      <w:r w:rsidR="00D05218" w:rsidRPr="00D05218">
        <w:rPr>
          <w:rFonts w:ascii="Times New Roman" w:hAnsi="Times New Roman"/>
          <w:szCs w:val="20"/>
        </w:rPr>
        <w:t xml:space="preserve">liberal construction and </w:t>
      </w:r>
      <w:r w:rsidR="00D05218">
        <w:rPr>
          <w:rFonts w:ascii="Times New Roman" w:hAnsi="Times New Roman"/>
          <w:szCs w:val="20"/>
        </w:rPr>
        <w:t>“</w:t>
      </w:r>
      <w:r w:rsidR="00D05218" w:rsidRPr="00D05218">
        <w:rPr>
          <w:rFonts w:ascii="Times New Roman" w:hAnsi="Times New Roman"/>
          <w:szCs w:val="20"/>
        </w:rPr>
        <w:t>requests that the Commission disregard any actual or perceived defect which does not affect the substantial rights of the Walla Walla Country Club.</w:t>
      </w:r>
      <w:r w:rsidR="00D05218">
        <w:rPr>
          <w:rFonts w:ascii="Times New Roman" w:hAnsi="Times New Roman"/>
          <w:szCs w:val="20"/>
        </w:rPr>
        <w:t>”</w:t>
      </w:r>
      <w:r w:rsidR="00D05218">
        <w:rPr>
          <w:rStyle w:val="FootnoteReference"/>
          <w:rFonts w:ascii="Times New Roman" w:hAnsi="Times New Roman"/>
          <w:szCs w:val="20"/>
        </w:rPr>
        <w:footnoteReference w:id="4"/>
      </w:r>
    </w:p>
    <w:p w14:paraId="416FEEC3" w14:textId="77777777" w:rsidR="00E87E0A" w:rsidRDefault="00E87E0A" w:rsidP="006C0397">
      <w:pPr>
        <w:spacing w:line="288" w:lineRule="auto"/>
        <w:jc w:val="center"/>
        <w:rPr>
          <w:rFonts w:ascii="Times New Roman" w:hAnsi="Times New Roman"/>
          <w:b/>
        </w:rPr>
      </w:pPr>
    </w:p>
    <w:p w14:paraId="7E278C32" w14:textId="77777777" w:rsidR="00E87E0A" w:rsidRDefault="00D05218" w:rsidP="00B45032">
      <w:pPr>
        <w:numPr>
          <w:ilvl w:val="0"/>
          <w:numId w:val="1"/>
        </w:numPr>
        <w:spacing w:line="264" w:lineRule="auto"/>
        <w:ind w:hanging="720"/>
        <w:rPr>
          <w:rFonts w:ascii="Times New Roman" w:hAnsi="Times New Roman"/>
        </w:rPr>
      </w:pPr>
      <w:r w:rsidRPr="00B45032">
        <w:rPr>
          <w:rFonts w:ascii="Times New Roman" w:hAnsi="Times New Roman"/>
          <w:bCs/>
        </w:rPr>
        <w:t>Although</w:t>
      </w:r>
      <w:r>
        <w:rPr>
          <w:rFonts w:ascii="Times New Roman" w:hAnsi="Times New Roman"/>
        </w:rPr>
        <w:t xml:space="preserve"> the Commission prefers that pleadings and motions conform closely and carefully to all procedural requirements, its most fundamental concern is keep substance elevated above form.  When there are departures, slight or not so slight, from strict </w:t>
      </w:r>
      <w:r>
        <w:rPr>
          <w:rFonts w:ascii="Times New Roman" w:hAnsi="Times New Roman"/>
        </w:rPr>
        <w:lastRenderedPageBreak/>
        <w:t>adherence to requirements for numbered contentions versus bulleted contentions and similar requirements</w:t>
      </w:r>
      <w:r w:rsidR="0092331A">
        <w:rPr>
          <w:rFonts w:ascii="Times New Roman" w:hAnsi="Times New Roman"/>
        </w:rPr>
        <w:t>,</w:t>
      </w:r>
      <w:r>
        <w:rPr>
          <w:rFonts w:ascii="Times New Roman" w:hAnsi="Times New Roman"/>
        </w:rPr>
        <w:t xml:space="preserve"> the Commission will construe the pleading liberally. We will do so here.</w:t>
      </w:r>
    </w:p>
    <w:p w14:paraId="4E3A66CE" w14:textId="77777777" w:rsidR="00D05218" w:rsidRDefault="00D05218" w:rsidP="00D05218">
      <w:pPr>
        <w:spacing w:line="288" w:lineRule="auto"/>
        <w:rPr>
          <w:rFonts w:ascii="Times New Roman" w:hAnsi="Times New Roman"/>
        </w:rPr>
      </w:pPr>
    </w:p>
    <w:p w14:paraId="3186C46E" w14:textId="77777777" w:rsidR="00D05218" w:rsidRPr="00D05218" w:rsidRDefault="00D05218" w:rsidP="00B45032">
      <w:pPr>
        <w:numPr>
          <w:ilvl w:val="0"/>
          <w:numId w:val="1"/>
        </w:numPr>
        <w:spacing w:line="264" w:lineRule="auto"/>
        <w:ind w:hanging="720"/>
        <w:rPr>
          <w:rFonts w:ascii="Times New Roman" w:hAnsi="Times New Roman"/>
        </w:rPr>
      </w:pPr>
      <w:r w:rsidRPr="00B45032">
        <w:rPr>
          <w:rFonts w:ascii="Times New Roman" w:hAnsi="Times New Roman"/>
          <w:bCs/>
        </w:rPr>
        <w:t>In</w:t>
      </w:r>
      <w:r>
        <w:rPr>
          <w:rFonts w:ascii="Times New Roman" w:hAnsi="Times New Roman"/>
        </w:rPr>
        <w:t xml:space="preserve"> any event, as Walla Walla’s motions make clear, and as Pacific Power observes, Walla Walla’s principal concern seems to be that it have an expanded time frame to prepare its answer to the Company’s petition for review. </w:t>
      </w:r>
      <w:r w:rsidR="00A40098">
        <w:rPr>
          <w:rFonts w:ascii="Times New Roman" w:hAnsi="Times New Roman"/>
        </w:rPr>
        <w:t xml:space="preserve">As discussed above, the Commission’s notice of procedural dates in response to Walla Walla’s motions already has expanded the time available for Walla Walla to prepare its answer. </w:t>
      </w:r>
      <w:r>
        <w:rPr>
          <w:rFonts w:ascii="Times New Roman" w:hAnsi="Times New Roman"/>
        </w:rPr>
        <w:t xml:space="preserve">Considering this, and Pacific Power’s stipulation to yet an additional ten day extension of the filing date for Walla Walla’s </w:t>
      </w:r>
      <w:r w:rsidR="00A40098">
        <w:rPr>
          <w:rFonts w:ascii="Times New Roman" w:hAnsi="Times New Roman"/>
        </w:rPr>
        <w:t>answer</w:t>
      </w:r>
      <w:r>
        <w:rPr>
          <w:rFonts w:ascii="Times New Roman" w:hAnsi="Times New Roman"/>
        </w:rPr>
        <w:t xml:space="preserve">, we will </w:t>
      </w:r>
      <w:r w:rsidR="00A40098">
        <w:rPr>
          <w:rFonts w:ascii="Times New Roman" w:hAnsi="Times New Roman"/>
        </w:rPr>
        <w:t xml:space="preserve">now </w:t>
      </w:r>
      <w:r>
        <w:rPr>
          <w:rFonts w:ascii="Times New Roman" w:hAnsi="Times New Roman"/>
        </w:rPr>
        <w:t>require</w:t>
      </w:r>
      <w:r w:rsidR="00A40098">
        <w:rPr>
          <w:rFonts w:ascii="Times New Roman" w:hAnsi="Times New Roman"/>
        </w:rPr>
        <w:t xml:space="preserve"> that Walla Walla file its answer within 15 days after the date of this order; that is, by March 8, 2016. This is one day later than the extension date requested by Walla Walla in its motions</w:t>
      </w:r>
      <w:r w:rsidR="0092331A">
        <w:rPr>
          <w:rFonts w:ascii="Times New Roman" w:hAnsi="Times New Roman"/>
        </w:rPr>
        <w:t xml:space="preserve"> and 33 days after the date Pacific Power filed its petition for review</w:t>
      </w:r>
      <w:r w:rsidR="00A40098">
        <w:rPr>
          <w:rFonts w:ascii="Times New Roman" w:hAnsi="Times New Roman"/>
        </w:rPr>
        <w:t xml:space="preserve">. </w:t>
      </w:r>
    </w:p>
    <w:p w14:paraId="1A2A7067" w14:textId="77777777" w:rsidR="00D05218" w:rsidRDefault="00D05218" w:rsidP="00D05218">
      <w:pPr>
        <w:spacing w:line="288" w:lineRule="auto"/>
        <w:rPr>
          <w:rFonts w:ascii="Times New Roman" w:hAnsi="Times New Roman"/>
          <w:b/>
        </w:rPr>
      </w:pPr>
    </w:p>
    <w:p w14:paraId="6926DAFC" w14:textId="77777777" w:rsidR="006C0397" w:rsidRPr="0092331A" w:rsidRDefault="006C0397" w:rsidP="006C0397">
      <w:pPr>
        <w:spacing w:line="288" w:lineRule="auto"/>
        <w:jc w:val="center"/>
        <w:rPr>
          <w:rFonts w:ascii="Times New Roman" w:hAnsi="Times New Roman"/>
          <w:b/>
          <w:u w:val="single"/>
        </w:rPr>
      </w:pPr>
      <w:r w:rsidRPr="0092331A">
        <w:rPr>
          <w:rFonts w:ascii="Times New Roman" w:hAnsi="Times New Roman"/>
          <w:b/>
          <w:u w:val="single"/>
        </w:rPr>
        <w:t>ORDER</w:t>
      </w:r>
      <w:r w:rsidRPr="0092331A">
        <w:rPr>
          <w:rFonts w:ascii="Times New Roman" w:hAnsi="Times New Roman"/>
          <w:b/>
          <w:u w:val="single"/>
        </w:rPr>
        <w:br/>
      </w:r>
    </w:p>
    <w:p w14:paraId="12ABDEE6" w14:textId="77777777" w:rsidR="006C0397" w:rsidRPr="006C0397" w:rsidRDefault="006C0397" w:rsidP="006C0397">
      <w:pPr>
        <w:spacing w:line="288" w:lineRule="auto"/>
        <w:rPr>
          <w:rFonts w:ascii="Times New Roman" w:hAnsi="Times New Roman"/>
        </w:rPr>
      </w:pPr>
      <w:r w:rsidRPr="006C0397">
        <w:rPr>
          <w:rFonts w:ascii="Times New Roman" w:hAnsi="Times New Roman"/>
        </w:rPr>
        <w:t>THE COMMISSION ORDERS:</w:t>
      </w:r>
      <w:r w:rsidRPr="006C0397">
        <w:rPr>
          <w:rFonts w:ascii="Times New Roman" w:hAnsi="Times New Roman"/>
        </w:rPr>
        <w:br/>
      </w:r>
    </w:p>
    <w:p w14:paraId="6692DFDD" w14:textId="77777777" w:rsidR="00A40098" w:rsidRDefault="006C0397" w:rsidP="00A70FFE">
      <w:pPr>
        <w:numPr>
          <w:ilvl w:val="0"/>
          <w:numId w:val="1"/>
        </w:numPr>
        <w:spacing w:line="288" w:lineRule="auto"/>
        <w:ind w:left="720" w:hanging="1440"/>
        <w:rPr>
          <w:rFonts w:ascii="Times New Roman" w:hAnsi="Times New Roman"/>
        </w:rPr>
      </w:pPr>
      <w:r w:rsidRPr="006C0397">
        <w:rPr>
          <w:rFonts w:ascii="Times New Roman" w:hAnsi="Times New Roman"/>
        </w:rPr>
        <w:t>(1)</w:t>
      </w:r>
      <w:r w:rsidRPr="006C0397">
        <w:rPr>
          <w:rFonts w:ascii="Times New Roman" w:hAnsi="Times New Roman"/>
        </w:rPr>
        <w:tab/>
      </w:r>
      <w:r w:rsidR="00A40098" w:rsidRPr="00A40098">
        <w:rPr>
          <w:rFonts w:ascii="Times New Roman" w:hAnsi="Times New Roman"/>
        </w:rPr>
        <w:t>The Walla Walla Country Club’s Motion To Reject Petition</w:t>
      </w:r>
      <w:r w:rsidR="00A40098">
        <w:rPr>
          <w:rFonts w:ascii="Times New Roman" w:hAnsi="Times New Roman"/>
        </w:rPr>
        <w:t xml:space="preserve"> is denied.</w:t>
      </w:r>
    </w:p>
    <w:p w14:paraId="2BA317F9" w14:textId="77777777" w:rsidR="00A70FFE" w:rsidRPr="00A40098" w:rsidRDefault="00A70FFE" w:rsidP="00A40098">
      <w:pPr>
        <w:spacing w:line="288" w:lineRule="auto"/>
        <w:ind w:left="720"/>
        <w:rPr>
          <w:rFonts w:ascii="Times New Roman" w:hAnsi="Times New Roman"/>
        </w:rPr>
      </w:pPr>
    </w:p>
    <w:p w14:paraId="2ADB7A82" w14:textId="77777777" w:rsidR="009115B2" w:rsidRDefault="000F67AB" w:rsidP="00A70FFE">
      <w:pPr>
        <w:numPr>
          <w:ilvl w:val="0"/>
          <w:numId w:val="1"/>
        </w:numPr>
        <w:spacing w:line="288" w:lineRule="auto"/>
        <w:ind w:left="720" w:hanging="1440"/>
        <w:rPr>
          <w:rFonts w:ascii="Times New Roman" w:hAnsi="Times New Roman"/>
        </w:rPr>
      </w:pPr>
      <w:r>
        <w:rPr>
          <w:rFonts w:ascii="Times New Roman" w:hAnsi="Times New Roman"/>
        </w:rPr>
        <w:t>(2)</w:t>
      </w:r>
      <w:r>
        <w:rPr>
          <w:rFonts w:ascii="Times New Roman" w:hAnsi="Times New Roman"/>
        </w:rPr>
        <w:tab/>
      </w:r>
      <w:r w:rsidR="00A40098" w:rsidRPr="00A40098">
        <w:rPr>
          <w:rFonts w:ascii="Times New Roman" w:hAnsi="Times New Roman"/>
        </w:rPr>
        <w:t xml:space="preserve">The Walla Walla Country Club’s Alternative Motion To Extend Filing Date </w:t>
      </w:r>
      <w:r w:rsidR="00A40098">
        <w:rPr>
          <w:rFonts w:ascii="Times New Roman" w:hAnsi="Times New Roman"/>
        </w:rPr>
        <w:t>f</w:t>
      </w:r>
      <w:r w:rsidR="00A40098" w:rsidRPr="00A40098">
        <w:rPr>
          <w:rFonts w:ascii="Times New Roman" w:hAnsi="Times New Roman"/>
        </w:rPr>
        <w:t>or Answer</w:t>
      </w:r>
      <w:r w:rsidR="00A40098">
        <w:rPr>
          <w:rFonts w:ascii="Times New Roman" w:hAnsi="Times New Roman"/>
        </w:rPr>
        <w:t xml:space="preserve"> is granted</w:t>
      </w:r>
      <w:r w:rsidR="009115B2" w:rsidRPr="00BB1795">
        <w:rPr>
          <w:rFonts w:ascii="Times New Roman" w:hAnsi="Times New Roman"/>
        </w:rPr>
        <w:t>.</w:t>
      </w:r>
    </w:p>
    <w:p w14:paraId="40F798E8" w14:textId="77777777" w:rsidR="00A40098" w:rsidRDefault="00A40098" w:rsidP="00A40098">
      <w:pPr>
        <w:pStyle w:val="ListParagraph"/>
        <w:rPr>
          <w:rFonts w:ascii="Times New Roman" w:hAnsi="Times New Roman"/>
        </w:rPr>
      </w:pPr>
    </w:p>
    <w:p w14:paraId="75B1C14A" w14:textId="77777777" w:rsidR="00A40098" w:rsidRPr="00BB1795" w:rsidRDefault="00A40098" w:rsidP="00A70FFE">
      <w:pPr>
        <w:numPr>
          <w:ilvl w:val="0"/>
          <w:numId w:val="1"/>
        </w:numPr>
        <w:spacing w:line="288" w:lineRule="auto"/>
        <w:ind w:left="720" w:hanging="1440"/>
        <w:rPr>
          <w:rFonts w:ascii="Times New Roman" w:hAnsi="Times New Roman"/>
        </w:rPr>
      </w:pPr>
      <w:r>
        <w:rPr>
          <w:rFonts w:ascii="Times New Roman" w:hAnsi="Times New Roman"/>
        </w:rPr>
        <w:t>(3)</w:t>
      </w:r>
      <w:r>
        <w:rPr>
          <w:rFonts w:ascii="Times New Roman" w:hAnsi="Times New Roman"/>
        </w:rPr>
        <w:tab/>
        <w:t>Walla Walla Country Club’s answer to Pacific Power’s Petition for Administrative Review of the Initial Order is due no later than March 8, 2016.</w:t>
      </w:r>
    </w:p>
    <w:p w14:paraId="3F5118E3" w14:textId="77777777" w:rsidR="00B64D29" w:rsidRPr="006C0397" w:rsidRDefault="00B64D29" w:rsidP="00B64D29">
      <w:pPr>
        <w:pStyle w:val="ListParagraph"/>
        <w:rPr>
          <w:rFonts w:ascii="Times New Roman" w:hAnsi="Times New Roman"/>
        </w:rPr>
      </w:pPr>
    </w:p>
    <w:p w14:paraId="2534909C" w14:textId="77777777" w:rsidR="00244353" w:rsidRPr="006C0397" w:rsidRDefault="00244353" w:rsidP="00DF75E1">
      <w:pPr>
        <w:spacing w:line="264" w:lineRule="auto"/>
        <w:rPr>
          <w:rFonts w:ascii="Times New Roman" w:hAnsi="Times New Roman"/>
        </w:rPr>
      </w:pPr>
      <w:r w:rsidRPr="006C0397">
        <w:rPr>
          <w:rFonts w:ascii="Times New Roman" w:hAnsi="Times New Roman"/>
        </w:rPr>
        <w:t xml:space="preserve">DATED at Olympia, Washington, and effective </w:t>
      </w:r>
      <w:r w:rsidR="00A40098">
        <w:rPr>
          <w:rFonts w:ascii="Times New Roman" w:hAnsi="Times New Roman"/>
        </w:rPr>
        <w:t>February 22</w:t>
      </w:r>
      <w:r w:rsidR="004E6658" w:rsidRPr="006C0397">
        <w:rPr>
          <w:rFonts w:ascii="Times New Roman" w:hAnsi="Times New Roman"/>
        </w:rPr>
        <w:t>, 201</w:t>
      </w:r>
      <w:r w:rsidR="00A70FFE">
        <w:rPr>
          <w:rFonts w:ascii="Times New Roman" w:hAnsi="Times New Roman"/>
        </w:rPr>
        <w:t>6</w:t>
      </w:r>
      <w:r w:rsidRPr="006C0397">
        <w:rPr>
          <w:rFonts w:ascii="Times New Roman" w:hAnsi="Times New Roman"/>
        </w:rPr>
        <w:t>.</w:t>
      </w:r>
    </w:p>
    <w:p w14:paraId="6C9C89D6" w14:textId="77777777" w:rsidR="00244353" w:rsidRPr="006C0397" w:rsidRDefault="00244353" w:rsidP="00DF75E1">
      <w:pPr>
        <w:spacing w:line="264" w:lineRule="auto"/>
        <w:rPr>
          <w:rFonts w:ascii="Times New Roman" w:hAnsi="Times New Roman"/>
        </w:rPr>
      </w:pPr>
    </w:p>
    <w:p w14:paraId="4C60B66D" w14:textId="77777777" w:rsidR="00244353" w:rsidRPr="006C0397" w:rsidRDefault="00244353" w:rsidP="00DF75E1">
      <w:pPr>
        <w:spacing w:line="264" w:lineRule="auto"/>
        <w:jc w:val="center"/>
        <w:rPr>
          <w:rFonts w:ascii="Times New Roman" w:hAnsi="Times New Roman"/>
        </w:rPr>
      </w:pPr>
      <w:r w:rsidRPr="006C0397">
        <w:rPr>
          <w:rFonts w:ascii="Times New Roman" w:hAnsi="Times New Roman"/>
        </w:rPr>
        <w:t>WASHINGTON</w:t>
      </w:r>
      <w:r w:rsidR="00CB7F45" w:rsidRPr="006C0397">
        <w:rPr>
          <w:rFonts w:ascii="Times New Roman" w:hAnsi="Times New Roman"/>
        </w:rPr>
        <w:t xml:space="preserve"> </w:t>
      </w:r>
      <w:r w:rsidRPr="006C0397">
        <w:rPr>
          <w:rFonts w:ascii="Times New Roman" w:hAnsi="Times New Roman"/>
        </w:rPr>
        <w:t>UTILITIES AND TRANSPORTATION COMMISSION</w:t>
      </w:r>
    </w:p>
    <w:p w14:paraId="35434BCA" w14:textId="77777777" w:rsidR="00244353" w:rsidRPr="006C0397" w:rsidRDefault="00244353" w:rsidP="00DF75E1">
      <w:pPr>
        <w:spacing w:line="264" w:lineRule="auto"/>
        <w:rPr>
          <w:rFonts w:ascii="Times New Roman" w:hAnsi="Times New Roman"/>
        </w:rPr>
      </w:pPr>
    </w:p>
    <w:p w14:paraId="71BF5634" w14:textId="77777777" w:rsidR="00244353" w:rsidRPr="006C0397" w:rsidRDefault="00244353" w:rsidP="00DF75E1">
      <w:pPr>
        <w:spacing w:line="264" w:lineRule="auto"/>
        <w:rPr>
          <w:rFonts w:ascii="Times New Roman" w:hAnsi="Times New Roman"/>
        </w:rPr>
      </w:pPr>
    </w:p>
    <w:p w14:paraId="545AF037" w14:textId="77777777" w:rsidR="00244353" w:rsidRPr="006C0397" w:rsidRDefault="00244353" w:rsidP="00DF75E1">
      <w:pPr>
        <w:spacing w:line="264" w:lineRule="auto"/>
        <w:rPr>
          <w:rFonts w:ascii="Times New Roman" w:hAnsi="Times New Roman"/>
        </w:rPr>
      </w:pPr>
    </w:p>
    <w:p w14:paraId="3FBE5A67" w14:textId="77777777" w:rsidR="00244353" w:rsidRPr="006C0397" w:rsidRDefault="00244353" w:rsidP="00DF75E1">
      <w:pPr>
        <w:spacing w:line="264" w:lineRule="auto"/>
        <w:rPr>
          <w:rFonts w:ascii="Times New Roman" w:hAnsi="Times New Roman"/>
        </w:rPr>
      </w:pP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005B0D05">
        <w:rPr>
          <w:rFonts w:ascii="Times New Roman" w:hAnsi="Times New Roman"/>
        </w:rPr>
        <w:t>DENNIS J. MOSS</w:t>
      </w:r>
    </w:p>
    <w:p w14:paraId="049EF4E4" w14:textId="77777777" w:rsidR="00244353" w:rsidRPr="006C0397" w:rsidRDefault="00244353" w:rsidP="00DF75E1">
      <w:pPr>
        <w:spacing w:line="264" w:lineRule="auto"/>
        <w:rPr>
          <w:rFonts w:ascii="Times New Roman" w:hAnsi="Times New Roman"/>
        </w:rPr>
      </w:pP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Pr="006C0397">
        <w:rPr>
          <w:rFonts w:ascii="Times New Roman" w:hAnsi="Times New Roman"/>
        </w:rPr>
        <w:tab/>
      </w:r>
      <w:r w:rsidR="005B0D05">
        <w:rPr>
          <w:rFonts w:ascii="Times New Roman" w:hAnsi="Times New Roman"/>
        </w:rPr>
        <w:t>Senior Review</w:t>
      </w:r>
      <w:r w:rsidR="00DD79AF" w:rsidRPr="006C0397">
        <w:rPr>
          <w:rFonts w:ascii="Times New Roman" w:hAnsi="Times New Roman"/>
        </w:rPr>
        <w:t xml:space="preserve"> Judge</w:t>
      </w:r>
    </w:p>
    <w:p w14:paraId="61258FA4" w14:textId="77777777" w:rsidR="00EE1D4A" w:rsidRDefault="00EE1D4A" w:rsidP="00DF75E1">
      <w:pPr>
        <w:spacing w:line="264" w:lineRule="auto"/>
        <w:rPr>
          <w:rFonts w:ascii="Times New Roman" w:hAnsi="Times New Roman"/>
        </w:rPr>
      </w:pPr>
    </w:p>
    <w:sectPr w:rsidR="00EE1D4A" w:rsidSect="00706D3D">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CE4D" w14:textId="77777777" w:rsidR="000520C4" w:rsidRDefault="000520C4">
      <w:r>
        <w:separator/>
      </w:r>
    </w:p>
  </w:endnote>
  <w:endnote w:type="continuationSeparator" w:id="0">
    <w:p w14:paraId="74C89543" w14:textId="77777777" w:rsidR="000520C4" w:rsidRDefault="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5BAC" w14:textId="77777777" w:rsidR="000520C4" w:rsidRDefault="000520C4">
      <w:r>
        <w:separator/>
      </w:r>
    </w:p>
  </w:footnote>
  <w:footnote w:type="continuationSeparator" w:id="0">
    <w:p w14:paraId="63635A83" w14:textId="77777777" w:rsidR="000520C4" w:rsidRDefault="000520C4">
      <w:r>
        <w:continuationSeparator/>
      </w:r>
    </w:p>
  </w:footnote>
  <w:footnote w:id="1">
    <w:p w14:paraId="5A6EFF72" w14:textId="77777777" w:rsidR="00117702" w:rsidRDefault="00117702">
      <w:pPr>
        <w:pStyle w:val="FootnoteText"/>
      </w:pPr>
      <w:r>
        <w:rPr>
          <w:rStyle w:val="FootnoteReference"/>
        </w:rPr>
        <w:footnoteRef/>
      </w:r>
      <w:r>
        <w:t xml:space="preserve"> </w:t>
      </w:r>
      <w:r w:rsidR="00D62461">
        <w:t>Pacific Power Response ¶ 3.</w:t>
      </w:r>
    </w:p>
  </w:footnote>
  <w:footnote w:id="2">
    <w:p w14:paraId="6F4AAB47" w14:textId="77777777" w:rsidR="004516C3" w:rsidRPr="004516C3" w:rsidRDefault="004516C3">
      <w:pPr>
        <w:pStyle w:val="FootnoteText"/>
      </w:pPr>
      <w:r>
        <w:rPr>
          <w:rStyle w:val="FootnoteReference"/>
        </w:rPr>
        <w:footnoteRef/>
      </w:r>
      <w:r>
        <w:t xml:space="preserve"> </w:t>
      </w:r>
      <w:r>
        <w:rPr>
          <w:i/>
        </w:rPr>
        <w:t xml:space="preserve">Id. </w:t>
      </w:r>
      <w:r>
        <w:t>¶ 2.</w:t>
      </w:r>
    </w:p>
  </w:footnote>
  <w:footnote w:id="3">
    <w:p w14:paraId="1E99AE18" w14:textId="77777777" w:rsidR="00E87E0A" w:rsidRDefault="00E87E0A">
      <w:pPr>
        <w:pStyle w:val="FootnoteText"/>
      </w:pPr>
      <w:r>
        <w:rPr>
          <w:rStyle w:val="FootnoteReference"/>
        </w:rPr>
        <w:footnoteRef/>
      </w:r>
      <w:r>
        <w:t xml:space="preserve"> Pacific Power Response ¶ 9.</w:t>
      </w:r>
    </w:p>
  </w:footnote>
  <w:footnote w:id="4">
    <w:p w14:paraId="08B88665" w14:textId="77777777" w:rsidR="00D05218" w:rsidRDefault="00D05218">
      <w:pPr>
        <w:pStyle w:val="FootnoteText"/>
      </w:pPr>
      <w:r>
        <w:rPr>
          <w:rStyle w:val="FootnoteReference"/>
        </w:rPr>
        <w:footnoteRef/>
      </w:r>
      <w:r>
        <w:t xml:space="preserve"> </w:t>
      </w:r>
      <w:r w:rsidRPr="00B210C7">
        <w:rPr>
          <w:i/>
        </w:rPr>
        <w:t>Id</w:t>
      </w:r>
      <w:r>
        <w:t>. ¶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0A28" w14:textId="77777777" w:rsidR="00DD79AF" w:rsidRDefault="008A7817">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sidR="00C52078">
      <w:rPr>
        <w:rFonts w:ascii="Times New Roman" w:hAnsi="Times New Roman"/>
        <w:b/>
        <w:bCs/>
        <w:sz w:val="20"/>
      </w:rPr>
      <w:t>UE-143932</w:t>
    </w:r>
    <w:r w:rsidR="00706D3D">
      <w:rPr>
        <w:rFonts w:ascii="Times New Roman" w:hAnsi="Times New Roman"/>
        <w:b/>
        <w:bCs/>
        <w:sz w:val="20"/>
      </w:rPr>
      <w:tab/>
    </w:r>
    <w:r w:rsidR="00706D3D">
      <w:rPr>
        <w:rFonts w:ascii="Times New Roman" w:hAnsi="Times New Roman"/>
        <w:b/>
        <w:bCs/>
        <w:sz w:val="20"/>
      </w:rPr>
      <w:tab/>
    </w:r>
    <w:r w:rsidR="00706D3D" w:rsidRPr="00DE41B1">
      <w:rPr>
        <w:rFonts w:ascii="Times New Roman" w:hAnsi="Times New Roman"/>
        <w:b/>
        <w:bCs/>
        <w:sz w:val="20"/>
      </w:rPr>
      <w:t xml:space="preserve">PAGE </w:t>
    </w:r>
    <w:r w:rsidR="00706D3D" w:rsidRPr="00DE41B1">
      <w:rPr>
        <w:rStyle w:val="PageNumber"/>
        <w:rFonts w:ascii="Times New Roman" w:hAnsi="Times New Roman"/>
        <w:b/>
        <w:bCs/>
        <w:sz w:val="20"/>
      </w:rPr>
      <w:fldChar w:fldCharType="begin"/>
    </w:r>
    <w:r w:rsidR="00706D3D" w:rsidRPr="00DE41B1">
      <w:rPr>
        <w:rStyle w:val="PageNumber"/>
        <w:rFonts w:ascii="Times New Roman" w:hAnsi="Times New Roman"/>
        <w:b/>
        <w:bCs/>
        <w:sz w:val="20"/>
      </w:rPr>
      <w:instrText xml:space="preserve"> PAGE </w:instrText>
    </w:r>
    <w:r w:rsidR="00706D3D" w:rsidRPr="00DE41B1">
      <w:rPr>
        <w:rStyle w:val="PageNumber"/>
        <w:rFonts w:ascii="Times New Roman" w:hAnsi="Times New Roman"/>
        <w:b/>
        <w:bCs/>
        <w:sz w:val="20"/>
      </w:rPr>
      <w:fldChar w:fldCharType="separate"/>
    </w:r>
    <w:r w:rsidR="008B5955">
      <w:rPr>
        <w:rStyle w:val="PageNumber"/>
        <w:rFonts w:ascii="Times New Roman" w:hAnsi="Times New Roman"/>
        <w:b/>
        <w:bCs/>
        <w:noProof/>
        <w:sz w:val="20"/>
      </w:rPr>
      <w:t>4</w:t>
    </w:r>
    <w:r w:rsidR="00706D3D" w:rsidRPr="00DE41B1">
      <w:rPr>
        <w:rStyle w:val="PageNumber"/>
        <w:rFonts w:ascii="Times New Roman" w:hAnsi="Times New Roman"/>
        <w:b/>
        <w:bCs/>
        <w:sz w:val="20"/>
      </w:rPr>
      <w:fldChar w:fldCharType="end"/>
    </w:r>
  </w:p>
  <w:p w14:paraId="1F4B840A" w14:textId="30FB457D" w:rsidR="008A7817" w:rsidRPr="00DE41B1" w:rsidRDefault="00BF445C">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w:t>
    </w:r>
    <w:r w:rsidR="000C7319">
      <w:rPr>
        <w:rFonts w:ascii="Times New Roman" w:hAnsi="Times New Roman"/>
        <w:b/>
        <w:bCs/>
        <w:sz w:val="20"/>
      </w:rPr>
      <w:t>4</w:t>
    </w:r>
  </w:p>
  <w:p w14:paraId="2F152F80" w14:textId="77777777" w:rsidR="008A7817" w:rsidRPr="00DE41B1" w:rsidRDefault="008A781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2419C" w14:textId="4C6FC263" w:rsidR="00407740" w:rsidRPr="00A6436A" w:rsidRDefault="00407740" w:rsidP="00407740">
    <w:pPr>
      <w:pStyle w:val="Header"/>
      <w:tabs>
        <w:tab w:val="clear" w:pos="4320"/>
      </w:tabs>
      <w:rPr>
        <w:rFonts w:ascii="Times New Roman" w:hAnsi="Times New Roman"/>
        <w:b/>
        <w:sz w:val="20"/>
        <w:szCs w:val="20"/>
      </w:rPr>
    </w:pPr>
    <w:r>
      <w:tab/>
    </w:r>
    <w:r w:rsidR="00A6436A" w:rsidRPr="00A6436A">
      <w:rPr>
        <w:rFonts w:ascii="Times New Roman" w:hAnsi="Times New Roman"/>
        <w:b/>
        <w:sz w:val="20"/>
        <w:szCs w:val="20"/>
      </w:rPr>
      <w:t>[Service Date February 22,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205D4"/>
    <w:rsid w:val="00030E9A"/>
    <w:rsid w:val="000314D6"/>
    <w:rsid w:val="000319D1"/>
    <w:rsid w:val="0004038C"/>
    <w:rsid w:val="000520C4"/>
    <w:rsid w:val="000642FF"/>
    <w:rsid w:val="0006527D"/>
    <w:rsid w:val="000659A1"/>
    <w:rsid w:val="00094803"/>
    <w:rsid w:val="00096D70"/>
    <w:rsid w:val="000A137B"/>
    <w:rsid w:val="000A3443"/>
    <w:rsid w:val="000A3EA7"/>
    <w:rsid w:val="000A44F1"/>
    <w:rsid w:val="000A7BFC"/>
    <w:rsid w:val="000B15C2"/>
    <w:rsid w:val="000B2D05"/>
    <w:rsid w:val="000B729B"/>
    <w:rsid w:val="000C7319"/>
    <w:rsid w:val="000D2896"/>
    <w:rsid w:val="000D3AE7"/>
    <w:rsid w:val="000D7BED"/>
    <w:rsid w:val="000E1370"/>
    <w:rsid w:val="000E5587"/>
    <w:rsid w:val="000F511E"/>
    <w:rsid w:val="000F67AB"/>
    <w:rsid w:val="00106378"/>
    <w:rsid w:val="00117702"/>
    <w:rsid w:val="00124915"/>
    <w:rsid w:val="001303B7"/>
    <w:rsid w:val="001315ED"/>
    <w:rsid w:val="00154107"/>
    <w:rsid w:val="00160880"/>
    <w:rsid w:val="00174611"/>
    <w:rsid w:val="00181BC5"/>
    <w:rsid w:val="00186F48"/>
    <w:rsid w:val="00191021"/>
    <w:rsid w:val="001922D2"/>
    <w:rsid w:val="0019347B"/>
    <w:rsid w:val="00196C8C"/>
    <w:rsid w:val="001C034E"/>
    <w:rsid w:val="001C7D58"/>
    <w:rsid w:val="001D0F7B"/>
    <w:rsid w:val="001D42BE"/>
    <w:rsid w:val="001D5FF6"/>
    <w:rsid w:val="001E12FA"/>
    <w:rsid w:val="001E7B86"/>
    <w:rsid w:val="001F2A21"/>
    <w:rsid w:val="001F69DE"/>
    <w:rsid w:val="0021016E"/>
    <w:rsid w:val="00213612"/>
    <w:rsid w:val="0022316C"/>
    <w:rsid w:val="00226C56"/>
    <w:rsid w:val="00236D5D"/>
    <w:rsid w:val="00244353"/>
    <w:rsid w:val="00250AE6"/>
    <w:rsid w:val="00264102"/>
    <w:rsid w:val="00270BE0"/>
    <w:rsid w:val="0028257F"/>
    <w:rsid w:val="00284672"/>
    <w:rsid w:val="00287BED"/>
    <w:rsid w:val="00295C89"/>
    <w:rsid w:val="002A6B3C"/>
    <w:rsid w:val="002B46D9"/>
    <w:rsid w:val="002C671A"/>
    <w:rsid w:val="002D0437"/>
    <w:rsid w:val="002E3DC1"/>
    <w:rsid w:val="00313429"/>
    <w:rsid w:val="00320E01"/>
    <w:rsid w:val="00321D34"/>
    <w:rsid w:val="00326EBA"/>
    <w:rsid w:val="00337A69"/>
    <w:rsid w:val="003453B7"/>
    <w:rsid w:val="003473D7"/>
    <w:rsid w:val="00391CF3"/>
    <w:rsid w:val="003B17B9"/>
    <w:rsid w:val="003B5581"/>
    <w:rsid w:val="003C3552"/>
    <w:rsid w:val="003D264A"/>
    <w:rsid w:val="003D67EE"/>
    <w:rsid w:val="003E12A3"/>
    <w:rsid w:val="003E6B67"/>
    <w:rsid w:val="003E74A9"/>
    <w:rsid w:val="003F025E"/>
    <w:rsid w:val="003F0D9E"/>
    <w:rsid w:val="003F5EFE"/>
    <w:rsid w:val="00404793"/>
    <w:rsid w:val="00407740"/>
    <w:rsid w:val="00422275"/>
    <w:rsid w:val="004239F3"/>
    <w:rsid w:val="00425BAD"/>
    <w:rsid w:val="004516C3"/>
    <w:rsid w:val="004532B7"/>
    <w:rsid w:val="00453DC9"/>
    <w:rsid w:val="004577AB"/>
    <w:rsid w:val="00461EDE"/>
    <w:rsid w:val="00463184"/>
    <w:rsid w:val="00465E67"/>
    <w:rsid w:val="0046617A"/>
    <w:rsid w:val="004732AD"/>
    <w:rsid w:val="00481A22"/>
    <w:rsid w:val="00483B19"/>
    <w:rsid w:val="004C312E"/>
    <w:rsid w:val="004C7F0C"/>
    <w:rsid w:val="004E33EB"/>
    <w:rsid w:val="004E4923"/>
    <w:rsid w:val="004E6658"/>
    <w:rsid w:val="004F24A0"/>
    <w:rsid w:val="004F3606"/>
    <w:rsid w:val="005103A0"/>
    <w:rsid w:val="00510E35"/>
    <w:rsid w:val="00512325"/>
    <w:rsid w:val="00512AAF"/>
    <w:rsid w:val="005136F9"/>
    <w:rsid w:val="00522D2A"/>
    <w:rsid w:val="00524026"/>
    <w:rsid w:val="00526FEE"/>
    <w:rsid w:val="00544A9C"/>
    <w:rsid w:val="005464B3"/>
    <w:rsid w:val="00551DE3"/>
    <w:rsid w:val="005533C2"/>
    <w:rsid w:val="00584F60"/>
    <w:rsid w:val="00594E57"/>
    <w:rsid w:val="00596F5E"/>
    <w:rsid w:val="00597106"/>
    <w:rsid w:val="005A0A9A"/>
    <w:rsid w:val="005A71CB"/>
    <w:rsid w:val="005B0D05"/>
    <w:rsid w:val="005B1542"/>
    <w:rsid w:val="005D0A12"/>
    <w:rsid w:val="005D606A"/>
    <w:rsid w:val="005E7E5F"/>
    <w:rsid w:val="00607FE8"/>
    <w:rsid w:val="006129A7"/>
    <w:rsid w:val="0061392A"/>
    <w:rsid w:val="00623777"/>
    <w:rsid w:val="0063560F"/>
    <w:rsid w:val="00637D74"/>
    <w:rsid w:val="006559BB"/>
    <w:rsid w:val="00657251"/>
    <w:rsid w:val="006632C0"/>
    <w:rsid w:val="00672CE8"/>
    <w:rsid w:val="00674DA7"/>
    <w:rsid w:val="00676E5B"/>
    <w:rsid w:val="00677E5E"/>
    <w:rsid w:val="00681A0B"/>
    <w:rsid w:val="006936F9"/>
    <w:rsid w:val="00694E4A"/>
    <w:rsid w:val="00696D41"/>
    <w:rsid w:val="006A05F3"/>
    <w:rsid w:val="006A3B1F"/>
    <w:rsid w:val="006A48E8"/>
    <w:rsid w:val="006C0397"/>
    <w:rsid w:val="006D47CD"/>
    <w:rsid w:val="006D6B5B"/>
    <w:rsid w:val="006E0E6F"/>
    <w:rsid w:val="006E7862"/>
    <w:rsid w:val="00706D3D"/>
    <w:rsid w:val="0070731E"/>
    <w:rsid w:val="0071419F"/>
    <w:rsid w:val="00721A70"/>
    <w:rsid w:val="00722269"/>
    <w:rsid w:val="00732F96"/>
    <w:rsid w:val="00733473"/>
    <w:rsid w:val="00735539"/>
    <w:rsid w:val="00751C9B"/>
    <w:rsid w:val="00761BFD"/>
    <w:rsid w:val="00774C4D"/>
    <w:rsid w:val="00775F05"/>
    <w:rsid w:val="00777E14"/>
    <w:rsid w:val="007A2110"/>
    <w:rsid w:val="007B0BE7"/>
    <w:rsid w:val="007B7310"/>
    <w:rsid w:val="007B7698"/>
    <w:rsid w:val="007C64BD"/>
    <w:rsid w:val="007D36F2"/>
    <w:rsid w:val="007D4DB1"/>
    <w:rsid w:val="007D5C8D"/>
    <w:rsid w:val="007E7C6F"/>
    <w:rsid w:val="007E7F2D"/>
    <w:rsid w:val="007F0842"/>
    <w:rsid w:val="0080279C"/>
    <w:rsid w:val="0080476C"/>
    <w:rsid w:val="00827233"/>
    <w:rsid w:val="008545FC"/>
    <w:rsid w:val="00855A96"/>
    <w:rsid w:val="00862108"/>
    <w:rsid w:val="0088341C"/>
    <w:rsid w:val="008A5508"/>
    <w:rsid w:val="008A7817"/>
    <w:rsid w:val="008B5955"/>
    <w:rsid w:val="008C32DC"/>
    <w:rsid w:val="008C412C"/>
    <w:rsid w:val="008D38A5"/>
    <w:rsid w:val="008E34CA"/>
    <w:rsid w:val="008F5607"/>
    <w:rsid w:val="0090024A"/>
    <w:rsid w:val="009115B2"/>
    <w:rsid w:val="0092331A"/>
    <w:rsid w:val="00944271"/>
    <w:rsid w:val="0096187A"/>
    <w:rsid w:val="00962C35"/>
    <w:rsid w:val="00962DDA"/>
    <w:rsid w:val="009712A2"/>
    <w:rsid w:val="00992486"/>
    <w:rsid w:val="00994AD9"/>
    <w:rsid w:val="0099732C"/>
    <w:rsid w:val="009A0FA1"/>
    <w:rsid w:val="009A2ACD"/>
    <w:rsid w:val="009B0FAF"/>
    <w:rsid w:val="009B6208"/>
    <w:rsid w:val="009D2361"/>
    <w:rsid w:val="009D3D53"/>
    <w:rsid w:val="009D674A"/>
    <w:rsid w:val="009E6ADE"/>
    <w:rsid w:val="009E7EEF"/>
    <w:rsid w:val="009F0A4E"/>
    <w:rsid w:val="009F2D6E"/>
    <w:rsid w:val="009F473E"/>
    <w:rsid w:val="009F61A1"/>
    <w:rsid w:val="00A0627C"/>
    <w:rsid w:val="00A1281C"/>
    <w:rsid w:val="00A205DE"/>
    <w:rsid w:val="00A2182D"/>
    <w:rsid w:val="00A27051"/>
    <w:rsid w:val="00A35F09"/>
    <w:rsid w:val="00A40098"/>
    <w:rsid w:val="00A6436A"/>
    <w:rsid w:val="00A6690E"/>
    <w:rsid w:val="00A70FFE"/>
    <w:rsid w:val="00A720C6"/>
    <w:rsid w:val="00A77E41"/>
    <w:rsid w:val="00A81198"/>
    <w:rsid w:val="00A81557"/>
    <w:rsid w:val="00A93E06"/>
    <w:rsid w:val="00A94F1F"/>
    <w:rsid w:val="00A94FB5"/>
    <w:rsid w:val="00A95875"/>
    <w:rsid w:val="00A974B5"/>
    <w:rsid w:val="00AA2342"/>
    <w:rsid w:val="00AB4D3B"/>
    <w:rsid w:val="00AB7061"/>
    <w:rsid w:val="00AB7F7B"/>
    <w:rsid w:val="00AE0644"/>
    <w:rsid w:val="00AF0348"/>
    <w:rsid w:val="00AF3350"/>
    <w:rsid w:val="00AF5CC4"/>
    <w:rsid w:val="00B210C7"/>
    <w:rsid w:val="00B22F59"/>
    <w:rsid w:val="00B26012"/>
    <w:rsid w:val="00B27CF4"/>
    <w:rsid w:val="00B42B5C"/>
    <w:rsid w:val="00B45032"/>
    <w:rsid w:val="00B52A89"/>
    <w:rsid w:val="00B52D93"/>
    <w:rsid w:val="00B5334E"/>
    <w:rsid w:val="00B54F00"/>
    <w:rsid w:val="00B60CBE"/>
    <w:rsid w:val="00B64D29"/>
    <w:rsid w:val="00B666E6"/>
    <w:rsid w:val="00B73B02"/>
    <w:rsid w:val="00B8684C"/>
    <w:rsid w:val="00B91118"/>
    <w:rsid w:val="00B947A0"/>
    <w:rsid w:val="00BA1A72"/>
    <w:rsid w:val="00BA4D5C"/>
    <w:rsid w:val="00BB1795"/>
    <w:rsid w:val="00BB347E"/>
    <w:rsid w:val="00BB6743"/>
    <w:rsid w:val="00BB69CA"/>
    <w:rsid w:val="00BC282C"/>
    <w:rsid w:val="00BC3B31"/>
    <w:rsid w:val="00BD0F02"/>
    <w:rsid w:val="00BD3995"/>
    <w:rsid w:val="00BD39C8"/>
    <w:rsid w:val="00BE02D2"/>
    <w:rsid w:val="00BE06FB"/>
    <w:rsid w:val="00BF445C"/>
    <w:rsid w:val="00BF586E"/>
    <w:rsid w:val="00C2669A"/>
    <w:rsid w:val="00C31693"/>
    <w:rsid w:val="00C32D6B"/>
    <w:rsid w:val="00C42688"/>
    <w:rsid w:val="00C43F0D"/>
    <w:rsid w:val="00C4712D"/>
    <w:rsid w:val="00C52078"/>
    <w:rsid w:val="00C52E64"/>
    <w:rsid w:val="00C5542D"/>
    <w:rsid w:val="00C64AF3"/>
    <w:rsid w:val="00C66769"/>
    <w:rsid w:val="00C7061C"/>
    <w:rsid w:val="00C7500B"/>
    <w:rsid w:val="00C90311"/>
    <w:rsid w:val="00CB3A7A"/>
    <w:rsid w:val="00CB7F45"/>
    <w:rsid w:val="00CC1C3A"/>
    <w:rsid w:val="00CC6024"/>
    <w:rsid w:val="00CD37B3"/>
    <w:rsid w:val="00CF3173"/>
    <w:rsid w:val="00D0077D"/>
    <w:rsid w:val="00D05218"/>
    <w:rsid w:val="00D12048"/>
    <w:rsid w:val="00D1211B"/>
    <w:rsid w:val="00D17F75"/>
    <w:rsid w:val="00D200E8"/>
    <w:rsid w:val="00D22CC0"/>
    <w:rsid w:val="00D23360"/>
    <w:rsid w:val="00D24308"/>
    <w:rsid w:val="00D462EC"/>
    <w:rsid w:val="00D60681"/>
    <w:rsid w:val="00D62461"/>
    <w:rsid w:val="00D6478E"/>
    <w:rsid w:val="00D756C6"/>
    <w:rsid w:val="00DA3C37"/>
    <w:rsid w:val="00DA7AEC"/>
    <w:rsid w:val="00DC00B8"/>
    <w:rsid w:val="00DC30B8"/>
    <w:rsid w:val="00DD79AF"/>
    <w:rsid w:val="00DE36C9"/>
    <w:rsid w:val="00DE37D6"/>
    <w:rsid w:val="00DE41B1"/>
    <w:rsid w:val="00DE70F0"/>
    <w:rsid w:val="00DF75E1"/>
    <w:rsid w:val="00E12541"/>
    <w:rsid w:val="00E13A07"/>
    <w:rsid w:val="00E13D9F"/>
    <w:rsid w:val="00E1623B"/>
    <w:rsid w:val="00E17031"/>
    <w:rsid w:val="00E40501"/>
    <w:rsid w:val="00E44114"/>
    <w:rsid w:val="00E55181"/>
    <w:rsid w:val="00E56887"/>
    <w:rsid w:val="00E642E6"/>
    <w:rsid w:val="00E64AEC"/>
    <w:rsid w:val="00E77EE8"/>
    <w:rsid w:val="00E87E0A"/>
    <w:rsid w:val="00E96E7A"/>
    <w:rsid w:val="00EA5F9E"/>
    <w:rsid w:val="00EB3293"/>
    <w:rsid w:val="00EC16AD"/>
    <w:rsid w:val="00EC2279"/>
    <w:rsid w:val="00EC5D55"/>
    <w:rsid w:val="00ED5998"/>
    <w:rsid w:val="00EE02B1"/>
    <w:rsid w:val="00EE1D4A"/>
    <w:rsid w:val="00EF573D"/>
    <w:rsid w:val="00F03B06"/>
    <w:rsid w:val="00F175C3"/>
    <w:rsid w:val="00F2716C"/>
    <w:rsid w:val="00F3561D"/>
    <w:rsid w:val="00F4768A"/>
    <w:rsid w:val="00F55771"/>
    <w:rsid w:val="00F7038D"/>
    <w:rsid w:val="00F751C8"/>
    <w:rsid w:val="00F8368B"/>
    <w:rsid w:val="00F8589D"/>
    <w:rsid w:val="00FB13E3"/>
    <w:rsid w:val="00FB2651"/>
    <w:rsid w:val="00FB31BE"/>
    <w:rsid w:val="00FB77B0"/>
    <w:rsid w:val="00FC375C"/>
    <w:rsid w:val="00FD49C1"/>
    <w:rsid w:val="00FD7311"/>
    <w:rsid w:val="00FE3114"/>
    <w:rsid w:val="00FE6F5F"/>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5F9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aliases w:val="o,fr,Style 3,Style 13,Style 12,Style 15,Style 17,Style 9,o1,fr1,o2,fr2,o3,fr3,Style 18,(NECG) Footnote Reference,Style 20,Style 7,Style 8,Style 19,Style 28,Style 11,Style 16,Styl"/>
    <w:rPr>
      <w:vertAlign w:val="superscript"/>
    </w:rPr>
  </w:style>
  <w:style w:type="paragraph" w:styleId="FootnoteText">
    <w:name w:val="footnote text"/>
    <w:basedOn w:val="Normal"/>
    <w:link w:val="FootnoteTextChar"/>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 w:type="character" w:customStyle="1" w:styleId="HeaderChar">
    <w:name w:val="Header Char"/>
    <w:basedOn w:val="DefaultParagraphFont"/>
    <w:link w:val="Header"/>
    <w:uiPriority w:val="99"/>
    <w:rsid w:val="00407740"/>
    <w:rPr>
      <w:rFonts w:ascii="Palatino Linotype" w:hAnsi="Palatino Linotype"/>
      <w:sz w:val="24"/>
      <w:szCs w:val="24"/>
    </w:rPr>
  </w:style>
  <w:style w:type="character" w:customStyle="1" w:styleId="FootnoteTextChar">
    <w:name w:val="Footnote Text Char"/>
    <w:basedOn w:val="DefaultParagraphFont"/>
    <w:link w:val="FootnoteText"/>
    <w:semiHidden/>
    <w:rsid w:val="004516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2016-02-22T08:00:00+00:00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379FE-D3BB-4B3A-934A-F615C6B5DAC0}"/>
</file>

<file path=customXml/itemProps2.xml><?xml version="1.0" encoding="utf-8"?>
<ds:datastoreItem xmlns:ds="http://schemas.openxmlformats.org/officeDocument/2006/customXml" ds:itemID="{B48AC7C6-D5D1-4430-84A4-512F9C9E67E6}"/>
</file>

<file path=customXml/itemProps3.xml><?xml version="1.0" encoding="utf-8"?>
<ds:datastoreItem xmlns:ds="http://schemas.openxmlformats.org/officeDocument/2006/customXml" ds:itemID="{459ABAEA-E37B-41D2-B491-0F97107AB5E3}"/>
</file>

<file path=customXml/itemProps4.xml><?xml version="1.0" encoding="utf-8"?>
<ds:datastoreItem xmlns:ds="http://schemas.openxmlformats.org/officeDocument/2006/customXml" ds:itemID="{0210533D-8FC9-4519-9F9F-D73D4A732A8F}"/>
</file>

<file path=customXml/itemProps5.xml><?xml version="1.0" encoding="utf-8"?>
<ds:datastoreItem xmlns:ds="http://schemas.openxmlformats.org/officeDocument/2006/customXml" ds:itemID="{26173DBD-E440-47E5-B4DD-26A6AD9141F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6693</Characters>
  <Application>Microsoft Office Word</Application>
  <DocSecurity>0</DocSecurity>
  <Lines>55</Lines>
  <Paragraphs>15</Paragraphs>
  <ScaleCrop>false</ScaleCrop>
  <LinksUpToDate>false</LinksUpToDate>
  <CharactersWithSpaces>7958</CharactersWithSpaces>
  <SharedDoc>false</SharedDoc>
  <HLinks>
    <vt:vector size="48" baseType="variant">
      <vt:variant>
        <vt:i4>524328</vt:i4>
      </vt:variant>
      <vt:variant>
        <vt:i4>21</vt:i4>
      </vt:variant>
      <vt:variant>
        <vt:i4>0</vt:i4>
      </vt:variant>
      <vt:variant>
        <vt:i4>5</vt:i4>
      </vt:variant>
      <vt:variant>
        <vt:lpwstr>mailto:sms@witherspoonkelley.com</vt:lpwstr>
      </vt:variant>
      <vt:variant>
        <vt:lpwstr/>
      </vt:variant>
      <vt:variant>
        <vt:i4>6881367</vt:i4>
      </vt:variant>
      <vt:variant>
        <vt:i4>18</vt:i4>
      </vt:variant>
      <vt:variant>
        <vt:i4>0</vt:i4>
      </vt:variant>
      <vt:variant>
        <vt:i4>5</vt:i4>
      </vt:variant>
      <vt:variant>
        <vt:lpwstr>mailto:grossman@minnickhayner.com</vt:lpwstr>
      </vt:variant>
      <vt:variant>
        <vt:lpwstr/>
      </vt:variant>
      <vt:variant>
        <vt:i4>4980833</vt:i4>
      </vt:variant>
      <vt:variant>
        <vt:i4>15</vt:i4>
      </vt:variant>
      <vt:variant>
        <vt:i4>0</vt:i4>
      </vt:variant>
      <vt:variant>
        <vt:i4>5</vt:i4>
      </vt:variant>
      <vt:variant>
        <vt:lpwstr>mailto:jec@dvclaw.com</vt:lpwstr>
      </vt:variant>
      <vt:variant>
        <vt:lpwstr/>
      </vt:variant>
      <vt:variant>
        <vt:i4>131174</vt:i4>
      </vt:variant>
      <vt:variant>
        <vt:i4>12</vt:i4>
      </vt:variant>
      <vt:variant>
        <vt:i4>0</vt:i4>
      </vt:variant>
      <vt:variant>
        <vt:i4>5</vt:i4>
      </vt:variant>
      <vt:variant>
        <vt:lpwstr>mailto:rpearson@utc.wa.gov</vt:lpwstr>
      </vt:variant>
      <vt:variant>
        <vt:lpwstr/>
      </vt:variant>
      <vt:variant>
        <vt:i4>5374008</vt:i4>
      </vt:variant>
      <vt:variant>
        <vt:i4>9</vt:i4>
      </vt:variant>
      <vt:variant>
        <vt:i4>0</vt:i4>
      </vt:variant>
      <vt:variant>
        <vt:i4>5</vt:i4>
      </vt:variant>
      <vt:variant>
        <vt:lpwstr>mailto:records@utc.wa.gov</vt:lpwstr>
      </vt:variant>
      <vt:variant>
        <vt:lpwstr/>
      </vt:variant>
      <vt:variant>
        <vt:i4>4194335</vt:i4>
      </vt:variant>
      <vt:variant>
        <vt:i4>6</vt:i4>
      </vt:variant>
      <vt:variant>
        <vt:i4>0</vt:i4>
      </vt:variant>
      <vt:variant>
        <vt:i4>5</vt:i4>
      </vt:variant>
      <vt:variant>
        <vt:lpwstr>http://www.utc.wa.gov/efiling</vt:lpwstr>
      </vt:variant>
      <vt:variant>
        <vt:lpwstr/>
      </vt:variant>
      <vt:variant>
        <vt:i4>262192</vt:i4>
      </vt:variant>
      <vt:variant>
        <vt:i4>3</vt:i4>
      </vt:variant>
      <vt:variant>
        <vt:i4>0</vt:i4>
      </vt:variant>
      <vt:variant>
        <vt:i4>5</vt:i4>
      </vt:variant>
      <vt:variant>
        <vt:lpwstr>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2016-02-22T20:29:00Z</dcterms:created>
  <dcterms:modified xsi:type="dcterms:W3CDTF">2016-02-22T20:29:00Z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