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bookmarkStart w:id="0" w:name="_GoBack"/>
      <w:bookmarkEnd w:id="0"/>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r>
        <w:rPr>
          <w:b/>
          <w:bCs/>
        </w:rPr>
        <w:t>BEFORE THE</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firstLine="720"/>
        <w:jc w:val="center"/>
        <w:outlineLvl w:val="0"/>
        <w:rPr>
          <w:b/>
          <w:bCs/>
        </w:rPr>
      </w:pPr>
      <w:smartTag w:uri="urn:schemas-microsoft-com:office:smarttags" w:element="place">
        <w:smartTag w:uri="urn:schemas-microsoft-com:office:smarttags" w:element="State">
          <w:r>
            <w:rPr>
              <w:b/>
              <w:bCs/>
            </w:rPr>
            <w:t>WASHINGTON</w:t>
          </w:r>
        </w:smartTag>
      </w:smartTag>
      <w:r>
        <w:rPr>
          <w:b/>
          <w:bCs/>
        </w:rPr>
        <w:t xml:space="preserve"> UTILITIES </w:t>
      </w:r>
      <w:smartTag w:uri="urn:schemas-microsoft-com:office:smarttags" w:element="stockticker">
        <w:r>
          <w:rPr>
            <w:b/>
            <w:bCs/>
          </w:rPr>
          <w:t>AND</w:t>
        </w:r>
      </w:smartTag>
      <w:r>
        <w:rPr>
          <w:b/>
          <w:bCs/>
        </w:rPr>
        <w:t xml:space="preserve"> TRANSPORTATION COMMISSION</w:t>
      </w:r>
    </w:p>
    <w:p w:rsidR="00D21F7B" w:rsidRDefault="00D21F7B">
      <w:pPr>
        <w:pStyle w:val="BodyTextIndent"/>
        <w:keepNext/>
        <w:tabs>
          <w:tab w:val="clear" w:pos="0"/>
          <w:tab w:val="clear" w:pos="720"/>
          <w:tab w:val="left" w:pos="1260"/>
          <w:tab w:val="left" w:pos="1440"/>
          <w:tab w:val="left" w:pos="2160"/>
          <w:tab w:val="left" w:pos="2880"/>
          <w:tab w:val="left" w:pos="3600"/>
        </w:tabs>
        <w:ind w:firstLine="720"/>
        <w:outlineLvl w:val="0"/>
      </w:pP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ab/>
      </w:r>
      <w:r>
        <w:tab/>
        <w:t>)</w:t>
      </w:r>
      <w: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rPr>
          <w:lang w:val="fr-FR"/>
        </w:rPr>
      </w:pPr>
      <w:r>
        <w:t>TRANSPORTATION COMMISSION</w:t>
      </w:r>
      <w:r>
        <w:tab/>
        <w:t>)</w:t>
      </w:r>
      <w:r>
        <w:tab/>
        <w:t xml:space="preserve">DOCKETS </w:t>
      </w:r>
      <w:r>
        <w:rPr>
          <w:lang w:val="fr-FR"/>
        </w:rPr>
        <w:t>UE-150204 and</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ind w:left="4320" w:hanging="4320"/>
        <w:outlineLvl w:val="0"/>
      </w:pPr>
      <w:r>
        <w:rPr>
          <w:lang w:val="fr-FR"/>
        </w:rPr>
        <w:tab/>
      </w:r>
      <w:r>
        <w:rPr>
          <w:lang w:val="fr-FR"/>
        </w:rPr>
        <w:tab/>
      </w:r>
      <w:r>
        <w:rPr>
          <w:lang w:val="fr-FR"/>
        </w:rPr>
        <w:tab/>
      </w:r>
      <w:r>
        <w:rPr>
          <w:lang w:val="fr-FR"/>
        </w:rPr>
        <w:tab/>
      </w:r>
      <w:r>
        <w:rPr>
          <w:lang w:val="fr-FR"/>
        </w:rPr>
        <w:tab/>
        <w:t xml:space="preserve">            )        </w:t>
      </w:r>
      <w:r w:rsidR="008E51F3">
        <w:rPr>
          <w:lang w:val="fr-FR"/>
        </w:rPr>
        <w:tab/>
      </w:r>
      <w:r>
        <w:rPr>
          <w:lang w:val="fr-FR"/>
        </w:rPr>
        <w:t>UG-150205 (</w:t>
      </w:r>
      <w:proofErr w:type="spellStart"/>
      <w:r>
        <w:rPr>
          <w:i/>
          <w:lang w:val="fr-FR"/>
        </w:rPr>
        <w:t>Consolidated</w:t>
      </w:r>
      <w:proofErr w:type="spellEnd"/>
      <w:r>
        <w:rPr>
          <w:lang w:val="fr-FR"/>
        </w:rPr>
        <w:t xml:space="preserve">) </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rPr>
          <w:lang w:val="fr-FR"/>
        </w:rPr>
      </w:pPr>
      <w:r>
        <w:rPr>
          <w:lang w:val="fr-FR"/>
        </w:rPr>
        <w:tab/>
      </w:r>
      <w:r>
        <w:rPr>
          <w:lang w:val="fr-FR"/>
        </w:rPr>
        <w:tab/>
      </w:r>
      <w:r>
        <w:rPr>
          <w:lang w:val="fr-FR"/>
        </w:rPr>
        <w:tab/>
      </w:r>
      <w:r>
        <w:rPr>
          <w:lang w:val="fr-FR"/>
        </w:rPr>
        <w:tab/>
      </w:r>
      <w:r>
        <w:rPr>
          <w:lang w:val="fr-FR"/>
        </w:rPr>
        <w:tab/>
      </w:r>
      <w:r>
        <w:rPr>
          <w:lang w:val="fr-FR"/>
        </w:rPr>
        <w:tab/>
        <w:t>)</w:t>
      </w:r>
      <w:r>
        <w:rPr>
          <w:lang w:val="fr-FR"/>
        </w:rP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rPr>
          <w:lang w:val="fr-FR"/>
        </w:rPr>
        <w:tab/>
      </w:r>
      <w:r>
        <w:rPr>
          <w:lang w:val="fr-FR"/>
        </w:rPr>
        <w:tab/>
      </w:r>
      <w:r>
        <w:rPr>
          <w:lang w:val="fr-FR"/>
        </w:rPr>
        <w:tab/>
        <w:t>Complainant,</w:t>
      </w:r>
      <w:r>
        <w:rPr>
          <w:lang w:val="fr-FR"/>
        </w:rPr>
        <w:tab/>
      </w:r>
      <w:r>
        <w:rPr>
          <w:lang w:val="fr-FR"/>
        </w:rPr>
        <w:tab/>
        <w:t>)</w:t>
      </w:r>
      <w:r>
        <w:rPr>
          <w:lang w:val="fr-FR"/>
        </w:rP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r>
        <w:rPr>
          <w:lang w:val="fr-FR"/>
        </w:rPr>
        <w:t>)</w:t>
      </w:r>
      <w:r>
        <w:rPr>
          <w:lang w:val="fr-FR"/>
        </w:rP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proofErr w:type="gramStart"/>
      <w:r>
        <w:t>v</w:t>
      </w:r>
      <w:proofErr w:type="gramEnd"/>
      <w:r>
        <w:t>.</w:t>
      </w:r>
      <w:r>
        <w:tab/>
      </w:r>
      <w:r>
        <w:tab/>
      </w:r>
      <w:r>
        <w:tab/>
      </w:r>
      <w:r>
        <w:tab/>
      </w:r>
      <w:r>
        <w:tab/>
      </w:r>
      <w:r>
        <w:tab/>
        <w:t>)</w:t>
      </w:r>
      <w: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t>)</w:t>
      </w:r>
      <w:r>
        <w:tab/>
      </w:r>
      <w:r w:rsidR="008E51F3">
        <w:t xml:space="preserve">MULTIPARTY </w:t>
      </w:r>
      <w:r>
        <w:t xml:space="preserve">SETTLEMENT </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AVISTA CORPORATION d/b/a</w:t>
      </w:r>
      <w:r>
        <w:tab/>
      </w:r>
      <w:r>
        <w:tab/>
        <w:t>)</w:t>
      </w:r>
      <w:r>
        <w:tab/>
      </w:r>
      <w:r w:rsidR="008E51F3">
        <w:t>STIPULATION</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jc w:val="left"/>
        <w:outlineLvl w:val="0"/>
      </w:pPr>
      <w:r>
        <w:t>AVISTA UTILITIES</w:t>
      </w:r>
      <w:r>
        <w:tab/>
      </w:r>
      <w:r>
        <w:tab/>
      </w:r>
      <w:r>
        <w:tab/>
      </w:r>
      <w:r>
        <w:tab/>
        <w:t>)</w:t>
      </w:r>
      <w:r>
        <w:tab/>
      </w:r>
      <w:r>
        <w:tab/>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proofErr w:type="gramStart"/>
      <w:r>
        <w:t>Respondent.</w:t>
      </w:r>
      <w:proofErr w:type="gramEnd"/>
      <w:r>
        <w:tab/>
      </w:r>
      <w:r>
        <w:tab/>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w:t>
      </w:r>
    </w:p>
    <w:p w:rsidR="00D21F7B" w:rsidRDefault="00D24EB8">
      <w:pPr>
        <w:pStyle w:val="BodyTextIndent"/>
        <w:keepNext/>
        <w:tabs>
          <w:tab w:val="clear" w:pos="0"/>
          <w:tab w:val="clear" w:pos="720"/>
          <w:tab w:val="left" w:pos="1260"/>
          <w:tab w:val="left" w:pos="1440"/>
          <w:tab w:val="left" w:pos="2160"/>
          <w:tab w:val="left" w:pos="2880"/>
          <w:tab w:val="left" w:pos="3600"/>
        </w:tabs>
        <w:spacing w:line="240" w:lineRule="auto"/>
        <w:outlineLvl w:val="0"/>
      </w:pPr>
      <w:r>
        <w:tab/>
      </w:r>
      <w:r>
        <w:tab/>
      </w:r>
      <w:r>
        <w:tab/>
      </w:r>
      <w:r>
        <w:tab/>
      </w:r>
      <w:r>
        <w:tab/>
      </w:r>
      <w:r>
        <w:tab/>
      </w: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1F7B">
      <w:pPr>
        <w:pStyle w:val="BodyTextIndent"/>
        <w:keepNext/>
        <w:tabs>
          <w:tab w:val="clear" w:pos="0"/>
          <w:tab w:val="clear" w:pos="720"/>
          <w:tab w:val="left" w:pos="1260"/>
          <w:tab w:val="left" w:pos="1440"/>
          <w:tab w:val="left" w:pos="2160"/>
          <w:tab w:val="left" w:pos="2880"/>
          <w:tab w:val="left" w:pos="3600"/>
        </w:tabs>
        <w:spacing w:line="240" w:lineRule="auto"/>
        <w:outlineLvl w:val="0"/>
      </w:pPr>
    </w:p>
    <w:p w:rsidR="00D21F7B" w:rsidRDefault="00D24EB8">
      <w:pPr>
        <w:pStyle w:val="BodyTextIndent"/>
        <w:keepNext/>
        <w:numPr>
          <w:ilvl w:val="0"/>
          <w:numId w:val="1"/>
        </w:numPr>
        <w:tabs>
          <w:tab w:val="clear" w:pos="0"/>
          <w:tab w:val="clear" w:pos="720"/>
          <w:tab w:val="left" w:pos="1260"/>
          <w:tab w:val="left" w:pos="2160"/>
          <w:tab w:val="left" w:pos="2880"/>
          <w:tab w:val="left" w:pos="3600"/>
        </w:tabs>
        <w:jc w:val="center"/>
        <w:outlineLvl w:val="0"/>
        <w:rPr>
          <w:b/>
        </w:rPr>
      </w:pPr>
      <w:r>
        <w:rPr>
          <w:b/>
        </w:rPr>
        <w:t>PARTIES</w:t>
      </w:r>
    </w:p>
    <w:p w:rsidR="00D21F7B" w:rsidRDefault="00D24EB8">
      <w:pPr>
        <w:pStyle w:val="BodyTextIndent"/>
        <w:keepNext/>
        <w:numPr>
          <w:ilvl w:val="1"/>
          <w:numId w:val="1"/>
        </w:numPr>
        <w:tabs>
          <w:tab w:val="clear" w:pos="0"/>
          <w:tab w:val="clear" w:pos="1980"/>
          <w:tab w:val="num" w:pos="720"/>
          <w:tab w:val="left" w:pos="1260"/>
          <w:tab w:val="left" w:pos="1440"/>
          <w:tab w:val="left" w:pos="2160"/>
          <w:tab w:val="left" w:pos="2880"/>
          <w:tab w:val="left" w:pos="3600"/>
        </w:tabs>
        <w:ind w:left="90" w:hanging="90"/>
        <w:outlineLvl w:val="0"/>
      </w:pPr>
      <w:r>
        <w:t xml:space="preserve">This </w:t>
      </w:r>
      <w:r w:rsidR="008E51F3">
        <w:t>Multiparty Settlement</w:t>
      </w:r>
      <w:r>
        <w:t xml:space="preserve"> Stipulation is entered into by Avista Corporation (“Avista” or the “Company”), the Staff of the Washington Utilities and Transportation Commission (“Staff”), the Public Counsel Unit of the Washington Office of Attorney General (“Public Counsel”), Northwest Industrial Gas Users (“NWIGU”), </w:t>
      </w:r>
      <w:r w:rsidR="008E51F3">
        <w:t xml:space="preserve">and </w:t>
      </w:r>
      <w:r>
        <w:t>the Industrial Customers of Northwest Utilities (“ICNU”), jointly referred to herein as the “Parties.”  Accordingly, this represents a “</w:t>
      </w:r>
      <w:r w:rsidR="008E51F3">
        <w:t>Multiparty Settlement</w:t>
      </w:r>
      <w:r>
        <w:t xml:space="preserve">” under WAC 480-07-730.  The Parties agree that this </w:t>
      </w:r>
      <w:r w:rsidR="008E51F3">
        <w:t>Multiparty Settlement</w:t>
      </w:r>
      <w:r>
        <w:t xml:space="preserve"> Stipulation (hereinafter “</w:t>
      </w:r>
      <w:r w:rsidR="008E51F3">
        <w:t>Multiparty Settlement</w:t>
      </w:r>
      <w:r>
        <w:t>” or “Stipulation”) is in the public interest and should be accepted by the Commission as a partial resolution of the known issues in these dockets.</w:t>
      </w:r>
      <w:r w:rsidR="008E51F3" w:rsidRPr="008E51F3">
        <w:rPr>
          <w:rStyle w:val="FootnoteReference"/>
          <w:vertAlign w:val="superscript"/>
        </w:rPr>
        <w:footnoteReference w:id="1"/>
      </w:r>
      <w:r>
        <w:t xml:space="preserve">  The Parties understand this </w:t>
      </w:r>
      <w:r w:rsidR="008E51F3">
        <w:t>Multiparty Settlement</w:t>
      </w:r>
      <w:r>
        <w:t xml:space="preserve"> Stipulation is </w:t>
      </w:r>
      <w:r>
        <w:lastRenderedPageBreak/>
        <w:t>subject to approval of the Washington Utilities and Transportation Commission (the “Commission”).</w:t>
      </w:r>
    </w:p>
    <w:p w:rsidR="00D21F7B" w:rsidRDefault="00D21F7B">
      <w:pPr>
        <w:pStyle w:val="BodyTextIndent"/>
        <w:keepNext/>
        <w:tabs>
          <w:tab w:val="clear" w:pos="0"/>
          <w:tab w:val="clear" w:pos="720"/>
          <w:tab w:val="left" w:pos="1260"/>
          <w:tab w:val="left" w:pos="2160"/>
          <w:tab w:val="left" w:pos="2880"/>
          <w:tab w:val="left" w:pos="3600"/>
        </w:tabs>
        <w:ind w:left="720"/>
        <w:jc w:val="center"/>
        <w:outlineLvl w:val="0"/>
        <w:rPr>
          <w:b/>
        </w:rPr>
      </w:pPr>
    </w:p>
    <w:p w:rsidR="00D21F7B" w:rsidRDefault="00D24EB8">
      <w:pPr>
        <w:pStyle w:val="BodyTextIndent"/>
        <w:keepNext/>
        <w:tabs>
          <w:tab w:val="clear" w:pos="0"/>
          <w:tab w:val="clear" w:pos="720"/>
          <w:tab w:val="left" w:pos="1260"/>
          <w:tab w:val="left" w:pos="2160"/>
          <w:tab w:val="left" w:pos="2880"/>
          <w:tab w:val="left" w:pos="3600"/>
        </w:tabs>
        <w:ind w:left="720"/>
        <w:jc w:val="center"/>
        <w:outlineLvl w:val="0"/>
        <w:rPr>
          <w:b/>
        </w:rPr>
      </w:pPr>
      <w:r>
        <w:rPr>
          <w:b/>
        </w:rPr>
        <w:t>II</w:t>
      </w:r>
      <w:proofErr w:type="gramStart"/>
      <w:r>
        <w:rPr>
          <w:b/>
        </w:rPr>
        <w:t>.  INTRODUCTION</w:t>
      </w:r>
      <w:proofErr w:type="gramEnd"/>
    </w:p>
    <w:p w:rsidR="00D21F7B" w:rsidRDefault="00D24EB8">
      <w:pPr>
        <w:pStyle w:val="BodyTextIndent"/>
        <w:keepNext/>
        <w:tabs>
          <w:tab w:val="clear" w:pos="0"/>
          <w:tab w:val="left" w:pos="2160"/>
          <w:tab w:val="left" w:pos="2880"/>
          <w:tab w:val="left" w:pos="3600"/>
        </w:tabs>
        <w:outlineLvl w:val="0"/>
      </w:pPr>
      <w:r>
        <w:t>2.</w:t>
      </w:r>
      <w:r>
        <w:tab/>
        <w:t xml:space="preserve">On February 9, 2015, Avista filed with the Commission certain tariff revisions designed to increase general rates for electric service (Docket UE-150204) and natural gas service (Docket UG-150205) in the State of Washington.  Avista requested an increase in electric base rates of $33.2 million, or 6.6 percent, and an increase in natural gas base rates of $12.1 million, or 6.9 percent.  On February 20, 2015, the Commission entered Order 01 suspending the tariff revisions and setting Dockets UE-150204 and UG-150205 for hearing and determination pursuant to WAC 480-07-320.  Representatives of all Parties appeared telephonically at a Settlement Conference held on April 24, 2015, which was held for the purpose of narrowing or resolving the contested issues in this proceeding.  Subsequent discussions led to this </w:t>
      </w:r>
      <w:r w:rsidR="008E51F3">
        <w:t>Multiparty Settlement</w:t>
      </w:r>
      <w:r>
        <w:t xml:space="preserve"> Stipulation.</w:t>
      </w:r>
    </w:p>
    <w:p w:rsidR="00D21F7B" w:rsidRDefault="00D24EB8">
      <w:pPr>
        <w:spacing w:line="480" w:lineRule="auto"/>
        <w:jc w:val="both"/>
      </w:pPr>
      <w:r>
        <w:t>3.</w:t>
      </w:r>
      <w:r>
        <w:tab/>
        <w:t xml:space="preserve">The </w:t>
      </w:r>
      <w:r w:rsidR="007410EE">
        <w:t xml:space="preserve">signing </w:t>
      </w:r>
      <w:r>
        <w:t xml:space="preserve">Parties have reached a </w:t>
      </w:r>
      <w:r w:rsidR="008E51F3">
        <w:t>Multiparty Settlement</w:t>
      </w:r>
      <w:r>
        <w:t xml:space="preserve"> of several issues in this proceeding.  If approved, this </w:t>
      </w:r>
      <w:r w:rsidR="008E51F3">
        <w:t>Multiparty Settlement</w:t>
      </w:r>
      <w:r>
        <w:t xml:space="preserve"> would resolve all issues pertaining to cost of capital, power supply, </w:t>
      </w:r>
      <w:proofErr w:type="gramStart"/>
      <w:r>
        <w:t>rate</w:t>
      </w:r>
      <w:proofErr w:type="gramEnd"/>
      <w:r>
        <w:t xml:space="preserve"> spread and rate design.  The Parties, therefore, adopt the following </w:t>
      </w:r>
      <w:r w:rsidR="008E51F3">
        <w:t>Multiparty Settlement</w:t>
      </w:r>
      <w:r>
        <w:t xml:space="preserve"> Stipulation in the interest of reaching a fair disposition of certain issues in this proceeding and wish to present their agreement for the Commission’s consideration and approval.</w:t>
      </w:r>
    </w:p>
    <w:p w:rsidR="00D21F7B" w:rsidRDefault="00D24EB8">
      <w:pPr>
        <w:spacing w:line="480" w:lineRule="auto"/>
        <w:jc w:val="center"/>
        <w:rPr>
          <w:b/>
        </w:rPr>
      </w:pPr>
      <w:r>
        <w:rPr>
          <w:b/>
        </w:rPr>
        <w:t>III.</w:t>
      </w:r>
      <w:r>
        <w:rPr>
          <w:b/>
        </w:rPr>
        <w:tab/>
        <w:t>AGREEMENT</w:t>
      </w:r>
    </w:p>
    <w:p w:rsidR="00D21F7B" w:rsidRDefault="00D24EB8">
      <w:pPr>
        <w:ind w:right="-4"/>
      </w:pPr>
      <w:r>
        <w:t>4.</w:t>
      </w:r>
      <w:r>
        <w:tab/>
      </w:r>
      <w:r>
        <w:rPr>
          <w:u w:val="single"/>
        </w:rPr>
        <w:t>Cost of Capital.</w:t>
      </w:r>
      <w:r>
        <w:t xml:space="preserve">  The Parties agree to the following cost of capital components:</w:t>
      </w:r>
    </w:p>
    <w:p w:rsidR="00D21F7B" w:rsidRDefault="00D21F7B">
      <w:pPr>
        <w:ind w:right="-4"/>
        <w:rPr>
          <w:szCs w:val="24"/>
        </w:rPr>
      </w:pPr>
    </w:p>
    <w:bookmarkStart w:id="1" w:name="_MON_1491116345"/>
    <w:bookmarkEnd w:id="1"/>
    <w:p w:rsidR="00D21F7B" w:rsidRDefault="00D21F7B">
      <w:pPr>
        <w:ind w:right="-4"/>
        <w:jc w:val="center"/>
        <w:rPr>
          <w:szCs w:val="24"/>
        </w:rPr>
      </w:pPr>
      <w:r w:rsidRPr="00D21F7B">
        <w:rPr>
          <w:szCs w:val="24"/>
        </w:rPr>
        <w:object w:dxaOrig="5969" w:dyaOrig="1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84pt" o:ole="">
            <v:imagedata r:id="rId8" o:title=""/>
          </v:shape>
          <o:OLEObject Type="Embed" ProgID="Excel.Sheet.12" ShapeID="_x0000_i1025" DrawAspect="Content" ObjectID="_1491986621" r:id="rId9"/>
        </w:object>
      </w:r>
    </w:p>
    <w:p w:rsidR="00D21F7B" w:rsidRDefault="00D21F7B">
      <w:pPr>
        <w:spacing w:line="480" w:lineRule="auto"/>
        <w:jc w:val="both"/>
      </w:pPr>
    </w:p>
    <w:p w:rsidR="00D21F7B" w:rsidRDefault="00D24EB8">
      <w:pPr>
        <w:spacing w:line="480" w:lineRule="auto"/>
        <w:jc w:val="both"/>
      </w:pPr>
      <w:r>
        <w:t>5.</w:t>
      </w:r>
      <w:r>
        <w:tab/>
      </w:r>
      <w:r>
        <w:rPr>
          <w:u w:val="single"/>
        </w:rPr>
        <w:t>Power Supply.</w:t>
      </w:r>
      <w:r>
        <w:t xml:space="preserve">  </w:t>
      </w:r>
    </w:p>
    <w:p w:rsidR="00D21F7B" w:rsidRDefault="00D24EB8">
      <w:pPr>
        <w:pStyle w:val="ListParagraph"/>
        <w:numPr>
          <w:ilvl w:val="0"/>
          <w:numId w:val="8"/>
        </w:numPr>
        <w:spacing w:line="480" w:lineRule="auto"/>
        <w:ind w:right="-4"/>
        <w:jc w:val="both"/>
        <w:rPr>
          <w:rFonts w:ascii="Times New Roman" w:hAnsi="Times New Roman"/>
          <w:sz w:val="24"/>
        </w:rPr>
      </w:pPr>
      <w:r>
        <w:rPr>
          <w:rFonts w:ascii="Times New Roman" w:hAnsi="Times New Roman"/>
          <w:sz w:val="24"/>
          <w:u w:val="single"/>
        </w:rPr>
        <w:t>Power Supply Update</w:t>
      </w:r>
      <w:r>
        <w:rPr>
          <w:rFonts w:ascii="Times New Roman" w:hAnsi="Times New Roman"/>
          <w:sz w:val="24"/>
        </w:rPr>
        <w:t xml:space="preserve"> – The Parties agree that Avista shall file with the Commission an updated Power Supply adjustment two months before new electric retail rates from this electric Docket go into effect.</w:t>
      </w:r>
      <w:r>
        <w:rPr>
          <w:rStyle w:val="FootnoteReference"/>
          <w:rFonts w:ascii="Times New Roman" w:hAnsi="Times New Roman"/>
          <w:sz w:val="24"/>
          <w:vertAlign w:val="superscript"/>
        </w:rPr>
        <w:footnoteReference w:id="2"/>
      </w:r>
    </w:p>
    <w:p w:rsidR="00D21F7B" w:rsidRDefault="00D24EB8">
      <w:pPr>
        <w:pStyle w:val="ListParagraph"/>
        <w:numPr>
          <w:ilvl w:val="0"/>
          <w:numId w:val="8"/>
        </w:numPr>
        <w:spacing w:line="480" w:lineRule="auto"/>
        <w:ind w:right="-4"/>
        <w:jc w:val="both"/>
        <w:rPr>
          <w:rFonts w:ascii="Times New Roman" w:hAnsi="Times New Roman"/>
          <w:sz w:val="24"/>
        </w:rPr>
      </w:pPr>
      <w:r>
        <w:rPr>
          <w:rFonts w:ascii="Times New Roman" w:hAnsi="Times New Roman"/>
          <w:sz w:val="24"/>
          <w:u w:val="single"/>
        </w:rPr>
        <w:t>Specified Adjustments to Power Supply Costs</w:t>
      </w:r>
      <w:r>
        <w:rPr>
          <w:rFonts w:ascii="Times New Roman" w:hAnsi="Times New Roman"/>
          <w:sz w:val="24"/>
        </w:rPr>
        <w:t xml:space="preserve"> – The Parties agree with the new base Power Supply costs filed by the Company, with the following specified adjustments:</w:t>
      </w:r>
    </w:p>
    <w:p w:rsidR="00D21F7B" w:rsidRDefault="00D24EB8">
      <w:pPr>
        <w:pStyle w:val="ListParagraph"/>
        <w:numPr>
          <w:ilvl w:val="0"/>
          <w:numId w:val="9"/>
        </w:numPr>
        <w:spacing w:line="480" w:lineRule="auto"/>
        <w:ind w:right="-4" w:firstLine="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Correction for AURORA</w:t>
      </w:r>
      <w:r>
        <w:rPr>
          <w:rFonts w:ascii="Times New Roman" w:hAnsi="Times New Roman"/>
          <w:sz w:val="20"/>
          <w:u w:val="single"/>
          <w:vertAlign w:val="subscript"/>
        </w:rPr>
        <w:t>XMP</w:t>
      </w:r>
      <w:r>
        <w:rPr>
          <w:rFonts w:ascii="Times New Roman" w:hAnsi="Times New Roman"/>
          <w:sz w:val="24"/>
          <w:u w:val="single"/>
        </w:rPr>
        <w:t xml:space="preserve"> Coding Error</w:t>
      </w:r>
      <w:r>
        <w:rPr>
          <w:rFonts w:ascii="Times New Roman" w:hAnsi="Times New Roman"/>
          <w:sz w:val="24"/>
        </w:rPr>
        <w:t>:  The AURORA</w:t>
      </w:r>
      <w:r>
        <w:rPr>
          <w:rFonts w:ascii="Times New Roman" w:hAnsi="Times New Roman"/>
          <w:sz w:val="24"/>
          <w:vertAlign w:val="subscript"/>
        </w:rPr>
        <w:t>XMP</w:t>
      </w:r>
      <w:r>
        <w:rPr>
          <w:rFonts w:ascii="Times New Roman" w:hAnsi="Times New Roman"/>
          <w:sz w:val="24"/>
        </w:rPr>
        <w:t xml:space="preserve"> power supply model contains the functionality to calculate the mark-to-market value of the financial transactions entered into in the pro forma year by calculating the “gain” or “loss” of each transaction by comparing the fixed price of the transactions compared to the modeled energy price in AURORA</w:t>
      </w:r>
      <w:r>
        <w:rPr>
          <w:rFonts w:ascii="Times New Roman" w:hAnsi="Times New Roman"/>
          <w:sz w:val="24"/>
          <w:vertAlign w:val="subscript"/>
        </w:rPr>
        <w:t>XMP</w:t>
      </w:r>
      <w:r>
        <w:rPr>
          <w:rFonts w:ascii="Times New Roman" w:hAnsi="Times New Roman"/>
          <w:sz w:val="24"/>
        </w:rPr>
        <w:t>.  An enhancement of the AURORA</w:t>
      </w:r>
      <w:r>
        <w:rPr>
          <w:rFonts w:ascii="Times New Roman" w:hAnsi="Times New Roman"/>
          <w:sz w:val="24"/>
          <w:vertAlign w:val="subscript"/>
        </w:rPr>
        <w:t>XMP</w:t>
      </w:r>
      <w:r>
        <w:rPr>
          <w:rFonts w:ascii="Times New Roman" w:hAnsi="Times New Roman"/>
          <w:sz w:val="24"/>
        </w:rPr>
        <w:t xml:space="preserve"> model by EPIS in late 2014 contained an incorrect calculation of the mark-to-market function, which the Company discovered in April 2015.</w:t>
      </w:r>
      <w:r w:rsidR="007A2AB8" w:rsidRPr="007A2AB8">
        <w:rPr>
          <w:rStyle w:val="FootnoteReference"/>
          <w:rFonts w:ascii="Times New Roman" w:hAnsi="Times New Roman"/>
          <w:sz w:val="24"/>
          <w:vertAlign w:val="superscript"/>
        </w:rPr>
        <w:footnoteReference w:id="3"/>
      </w:r>
      <w:r>
        <w:rPr>
          <w:rFonts w:ascii="Times New Roman" w:hAnsi="Times New Roman"/>
          <w:sz w:val="24"/>
        </w:rPr>
        <w:t xml:space="preserve"> The logic in the model essentially reversed the signs so that a gain became a loss and a loss was reflected as a gain.  The effect of this correction is a reduction in power supply expense of approximately $6.9 million (Washington basis).  </w:t>
      </w:r>
    </w:p>
    <w:p w:rsidR="00D21F7B" w:rsidRDefault="00D24EB8">
      <w:pPr>
        <w:pStyle w:val="ListParagraph"/>
        <w:numPr>
          <w:ilvl w:val="0"/>
          <w:numId w:val="9"/>
        </w:numPr>
        <w:spacing w:line="480" w:lineRule="auto"/>
        <w:ind w:right="-4" w:firstLine="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Chelan PUD Contract Expense</w:t>
      </w:r>
      <w:r>
        <w:rPr>
          <w:rFonts w:ascii="Times New Roman" w:hAnsi="Times New Roman"/>
          <w:sz w:val="24"/>
        </w:rPr>
        <w:t xml:space="preserve">:  During the development of the power supply costs for the rate case, the Company had been working with Chelan PUD regarding a planned auction for Chelan to sell a 5% share of Rocky Reach/Rock </w:t>
      </w:r>
      <w:r>
        <w:rPr>
          <w:rFonts w:ascii="Times New Roman" w:hAnsi="Times New Roman"/>
          <w:sz w:val="24"/>
        </w:rPr>
        <w:lastRenderedPageBreak/>
        <w:t xml:space="preserve">Island output for the 2016 through 2020 period.  The Company included an estimate of the expected purchase price in the pro forma; however, on March 17, 2015, the Company was able to purchase the output at a lower price than what was included in the rate case.  The actual purchase price for 2016 is $5.5 million less (on a system basis) than the estimate.  The effect of this update is a reduction in power supply expense of $3.6 million (Washington basis).  </w:t>
      </w:r>
    </w:p>
    <w:p w:rsidR="00147AA7" w:rsidRDefault="00D24EB8" w:rsidP="00147AA7">
      <w:pPr>
        <w:pStyle w:val="ListParagraph"/>
        <w:numPr>
          <w:ilvl w:val="0"/>
          <w:numId w:val="9"/>
        </w:numPr>
        <w:spacing w:line="480" w:lineRule="auto"/>
        <w:ind w:right="-4" w:firstLine="0"/>
        <w:jc w:val="both"/>
        <w:rPr>
          <w:rFonts w:ascii="Times New Roman" w:hAnsi="Times New Roman"/>
          <w:sz w:val="24"/>
        </w:rPr>
      </w:pPr>
      <w:r w:rsidRPr="00147AA7">
        <w:rPr>
          <w:rFonts w:ascii="Times New Roman" w:hAnsi="Times New Roman"/>
          <w:sz w:val="24"/>
          <w:u w:val="single"/>
        </w:rPr>
        <w:t>Hydro Station Service</w:t>
      </w:r>
      <w:r w:rsidRPr="00147AA7">
        <w:rPr>
          <w:rFonts w:ascii="Times New Roman" w:hAnsi="Times New Roman"/>
          <w:sz w:val="24"/>
        </w:rPr>
        <w:t xml:space="preserve">:  The modeled station service included for the Noxon, Little Falls, and Long Lake hydro facilities will be removed from the Company’s power supply adjustment.  The effect of this adjustment is an estimated reduction in power supply expense of $28,000 (Washington basis). </w:t>
      </w:r>
    </w:p>
    <w:p w:rsidR="00147AA7" w:rsidRPr="00147AA7" w:rsidRDefault="00D24EB8" w:rsidP="00147AA7">
      <w:pPr>
        <w:pStyle w:val="ListParagraph"/>
        <w:numPr>
          <w:ilvl w:val="0"/>
          <w:numId w:val="9"/>
        </w:numPr>
        <w:spacing w:line="480" w:lineRule="auto"/>
        <w:ind w:right="-4" w:firstLine="0"/>
        <w:jc w:val="both"/>
        <w:rPr>
          <w:rFonts w:ascii="Times New Roman" w:hAnsi="Times New Roman"/>
          <w:sz w:val="24"/>
        </w:rPr>
      </w:pPr>
      <w:r w:rsidRPr="00147AA7">
        <w:rPr>
          <w:rFonts w:ascii="Times New Roman" w:hAnsi="Times New Roman"/>
          <w:sz w:val="24"/>
          <w:u w:val="single"/>
        </w:rPr>
        <w:t>Colstrip and CS2 Thermal O&amp;M</w:t>
      </w:r>
      <w:r w:rsidRPr="00147AA7">
        <w:rPr>
          <w:rFonts w:ascii="Times New Roman" w:hAnsi="Times New Roman"/>
          <w:sz w:val="24"/>
        </w:rPr>
        <w:t xml:space="preserve">:  O&amp;M costs related to Coyote Springs II and Colstrip will be removed from the base Power Supply costs.  The effect of this adjustment is an estimated reduction in power supply expense of $3.6 million (Washington </w:t>
      </w:r>
      <w:r w:rsidR="00D13288" w:rsidRPr="00147AA7">
        <w:rPr>
          <w:rFonts w:ascii="Times New Roman" w:hAnsi="Times New Roman"/>
          <w:sz w:val="24"/>
        </w:rPr>
        <w:t>basis</w:t>
      </w:r>
      <w:r w:rsidRPr="00147AA7">
        <w:rPr>
          <w:rFonts w:ascii="Times New Roman" w:hAnsi="Times New Roman"/>
          <w:sz w:val="24"/>
        </w:rPr>
        <w:t xml:space="preserve">).  </w:t>
      </w:r>
      <w:r w:rsidR="00D13288" w:rsidRPr="00147AA7">
        <w:rPr>
          <w:rFonts w:ascii="Times New Roman" w:hAnsi="Times New Roman"/>
          <w:sz w:val="24"/>
        </w:rPr>
        <w:t xml:space="preserve">The revenue requirement related to these costs will be addressed during the remainder of the case. </w:t>
      </w:r>
    </w:p>
    <w:p w:rsidR="00D21F7B" w:rsidRPr="00147AA7" w:rsidRDefault="00D24EB8" w:rsidP="00147AA7">
      <w:pPr>
        <w:pStyle w:val="ListParagraph"/>
        <w:numPr>
          <w:ilvl w:val="0"/>
          <w:numId w:val="8"/>
        </w:numPr>
        <w:spacing w:line="480" w:lineRule="auto"/>
        <w:ind w:right="-4"/>
        <w:jc w:val="both"/>
        <w:rPr>
          <w:rFonts w:ascii="Times New Roman" w:hAnsi="Times New Roman"/>
          <w:sz w:val="24"/>
        </w:rPr>
      </w:pPr>
      <w:r w:rsidRPr="00147AA7">
        <w:rPr>
          <w:rFonts w:ascii="Times New Roman" w:hAnsi="Times New Roman"/>
          <w:sz w:val="24"/>
          <w:u w:val="single"/>
        </w:rPr>
        <w:t xml:space="preserve">Other Adjustments to Power Supply Costs </w:t>
      </w:r>
      <w:r w:rsidRPr="00147AA7">
        <w:rPr>
          <w:rFonts w:ascii="Times New Roman" w:hAnsi="Times New Roman"/>
          <w:sz w:val="24"/>
        </w:rPr>
        <w:t xml:space="preserve">– The Parties agree </w:t>
      </w:r>
      <w:r w:rsidR="00D13288" w:rsidRPr="00147AA7">
        <w:rPr>
          <w:rFonts w:ascii="Times New Roman" w:hAnsi="Times New Roman"/>
          <w:sz w:val="24"/>
        </w:rPr>
        <w:t>to an additional adjustment</w:t>
      </w:r>
      <w:r w:rsidRPr="00147AA7">
        <w:rPr>
          <w:rFonts w:ascii="Times New Roman" w:hAnsi="Times New Roman"/>
          <w:sz w:val="24"/>
        </w:rPr>
        <w:t xml:space="preserve"> to the new base Power Supply costs filed by the Company, </w:t>
      </w:r>
      <w:r w:rsidR="00D13288" w:rsidRPr="00147AA7">
        <w:rPr>
          <w:rFonts w:ascii="Times New Roman" w:hAnsi="Times New Roman"/>
          <w:sz w:val="24"/>
        </w:rPr>
        <w:t>following discussions</w:t>
      </w:r>
      <w:r w:rsidRPr="00147AA7">
        <w:rPr>
          <w:rFonts w:ascii="Times New Roman" w:hAnsi="Times New Roman"/>
          <w:sz w:val="24"/>
        </w:rPr>
        <w:t xml:space="preserve"> by the Parties.  </w:t>
      </w:r>
      <w:r w:rsidR="002D6603">
        <w:rPr>
          <w:rFonts w:ascii="Times New Roman" w:hAnsi="Times New Roman"/>
          <w:sz w:val="24"/>
        </w:rPr>
        <w:t>T</w:t>
      </w:r>
      <w:r w:rsidRPr="00147AA7">
        <w:rPr>
          <w:rFonts w:ascii="Times New Roman" w:hAnsi="Times New Roman"/>
          <w:sz w:val="24"/>
        </w:rPr>
        <w:t>he Parties agree that it would be fair and reasonable to further reduce power supply expense by $</w:t>
      </w:r>
      <w:r w:rsidR="00D13288" w:rsidRPr="00147AA7">
        <w:rPr>
          <w:rFonts w:ascii="Times New Roman" w:hAnsi="Times New Roman"/>
          <w:sz w:val="24"/>
        </w:rPr>
        <w:t>1</w:t>
      </w:r>
      <w:r w:rsidRPr="00147AA7">
        <w:rPr>
          <w:rFonts w:ascii="Times New Roman" w:hAnsi="Times New Roman"/>
          <w:sz w:val="24"/>
        </w:rPr>
        <w:t>.5 million.</w:t>
      </w:r>
      <w:r w:rsidR="00D13288" w:rsidRPr="00147AA7">
        <w:rPr>
          <w:rFonts w:ascii="Times New Roman" w:hAnsi="Times New Roman"/>
          <w:sz w:val="24"/>
        </w:rPr>
        <w:t xml:space="preserve">  At the time that power supply costs are updated pursuant to Section 5.</w:t>
      </w:r>
      <w:r w:rsidR="00147AA7">
        <w:rPr>
          <w:rFonts w:ascii="Times New Roman" w:hAnsi="Times New Roman"/>
          <w:sz w:val="24"/>
        </w:rPr>
        <w:t xml:space="preserve"> a</w:t>
      </w:r>
      <w:r w:rsidR="00D13288" w:rsidRPr="00147AA7">
        <w:rPr>
          <w:rFonts w:ascii="Times New Roman" w:hAnsi="Times New Roman"/>
          <w:sz w:val="24"/>
        </w:rPr>
        <w:t xml:space="preserve">) </w:t>
      </w:r>
      <w:proofErr w:type="gramStart"/>
      <w:r w:rsidR="00D13288" w:rsidRPr="00147AA7">
        <w:rPr>
          <w:rFonts w:ascii="Times New Roman" w:hAnsi="Times New Roman"/>
          <w:sz w:val="24"/>
        </w:rPr>
        <w:t>above</w:t>
      </w:r>
      <w:proofErr w:type="gramEnd"/>
      <w:r w:rsidR="00D13288" w:rsidRPr="00147AA7">
        <w:rPr>
          <w:rFonts w:ascii="Times New Roman" w:hAnsi="Times New Roman"/>
          <w:sz w:val="24"/>
        </w:rPr>
        <w:t xml:space="preserve">, the resulting power supply costs will be reduced by $1.5 million on a Washington basis. </w:t>
      </w:r>
      <w:r w:rsidRPr="00147AA7">
        <w:rPr>
          <w:rFonts w:ascii="Times New Roman" w:hAnsi="Times New Roman"/>
          <w:sz w:val="24"/>
        </w:rPr>
        <w:t xml:space="preserve"> </w:t>
      </w:r>
    </w:p>
    <w:p w:rsidR="00D21F7B" w:rsidRDefault="00D24EB8">
      <w:pPr>
        <w:pStyle w:val="ListParagraph"/>
        <w:numPr>
          <w:ilvl w:val="0"/>
          <w:numId w:val="8"/>
        </w:numPr>
        <w:spacing w:line="480" w:lineRule="auto"/>
        <w:ind w:right="-4"/>
        <w:jc w:val="both"/>
        <w:rPr>
          <w:rFonts w:ascii="Times New Roman" w:hAnsi="Times New Roman"/>
          <w:sz w:val="24"/>
        </w:rPr>
      </w:pPr>
      <w:r>
        <w:rPr>
          <w:rFonts w:ascii="Times New Roman" w:hAnsi="Times New Roman"/>
          <w:sz w:val="24"/>
          <w:u w:val="single"/>
        </w:rPr>
        <w:t>ERM Annual Rate Adjustments</w:t>
      </w:r>
      <w:r>
        <w:rPr>
          <w:rFonts w:ascii="Times New Roman" w:hAnsi="Times New Roman"/>
          <w:sz w:val="24"/>
        </w:rPr>
        <w:t xml:space="preserve"> – The Parties agree that the ERM rate adjustment trigger will remain at $30 million, as approved in Docket UE-120436.</w:t>
      </w:r>
    </w:p>
    <w:p w:rsidR="00D21F7B" w:rsidRDefault="00D24EB8">
      <w:pPr>
        <w:pStyle w:val="ListParagraph"/>
        <w:numPr>
          <w:ilvl w:val="0"/>
          <w:numId w:val="8"/>
        </w:numPr>
        <w:spacing w:line="480" w:lineRule="auto"/>
        <w:ind w:right="-4"/>
        <w:jc w:val="both"/>
        <w:rPr>
          <w:rFonts w:ascii="Times New Roman" w:hAnsi="Times New Roman"/>
          <w:sz w:val="24"/>
        </w:rPr>
      </w:pPr>
      <w:r>
        <w:rPr>
          <w:rFonts w:ascii="Times New Roman" w:hAnsi="Times New Roman"/>
          <w:sz w:val="24"/>
          <w:u w:val="single"/>
        </w:rPr>
        <w:t>Retail Revenue Adjustment</w:t>
      </w:r>
      <w:r>
        <w:rPr>
          <w:rFonts w:ascii="Times New Roman" w:hAnsi="Times New Roman"/>
          <w:sz w:val="24"/>
        </w:rPr>
        <w:t xml:space="preserve"> – Avista proposed that the name of the Retail Revenue Credit be changed to the Load Change Adjustment Rate.  The Parties agree that the proper name should be Retail Revenue Adjustment. Furthermore, the Parties agree that the methodology for calculating the Retail Revenue Adjustment will not change and will remain the same as approved in Docket UE-140188.</w:t>
      </w:r>
    </w:p>
    <w:p w:rsidR="00D21F7B" w:rsidRDefault="00D21F7B">
      <w:pPr>
        <w:rPr>
          <w:szCs w:val="24"/>
        </w:rPr>
      </w:pPr>
    </w:p>
    <w:p w:rsidR="00D21F7B" w:rsidRDefault="002D6603">
      <w:pPr>
        <w:rPr>
          <w:szCs w:val="24"/>
        </w:rPr>
      </w:pPr>
      <w:r>
        <w:rPr>
          <w:szCs w:val="24"/>
        </w:rPr>
        <w:t>6</w:t>
      </w:r>
      <w:r w:rsidR="00D24EB8">
        <w:rPr>
          <w:szCs w:val="24"/>
        </w:rPr>
        <w:t xml:space="preserve">.  </w:t>
      </w:r>
      <w:r w:rsidR="00D24EB8">
        <w:rPr>
          <w:szCs w:val="24"/>
        </w:rPr>
        <w:tab/>
      </w:r>
      <w:r w:rsidR="00D24EB8">
        <w:rPr>
          <w:szCs w:val="24"/>
          <w:u w:val="single"/>
        </w:rPr>
        <w:t>Electric Rate Spread/Rate Design.</w:t>
      </w:r>
    </w:p>
    <w:p w:rsidR="00D21F7B" w:rsidRDefault="00D21F7B">
      <w:pPr>
        <w:rPr>
          <w:szCs w:val="24"/>
        </w:rPr>
      </w:pPr>
    </w:p>
    <w:p w:rsidR="00D21F7B" w:rsidRDefault="00D24EB8">
      <w:pPr>
        <w:pStyle w:val="ListParagraph"/>
        <w:numPr>
          <w:ilvl w:val="0"/>
          <w:numId w:val="3"/>
        </w:numPr>
        <w:spacing w:line="480" w:lineRule="auto"/>
        <w:ind w:left="1080"/>
        <w:jc w:val="both"/>
        <w:rPr>
          <w:rFonts w:ascii="Times New Roman" w:hAnsi="Times New Roman"/>
          <w:sz w:val="24"/>
          <w:szCs w:val="24"/>
        </w:rPr>
      </w:pPr>
      <w:r>
        <w:rPr>
          <w:rFonts w:ascii="Times New Roman" w:hAnsi="Times New Roman"/>
          <w:sz w:val="24"/>
          <w:szCs w:val="24"/>
        </w:rPr>
        <w:t xml:space="preserve">Electric Cost of Service/Rate Spread – </w:t>
      </w:r>
      <w:r>
        <w:rPr>
          <w:rFonts w:ascii="Times New Roman" w:hAnsi="Times New Roman"/>
          <w:sz w:val="24"/>
        </w:rPr>
        <w:t>The Parties agree to apply an equal percentage of revenue increase for purposes of spreading the revised electric revenue requirement. The Parties, however, do not agree on a specific Cost of Service methodology.</w:t>
      </w:r>
    </w:p>
    <w:p w:rsidR="00D21F7B" w:rsidRDefault="00D24EB8">
      <w:pPr>
        <w:pStyle w:val="ListParagraph"/>
        <w:numPr>
          <w:ilvl w:val="0"/>
          <w:numId w:val="3"/>
        </w:numPr>
        <w:spacing w:line="480" w:lineRule="auto"/>
        <w:ind w:left="1080"/>
        <w:jc w:val="both"/>
        <w:rPr>
          <w:rFonts w:ascii="Times New Roman" w:hAnsi="Times New Roman"/>
          <w:sz w:val="24"/>
          <w:szCs w:val="24"/>
        </w:rPr>
      </w:pPr>
      <w:r>
        <w:rPr>
          <w:rFonts w:ascii="Times New Roman" w:hAnsi="Times New Roman"/>
          <w:sz w:val="24"/>
          <w:szCs w:val="24"/>
        </w:rPr>
        <w:t xml:space="preserve">Electric Rate Design – </w:t>
      </w:r>
    </w:p>
    <w:p w:rsidR="00D21F7B" w:rsidRDefault="00D24EB8">
      <w:pPr>
        <w:pStyle w:val="ListParagraph"/>
        <w:numPr>
          <w:ilvl w:val="1"/>
          <w:numId w:val="3"/>
        </w:numPr>
        <w:tabs>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The Schedule 1 Basic Charge will remain at $8.50 per month, with the revenue spread to the volumetric rates on a uniform percentage basis.</w:t>
      </w:r>
    </w:p>
    <w:p w:rsidR="00D21F7B" w:rsidRDefault="00D24EB8">
      <w:pPr>
        <w:pStyle w:val="ListParagraph"/>
        <w:numPr>
          <w:ilvl w:val="1"/>
          <w:numId w:val="3"/>
        </w:numPr>
        <w:tabs>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For the rate design of Schedule 25, the revenue change applicable to the schedule will be spread on a uniform percentage basis to the three energy block rates;</w:t>
      </w:r>
      <w:r w:rsidR="00F20CCB">
        <w:rPr>
          <w:rFonts w:ascii="Times New Roman" w:hAnsi="Times New Roman"/>
          <w:sz w:val="24"/>
          <w:szCs w:val="24"/>
        </w:rPr>
        <w:t xml:space="preserve"> </w:t>
      </w:r>
      <w:r>
        <w:rPr>
          <w:rFonts w:ascii="Times New Roman" w:hAnsi="Times New Roman"/>
          <w:sz w:val="24"/>
          <w:szCs w:val="24"/>
        </w:rPr>
        <w:t>however, t</w:t>
      </w:r>
      <w:r w:rsidR="007A2AB8" w:rsidRPr="007A2AB8">
        <w:rPr>
          <w:rFonts w:ascii="Times New Roman" w:hAnsi="Times New Roman"/>
          <w:sz w:val="24"/>
          <w:szCs w:val="24"/>
        </w:rPr>
        <w:t xml:space="preserve">he increase to the third energy block will be adjusted, if necessary, so that the largest customer served on Schedule 25 receives the same percentage increase as the overall revenue increase in this case.  </w:t>
      </w:r>
      <w:r>
        <w:rPr>
          <w:rFonts w:ascii="Times New Roman" w:hAnsi="Times New Roman"/>
          <w:sz w:val="24"/>
          <w:szCs w:val="24"/>
        </w:rPr>
        <w:t xml:space="preserve">The demand charge for the first 3,000 kVa will remain $21,000 per month, and the variable demand charge will remain at $6.00 per kVa over 3,000 kVa per month. </w:t>
      </w:r>
    </w:p>
    <w:p w:rsidR="00D21F7B" w:rsidRDefault="00D24EB8">
      <w:pPr>
        <w:pStyle w:val="ListParagraph"/>
        <w:numPr>
          <w:ilvl w:val="1"/>
          <w:numId w:val="3"/>
        </w:numPr>
        <w:tabs>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The Rate Design for all other Schedules will be as follows:</w:t>
      </w:r>
    </w:p>
    <w:p w:rsidR="00D21F7B" w:rsidRDefault="00D24EB8">
      <w:pPr>
        <w:pStyle w:val="ListParagraph"/>
        <w:numPr>
          <w:ilvl w:val="0"/>
          <w:numId w:val="4"/>
        </w:numPr>
        <w:spacing w:line="480" w:lineRule="auto"/>
        <w:ind w:hanging="180"/>
        <w:contextualSpacing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Schedules 11/12 </w:t>
      </w:r>
      <w:r>
        <w:rPr>
          <w:rFonts w:ascii="Times New Roman" w:hAnsi="Times New Roman"/>
          <w:sz w:val="24"/>
          <w:szCs w:val="24"/>
        </w:rPr>
        <w:t xml:space="preserve">will </w:t>
      </w:r>
      <w:r>
        <w:rPr>
          <w:rFonts w:ascii="Times New Roman" w:eastAsia="Times New Roman" w:hAnsi="Times New Roman"/>
          <w:bCs/>
          <w:noProof/>
          <w:sz w:val="24"/>
          <w:szCs w:val="24"/>
        </w:rPr>
        <w:t xml:space="preserve">have an increase in the Basic Charge from $18.00 to $20.00 per month, and a uniform percentage rate change to blocks.  In addition, the demand charge </w:t>
      </w:r>
      <w:r>
        <w:rPr>
          <w:rFonts w:ascii="Times New Roman" w:hAnsi="Times New Roman"/>
          <w:sz w:val="24"/>
          <w:szCs w:val="24"/>
        </w:rPr>
        <w:t xml:space="preserve">will </w:t>
      </w:r>
      <w:r>
        <w:rPr>
          <w:rFonts w:ascii="Times New Roman" w:eastAsia="Times New Roman" w:hAnsi="Times New Roman"/>
          <w:bCs/>
          <w:noProof/>
          <w:sz w:val="24"/>
          <w:szCs w:val="24"/>
        </w:rPr>
        <w:t>increase from $6.00 to $6.50 per kilowatt for all demand in excess of 20 kW per month.</w:t>
      </w:r>
    </w:p>
    <w:p w:rsidR="00D21F7B" w:rsidRDefault="00D24EB8">
      <w:pPr>
        <w:pStyle w:val="ListParagraph"/>
        <w:numPr>
          <w:ilvl w:val="0"/>
          <w:numId w:val="4"/>
        </w:numPr>
        <w:spacing w:line="480" w:lineRule="auto"/>
        <w:ind w:hanging="180"/>
        <w:contextualSpacing w:val="0"/>
        <w:jc w:val="both"/>
        <w:rPr>
          <w:rFonts w:ascii="Times New Roman" w:eastAsia="Times New Roman" w:hAnsi="Times New Roman"/>
          <w:noProof/>
          <w:sz w:val="24"/>
          <w:szCs w:val="24"/>
        </w:rPr>
      </w:pPr>
      <w:r>
        <w:rPr>
          <w:rFonts w:ascii="Times New Roman" w:eastAsia="Times New Roman" w:hAnsi="Times New Roman"/>
          <w:bCs/>
          <w:noProof/>
          <w:sz w:val="24"/>
          <w:szCs w:val="24"/>
        </w:rPr>
        <w:t xml:space="preserve">Schedules 21/22 </w:t>
      </w:r>
      <w:r>
        <w:rPr>
          <w:rFonts w:ascii="Times New Roman" w:hAnsi="Times New Roman"/>
          <w:sz w:val="24"/>
          <w:szCs w:val="24"/>
        </w:rPr>
        <w:t xml:space="preserve">will </w:t>
      </w:r>
      <w:r>
        <w:rPr>
          <w:rFonts w:ascii="Times New Roman" w:eastAsia="Times New Roman" w:hAnsi="Times New Roman"/>
          <w:bCs/>
          <w:noProof/>
          <w:sz w:val="24"/>
          <w:szCs w:val="24"/>
        </w:rPr>
        <w:t xml:space="preserve">have no change to the current $500 per month fixed demand charge.  The revenue increase for the schedule will be spread on a uniform percentage increase to all blocks, and the demand charge </w:t>
      </w:r>
      <w:r>
        <w:rPr>
          <w:rFonts w:ascii="Times New Roman" w:hAnsi="Times New Roman"/>
          <w:sz w:val="24"/>
          <w:szCs w:val="24"/>
        </w:rPr>
        <w:t xml:space="preserve">will </w:t>
      </w:r>
      <w:r>
        <w:rPr>
          <w:rFonts w:ascii="Times New Roman" w:eastAsia="Times New Roman" w:hAnsi="Times New Roman"/>
          <w:bCs/>
          <w:noProof/>
          <w:sz w:val="24"/>
          <w:szCs w:val="24"/>
        </w:rPr>
        <w:t>increase from $6.00 to $6.50 per kilowatt for all demand in excess of 50 kW per month.</w:t>
      </w:r>
    </w:p>
    <w:p w:rsidR="00D21F7B" w:rsidRDefault="00D24EB8">
      <w:pPr>
        <w:pStyle w:val="ListParagraph"/>
        <w:numPr>
          <w:ilvl w:val="0"/>
          <w:numId w:val="4"/>
        </w:numPr>
        <w:spacing w:line="480" w:lineRule="auto"/>
        <w:ind w:hanging="180"/>
        <w:contextualSpacing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Schedules 31/32 </w:t>
      </w:r>
      <w:r>
        <w:rPr>
          <w:rFonts w:ascii="Times New Roman" w:hAnsi="Times New Roman"/>
          <w:sz w:val="24"/>
          <w:szCs w:val="24"/>
        </w:rPr>
        <w:t xml:space="preserve">will </w:t>
      </w:r>
      <w:r>
        <w:rPr>
          <w:rFonts w:ascii="Times New Roman" w:eastAsia="Times New Roman" w:hAnsi="Times New Roman"/>
          <w:bCs/>
          <w:noProof/>
          <w:sz w:val="24"/>
          <w:szCs w:val="24"/>
        </w:rPr>
        <w:t xml:space="preserve">have an increase in the Basic Charge from $18.00 to $20.00 per month, and there </w:t>
      </w:r>
      <w:r>
        <w:rPr>
          <w:rFonts w:ascii="Times New Roman" w:hAnsi="Times New Roman"/>
          <w:sz w:val="24"/>
          <w:szCs w:val="24"/>
        </w:rPr>
        <w:t xml:space="preserve">will </w:t>
      </w:r>
      <w:r>
        <w:rPr>
          <w:rFonts w:ascii="Times New Roman" w:eastAsia="Times New Roman" w:hAnsi="Times New Roman"/>
          <w:bCs/>
          <w:noProof/>
          <w:sz w:val="24"/>
          <w:szCs w:val="24"/>
        </w:rPr>
        <w:t>be a uniform percentage increase to all blocks for the remaining revenue increase applicable to the schedule.</w:t>
      </w:r>
    </w:p>
    <w:p w:rsidR="00D21F7B" w:rsidRDefault="00D24EB8">
      <w:pPr>
        <w:pStyle w:val="ListParagraph"/>
        <w:numPr>
          <w:ilvl w:val="0"/>
          <w:numId w:val="4"/>
        </w:numPr>
        <w:spacing w:after="200" w:line="480" w:lineRule="auto"/>
        <w:ind w:hanging="180"/>
        <w:jc w:val="both"/>
        <w:rPr>
          <w:rFonts w:ascii="Times New Roman" w:hAnsi="Times New Roman"/>
          <w:sz w:val="24"/>
          <w:u w:val="single"/>
        </w:rPr>
      </w:pPr>
      <w:r>
        <w:rPr>
          <w:rFonts w:ascii="Times New Roman" w:hAnsi="Times New Roman"/>
          <w:sz w:val="24"/>
        </w:rPr>
        <w:t>Street Lighting Schedules 41-48 would see a uniform percentage increase, and the street light calculation methodology described in Exhibit No._</w:t>
      </w:r>
      <w:proofErr w:type="gramStart"/>
      <w:r>
        <w:rPr>
          <w:rFonts w:ascii="Times New Roman" w:hAnsi="Times New Roman"/>
          <w:sz w:val="24"/>
        </w:rPr>
        <w:t>_(</w:t>
      </w:r>
      <w:proofErr w:type="gramEnd"/>
      <w:r>
        <w:rPr>
          <w:rFonts w:ascii="Times New Roman" w:hAnsi="Times New Roman"/>
          <w:sz w:val="24"/>
        </w:rPr>
        <w:t xml:space="preserve">PDE-1T), pp. 14-16 will be adopted.  </w:t>
      </w:r>
    </w:p>
    <w:p w:rsidR="00D21F7B" w:rsidRDefault="002D6603">
      <w:pPr>
        <w:spacing w:line="480" w:lineRule="auto"/>
        <w:jc w:val="both"/>
        <w:rPr>
          <w:szCs w:val="24"/>
        </w:rPr>
      </w:pPr>
      <w:r>
        <w:rPr>
          <w:noProof/>
          <w:szCs w:val="24"/>
        </w:rPr>
        <w:t>7</w:t>
      </w:r>
      <w:r w:rsidR="00D24EB8">
        <w:rPr>
          <w:noProof/>
          <w:szCs w:val="24"/>
        </w:rPr>
        <w:t>.</w:t>
      </w:r>
      <w:r w:rsidR="00D24EB8">
        <w:rPr>
          <w:szCs w:val="24"/>
        </w:rPr>
        <w:t xml:space="preserve"> </w:t>
      </w:r>
      <w:r w:rsidR="00D24EB8">
        <w:rPr>
          <w:szCs w:val="24"/>
        </w:rPr>
        <w:tab/>
      </w:r>
      <w:r w:rsidR="00D24EB8">
        <w:rPr>
          <w:szCs w:val="24"/>
          <w:u w:val="single"/>
        </w:rPr>
        <w:t>Natural Gas Rate Spread/Rate Design</w:t>
      </w:r>
      <w:r w:rsidR="00D24EB8">
        <w:rPr>
          <w:szCs w:val="24"/>
        </w:rPr>
        <w:t>.</w:t>
      </w:r>
    </w:p>
    <w:p w:rsidR="00D21F7B" w:rsidRDefault="00D24EB8">
      <w:pPr>
        <w:pStyle w:val="ListParagraph"/>
        <w:numPr>
          <w:ilvl w:val="0"/>
          <w:numId w:val="5"/>
        </w:numPr>
        <w:spacing w:line="480" w:lineRule="auto"/>
        <w:ind w:left="1080"/>
        <w:jc w:val="both"/>
        <w:rPr>
          <w:rFonts w:ascii="Times New Roman" w:hAnsi="Times New Roman"/>
          <w:sz w:val="24"/>
          <w:szCs w:val="24"/>
        </w:rPr>
      </w:pPr>
      <w:r>
        <w:rPr>
          <w:rFonts w:ascii="Times New Roman" w:hAnsi="Times New Roman"/>
          <w:sz w:val="24"/>
          <w:szCs w:val="24"/>
        </w:rPr>
        <w:t xml:space="preserve">Natural Gas Cost of Service/Rate Spread – </w:t>
      </w:r>
      <w:r>
        <w:rPr>
          <w:rFonts w:ascii="Times New Roman" w:hAnsi="Times New Roman"/>
          <w:sz w:val="24"/>
        </w:rPr>
        <w:t>The Parties agree to apply an equal percentage of margin increase for purposes of spreading the increase in the retail natural gas non-gas revenue requirement. The Parties, however, do not agree on a specific Cost of Service methodology.</w:t>
      </w:r>
    </w:p>
    <w:p w:rsidR="00D21F7B" w:rsidRDefault="00D24EB8">
      <w:pPr>
        <w:pStyle w:val="ListParagraph"/>
        <w:numPr>
          <w:ilvl w:val="0"/>
          <w:numId w:val="5"/>
        </w:numPr>
        <w:spacing w:line="480" w:lineRule="auto"/>
        <w:ind w:left="1080"/>
        <w:jc w:val="both"/>
        <w:rPr>
          <w:rFonts w:ascii="Times New Roman" w:hAnsi="Times New Roman"/>
          <w:sz w:val="24"/>
          <w:szCs w:val="24"/>
        </w:rPr>
      </w:pPr>
      <w:r>
        <w:rPr>
          <w:rFonts w:ascii="Times New Roman" w:hAnsi="Times New Roman"/>
          <w:sz w:val="24"/>
          <w:szCs w:val="24"/>
        </w:rPr>
        <w:t>Natural Gas Rate Design –</w:t>
      </w:r>
    </w:p>
    <w:p w:rsidR="00D21F7B" w:rsidRDefault="00D24EB8">
      <w:pPr>
        <w:pStyle w:val="ListParagraph"/>
        <w:numPr>
          <w:ilvl w:val="0"/>
          <w:numId w:val="7"/>
        </w:numPr>
        <w:tabs>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The Schedule 101 Basic Charge will remain at $9.00 per month, with the revenue spread to the volumetric rates on a uniform percentage basis.</w:t>
      </w:r>
    </w:p>
    <w:p w:rsidR="00D21F7B" w:rsidRDefault="00D24EB8">
      <w:pPr>
        <w:pStyle w:val="ListParagraph"/>
        <w:numPr>
          <w:ilvl w:val="0"/>
          <w:numId w:val="7"/>
        </w:numPr>
        <w:tabs>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 xml:space="preserve">For Schedule 146, the monthly basic charge will increase from $500 to $525 per month, and the remaining revenue increase will be spread on a uniform percentage basis to all blocks.  </w:t>
      </w:r>
    </w:p>
    <w:p w:rsidR="00D21F7B" w:rsidRDefault="00D24EB8">
      <w:pPr>
        <w:pStyle w:val="ListParagraph"/>
        <w:numPr>
          <w:ilvl w:val="0"/>
          <w:numId w:val="7"/>
        </w:numPr>
        <w:tabs>
          <w:tab w:val="left" w:pos="1620"/>
          <w:tab w:val="left" w:pos="2160"/>
        </w:tabs>
        <w:spacing w:line="480" w:lineRule="auto"/>
        <w:ind w:left="2070" w:hanging="630"/>
        <w:jc w:val="both"/>
        <w:rPr>
          <w:rFonts w:ascii="Times New Roman" w:hAnsi="Times New Roman"/>
          <w:sz w:val="24"/>
          <w:szCs w:val="24"/>
        </w:rPr>
      </w:pPr>
      <w:r>
        <w:rPr>
          <w:rFonts w:ascii="Times New Roman" w:hAnsi="Times New Roman"/>
          <w:sz w:val="24"/>
          <w:szCs w:val="24"/>
        </w:rPr>
        <w:t>The Rate Design for other Schedules will be as follows:</w:t>
      </w:r>
    </w:p>
    <w:p w:rsidR="00D21F7B" w:rsidRDefault="00D24EB8">
      <w:pPr>
        <w:pStyle w:val="ListParagraph"/>
        <w:numPr>
          <w:ilvl w:val="2"/>
          <w:numId w:val="6"/>
        </w:numPr>
        <w:tabs>
          <w:tab w:val="left" w:pos="2160"/>
        </w:tabs>
        <w:spacing w:line="480" w:lineRule="auto"/>
        <w:ind w:left="2340"/>
        <w:contextualSpacing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Schedule 111 </w:t>
      </w:r>
      <w:r>
        <w:rPr>
          <w:rFonts w:ascii="Times New Roman" w:hAnsi="Times New Roman"/>
          <w:sz w:val="24"/>
          <w:szCs w:val="24"/>
        </w:rPr>
        <w:t xml:space="preserve">will </w:t>
      </w:r>
      <w:r>
        <w:rPr>
          <w:rFonts w:ascii="Times New Roman" w:eastAsia="Times New Roman" w:hAnsi="Times New Roman"/>
          <w:bCs/>
          <w:noProof/>
          <w:sz w:val="24"/>
          <w:szCs w:val="24"/>
        </w:rPr>
        <w:t>have an increase in the monthly Minimum Charge based on Schedule 101 rates (breakeven at 200 therms), and a uniform percentage increase to all blocks.</w:t>
      </w:r>
    </w:p>
    <w:p w:rsidR="00D21F7B" w:rsidRDefault="00D24EB8">
      <w:pPr>
        <w:pStyle w:val="ListParagraph"/>
        <w:numPr>
          <w:ilvl w:val="2"/>
          <w:numId w:val="6"/>
        </w:numPr>
        <w:tabs>
          <w:tab w:val="left" w:pos="2160"/>
        </w:tabs>
        <w:spacing w:line="480" w:lineRule="auto"/>
        <w:ind w:left="2340"/>
        <w:contextualSpacing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Schedule 121 </w:t>
      </w:r>
      <w:r>
        <w:rPr>
          <w:rFonts w:ascii="Times New Roman" w:hAnsi="Times New Roman"/>
          <w:sz w:val="24"/>
          <w:szCs w:val="24"/>
        </w:rPr>
        <w:t xml:space="preserve">will </w:t>
      </w:r>
      <w:r>
        <w:rPr>
          <w:rFonts w:ascii="Times New Roman" w:eastAsia="Times New Roman" w:hAnsi="Times New Roman"/>
          <w:bCs/>
          <w:noProof/>
          <w:sz w:val="24"/>
          <w:szCs w:val="24"/>
        </w:rPr>
        <w:t>have an increase in the monthly Minimum Charge based on Schedule 101 rates (breakeven at 500 therms), and a uniform percentage increase to all blocks.</w:t>
      </w:r>
    </w:p>
    <w:p w:rsidR="00D21F7B" w:rsidRDefault="00D24EB8">
      <w:pPr>
        <w:pStyle w:val="ListParagraph"/>
        <w:numPr>
          <w:ilvl w:val="2"/>
          <w:numId w:val="6"/>
        </w:numPr>
        <w:tabs>
          <w:tab w:val="left" w:pos="2160"/>
        </w:tabs>
        <w:spacing w:line="480" w:lineRule="auto"/>
        <w:ind w:left="2340"/>
        <w:contextualSpacing w:val="0"/>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Schedule 131 </w:t>
      </w:r>
      <w:r>
        <w:rPr>
          <w:rFonts w:ascii="Times New Roman" w:hAnsi="Times New Roman"/>
          <w:sz w:val="24"/>
          <w:szCs w:val="24"/>
        </w:rPr>
        <w:t xml:space="preserve">will </w:t>
      </w:r>
      <w:r>
        <w:rPr>
          <w:rFonts w:ascii="Times New Roman" w:eastAsia="Times New Roman" w:hAnsi="Times New Roman"/>
          <w:bCs/>
          <w:noProof/>
          <w:sz w:val="24"/>
          <w:szCs w:val="24"/>
        </w:rPr>
        <w:t>have a uniform percentage increase to all blocks.</w:t>
      </w:r>
    </w:p>
    <w:p w:rsidR="00D21F7B" w:rsidRDefault="00D24EB8">
      <w:pPr>
        <w:spacing w:line="480" w:lineRule="auto"/>
        <w:jc w:val="both"/>
      </w:pPr>
      <w:r>
        <w:t xml:space="preserve"> </w:t>
      </w:r>
    </w:p>
    <w:p w:rsidR="00D21F7B" w:rsidRDefault="00D24EB8">
      <w:pPr>
        <w:spacing w:line="480" w:lineRule="auto"/>
        <w:jc w:val="center"/>
        <w:rPr>
          <w:b/>
          <w:bCs/>
          <w:szCs w:val="24"/>
        </w:rPr>
      </w:pPr>
      <w:r>
        <w:rPr>
          <w:b/>
          <w:bCs/>
          <w:szCs w:val="24"/>
        </w:rPr>
        <w:t>IV.</w:t>
      </w:r>
      <w:r>
        <w:rPr>
          <w:b/>
          <w:bCs/>
          <w:szCs w:val="24"/>
        </w:rPr>
        <w:tab/>
        <w:t xml:space="preserve">EFFECT OF THE </w:t>
      </w:r>
      <w:r w:rsidR="008E51F3">
        <w:rPr>
          <w:b/>
          <w:bCs/>
          <w:szCs w:val="24"/>
        </w:rPr>
        <w:t>MULTIPARTY SETTLEMENT</w:t>
      </w:r>
      <w:r>
        <w:rPr>
          <w:b/>
          <w:bCs/>
          <w:szCs w:val="24"/>
        </w:rPr>
        <w:t xml:space="preserve"> STIPULATION</w:t>
      </w:r>
    </w:p>
    <w:p w:rsidR="00D21F7B" w:rsidRDefault="002D6603">
      <w:pPr>
        <w:spacing w:line="480" w:lineRule="auto"/>
        <w:jc w:val="both"/>
        <w:rPr>
          <w:b/>
          <w:bCs/>
          <w:szCs w:val="24"/>
        </w:rPr>
      </w:pPr>
      <w:r>
        <w:rPr>
          <w:szCs w:val="24"/>
        </w:rPr>
        <w:t>8</w:t>
      </w:r>
      <w:r w:rsidR="00D24EB8">
        <w:rPr>
          <w:szCs w:val="24"/>
        </w:rPr>
        <w:t>.</w:t>
      </w:r>
      <w:r w:rsidR="00D24EB8">
        <w:rPr>
          <w:szCs w:val="24"/>
        </w:rPr>
        <w:tab/>
      </w:r>
      <w:r w:rsidR="00D24EB8">
        <w:rPr>
          <w:szCs w:val="24"/>
          <w:u w:val="single"/>
        </w:rPr>
        <w:t>Binding on Parties</w:t>
      </w:r>
      <w:r w:rsidR="00D24EB8">
        <w:rPr>
          <w:szCs w:val="24"/>
        </w:rPr>
        <w:t xml:space="preserve">.  The Parties agree to support the terms of the </w:t>
      </w:r>
      <w:r w:rsidR="008E51F3">
        <w:rPr>
          <w:szCs w:val="24"/>
        </w:rPr>
        <w:t>Multiparty Settlement</w:t>
      </w:r>
      <w:r w:rsidR="00D24EB8">
        <w:t xml:space="preserve"> Stipulation</w:t>
      </w:r>
      <w:r w:rsidR="00D24EB8">
        <w:rPr>
          <w:szCs w:val="24"/>
        </w:rPr>
        <w:t xml:space="preserve"> throughout this proceeding, including any appeal, and recommend that the Commission issue an order adopting the </w:t>
      </w:r>
      <w:r w:rsidR="008E51F3">
        <w:rPr>
          <w:szCs w:val="24"/>
        </w:rPr>
        <w:t>Multiparty Settlement</w:t>
      </w:r>
      <w:r w:rsidR="00D24EB8">
        <w:t xml:space="preserve"> Stipulation</w:t>
      </w:r>
      <w:r w:rsidR="00D24EB8">
        <w:rPr>
          <w:szCs w:val="24"/>
        </w:rPr>
        <w:t xml:space="preserve"> contained herein.  The Parties understand that this </w:t>
      </w:r>
      <w:r w:rsidR="008E51F3">
        <w:rPr>
          <w:szCs w:val="24"/>
        </w:rPr>
        <w:t>Multiparty Settlement</w:t>
      </w:r>
      <w:r w:rsidR="00D24EB8">
        <w:t xml:space="preserve"> Stipulation</w:t>
      </w:r>
      <w:r w:rsidR="00D24EB8">
        <w:rPr>
          <w:szCs w:val="24"/>
        </w:rPr>
        <w:t xml:space="preserve"> is subject to Commission approval. The Parties agree that this </w:t>
      </w:r>
      <w:r w:rsidR="008E51F3">
        <w:rPr>
          <w:szCs w:val="24"/>
        </w:rPr>
        <w:t>Multiparty Settlement</w:t>
      </w:r>
      <w:r w:rsidR="00D24EB8">
        <w:t xml:space="preserve"> Stipulation</w:t>
      </w:r>
      <w:r w:rsidR="00D24EB8">
        <w:rPr>
          <w:szCs w:val="24"/>
        </w:rPr>
        <w:t xml:space="preserve"> represents a compromise in the positions of the Parties.  As such, conduct, statements and documents disclosed in the negotiation of this </w:t>
      </w:r>
      <w:r w:rsidR="008E51F3">
        <w:rPr>
          <w:szCs w:val="24"/>
        </w:rPr>
        <w:t>Multiparty Settlement</w:t>
      </w:r>
      <w:r w:rsidR="00D24EB8">
        <w:rPr>
          <w:szCs w:val="24"/>
        </w:rPr>
        <w:t xml:space="preserve"> Stipulation shall not be admissible evidence in this or any other proceeding.</w:t>
      </w:r>
    </w:p>
    <w:p w:rsidR="00D21F7B" w:rsidRDefault="002D6603">
      <w:pPr>
        <w:spacing w:line="480" w:lineRule="auto"/>
        <w:jc w:val="both"/>
        <w:rPr>
          <w:szCs w:val="24"/>
        </w:rPr>
      </w:pPr>
      <w:r>
        <w:rPr>
          <w:szCs w:val="24"/>
        </w:rPr>
        <w:t>9</w:t>
      </w:r>
      <w:r w:rsidR="00D24EB8">
        <w:rPr>
          <w:szCs w:val="24"/>
        </w:rPr>
        <w:t>.</w:t>
      </w:r>
      <w:r w:rsidR="00D24EB8">
        <w:rPr>
          <w:szCs w:val="24"/>
        </w:rPr>
        <w:tab/>
      </w:r>
      <w:r w:rsidR="00D24EB8">
        <w:rPr>
          <w:szCs w:val="24"/>
          <w:u w:val="single"/>
        </w:rPr>
        <w:t xml:space="preserve">Integrated Terms of </w:t>
      </w:r>
      <w:r w:rsidR="008E51F3">
        <w:rPr>
          <w:szCs w:val="24"/>
          <w:u w:val="single"/>
        </w:rPr>
        <w:t>Multiparty Settlement</w:t>
      </w:r>
      <w:r w:rsidR="00D24EB8">
        <w:rPr>
          <w:szCs w:val="24"/>
        </w:rPr>
        <w:t xml:space="preserve">.  The Parties have negotiated this </w:t>
      </w:r>
      <w:r w:rsidR="008E51F3">
        <w:rPr>
          <w:szCs w:val="24"/>
        </w:rPr>
        <w:t>Multiparty Settlement</w:t>
      </w:r>
      <w:r w:rsidR="00D24EB8">
        <w:t xml:space="preserve"> Stipulation</w:t>
      </w:r>
      <w:r w:rsidR="00D24EB8">
        <w:rPr>
          <w:szCs w:val="24"/>
        </w:rPr>
        <w:t xml:space="preserve"> as an integrated document.  Accordingly, the Parties recommend that the Commission adopt this </w:t>
      </w:r>
      <w:r w:rsidR="008E51F3">
        <w:rPr>
          <w:szCs w:val="24"/>
        </w:rPr>
        <w:t>Multiparty Settlement</w:t>
      </w:r>
      <w:r w:rsidR="00D24EB8">
        <w:t xml:space="preserve"> Stipulation</w:t>
      </w:r>
      <w:r w:rsidR="00D24EB8">
        <w:rPr>
          <w:szCs w:val="24"/>
        </w:rPr>
        <w:t xml:space="preserve"> in its entirety.  Each Party has participated in the drafting of this </w:t>
      </w:r>
      <w:r w:rsidR="008E51F3">
        <w:rPr>
          <w:szCs w:val="24"/>
        </w:rPr>
        <w:t>Multiparty Settlement</w:t>
      </w:r>
      <w:r w:rsidR="00D24EB8">
        <w:rPr>
          <w:szCs w:val="24"/>
        </w:rPr>
        <w:t xml:space="preserve"> Stipulation, so it should not be construed in favor of, or against, any particular Party. </w:t>
      </w:r>
    </w:p>
    <w:p w:rsidR="00D21F7B" w:rsidRDefault="00D24EB8">
      <w:pPr>
        <w:spacing w:line="480" w:lineRule="auto"/>
        <w:jc w:val="both"/>
        <w:rPr>
          <w:szCs w:val="24"/>
        </w:rPr>
      </w:pPr>
      <w:r>
        <w:rPr>
          <w:szCs w:val="24"/>
        </w:rPr>
        <w:t>1</w:t>
      </w:r>
      <w:r w:rsidR="002D6603">
        <w:rPr>
          <w:szCs w:val="24"/>
        </w:rPr>
        <w:t>0</w:t>
      </w:r>
      <w:r>
        <w:rPr>
          <w:szCs w:val="24"/>
        </w:rPr>
        <w:t>.</w:t>
      </w:r>
      <w:r>
        <w:rPr>
          <w:szCs w:val="24"/>
        </w:rPr>
        <w:tab/>
      </w:r>
      <w:r>
        <w:rPr>
          <w:szCs w:val="24"/>
          <w:u w:val="single"/>
        </w:rPr>
        <w:t>Procedure</w:t>
      </w:r>
      <w:r>
        <w:rPr>
          <w:szCs w:val="24"/>
        </w:rPr>
        <w:t xml:space="preserve">.  The Parties shall cooperate in submitting this </w:t>
      </w:r>
      <w:r w:rsidR="008E51F3">
        <w:rPr>
          <w:szCs w:val="24"/>
        </w:rPr>
        <w:t>Multiparty Settlement</w:t>
      </w:r>
      <w:r>
        <w:t xml:space="preserve"> Stipulation</w:t>
      </w:r>
      <w:r>
        <w:rPr>
          <w:szCs w:val="24"/>
        </w:rPr>
        <w:t xml:space="preserve"> promptly to the Commission for acceptance.  Each Party shall make available a witness or representative in support of this </w:t>
      </w:r>
      <w:r w:rsidR="008E51F3">
        <w:rPr>
          <w:szCs w:val="24"/>
        </w:rPr>
        <w:t>Multiparty Settlement</w:t>
      </w:r>
      <w:r>
        <w:t xml:space="preserve"> Stipulation</w:t>
      </w:r>
      <w:r>
        <w:rPr>
          <w:szCs w:val="24"/>
        </w:rPr>
        <w:t xml:space="preserve">.  The Parties agree to cooperate, in good faith, in the development of such other information as may be necessary to support and explain the basis of this </w:t>
      </w:r>
      <w:r w:rsidR="008E51F3">
        <w:rPr>
          <w:szCs w:val="24"/>
        </w:rPr>
        <w:t>Multiparty Settlement</w:t>
      </w:r>
      <w:r>
        <w:t xml:space="preserve"> Stipulation</w:t>
      </w:r>
      <w:r>
        <w:rPr>
          <w:szCs w:val="24"/>
        </w:rPr>
        <w:t xml:space="preserve"> and to supplement the record accordingly.</w:t>
      </w:r>
    </w:p>
    <w:p w:rsidR="00D21F7B" w:rsidRDefault="00D24EB8">
      <w:pPr>
        <w:spacing w:line="480" w:lineRule="auto"/>
        <w:jc w:val="both"/>
        <w:rPr>
          <w:szCs w:val="24"/>
        </w:rPr>
      </w:pPr>
      <w:r>
        <w:rPr>
          <w:szCs w:val="24"/>
        </w:rPr>
        <w:t>1</w:t>
      </w:r>
      <w:r w:rsidR="002D6603">
        <w:rPr>
          <w:szCs w:val="24"/>
        </w:rPr>
        <w:t>1</w:t>
      </w:r>
      <w:r>
        <w:rPr>
          <w:szCs w:val="24"/>
        </w:rPr>
        <w:t>.</w:t>
      </w:r>
      <w:r>
        <w:rPr>
          <w:szCs w:val="24"/>
        </w:rPr>
        <w:tab/>
      </w:r>
      <w:r>
        <w:rPr>
          <w:szCs w:val="24"/>
          <w:u w:val="single"/>
        </w:rPr>
        <w:t>Reservation of Rights</w:t>
      </w:r>
      <w:r>
        <w:rPr>
          <w:szCs w:val="24"/>
        </w:rPr>
        <w:t xml:space="preserve">.  Each Party may offer into evidence its prefiled testimony and exhibits as they relate to the issues in this proceeding, together with such evidence in support of the Stipulation as may be offered at the time of the hearing on the </w:t>
      </w:r>
      <w:r w:rsidR="008E51F3">
        <w:rPr>
          <w:szCs w:val="24"/>
        </w:rPr>
        <w:t>Multiparty Settlement</w:t>
      </w:r>
      <w:r>
        <w:rPr>
          <w:szCs w:val="24"/>
        </w:rPr>
        <w:t xml:space="preserve">. If the Commission rejects all or any material portion of this </w:t>
      </w:r>
      <w:r w:rsidR="008E51F3">
        <w:rPr>
          <w:szCs w:val="24"/>
        </w:rPr>
        <w:t>Multiparty Settlement</w:t>
      </w:r>
      <w:r>
        <w:t xml:space="preserve"> Stipulation</w:t>
      </w:r>
      <w:r>
        <w:rPr>
          <w:szCs w:val="24"/>
        </w:rPr>
        <w:t xml:space="preserve">, or adds additional material conditions, each Party reserves the right, upon written notice to the Commission and all parties to this proceeding within seven (7) days of the date of the Commission’s Order, to withdraw from the </w:t>
      </w:r>
      <w:r w:rsidR="008E51F3">
        <w:rPr>
          <w:szCs w:val="24"/>
        </w:rPr>
        <w:t>Multiparty Settlement</w:t>
      </w:r>
      <w:r>
        <w:t xml:space="preserve"> Stipulation</w:t>
      </w:r>
      <w:r>
        <w:rPr>
          <w:szCs w:val="24"/>
        </w:rPr>
        <w:t xml:space="preserve">.  If any Party exercises its right of withdrawal, this </w:t>
      </w:r>
      <w:r w:rsidR="008E51F3">
        <w:rPr>
          <w:szCs w:val="24"/>
        </w:rPr>
        <w:t>Multiparty Settlement</w:t>
      </w:r>
      <w:r>
        <w:t xml:space="preserve"> Stipulation</w:t>
      </w:r>
      <w:r>
        <w:rPr>
          <w:szCs w:val="24"/>
        </w:rPr>
        <w:t xml:space="preserve"> shall be void and of no effect, and the Parties will support a joint motion for a procedural schedule to address the issues that would otherwise have been settled herein. </w:t>
      </w:r>
    </w:p>
    <w:p w:rsidR="00D21F7B" w:rsidRDefault="00D24EB8">
      <w:pPr>
        <w:spacing w:line="480" w:lineRule="auto"/>
        <w:jc w:val="both"/>
        <w:rPr>
          <w:szCs w:val="24"/>
        </w:rPr>
      </w:pPr>
      <w:r>
        <w:rPr>
          <w:szCs w:val="24"/>
        </w:rPr>
        <w:t>1</w:t>
      </w:r>
      <w:r w:rsidR="002D6603">
        <w:rPr>
          <w:szCs w:val="24"/>
        </w:rPr>
        <w:t>2</w:t>
      </w:r>
      <w:r>
        <w:rPr>
          <w:szCs w:val="24"/>
        </w:rPr>
        <w:t>.</w:t>
      </w:r>
      <w:r>
        <w:rPr>
          <w:szCs w:val="24"/>
        </w:rPr>
        <w:tab/>
      </w:r>
      <w:r>
        <w:rPr>
          <w:szCs w:val="24"/>
          <w:u w:val="single"/>
        </w:rPr>
        <w:t>Advance Review of News Releases</w:t>
      </w:r>
      <w:r>
        <w:rPr>
          <w:szCs w:val="24"/>
        </w:rPr>
        <w:t>.  All Parties agree:</w:t>
      </w:r>
    </w:p>
    <w:p w:rsidR="00D21F7B" w:rsidRDefault="00D24EB8">
      <w:pPr>
        <w:numPr>
          <w:ilvl w:val="0"/>
          <w:numId w:val="2"/>
        </w:numPr>
        <w:spacing w:line="480" w:lineRule="auto"/>
        <w:jc w:val="both"/>
        <w:rPr>
          <w:szCs w:val="24"/>
        </w:rPr>
      </w:pPr>
      <w:proofErr w:type="gramStart"/>
      <w:r>
        <w:rPr>
          <w:szCs w:val="24"/>
        </w:rPr>
        <w:t>to</w:t>
      </w:r>
      <w:proofErr w:type="gramEnd"/>
      <w:r>
        <w:rPr>
          <w:szCs w:val="24"/>
        </w:rPr>
        <w:t xml:space="preserve"> provide all other Parties the right to review in advance of publication any and all announcements or news releases that any other Party intends to make about the </w:t>
      </w:r>
      <w:r w:rsidR="008E51F3">
        <w:rPr>
          <w:szCs w:val="24"/>
        </w:rPr>
        <w:t>Multiparty Settlement</w:t>
      </w:r>
      <w:r>
        <w:t xml:space="preserve"> Stipulation</w:t>
      </w:r>
      <w:r>
        <w:rPr>
          <w:szCs w:val="24"/>
        </w:rPr>
        <w:t xml:space="preserve">.  This right of advance review includes a reasonable opportunity for a Party to request changes to the text of such announcements.  However, no Party is required to make any change requested by another Party; and, </w:t>
      </w:r>
    </w:p>
    <w:p w:rsidR="00D21F7B" w:rsidRDefault="00D24EB8">
      <w:pPr>
        <w:numPr>
          <w:ilvl w:val="0"/>
          <w:numId w:val="2"/>
        </w:numPr>
        <w:spacing w:line="480" w:lineRule="auto"/>
        <w:jc w:val="both"/>
        <w:rPr>
          <w:szCs w:val="24"/>
        </w:rPr>
      </w:pPr>
      <w:proofErr w:type="gramStart"/>
      <w:r>
        <w:rPr>
          <w:szCs w:val="24"/>
        </w:rPr>
        <w:t>to</w:t>
      </w:r>
      <w:proofErr w:type="gramEnd"/>
      <w:r>
        <w:rPr>
          <w:szCs w:val="24"/>
        </w:rPr>
        <w:t xml:space="preserve"> include in any news release or announcement a statement that Staff’s recommendation to approve the </w:t>
      </w:r>
      <w:r w:rsidR="008E51F3">
        <w:rPr>
          <w:szCs w:val="24"/>
        </w:rPr>
        <w:t>Multiparty Settlement</w:t>
      </w:r>
      <w:r>
        <w:rPr>
          <w:szCs w:val="24"/>
        </w:rPr>
        <w:t xml:space="preserve"> is not binding on the Commission itself.  This subsection does not apply to any news release or announcement that otherwise makes no reference to Staff.</w:t>
      </w:r>
    </w:p>
    <w:p w:rsidR="00D21F7B" w:rsidRDefault="00D24EB8">
      <w:pPr>
        <w:spacing w:line="480" w:lineRule="auto"/>
        <w:jc w:val="both"/>
        <w:rPr>
          <w:szCs w:val="24"/>
        </w:rPr>
      </w:pPr>
      <w:r>
        <w:rPr>
          <w:szCs w:val="24"/>
        </w:rPr>
        <w:t>1</w:t>
      </w:r>
      <w:r w:rsidR="002D6603">
        <w:rPr>
          <w:szCs w:val="24"/>
        </w:rPr>
        <w:t>3</w:t>
      </w:r>
      <w:r>
        <w:rPr>
          <w:szCs w:val="24"/>
        </w:rPr>
        <w:t>.</w:t>
      </w:r>
      <w:r>
        <w:rPr>
          <w:szCs w:val="24"/>
        </w:rPr>
        <w:tab/>
      </w:r>
      <w:r>
        <w:rPr>
          <w:szCs w:val="24"/>
          <w:u w:val="single"/>
        </w:rPr>
        <w:t>No Precedent</w:t>
      </w:r>
      <w:r>
        <w:rPr>
          <w:szCs w:val="24"/>
        </w:rPr>
        <w:t xml:space="preserve">.  The Parties enter into this </w:t>
      </w:r>
      <w:r w:rsidR="008E51F3">
        <w:rPr>
          <w:szCs w:val="24"/>
        </w:rPr>
        <w:t>Multiparty Settlement</w:t>
      </w:r>
      <w:r>
        <w:t xml:space="preserve"> Stipulation</w:t>
      </w:r>
      <w:r>
        <w:rPr>
          <w:szCs w:val="24"/>
        </w:rPr>
        <w:t xml:space="preserve"> to avoid further expense, uncertainty, and delay.  By executing this </w:t>
      </w:r>
      <w:r w:rsidR="008E51F3">
        <w:rPr>
          <w:szCs w:val="24"/>
        </w:rPr>
        <w:t>Multiparty Settlement</w:t>
      </w:r>
      <w:r>
        <w:t xml:space="preserve"> Stipulation</w:t>
      </w:r>
      <w:r>
        <w:rPr>
          <w:szCs w:val="24"/>
        </w:rPr>
        <w:t xml:space="preserve">, no Party shall be deemed to have accepted or consented to the facts, principles, methods or theories employed in arriving at the </w:t>
      </w:r>
      <w:r w:rsidR="008E51F3">
        <w:rPr>
          <w:szCs w:val="24"/>
        </w:rPr>
        <w:t>Multiparty Settlement</w:t>
      </w:r>
      <w:r>
        <w:t xml:space="preserve"> Stipulation</w:t>
      </w:r>
      <w:r>
        <w:rPr>
          <w:szCs w:val="24"/>
        </w:rPr>
        <w:t xml:space="preserve">, and, except to the extent expressly set forth in the </w:t>
      </w:r>
      <w:r w:rsidR="008E51F3">
        <w:rPr>
          <w:szCs w:val="24"/>
        </w:rPr>
        <w:t>Multiparty Settlement</w:t>
      </w:r>
      <w:r>
        <w:t xml:space="preserve"> Stipulation</w:t>
      </w:r>
      <w:r>
        <w:rPr>
          <w:szCs w:val="24"/>
        </w:rPr>
        <w:t xml:space="preserve">, no Party shall be deemed to have agreed that such a </w:t>
      </w:r>
      <w:r w:rsidR="008E51F3">
        <w:rPr>
          <w:szCs w:val="24"/>
        </w:rPr>
        <w:t>Multiparty Settlement</w:t>
      </w:r>
      <w:r>
        <w:t xml:space="preserve"> Stipulation</w:t>
      </w:r>
      <w:r>
        <w:rPr>
          <w:szCs w:val="24"/>
        </w:rPr>
        <w:t xml:space="preserve"> is appropriate for resolving any issues in any other proceeding.</w:t>
      </w:r>
    </w:p>
    <w:p w:rsidR="00D21F7B" w:rsidRDefault="00D24EB8">
      <w:pPr>
        <w:spacing w:line="480" w:lineRule="auto"/>
        <w:jc w:val="both"/>
        <w:rPr>
          <w:szCs w:val="24"/>
        </w:rPr>
      </w:pPr>
      <w:r>
        <w:rPr>
          <w:szCs w:val="24"/>
        </w:rPr>
        <w:t>1</w:t>
      </w:r>
      <w:r w:rsidR="002D6603">
        <w:rPr>
          <w:szCs w:val="24"/>
        </w:rPr>
        <w:t>4</w:t>
      </w:r>
      <w:r>
        <w:rPr>
          <w:szCs w:val="24"/>
        </w:rPr>
        <w:t>.</w:t>
      </w:r>
      <w:r>
        <w:rPr>
          <w:szCs w:val="24"/>
        </w:rPr>
        <w:tab/>
      </w:r>
      <w:r>
        <w:rPr>
          <w:szCs w:val="24"/>
          <w:u w:val="single"/>
        </w:rPr>
        <w:t>Public Interest</w:t>
      </w:r>
      <w:r>
        <w:rPr>
          <w:szCs w:val="24"/>
        </w:rPr>
        <w:t xml:space="preserve">.  The Parties agree that this </w:t>
      </w:r>
      <w:r w:rsidR="008E51F3">
        <w:rPr>
          <w:szCs w:val="24"/>
        </w:rPr>
        <w:t>Multiparty Settlement</w:t>
      </w:r>
      <w:r>
        <w:t xml:space="preserve"> Stipulation</w:t>
      </w:r>
      <w:r>
        <w:rPr>
          <w:szCs w:val="24"/>
        </w:rPr>
        <w:t xml:space="preserve"> is in the public interest. </w:t>
      </w:r>
    </w:p>
    <w:p w:rsidR="00D21F7B" w:rsidRDefault="00D24EB8">
      <w:pPr>
        <w:spacing w:line="480" w:lineRule="auto"/>
        <w:jc w:val="both"/>
        <w:rPr>
          <w:szCs w:val="24"/>
        </w:rPr>
      </w:pPr>
      <w:r>
        <w:rPr>
          <w:szCs w:val="24"/>
        </w:rPr>
        <w:t>1</w:t>
      </w:r>
      <w:r w:rsidR="002D6603">
        <w:rPr>
          <w:szCs w:val="24"/>
        </w:rPr>
        <w:t>5</w:t>
      </w:r>
      <w:r>
        <w:rPr>
          <w:szCs w:val="24"/>
        </w:rPr>
        <w:t>.</w:t>
      </w:r>
      <w:r>
        <w:rPr>
          <w:szCs w:val="24"/>
        </w:rPr>
        <w:tab/>
      </w:r>
      <w:r>
        <w:rPr>
          <w:szCs w:val="24"/>
          <w:u w:val="single"/>
        </w:rPr>
        <w:t>Execution</w:t>
      </w:r>
      <w:r>
        <w:rPr>
          <w:szCs w:val="24"/>
        </w:rPr>
        <w:t xml:space="preserve">.  This </w:t>
      </w:r>
      <w:r w:rsidR="008E51F3">
        <w:rPr>
          <w:szCs w:val="24"/>
        </w:rPr>
        <w:t>Multiparty Settlement</w:t>
      </w:r>
      <w:r>
        <w:t xml:space="preserve"> Stipulation</w:t>
      </w:r>
      <w:r>
        <w:rPr>
          <w:szCs w:val="24"/>
        </w:rPr>
        <w:t xml:space="preserve"> may be executed by the Parties in several counterparts and as executed shall constitute one </w:t>
      </w:r>
      <w:r w:rsidR="008E51F3">
        <w:rPr>
          <w:szCs w:val="24"/>
        </w:rPr>
        <w:t>Multiparty Settlement</w:t>
      </w:r>
      <w:r>
        <w:rPr>
          <w:szCs w:val="24"/>
        </w:rPr>
        <w:t xml:space="preserve"> Stipulation.</w:t>
      </w:r>
    </w:p>
    <w:p w:rsidR="00D21F7B" w:rsidRDefault="00D24EB8">
      <w:pPr>
        <w:spacing w:line="480" w:lineRule="auto"/>
        <w:jc w:val="both"/>
        <w:rPr>
          <w:szCs w:val="24"/>
        </w:rPr>
      </w:pPr>
      <w:proofErr w:type="gramStart"/>
      <w:r>
        <w:rPr>
          <w:szCs w:val="24"/>
        </w:rPr>
        <w:t xml:space="preserve">Entered into this ______day of </w:t>
      </w:r>
      <w:r w:rsidR="0037195E">
        <w:rPr>
          <w:szCs w:val="24"/>
        </w:rPr>
        <w:t xml:space="preserve">May </w:t>
      </w:r>
      <w:r>
        <w:rPr>
          <w:szCs w:val="24"/>
        </w:rPr>
        <w:t>2015.</w:t>
      </w:r>
      <w:proofErr w:type="gramEnd"/>
    </w:p>
    <w:p w:rsidR="00D21F7B" w:rsidRDefault="00D24EB8">
      <w:pPr>
        <w:ind w:left="720" w:firstLine="720"/>
        <w:jc w:val="both"/>
        <w:rPr>
          <w:szCs w:val="24"/>
          <w:u w:val="single"/>
        </w:rPr>
      </w:pPr>
      <w:r>
        <w:rPr>
          <w:szCs w:val="24"/>
          <w:u w:val="single"/>
        </w:rPr>
        <w:br w:type="page"/>
        <w:t>Company</w:t>
      </w:r>
      <w:r>
        <w:rPr>
          <w:szCs w:val="24"/>
        </w:rPr>
        <w:t>:</w:t>
      </w:r>
      <w:r>
        <w:rPr>
          <w:szCs w:val="24"/>
        </w:rPr>
        <w:tab/>
      </w:r>
      <w:r>
        <w:rPr>
          <w:szCs w:val="24"/>
        </w:rPr>
        <w:tab/>
      </w:r>
      <w:r>
        <w:rPr>
          <w:szCs w:val="24"/>
        </w:rPr>
        <w:tab/>
        <w:t>By: ________________________________</w:t>
      </w:r>
    </w:p>
    <w:p w:rsidR="00D21F7B" w:rsidRDefault="00D24EB8">
      <w:pPr>
        <w:ind w:left="3600" w:firstLine="720"/>
        <w:rPr>
          <w:szCs w:val="24"/>
        </w:rPr>
      </w:pPr>
      <w:r>
        <w:rPr>
          <w:szCs w:val="24"/>
        </w:rPr>
        <w:t>David J. Meyer</w:t>
      </w:r>
    </w:p>
    <w:p w:rsidR="00D21F7B" w:rsidRDefault="00D24EB8">
      <w:pPr>
        <w:ind w:left="4320"/>
        <w:rPr>
          <w:szCs w:val="24"/>
        </w:rPr>
      </w:pPr>
      <w:r>
        <w:rPr>
          <w:szCs w:val="24"/>
        </w:rPr>
        <w:t>VP, Chief Counsel for Regulatory and Governmental Affairs</w:t>
      </w:r>
    </w:p>
    <w:p w:rsidR="00D21F7B" w:rsidRDefault="00D21F7B">
      <w:pPr>
        <w:ind w:left="4320"/>
        <w:rPr>
          <w:szCs w:val="24"/>
        </w:rPr>
      </w:pPr>
    </w:p>
    <w:p w:rsidR="00D21F7B" w:rsidRDefault="00D21F7B">
      <w:pPr>
        <w:ind w:left="4320"/>
        <w:rPr>
          <w:szCs w:val="24"/>
        </w:rPr>
      </w:pPr>
    </w:p>
    <w:p w:rsidR="00D21F7B" w:rsidRDefault="00D24EB8">
      <w:pPr>
        <w:ind w:left="720" w:firstLine="720"/>
        <w:rPr>
          <w:szCs w:val="24"/>
        </w:rPr>
      </w:pPr>
      <w:r>
        <w:rPr>
          <w:szCs w:val="24"/>
          <w:u w:val="single"/>
        </w:rPr>
        <w:t>Staff</w:t>
      </w:r>
      <w:r>
        <w:rPr>
          <w:szCs w:val="24"/>
        </w:rPr>
        <w:t>:</w:t>
      </w:r>
      <w:r>
        <w:rPr>
          <w:szCs w:val="24"/>
        </w:rPr>
        <w:tab/>
      </w:r>
      <w:r>
        <w:rPr>
          <w:szCs w:val="24"/>
        </w:rPr>
        <w:tab/>
      </w:r>
      <w:r>
        <w:rPr>
          <w:szCs w:val="24"/>
        </w:rPr>
        <w:tab/>
      </w:r>
      <w:r>
        <w:rPr>
          <w:szCs w:val="24"/>
        </w:rPr>
        <w:tab/>
        <w:t>By: ________________________________</w:t>
      </w:r>
    </w:p>
    <w:p w:rsidR="00D21F7B" w:rsidRDefault="00D24EB8">
      <w:pPr>
        <w:ind w:left="3600" w:firstLine="720"/>
        <w:rPr>
          <w:szCs w:val="24"/>
        </w:rPr>
      </w:pPr>
      <w:r>
        <w:rPr>
          <w:szCs w:val="24"/>
        </w:rPr>
        <w:t>Patrick J. Oshie</w:t>
      </w:r>
    </w:p>
    <w:p w:rsidR="00D21F7B" w:rsidRDefault="00D24EB8">
      <w:pPr>
        <w:ind w:left="3600" w:firstLine="720"/>
        <w:rPr>
          <w:szCs w:val="24"/>
        </w:rPr>
      </w:pPr>
      <w:r>
        <w:rPr>
          <w:szCs w:val="24"/>
        </w:rPr>
        <w:t>Assistant Attorney General</w:t>
      </w:r>
    </w:p>
    <w:p w:rsidR="00D21F7B" w:rsidRDefault="00D24EB8">
      <w:pPr>
        <w:ind w:left="3600" w:firstLine="720"/>
        <w:rPr>
          <w:szCs w:val="24"/>
        </w:rPr>
      </w:pPr>
      <w:r>
        <w:rPr>
          <w:szCs w:val="24"/>
        </w:rPr>
        <w:t>Brett P. Shearer</w:t>
      </w:r>
    </w:p>
    <w:p w:rsidR="00D21F7B" w:rsidRDefault="00D24EB8">
      <w:pPr>
        <w:ind w:left="3600" w:firstLine="720"/>
        <w:rPr>
          <w:szCs w:val="24"/>
        </w:rPr>
      </w:pPr>
      <w:r>
        <w:rPr>
          <w:szCs w:val="24"/>
        </w:rPr>
        <w:t>Assistant Attorney General</w:t>
      </w:r>
    </w:p>
    <w:p w:rsidR="00D21F7B" w:rsidRDefault="00D24EB8">
      <w:pPr>
        <w:ind w:left="3600" w:firstLine="720"/>
        <w:rPr>
          <w:szCs w:val="24"/>
        </w:rPr>
      </w:pPr>
      <w:r>
        <w:rPr>
          <w:szCs w:val="24"/>
        </w:rPr>
        <w:t>Jennifer Cameron-Rulkowski</w:t>
      </w:r>
    </w:p>
    <w:p w:rsidR="00D21F7B" w:rsidRDefault="00D24EB8">
      <w:pPr>
        <w:ind w:left="3600" w:firstLine="720"/>
        <w:rPr>
          <w:szCs w:val="24"/>
        </w:rPr>
      </w:pPr>
      <w:r>
        <w:rPr>
          <w:szCs w:val="24"/>
        </w:rPr>
        <w:t>Assistant Attorney General</w:t>
      </w:r>
    </w:p>
    <w:p w:rsidR="00D21F7B" w:rsidRDefault="00D21F7B">
      <w:pPr>
        <w:ind w:left="720" w:firstLine="720"/>
        <w:rPr>
          <w:szCs w:val="24"/>
          <w:u w:val="single"/>
        </w:rPr>
      </w:pPr>
    </w:p>
    <w:p w:rsidR="00D21F7B" w:rsidRDefault="00D21F7B">
      <w:pPr>
        <w:ind w:left="720" w:firstLine="720"/>
        <w:rPr>
          <w:szCs w:val="24"/>
          <w:u w:val="single"/>
        </w:rPr>
      </w:pPr>
    </w:p>
    <w:p w:rsidR="00D21F7B" w:rsidRDefault="00D24EB8">
      <w:pPr>
        <w:ind w:left="720" w:firstLine="720"/>
        <w:rPr>
          <w:szCs w:val="24"/>
        </w:rPr>
      </w:pPr>
      <w:r>
        <w:rPr>
          <w:szCs w:val="24"/>
          <w:u w:val="single"/>
        </w:rPr>
        <w:t>Public Counsel</w:t>
      </w:r>
      <w:r>
        <w:rPr>
          <w:szCs w:val="24"/>
        </w:rPr>
        <w:t>:</w:t>
      </w:r>
      <w:r>
        <w:rPr>
          <w:szCs w:val="24"/>
        </w:rPr>
        <w:tab/>
      </w:r>
      <w:r>
        <w:rPr>
          <w:szCs w:val="24"/>
        </w:rPr>
        <w:tab/>
        <w:t>By: ________________________________</w:t>
      </w:r>
    </w:p>
    <w:p w:rsidR="00D21F7B" w:rsidRDefault="00D24EB8">
      <w:pPr>
        <w:ind w:left="3600" w:firstLine="720"/>
        <w:rPr>
          <w:szCs w:val="24"/>
        </w:rPr>
      </w:pPr>
      <w:r>
        <w:rPr>
          <w:szCs w:val="24"/>
        </w:rPr>
        <w:t>Lisa Gafken</w:t>
      </w:r>
    </w:p>
    <w:p w:rsidR="00D21F7B" w:rsidRDefault="00D24EB8">
      <w:pPr>
        <w:ind w:left="3600" w:firstLine="720"/>
        <w:rPr>
          <w:szCs w:val="24"/>
        </w:rPr>
      </w:pPr>
      <w:r>
        <w:rPr>
          <w:szCs w:val="24"/>
        </w:rPr>
        <w:t>Assistant Attorney General</w:t>
      </w:r>
    </w:p>
    <w:p w:rsidR="00D21F7B" w:rsidRDefault="00D21F7B">
      <w:pPr>
        <w:rPr>
          <w:szCs w:val="24"/>
        </w:rPr>
      </w:pPr>
    </w:p>
    <w:p w:rsidR="00D21F7B" w:rsidRDefault="00D21F7B">
      <w:pPr>
        <w:ind w:left="3600" w:firstLine="720"/>
        <w:rPr>
          <w:szCs w:val="24"/>
        </w:rPr>
      </w:pPr>
    </w:p>
    <w:p w:rsidR="00D21F7B" w:rsidRDefault="00D24EB8">
      <w:pPr>
        <w:tabs>
          <w:tab w:val="left" w:pos="1440"/>
        </w:tabs>
        <w:rPr>
          <w:szCs w:val="24"/>
        </w:rPr>
      </w:pPr>
      <w:r>
        <w:rPr>
          <w:szCs w:val="24"/>
        </w:rPr>
        <w:tab/>
      </w:r>
      <w:r>
        <w:rPr>
          <w:szCs w:val="24"/>
          <w:u w:val="single"/>
        </w:rPr>
        <w:t>NWIGU</w:t>
      </w:r>
      <w:r>
        <w:rPr>
          <w:szCs w:val="24"/>
        </w:rPr>
        <w:t>:</w:t>
      </w:r>
      <w:r>
        <w:rPr>
          <w:szCs w:val="24"/>
        </w:rPr>
        <w:tab/>
      </w:r>
      <w:r>
        <w:rPr>
          <w:szCs w:val="24"/>
        </w:rPr>
        <w:tab/>
      </w:r>
      <w:r>
        <w:rPr>
          <w:szCs w:val="24"/>
        </w:rPr>
        <w:tab/>
        <w:t>By: ________________________________</w:t>
      </w:r>
    </w:p>
    <w:p w:rsidR="00D21F7B" w:rsidRDefault="00D24EB8">
      <w:pPr>
        <w:ind w:left="4320"/>
        <w:rPr>
          <w:szCs w:val="24"/>
        </w:rPr>
      </w:pPr>
      <w:smartTag w:uri="urn:schemas-microsoft-com:office:smarttags" w:element="place">
        <w:smartTag w:uri="urn:schemas-microsoft-com:office:smarttags" w:element="country-region">
          <w:r>
            <w:rPr>
              <w:szCs w:val="24"/>
            </w:rPr>
            <w:t>Chad</w:t>
          </w:r>
        </w:smartTag>
      </w:smartTag>
      <w:r>
        <w:rPr>
          <w:szCs w:val="24"/>
        </w:rPr>
        <w:t xml:space="preserve"> M. Stokes</w:t>
      </w:r>
    </w:p>
    <w:p w:rsidR="00D21F7B" w:rsidRDefault="00D24EB8">
      <w:pPr>
        <w:ind w:left="4320"/>
        <w:rPr>
          <w:szCs w:val="24"/>
        </w:rPr>
      </w:pPr>
      <w:r>
        <w:rPr>
          <w:szCs w:val="24"/>
        </w:rPr>
        <w:t>Tommy Brooks</w:t>
      </w:r>
    </w:p>
    <w:p w:rsidR="00D21F7B" w:rsidRDefault="00D24EB8">
      <w:pPr>
        <w:ind w:left="4320"/>
        <w:rPr>
          <w:szCs w:val="24"/>
        </w:rPr>
      </w:pPr>
      <w:r>
        <w:rPr>
          <w:szCs w:val="24"/>
        </w:rPr>
        <w:t>Cable Huston Benedict</w:t>
      </w:r>
    </w:p>
    <w:p w:rsidR="00D21F7B" w:rsidRDefault="00D24EB8">
      <w:pPr>
        <w:ind w:left="4320"/>
        <w:rPr>
          <w:szCs w:val="24"/>
        </w:rPr>
      </w:pPr>
      <w:proofErr w:type="spellStart"/>
      <w:r>
        <w:rPr>
          <w:szCs w:val="24"/>
        </w:rPr>
        <w:t>Haagensen</w:t>
      </w:r>
      <w:proofErr w:type="spellEnd"/>
      <w:r>
        <w:rPr>
          <w:szCs w:val="24"/>
        </w:rPr>
        <w:t xml:space="preserve"> &amp; Lloyd LLP</w:t>
      </w:r>
    </w:p>
    <w:p w:rsidR="00D21F7B" w:rsidRDefault="00D21F7B">
      <w:pPr>
        <w:ind w:left="4320"/>
        <w:rPr>
          <w:szCs w:val="24"/>
        </w:rPr>
      </w:pPr>
    </w:p>
    <w:p w:rsidR="00D21F7B" w:rsidRDefault="00D21F7B">
      <w:pPr>
        <w:ind w:left="4320"/>
        <w:rPr>
          <w:szCs w:val="24"/>
        </w:rPr>
      </w:pPr>
    </w:p>
    <w:p w:rsidR="00D21F7B" w:rsidRDefault="00D24EB8">
      <w:pPr>
        <w:ind w:left="1440"/>
        <w:rPr>
          <w:szCs w:val="24"/>
        </w:rPr>
      </w:pPr>
      <w:r>
        <w:rPr>
          <w:szCs w:val="24"/>
          <w:u w:val="single"/>
        </w:rPr>
        <w:t>ICNU</w:t>
      </w:r>
      <w:r>
        <w:rPr>
          <w:szCs w:val="24"/>
        </w:rPr>
        <w:t>:</w:t>
      </w:r>
      <w:r>
        <w:rPr>
          <w:szCs w:val="24"/>
        </w:rPr>
        <w:tab/>
      </w:r>
      <w:r>
        <w:rPr>
          <w:szCs w:val="24"/>
        </w:rPr>
        <w:tab/>
      </w:r>
      <w:r>
        <w:rPr>
          <w:szCs w:val="24"/>
        </w:rPr>
        <w:tab/>
      </w:r>
      <w:r>
        <w:rPr>
          <w:szCs w:val="24"/>
        </w:rPr>
        <w:tab/>
        <w:t>By: ________________________________</w:t>
      </w:r>
    </w:p>
    <w:p w:rsidR="00D21F7B" w:rsidRDefault="00D24EB8">
      <w:pPr>
        <w:ind w:left="3600" w:firstLine="720"/>
        <w:rPr>
          <w:szCs w:val="24"/>
          <w:lang w:val="es-ES"/>
        </w:rPr>
      </w:pPr>
      <w:r>
        <w:rPr>
          <w:szCs w:val="24"/>
          <w:lang w:val="es-ES"/>
        </w:rPr>
        <w:t>Melinda Davison</w:t>
      </w:r>
    </w:p>
    <w:p w:rsidR="00D21F7B" w:rsidRDefault="00D24EB8">
      <w:pPr>
        <w:ind w:left="3600" w:firstLine="720"/>
        <w:rPr>
          <w:szCs w:val="24"/>
          <w:lang w:val="es-ES"/>
        </w:rPr>
      </w:pPr>
      <w:r>
        <w:rPr>
          <w:szCs w:val="24"/>
          <w:lang w:val="es-ES"/>
        </w:rPr>
        <w:t>Jesse Cowell</w:t>
      </w:r>
    </w:p>
    <w:p w:rsidR="00D21F7B" w:rsidRDefault="00D24EB8">
      <w:pPr>
        <w:ind w:left="3600" w:firstLine="720"/>
        <w:rPr>
          <w:szCs w:val="24"/>
          <w:lang w:val="es-ES"/>
        </w:rPr>
      </w:pPr>
      <w:r>
        <w:rPr>
          <w:szCs w:val="24"/>
          <w:lang w:val="es-ES"/>
        </w:rPr>
        <w:t>Davison Van Cleve, P.C.</w:t>
      </w:r>
    </w:p>
    <w:p w:rsidR="00D21F7B" w:rsidRDefault="00D21F7B">
      <w:pPr>
        <w:ind w:left="3600" w:firstLine="720"/>
        <w:rPr>
          <w:szCs w:val="24"/>
          <w:lang w:val="es-ES"/>
        </w:rPr>
      </w:pPr>
    </w:p>
    <w:p w:rsidR="00D21F7B" w:rsidRDefault="00D21F7B">
      <w:pPr>
        <w:ind w:left="3600" w:firstLine="720"/>
        <w:rPr>
          <w:szCs w:val="24"/>
          <w:lang w:val="es-ES"/>
        </w:rPr>
      </w:pPr>
    </w:p>
    <w:p w:rsidR="00D21F7B" w:rsidRDefault="00D21F7B">
      <w:pPr>
        <w:tabs>
          <w:tab w:val="left" w:pos="720"/>
        </w:tabs>
        <w:spacing w:line="480" w:lineRule="auto"/>
      </w:pPr>
    </w:p>
    <w:p w:rsidR="00D21F7B" w:rsidRDefault="00D21F7B">
      <w:pPr>
        <w:spacing w:line="480" w:lineRule="auto"/>
        <w:jc w:val="center"/>
      </w:pPr>
    </w:p>
    <w:sectPr w:rsidR="00D21F7B" w:rsidSect="00D21F7B">
      <w:footerReference w:type="default" r:id="rId10"/>
      <w:endnotePr>
        <w:numFmt w:val="decimal"/>
      </w:endnotePr>
      <w:pgSz w:w="12240" w:h="15840" w:code="1"/>
      <w:pgMar w:top="990" w:right="1440" w:bottom="1440" w:left="1440" w:header="1008"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4C" w:rsidRDefault="000B134C">
      <w:r>
        <w:separator/>
      </w:r>
    </w:p>
  </w:endnote>
  <w:endnote w:type="continuationSeparator" w:id="0">
    <w:p w:rsidR="000B134C" w:rsidRDefault="000B1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7B" w:rsidRDefault="008E51F3">
    <w:pPr>
      <w:pStyle w:val="Footer"/>
      <w:rPr>
        <w:sz w:val="20"/>
      </w:rPr>
    </w:pPr>
    <w:r>
      <w:rPr>
        <w:sz w:val="20"/>
      </w:rPr>
      <w:t xml:space="preserve">MULTIPARTY </w:t>
    </w:r>
    <w:r w:rsidR="00D24EB8">
      <w:rPr>
        <w:sz w:val="20"/>
      </w:rPr>
      <w:t xml:space="preserve">SETTLEMENT STIPULATION – </w:t>
    </w:r>
    <w:r w:rsidR="00DC202E">
      <w:rPr>
        <w:rStyle w:val="PageNumber"/>
        <w:sz w:val="20"/>
      </w:rPr>
      <w:fldChar w:fldCharType="begin"/>
    </w:r>
    <w:r w:rsidR="00D24EB8">
      <w:rPr>
        <w:rStyle w:val="PageNumber"/>
        <w:sz w:val="20"/>
      </w:rPr>
      <w:instrText xml:space="preserve"> PAGE </w:instrText>
    </w:r>
    <w:r w:rsidR="00DC202E">
      <w:rPr>
        <w:rStyle w:val="PageNumber"/>
        <w:sz w:val="20"/>
      </w:rPr>
      <w:fldChar w:fldCharType="separate"/>
    </w:r>
    <w:r w:rsidR="007F2FE4">
      <w:rPr>
        <w:rStyle w:val="PageNumber"/>
        <w:noProof/>
        <w:sz w:val="20"/>
      </w:rPr>
      <w:t>1</w:t>
    </w:r>
    <w:r w:rsidR="00DC202E">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4C" w:rsidRDefault="000B134C">
      <w:r>
        <w:separator/>
      </w:r>
    </w:p>
  </w:footnote>
  <w:footnote w:type="continuationSeparator" w:id="0">
    <w:p w:rsidR="000B134C" w:rsidRDefault="000B134C">
      <w:r>
        <w:continuationSeparator/>
      </w:r>
    </w:p>
  </w:footnote>
  <w:footnote w:id="1">
    <w:p w:rsidR="008E51F3" w:rsidRDefault="008E51F3" w:rsidP="008E51F3">
      <w:pPr>
        <w:pStyle w:val="FootnoteText"/>
        <w:jc w:val="both"/>
      </w:pPr>
      <w:r w:rsidRPr="00751C2F">
        <w:rPr>
          <w:rStyle w:val="FootnoteReference"/>
          <w:vertAlign w:val="superscript"/>
        </w:rPr>
        <w:footnoteRef/>
      </w:r>
      <w:r>
        <w:t xml:space="preserve"> The Energy Project </w:t>
      </w:r>
      <w:r w:rsidR="00427D5C" w:rsidRPr="00BC736E">
        <w:t xml:space="preserve">does not join in the proposed settlement.  Nevertheless, the </w:t>
      </w:r>
      <w:r>
        <w:t xml:space="preserve">Parties agree to work together in good faith to explore opportunities to </w:t>
      </w:r>
      <w:r w:rsidR="007F2FE4">
        <w:t xml:space="preserve">review </w:t>
      </w:r>
      <w:r>
        <w:t xml:space="preserve">LIRAP funding </w:t>
      </w:r>
      <w:r w:rsidR="00181A0A">
        <w:t>in the context</w:t>
      </w:r>
      <w:r>
        <w:t xml:space="preserve"> of this case, including consideration of a multi-year funding plan.</w:t>
      </w:r>
    </w:p>
  </w:footnote>
  <w:footnote w:id="2">
    <w:p w:rsidR="00D21F7B" w:rsidRDefault="00D24EB8">
      <w:pPr>
        <w:pStyle w:val="FootnoteText"/>
        <w:jc w:val="both"/>
      </w:pPr>
      <w:r>
        <w:rPr>
          <w:rStyle w:val="FootnoteReference"/>
          <w:vertAlign w:val="superscript"/>
        </w:rPr>
        <w:footnoteRef/>
      </w:r>
      <w:r>
        <w:rPr>
          <w:vertAlign w:val="superscript"/>
        </w:rPr>
        <w:t xml:space="preserve"> </w:t>
      </w:r>
      <w:r>
        <w:t xml:space="preserve">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  </w:t>
      </w:r>
    </w:p>
  </w:footnote>
  <w:footnote w:id="3">
    <w:p w:rsidR="00D21F7B" w:rsidRDefault="00D24EB8">
      <w:pPr>
        <w:pStyle w:val="FootnoteText"/>
        <w:jc w:val="both"/>
      </w:pPr>
      <w:r>
        <w:rPr>
          <w:rStyle w:val="FootnoteReference"/>
          <w:vertAlign w:val="superscript"/>
        </w:rPr>
        <w:footnoteRef/>
      </w:r>
      <w:r>
        <w:t xml:space="preserve"> This enhancement to the Aurora Model was completed after the power supply update filed with the Commission in November 2014 related to Avista’s prior General Rate Case Docket UE-140188 and therefore had no impact on the results submitted in that case.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FD"/>
    <w:multiLevelType w:val="hybridMultilevel"/>
    <w:tmpl w:val="D86C59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22086"/>
    <w:multiLevelType w:val="hybridMultilevel"/>
    <w:tmpl w:val="57942138"/>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FD2C18"/>
    <w:multiLevelType w:val="hybridMultilevel"/>
    <w:tmpl w:val="1C96EC2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CF7B59"/>
    <w:multiLevelType w:val="hybridMultilevel"/>
    <w:tmpl w:val="C28859EC"/>
    <w:lvl w:ilvl="0" w:tplc="04090001">
      <w:start w:val="1"/>
      <w:numFmt w:val="bullet"/>
      <w:lvlText w:val=""/>
      <w:lvlJc w:val="left"/>
      <w:pPr>
        <w:ind w:left="2340" w:hanging="360"/>
      </w:pPr>
      <w:rPr>
        <w:rFonts w:ascii="Symbol" w:hAnsi="Symbol" w:hint="default"/>
      </w:rPr>
    </w:lvl>
    <w:lvl w:ilvl="1" w:tplc="0409001B">
      <w:start w:val="1"/>
      <w:numFmt w:val="lowerRoman"/>
      <w:lvlText w:val="%2."/>
      <w:lvlJc w:val="righ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397D2E02"/>
    <w:multiLevelType w:val="hybridMultilevel"/>
    <w:tmpl w:val="32C05444"/>
    <w:lvl w:ilvl="0" w:tplc="6C708A72">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74F30"/>
    <w:multiLevelType w:val="hybridMultilevel"/>
    <w:tmpl w:val="334A25E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E78BE"/>
    <w:multiLevelType w:val="hybridMultilevel"/>
    <w:tmpl w:val="BDDC38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D49E0"/>
    <w:multiLevelType w:val="hybridMultilevel"/>
    <w:tmpl w:val="E7B0F3AA"/>
    <w:lvl w:ilvl="0" w:tplc="A04E4354">
      <w:start w:val="1"/>
      <w:numFmt w:val="upperRoman"/>
      <w:lvlText w:val="%1."/>
      <w:lvlJc w:val="left"/>
      <w:pPr>
        <w:tabs>
          <w:tab w:val="num" w:pos="1440"/>
        </w:tabs>
        <w:ind w:left="1440" w:hanging="720"/>
      </w:pPr>
      <w:rPr>
        <w:rFonts w:cs="Times New Roman" w:hint="default"/>
      </w:rPr>
    </w:lvl>
    <w:lvl w:ilvl="1" w:tplc="753AA8C0">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73E326E"/>
    <w:multiLevelType w:val="hybridMultilevel"/>
    <w:tmpl w:val="9B720B02"/>
    <w:lvl w:ilvl="0" w:tplc="6C708A7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6033E8"/>
    <w:multiLevelType w:val="hybridMultilevel"/>
    <w:tmpl w:val="BA90A5B8"/>
    <w:lvl w:ilvl="0" w:tplc="6C708A72">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B07080"/>
    <w:multiLevelType w:val="hybridMultilevel"/>
    <w:tmpl w:val="6F64C8E2"/>
    <w:lvl w:ilvl="0" w:tplc="04090017">
      <w:start w:val="1"/>
      <w:numFmt w:val="lowerLetter"/>
      <w:lvlText w:val="%1)"/>
      <w:lvlJc w:val="left"/>
      <w:pPr>
        <w:ind w:left="720" w:hanging="360"/>
      </w:pPr>
      <w:rPr>
        <w:rFonts w:hint="default"/>
      </w:rPr>
    </w:lvl>
    <w:lvl w:ilvl="1" w:tplc="6C708A72">
      <w:start w:val="1"/>
      <w:numFmt w:val="lowerRoman"/>
      <w:lvlText w:val="(%2.)"/>
      <w:lvlJc w:val="left"/>
      <w:pPr>
        <w:ind w:left="1440" w:hanging="360"/>
      </w:pPr>
      <w:rPr>
        <w:rFonts w:cs="Times New Roman" w:hint="default"/>
      </w:rPr>
    </w:lvl>
    <w:lvl w:ilvl="2" w:tplc="6C708A72">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3"/>
  </w:num>
  <w:num w:numId="5">
    <w:abstractNumId w:val="5"/>
  </w:num>
  <w:num w:numId="6">
    <w:abstractNumId w:val="6"/>
  </w:num>
  <w:num w:numId="7">
    <w:abstractNumId w:val="4"/>
  </w:num>
  <w:num w:numId="8">
    <w:abstractNumId w:val="2"/>
  </w:num>
  <w:num w:numId="9">
    <w:abstractNumId w:val="9"/>
  </w:num>
  <w:num w:numId="10">
    <w:abstractNumId w:val="0"/>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51201"/>
  </w:hdrShapeDefaults>
  <w:footnotePr>
    <w:footnote w:id="-1"/>
    <w:footnote w:id="0"/>
  </w:footnotePr>
  <w:endnotePr>
    <w:numFmt w:val="decimal"/>
    <w:endnote w:id="-1"/>
    <w:endnote w:id="0"/>
  </w:endnotePr>
  <w:compat/>
  <w:rsids>
    <w:rsidRoot w:val="00D21F7B"/>
    <w:rsid w:val="000B134C"/>
    <w:rsid w:val="001418D0"/>
    <w:rsid w:val="00147AA7"/>
    <w:rsid w:val="00181A0A"/>
    <w:rsid w:val="001C1108"/>
    <w:rsid w:val="002D6603"/>
    <w:rsid w:val="00345491"/>
    <w:rsid w:val="0037195E"/>
    <w:rsid w:val="003D265F"/>
    <w:rsid w:val="00427D5C"/>
    <w:rsid w:val="005E1039"/>
    <w:rsid w:val="006C7EAF"/>
    <w:rsid w:val="007410EE"/>
    <w:rsid w:val="00751C2F"/>
    <w:rsid w:val="007A2AB8"/>
    <w:rsid w:val="007B410A"/>
    <w:rsid w:val="007F2FE4"/>
    <w:rsid w:val="008B1FDB"/>
    <w:rsid w:val="008E51F3"/>
    <w:rsid w:val="00A00CA8"/>
    <w:rsid w:val="00A46F56"/>
    <w:rsid w:val="00BD3467"/>
    <w:rsid w:val="00D13288"/>
    <w:rsid w:val="00D21F7B"/>
    <w:rsid w:val="00D24EB8"/>
    <w:rsid w:val="00DC202E"/>
    <w:rsid w:val="00F166E6"/>
    <w:rsid w:val="00F20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F7B"/>
    <w:pPr>
      <w:widowControl w:val="0"/>
    </w:pPr>
    <w:rPr>
      <w:sz w:val="24"/>
    </w:rPr>
  </w:style>
  <w:style w:type="paragraph" w:styleId="Heading1">
    <w:name w:val="heading 1"/>
    <w:basedOn w:val="Normal"/>
    <w:next w:val="Normal"/>
    <w:qFormat/>
    <w:rsid w:val="00D21F7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rsid w:val="00D21F7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rsid w:val="00D21F7B"/>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rsid w:val="00D21F7B"/>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D21F7B"/>
    <w:rPr>
      <w:rFonts w:cs="Times New Roman"/>
    </w:rPr>
  </w:style>
  <w:style w:type="character" w:styleId="PageNumber">
    <w:name w:val="page number"/>
    <w:rsid w:val="00D21F7B"/>
    <w:rPr>
      <w:rFonts w:ascii="Times New Roman" w:hAnsi="Times New Roman" w:cs="Times New Roman"/>
      <w:sz w:val="24"/>
    </w:rPr>
  </w:style>
  <w:style w:type="paragraph" w:styleId="Header">
    <w:name w:val="header"/>
    <w:basedOn w:val="Normal"/>
    <w:link w:val="HeaderChar"/>
    <w:uiPriority w:val="99"/>
    <w:rsid w:val="00D21F7B"/>
    <w:pPr>
      <w:tabs>
        <w:tab w:val="center" w:pos="4320"/>
        <w:tab w:val="right" w:pos="8640"/>
      </w:tabs>
    </w:pPr>
  </w:style>
  <w:style w:type="paragraph" w:styleId="Footer">
    <w:name w:val="footer"/>
    <w:basedOn w:val="Normal"/>
    <w:rsid w:val="00D21F7B"/>
    <w:pPr>
      <w:tabs>
        <w:tab w:val="center" w:pos="4320"/>
        <w:tab w:val="right" w:pos="8640"/>
      </w:tabs>
    </w:pPr>
  </w:style>
  <w:style w:type="paragraph" w:styleId="BodyTextIndent">
    <w:name w:val="Body Text Indent"/>
    <w:basedOn w:val="Normal"/>
    <w:link w:val="BodyTextIndentChar"/>
    <w:rsid w:val="00D21F7B"/>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rsid w:val="00D21F7B"/>
    <w:pPr>
      <w:widowControl/>
      <w:tabs>
        <w:tab w:val="left" w:pos="1260"/>
      </w:tabs>
      <w:ind w:left="720" w:hanging="720"/>
      <w:jc w:val="both"/>
    </w:pPr>
  </w:style>
  <w:style w:type="paragraph" w:styleId="FootnoteText">
    <w:name w:val="footnote text"/>
    <w:basedOn w:val="Normal"/>
    <w:link w:val="FootnoteTextChar"/>
    <w:uiPriority w:val="99"/>
    <w:semiHidden/>
    <w:rsid w:val="00D21F7B"/>
    <w:rPr>
      <w:sz w:val="20"/>
    </w:rPr>
  </w:style>
  <w:style w:type="paragraph" w:styleId="BodyText">
    <w:name w:val="Body Text"/>
    <w:basedOn w:val="Normal"/>
    <w:rsid w:val="00D21F7B"/>
    <w:pPr>
      <w:widowControl/>
    </w:pPr>
  </w:style>
  <w:style w:type="character" w:styleId="LineNumber">
    <w:name w:val="line number"/>
    <w:rsid w:val="00D21F7B"/>
    <w:rPr>
      <w:rFonts w:cs="Times New Roman"/>
    </w:rPr>
  </w:style>
  <w:style w:type="paragraph" w:styleId="BodyTextIndent2">
    <w:name w:val="Body Text Indent 2"/>
    <w:basedOn w:val="Normal"/>
    <w:rsid w:val="00D21F7B"/>
    <w:pPr>
      <w:widowControl/>
      <w:tabs>
        <w:tab w:val="left" w:pos="1260"/>
      </w:tabs>
      <w:spacing w:line="360" w:lineRule="auto"/>
      <w:ind w:left="540" w:hanging="540"/>
      <w:jc w:val="both"/>
    </w:pPr>
  </w:style>
  <w:style w:type="paragraph" w:styleId="DocumentMap">
    <w:name w:val="Document Map"/>
    <w:basedOn w:val="Normal"/>
    <w:semiHidden/>
    <w:rsid w:val="00D21F7B"/>
    <w:pPr>
      <w:shd w:val="clear" w:color="auto" w:fill="000080"/>
    </w:pPr>
    <w:rPr>
      <w:rFonts w:ascii="Tahoma" w:hAnsi="Tahoma"/>
    </w:rPr>
  </w:style>
  <w:style w:type="paragraph" w:styleId="List2">
    <w:name w:val="List 2"/>
    <w:basedOn w:val="Normal"/>
    <w:rsid w:val="00D21F7B"/>
    <w:pPr>
      <w:ind w:left="720" w:hanging="360"/>
    </w:pPr>
  </w:style>
  <w:style w:type="paragraph" w:styleId="List3">
    <w:name w:val="List 3"/>
    <w:basedOn w:val="Normal"/>
    <w:rsid w:val="00D21F7B"/>
    <w:pPr>
      <w:ind w:left="1080" w:hanging="360"/>
    </w:pPr>
  </w:style>
  <w:style w:type="paragraph" w:styleId="Title">
    <w:name w:val="Title"/>
    <w:basedOn w:val="Normal"/>
    <w:qFormat/>
    <w:rsid w:val="00D21F7B"/>
    <w:pPr>
      <w:spacing w:before="240" w:after="60"/>
      <w:jc w:val="center"/>
      <w:outlineLvl w:val="0"/>
    </w:pPr>
    <w:rPr>
      <w:rFonts w:ascii="Arial" w:hAnsi="Arial" w:cs="Arial"/>
      <w:b/>
      <w:bCs/>
      <w:kern w:val="28"/>
      <w:sz w:val="32"/>
      <w:szCs w:val="32"/>
    </w:rPr>
  </w:style>
  <w:style w:type="paragraph" w:styleId="Subtitle">
    <w:name w:val="Subtitle"/>
    <w:basedOn w:val="Normal"/>
    <w:qFormat/>
    <w:rsid w:val="00D21F7B"/>
    <w:pPr>
      <w:spacing w:after="60"/>
      <w:jc w:val="center"/>
      <w:outlineLvl w:val="1"/>
    </w:pPr>
    <w:rPr>
      <w:rFonts w:ascii="Arial" w:hAnsi="Arial" w:cs="Arial"/>
      <w:szCs w:val="24"/>
    </w:rPr>
  </w:style>
  <w:style w:type="paragraph" w:styleId="NormalIndent">
    <w:name w:val="Normal Indent"/>
    <w:basedOn w:val="Normal"/>
    <w:rsid w:val="00D21F7B"/>
    <w:pPr>
      <w:ind w:left="720"/>
    </w:pPr>
  </w:style>
  <w:style w:type="paragraph" w:customStyle="1" w:styleId="ShortReturnAddress">
    <w:name w:val="Short Return Address"/>
    <w:basedOn w:val="Normal"/>
    <w:rsid w:val="00D21F7B"/>
  </w:style>
  <w:style w:type="paragraph" w:styleId="List">
    <w:name w:val="List"/>
    <w:basedOn w:val="Normal"/>
    <w:rsid w:val="00D21F7B"/>
    <w:pPr>
      <w:ind w:left="360" w:hanging="360"/>
    </w:pPr>
  </w:style>
  <w:style w:type="paragraph" w:customStyle="1" w:styleId="RomanHeader">
    <w:name w:val="Roman Header"/>
    <w:basedOn w:val="Normal"/>
    <w:rsid w:val="00D21F7B"/>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rsid w:val="00D21F7B"/>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sid w:val="00D21F7B"/>
    <w:rPr>
      <w:sz w:val="20"/>
    </w:rPr>
  </w:style>
  <w:style w:type="character" w:customStyle="1" w:styleId="EndnoteTextChar">
    <w:name w:val="Endnote Text Char"/>
    <w:basedOn w:val="DefaultParagraphFont"/>
    <w:link w:val="EndnoteText"/>
    <w:rsid w:val="00D21F7B"/>
  </w:style>
  <w:style w:type="character" w:styleId="EndnoteReference">
    <w:name w:val="endnote reference"/>
    <w:rsid w:val="00D21F7B"/>
    <w:rPr>
      <w:vertAlign w:val="superscript"/>
    </w:rPr>
  </w:style>
  <w:style w:type="character" w:customStyle="1" w:styleId="FootnoteTextChar">
    <w:name w:val="Footnote Text Char"/>
    <w:basedOn w:val="DefaultParagraphFont"/>
    <w:link w:val="FootnoteText"/>
    <w:uiPriority w:val="99"/>
    <w:semiHidden/>
    <w:rsid w:val="00D21F7B"/>
  </w:style>
  <w:style w:type="paragraph" w:styleId="ListParagraph">
    <w:name w:val="List Paragraph"/>
    <w:basedOn w:val="Normal"/>
    <w:uiPriority w:val="34"/>
    <w:qFormat/>
    <w:rsid w:val="00D21F7B"/>
    <w:pPr>
      <w:widowControl/>
      <w:ind w:left="720"/>
      <w:contextualSpacing/>
    </w:pPr>
    <w:rPr>
      <w:rFonts w:ascii="Calibri" w:eastAsia="Calibri" w:hAnsi="Calibri"/>
      <w:sz w:val="22"/>
      <w:szCs w:val="22"/>
    </w:rPr>
  </w:style>
  <w:style w:type="table" w:styleId="TableGrid">
    <w:name w:val="Table Grid"/>
    <w:basedOn w:val="TableNormal"/>
    <w:rsid w:val="00D21F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D21F7B"/>
    <w:rPr>
      <w:sz w:val="16"/>
      <w:szCs w:val="16"/>
    </w:rPr>
  </w:style>
  <w:style w:type="paragraph" w:styleId="CommentText">
    <w:name w:val="annotation text"/>
    <w:basedOn w:val="Normal"/>
    <w:link w:val="CommentTextChar"/>
    <w:rsid w:val="00D21F7B"/>
    <w:rPr>
      <w:sz w:val="20"/>
    </w:rPr>
  </w:style>
  <w:style w:type="character" w:customStyle="1" w:styleId="CommentTextChar">
    <w:name w:val="Comment Text Char"/>
    <w:basedOn w:val="DefaultParagraphFont"/>
    <w:link w:val="CommentText"/>
    <w:rsid w:val="00D21F7B"/>
  </w:style>
  <w:style w:type="paragraph" w:styleId="CommentSubject">
    <w:name w:val="annotation subject"/>
    <w:basedOn w:val="CommentText"/>
    <w:next w:val="CommentText"/>
    <w:link w:val="CommentSubjectChar"/>
    <w:rsid w:val="00D21F7B"/>
    <w:rPr>
      <w:b/>
      <w:bCs/>
    </w:rPr>
  </w:style>
  <w:style w:type="character" w:customStyle="1" w:styleId="CommentSubjectChar">
    <w:name w:val="Comment Subject Char"/>
    <w:link w:val="CommentSubject"/>
    <w:rsid w:val="00D21F7B"/>
    <w:rPr>
      <w:b/>
      <w:bCs/>
    </w:rPr>
  </w:style>
  <w:style w:type="paragraph" w:styleId="BalloonText">
    <w:name w:val="Balloon Text"/>
    <w:basedOn w:val="Normal"/>
    <w:link w:val="BalloonTextChar"/>
    <w:rsid w:val="00D21F7B"/>
    <w:rPr>
      <w:rFonts w:ascii="Tahoma" w:hAnsi="Tahoma"/>
      <w:sz w:val="16"/>
      <w:szCs w:val="16"/>
    </w:rPr>
  </w:style>
  <w:style w:type="character" w:customStyle="1" w:styleId="BalloonTextChar">
    <w:name w:val="Balloon Text Char"/>
    <w:link w:val="BalloonText"/>
    <w:rsid w:val="00D21F7B"/>
    <w:rPr>
      <w:rFonts w:ascii="Tahoma" w:hAnsi="Tahoma" w:cs="Tahoma"/>
      <w:sz w:val="16"/>
      <w:szCs w:val="16"/>
    </w:rPr>
  </w:style>
  <w:style w:type="paragraph" w:styleId="Revision">
    <w:name w:val="Revision"/>
    <w:hidden/>
    <w:uiPriority w:val="99"/>
    <w:semiHidden/>
    <w:rsid w:val="00D21F7B"/>
    <w:rPr>
      <w:sz w:val="24"/>
    </w:rPr>
  </w:style>
  <w:style w:type="character" w:customStyle="1" w:styleId="BodyTextIndentChar">
    <w:name w:val="Body Text Indent Char"/>
    <w:link w:val="BodyTextIndent"/>
    <w:rsid w:val="00D21F7B"/>
    <w:rPr>
      <w:sz w:val="24"/>
    </w:rPr>
  </w:style>
  <w:style w:type="paragraph" w:styleId="BodyText2">
    <w:name w:val="Body Text 2"/>
    <w:basedOn w:val="Normal"/>
    <w:link w:val="BodyText2Char"/>
    <w:rsid w:val="00D21F7B"/>
    <w:pPr>
      <w:spacing w:after="120" w:line="480" w:lineRule="auto"/>
    </w:pPr>
  </w:style>
  <w:style w:type="character" w:customStyle="1" w:styleId="BodyText2Char">
    <w:name w:val="Body Text 2 Char"/>
    <w:link w:val="BodyText2"/>
    <w:rsid w:val="00D21F7B"/>
    <w:rPr>
      <w:sz w:val="24"/>
    </w:rPr>
  </w:style>
  <w:style w:type="character" w:customStyle="1" w:styleId="HeaderChar">
    <w:name w:val="Header Char"/>
    <w:link w:val="Header"/>
    <w:uiPriority w:val="99"/>
    <w:rsid w:val="00D21F7B"/>
    <w:rPr>
      <w:sz w:val="24"/>
    </w:rPr>
  </w:style>
  <w:style w:type="character" w:customStyle="1" w:styleId="bumpedfont15">
    <w:name w:val="bumpedfont15"/>
    <w:basedOn w:val="DefaultParagraphFont"/>
    <w:rsid w:val="00D21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outlineLvl w:val="1"/>
    </w:pPr>
    <w:rPr>
      <w:b/>
    </w:rPr>
  </w:style>
  <w:style w:type="paragraph" w:styleId="Heading3">
    <w:name w:val="heading 3"/>
    <w:basedOn w:val="Normal"/>
    <w:next w:val="Normal"/>
    <w:qFormat/>
    <w:pPr>
      <w:keepNext/>
      <w:widowControl/>
      <w:tabs>
        <w:tab w:val="left" w:pos="1260"/>
      </w:tabs>
      <w:spacing w:line="360" w:lineRule="auto"/>
      <w:ind w:left="540" w:hanging="540"/>
      <w:jc w:val="center"/>
      <w:outlineLvl w:val="2"/>
    </w:pPr>
    <w:rPr>
      <w:b/>
    </w:rPr>
  </w:style>
  <w:style w:type="paragraph" w:styleId="Heading4">
    <w:name w:val="heading 4"/>
    <w:basedOn w:val="Normal"/>
    <w:next w:val="Normal"/>
    <w:qFormat/>
    <w:pPr>
      <w:keepNext/>
      <w:tabs>
        <w:tab w:val="left" w:pos="1260"/>
      </w:tabs>
      <w:spacing w:line="480" w:lineRule="auto"/>
      <w:ind w:firstLine="720"/>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cs="Times New Roman"/>
    </w:rPr>
  </w:style>
  <w:style w:type="character" w:styleId="PageNumber">
    <w:name w:val="page number"/>
    <w:rPr>
      <w:rFonts w:ascii="Times New Roman" w:hAnsi="Times New Roman" w:cs="Times New Roman"/>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tabs>
        <w:tab w:val="left" w:pos="0"/>
        <w:tab w:val="left" w:pos="720"/>
        <w:tab w:val="left" w:pos="4320"/>
        <w:tab w:val="left" w:pos="5040"/>
        <w:tab w:val="left" w:pos="5760"/>
        <w:tab w:val="left" w:pos="6480"/>
        <w:tab w:val="left" w:pos="7200"/>
        <w:tab w:val="left" w:pos="7920"/>
      </w:tabs>
      <w:spacing w:line="480" w:lineRule="auto"/>
      <w:jc w:val="both"/>
    </w:pPr>
  </w:style>
  <w:style w:type="paragraph" w:styleId="BodyTextIndent3">
    <w:name w:val="Body Text Indent 3"/>
    <w:basedOn w:val="Normal"/>
    <w:pPr>
      <w:widowControl/>
      <w:tabs>
        <w:tab w:val="left" w:pos="1260"/>
      </w:tabs>
      <w:ind w:left="720" w:hanging="720"/>
      <w:jc w:val="both"/>
    </w:pPr>
  </w:style>
  <w:style w:type="paragraph" w:styleId="FootnoteText">
    <w:name w:val="footnote text"/>
    <w:basedOn w:val="Normal"/>
    <w:link w:val="FootnoteTextChar"/>
    <w:uiPriority w:val="99"/>
    <w:semiHidden/>
    <w:rPr>
      <w:sz w:val="20"/>
    </w:rPr>
  </w:style>
  <w:style w:type="paragraph" w:styleId="BodyText">
    <w:name w:val="Body Text"/>
    <w:basedOn w:val="Normal"/>
    <w:pPr>
      <w:widowControl/>
    </w:pPr>
  </w:style>
  <w:style w:type="character" w:styleId="LineNumber">
    <w:name w:val="line number"/>
    <w:rPr>
      <w:rFonts w:cs="Times New Roman"/>
    </w:rPr>
  </w:style>
  <w:style w:type="paragraph" w:styleId="BodyTextIndent2">
    <w:name w:val="Body Text Indent 2"/>
    <w:basedOn w:val="Normal"/>
    <w:pPr>
      <w:widowControl/>
      <w:tabs>
        <w:tab w:val="left" w:pos="1260"/>
      </w:tabs>
      <w:spacing w:line="360" w:lineRule="auto"/>
      <w:ind w:left="540" w:hanging="540"/>
      <w:jc w:val="both"/>
    </w:pPr>
  </w:style>
  <w:style w:type="paragraph" w:styleId="DocumentMap">
    <w:name w:val="Document Map"/>
    <w:basedOn w:val="Normal"/>
    <w:semiHidden/>
    <w:pPr>
      <w:shd w:val="clear" w:color="auto" w:fill="000080"/>
    </w:pPr>
    <w:rPr>
      <w:rFonts w:ascii="Tahoma" w:hAnsi="Tahoma"/>
    </w:rPr>
  </w:style>
  <w:style w:type="paragraph" w:styleId="List2">
    <w:name w:val="List 2"/>
    <w:basedOn w:val="Normal"/>
    <w:pPr>
      <w:ind w:left="720" w:hanging="360"/>
    </w:pPr>
  </w:style>
  <w:style w:type="paragraph" w:styleId="List3">
    <w:name w:val="List 3"/>
    <w:basedOn w:val="Normal"/>
    <w:pPr>
      <w:ind w:left="108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Cs w:val="24"/>
    </w:rPr>
  </w:style>
  <w:style w:type="paragraph" w:styleId="NormalIndent">
    <w:name w:val="Normal Indent"/>
    <w:basedOn w:val="Normal"/>
    <w:pPr>
      <w:ind w:left="720"/>
    </w:pPr>
  </w:style>
  <w:style w:type="paragraph" w:customStyle="1" w:styleId="ShortReturnAddress">
    <w:name w:val="Short Return Address"/>
    <w:basedOn w:val="Normal"/>
  </w:style>
  <w:style w:type="paragraph" w:styleId="List">
    <w:name w:val="List"/>
    <w:basedOn w:val="Normal"/>
    <w:pPr>
      <w:ind w:left="360" w:hanging="360"/>
    </w:pPr>
  </w:style>
  <w:style w:type="paragraph" w:customStyle="1" w:styleId="RomanHeader">
    <w:name w:val="Roman Header"/>
    <w:basedOn w:val="Normal"/>
    <w:pPr>
      <w:widowControl/>
      <w:tabs>
        <w:tab w:val="left" w:pos="360"/>
      </w:tabs>
      <w:autoSpaceDE w:val="0"/>
      <w:autoSpaceDN w:val="0"/>
      <w:spacing w:line="360" w:lineRule="atLeast"/>
    </w:pPr>
    <w:rPr>
      <w:rFonts w:ascii="Times" w:hAnsi="Times"/>
      <w:szCs w:val="24"/>
    </w:rPr>
  </w:style>
  <w:style w:type="paragraph" w:customStyle="1" w:styleId="SubHeader">
    <w:name w:val="Sub Header"/>
    <w:basedOn w:val="Normal"/>
    <w:pPr>
      <w:widowControl/>
      <w:tabs>
        <w:tab w:val="left" w:pos="360"/>
        <w:tab w:val="left" w:pos="900"/>
      </w:tabs>
      <w:autoSpaceDE w:val="0"/>
      <w:autoSpaceDN w:val="0"/>
      <w:spacing w:line="360" w:lineRule="atLeast"/>
    </w:pPr>
    <w:rPr>
      <w:rFonts w:ascii="Times" w:hAnsi="Times"/>
      <w:b/>
      <w:bCs/>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FootnoteTextChar">
    <w:name w:val="Footnote Text Char"/>
    <w:basedOn w:val="DefaultParagraphFont"/>
    <w:link w:val="FootnoteText"/>
    <w:uiPriority w:val="99"/>
    <w:semiHidden/>
  </w:style>
  <w:style w:type="paragraph" w:styleId="ListParagraph">
    <w:name w:val="List Paragraph"/>
    <w:basedOn w:val="Normal"/>
    <w:uiPriority w:val="34"/>
    <w:qFormat/>
    <w:pPr>
      <w:widowControl/>
      <w:ind w:left="720"/>
      <w:contextualSpacing/>
    </w:pPr>
    <w:rPr>
      <w:rFonts w:ascii="Calibri" w:eastAsia="Calibri" w:hAnsi="Calibri"/>
      <w:sz w:val="22"/>
      <w:szCs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rPr>
  </w:style>
  <w:style w:type="character" w:customStyle="1" w:styleId="BodyTextIndentChar">
    <w:name w:val="Body Text Indent Char"/>
    <w:link w:val="BodyTextIndent"/>
    <w:rPr>
      <w:sz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4"/>
    </w:rPr>
  </w:style>
  <w:style w:type="character" w:customStyle="1" w:styleId="HeaderChar">
    <w:name w:val="Header Char"/>
    <w:link w:val="Header"/>
    <w:uiPriority w:val="99"/>
    <w:rPr>
      <w:sz w:val="24"/>
    </w:rPr>
  </w:style>
  <w:style w:type="character" w:customStyle="1" w:styleId="bumpedfont15">
    <w:name w:val="bumpedfont15"/>
    <w:basedOn w:val="DefaultParagraphFont"/>
  </w:style>
</w:styles>
</file>

<file path=word/webSettings.xml><?xml version="1.0" encoding="utf-8"?>
<w:webSettings xmlns:r="http://schemas.openxmlformats.org/officeDocument/2006/relationships" xmlns:w="http://schemas.openxmlformats.org/wordprocessingml/2006/main">
  <w:divs>
    <w:div w:id="170143232">
      <w:bodyDiv w:val="1"/>
      <w:marLeft w:val="0"/>
      <w:marRight w:val="0"/>
      <w:marTop w:val="0"/>
      <w:marBottom w:val="0"/>
      <w:divBdr>
        <w:top w:val="none" w:sz="0" w:space="0" w:color="auto"/>
        <w:left w:val="none" w:sz="0" w:space="0" w:color="auto"/>
        <w:bottom w:val="none" w:sz="0" w:space="0" w:color="auto"/>
        <w:right w:val="none" w:sz="0" w:space="0" w:color="auto"/>
      </w:divBdr>
    </w:div>
    <w:div w:id="185103622">
      <w:bodyDiv w:val="1"/>
      <w:marLeft w:val="0"/>
      <w:marRight w:val="0"/>
      <w:marTop w:val="0"/>
      <w:marBottom w:val="0"/>
      <w:divBdr>
        <w:top w:val="none" w:sz="0" w:space="0" w:color="auto"/>
        <w:left w:val="none" w:sz="0" w:space="0" w:color="auto"/>
        <w:bottom w:val="none" w:sz="0" w:space="0" w:color="auto"/>
        <w:right w:val="none" w:sz="0" w:space="0" w:color="auto"/>
      </w:divBdr>
    </w:div>
    <w:div w:id="441725086">
      <w:bodyDiv w:val="1"/>
      <w:marLeft w:val="0"/>
      <w:marRight w:val="0"/>
      <w:marTop w:val="0"/>
      <w:marBottom w:val="0"/>
      <w:divBdr>
        <w:top w:val="none" w:sz="0" w:space="0" w:color="auto"/>
        <w:left w:val="none" w:sz="0" w:space="0" w:color="auto"/>
        <w:bottom w:val="none" w:sz="0" w:space="0" w:color="auto"/>
        <w:right w:val="none" w:sz="0" w:space="0" w:color="auto"/>
      </w:divBdr>
    </w:div>
    <w:div w:id="449933625">
      <w:bodyDiv w:val="1"/>
      <w:marLeft w:val="0"/>
      <w:marRight w:val="0"/>
      <w:marTop w:val="0"/>
      <w:marBottom w:val="0"/>
      <w:divBdr>
        <w:top w:val="none" w:sz="0" w:space="0" w:color="auto"/>
        <w:left w:val="none" w:sz="0" w:space="0" w:color="auto"/>
        <w:bottom w:val="none" w:sz="0" w:space="0" w:color="auto"/>
        <w:right w:val="none" w:sz="0" w:space="0" w:color="auto"/>
      </w:divBdr>
    </w:div>
    <w:div w:id="760446154">
      <w:bodyDiv w:val="1"/>
      <w:marLeft w:val="0"/>
      <w:marRight w:val="0"/>
      <w:marTop w:val="0"/>
      <w:marBottom w:val="0"/>
      <w:divBdr>
        <w:top w:val="none" w:sz="0" w:space="0" w:color="auto"/>
        <w:left w:val="none" w:sz="0" w:space="0" w:color="auto"/>
        <w:bottom w:val="none" w:sz="0" w:space="0" w:color="auto"/>
        <w:right w:val="none" w:sz="0" w:space="0" w:color="auto"/>
      </w:divBdr>
    </w:div>
    <w:div w:id="863596547">
      <w:bodyDiv w:val="1"/>
      <w:marLeft w:val="0"/>
      <w:marRight w:val="0"/>
      <w:marTop w:val="0"/>
      <w:marBottom w:val="0"/>
      <w:divBdr>
        <w:top w:val="none" w:sz="0" w:space="0" w:color="auto"/>
        <w:left w:val="none" w:sz="0" w:space="0" w:color="auto"/>
        <w:bottom w:val="none" w:sz="0" w:space="0" w:color="auto"/>
        <w:right w:val="none" w:sz="0" w:space="0" w:color="auto"/>
      </w:divBdr>
    </w:div>
    <w:div w:id="918246211">
      <w:bodyDiv w:val="1"/>
      <w:marLeft w:val="0"/>
      <w:marRight w:val="0"/>
      <w:marTop w:val="0"/>
      <w:marBottom w:val="0"/>
      <w:divBdr>
        <w:top w:val="none" w:sz="0" w:space="0" w:color="auto"/>
        <w:left w:val="none" w:sz="0" w:space="0" w:color="auto"/>
        <w:bottom w:val="none" w:sz="0" w:space="0" w:color="auto"/>
        <w:right w:val="none" w:sz="0" w:space="0" w:color="auto"/>
      </w:divBdr>
    </w:div>
    <w:div w:id="1129863163">
      <w:bodyDiv w:val="1"/>
      <w:marLeft w:val="0"/>
      <w:marRight w:val="0"/>
      <w:marTop w:val="0"/>
      <w:marBottom w:val="0"/>
      <w:divBdr>
        <w:top w:val="none" w:sz="0" w:space="0" w:color="auto"/>
        <w:left w:val="none" w:sz="0" w:space="0" w:color="auto"/>
        <w:bottom w:val="none" w:sz="0" w:space="0" w:color="auto"/>
        <w:right w:val="none" w:sz="0" w:space="0" w:color="auto"/>
      </w:divBdr>
    </w:div>
    <w:div w:id="1253392634">
      <w:bodyDiv w:val="1"/>
      <w:marLeft w:val="0"/>
      <w:marRight w:val="0"/>
      <w:marTop w:val="0"/>
      <w:marBottom w:val="0"/>
      <w:divBdr>
        <w:top w:val="none" w:sz="0" w:space="0" w:color="auto"/>
        <w:left w:val="none" w:sz="0" w:space="0" w:color="auto"/>
        <w:bottom w:val="none" w:sz="0" w:space="0" w:color="auto"/>
        <w:right w:val="none" w:sz="0" w:space="0" w:color="auto"/>
      </w:divBdr>
    </w:div>
    <w:div w:id="1256865437">
      <w:bodyDiv w:val="1"/>
      <w:marLeft w:val="0"/>
      <w:marRight w:val="0"/>
      <w:marTop w:val="0"/>
      <w:marBottom w:val="0"/>
      <w:divBdr>
        <w:top w:val="none" w:sz="0" w:space="0" w:color="auto"/>
        <w:left w:val="none" w:sz="0" w:space="0" w:color="auto"/>
        <w:bottom w:val="none" w:sz="0" w:space="0" w:color="auto"/>
        <w:right w:val="none" w:sz="0" w:space="0" w:color="auto"/>
      </w:divBdr>
    </w:div>
    <w:div w:id="1258488293">
      <w:bodyDiv w:val="1"/>
      <w:marLeft w:val="0"/>
      <w:marRight w:val="0"/>
      <w:marTop w:val="0"/>
      <w:marBottom w:val="0"/>
      <w:divBdr>
        <w:top w:val="none" w:sz="0" w:space="0" w:color="auto"/>
        <w:left w:val="none" w:sz="0" w:space="0" w:color="auto"/>
        <w:bottom w:val="none" w:sz="0" w:space="0" w:color="auto"/>
        <w:right w:val="none" w:sz="0" w:space="0" w:color="auto"/>
      </w:divBdr>
    </w:div>
    <w:div w:id="1609386472">
      <w:bodyDiv w:val="1"/>
      <w:marLeft w:val="0"/>
      <w:marRight w:val="0"/>
      <w:marTop w:val="0"/>
      <w:marBottom w:val="0"/>
      <w:divBdr>
        <w:top w:val="none" w:sz="0" w:space="0" w:color="auto"/>
        <w:left w:val="none" w:sz="0" w:space="0" w:color="auto"/>
        <w:bottom w:val="none" w:sz="0" w:space="0" w:color="auto"/>
        <w:right w:val="none" w:sz="0" w:space="0" w:color="auto"/>
      </w:divBdr>
    </w:div>
    <w:div w:id="1980259158">
      <w:bodyDiv w:val="1"/>
      <w:marLeft w:val="0"/>
      <w:marRight w:val="0"/>
      <w:marTop w:val="0"/>
      <w:marBottom w:val="0"/>
      <w:divBdr>
        <w:top w:val="none" w:sz="0" w:space="0" w:color="auto"/>
        <w:left w:val="none" w:sz="0" w:space="0" w:color="auto"/>
        <w:bottom w:val="none" w:sz="0" w:space="0" w:color="auto"/>
        <w:right w:val="none" w:sz="0" w:space="0" w:color="auto"/>
      </w:divBdr>
    </w:div>
    <w:div w:id="210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Stipulation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2015-05-01T07:00:00+00:00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802AF1-5CBE-4B8A-B505-B7B43E3384FD}"/>
</file>

<file path=customXml/itemProps2.xml><?xml version="1.0" encoding="utf-8"?>
<ds:datastoreItem xmlns:ds="http://schemas.openxmlformats.org/officeDocument/2006/customXml" ds:itemID="{05DF1437-542E-49A0-B039-9857266513FF}"/>
</file>

<file path=customXml/itemProps3.xml><?xml version="1.0" encoding="utf-8"?>
<ds:datastoreItem xmlns:ds="http://schemas.openxmlformats.org/officeDocument/2006/customXml" ds:itemID="{C9025DC1-D99C-4FDC-8878-D2C5E880B24B}"/>
</file>

<file path=customXml/itemProps4.xml><?xml version="1.0" encoding="utf-8"?>
<ds:datastoreItem xmlns:ds="http://schemas.openxmlformats.org/officeDocument/2006/customXml" ds:itemID="{D9E96931-471B-4380-A61F-4AFC37D3C260}"/>
</file>

<file path=customXml/itemProps5.xml><?xml version="1.0" encoding="utf-8"?>
<ds:datastoreItem xmlns:ds="http://schemas.openxmlformats.org/officeDocument/2006/customXml" ds:itemID="{A1EFAE3F-1E40-441E-872B-A2335128AB37}"/>
</file>

<file path=docProps/app.xml><?xml version="1.0" encoding="utf-8"?>
<Properties xmlns="http://schemas.openxmlformats.org/officeDocument/2006/extended-properties" xmlns:vt="http://schemas.openxmlformats.org/officeDocument/2006/docPropsVTypes">
  <Template>Normal.dotm</Template>
  <TotalTime>3</TotalTime>
  <Pages>10</Pages>
  <Words>2186</Words>
  <Characters>12093</Characters>
  <Application>Microsoft Office Word</Application>
  <DocSecurity>0</DocSecurity>
  <Lines>100</Lines>
  <Paragraphs>28</Paragraphs>
  <ScaleCrop>false</ScaleCrop>
  <Company>Avista Corp</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A</dc:title>
  <dc:creator>Avista Corp Employee</dc:creator>
  <cp:lastModifiedBy>Liz Andrews</cp:lastModifiedBy>
  <cp:revision>7</cp:revision>
  <cp:lastPrinted>2015-04-30T23:49:00Z</cp:lastPrinted>
  <dcterms:created xsi:type="dcterms:W3CDTF">2015-04-30T23:50:00Z</dcterms:created>
  <dcterms:modified xsi:type="dcterms:W3CDTF">2015-05-01T18:56:00Z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