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A46" w:rsidRDefault="000B0A46" w:rsidP="00370A7E">
      <w:pPr>
        <w:tabs>
          <w:tab w:val="center" w:pos="4680"/>
        </w:tabs>
        <w:ind w:right="-252" w:hanging="360"/>
        <w:jc w:val="both"/>
        <w:rPr>
          <w:b/>
          <w:bCs/>
        </w:rPr>
      </w:pPr>
      <w:r>
        <w:rPr>
          <w:b/>
          <w:bCs/>
        </w:rPr>
        <w:tab/>
      </w:r>
      <w:r>
        <w:rPr>
          <w:b/>
          <w:bCs/>
        </w:rPr>
        <w:tab/>
      </w:r>
      <w:r>
        <w:rPr>
          <w:b/>
          <w:bCs/>
        </w:rPr>
        <w:tab/>
      </w:r>
      <w:r>
        <w:rPr>
          <w:b/>
          <w:bCs/>
        </w:rPr>
        <w:tab/>
        <w:t xml:space="preserve">Exhibit No. </w:t>
      </w:r>
      <w:r w:rsidR="00092AE4">
        <w:rPr>
          <w:b/>
          <w:bCs/>
        </w:rPr>
        <w:t>___</w:t>
      </w:r>
      <w:r w:rsidR="005100B0">
        <w:rPr>
          <w:b/>
          <w:bCs/>
        </w:rPr>
        <w:t xml:space="preserve"> C</w:t>
      </w:r>
      <w:r>
        <w:rPr>
          <w:b/>
          <w:bCs/>
        </w:rPr>
        <w:t>T</w:t>
      </w:r>
      <w:r w:rsidR="00CD32CA">
        <w:rPr>
          <w:b/>
          <w:bCs/>
        </w:rPr>
        <w:t xml:space="preserve"> (APB-1</w:t>
      </w:r>
      <w:r w:rsidR="005100B0">
        <w:rPr>
          <w:b/>
          <w:bCs/>
        </w:rPr>
        <w:t>C</w:t>
      </w:r>
      <w:r w:rsidR="00CD32CA">
        <w:rPr>
          <w:b/>
          <w:bCs/>
        </w:rPr>
        <w:t>T)</w:t>
      </w:r>
      <w:r>
        <w:rPr>
          <w:b/>
          <w:bCs/>
        </w:rPr>
        <w:t xml:space="preserve"> </w:t>
      </w:r>
    </w:p>
    <w:p w:rsidR="000B0A46" w:rsidRDefault="000B0A46" w:rsidP="00370A7E">
      <w:pPr>
        <w:tabs>
          <w:tab w:val="center" w:pos="4680"/>
        </w:tabs>
        <w:ind w:right="-252" w:hanging="360"/>
        <w:jc w:val="both"/>
        <w:rPr>
          <w:b/>
          <w:bCs/>
        </w:rPr>
      </w:pPr>
      <w:r>
        <w:rPr>
          <w:b/>
          <w:bCs/>
        </w:rPr>
        <w:tab/>
      </w:r>
      <w:r>
        <w:rPr>
          <w:b/>
          <w:bCs/>
        </w:rPr>
        <w:tab/>
      </w:r>
      <w:r>
        <w:rPr>
          <w:b/>
          <w:bCs/>
        </w:rPr>
        <w:tab/>
      </w:r>
      <w:r>
        <w:rPr>
          <w:b/>
          <w:bCs/>
        </w:rPr>
        <w:tab/>
        <w:t>Docket</w:t>
      </w:r>
      <w:r w:rsidR="00BE077D">
        <w:rPr>
          <w:b/>
          <w:bCs/>
        </w:rPr>
        <w:t xml:space="preserve"> </w:t>
      </w:r>
      <w:r>
        <w:rPr>
          <w:b/>
          <w:bCs/>
        </w:rPr>
        <w:t>UE-</w:t>
      </w:r>
      <w:r w:rsidR="00BA2654">
        <w:rPr>
          <w:b/>
          <w:bCs/>
        </w:rPr>
        <w:t>111190</w:t>
      </w:r>
    </w:p>
    <w:p w:rsidR="005100B0" w:rsidRDefault="000B0A46" w:rsidP="00370A7E">
      <w:pPr>
        <w:tabs>
          <w:tab w:val="center" w:pos="4680"/>
        </w:tabs>
        <w:ind w:right="-252" w:hanging="360"/>
        <w:jc w:val="both"/>
        <w:rPr>
          <w:b/>
          <w:bCs/>
        </w:rPr>
      </w:pPr>
      <w:r>
        <w:rPr>
          <w:b/>
          <w:bCs/>
        </w:rPr>
        <w:tab/>
      </w:r>
      <w:r>
        <w:rPr>
          <w:b/>
          <w:bCs/>
        </w:rPr>
        <w:tab/>
      </w:r>
      <w:r>
        <w:rPr>
          <w:b/>
          <w:bCs/>
        </w:rPr>
        <w:tab/>
      </w:r>
      <w:r>
        <w:rPr>
          <w:b/>
          <w:bCs/>
        </w:rPr>
        <w:tab/>
        <w:t xml:space="preserve">Witness: </w:t>
      </w:r>
      <w:r w:rsidR="00CD32CA">
        <w:rPr>
          <w:b/>
          <w:bCs/>
        </w:rPr>
        <w:t>Alan P. Buckley</w:t>
      </w:r>
    </w:p>
    <w:p w:rsidR="000B0A46" w:rsidRDefault="005100B0" w:rsidP="00370A7E">
      <w:pPr>
        <w:tabs>
          <w:tab w:val="center" w:pos="4680"/>
        </w:tabs>
        <w:ind w:right="-252" w:hanging="360"/>
        <w:jc w:val="both"/>
        <w:rPr>
          <w:b/>
          <w:bCs/>
        </w:rPr>
      </w:pPr>
      <w:r>
        <w:rPr>
          <w:b/>
          <w:bCs/>
        </w:rPr>
        <w:tab/>
      </w:r>
      <w:r>
        <w:rPr>
          <w:b/>
          <w:bCs/>
        </w:rPr>
        <w:tab/>
      </w:r>
      <w:r>
        <w:rPr>
          <w:b/>
          <w:bCs/>
        </w:rPr>
        <w:tab/>
      </w:r>
      <w:r>
        <w:rPr>
          <w:b/>
          <w:bCs/>
        </w:rPr>
        <w:tab/>
      </w:r>
      <w:r w:rsidR="00580403">
        <w:rPr>
          <w:b/>
          <w:bCs/>
        </w:rPr>
        <w:t>REDACTED</w:t>
      </w:r>
      <w:r>
        <w:rPr>
          <w:b/>
          <w:bCs/>
        </w:rPr>
        <w:t xml:space="preserve"> VERSION</w:t>
      </w:r>
    </w:p>
    <w:p w:rsidR="000B0A46" w:rsidRDefault="000B0A46" w:rsidP="00370A7E">
      <w:pPr>
        <w:tabs>
          <w:tab w:val="center" w:pos="4680"/>
        </w:tabs>
        <w:ind w:right="-252" w:hanging="360"/>
        <w:jc w:val="both"/>
        <w:rPr>
          <w:b/>
          <w:bCs/>
        </w:rPr>
      </w:pPr>
    </w:p>
    <w:p w:rsidR="000B0A46" w:rsidRDefault="000B0A46" w:rsidP="00370A7E">
      <w:pPr>
        <w:tabs>
          <w:tab w:val="center" w:pos="4680"/>
        </w:tabs>
        <w:ind w:right="-252" w:hanging="360"/>
        <w:jc w:val="both"/>
        <w:rPr>
          <w:b/>
          <w:bCs/>
        </w:rPr>
      </w:pPr>
    </w:p>
    <w:p w:rsidR="000B0A46" w:rsidRDefault="000B0A46" w:rsidP="00370A7E">
      <w:pPr>
        <w:tabs>
          <w:tab w:val="center" w:pos="4680"/>
        </w:tabs>
        <w:ind w:right="-252" w:hanging="360"/>
        <w:jc w:val="both"/>
        <w:rPr>
          <w:b/>
          <w:bCs/>
        </w:rPr>
      </w:pPr>
    </w:p>
    <w:p w:rsidR="004629DE" w:rsidRDefault="000B0A46" w:rsidP="004A04B7">
      <w:pPr>
        <w:ind w:right="-108" w:hanging="180"/>
        <w:jc w:val="center"/>
        <w:rPr>
          <w:b/>
        </w:rPr>
      </w:pPr>
      <w:r w:rsidRPr="00FB2A42">
        <w:rPr>
          <w:b/>
        </w:rPr>
        <w:t>BEFORE THE WASHINGTON</w:t>
      </w:r>
    </w:p>
    <w:p w:rsidR="000B0A46" w:rsidRPr="00FB2A42" w:rsidRDefault="000B0A46" w:rsidP="004A04B7">
      <w:pPr>
        <w:ind w:right="-108" w:hanging="180"/>
        <w:jc w:val="center"/>
        <w:rPr>
          <w:b/>
        </w:rPr>
      </w:pPr>
      <w:r w:rsidRPr="00FB2A42">
        <w:rPr>
          <w:b/>
        </w:rPr>
        <w:t>UTILITIES AND TRANSPORTATION COMMISSION</w:t>
      </w:r>
    </w:p>
    <w:p w:rsidR="000B0A46" w:rsidRPr="00FB2A42" w:rsidRDefault="000B0A46" w:rsidP="00370A7E">
      <w:pPr>
        <w:jc w:val="both"/>
        <w:rPr>
          <w:b/>
        </w:rPr>
      </w:pPr>
    </w:p>
    <w:p w:rsidR="000B0A46" w:rsidRPr="00FB2A42" w:rsidRDefault="000B0A46" w:rsidP="00370A7E">
      <w:pPr>
        <w:jc w:val="both"/>
        <w:rPr>
          <w:b/>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0B0A46" w:rsidRPr="00FB2A42" w:rsidTr="005651DC">
        <w:tc>
          <w:tcPr>
            <w:tcW w:w="4590" w:type="dxa"/>
            <w:tcBorders>
              <w:top w:val="single" w:sz="6" w:space="0" w:color="FFFFFF"/>
              <w:left w:val="single" w:sz="6" w:space="0" w:color="FFFFFF"/>
              <w:bottom w:val="single" w:sz="6" w:space="0" w:color="000000"/>
              <w:right w:val="single" w:sz="6" w:space="0" w:color="FFFFFF"/>
            </w:tcBorders>
          </w:tcPr>
          <w:p w:rsidR="000B0A46" w:rsidRPr="00FB2A42" w:rsidRDefault="000B0A46" w:rsidP="005651DC">
            <w:pPr>
              <w:rPr>
                <w:b/>
              </w:rPr>
            </w:pPr>
            <w:r w:rsidRPr="00FB2A42">
              <w:rPr>
                <w:b/>
              </w:rPr>
              <w:t xml:space="preserve">WASHINGTON UTILITIES AND TRANSPORTATION COMMISSION, </w:t>
            </w:r>
          </w:p>
          <w:p w:rsidR="000B0A46" w:rsidRPr="00FB2A42" w:rsidRDefault="000B0A46" w:rsidP="005651DC">
            <w:pPr>
              <w:rPr>
                <w:b/>
              </w:rPr>
            </w:pPr>
          </w:p>
          <w:p w:rsidR="000B0A46" w:rsidRPr="00FB2A42" w:rsidRDefault="000B0A46" w:rsidP="005651DC">
            <w:pPr>
              <w:rPr>
                <w:b/>
              </w:rPr>
            </w:pPr>
            <w:r w:rsidRPr="00FB2A42">
              <w:rPr>
                <w:b/>
              </w:rPr>
              <w:tab/>
            </w:r>
            <w:r w:rsidRPr="00FB2A42">
              <w:rPr>
                <w:b/>
              </w:rPr>
              <w:tab/>
              <w:t>Complainant,</w:t>
            </w:r>
          </w:p>
          <w:p w:rsidR="000B0A46" w:rsidRPr="00FB2A42" w:rsidRDefault="000B0A46" w:rsidP="005651DC">
            <w:pPr>
              <w:rPr>
                <w:b/>
              </w:rPr>
            </w:pPr>
          </w:p>
          <w:p w:rsidR="000B0A46" w:rsidRPr="00FB2A42" w:rsidRDefault="000B0A46" w:rsidP="005651DC">
            <w:pPr>
              <w:rPr>
                <w:b/>
              </w:rPr>
            </w:pPr>
            <w:r w:rsidRPr="00FB2A42">
              <w:rPr>
                <w:b/>
              </w:rPr>
              <w:tab/>
            </w:r>
            <w:proofErr w:type="gramStart"/>
            <w:r w:rsidRPr="00FB2A42">
              <w:rPr>
                <w:b/>
              </w:rPr>
              <w:t>v</w:t>
            </w:r>
            <w:proofErr w:type="gramEnd"/>
            <w:r w:rsidRPr="00FB2A42">
              <w:rPr>
                <w:b/>
              </w:rPr>
              <w:t>.</w:t>
            </w:r>
          </w:p>
          <w:p w:rsidR="000B0A46" w:rsidRPr="00FB2A42" w:rsidRDefault="000B0A46" w:rsidP="005651DC">
            <w:pPr>
              <w:rPr>
                <w:b/>
              </w:rPr>
            </w:pPr>
          </w:p>
          <w:p w:rsidR="000B0A46" w:rsidRPr="00FB2A42" w:rsidRDefault="00BA2654" w:rsidP="005651DC">
            <w:pPr>
              <w:rPr>
                <w:b/>
              </w:rPr>
            </w:pPr>
            <w:r>
              <w:rPr>
                <w:b/>
              </w:rPr>
              <w:t>PACIFICORP d</w:t>
            </w:r>
            <w:r w:rsidR="004629DE">
              <w:rPr>
                <w:b/>
              </w:rPr>
              <w:t>/</w:t>
            </w:r>
            <w:r>
              <w:rPr>
                <w:b/>
              </w:rPr>
              <w:t>b</w:t>
            </w:r>
            <w:r w:rsidR="004629DE">
              <w:rPr>
                <w:b/>
              </w:rPr>
              <w:t>/</w:t>
            </w:r>
            <w:r>
              <w:rPr>
                <w:b/>
              </w:rPr>
              <w:t>a</w:t>
            </w:r>
            <w:r w:rsidR="004629DE">
              <w:rPr>
                <w:b/>
              </w:rPr>
              <w:t xml:space="preserve"> PACIFIC POWER &amp; LIGHT COMPANY</w:t>
            </w:r>
            <w:r w:rsidR="004629DE" w:rsidRPr="00FB2A42">
              <w:rPr>
                <w:b/>
              </w:rPr>
              <w:t xml:space="preserve"> </w:t>
            </w:r>
          </w:p>
          <w:p w:rsidR="000B0A46" w:rsidRPr="00FB2A42" w:rsidRDefault="000B0A46" w:rsidP="005651DC">
            <w:pPr>
              <w:rPr>
                <w:b/>
              </w:rPr>
            </w:pPr>
          </w:p>
          <w:p w:rsidR="000B0A46" w:rsidRPr="00FB2A42" w:rsidRDefault="000B0A46" w:rsidP="005651DC">
            <w:pPr>
              <w:spacing w:after="19"/>
              <w:rPr>
                <w:b/>
              </w:rPr>
            </w:pPr>
            <w:r w:rsidRPr="00FB2A42">
              <w:rPr>
                <w:b/>
              </w:rPr>
              <w:tab/>
            </w:r>
            <w:r w:rsidRPr="00FB2A42">
              <w:rPr>
                <w:b/>
              </w:rPr>
              <w:tab/>
              <w:t>Respondent.</w:t>
            </w:r>
          </w:p>
          <w:p w:rsidR="000B0A46" w:rsidRPr="00FB2A42" w:rsidRDefault="000B0A46" w:rsidP="005651DC">
            <w:pPr>
              <w:spacing w:after="19"/>
              <w:rPr>
                <w:b/>
              </w:rPr>
            </w:pPr>
          </w:p>
        </w:tc>
        <w:tc>
          <w:tcPr>
            <w:tcW w:w="4590" w:type="dxa"/>
            <w:tcBorders>
              <w:top w:val="single" w:sz="6" w:space="0" w:color="FFFFFF"/>
              <w:left w:val="single" w:sz="6" w:space="0" w:color="000000"/>
              <w:bottom w:val="single" w:sz="6" w:space="0" w:color="FFFFFF"/>
              <w:right w:val="single" w:sz="6" w:space="0" w:color="FFFFFF"/>
            </w:tcBorders>
          </w:tcPr>
          <w:p w:rsidR="000B0A46" w:rsidRPr="00FB2A42" w:rsidRDefault="000B0A46" w:rsidP="005651DC">
            <w:pPr>
              <w:ind w:firstLine="720"/>
              <w:rPr>
                <w:b/>
              </w:rPr>
            </w:pPr>
            <w:r w:rsidRPr="00FB2A42">
              <w:rPr>
                <w:b/>
              </w:rPr>
              <w:t>DOCKET UE-</w:t>
            </w:r>
            <w:r w:rsidR="00BA2654">
              <w:rPr>
                <w:b/>
              </w:rPr>
              <w:t>111190</w:t>
            </w:r>
            <w:r w:rsidRPr="00FB2A42">
              <w:rPr>
                <w:b/>
              </w:rPr>
              <w:t xml:space="preserve"> </w:t>
            </w:r>
          </w:p>
          <w:p w:rsidR="000B0A46" w:rsidRPr="00FB2A42" w:rsidRDefault="000B0A46" w:rsidP="005651DC">
            <w:pPr>
              <w:rPr>
                <w:b/>
              </w:rPr>
            </w:pPr>
          </w:p>
          <w:p w:rsidR="000B0A46" w:rsidRPr="00FB2A42" w:rsidRDefault="000B0A46" w:rsidP="005651DC">
            <w:pPr>
              <w:spacing w:after="19"/>
              <w:ind w:left="720"/>
              <w:rPr>
                <w:b/>
              </w:rPr>
            </w:pPr>
          </w:p>
        </w:tc>
      </w:tr>
    </w:tbl>
    <w:p w:rsidR="000B0A46" w:rsidRDefault="000B0A46" w:rsidP="00370A7E">
      <w:pPr>
        <w:rPr>
          <w:b/>
          <w:bCs/>
        </w:rPr>
      </w:pPr>
    </w:p>
    <w:p w:rsidR="000B0A46" w:rsidRDefault="000B0A46" w:rsidP="00370A7E">
      <w:pPr>
        <w:rPr>
          <w:b/>
          <w:bCs/>
        </w:rPr>
      </w:pPr>
    </w:p>
    <w:p w:rsidR="000B0A46" w:rsidRDefault="000B0A46" w:rsidP="00370A7E">
      <w:pPr>
        <w:tabs>
          <w:tab w:val="center" w:pos="4680"/>
        </w:tabs>
        <w:jc w:val="center"/>
        <w:rPr>
          <w:b/>
          <w:bCs/>
        </w:rPr>
      </w:pPr>
      <w:r>
        <w:rPr>
          <w:b/>
          <w:bCs/>
        </w:rPr>
        <w:t>TESTIMONY OF</w:t>
      </w:r>
    </w:p>
    <w:p w:rsidR="000B0A46" w:rsidRDefault="000B0A46" w:rsidP="00370A7E">
      <w:pPr>
        <w:jc w:val="center"/>
        <w:rPr>
          <w:b/>
          <w:bCs/>
        </w:rPr>
      </w:pPr>
    </w:p>
    <w:p w:rsidR="000B0A46" w:rsidRDefault="000B0A46" w:rsidP="00370A7E">
      <w:pPr>
        <w:tabs>
          <w:tab w:val="center" w:pos="4680"/>
        </w:tabs>
        <w:jc w:val="center"/>
        <w:rPr>
          <w:b/>
          <w:bCs/>
        </w:rPr>
      </w:pPr>
      <w:r>
        <w:rPr>
          <w:b/>
          <w:bCs/>
        </w:rPr>
        <w:t>Alan P. Buckley</w:t>
      </w:r>
    </w:p>
    <w:p w:rsidR="000B0A46" w:rsidRDefault="000B0A46" w:rsidP="00370A7E">
      <w:pPr>
        <w:tabs>
          <w:tab w:val="center" w:pos="4680"/>
        </w:tabs>
        <w:jc w:val="center"/>
        <w:rPr>
          <w:b/>
          <w:bCs/>
        </w:rPr>
      </w:pPr>
    </w:p>
    <w:p w:rsidR="000B0A46" w:rsidRDefault="000B0A46" w:rsidP="00370A7E">
      <w:pPr>
        <w:tabs>
          <w:tab w:val="center" w:pos="4680"/>
        </w:tabs>
        <w:jc w:val="center"/>
        <w:rPr>
          <w:b/>
          <w:bCs/>
        </w:rPr>
      </w:pPr>
      <w:r>
        <w:rPr>
          <w:b/>
          <w:bCs/>
        </w:rPr>
        <w:t>STAFF OF</w:t>
      </w:r>
    </w:p>
    <w:p w:rsidR="000B0A46" w:rsidRDefault="000B0A46" w:rsidP="00370A7E">
      <w:pPr>
        <w:tabs>
          <w:tab w:val="center" w:pos="4680"/>
        </w:tabs>
        <w:jc w:val="center"/>
        <w:rPr>
          <w:b/>
          <w:bCs/>
        </w:rPr>
      </w:pPr>
      <w:smartTag w:uri="urn:schemas-microsoft-com:office:smarttags" w:element="State">
        <w:smartTag w:uri="urn:schemas-microsoft-com:office:smarttags" w:element="place">
          <w:r>
            <w:rPr>
              <w:b/>
              <w:bCs/>
            </w:rPr>
            <w:t>WASHINGTON</w:t>
          </w:r>
        </w:smartTag>
      </w:smartTag>
      <w:r>
        <w:rPr>
          <w:b/>
          <w:bCs/>
        </w:rPr>
        <w:t xml:space="preserve"> UTILITIES AND</w:t>
      </w:r>
    </w:p>
    <w:p w:rsidR="000B0A46" w:rsidRDefault="000B0A46" w:rsidP="00370A7E">
      <w:pPr>
        <w:tabs>
          <w:tab w:val="center" w:pos="4680"/>
        </w:tabs>
        <w:jc w:val="center"/>
        <w:rPr>
          <w:b/>
          <w:bCs/>
        </w:rPr>
      </w:pPr>
      <w:r>
        <w:rPr>
          <w:b/>
          <w:bCs/>
        </w:rPr>
        <w:t>TRANSPORTATION COMMISSION</w:t>
      </w:r>
    </w:p>
    <w:p w:rsidR="00511ADC" w:rsidRDefault="00511ADC" w:rsidP="00370A7E">
      <w:pPr>
        <w:tabs>
          <w:tab w:val="center" w:pos="4680"/>
        </w:tabs>
        <w:jc w:val="center"/>
        <w:rPr>
          <w:b/>
          <w:bCs/>
        </w:rPr>
      </w:pPr>
    </w:p>
    <w:p w:rsidR="000B0A46" w:rsidRDefault="000B0A46" w:rsidP="00370A7E">
      <w:pPr>
        <w:jc w:val="center"/>
        <w:rPr>
          <w:b/>
          <w:bCs/>
        </w:rPr>
      </w:pPr>
    </w:p>
    <w:p w:rsidR="00C556D1" w:rsidRDefault="00C556D1" w:rsidP="00370A7E">
      <w:pPr>
        <w:jc w:val="center"/>
        <w:rPr>
          <w:b/>
          <w:bCs/>
        </w:rPr>
      </w:pPr>
    </w:p>
    <w:p w:rsidR="000B0A46" w:rsidRPr="00CD32CA" w:rsidRDefault="00CD32CA" w:rsidP="00CD32CA">
      <w:pPr>
        <w:jc w:val="center"/>
        <w:rPr>
          <w:b/>
          <w:bCs/>
          <w:i/>
        </w:rPr>
      </w:pPr>
      <w:r>
        <w:rPr>
          <w:b/>
          <w:bCs/>
          <w:i/>
        </w:rPr>
        <w:t>Power Supply</w:t>
      </w:r>
    </w:p>
    <w:p w:rsidR="000B0A46" w:rsidRDefault="000B0A46" w:rsidP="00370A7E">
      <w:pPr>
        <w:rPr>
          <w:b/>
          <w:bCs/>
        </w:rPr>
      </w:pPr>
    </w:p>
    <w:p w:rsidR="000B0A46" w:rsidRDefault="000B0A46" w:rsidP="00370A7E">
      <w:pPr>
        <w:rPr>
          <w:b/>
          <w:bCs/>
        </w:rPr>
      </w:pPr>
    </w:p>
    <w:p w:rsidR="000B0A46" w:rsidRDefault="000B0A46" w:rsidP="00370A7E">
      <w:pPr>
        <w:rPr>
          <w:b/>
          <w:bCs/>
        </w:rPr>
      </w:pPr>
    </w:p>
    <w:p w:rsidR="000B0A46" w:rsidRDefault="004D27AB" w:rsidP="00370A7E">
      <w:pPr>
        <w:tabs>
          <w:tab w:val="center" w:pos="4680"/>
        </w:tabs>
        <w:jc w:val="center"/>
        <w:rPr>
          <w:b/>
          <w:bCs/>
        </w:rPr>
      </w:pPr>
      <w:r>
        <w:rPr>
          <w:b/>
          <w:bCs/>
        </w:rPr>
        <w:t>January 6, 2012</w:t>
      </w:r>
    </w:p>
    <w:p w:rsidR="000B0A46" w:rsidRDefault="000B0A46" w:rsidP="00370A7E">
      <w:pPr>
        <w:tabs>
          <w:tab w:val="center" w:pos="4680"/>
        </w:tabs>
        <w:jc w:val="center"/>
        <w:rPr>
          <w:b/>
          <w:bCs/>
        </w:rPr>
      </w:pPr>
    </w:p>
    <w:p w:rsidR="004629DE" w:rsidRDefault="004629DE" w:rsidP="00370A7E">
      <w:pPr>
        <w:tabs>
          <w:tab w:val="center" w:pos="4680"/>
        </w:tabs>
        <w:jc w:val="center"/>
        <w:rPr>
          <w:b/>
          <w:bCs/>
        </w:rPr>
      </w:pPr>
    </w:p>
    <w:p w:rsidR="006F770D" w:rsidRDefault="006F770D" w:rsidP="00370A7E">
      <w:pPr>
        <w:tabs>
          <w:tab w:val="center" w:pos="4680"/>
        </w:tabs>
        <w:jc w:val="center"/>
        <w:rPr>
          <w:b/>
          <w:bCs/>
        </w:rPr>
      </w:pPr>
    </w:p>
    <w:p w:rsidR="006F770D" w:rsidRDefault="006F770D" w:rsidP="00370A7E">
      <w:pPr>
        <w:tabs>
          <w:tab w:val="center" w:pos="4680"/>
        </w:tabs>
        <w:jc w:val="center"/>
        <w:rPr>
          <w:b/>
          <w:bCs/>
        </w:rPr>
      </w:pPr>
    </w:p>
    <w:p w:rsidR="004629DE" w:rsidRPr="004629DE" w:rsidRDefault="004629DE" w:rsidP="00370A7E">
      <w:pPr>
        <w:tabs>
          <w:tab w:val="center" w:pos="4680"/>
        </w:tabs>
        <w:jc w:val="center"/>
        <w:rPr>
          <w:b/>
          <w:bCs/>
        </w:rPr>
      </w:pPr>
      <w:r>
        <w:rPr>
          <w:b/>
          <w:bCs/>
        </w:rPr>
        <w:t>CONFIDENTIAL PER PROTECTIVE ORDER</w:t>
      </w:r>
      <w:r w:rsidR="00580403">
        <w:rPr>
          <w:b/>
          <w:bCs/>
        </w:rPr>
        <w:t xml:space="preserve"> – REDACTED VERSION</w:t>
      </w:r>
    </w:p>
    <w:p w:rsidR="00853136" w:rsidRDefault="00853136" w:rsidP="00370A7E">
      <w:pPr>
        <w:tabs>
          <w:tab w:val="center" w:pos="4680"/>
        </w:tabs>
        <w:rPr>
          <w:b/>
          <w:bCs/>
        </w:rPr>
        <w:sectPr w:rsidR="00853136" w:rsidSect="00853136">
          <w:type w:val="continuous"/>
          <w:pgSz w:w="12240" w:h="15840" w:code="1"/>
          <w:pgMar w:top="1440" w:right="1440" w:bottom="1440" w:left="1872" w:header="720" w:footer="720" w:gutter="0"/>
          <w:pgNumType w:start="1"/>
          <w:cols w:space="720"/>
          <w:docGrid w:linePitch="360"/>
        </w:sectPr>
      </w:pPr>
    </w:p>
    <w:p w:rsidR="000B0A46" w:rsidRDefault="000B0A46" w:rsidP="00370A7E">
      <w:pPr>
        <w:tabs>
          <w:tab w:val="center" w:pos="4680"/>
        </w:tabs>
        <w:rPr>
          <w:b/>
          <w:bCs/>
        </w:rPr>
      </w:pPr>
    </w:p>
    <w:p w:rsidR="00853136" w:rsidRDefault="00853136" w:rsidP="00370A7E">
      <w:pPr>
        <w:jc w:val="center"/>
        <w:rPr>
          <w:b/>
        </w:rPr>
        <w:sectPr w:rsidR="00853136" w:rsidSect="00853136">
          <w:footerReference w:type="default" r:id="rId9"/>
          <w:type w:val="continuous"/>
          <w:pgSz w:w="12240" w:h="15840" w:code="1"/>
          <w:pgMar w:top="1440" w:right="1440" w:bottom="1440" w:left="1872" w:header="720" w:footer="720" w:gutter="0"/>
          <w:pgNumType w:start="1"/>
          <w:cols w:space="720"/>
          <w:docGrid w:linePitch="360"/>
        </w:sectPr>
      </w:pPr>
    </w:p>
    <w:p w:rsidR="000B0A46" w:rsidRPr="00A55134" w:rsidRDefault="000B0A46" w:rsidP="00370A7E">
      <w:pPr>
        <w:jc w:val="center"/>
        <w:rPr>
          <w:b/>
        </w:rPr>
      </w:pPr>
      <w:r w:rsidRPr="00A55134">
        <w:rPr>
          <w:b/>
        </w:rPr>
        <w:lastRenderedPageBreak/>
        <w:t>TABLE OF CONTENTS</w:t>
      </w:r>
    </w:p>
    <w:p w:rsidR="000B0A46" w:rsidRPr="00A55134" w:rsidRDefault="000B0A46" w:rsidP="00370A7E">
      <w:pPr>
        <w:tabs>
          <w:tab w:val="num" w:pos="720"/>
          <w:tab w:val="left" w:pos="1440"/>
          <w:tab w:val="left" w:pos="2160"/>
          <w:tab w:val="right" w:leader="dot" w:pos="8640"/>
        </w:tabs>
        <w:ind w:left="720" w:hanging="720"/>
        <w:rPr>
          <w:b/>
        </w:rPr>
      </w:pPr>
    </w:p>
    <w:p w:rsidR="000B0A46" w:rsidRPr="00A55134" w:rsidRDefault="000B0A46" w:rsidP="00370A7E">
      <w:pPr>
        <w:tabs>
          <w:tab w:val="num" w:pos="720"/>
          <w:tab w:val="left" w:pos="1440"/>
          <w:tab w:val="left" w:pos="2160"/>
          <w:tab w:val="right" w:leader="dot" w:pos="8640"/>
        </w:tabs>
        <w:ind w:left="720" w:hanging="720"/>
        <w:rPr>
          <w:b/>
        </w:rPr>
      </w:pPr>
    </w:p>
    <w:p w:rsidR="000B0A46" w:rsidRPr="00A55134" w:rsidRDefault="000B0A46" w:rsidP="00370A7E">
      <w:pPr>
        <w:tabs>
          <w:tab w:val="num" w:pos="720"/>
          <w:tab w:val="left" w:pos="1440"/>
          <w:tab w:val="left" w:pos="2160"/>
          <w:tab w:val="right" w:leader="dot" w:pos="8640"/>
        </w:tabs>
        <w:ind w:left="720" w:hanging="720"/>
      </w:pPr>
      <w:r w:rsidRPr="00A55134">
        <w:t>I.</w:t>
      </w:r>
      <w:r w:rsidRPr="00A55134">
        <w:rPr>
          <w:b/>
        </w:rPr>
        <w:tab/>
      </w:r>
      <w:r w:rsidRPr="00E00A82">
        <w:t>INTRODUCTION</w:t>
      </w:r>
      <w:r w:rsidRPr="00A55134">
        <w:tab/>
      </w:r>
      <w:r w:rsidR="00E4390E">
        <w:t>1</w:t>
      </w:r>
    </w:p>
    <w:p w:rsidR="000B0A46" w:rsidRPr="00A55134" w:rsidRDefault="000B0A46" w:rsidP="00370A7E">
      <w:pPr>
        <w:tabs>
          <w:tab w:val="left" w:pos="1440"/>
          <w:tab w:val="left" w:pos="2160"/>
          <w:tab w:val="right" w:leader="dot" w:pos="8640"/>
        </w:tabs>
      </w:pPr>
    </w:p>
    <w:p w:rsidR="000B0A46" w:rsidRDefault="000B0A46" w:rsidP="00370A7E">
      <w:pPr>
        <w:tabs>
          <w:tab w:val="left" w:pos="1440"/>
          <w:tab w:val="left" w:pos="2160"/>
          <w:tab w:val="right" w:leader="dot" w:pos="8640"/>
        </w:tabs>
        <w:ind w:left="720" w:hanging="720"/>
      </w:pPr>
      <w:r w:rsidRPr="00A55134">
        <w:t>II.</w:t>
      </w:r>
      <w:r w:rsidRPr="00A55134">
        <w:tab/>
      </w:r>
      <w:r>
        <w:t>SCOPE AND ORGANIZATION OF TESTIMONY</w:t>
      </w:r>
      <w:r w:rsidRPr="00A55134">
        <w:t xml:space="preserve"> </w:t>
      </w:r>
      <w:r w:rsidRPr="00A55134">
        <w:tab/>
      </w:r>
      <w:r w:rsidR="00E4390E">
        <w:t>2</w:t>
      </w:r>
    </w:p>
    <w:p w:rsidR="00E4390E" w:rsidRDefault="00E4390E" w:rsidP="00370A7E">
      <w:pPr>
        <w:tabs>
          <w:tab w:val="left" w:pos="1440"/>
          <w:tab w:val="left" w:pos="2160"/>
          <w:tab w:val="right" w:leader="dot" w:pos="8640"/>
        </w:tabs>
        <w:ind w:left="720" w:hanging="720"/>
      </w:pPr>
    </w:p>
    <w:p w:rsidR="00E4390E" w:rsidRPr="00A55134" w:rsidRDefault="00E4390E" w:rsidP="00370A7E">
      <w:pPr>
        <w:tabs>
          <w:tab w:val="left" w:pos="1440"/>
          <w:tab w:val="left" w:pos="2160"/>
          <w:tab w:val="right" w:leader="dot" w:pos="8640"/>
        </w:tabs>
        <w:ind w:left="720" w:hanging="720"/>
      </w:pPr>
      <w:r>
        <w:t>III.</w:t>
      </w:r>
      <w:r>
        <w:tab/>
        <w:t>CONTENT OF POWER COST EVALUATION</w:t>
      </w:r>
      <w:r>
        <w:tab/>
        <w:t>4</w:t>
      </w:r>
    </w:p>
    <w:p w:rsidR="000B0A46" w:rsidRPr="00A55134" w:rsidRDefault="000B0A46" w:rsidP="00370A7E">
      <w:pPr>
        <w:ind w:left="720"/>
      </w:pPr>
    </w:p>
    <w:p w:rsidR="000B0A46" w:rsidRDefault="00E4390E" w:rsidP="00370A7E">
      <w:pPr>
        <w:tabs>
          <w:tab w:val="left" w:pos="720"/>
          <w:tab w:val="left" w:pos="1440"/>
          <w:tab w:val="left" w:pos="2160"/>
          <w:tab w:val="right" w:leader="dot" w:pos="8640"/>
        </w:tabs>
      </w:pPr>
      <w:r>
        <w:t>IV</w:t>
      </w:r>
      <w:r w:rsidR="000B0A46" w:rsidRPr="00A55134">
        <w:t>.</w:t>
      </w:r>
      <w:r w:rsidR="000B0A46" w:rsidRPr="00A55134">
        <w:tab/>
      </w:r>
      <w:r w:rsidR="000B0A46">
        <w:t>SUMMARY OF STAFF RECOMMENDATIONS</w:t>
      </w:r>
      <w:r w:rsidR="000B0A46" w:rsidRPr="00A55134">
        <w:tab/>
      </w:r>
      <w:r>
        <w:t>6</w:t>
      </w:r>
    </w:p>
    <w:p w:rsidR="000B0A46" w:rsidRDefault="000B0A46" w:rsidP="00370A7E">
      <w:pPr>
        <w:tabs>
          <w:tab w:val="left" w:pos="720"/>
          <w:tab w:val="left" w:pos="1440"/>
          <w:tab w:val="left" w:pos="2160"/>
          <w:tab w:val="right" w:leader="dot" w:pos="8640"/>
        </w:tabs>
      </w:pPr>
    </w:p>
    <w:p w:rsidR="000B0A46" w:rsidRDefault="0057357E" w:rsidP="00370A7E">
      <w:pPr>
        <w:tabs>
          <w:tab w:val="left" w:pos="720"/>
          <w:tab w:val="left" w:pos="2160"/>
          <w:tab w:val="right" w:leader="dot" w:pos="8640"/>
        </w:tabs>
        <w:ind w:left="720" w:hanging="720"/>
      </w:pPr>
      <w:r>
        <w:t>V</w:t>
      </w:r>
      <w:r w:rsidR="000B0A46" w:rsidRPr="00A55134">
        <w:t>.</w:t>
      </w:r>
      <w:r w:rsidR="000B0A46" w:rsidRPr="00A55134">
        <w:tab/>
      </w:r>
      <w:r w:rsidR="000B0A46">
        <w:t>NET POWER COST ADJUSTMENTS</w:t>
      </w:r>
      <w:r w:rsidR="000B0A46" w:rsidRPr="00A55134">
        <w:t xml:space="preserve"> </w:t>
      </w:r>
      <w:r w:rsidR="000B0A46" w:rsidRPr="00A55134">
        <w:tab/>
      </w:r>
      <w:r w:rsidR="00E4390E">
        <w:t>7</w:t>
      </w:r>
    </w:p>
    <w:p w:rsidR="000B0A46" w:rsidRDefault="000B0A46" w:rsidP="00370A7E">
      <w:pPr>
        <w:tabs>
          <w:tab w:val="left" w:pos="720"/>
          <w:tab w:val="left" w:pos="2160"/>
          <w:tab w:val="right" w:leader="dot" w:pos="8640"/>
        </w:tabs>
        <w:ind w:left="540" w:hanging="540"/>
      </w:pPr>
    </w:p>
    <w:p w:rsidR="000B0A46" w:rsidRPr="00A55134" w:rsidRDefault="000B0A46" w:rsidP="00370A7E">
      <w:pPr>
        <w:tabs>
          <w:tab w:val="left" w:pos="720"/>
          <w:tab w:val="left" w:pos="1440"/>
          <w:tab w:val="left" w:pos="2160"/>
          <w:tab w:val="right" w:leader="dot" w:pos="8640"/>
        </w:tabs>
        <w:ind w:left="720"/>
      </w:pPr>
      <w:r w:rsidRPr="00A55134">
        <w:t>A.</w:t>
      </w:r>
      <w:r w:rsidRPr="00A55134">
        <w:tab/>
      </w:r>
      <w:r w:rsidR="002424F6">
        <w:t>Hydro Generation</w:t>
      </w:r>
      <w:r w:rsidR="00E4390E">
        <w:tab/>
        <w:t>7</w:t>
      </w:r>
    </w:p>
    <w:p w:rsidR="000B0A46" w:rsidRPr="00A55134" w:rsidRDefault="000B0A46" w:rsidP="00370A7E">
      <w:pPr>
        <w:tabs>
          <w:tab w:val="left" w:pos="720"/>
          <w:tab w:val="num" w:pos="1440"/>
          <w:tab w:val="left" w:pos="2160"/>
          <w:tab w:val="right" w:leader="dot" w:pos="8640"/>
        </w:tabs>
        <w:ind w:left="1440" w:hanging="720"/>
      </w:pPr>
    </w:p>
    <w:p w:rsidR="000B0A46" w:rsidRDefault="000B0A46" w:rsidP="00370A7E">
      <w:pPr>
        <w:tabs>
          <w:tab w:val="left" w:pos="720"/>
          <w:tab w:val="num" w:pos="1440"/>
          <w:tab w:val="left" w:pos="2160"/>
          <w:tab w:val="right" w:leader="dot" w:pos="8640"/>
        </w:tabs>
        <w:ind w:left="1440" w:hanging="720"/>
      </w:pPr>
      <w:r>
        <w:t>B.</w:t>
      </w:r>
      <w:r>
        <w:tab/>
      </w:r>
      <w:r w:rsidR="002424F6">
        <w:t>Update Adjustments</w:t>
      </w:r>
      <w:r w:rsidR="00E4390E">
        <w:t xml:space="preserve"> </w:t>
      </w:r>
      <w:r w:rsidR="00E4390E">
        <w:tab/>
        <w:t>10</w:t>
      </w:r>
    </w:p>
    <w:p w:rsidR="000B0A46" w:rsidRDefault="000B0A46" w:rsidP="00370A7E">
      <w:pPr>
        <w:tabs>
          <w:tab w:val="left" w:pos="720"/>
          <w:tab w:val="num" w:pos="1440"/>
          <w:tab w:val="left" w:pos="2160"/>
          <w:tab w:val="right" w:leader="dot" w:pos="8640"/>
        </w:tabs>
        <w:ind w:left="1440" w:hanging="720"/>
      </w:pPr>
    </w:p>
    <w:p w:rsidR="000B0A46" w:rsidRPr="00A55134" w:rsidRDefault="000B0A46" w:rsidP="00336E36">
      <w:pPr>
        <w:tabs>
          <w:tab w:val="left" w:pos="720"/>
          <w:tab w:val="left" w:pos="2160"/>
          <w:tab w:val="right" w:leader="dot" w:pos="8640"/>
        </w:tabs>
        <w:ind w:left="540" w:hanging="540"/>
      </w:pPr>
    </w:p>
    <w:p w:rsidR="000B0A46" w:rsidRDefault="000B0A46" w:rsidP="00370A7E">
      <w:pPr>
        <w:tabs>
          <w:tab w:val="right" w:leader="dot" w:pos="8640"/>
        </w:tabs>
      </w:pPr>
    </w:p>
    <w:p w:rsidR="000B0A46" w:rsidRDefault="000B0A46" w:rsidP="00370A7E">
      <w:pPr>
        <w:tabs>
          <w:tab w:val="right" w:leader="dot" w:pos="8640"/>
        </w:tabs>
      </w:pPr>
    </w:p>
    <w:p w:rsidR="000B0A46" w:rsidRDefault="000B0A46" w:rsidP="00370A7E">
      <w:pPr>
        <w:tabs>
          <w:tab w:val="right" w:leader="dot" w:pos="8640"/>
        </w:tabs>
      </w:pPr>
    </w:p>
    <w:p w:rsidR="000B0A46" w:rsidRDefault="000B0A46" w:rsidP="00370A7E">
      <w:pPr>
        <w:tabs>
          <w:tab w:val="right" w:leader="dot" w:pos="8640"/>
        </w:tabs>
        <w:jc w:val="center"/>
        <w:rPr>
          <w:b/>
        </w:rPr>
      </w:pPr>
      <w:r>
        <w:rPr>
          <w:b/>
        </w:rPr>
        <w:t>LIST OF EXHIBITS</w:t>
      </w:r>
    </w:p>
    <w:p w:rsidR="00752266" w:rsidRDefault="00752266" w:rsidP="00370A7E">
      <w:pPr>
        <w:tabs>
          <w:tab w:val="right" w:leader="dot" w:pos="8640"/>
        </w:tabs>
        <w:jc w:val="center"/>
        <w:rPr>
          <w:b/>
        </w:rPr>
      </w:pPr>
    </w:p>
    <w:p w:rsidR="000B0A46" w:rsidRPr="003439C5" w:rsidRDefault="000B0A46" w:rsidP="00370A7E">
      <w:pPr>
        <w:tabs>
          <w:tab w:val="right" w:leader="dot" w:pos="8640"/>
        </w:tabs>
        <w:rPr>
          <w:b/>
        </w:rPr>
      </w:pPr>
    </w:p>
    <w:p w:rsidR="000B0A46" w:rsidRDefault="000B0A46" w:rsidP="00370A7E">
      <w:pPr>
        <w:ind w:left="3600" w:hanging="3240"/>
      </w:pPr>
      <w:r>
        <w:t>Exhibit No. __</w:t>
      </w:r>
      <w:r w:rsidR="006F770D">
        <w:t>_</w:t>
      </w:r>
      <w:r w:rsidRPr="00C20AAA">
        <w:t xml:space="preserve"> (APB-2</w:t>
      </w:r>
      <w:r w:rsidR="00C668AA">
        <w:t>C</w:t>
      </w:r>
      <w:r w:rsidRPr="00C20AAA">
        <w:t>)</w:t>
      </w:r>
      <w:r w:rsidRPr="00C20AAA">
        <w:tab/>
      </w:r>
      <w:r w:rsidR="00CD2226">
        <w:t xml:space="preserve">Summary of Proposed </w:t>
      </w:r>
      <w:r w:rsidR="00D54619">
        <w:t xml:space="preserve">Power Supply </w:t>
      </w:r>
      <w:r w:rsidR="00CD2226">
        <w:t>Adjustments</w:t>
      </w:r>
    </w:p>
    <w:p w:rsidR="00CD1343" w:rsidRPr="00C20AAA" w:rsidRDefault="00CD1343" w:rsidP="00370A7E">
      <w:pPr>
        <w:ind w:left="3600" w:hanging="3240"/>
      </w:pPr>
    </w:p>
    <w:p w:rsidR="00CD1343" w:rsidRDefault="000B0A46" w:rsidP="00370A7E">
      <w:pPr>
        <w:ind w:left="3600" w:hanging="3240"/>
      </w:pPr>
      <w:r>
        <w:t>Exhibit No. _</w:t>
      </w:r>
      <w:r w:rsidR="006F770D">
        <w:t>_</w:t>
      </w:r>
      <w:r>
        <w:t>_</w:t>
      </w:r>
      <w:r w:rsidRPr="00C20AAA">
        <w:t xml:space="preserve"> (APB-3)</w:t>
      </w:r>
      <w:r w:rsidRPr="00C20AAA">
        <w:tab/>
      </w:r>
      <w:r w:rsidR="00D54619">
        <w:t xml:space="preserve">Various Company Responses to </w:t>
      </w:r>
      <w:r w:rsidR="00A75820">
        <w:t>UTC</w:t>
      </w:r>
      <w:r w:rsidR="006F770D">
        <w:t xml:space="preserve"> Staff </w:t>
      </w:r>
      <w:r w:rsidR="00D54619">
        <w:t>Data Requests</w:t>
      </w:r>
    </w:p>
    <w:p w:rsidR="00D54619" w:rsidRDefault="00D54619" w:rsidP="00370A7E">
      <w:pPr>
        <w:ind w:left="3600" w:hanging="3240"/>
      </w:pPr>
    </w:p>
    <w:p w:rsidR="00D54619" w:rsidRDefault="00D54619" w:rsidP="00370A7E">
      <w:pPr>
        <w:ind w:left="3600" w:hanging="3240"/>
      </w:pPr>
      <w:r>
        <w:t>Exhibit No.</w:t>
      </w:r>
      <w:r w:rsidR="006F770D">
        <w:t xml:space="preserve"> </w:t>
      </w:r>
      <w:r>
        <w:t>__</w:t>
      </w:r>
      <w:r w:rsidR="006F770D">
        <w:t xml:space="preserve">_ </w:t>
      </w:r>
      <w:r>
        <w:t>(APB-4)</w:t>
      </w:r>
      <w:r>
        <w:tab/>
        <w:t xml:space="preserve">Excerpts from Company Responses to </w:t>
      </w:r>
      <w:r w:rsidR="00A75820">
        <w:t>UTC</w:t>
      </w:r>
      <w:r w:rsidR="006F770D">
        <w:t xml:space="preserve"> </w:t>
      </w:r>
      <w:r w:rsidR="005E6796">
        <w:t>Staff</w:t>
      </w:r>
      <w:r>
        <w:t xml:space="preserve"> Data Request</w:t>
      </w:r>
      <w:r w:rsidR="006F770D">
        <w:t>s</w:t>
      </w:r>
      <w:r>
        <w:t xml:space="preserve"> 91 </w:t>
      </w:r>
      <w:r w:rsidR="006F770D">
        <w:t>and</w:t>
      </w:r>
      <w:r>
        <w:t xml:space="preserve"> 101</w:t>
      </w:r>
    </w:p>
    <w:p w:rsidR="005E6796" w:rsidRDefault="005E6796" w:rsidP="00370A7E">
      <w:pPr>
        <w:ind w:left="3600" w:hanging="3240"/>
      </w:pPr>
    </w:p>
    <w:p w:rsidR="005E6796" w:rsidRDefault="005E6796" w:rsidP="00370A7E">
      <w:pPr>
        <w:ind w:left="3600" w:hanging="3240"/>
      </w:pPr>
      <w:r>
        <w:t>Exhibit No.</w:t>
      </w:r>
      <w:r w:rsidR="006F770D">
        <w:t xml:space="preserve"> </w:t>
      </w:r>
      <w:r>
        <w:t>___</w:t>
      </w:r>
      <w:r w:rsidR="006F770D">
        <w:t xml:space="preserve"> </w:t>
      </w:r>
      <w:r>
        <w:t>(APB-5C)</w:t>
      </w:r>
      <w:r>
        <w:tab/>
        <w:t>Confidential Excerpts from Company Supplemental</w:t>
      </w:r>
      <w:r w:rsidR="006F770D">
        <w:t xml:space="preserve"> Response to </w:t>
      </w:r>
      <w:r w:rsidR="00A75820">
        <w:t>UTC</w:t>
      </w:r>
      <w:r w:rsidR="006F770D">
        <w:t xml:space="preserve"> </w:t>
      </w:r>
      <w:r>
        <w:t>Staff Data Request 101</w:t>
      </w:r>
    </w:p>
    <w:p w:rsidR="00D54619" w:rsidRDefault="00D54619" w:rsidP="00370A7E">
      <w:pPr>
        <w:ind w:left="3600" w:hanging="3240"/>
      </w:pPr>
    </w:p>
    <w:p w:rsidR="00853136" w:rsidRDefault="00853136" w:rsidP="00370A7E">
      <w:pPr>
        <w:pStyle w:val="Heading3"/>
        <w:sectPr w:rsidR="00853136" w:rsidSect="00853136">
          <w:footerReference w:type="default" r:id="rId10"/>
          <w:pgSz w:w="12240" w:h="15840" w:code="1"/>
          <w:pgMar w:top="1440" w:right="1440" w:bottom="1440" w:left="1872" w:header="720" w:footer="720" w:gutter="0"/>
          <w:pgNumType w:fmt="lowerRoman" w:start="1"/>
          <w:cols w:space="720"/>
          <w:docGrid w:linePitch="360"/>
        </w:sectPr>
      </w:pPr>
    </w:p>
    <w:p w:rsidR="000B0A46" w:rsidRDefault="000B0A46" w:rsidP="00853136">
      <w:pPr>
        <w:pStyle w:val="Heading3"/>
        <w:numPr>
          <w:ilvl w:val="0"/>
          <w:numId w:val="23"/>
        </w:numPr>
        <w:ind w:left="0" w:firstLine="0"/>
      </w:pPr>
      <w:r>
        <w:lastRenderedPageBreak/>
        <w:t>INTRODUCTION</w:t>
      </w:r>
    </w:p>
    <w:p w:rsidR="000B0A46" w:rsidRDefault="000B0A46" w:rsidP="00370A7E">
      <w:pPr>
        <w:pStyle w:val="Heading3"/>
        <w:jc w:val="left"/>
      </w:pPr>
    </w:p>
    <w:p w:rsidR="000B0A46" w:rsidRDefault="000B0A46" w:rsidP="00370A7E">
      <w:pPr>
        <w:pStyle w:val="Heading3"/>
        <w:jc w:val="left"/>
        <w:rPr>
          <w:b w:val="0"/>
          <w:bCs w:val="0"/>
        </w:rPr>
      </w:pPr>
      <w:r>
        <w:t>Q.</w:t>
      </w:r>
      <w:r>
        <w:tab/>
        <w:t>Please state your name and business address.</w:t>
      </w:r>
      <w:r>
        <w:rPr>
          <w:b w:val="0"/>
          <w:bCs w:val="0"/>
        </w:rPr>
        <w:t xml:space="preserve">  </w:t>
      </w:r>
    </w:p>
    <w:p w:rsidR="000B0A46" w:rsidRPr="00A55134" w:rsidRDefault="000B0A46" w:rsidP="00370A7E">
      <w:pPr>
        <w:tabs>
          <w:tab w:val="left" w:pos="720"/>
        </w:tabs>
        <w:spacing w:line="480" w:lineRule="auto"/>
        <w:ind w:left="720" w:hanging="720"/>
      </w:pPr>
      <w:r>
        <w:t>A.</w:t>
      </w:r>
      <w:r>
        <w:tab/>
      </w:r>
      <w:r w:rsidRPr="00A55134">
        <w:t xml:space="preserve">My name is Alan P. Buckley.  My office address is </w:t>
      </w:r>
      <w:r>
        <w:t xml:space="preserve">The Richard </w:t>
      </w:r>
      <w:proofErr w:type="spellStart"/>
      <w:r>
        <w:t>Hemstad</w:t>
      </w:r>
      <w:proofErr w:type="spellEnd"/>
      <w:r>
        <w:t xml:space="preserve"> Building, </w:t>
      </w:r>
      <w:smartTag w:uri="urn:schemas-microsoft-com:office:smarttags" w:element="address">
        <w:smartTag w:uri="urn:schemas-microsoft-com:office:smarttags" w:element="Street">
          <w:r w:rsidRPr="00A55134">
            <w:t>1300 South Evergreen Park Drive Southwest, P.O. Box 47250</w:t>
          </w:r>
        </w:smartTag>
        <w:r w:rsidRPr="00A55134">
          <w:t xml:space="preserve">, </w:t>
        </w:r>
        <w:smartTag w:uri="urn:schemas-microsoft-com:office:smarttags" w:element="City">
          <w:r w:rsidRPr="00A55134">
            <w:t>Olympia</w:t>
          </w:r>
        </w:smartTag>
        <w:r w:rsidRPr="00A55134">
          <w:t xml:space="preserve">, </w:t>
        </w:r>
        <w:smartTag w:uri="urn:schemas-microsoft-com:office:smarttags" w:element="State">
          <w:r w:rsidRPr="00A55134">
            <w:t>Washington</w:t>
          </w:r>
        </w:smartTag>
        <w:r w:rsidRPr="00A55134">
          <w:t xml:space="preserve"> </w:t>
        </w:r>
        <w:smartTag w:uri="urn:schemas-microsoft-com:office:smarttags" w:element="PostalCode">
          <w:r w:rsidRPr="00A55134">
            <w:t>98504</w:t>
          </w:r>
        </w:smartTag>
      </w:smartTag>
      <w:r>
        <w:t>.  M</w:t>
      </w:r>
      <w:r w:rsidRPr="00A55134">
        <w:t xml:space="preserve">y email address is </w:t>
      </w:r>
      <w:hyperlink r:id="rId11" w:history="1">
        <w:r w:rsidR="00ED44F9" w:rsidRPr="00D4049F">
          <w:rPr>
            <w:rStyle w:val="Hyperlink"/>
          </w:rPr>
          <w:t>abuckley@utc.wa.gov</w:t>
        </w:r>
      </w:hyperlink>
      <w:r w:rsidR="00ED44F9">
        <w:t>.</w:t>
      </w:r>
      <w:r w:rsidRPr="00A55134">
        <w:t xml:space="preserve"> </w:t>
      </w:r>
    </w:p>
    <w:p w:rsidR="000B0A46" w:rsidRDefault="000B0A46" w:rsidP="00370A7E">
      <w:pPr>
        <w:pStyle w:val="BodyTextIndent"/>
      </w:pPr>
    </w:p>
    <w:p w:rsidR="000B0A46" w:rsidRDefault="000B0A46" w:rsidP="00370A7E">
      <w:pPr>
        <w:pStyle w:val="Heading1"/>
      </w:pPr>
      <w:r>
        <w:t>Q.</w:t>
      </w:r>
      <w:r>
        <w:tab/>
        <w:t xml:space="preserve">By whom are you employed and in what capacity?  </w:t>
      </w:r>
    </w:p>
    <w:p w:rsidR="000B0A46" w:rsidRDefault="000B0A46" w:rsidP="00370A7E">
      <w:pPr>
        <w:spacing w:line="480" w:lineRule="auto"/>
        <w:ind w:left="720" w:hanging="720"/>
      </w:pPr>
      <w:r>
        <w:t>A.</w:t>
      </w:r>
      <w:r>
        <w:tab/>
      </w:r>
      <w:r w:rsidRPr="00A55134">
        <w:t xml:space="preserve">I am employed by the Washington Utilities and Transportation Commission </w:t>
      </w:r>
      <w:r>
        <w:t>(“</w:t>
      </w:r>
      <w:r w:rsidR="00511ADC">
        <w:t>Commission</w:t>
      </w:r>
      <w:r>
        <w:t xml:space="preserve">”) </w:t>
      </w:r>
      <w:r w:rsidRPr="00A55134">
        <w:t xml:space="preserve">as a Senior Policy Strategist.  Among other duties, I am responsible for analyzing rate and power supply issues as they pertain to the investor-owned </w:t>
      </w:r>
      <w:r w:rsidR="00CD1343">
        <w:t xml:space="preserve">electric </w:t>
      </w:r>
      <w:r w:rsidRPr="00A55134">
        <w:t xml:space="preserve">utilities under the jurisdiction of the </w:t>
      </w:r>
      <w:r w:rsidR="00511ADC">
        <w:t>Commission</w:t>
      </w:r>
      <w:r w:rsidRPr="00A55134">
        <w:t xml:space="preserve">. </w:t>
      </w:r>
    </w:p>
    <w:p w:rsidR="000B0A46" w:rsidRDefault="000B0A46" w:rsidP="00370A7E">
      <w:pPr>
        <w:spacing w:line="480" w:lineRule="auto"/>
        <w:ind w:left="720" w:hanging="720"/>
      </w:pPr>
    </w:p>
    <w:p w:rsidR="000B0A46" w:rsidRDefault="000B0A46" w:rsidP="00370A7E">
      <w:pPr>
        <w:tabs>
          <w:tab w:val="left" w:pos="-1440"/>
        </w:tabs>
        <w:spacing w:line="480" w:lineRule="auto"/>
        <w:ind w:left="720" w:hanging="720"/>
      </w:pPr>
      <w:r>
        <w:rPr>
          <w:b/>
          <w:bCs/>
        </w:rPr>
        <w:t>Q.</w:t>
      </w:r>
      <w:r>
        <w:rPr>
          <w:b/>
          <w:bCs/>
        </w:rPr>
        <w:tab/>
        <w:t>How long have you been employed by the Commission?</w:t>
      </w:r>
    </w:p>
    <w:p w:rsidR="000B0A46" w:rsidRDefault="000B0A46" w:rsidP="00370A7E">
      <w:pPr>
        <w:tabs>
          <w:tab w:val="left" w:pos="-1440"/>
        </w:tabs>
        <w:spacing w:line="480" w:lineRule="auto"/>
      </w:pPr>
      <w:r>
        <w:t>A.</w:t>
      </w:r>
      <w:r>
        <w:tab/>
        <w:t xml:space="preserve">I have been employed by the </w:t>
      </w:r>
      <w:r w:rsidR="00511ADC">
        <w:t>Commission</w:t>
      </w:r>
      <w:r>
        <w:t xml:space="preserve"> since 1993.</w:t>
      </w:r>
    </w:p>
    <w:p w:rsidR="000B0A46" w:rsidRDefault="000B0A46" w:rsidP="00370A7E">
      <w:pPr>
        <w:tabs>
          <w:tab w:val="left" w:pos="-1440"/>
        </w:tabs>
        <w:spacing w:line="480" w:lineRule="auto"/>
      </w:pPr>
    </w:p>
    <w:p w:rsidR="000B0A46" w:rsidRDefault="000B0A46" w:rsidP="00370A7E">
      <w:pPr>
        <w:tabs>
          <w:tab w:val="left" w:pos="-1440"/>
        </w:tabs>
        <w:spacing w:line="480" w:lineRule="auto"/>
        <w:ind w:left="720" w:hanging="720"/>
        <w:rPr>
          <w:b/>
          <w:bCs/>
        </w:rPr>
      </w:pPr>
      <w:r>
        <w:rPr>
          <w:b/>
          <w:bCs/>
        </w:rPr>
        <w:t>Q.</w:t>
      </w:r>
      <w:r>
        <w:rPr>
          <w:b/>
          <w:bCs/>
        </w:rPr>
        <w:tab/>
        <w:t>Would you please state your educational and professional background?</w:t>
      </w:r>
    </w:p>
    <w:p w:rsidR="000B0A46" w:rsidRPr="00A55134" w:rsidRDefault="000B0A46" w:rsidP="00370A7E">
      <w:pPr>
        <w:spacing w:line="480" w:lineRule="auto"/>
        <w:ind w:left="720" w:hanging="720"/>
      </w:pPr>
      <w:r>
        <w:t>A.</w:t>
      </w:r>
      <w:r>
        <w:tab/>
      </w:r>
      <w:r w:rsidRPr="00A55134">
        <w:t>I received a B</w:t>
      </w:r>
      <w:r w:rsidR="00CD32CA">
        <w:t>achelor of Science</w:t>
      </w:r>
      <w:r w:rsidRPr="00A55134">
        <w:t xml:space="preserve"> degree in Petroleum Engineering with Honors from the University of Texas at Austin in 1981.  In 1987, I received a Masters of Business Administration degree in Finance from the </w:t>
      </w:r>
      <w:smartTag w:uri="urn:schemas-microsoft-com:office:smarttags" w:element="PlaceType">
        <w:r w:rsidRPr="00A55134">
          <w:t>University</w:t>
        </w:r>
      </w:smartTag>
      <w:r w:rsidRPr="00A55134">
        <w:t xml:space="preserve"> of </w:t>
      </w:r>
      <w:smartTag w:uri="urn:schemas-microsoft-com:office:smarttags" w:element="PlaceName">
        <w:r w:rsidRPr="00A55134">
          <w:t>California</w:t>
        </w:r>
      </w:smartTag>
      <w:r w:rsidRPr="00A55134">
        <w:t xml:space="preserve"> at </w:t>
      </w:r>
      <w:smartTag w:uri="urn:schemas-microsoft-com:office:smarttags" w:element="City">
        <w:smartTag w:uri="urn:schemas-microsoft-com:office:smarttags" w:element="place">
          <w:r w:rsidRPr="00A55134">
            <w:t>Berkeley</w:t>
          </w:r>
        </w:smartTag>
      </w:smartTag>
      <w:r w:rsidRPr="00A55134">
        <w:t xml:space="preserve">.  </w:t>
      </w:r>
      <w:r w:rsidRPr="00A55134">
        <w:tab/>
        <w:t xml:space="preserve">From 1981 through 1986, I was employed by Standard Oil of Ohio (now British Petroleum-America) as a Petroleum Engineer working on Alaskan North Slope exploration drilling and development projects.  From 1987 to 1988, I was </w:t>
      </w:r>
      <w:r w:rsidRPr="00A55134">
        <w:lastRenderedPageBreak/>
        <w:t xml:space="preserve">employed as a Rates Analyst at Pacific Gas and Electric Company.  I was </w:t>
      </w:r>
      <w:r>
        <w:t xml:space="preserve">next </w:t>
      </w:r>
      <w:r w:rsidRPr="00A55134">
        <w:t>employed by R.W. Beck and Associates</w:t>
      </w:r>
      <w:r>
        <w:t>,</w:t>
      </w:r>
      <w:r w:rsidRPr="00A55134">
        <w:t xml:space="preserve"> an engineering and consulting firm in </w:t>
      </w:r>
      <w:smartTag w:uri="urn:schemas-microsoft-com:office:smarttags" w:element="place">
        <w:smartTag w:uri="urn:schemas-microsoft-com:office:smarttags" w:element="City">
          <w:r w:rsidRPr="00A55134">
            <w:t>Seattle</w:t>
          </w:r>
        </w:smartTag>
        <w:r w:rsidRPr="00A55134">
          <w:t xml:space="preserve">, </w:t>
        </w:r>
        <w:smartTag w:uri="urn:schemas-microsoft-com:office:smarttags" w:element="State">
          <w:r w:rsidRPr="00A55134">
            <w:t>Washington</w:t>
          </w:r>
        </w:smartTag>
      </w:smartTag>
      <w:r w:rsidRPr="00A55134">
        <w:t xml:space="preserve">, conducting cost-of-service and other rate studies, carrying out power supply studies, analyzing mergers, and analyzing the rates of </w:t>
      </w:r>
      <w:r>
        <w:t xml:space="preserve">the </w:t>
      </w:r>
      <w:r w:rsidRPr="00A55134">
        <w:t xml:space="preserve">Bonneville Power Administration </w:t>
      </w:r>
      <w:r>
        <w:t xml:space="preserve">(“BPA”) </w:t>
      </w:r>
      <w:r w:rsidRPr="00A55134">
        <w:t xml:space="preserve">and the Western Area Power Administration.  </w:t>
      </w:r>
    </w:p>
    <w:p w:rsidR="000B0A46" w:rsidRPr="00A55134" w:rsidRDefault="000B0A46" w:rsidP="00370A7E">
      <w:pPr>
        <w:spacing w:line="480" w:lineRule="auto"/>
        <w:ind w:left="720" w:hanging="720"/>
      </w:pPr>
      <w:r w:rsidRPr="00A55134">
        <w:tab/>
      </w:r>
      <w:r w:rsidRPr="00A55134">
        <w:tab/>
        <w:t xml:space="preserve">I came to the </w:t>
      </w:r>
      <w:r w:rsidR="00511ADC">
        <w:t>Commission</w:t>
      </w:r>
      <w:r w:rsidRPr="00A55134">
        <w:t xml:space="preserve"> in December 1993, where I have held a number of positions including Utility Analyst, Electric Program Manager, and the position that I </w:t>
      </w:r>
      <w:r>
        <w:t>now</w:t>
      </w:r>
      <w:r w:rsidRPr="00A55134">
        <w:t xml:space="preserve"> hold.  I have been a witness in numerous proceedings before the </w:t>
      </w:r>
      <w:r w:rsidR="00511ADC">
        <w:t xml:space="preserve">Commission, including </w:t>
      </w:r>
      <w:r w:rsidR="00CD1343">
        <w:t xml:space="preserve">several </w:t>
      </w:r>
      <w:r w:rsidR="00511ADC">
        <w:t xml:space="preserve">general rate cases of Puget Sound Energy, Inc. (“PSE’” or the Company”) in which </w:t>
      </w:r>
      <w:r w:rsidR="00CD1343">
        <w:t xml:space="preserve">I </w:t>
      </w:r>
      <w:r w:rsidR="00511ADC">
        <w:t>testified on power supply issues</w:t>
      </w:r>
      <w:r w:rsidRPr="00A55134">
        <w:t xml:space="preserve">.  I also </w:t>
      </w:r>
      <w:r>
        <w:t>have testified before</w:t>
      </w:r>
      <w:r w:rsidRPr="00A55134">
        <w:t xml:space="preserve"> </w:t>
      </w:r>
      <w:r>
        <w:t>BPA</w:t>
      </w:r>
      <w:r w:rsidRPr="00A55134">
        <w:t xml:space="preserve"> and the Federal Energy Regulatory Commission.</w:t>
      </w:r>
    </w:p>
    <w:p w:rsidR="000B0A46" w:rsidRDefault="000B0A46" w:rsidP="00370A7E">
      <w:pPr>
        <w:pStyle w:val="BodyTextIndent"/>
      </w:pPr>
    </w:p>
    <w:p w:rsidR="000B0A46" w:rsidRDefault="000B0A46" w:rsidP="00752266">
      <w:pPr>
        <w:pStyle w:val="BodyTextIndent"/>
        <w:ind w:left="0" w:firstLine="0"/>
        <w:jc w:val="center"/>
        <w:rPr>
          <w:b/>
        </w:rPr>
      </w:pPr>
      <w:r>
        <w:rPr>
          <w:b/>
        </w:rPr>
        <w:t>II.</w:t>
      </w:r>
      <w:r w:rsidR="00CD32CA">
        <w:rPr>
          <w:b/>
        </w:rPr>
        <w:tab/>
      </w:r>
      <w:r>
        <w:rPr>
          <w:b/>
        </w:rPr>
        <w:t>SCOPE AND ORGANIZATION OF TESTIMONY</w:t>
      </w:r>
    </w:p>
    <w:p w:rsidR="000B0A46" w:rsidRDefault="000B0A46" w:rsidP="004A04B7">
      <w:pPr>
        <w:pStyle w:val="BodyTextIndent"/>
      </w:pPr>
    </w:p>
    <w:p w:rsidR="000B0A46" w:rsidRPr="00A55134" w:rsidRDefault="000B0A46" w:rsidP="00370A7E">
      <w:pPr>
        <w:spacing w:line="480" w:lineRule="auto"/>
        <w:rPr>
          <w:b/>
          <w:bCs/>
        </w:rPr>
      </w:pPr>
      <w:r w:rsidRPr="00A55134">
        <w:rPr>
          <w:b/>
          <w:bCs/>
        </w:rPr>
        <w:t>Q.</w:t>
      </w:r>
      <w:r w:rsidRPr="00A55134">
        <w:rPr>
          <w:b/>
          <w:bCs/>
        </w:rPr>
        <w:tab/>
        <w:t>What is the purpose of your testimony?</w:t>
      </w:r>
    </w:p>
    <w:p w:rsidR="00CD32CA" w:rsidRDefault="000B0A46" w:rsidP="00C565CA">
      <w:pPr>
        <w:pStyle w:val="BodyTextIndent2"/>
        <w:spacing w:after="0"/>
        <w:ind w:left="720" w:hanging="720"/>
      </w:pPr>
      <w:r w:rsidRPr="00A55134">
        <w:t>A.</w:t>
      </w:r>
      <w:r w:rsidRPr="00A55134">
        <w:tab/>
        <w:t xml:space="preserve">The purpose of my testimony is to </w:t>
      </w:r>
      <w:r>
        <w:t xml:space="preserve">address the proposed </w:t>
      </w:r>
      <w:r w:rsidR="000B114B">
        <w:t>pro forma normalized net power costs for the 12 month period ending May 31, 2013</w:t>
      </w:r>
      <w:r w:rsidR="00ED44F9">
        <w:t>,</w:t>
      </w:r>
      <w:r w:rsidR="000B114B">
        <w:t xml:space="preserve"> as presented in Exhibit No.___</w:t>
      </w:r>
      <w:r w:rsidR="00ED44F9">
        <w:t xml:space="preserve"> </w:t>
      </w:r>
      <w:r w:rsidR="000B114B">
        <w:t xml:space="preserve">(GND-1T), the testimony of </w:t>
      </w:r>
      <w:r w:rsidR="00EF714A">
        <w:t xml:space="preserve">PacifiCorp </w:t>
      </w:r>
      <w:r w:rsidR="000B114B">
        <w:t>witness Gregory N. Duvall</w:t>
      </w:r>
      <w:r w:rsidR="005D44EC">
        <w:t>.</w:t>
      </w:r>
      <w:r w:rsidR="000B114B">
        <w:t xml:space="preserve"> </w:t>
      </w:r>
    </w:p>
    <w:p w:rsidR="000B0A46" w:rsidRDefault="00CD32CA" w:rsidP="00C565CA">
      <w:pPr>
        <w:pStyle w:val="BodyTextIndent2"/>
        <w:spacing w:after="0"/>
        <w:ind w:left="720" w:hanging="720"/>
      </w:pPr>
      <w:r>
        <w:tab/>
      </w:r>
      <w:r>
        <w:tab/>
      </w:r>
      <w:r w:rsidR="000B0A46">
        <w:t xml:space="preserve">The Company’s proposed </w:t>
      </w:r>
      <w:r w:rsidR="000B114B">
        <w:t>Washington-allocated pro forma normalized net</w:t>
      </w:r>
      <w:r w:rsidR="000B0A46">
        <w:t xml:space="preserve"> power costs </w:t>
      </w:r>
      <w:r w:rsidR="00C245B1">
        <w:t xml:space="preserve">of </w:t>
      </w:r>
      <w:r w:rsidR="000B114B">
        <w:t xml:space="preserve">approximately </w:t>
      </w:r>
      <w:r w:rsidR="00C245B1">
        <w:t>$</w:t>
      </w:r>
      <w:r w:rsidR="000B114B">
        <w:t>128.2</w:t>
      </w:r>
      <w:r w:rsidR="00C245B1">
        <w:t xml:space="preserve"> million </w:t>
      </w:r>
      <w:r w:rsidR="000B114B">
        <w:t xml:space="preserve">(prior to the application of the production factor adjustment) </w:t>
      </w:r>
      <w:r w:rsidR="00C245B1">
        <w:t>represent</w:t>
      </w:r>
      <w:r w:rsidR="000B114B">
        <w:t>s</w:t>
      </w:r>
      <w:r w:rsidR="00C245B1">
        <w:t xml:space="preserve"> an </w:t>
      </w:r>
      <w:r w:rsidR="000B114B">
        <w:t xml:space="preserve">approximate </w:t>
      </w:r>
      <w:r w:rsidR="000E2B29">
        <w:t>$</w:t>
      </w:r>
      <w:r w:rsidR="000B114B">
        <w:t xml:space="preserve">7.0 </w:t>
      </w:r>
      <w:r w:rsidR="000B0A46">
        <w:t xml:space="preserve">million </w:t>
      </w:r>
      <w:r w:rsidR="000B114B">
        <w:t>increase</w:t>
      </w:r>
      <w:r w:rsidR="002C0AF9">
        <w:t xml:space="preserve"> from </w:t>
      </w:r>
      <w:r w:rsidR="000B114B">
        <w:t xml:space="preserve">the level authorized in the Company’s 2010 </w:t>
      </w:r>
      <w:r w:rsidR="00ED44F9">
        <w:t>r</w:t>
      </w:r>
      <w:r w:rsidR="000B114B">
        <w:t xml:space="preserve">ate </w:t>
      </w:r>
      <w:r w:rsidR="00ED44F9">
        <w:t>c</w:t>
      </w:r>
      <w:r w:rsidR="000B114B">
        <w:t>ase</w:t>
      </w:r>
      <w:r w:rsidR="000B0A46">
        <w:t xml:space="preserve">. </w:t>
      </w:r>
      <w:r w:rsidR="00CD2226">
        <w:t xml:space="preserve"> </w:t>
      </w:r>
      <w:r>
        <w:t>In</w:t>
      </w:r>
      <w:r w:rsidR="00CD2226">
        <w:t xml:space="preserve"> </w:t>
      </w:r>
      <w:r w:rsidR="000B0A46">
        <w:t>Exhibit No. __</w:t>
      </w:r>
      <w:r w:rsidR="00B700A8">
        <w:t>_</w:t>
      </w:r>
      <w:r w:rsidR="000B0A46">
        <w:t xml:space="preserve"> (APB-2</w:t>
      </w:r>
      <w:r w:rsidR="00C668AA">
        <w:t>C</w:t>
      </w:r>
      <w:r w:rsidR="000B0A46">
        <w:t>)</w:t>
      </w:r>
      <w:r w:rsidR="00B700A8">
        <w:t>,</w:t>
      </w:r>
      <w:r>
        <w:t xml:space="preserve"> I</w:t>
      </w:r>
      <w:r w:rsidR="000B0A46">
        <w:t xml:space="preserve"> provide a summary of my recommended adjustments to the Company’s proposed</w:t>
      </w:r>
      <w:r w:rsidR="000B0A46" w:rsidRPr="000B3D2D">
        <w:t xml:space="preserve"> </w:t>
      </w:r>
      <w:r w:rsidR="000D06C2">
        <w:lastRenderedPageBreak/>
        <w:t xml:space="preserve">Washington-allocated pro forma normalized net power costs </w:t>
      </w:r>
      <w:r w:rsidR="000B0A46">
        <w:t xml:space="preserve">at the expense level. </w:t>
      </w:r>
      <w:r>
        <w:t xml:space="preserve"> </w:t>
      </w:r>
      <w:r w:rsidR="000B0A46">
        <w:t xml:space="preserve">The results of these adjustments </w:t>
      </w:r>
      <w:r w:rsidR="00511ADC">
        <w:t xml:space="preserve">on revenue requirement </w:t>
      </w:r>
      <w:r w:rsidR="000B0A46">
        <w:t xml:space="preserve">are reflected in Staff witness </w:t>
      </w:r>
      <w:r w:rsidR="005D44EC">
        <w:t xml:space="preserve">Michael </w:t>
      </w:r>
      <w:proofErr w:type="spellStart"/>
      <w:r w:rsidR="000D06C2">
        <w:t>Foisy</w:t>
      </w:r>
      <w:r w:rsidR="00511ADC">
        <w:t>’s</w:t>
      </w:r>
      <w:proofErr w:type="spellEnd"/>
      <w:r w:rsidR="00511ADC">
        <w:t xml:space="preserve"> </w:t>
      </w:r>
      <w:r w:rsidR="00042B1D">
        <w:t>Exhibit No.</w:t>
      </w:r>
      <w:r w:rsidR="00B700A8">
        <w:t xml:space="preserve"> </w:t>
      </w:r>
      <w:r w:rsidR="00042B1D">
        <w:t>___</w:t>
      </w:r>
      <w:r w:rsidR="00B700A8">
        <w:t xml:space="preserve"> </w:t>
      </w:r>
      <w:r w:rsidR="00511ADC">
        <w:t>(</w:t>
      </w:r>
      <w:r w:rsidR="00AF61C8">
        <w:t>MDF-2</w:t>
      </w:r>
      <w:r w:rsidR="00511ADC">
        <w:t>)</w:t>
      </w:r>
      <w:r w:rsidR="00042B1D">
        <w:t>.</w:t>
      </w:r>
    </w:p>
    <w:p w:rsidR="000B0A46" w:rsidRDefault="000B0A46" w:rsidP="000B3D2D">
      <w:pPr>
        <w:pStyle w:val="BodyTextIndent2"/>
        <w:ind w:hanging="720"/>
      </w:pPr>
    </w:p>
    <w:p w:rsidR="000B0A46" w:rsidRPr="00A55134" w:rsidRDefault="000B0A46" w:rsidP="00370A7E">
      <w:pPr>
        <w:pStyle w:val="BodyTextIndent2"/>
        <w:keepNext/>
        <w:widowControl w:val="0"/>
        <w:ind w:left="0"/>
        <w:rPr>
          <w:b/>
          <w:bCs/>
        </w:rPr>
      </w:pPr>
      <w:r w:rsidRPr="00A55134">
        <w:rPr>
          <w:b/>
          <w:bCs/>
        </w:rPr>
        <w:t>Q.</w:t>
      </w:r>
      <w:r w:rsidRPr="00A55134">
        <w:rPr>
          <w:b/>
          <w:bCs/>
        </w:rPr>
        <w:tab/>
        <w:t xml:space="preserve">How is </w:t>
      </w:r>
      <w:r>
        <w:rPr>
          <w:b/>
          <w:bCs/>
        </w:rPr>
        <w:t xml:space="preserve">the remainder of </w:t>
      </w:r>
      <w:r w:rsidRPr="00A55134">
        <w:rPr>
          <w:b/>
          <w:bCs/>
        </w:rPr>
        <w:t>your testimony organized?</w:t>
      </w:r>
    </w:p>
    <w:p w:rsidR="000B0A46" w:rsidRDefault="000B0A46" w:rsidP="00CB3957">
      <w:pPr>
        <w:pStyle w:val="BodyTextIndent2"/>
        <w:ind w:left="720" w:hanging="720"/>
        <w:rPr>
          <w:bCs/>
        </w:rPr>
      </w:pPr>
      <w:r w:rsidRPr="00A55134">
        <w:rPr>
          <w:bCs/>
        </w:rPr>
        <w:t>A.</w:t>
      </w:r>
      <w:r w:rsidRPr="00A55134">
        <w:rPr>
          <w:bCs/>
        </w:rPr>
        <w:tab/>
      </w:r>
      <w:r>
        <w:rPr>
          <w:bCs/>
        </w:rPr>
        <w:t xml:space="preserve">The remainder of my testimony is </w:t>
      </w:r>
      <w:r w:rsidRPr="00A55134">
        <w:rPr>
          <w:bCs/>
        </w:rPr>
        <w:t xml:space="preserve">divided into </w:t>
      </w:r>
      <w:r w:rsidR="00511ADC">
        <w:rPr>
          <w:bCs/>
        </w:rPr>
        <w:t>three</w:t>
      </w:r>
      <w:r w:rsidRPr="00A55134">
        <w:rPr>
          <w:bCs/>
        </w:rPr>
        <w:t xml:space="preserve"> sections.  </w:t>
      </w:r>
      <w:r w:rsidR="00AD24B4">
        <w:rPr>
          <w:bCs/>
        </w:rPr>
        <w:t xml:space="preserve">In Section III, I discuss the overall context </w:t>
      </w:r>
      <w:r w:rsidR="00CD1343">
        <w:rPr>
          <w:bCs/>
        </w:rPr>
        <w:t>for</w:t>
      </w:r>
      <w:r w:rsidR="00AD24B4">
        <w:rPr>
          <w:bCs/>
        </w:rPr>
        <w:t xml:space="preserve"> evaluating the Company’s </w:t>
      </w:r>
      <w:r w:rsidR="00CD2226">
        <w:rPr>
          <w:bCs/>
        </w:rPr>
        <w:t xml:space="preserve">proposed </w:t>
      </w:r>
      <w:r w:rsidR="0079100B">
        <w:t>Washington-allocated pro forma normalized net power costs</w:t>
      </w:r>
      <w:r w:rsidR="00CD2226">
        <w:rPr>
          <w:bCs/>
        </w:rPr>
        <w:t>.</w:t>
      </w:r>
      <w:r w:rsidR="00AD24B4">
        <w:rPr>
          <w:bCs/>
        </w:rPr>
        <w:t xml:space="preserve">  </w:t>
      </w:r>
      <w:r w:rsidR="00CD32CA">
        <w:rPr>
          <w:bCs/>
        </w:rPr>
        <w:t xml:space="preserve">In </w:t>
      </w:r>
      <w:r>
        <w:rPr>
          <w:bCs/>
        </w:rPr>
        <w:t>Section I</w:t>
      </w:r>
      <w:r w:rsidR="00AD24B4">
        <w:rPr>
          <w:bCs/>
        </w:rPr>
        <w:t>V</w:t>
      </w:r>
      <w:r w:rsidR="00CD32CA">
        <w:rPr>
          <w:bCs/>
        </w:rPr>
        <w:t xml:space="preserve">, I </w:t>
      </w:r>
      <w:r>
        <w:rPr>
          <w:bCs/>
        </w:rPr>
        <w:t>summarize my recommended adjustments to the Company’s proposed</w:t>
      </w:r>
      <w:r w:rsidRPr="00F96CDF">
        <w:t xml:space="preserve"> </w:t>
      </w:r>
      <w:r w:rsidR="0079100B">
        <w:t>Washington-allocated pro forma normalized net power costs</w:t>
      </w:r>
      <w:r>
        <w:t xml:space="preserve">. </w:t>
      </w:r>
      <w:r w:rsidR="00CD32CA">
        <w:t xml:space="preserve"> In </w:t>
      </w:r>
      <w:r>
        <w:t>Section V</w:t>
      </w:r>
      <w:r w:rsidR="00CD32CA">
        <w:t>,</w:t>
      </w:r>
      <w:r w:rsidRPr="00A55134">
        <w:rPr>
          <w:bCs/>
        </w:rPr>
        <w:t xml:space="preserve"> </w:t>
      </w:r>
      <w:r w:rsidR="00CD32CA">
        <w:rPr>
          <w:bCs/>
        </w:rPr>
        <w:t xml:space="preserve">I </w:t>
      </w:r>
      <w:r>
        <w:rPr>
          <w:bCs/>
        </w:rPr>
        <w:t xml:space="preserve">explain the basis for </w:t>
      </w:r>
      <w:r w:rsidR="00CD32CA">
        <w:rPr>
          <w:bCs/>
        </w:rPr>
        <w:t xml:space="preserve">each </w:t>
      </w:r>
      <w:r>
        <w:rPr>
          <w:bCs/>
        </w:rPr>
        <w:t>adjustment and describ</w:t>
      </w:r>
      <w:r w:rsidR="00CD32CA">
        <w:rPr>
          <w:bCs/>
        </w:rPr>
        <w:t>e</w:t>
      </w:r>
      <w:r>
        <w:rPr>
          <w:bCs/>
        </w:rPr>
        <w:t xml:space="preserve"> the method of calculati</w:t>
      </w:r>
      <w:r w:rsidR="00CD32CA">
        <w:rPr>
          <w:bCs/>
        </w:rPr>
        <w:t>ng</w:t>
      </w:r>
      <w:r>
        <w:rPr>
          <w:bCs/>
        </w:rPr>
        <w:t xml:space="preserve"> the adjustment amount.</w:t>
      </w:r>
      <w:r w:rsidR="00AD24B4">
        <w:rPr>
          <w:bCs/>
        </w:rPr>
        <w:t xml:space="preserve">  </w:t>
      </w:r>
    </w:p>
    <w:p w:rsidR="000B0A46" w:rsidRDefault="000B0A46" w:rsidP="00370A7E">
      <w:pPr>
        <w:pStyle w:val="BodyTextIndent2"/>
        <w:ind w:hanging="720"/>
        <w:rPr>
          <w:bCs/>
        </w:rPr>
      </w:pPr>
    </w:p>
    <w:p w:rsidR="000B0A46" w:rsidRPr="004A06AF" w:rsidRDefault="000B0A46" w:rsidP="00CB3957">
      <w:pPr>
        <w:pStyle w:val="BodyTextIndent2"/>
        <w:ind w:hanging="360"/>
        <w:rPr>
          <w:b/>
          <w:bCs/>
        </w:rPr>
      </w:pPr>
      <w:r w:rsidRPr="004A06AF">
        <w:rPr>
          <w:b/>
          <w:bCs/>
        </w:rPr>
        <w:t>Q.</w:t>
      </w:r>
      <w:r w:rsidRPr="004A06AF">
        <w:rPr>
          <w:b/>
          <w:bCs/>
        </w:rPr>
        <w:tab/>
      </w:r>
      <w:r>
        <w:rPr>
          <w:b/>
          <w:bCs/>
        </w:rPr>
        <w:tab/>
      </w:r>
      <w:r w:rsidRPr="004A06AF">
        <w:rPr>
          <w:b/>
          <w:bCs/>
        </w:rPr>
        <w:t>Did you prepare any exhibits in support of your testimony?</w:t>
      </w:r>
    </w:p>
    <w:p w:rsidR="000B0A46" w:rsidRDefault="000B0A46" w:rsidP="00CB3957">
      <w:pPr>
        <w:pStyle w:val="BodyTextIndent2"/>
        <w:ind w:hanging="360"/>
        <w:rPr>
          <w:bCs/>
        </w:rPr>
      </w:pPr>
      <w:r>
        <w:rPr>
          <w:bCs/>
        </w:rPr>
        <w:t>A.</w:t>
      </w:r>
      <w:r>
        <w:rPr>
          <w:bCs/>
        </w:rPr>
        <w:tab/>
      </w:r>
      <w:r>
        <w:rPr>
          <w:bCs/>
        </w:rPr>
        <w:tab/>
        <w:t xml:space="preserve">Yes.  They are the following: </w:t>
      </w:r>
    </w:p>
    <w:p w:rsidR="00C668AA" w:rsidRDefault="00C668AA" w:rsidP="005B26E1">
      <w:pPr>
        <w:pStyle w:val="ListParagraph"/>
        <w:numPr>
          <w:ilvl w:val="0"/>
          <w:numId w:val="24"/>
        </w:numPr>
        <w:ind w:left="1080"/>
      </w:pPr>
      <w:r>
        <w:t>Exhibit No. __</w:t>
      </w:r>
      <w:r w:rsidR="00ED44F9">
        <w:t>_</w:t>
      </w:r>
      <w:r w:rsidRPr="00C20AAA">
        <w:t xml:space="preserve"> (APB-2</w:t>
      </w:r>
      <w:r>
        <w:t>C</w:t>
      </w:r>
      <w:r w:rsidRPr="00C20AAA">
        <w:t>)</w:t>
      </w:r>
      <w:r w:rsidR="005B26E1">
        <w:t xml:space="preserve">  </w:t>
      </w:r>
      <w:r>
        <w:t>Summary of Proposed Power Supply Adjustments</w:t>
      </w:r>
    </w:p>
    <w:p w:rsidR="00C668AA" w:rsidRPr="00C20AAA" w:rsidRDefault="00C668AA" w:rsidP="005B26E1">
      <w:pPr>
        <w:ind w:left="1080" w:hanging="3240"/>
      </w:pPr>
    </w:p>
    <w:p w:rsidR="00C668AA" w:rsidRDefault="00C668AA" w:rsidP="005B26E1">
      <w:pPr>
        <w:pStyle w:val="ListParagraph"/>
        <w:numPr>
          <w:ilvl w:val="0"/>
          <w:numId w:val="24"/>
        </w:numPr>
        <w:ind w:left="1080"/>
      </w:pPr>
      <w:r>
        <w:t>Exhibit No. _</w:t>
      </w:r>
      <w:r w:rsidR="00ED44F9">
        <w:t>_</w:t>
      </w:r>
      <w:r>
        <w:t>_</w:t>
      </w:r>
      <w:r w:rsidRPr="00C20AAA">
        <w:t xml:space="preserve"> (APB-3)</w:t>
      </w:r>
      <w:r w:rsidR="005B26E1">
        <w:t xml:space="preserve">  </w:t>
      </w:r>
      <w:r>
        <w:t xml:space="preserve">Various Company Responses to </w:t>
      </w:r>
      <w:r w:rsidR="00A75820">
        <w:t>UTC</w:t>
      </w:r>
      <w:r w:rsidR="00ED44F9">
        <w:t xml:space="preserve"> Staff </w:t>
      </w:r>
      <w:r>
        <w:t>Data Requests</w:t>
      </w:r>
    </w:p>
    <w:p w:rsidR="00C668AA" w:rsidRDefault="00C668AA" w:rsidP="005B26E1">
      <w:pPr>
        <w:ind w:left="1080" w:hanging="3240"/>
      </w:pPr>
    </w:p>
    <w:p w:rsidR="00C668AA" w:rsidRDefault="00C668AA" w:rsidP="005B26E1">
      <w:pPr>
        <w:pStyle w:val="ListParagraph"/>
        <w:numPr>
          <w:ilvl w:val="0"/>
          <w:numId w:val="24"/>
        </w:numPr>
        <w:ind w:left="1080"/>
      </w:pPr>
      <w:r>
        <w:t>Exhibit No.</w:t>
      </w:r>
      <w:r w:rsidR="00ED44F9">
        <w:t xml:space="preserve"> </w:t>
      </w:r>
      <w:r>
        <w:t>___</w:t>
      </w:r>
      <w:r w:rsidR="00ED44F9">
        <w:t xml:space="preserve"> </w:t>
      </w:r>
      <w:r>
        <w:t>(APB-4)</w:t>
      </w:r>
      <w:r w:rsidR="005B26E1">
        <w:t xml:space="preserve">  </w:t>
      </w:r>
      <w:r>
        <w:t xml:space="preserve">Excerpts from Company Responses to </w:t>
      </w:r>
      <w:r w:rsidR="00A75820">
        <w:t>UTC</w:t>
      </w:r>
      <w:r w:rsidR="00ED44F9">
        <w:t xml:space="preserve"> </w:t>
      </w:r>
      <w:r>
        <w:t>Staff Data Request</w:t>
      </w:r>
      <w:r w:rsidR="00ED44F9">
        <w:t>s</w:t>
      </w:r>
      <w:r>
        <w:t xml:space="preserve"> 91 &amp; 101</w:t>
      </w:r>
    </w:p>
    <w:p w:rsidR="00C668AA" w:rsidRDefault="00C668AA" w:rsidP="005B26E1">
      <w:pPr>
        <w:ind w:left="1080" w:hanging="3240"/>
      </w:pPr>
    </w:p>
    <w:p w:rsidR="00C668AA" w:rsidRDefault="00C668AA" w:rsidP="005B26E1">
      <w:pPr>
        <w:pStyle w:val="ListParagraph"/>
        <w:numPr>
          <w:ilvl w:val="0"/>
          <w:numId w:val="24"/>
        </w:numPr>
        <w:ind w:left="1080"/>
      </w:pPr>
      <w:r>
        <w:t>Exhibit No.</w:t>
      </w:r>
      <w:r w:rsidR="00ED44F9">
        <w:t xml:space="preserve"> </w:t>
      </w:r>
      <w:r>
        <w:t>___</w:t>
      </w:r>
      <w:r w:rsidR="00ED44F9">
        <w:t xml:space="preserve"> </w:t>
      </w:r>
      <w:r>
        <w:t>(APB-5C)</w:t>
      </w:r>
      <w:r w:rsidR="005B26E1">
        <w:t xml:space="preserve">  </w:t>
      </w:r>
      <w:r>
        <w:t xml:space="preserve">Confidential Excerpts </w:t>
      </w:r>
      <w:r w:rsidR="005B26E1">
        <w:t xml:space="preserve">of </w:t>
      </w:r>
      <w:r>
        <w:t>Company</w:t>
      </w:r>
      <w:r w:rsidR="005B26E1">
        <w:t>’s</w:t>
      </w:r>
      <w:r w:rsidR="00ED44F9">
        <w:t xml:space="preserve"> </w:t>
      </w:r>
      <w:r>
        <w:t>Supplemental</w:t>
      </w:r>
      <w:r w:rsidR="00ED44F9">
        <w:t xml:space="preserve"> Response to </w:t>
      </w:r>
      <w:r w:rsidR="00A75820">
        <w:t>UTC</w:t>
      </w:r>
      <w:r w:rsidR="00ED44F9">
        <w:t xml:space="preserve"> </w:t>
      </w:r>
      <w:r>
        <w:t>Staff Data Request 101</w:t>
      </w:r>
    </w:p>
    <w:p w:rsidR="004A04B7" w:rsidRDefault="004A04B7" w:rsidP="005B26E1">
      <w:pPr>
        <w:ind w:left="1080"/>
      </w:pPr>
    </w:p>
    <w:p w:rsidR="00CD1343" w:rsidRPr="00C20AAA" w:rsidRDefault="00CD1343" w:rsidP="00C565CA">
      <w:pPr>
        <w:pStyle w:val="ListParagraph"/>
        <w:ind w:left="1260"/>
      </w:pPr>
    </w:p>
    <w:p w:rsidR="00CD1343" w:rsidRDefault="00AD24B4" w:rsidP="00ED44F9">
      <w:pPr>
        <w:pStyle w:val="BodyTextIndent2"/>
        <w:keepNext/>
        <w:spacing w:after="0"/>
        <w:ind w:left="0"/>
        <w:jc w:val="center"/>
        <w:rPr>
          <w:b/>
          <w:bCs/>
        </w:rPr>
      </w:pPr>
      <w:r>
        <w:rPr>
          <w:b/>
          <w:bCs/>
        </w:rPr>
        <w:lastRenderedPageBreak/>
        <w:t>III</w:t>
      </w:r>
      <w:r w:rsidRPr="00CD32CA">
        <w:rPr>
          <w:b/>
          <w:bCs/>
        </w:rPr>
        <w:t>.</w:t>
      </w:r>
      <w:r w:rsidRPr="00CD32CA">
        <w:rPr>
          <w:b/>
          <w:bCs/>
        </w:rPr>
        <w:tab/>
      </w:r>
      <w:r>
        <w:rPr>
          <w:b/>
          <w:bCs/>
        </w:rPr>
        <w:t xml:space="preserve">CONTEXT OF POWER </w:t>
      </w:r>
      <w:r w:rsidR="00CD2226">
        <w:rPr>
          <w:b/>
          <w:bCs/>
        </w:rPr>
        <w:t>COST</w:t>
      </w:r>
      <w:r>
        <w:rPr>
          <w:b/>
          <w:bCs/>
        </w:rPr>
        <w:t xml:space="preserve"> EVALUATION</w:t>
      </w:r>
    </w:p>
    <w:p w:rsidR="00AD24B4" w:rsidRDefault="00AD24B4" w:rsidP="00C565CA">
      <w:pPr>
        <w:pStyle w:val="BodyTextIndent2"/>
        <w:keepNext/>
        <w:spacing w:after="0"/>
        <w:ind w:left="86"/>
        <w:jc w:val="center"/>
        <w:rPr>
          <w:b/>
        </w:rPr>
      </w:pPr>
    </w:p>
    <w:p w:rsidR="00AD24B4" w:rsidRDefault="00AD24B4" w:rsidP="00C565CA">
      <w:pPr>
        <w:pStyle w:val="BodyTextIndent2"/>
        <w:keepNext/>
        <w:spacing w:after="0"/>
        <w:ind w:left="720" w:hanging="720"/>
        <w:rPr>
          <w:b/>
          <w:bCs/>
        </w:rPr>
      </w:pPr>
      <w:r w:rsidRPr="00AF646F">
        <w:rPr>
          <w:b/>
          <w:bCs/>
        </w:rPr>
        <w:t>Q.</w:t>
      </w:r>
      <w:r w:rsidRPr="00AF646F">
        <w:rPr>
          <w:b/>
          <w:bCs/>
        </w:rPr>
        <w:tab/>
      </w:r>
      <w:r>
        <w:rPr>
          <w:b/>
          <w:bCs/>
        </w:rPr>
        <w:t>Please describe the overall context in which you evaluat</w:t>
      </w:r>
      <w:r w:rsidR="00F2752D">
        <w:rPr>
          <w:b/>
          <w:bCs/>
        </w:rPr>
        <w:t xml:space="preserve">ed </w:t>
      </w:r>
      <w:r w:rsidR="0079100B">
        <w:rPr>
          <w:b/>
          <w:bCs/>
        </w:rPr>
        <w:t>Pacifi</w:t>
      </w:r>
      <w:r w:rsidR="004370AF">
        <w:rPr>
          <w:b/>
          <w:bCs/>
        </w:rPr>
        <w:t>C</w:t>
      </w:r>
      <w:r w:rsidR="0079100B">
        <w:rPr>
          <w:b/>
          <w:bCs/>
        </w:rPr>
        <w:t>orp’s</w:t>
      </w:r>
      <w:r>
        <w:rPr>
          <w:b/>
          <w:bCs/>
        </w:rPr>
        <w:t xml:space="preserve"> proposed </w:t>
      </w:r>
      <w:r w:rsidR="0079100B" w:rsidRPr="0079100B">
        <w:rPr>
          <w:b/>
        </w:rPr>
        <w:t>Washington-allocated pro forma normalized net power costs</w:t>
      </w:r>
      <w:r>
        <w:rPr>
          <w:b/>
          <w:bCs/>
        </w:rPr>
        <w:t xml:space="preserve"> in this proceeding.</w:t>
      </w:r>
    </w:p>
    <w:p w:rsidR="005D44EC" w:rsidRDefault="00AD24B4" w:rsidP="0079100B">
      <w:pPr>
        <w:pStyle w:val="BodyTextIndent2"/>
        <w:keepNext/>
        <w:spacing w:after="0"/>
        <w:ind w:left="720" w:hanging="720"/>
        <w:rPr>
          <w:bCs/>
        </w:rPr>
      </w:pPr>
      <w:r w:rsidRPr="00161B4A">
        <w:rPr>
          <w:bCs/>
        </w:rPr>
        <w:t>A.</w:t>
      </w:r>
      <w:r w:rsidRPr="00161B4A">
        <w:rPr>
          <w:bCs/>
        </w:rPr>
        <w:tab/>
      </w:r>
      <w:r w:rsidR="005A5AE8">
        <w:rPr>
          <w:bCs/>
        </w:rPr>
        <w:t xml:space="preserve">The most relevant </w:t>
      </w:r>
      <w:r w:rsidR="001A46D5">
        <w:rPr>
          <w:bCs/>
        </w:rPr>
        <w:t>aspect</w:t>
      </w:r>
      <w:r w:rsidR="005A5AE8">
        <w:rPr>
          <w:bCs/>
        </w:rPr>
        <w:t xml:space="preserve"> of the Company’s case in this docket is its filing date.  Pacifi</w:t>
      </w:r>
      <w:r w:rsidR="004370AF">
        <w:rPr>
          <w:bCs/>
        </w:rPr>
        <w:t>C</w:t>
      </w:r>
      <w:r w:rsidR="005A5AE8">
        <w:rPr>
          <w:bCs/>
        </w:rPr>
        <w:t xml:space="preserve">orp made its filing in Docket UE-111190 on July 1, 2011. </w:t>
      </w:r>
      <w:r w:rsidR="005D44EC">
        <w:rPr>
          <w:bCs/>
        </w:rPr>
        <w:t xml:space="preserve"> </w:t>
      </w:r>
      <w:r w:rsidR="005A5AE8">
        <w:rPr>
          <w:bCs/>
        </w:rPr>
        <w:t xml:space="preserve">This was only a little more than </w:t>
      </w:r>
      <w:r w:rsidR="004370AF">
        <w:rPr>
          <w:bCs/>
        </w:rPr>
        <w:t>three</w:t>
      </w:r>
      <w:r w:rsidR="005A5AE8">
        <w:rPr>
          <w:bCs/>
        </w:rPr>
        <w:t xml:space="preserve"> months after the Commission’s Final Order in Docket UE-100749</w:t>
      </w:r>
      <w:r w:rsidR="005D44EC">
        <w:rPr>
          <w:bCs/>
        </w:rPr>
        <w:t>,</w:t>
      </w:r>
      <w:r w:rsidR="005A5AE8">
        <w:rPr>
          <w:bCs/>
        </w:rPr>
        <w:t xml:space="preserve"> and </w:t>
      </w:r>
      <w:r w:rsidR="004370AF">
        <w:rPr>
          <w:bCs/>
        </w:rPr>
        <w:t xml:space="preserve">fifty </w:t>
      </w:r>
      <w:r w:rsidR="005A5AE8">
        <w:rPr>
          <w:bCs/>
        </w:rPr>
        <w:t xml:space="preserve">days after the Commission’s Order Denying Petitions for Reconsideration and Granting Clarification in that same docket.  </w:t>
      </w:r>
      <w:r w:rsidR="00456B79">
        <w:rPr>
          <w:bCs/>
        </w:rPr>
        <w:t>Pacifi</w:t>
      </w:r>
      <w:r w:rsidR="004370AF">
        <w:rPr>
          <w:bCs/>
        </w:rPr>
        <w:t>C</w:t>
      </w:r>
      <w:r w:rsidR="00456B79">
        <w:rPr>
          <w:bCs/>
        </w:rPr>
        <w:t>orp</w:t>
      </w:r>
      <w:r w:rsidR="00003D28">
        <w:rPr>
          <w:bCs/>
        </w:rPr>
        <w:t xml:space="preserve"> has characterized its case in this proceeding as a “make-whole rate filing approach.”  </w:t>
      </w:r>
      <w:r w:rsidR="00456B79">
        <w:rPr>
          <w:bCs/>
        </w:rPr>
        <w:t xml:space="preserve">In doing so, the Company states that it “has elected not to contest any issues that were decided in the 2010 Rate Case, including net power costs.” Exhibit No.___(GND-1T) </w:t>
      </w:r>
      <w:r w:rsidR="005D44EC">
        <w:rPr>
          <w:bCs/>
        </w:rPr>
        <w:t>at page 2. With</w:t>
      </w:r>
      <w:r w:rsidR="00456B79">
        <w:rPr>
          <w:bCs/>
        </w:rPr>
        <w:t xml:space="preserve"> regard to power supply issues</w:t>
      </w:r>
      <w:r w:rsidR="005D44EC">
        <w:rPr>
          <w:bCs/>
        </w:rPr>
        <w:t>; however</w:t>
      </w:r>
      <w:r w:rsidR="00456B79">
        <w:rPr>
          <w:bCs/>
        </w:rPr>
        <w:t>, these statement</w:t>
      </w:r>
      <w:r w:rsidR="005A5AE8">
        <w:rPr>
          <w:bCs/>
        </w:rPr>
        <w:t>s</w:t>
      </w:r>
      <w:r w:rsidR="00456B79">
        <w:rPr>
          <w:bCs/>
        </w:rPr>
        <w:t xml:space="preserve"> are somewhat misleading.  </w:t>
      </w:r>
    </w:p>
    <w:p w:rsidR="005D44EC" w:rsidRDefault="00ED44F9" w:rsidP="005D44EC">
      <w:pPr>
        <w:pStyle w:val="BodyTextIndent2"/>
        <w:keepNext/>
        <w:spacing w:after="0"/>
        <w:ind w:left="720"/>
        <w:rPr>
          <w:bCs/>
        </w:rPr>
      </w:pPr>
      <w:r>
        <w:rPr>
          <w:bCs/>
        </w:rPr>
        <w:tab/>
      </w:r>
      <w:r w:rsidR="00456B79">
        <w:rPr>
          <w:bCs/>
        </w:rPr>
        <w:t>First,</w:t>
      </w:r>
      <w:r w:rsidR="005A5AE8">
        <w:rPr>
          <w:bCs/>
        </w:rPr>
        <w:t xml:space="preserve"> </w:t>
      </w:r>
      <w:r w:rsidR="00C47084">
        <w:rPr>
          <w:bCs/>
        </w:rPr>
        <w:t>t</w:t>
      </w:r>
      <w:r w:rsidR="005A5AE8">
        <w:rPr>
          <w:bCs/>
        </w:rPr>
        <w:t xml:space="preserve">he Final Order </w:t>
      </w:r>
      <w:r w:rsidR="00456B79">
        <w:rPr>
          <w:bCs/>
        </w:rPr>
        <w:t>in Docket UE-100749</w:t>
      </w:r>
      <w:r w:rsidR="005A5AE8">
        <w:rPr>
          <w:bCs/>
        </w:rPr>
        <w:t xml:space="preserve"> addresses 17 separate power supply or transmission</w:t>
      </w:r>
      <w:r w:rsidR="005D44EC">
        <w:rPr>
          <w:bCs/>
        </w:rPr>
        <w:t>-</w:t>
      </w:r>
      <w:r w:rsidR="005A5AE8">
        <w:rPr>
          <w:bCs/>
        </w:rPr>
        <w:t xml:space="preserve">related adjustments, in addition to the market price update issue.  The Commission decided in favor of the intervening </w:t>
      </w:r>
      <w:r w:rsidR="00C47084">
        <w:rPr>
          <w:bCs/>
        </w:rPr>
        <w:t xml:space="preserve">parties </w:t>
      </w:r>
      <w:r w:rsidR="005D44EC">
        <w:rPr>
          <w:bCs/>
        </w:rPr>
        <w:t>on</w:t>
      </w:r>
      <w:r w:rsidR="00C47084">
        <w:rPr>
          <w:bCs/>
        </w:rPr>
        <w:t xml:space="preserve"> ten of those issues.  Two adjustments were adopted as </w:t>
      </w:r>
      <w:r w:rsidR="00DC24D1">
        <w:rPr>
          <w:bCs/>
        </w:rPr>
        <w:t xml:space="preserve">being </w:t>
      </w:r>
      <w:r w:rsidR="00C47084">
        <w:rPr>
          <w:bCs/>
        </w:rPr>
        <w:t>settlements by the parties</w:t>
      </w:r>
      <w:r w:rsidR="005D44EC">
        <w:rPr>
          <w:bCs/>
        </w:rPr>
        <w:t>.  The</w:t>
      </w:r>
      <w:r w:rsidR="00C47084">
        <w:rPr>
          <w:bCs/>
        </w:rPr>
        <w:t xml:space="preserve"> Commission rejected all parties proposed adjustments on one issue</w:t>
      </w:r>
      <w:r w:rsidR="005D44EC">
        <w:rPr>
          <w:bCs/>
        </w:rPr>
        <w:t>.  The Commission</w:t>
      </w:r>
      <w:r w:rsidR="00C47084">
        <w:rPr>
          <w:bCs/>
        </w:rPr>
        <w:t xml:space="preserve"> accepted the Company’s position on </w:t>
      </w:r>
      <w:r w:rsidR="005D44EC">
        <w:rPr>
          <w:bCs/>
        </w:rPr>
        <w:t xml:space="preserve">only </w:t>
      </w:r>
      <w:r w:rsidR="00C47084">
        <w:rPr>
          <w:bCs/>
        </w:rPr>
        <w:t xml:space="preserve">four of the issues identified in its Final Order.  A more </w:t>
      </w:r>
      <w:r w:rsidR="00DC24D1">
        <w:rPr>
          <w:bCs/>
        </w:rPr>
        <w:t xml:space="preserve">accurate </w:t>
      </w:r>
      <w:r w:rsidR="00C47084">
        <w:rPr>
          <w:bCs/>
        </w:rPr>
        <w:t>description of the Company’s magn</w:t>
      </w:r>
      <w:r w:rsidR="00DC24D1">
        <w:rPr>
          <w:bCs/>
        </w:rPr>
        <w:t xml:space="preserve">animous </w:t>
      </w:r>
      <w:r w:rsidR="00C47084">
        <w:rPr>
          <w:bCs/>
        </w:rPr>
        <w:lastRenderedPageBreak/>
        <w:t xml:space="preserve">position in this proceeding would be that it has chosen not to </w:t>
      </w:r>
      <w:r w:rsidR="00C47084" w:rsidRPr="00DC24D1">
        <w:rPr>
          <w:bCs/>
          <w:u w:val="single"/>
        </w:rPr>
        <w:t>re-contest</w:t>
      </w:r>
      <w:r w:rsidR="00C47084">
        <w:rPr>
          <w:bCs/>
        </w:rPr>
        <w:t xml:space="preserve"> issues that were decided by the Commission scar</w:t>
      </w:r>
      <w:r w:rsidR="00DC24D1">
        <w:rPr>
          <w:bCs/>
        </w:rPr>
        <w:t>c</w:t>
      </w:r>
      <w:r w:rsidR="00C47084">
        <w:rPr>
          <w:bCs/>
        </w:rPr>
        <w:t xml:space="preserve">ely a few short weeks </w:t>
      </w:r>
      <w:r w:rsidR="004370AF">
        <w:rPr>
          <w:bCs/>
        </w:rPr>
        <w:t>prior</w:t>
      </w:r>
      <w:r w:rsidR="00C47084">
        <w:rPr>
          <w:bCs/>
        </w:rPr>
        <w:t xml:space="preserve">.  </w:t>
      </w:r>
    </w:p>
    <w:p w:rsidR="005B26E1" w:rsidRDefault="00ED44F9" w:rsidP="005B26E1">
      <w:pPr>
        <w:pStyle w:val="BodyTextIndent2"/>
        <w:keepNext/>
        <w:spacing w:after="0"/>
        <w:ind w:left="720"/>
      </w:pPr>
      <w:r>
        <w:rPr>
          <w:bCs/>
        </w:rPr>
        <w:tab/>
      </w:r>
      <w:r w:rsidR="00DC24D1">
        <w:rPr>
          <w:bCs/>
        </w:rPr>
        <w:t>Second, by its nature,</w:t>
      </w:r>
      <w:r w:rsidR="00222C40">
        <w:rPr>
          <w:bCs/>
        </w:rPr>
        <w:t xml:space="preserve"> the development of </w:t>
      </w:r>
      <w:r w:rsidR="00222C40">
        <w:t xml:space="preserve">pro forma normalized net power costs for a </w:t>
      </w:r>
      <w:r w:rsidR="000E2B29">
        <w:t>futu</w:t>
      </w:r>
      <w:r w:rsidR="00C238A1">
        <w:t>r</w:t>
      </w:r>
      <w:r w:rsidR="000E2B29">
        <w:t xml:space="preserve">e </w:t>
      </w:r>
      <w:r w:rsidR="00222C40">
        <w:t xml:space="preserve">rate year period does not truly fit the “make-whole” only nature of </w:t>
      </w:r>
      <w:r w:rsidR="007F395A">
        <w:t>the Company’s claims.  In general,</w:t>
      </w:r>
      <w:r w:rsidR="000E2B29">
        <w:t xml:space="preserve"> many</w:t>
      </w:r>
      <w:r w:rsidR="007F395A">
        <w:t xml:space="preserve"> power supply costs are being updated</w:t>
      </w:r>
      <w:r w:rsidR="00B11EFB">
        <w:t>, and will continue to be updated throughout the proceeding</w:t>
      </w:r>
      <w:r w:rsidR="007F395A">
        <w:t>.   As Pacifi</w:t>
      </w:r>
      <w:r w:rsidR="004370AF">
        <w:t>C</w:t>
      </w:r>
      <w:r w:rsidR="007F395A">
        <w:t xml:space="preserve">orp explains, the requested $7 million dollar increase in authorized power supply costs </w:t>
      </w:r>
      <w:r w:rsidR="004370AF">
        <w:t>is</w:t>
      </w:r>
      <w:r w:rsidR="007F395A">
        <w:t xml:space="preserve"> </w:t>
      </w:r>
      <w:r w:rsidR="00BD171C">
        <w:t xml:space="preserve">actually </w:t>
      </w:r>
      <w:r w:rsidR="007F395A">
        <w:t>the result of numerous changes in those parameters used to determine Washington-allocated pro forma normalized net power costs.</w:t>
      </w:r>
    </w:p>
    <w:p w:rsidR="005B26E1" w:rsidRDefault="005B26E1" w:rsidP="005B26E1">
      <w:pPr>
        <w:pStyle w:val="BodyTextIndent2"/>
        <w:keepNext/>
        <w:spacing w:after="0"/>
        <w:ind w:left="0"/>
      </w:pPr>
    </w:p>
    <w:p w:rsidR="009D16C7" w:rsidRPr="009D16C7" w:rsidRDefault="009D16C7" w:rsidP="005B26E1">
      <w:pPr>
        <w:pStyle w:val="BodyTextIndent2"/>
        <w:keepNext/>
        <w:spacing w:after="0"/>
        <w:ind w:left="720" w:hanging="720"/>
        <w:rPr>
          <w:b/>
          <w:bCs/>
        </w:rPr>
      </w:pPr>
      <w:r w:rsidRPr="009D16C7">
        <w:rPr>
          <w:b/>
          <w:bCs/>
        </w:rPr>
        <w:t>Q.</w:t>
      </w:r>
      <w:r w:rsidRPr="009D16C7">
        <w:rPr>
          <w:b/>
          <w:bCs/>
        </w:rPr>
        <w:tab/>
        <w:t>W</w:t>
      </w:r>
      <w:r w:rsidR="007F395A">
        <w:rPr>
          <w:b/>
          <w:bCs/>
        </w:rPr>
        <w:t>hat</w:t>
      </w:r>
      <w:r w:rsidRPr="009D16C7">
        <w:rPr>
          <w:b/>
          <w:bCs/>
        </w:rPr>
        <w:t xml:space="preserve"> factors </w:t>
      </w:r>
      <w:r w:rsidR="007F395A">
        <w:rPr>
          <w:b/>
          <w:bCs/>
        </w:rPr>
        <w:t>has the Company identified as causing the requested increase in authorized normalized n</w:t>
      </w:r>
      <w:r w:rsidR="00CA5D74">
        <w:rPr>
          <w:b/>
          <w:bCs/>
        </w:rPr>
        <w:t>e</w:t>
      </w:r>
      <w:r w:rsidR="007F395A">
        <w:rPr>
          <w:b/>
          <w:bCs/>
        </w:rPr>
        <w:t>t power cost</w:t>
      </w:r>
      <w:r w:rsidRPr="009D16C7">
        <w:rPr>
          <w:b/>
          <w:bCs/>
        </w:rPr>
        <w:t>?</w:t>
      </w:r>
    </w:p>
    <w:p w:rsidR="00FA556F" w:rsidRDefault="009D16C7" w:rsidP="007F395A">
      <w:pPr>
        <w:pStyle w:val="BodyTextIndent2"/>
        <w:keepNext/>
        <w:spacing w:after="0"/>
        <w:ind w:left="720" w:hanging="720"/>
        <w:rPr>
          <w:bCs/>
        </w:rPr>
      </w:pPr>
      <w:r>
        <w:rPr>
          <w:bCs/>
        </w:rPr>
        <w:t>A.</w:t>
      </w:r>
      <w:r>
        <w:rPr>
          <w:bCs/>
        </w:rPr>
        <w:tab/>
      </w:r>
      <w:r w:rsidR="00CA5D74">
        <w:rPr>
          <w:bCs/>
        </w:rPr>
        <w:t>The Company identifies the following factors as contributing to the requested increase: l</w:t>
      </w:r>
      <w:r w:rsidR="00B11EFB">
        <w:rPr>
          <w:bCs/>
        </w:rPr>
        <w:t>oad growth</w:t>
      </w:r>
      <w:r w:rsidR="00CA5D74">
        <w:rPr>
          <w:bCs/>
        </w:rPr>
        <w:t>,</w:t>
      </w:r>
      <w:r w:rsidR="00B11EFB">
        <w:rPr>
          <w:bCs/>
        </w:rPr>
        <w:t xml:space="preserve"> expiring contracts, changing market prices, changing reserve requirements, changing wholesale sales volumes, changes in thermal generation, coal costs, and changes in purchased power expense</w:t>
      </w:r>
      <w:r w:rsidR="00CA5D74">
        <w:rPr>
          <w:bCs/>
        </w:rPr>
        <w:t>.</w:t>
      </w:r>
      <w:r w:rsidR="00261BD9">
        <w:rPr>
          <w:bCs/>
        </w:rPr>
        <w:t xml:space="preserve"> </w:t>
      </w:r>
      <w:r w:rsidR="00B11EFB">
        <w:rPr>
          <w:bCs/>
        </w:rPr>
        <w:t xml:space="preserve"> Exhibit No.___(GND-1T), beginning on page 3, line 10</w:t>
      </w:r>
      <w:r w:rsidR="00261BD9">
        <w:rPr>
          <w:bCs/>
        </w:rPr>
        <w:t>.</w:t>
      </w:r>
      <w:r w:rsidR="00B11EFB">
        <w:rPr>
          <w:bCs/>
        </w:rPr>
        <w:t xml:space="preserve">  I</w:t>
      </w:r>
      <w:r w:rsidR="00CA5D74">
        <w:rPr>
          <w:bCs/>
        </w:rPr>
        <w:t>n</w:t>
      </w:r>
      <w:r w:rsidR="00B11EFB">
        <w:rPr>
          <w:bCs/>
        </w:rPr>
        <w:t xml:space="preserve"> addition, </w:t>
      </w:r>
      <w:r w:rsidR="00CA5D74">
        <w:rPr>
          <w:bCs/>
        </w:rPr>
        <w:t>the Company changed certain</w:t>
      </w:r>
      <w:r w:rsidR="00B11EFB">
        <w:rPr>
          <w:bCs/>
        </w:rPr>
        <w:t xml:space="preserve"> </w:t>
      </w:r>
      <w:r w:rsidR="000E2B29">
        <w:rPr>
          <w:bCs/>
        </w:rPr>
        <w:t xml:space="preserve">basic </w:t>
      </w:r>
      <w:r w:rsidR="00B11EFB">
        <w:rPr>
          <w:bCs/>
        </w:rPr>
        <w:t>GRID model inputs subsequent to the 2010 Rate Case.  I will discuss this issue later in my testimony.</w:t>
      </w:r>
    </w:p>
    <w:p w:rsidR="00BD171C" w:rsidRDefault="00BD171C" w:rsidP="007F395A">
      <w:pPr>
        <w:pStyle w:val="BodyTextIndent2"/>
        <w:keepNext/>
        <w:spacing w:after="0"/>
        <w:ind w:left="720" w:hanging="720"/>
        <w:rPr>
          <w:bCs/>
        </w:rPr>
      </w:pPr>
    </w:p>
    <w:p w:rsidR="00BD171C" w:rsidRDefault="00BD171C" w:rsidP="007F395A">
      <w:pPr>
        <w:pStyle w:val="BodyTextIndent2"/>
        <w:keepNext/>
        <w:spacing w:after="0"/>
        <w:ind w:left="720" w:hanging="720"/>
        <w:rPr>
          <w:b/>
        </w:rPr>
      </w:pPr>
      <w:r w:rsidRPr="00BD171C">
        <w:rPr>
          <w:b/>
          <w:bCs/>
        </w:rPr>
        <w:t>Q.</w:t>
      </w:r>
      <w:r w:rsidRPr="00BD171C">
        <w:rPr>
          <w:b/>
          <w:bCs/>
        </w:rPr>
        <w:tab/>
        <w:t>Did you attempt to keep within the spirit of a “make-whole rate filing approach” when evaluating proposed W</w:t>
      </w:r>
      <w:r w:rsidRPr="00BD171C">
        <w:rPr>
          <w:b/>
        </w:rPr>
        <w:t>ashington-allocated pro forma normalized net power costs in this proceeding?</w:t>
      </w:r>
    </w:p>
    <w:p w:rsidR="00BD171C" w:rsidRPr="00BD171C" w:rsidRDefault="00BD171C" w:rsidP="007F395A">
      <w:pPr>
        <w:pStyle w:val="BodyTextIndent2"/>
        <w:keepNext/>
        <w:spacing w:after="0"/>
        <w:ind w:left="720" w:hanging="720"/>
        <w:rPr>
          <w:bCs/>
        </w:rPr>
      </w:pPr>
      <w:r w:rsidRPr="00BD171C">
        <w:lastRenderedPageBreak/>
        <w:t>A.</w:t>
      </w:r>
      <w:r w:rsidRPr="00BD171C">
        <w:tab/>
        <w:t xml:space="preserve">Yes.  In fact, this approach forms the basis for </w:t>
      </w:r>
      <w:r w:rsidR="00C668AA">
        <w:t>several</w:t>
      </w:r>
      <w:r w:rsidRPr="00BD171C">
        <w:t xml:space="preserve"> of my proposed adjustments and is a factor in addressing </w:t>
      </w:r>
      <w:r w:rsidR="00C668AA">
        <w:t xml:space="preserve">a related issue, namely what </w:t>
      </w:r>
      <w:r w:rsidR="00C668AA" w:rsidRPr="00C668AA">
        <w:rPr>
          <w:u w:val="single"/>
        </w:rPr>
        <w:t>not</w:t>
      </w:r>
      <w:r w:rsidR="00C668AA">
        <w:t xml:space="preserve"> to include in a “make-whole” filing.</w:t>
      </w:r>
    </w:p>
    <w:p w:rsidR="00FA556F" w:rsidRDefault="00FA556F" w:rsidP="007F395A">
      <w:pPr>
        <w:pStyle w:val="BodyTextIndent2"/>
        <w:keepNext/>
        <w:spacing w:after="0"/>
        <w:ind w:left="720" w:hanging="720"/>
        <w:rPr>
          <w:bCs/>
        </w:rPr>
      </w:pPr>
    </w:p>
    <w:p w:rsidR="009D16C7" w:rsidRPr="00FA556F" w:rsidRDefault="00FA556F" w:rsidP="007F395A">
      <w:pPr>
        <w:pStyle w:val="BodyTextIndent2"/>
        <w:keepNext/>
        <w:spacing w:after="0"/>
        <w:ind w:left="720" w:hanging="720"/>
        <w:rPr>
          <w:b/>
        </w:rPr>
      </w:pPr>
      <w:r w:rsidRPr="00FA556F">
        <w:rPr>
          <w:b/>
          <w:bCs/>
        </w:rPr>
        <w:t>Q.</w:t>
      </w:r>
      <w:r w:rsidRPr="00FA556F">
        <w:rPr>
          <w:b/>
          <w:bCs/>
        </w:rPr>
        <w:tab/>
        <w:t>Are there any other factors that you considered in evaluati</w:t>
      </w:r>
      <w:r w:rsidR="00261BD9">
        <w:rPr>
          <w:b/>
          <w:bCs/>
        </w:rPr>
        <w:t>ng</w:t>
      </w:r>
      <w:r w:rsidRPr="00FA556F">
        <w:rPr>
          <w:b/>
          <w:bCs/>
        </w:rPr>
        <w:t xml:space="preserve"> the Company’s proposed W</w:t>
      </w:r>
      <w:r w:rsidRPr="00FA556F">
        <w:rPr>
          <w:b/>
        </w:rPr>
        <w:t>ashington-allocated pro forma normalized net power costs?</w:t>
      </w:r>
    </w:p>
    <w:p w:rsidR="00FA556F" w:rsidRDefault="00FA556F" w:rsidP="007F395A">
      <w:pPr>
        <w:pStyle w:val="BodyTextIndent2"/>
        <w:keepNext/>
        <w:spacing w:after="0"/>
        <w:ind w:left="720" w:hanging="720"/>
        <w:rPr>
          <w:bCs/>
        </w:rPr>
      </w:pPr>
      <w:r>
        <w:t>A.</w:t>
      </w:r>
      <w:r>
        <w:tab/>
        <w:t>Yes.  Unlike the other two electric utilities regulated by this Commission,  Pacifi</w:t>
      </w:r>
      <w:r w:rsidR="00CA5D74">
        <w:t>C</w:t>
      </w:r>
      <w:r>
        <w:t xml:space="preserve">orp does not operate under  a power cost adjustment mechanism.  And finally, </w:t>
      </w:r>
      <w:r w:rsidR="00BD171C">
        <w:t>as evidenced by this filing, the Company appears to be continuing in the mode of relatively constant and regular general rate case filings.</w:t>
      </w:r>
    </w:p>
    <w:p w:rsidR="00AD24B4" w:rsidRDefault="00AD24B4" w:rsidP="00102BE3">
      <w:pPr>
        <w:pStyle w:val="BodyTextIndent2"/>
        <w:keepNext/>
        <w:ind w:left="86"/>
        <w:jc w:val="center"/>
        <w:rPr>
          <w:b/>
          <w:bCs/>
        </w:rPr>
      </w:pPr>
    </w:p>
    <w:p w:rsidR="000B0A46" w:rsidRDefault="000B0A46" w:rsidP="00ED44F9">
      <w:pPr>
        <w:pStyle w:val="BodyTextIndent2"/>
        <w:keepNext/>
        <w:ind w:left="0"/>
        <w:jc w:val="center"/>
        <w:rPr>
          <w:b/>
        </w:rPr>
      </w:pPr>
      <w:r w:rsidRPr="00CD32CA">
        <w:rPr>
          <w:b/>
          <w:bCs/>
        </w:rPr>
        <w:t>I</w:t>
      </w:r>
      <w:r w:rsidR="00AD24B4">
        <w:rPr>
          <w:b/>
          <w:bCs/>
        </w:rPr>
        <w:t>V</w:t>
      </w:r>
      <w:r w:rsidRPr="00CD32CA">
        <w:rPr>
          <w:b/>
          <w:bCs/>
        </w:rPr>
        <w:t>.</w:t>
      </w:r>
      <w:r w:rsidRPr="00CD32CA">
        <w:rPr>
          <w:b/>
          <w:bCs/>
        </w:rPr>
        <w:tab/>
        <w:t>SUMMARY OF STAFF RE</w:t>
      </w:r>
      <w:r w:rsidRPr="00102BE3">
        <w:rPr>
          <w:b/>
        </w:rPr>
        <w:t>COMMENDATIONS</w:t>
      </w:r>
    </w:p>
    <w:p w:rsidR="000B0A46" w:rsidRPr="00102BE3" w:rsidRDefault="000B0A46" w:rsidP="00102BE3">
      <w:pPr>
        <w:pStyle w:val="BodyTextIndent2"/>
        <w:keepNext/>
        <w:ind w:left="86"/>
        <w:jc w:val="center"/>
        <w:rPr>
          <w:b/>
          <w:bCs/>
        </w:rPr>
      </w:pPr>
    </w:p>
    <w:p w:rsidR="00A75820" w:rsidRDefault="000B0A46" w:rsidP="00370A7E">
      <w:pPr>
        <w:pStyle w:val="BodyText"/>
        <w:spacing w:line="480" w:lineRule="auto"/>
        <w:ind w:left="720" w:hanging="720"/>
        <w:rPr>
          <w:b/>
          <w:bCs/>
        </w:rPr>
        <w:sectPr w:rsidR="00A75820" w:rsidSect="00853136">
          <w:pgSz w:w="12240" w:h="15840" w:code="1"/>
          <w:pgMar w:top="1440" w:right="1440" w:bottom="1440" w:left="1872" w:header="720" w:footer="720" w:gutter="0"/>
          <w:lnNumType w:countBy="1"/>
          <w:pgNumType w:start="1"/>
          <w:cols w:space="720"/>
          <w:docGrid w:linePitch="360"/>
        </w:sectPr>
      </w:pPr>
      <w:r w:rsidRPr="00AF646F">
        <w:rPr>
          <w:b/>
          <w:bCs/>
        </w:rPr>
        <w:t>Q.</w:t>
      </w:r>
      <w:r w:rsidRPr="00AF646F">
        <w:rPr>
          <w:b/>
          <w:bCs/>
        </w:rPr>
        <w:tab/>
      </w:r>
      <w:r>
        <w:rPr>
          <w:b/>
          <w:bCs/>
        </w:rPr>
        <w:t>Please summarize</w:t>
      </w:r>
      <w:r w:rsidRPr="00AF646F">
        <w:rPr>
          <w:b/>
          <w:bCs/>
        </w:rPr>
        <w:t xml:space="preserve"> your recommend</w:t>
      </w:r>
      <w:r>
        <w:rPr>
          <w:b/>
          <w:bCs/>
        </w:rPr>
        <w:t xml:space="preserve">ed adjustments to the Company’s proposed </w:t>
      </w:r>
      <w:r w:rsidRPr="00CB3957">
        <w:rPr>
          <w:b/>
        </w:rPr>
        <w:t>pro forma normalized net power costs</w:t>
      </w:r>
      <w:r w:rsidRPr="00CB3957">
        <w:rPr>
          <w:b/>
          <w:bCs/>
        </w:rPr>
        <w:t>.</w:t>
      </w:r>
    </w:p>
    <w:p w:rsidR="00A75820" w:rsidRDefault="000B0A46" w:rsidP="00BE077D">
      <w:pPr>
        <w:pStyle w:val="BodyText"/>
        <w:spacing w:after="0" w:line="480" w:lineRule="auto"/>
        <w:ind w:left="720" w:hanging="720"/>
        <w:sectPr w:rsidR="00A75820" w:rsidSect="00853136">
          <w:footerReference w:type="default" r:id="rId12"/>
          <w:type w:val="continuous"/>
          <w:pgSz w:w="12240" w:h="15840" w:code="1"/>
          <w:pgMar w:top="1440" w:right="1440" w:bottom="1440" w:left="1872" w:header="720" w:footer="720" w:gutter="0"/>
          <w:lnNumType w:countBy="1"/>
          <w:cols w:space="720"/>
          <w:docGrid w:linePitch="360"/>
        </w:sectPr>
      </w:pPr>
      <w:r w:rsidRPr="00A55134">
        <w:rPr>
          <w:bCs/>
        </w:rPr>
        <w:lastRenderedPageBreak/>
        <w:t>A.</w:t>
      </w:r>
      <w:r w:rsidRPr="00A55134">
        <w:rPr>
          <w:b/>
          <w:bCs/>
        </w:rPr>
        <w:tab/>
      </w:r>
      <w:r w:rsidR="00BA22FF" w:rsidRPr="00BA22FF">
        <w:t>Exhibit No. ___ (APB-2</w:t>
      </w:r>
      <w:r w:rsidR="00C668AA">
        <w:t>C</w:t>
      </w:r>
      <w:r w:rsidR="00BA22FF" w:rsidRPr="00BA22FF">
        <w:t>)</w:t>
      </w:r>
      <w:r w:rsidR="00BA22FF">
        <w:rPr>
          <w:b/>
        </w:rPr>
        <w:t xml:space="preserve"> </w:t>
      </w:r>
      <w:r w:rsidR="00CD32CA">
        <w:t>identif</w:t>
      </w:r>
      <w:r w:rsidR="00013F00">
        <w:t>ies</w:t>
      </w:r>
      <w:r w:rsidR="00CD32CA">
        <w:t xml:space="preserve"> e</w:t>
      </w:r>
      <w:r>
        <w:t xml:space="preserve">ach of </w:t>
      </w:r>
      <w:r w:rsidR="00274C12">
        <w:t>my recommended</w:t>
      </w:r>
      <w:r>
        <w:t xml:space="preserve"> </w:t>
      </w:r>
      <w:r w:rsidR="00CD32CA">
        <w:t xml:space="preserve">adjustments </w:t>
      </w:r>
      <w:r>
        <w:t xml:space="preserve">with the corresponding expense level </w:t>
      </w:r>
      <w:r w:rsidR="00E20BB5">
        <w:t>impact</w:t>
      </w:r>
      <w:r>
        <w:t xml:space="preserve">.  </w:t>
      </w:r>
      <w:r w:rsidR="00F844C7">
        <w:t xml:space="preserve">My proposed adjustments </w:t>
      </w:r>
      <w:r w:rsidR="005B3B72">
        <w:t xml:space="preserve">address two issues that significantly affect Washington-allocated pro forma normalized net power costs.  </w:t>
      </w:r>
      <w:r w:rsidR="00A217A9">
        <w:t xml:space="preserve">The first adjustment addresses the level of generation assumed for the Company’s Western Control Area hydro facilities.  </w:t>
      </w:r>
      <w:r w:rsidR="005B3B72">
        <w:t xml:space="preserve">The </w:t>
      </w:r>
      <w:r w:rsidR="00A217A9">
        <w:t xml:space="preserve">second adjustment addresses the effect of updating various pricing components </w:t>
      </w:r>
      <w:r w:rsidR="00274C12">
        <w:t>that affect rate year power costs</w:t>
      </w:r>
      <w:r w:rsidR="00A217A9">
        <w:t>, including</w:t>
      </w:r>
      <w:r w:rsidR="005B3B72">
        <w:t xml:space="preserve"> </w:t>
      </w:r>
      <w:r w:rsidR="005B3B72">
        <w:lastRenderedPageBreak/>
        <w:t>the effect of declining electric and gas forward market prices during the 12</w:t>
      </w:r>
      <w:r w:rsidR="005D44EC">
        <w:t>-</w:t>
      </w:r>
      <w:r w:rsidR="005B3B72">
        <w:t>month period ending May 31, 2013.</w:t>
      </w:r>
    </w:p>
    <w:p w:rsidR="00E0216E" w:rsidRDefault="00ED44F9" w:rsidP="00ED44F9">
      <w:pPr>
        <w:pStyle w:val="BodyText"/>
        <w:spacing w:after="0" w:line="480" w:lineRule="auto"/>
        <w:ind w:left="720" w:hanging="720"/>
      </w:pPr>
      <w:r>
        <w:lastRenderedPageBreak/>
        <w:tab/>
      </w:r>
      <w:r w:rsidR="00A75820">
        <w:tab/>
      </w:r>
      <w:r w:rsidR="005B3B72">
        <w:t>My proposed adjustments</w:t>
      </w:r>
      <w:r w:rsidR="000B0A46">
        <w:t xml:space="preserve"> </w:t>
      </w:r>
      <w:r w:rsidR="00FC7D95">
        <w:t xml:space="preserve">reduce </w:t>
      </w:r>
      <w:r w:rsidR="00FA556F">
        <w:t xml:space="preserve">Washington-allocated pro forma normalized net power costs </w:t>
      </w:r>
      <w:r w:rsidR="00FC7D95">
        <w:t xml:space="preserve">by an </w:t>
      </w:r>
      <w:r w:rsidR="00274C12">
        <w:t xml:space="preserve">initially </w:t>
      </w:r>
      <w:r w:rsidR="00FC7D95">
        <w:t xml:space="preserve">estimated </w:t>
      </w:r>
      <w:r w:rsidR="00114EA8">
        <w:t>$</w:t>
      </w:r>
      <w:r w:rsidR="003C7CA3">
        <w:t>4,9</w:t>
      </w:r>
      <w:r w:rsidR="00C668AA">
        <w:t>42,607</w:t>
      </w:r>
      <w:r w:rsidR="005B3B72">
        <w:t xml:space="preserve"> at the expense level</w:t>
      </w:r>
      <w:r w:rsidR="005D44EC">
        <w:t>,</w:t>
      </w:r>
      <w:r w:rsidR="00C668AA">
        <w:t xml:space="preserve"> as shown </w:t>
      </w:r>
      <w:r w:rsidR="005D44EC">
        <w:t>in</w:t>
      </w:r>
      <w:r w:rsidR="00EF714A">
        <w:t xml:space="preserve"> </w:t>
      </w:r>
      <w:r w:rsidR="00C668AA">
        <w:t>Exhibit No.</w:t>
      </w:r>
      <w:r w:rsidR="00207B92">
        <w:t xml:space="preserve"> </w:t>
      </w:r>
      <w:bookmarkStart w:id="0" w:name="_GoBack"/>
      <w:bookmarkEnd w:id="0"/>
      <w:r w:rsidR="00C668AA">
        <w:t>___</w:t>
      </w:r>
      <w:r>
        <w:t xml:space="preserve"> </w:t>
      </w:r>
      <w:r w:rsidR="00C668AA">
        <w:t>(APB-2C), line 13</w:t>
      </w:r>
      <w:r w:rsidR="000B0A46">
        <w:t>.</w:t>
      </w:r>
      <w:r w:rsidR="00AD3051">
        <w:t xml:space="preserve">  </w:t>
      </w:r>
      <w:r w:rsidR="00C668AA">
        <w:t>T</w:t>
      </w:r>
      <w:r w:rsidR="00114EA8">
        <w:t xml:space="preserve">he exact level of the reduction </w:t>
      </w:r>
      <w:r w:rsidR="00274C12">
        <w:t xml:space="preserve">will </w:t>
      </w:r>
      <w:r w:rsidR="00FC7D95">
        <w:t xml:space="preserve">depend </w:t>
      </w:r>
      <w:r w:rsidR="00114EA8">
        <w:t xml:space="preserve">on incorporating </w:t>
      </w:r>
      <w:r w:rsidR="00FA556F">
        <w:t>the latest</w:t>
      </w:r>
      <w:r w:rsidR="00114EA8">
        <w:t xml:space="preserve"> Commission</w:t>
      </w:r>
      <w:r w:rsidR="00FC7D95">
        <w:t>-</w:t>
      </w:r>
      <w:r w:rsidR="00114EA8">
        <w:t>ordered market price update</w:t>
      </w:r>
      <w:r w:rsidR="00FC7D95">
        <w:t xml:space="preserve"> that occurs at the end of </w:t>
      </w:r>
      <w:r w:rsidR="00D54619">
        <w:t>the</w:t>
      </w:r>
      <w:r w:rsidR="00FC7D95">
        <w:t xml:space="preserve"> rate case</w:t>
      </w:r>
      <w:r w:rsidR="00274C12">
        <w:t>.</w:t>
      </w:r>
      <w:r w:rsidR="00261BD9">
        <w:t xml:space="preserve"> </w:t>
      </w:r>
      <w:r w:rsidR="00274C12">
        <w:t xml:space="preserve"> Notably, fo</w:t>
      </w:r>
      <w:r w:rsidR="00D54619">
        <w:t>rward electric and gas prices have continued to decline throughout the time of this proceeding</w:t>
      </w:r>
      <w:r w:rsidR="00114EA8">
        <w:t>.</w:t>
      </w:r>
      <w:r w:rsidR="000E2B29">
        <w:t xml:space="preserve">  </w:t>
      </w:r>
      <w:r w:rsidR="00B8060F">
        <w:t xml:space="preserve">In addition, I </w:t>
      </w:r>
      <w:r w:rsidR="00C238A1">
        <w:t>present</w:t>
      </w:r>
      <w:r w:rsidR="00B8060F">
        <w:t xml:space="preserve"> a Staff proposed adjustment </w:t>
      </w:r>
      <w:r w:rsidR="00C668AA">
        <w:t>reflecting additional</w:t>
      </w:r>
      <w:r w:rsidR="00B8060F">
        <w:t xml:space="preserve"> revenues associated with a</w:t>
      </w:r>
      <w:r w:rsidR="00C238A1">
        <w:t xml:space="preserve">n extended </w:t>
      </w:r>
      <w:r w:rsidR="00B8060F">
        <w:t>ancillar</w:t>
      </w:r>
      <w:r w:rsidR="00C238A1">
        <w:t>y</w:t>
      </w:r>
      <w:r w:rsidR="00B8060F">
        <w:t xml:space="preserve"> service</w:t>
      </w:r>
      <w:r w:rsidR="00C238A1">
        <w:t>s</w:t>
      </w:r>
      <w:r w:rsidR="00B8060F">
        <w:t xml:space="preserve"> contract.  </w:t>
      </w:r>
      <w:r w:rsidR="00C238A1">
        <w:t xml:space="preserve">This contract results in </w:t>
      </w:r>
      <w:r w:rsidR="00C238A1" w:rsidRPr="00853136">
        <w:t>approximately</w:t>
      </w:r>
      <w:r w:rsidR="00752266">
        <w:t xml:space="preserve"> </w:t>
      </w:r>
      <w:r w:rsidR="00580403" w:rsidRPr="00580403">
        <w:rPr>
          <w:highlight w:val="black"/>
        </w:rPr>
        <w:t>XXXXXXX</w:t>
      </w:r>
      <w:r w:rsidR="00752266">
        <w:t xml:space="preserve"> i</w:t>
      </w:r>
      <w:r w:rsidR="00C238A1">
        <w:t>n additional rate year Washington jurisdictional revenues</w:t>
      </w:r>
      <w:r w:rsidR="00C668AA">
        <w:t xml:space="preserve"> above what was included in the Company’s as-filed rate case</w:t>
      </w:r>
      <w:r w:rsidR="00C238A1">
        <w:t xml:space="preserve">.  </w:t>
      </w:r>
      <w:proofErr w:type="gramStart"/>
      <w:r w:rsidR="00C238A1">
        <w:t>The revenue requirement</w:t>
      </w:r>
      <w:r w:rsidR="005D44EC">
        <w:t xml:space="preserve"> effect</w:t>
      </w:r>
      <w:r w:rsidR="00C238A1">
        <w:t xml:space="preserve"> of this and my other adjustments shown in Exhibit No.</w:t>
      </w:r>
      <w:proofErr w:type="gramEnd"/>
      <w:r w:rsidR="00842632">
        <w:t xml:space="preserve"> </w:t>
      </w:r>
      <w:r w:rsidR="00C238A1">
        <w:t>___</w:t>
      </w:r>
      <w:r w:rsidR="00842632">
        <w:t xml:space="preserve"> </w:t>
      </w:r>
      <w:r w:rsidR="00C238A1">
        <w:t>(APB-2</w:t>
      </w:r>
      <w:r w:rsidR="00C668AA">
        <w:t>C</w:t>
      </w:r>
      <w:r w:rsidR="00C238A1">
        <w:t>) are</w:t>
      </w:r>
      <w:r w:rsidR="00C238A1" w:rsidRPr="00C238A1">
        <w:t xml:space="preserve"> </w:t>
      </w:r>
      <w:r w:rsidR="00C238A1">
        <w:t xml:space="preserve">reflected in Staff witness </w:t>
      </w:r>
      <w:proofErr w:type="spellStart"/>
      <w:r w:rsidR="00C238A1">
        <w:t>Foisy’s</w:t>
      </w:r>
      <w:proofErr w:type="spellEnd"/>
      <w:r w:rsidR="00C238A1">
        <w:t xml:space="preserve"> Exhibit No. ___ (MDF-2).  </w:t>
      </w:r>
      <w:r w:rsidR="00E0216E">
        <w:t xml:space="preserve">Finally, I make a longer-term recommendation addressing what I believe should be the appropriate course of action for the Commission to take regarding power cost models to be used in </w:t>
      </w:r>
      <w:r w:rsidR="003C7CA3">
        <w:t xml:space="preserve">future </w:t>
      </w:r>
      <w:r w:rsidR="00E0216E">
        <w:t>general rate case proceedings.</w:t>
      </w:r>
    </w:p>
    <w:p w:rsidR="00A75820" w:rsidRDefault="00A75820" w:rsidP="00842632">
      <w:pPr>
        <w:pStyle w:val="BodyTextIndent"/>
        <w:ind w:left="0" w:firstLine="0"/>
        <w:jc w:val="center"/>
        <w:rPr>
          <w:b/>
        </w:rPr>
      </w:pPr>
    </w:p>
    <w:p w:rsidR="005B26E1" w:rsidRDefault="005B26E1">
      <w:pPr>
        <w:rPr>
          <w:b/>
        </w:rPr>
      </w:pPr>
      <w:r>
        <w:rPr>
          <w:b/>
        </w:rPr>
        <w:br w:type="page"/>
      </w:r>
    </w:p>
    <w:p w:rsidR="000B0A46" w:rsidRDefault="000B0A46" w:rsidP="00842632">
      <w:pPr>
        <w:pStyle w:val="BodyTextIndent"/>
        <w:ind w:left="0" w:firstLine="0"/>
        <w:jc w:val="center"/>
        <w:rPr>
          <w:b/>
        </w:rPr>
      </w:pPr>
      <w:r w:rsidRPr="00102BE3">
        <w:rPr>
          <w:b/>
        </w:rPr>
        <w:lastRenderedPageBreak/>
        <w:t>V.</w:t>
      </w:r>
      <w:r w:rsidRPr="00102BE3">
        <w:rPr>
          <w:b/>
        </w:rPr>
        <w:tab/>
        <w:t>NET POWER COST ADJUSTMENTS</w:t>
      </w:r>
    </w:p>
    <w:p w:rsidR="00BC4FEC" w:rsidRDefault="00BC4FEC">
      <w:pPr>
        <w:pStyle w:val="BodyTextIndent"/>
        <w:rPr>
          <w:b/>
        </w:rPr>
      </w:pPr>
    </w:p>
    <w:p w:rsidR="00121263" w:rsidRPr="002424F6" w:rsidRDefault="00A217A9" w:rsidP="00A217A9">
      <w:pPr>
        <w:pStyle w:val="BodyTextIndent"/>
        <w:numPr>
          <w:ilvl w:val="0"/>
          <w:numId w:val="22"/>
        </w:numPr>
        <w:ind w:left="720"/>
        <w:rPr>
          <w:b/>
        </w:rPr>
      </w:pPr>
      <w:r w:rsidRPr="002424F6">
        <w:rPr>
          <w:b/>
        </w:rPr>
        <w:t>Hydro Generation</w:t>
      </w:r>
    </w:p>
    <w:p w:rsidR="00A217A9" w:rsidRDefault="00A217A9" w:rsidP="00A217A9">
      <w:pPr>
        <w:pStyle w:val="BodyTextIndent"/>
        <w:ind w:left="1080" w:firstLine="0"/>
      </w:pPr>
    </w:p>
    <w:p w:rsidR="00A217A9" w:rsidRPr="00746DA5" w:rsidRDefault="00A217A9" w:rsidP="00A217A9">
      <w:pPr>
        <w:pStyle w:val="BodyTextIndent"/>
        <w:rPr>
          <w:b/>
        </w:rPr>
      </w:pPr>
      <w:r w:rsidRPr="00746DA5">
        <w:rPr>
          <w:b/>
        </w:rPr>
        <w:t>Q.</w:t>
      </w:r>
      <w:r w:rsidRPr="00746DA5">
        <w:rPr>
          <w:b/>
        </w:rPr>
        <w:tab/>
      </w:r>
      <w:r w:rsidR="00E0216E" w:rsidRPr="00746DA5">
        <w:rPr>
          <w:b/>
        </w:rPr>
        <w:t>Please explain the context of your adjustment labeled “Hydro Generation</w:t>
      </w:r>
      <w:r w:rsidR="00842632">
        <w:rPr>
          <w:b/>
        </w:rPr>
        <w:t>”</w:t>
      </w:r>
      <w:r w:rsidR="00E0216E" w:rsidRPr="00746DA5">
        <w:rPr>
          <w:b/>
        </w:rPr>
        <w:t xml:space="preserve"> in Exhibit No.</w:t>
      </w:r>
      <w:r w:rsidR="00842632">
        <w:rPr>
          <w:b/>
        </w:rPr>
        <w:t xml:space="preserve"> </w:t>
      </w:r>
      <w:proofErr w:type="gramStart"/>
      <w:r w:rsidR="00E0216E" w:rsidRPr="00746DA5">
        <w:rPr>
          <w:b/>
        </w:rPr>
        <w:t>___</w:t>
      </w:r>
      <w:r w:rsidR="00842632">
        <w:rPr>
          <w:b/>
        </w:rPr>
        <w:t xml:space="preserve"> </w:t>
      </w:r>
      <w:r w:rsidR="00E0216E" w:rsidRPr="00746DA5">
        <w:rPr>
          <w:b/>
        </w:rPr>
        <w:t>(APB-2</w:t>
      </w:r>
      <w:r w:rsidR="00C668AA">
        <w:rPr>
          <w:b/>
        </w:rPr>
        <w:t>C</w:t>
      </w:r>
      <w:r w:rsidR="00E0216E" w:rsidRPr="00746DA5">
        <w:rPr>
          <w:b/>
        </w:rPr>
        <w:t>).</w:t>
      </w:r>
      <w:proofErr w:type="gramEnd"/>
    </w:p>
    <w:p w:rsidR="005D44EC" w:rsidRDefault="00E0216E" w:rsidP="00A217A9">
      <w:pPr>
        <w:pStyle w:val="BodyTextIndent"/>
      </w:pPr>
      <w:r>
        <w:t>A.</w:t>
      </w:r>
      <w:r>
        <w:tab/>
        <w:t>When reviewing the Company’s GRID Model Hydro Generation summary shee</w:t>
      </w:r>
      <w:r w:rsidR="00307CBE">
        <w:t>t</w:t>
      </w:r>
      <w:r>
        <w:t xml:space="preserve"> for the Western Control Area</w:t>
      </w:r>
      <w:r w:rsidR="005D44EC">
        <w:t>,</w:t>
      </w:r>
      <w:r>
        <w:t xml:space="preserve"> I observed a significant change in the total amount of available annual generation between the amounts in the previous rat</w:t>
      </w:r>
      <w:r w:rsidR="00D90291">
        <w:t xml:space="preserve">e </w:t>
      </w:r>
      <w:r>
        <w:t>case,</w:t>
      </w:r>
      <w:r w:rsidR="005D44EC">
        <w:t xml:space="preserve"> Docket </w:t>
      </w:r>
      <w:r>
        <w:t xml:space="preserve">UE-100749, and this proceeding.  This significant difference remained </w:t>
      </w:r>
      <w:r w:rsidR="00C44EBE">
        <w:t xml:space="preserve">after </w:t>
      </w:r>
      <w:r w:rsidR="000E2B29">
        <w:t>adjusting for</w:t>
      </w:r>
      <w:r w:rsidR="00C44EBE">
        <w:t xml:space="preserve"> the effects </w:t>
      </w:r>
      <w:r w:rsidR="005D44EC">
        <w:t xml:space="preserve">of </w:t>
      </w:r>
      <w:r w:rsidR="000E2B29">
        <w:t>removing</w:t>
      </w:r>
      <w:r w:rsidR="00C44EBE">
        <w:t xml:space="preserve"> the Condit hydro facility and the </w:t>
      </w:r>
      <w:r w:rsidR="000E2B29">
        <w:t xml:space="preserve">effects of the </w:t>
      </w:r>
      <w:r w:rsidR="00C44EBE">
        <w:t xml:space="preserve">Company’s non-owned Mid-C project hydro rights.   </w:t>
      </w:r>
    </w:p>
    <w:p w:rsidR="005B26E1" w:rsidRDefault="00C44EBE" w:rsidP="005B26E1">
      <w:pPr>
        <w:pStyle w:val="BodyTextIndent"/>
        <w:ind w:firstLine="720"/>
      </w:pPr>
      <w:r>
        <w:t>Exhibit No. ___</w:t>
      </w:r>
      <w:r w:rsidR="00842632">
        <w:t xml:space="preserve"> </w:t>
      </w:r>
      <w:r>
        <w:t xml:space="preserve">(APB-3) contains a series of Company responses </w:t>
      </w:r>
      <w:r w:rsidR="005D44EC">
        <w:t>to</w:t>
      </w:r>
      <w:r>
        <w:t xml:space="preserve"> both </w:t>
      </w:r>
      <w:r w:rsidR="00A75820">
        <w:t>UTC</w:t>
      </w:r>
      <w:r w:rsidR="00842632">
        <w:t xml:space="preserve"> </w:t>
      </w:r>
      <w:r>
        <w:t>Staff and ICNU data requests in this proceeding</w:t>
      </w:r>
      <w:r w:rsidR="005D44EC">
        <w:t>, as well as</w:t>
      </w:r>
      <w:r>
        <w:t xml:space="preserve"> from Docket UE-100749.  </w:t>
      </w:r>
      <w:r w:rsidR="00A75820">
        <w:t>UTC</w:t>
      </w:r>
      <w:r w:rsidR="00ED44F9">
        <w:t xml:space="preserve"> </w:t>
      </w:r>
      <w:r w:rsidR="005D44EC">
        <w:t>Staff</w:t>
      </w:r>
      <w:r>
        <w:t xml:space="preserve"> </w:t>
      </w:r>
      <w:r w:rsidR="00ED44F9">
        <w:t>D</w:t>
      </w:r>
      <w:r>
        <w:t xml:space="preserve">ata </w:t>
      </w:r>
      <w:r w:rsidR="00ED44F9">
        <w:t>R</w:t>
      </w:r>
      <w:r>
        <w:t xml:space="preserve">equest 92 and ICNU Data Request </w:t>
      </w:r>
      <w:r w:rsidR="000F62ED">
        <w:t>6.10</w:t>
      </w:r>
      <w:r>
        <w:t xml:space="preserve"> ask</w:t>
      </w:r>
      <w:r w:rsidR="005D44EC">
        <w:t>ed</w:t>
      </w:r>
      <w:r>
        <w:t xml:space="preserve"> the Company to explain the significant difference in hydro generation between </w:t>
      </w:r>
      <w:r w:rsidR="000E2B29">
        <w:t>rate case filings</w:t>
      </w:r>
      <w:r>
        <w:t xml:space="preserve">.  </w:t>
      </w:r>
      <w:r w:rsidR="00D90291">
        <w:t>In response, t</w:t>
      </w:r>
      <w:r>
        <w:t>he Company simply cited its responses to several data request responses (</w:t>
      </w:r>
      <w:r w:rsidR="005A67DC">
        <w:t>ICNU Data Request 1.26 through 1</w:t>
      </w:r>
      <w:r w:rsidR="00D90291">
        <w:t xml:space="preserve">.29) from Docket UE-100749, which do nothing more than claim the Company had </w:t>
      </w:r>
      <w:proofErr w:type="gramStart"/>
      <w:r w:rsidR="00D90291">
        <w:t>inadvertently</w:t>
      </w:r>
      <w:proofErr w:type="gramEnd"/>
      <w:r w:rsidR="00D90291">
        <w:t xml:space="preserve"> excluded forced outages</w:t>
      </w:r>
      <w:r w:rsidR="000E2B29">
        <w:t>.</w:t>
      </w:r>
      <w:r w:rsidR="005A67DC">
        <w:t xml:space="preserve"> </w:t>
      </w:r>
      <w:r w:rsidR="00631366">
        <w:t xml:space="preserve"> </w:t>
      </w:r>
      <w:r w:rsidR="00D90291">
        <w:t>No explanation as to the connection between “forced outages” and hydro generation changes was ever provided.  In fact, to my knowledge, the additional information promised in those data responses</w:t>
      </w:r>
      <w:r w:rsidR="000F62ED">
        <w:t xml:space="preserve"> by a June 17</w:t>
      </w:r>
      <w:r w:rsidR="005D44EC">
        <w:t>, 2010</w:t>
      </w:r>
      <w:r w:rsidR="000F62ED">
        <w:t xml:space="preserve"> date, namely ICNU Data Request 1.26 in Docket UE-100749,</w:t>
      </w:r>
      <w:r w:rsidR="000F62ED" w:rsidRPr="000F62ED">
        <w:t xml:space="preserve"> </w:t>
      </w:r>
      <w:r w:rsidR="00D90291">
        <w:t xml:space="preserve">was never received.  </w:t>
      </w:r>
      <w:r w:rsidR="005A67DC">
        <w:t xml:space="preserve"> Later</w:t>
      </w:r>
      <w:r w:rsidR="00842632">
        <w:t>,</w:t>
      </w:r>
      <w:r w:rsidR="00D90291">
        <w:t xml:space="preserve"> in th</w:t>
      </w:r>
      <w:r w:rsidR="00842632">
        <w:t>e</w:t>
      </w:r>
      <w:r w:rsidR="00D90291">
        <w:t xml:space="preserve"> </w:t>
      </w:r>
      <w:r w:rsidR="000E2B29">
        <w:t xml:space="preserve">present </w:t>
      </w:r>
      <w:r w:rsidR="00D90291">
        <w:lastRenderedPageBreak/>
        <w:t>docket</w:t>
      </w:r>
      <w:r w:rsidR="000F62ED">
        <w:t>,</w:t>
      </w:r>
      <w:r w:rsidR="00D90291">
        <w:t xml:space="preserve"> </w:t>
      </w:r>
      <w:r w:rsidR="005A67DC">
        <w:t>the Company provided additional narrative and information as a supplement to its response to ICNU Data Request 6.10.</w:t>
      </w:r>
      <w:r w:rsidR="00D90291">
        <w:t xml:space="preserve">  However, </w:t>
      </w:r>
      <w:r w:rsidR="000E2B29">
        <w:t>as part of its original “make-whole” rate</w:t>
      </w:r>
      <w:r w:rsidR="00376F12">
        <w:t xml:space="preserve"> case</w:t>
      </w:r>
      <w:r w:rsidR="000E2B29">
        <w:t xml:space="preserve"> filing</w:t>
      </w:r>
      <w:r w:rsidR="00376F12">
        <w:t xml:space="preserve">, </w:t>
      </w:r>
      <w:r w:rsidR="00D90291">
        <w:t>no explanation of the signifi</w:t>
      </w:r>
      <w:r w:rsidR="00A75820">
        <w:t xml:space="preserve">cant decline in available hydro </w:t>
      </w:r>
      <w:r w:rsidR="00D90291">
        <w:t xml:space="preserve">generation </w:t>
      </w:r>
      <w:r w:rsidR="00376F12">
        <w:t>was</w:t>
      </w:r>
      <w:r w:rsidR="00D90291">
        <w:t xml:space="preserve"> offered</w:t>
      </w:r>
      <w:r w:rsidR="00376F12">
        <w:t>.</w:t>
      </w:r>
    </w:p>
    <w:p w:rsidR="005B26E1" w:rsidRDefault="005B26E1" w:rsidP="005B26E1">
      <w:pPr>
        <w:pStyle w:val="BodyTextIndent"/>
      </w:pPr>
    </w:p>
    <w:p w:rsidR="005A67DC" w:rsidRPr="00746DA5" w:rsidRDefault="005A67DC" w:rsidP="005B26E1">
      <w:pPr>
        <w:pStyle w:val="BodyTextIndent"/>
        <w:rPr>
          <w:b/>
        </w:rPr>
      </w:pPr>
      <w:r w:rsidRPr="00746DA5">
        <w:rPr>
          <w:b/>
        </w:rPr>
        <w:t>Q.</w:t>
      </w:r>
      <w:r w:rsidRPr="00746DA5">
        <w:rPr>
          <w:b/>
        </w:rPr>
        <w:tab/>
        <w:t xml:space="preserve">What is your </w:t>
      </w:r>
      <w:r w:rsidR="005D44EC">
        <w:rPr>
          <w:b/>
        </w:rPr>
        <w:t>concern</w:t>
      </w:r>
      <w:r w:rsidRPr="00746DA5">
        <w:rPr>
          <w:b/>
        </w:rPr>
        <w:t xml:space="preserve"> with the </w:t>
      </w:r>
      <w:r w:rsidR="00D90291" w:rsidRPr="00746DA5">
        <w:rPr>
          <w:b/>
        </w:rPr>
        <w:t>observed decline in hydro generation between rate case filings?</w:t>
      </w:r>
    </w:p>
    <w:p w:rsidR="00D90291" w:rsidRDefault="00D90291" w:rsidP="00A217A9">
      <w:pPr>
        <w:pStyle w:val="BodyTextIndent"/>
        <w:rPr>
          <w:bCs/>
        </w:rPr>
      </w:pPr>
      <w:r>
        <w:t>A.</w:t>
      </w:r>
      <w:r>
        <w:tab/>
      </w:r>
      <w:r w:rsidR="00746DA5">
        <w:t>The Company</w:t>
      </w:r>
      <w:r w:rsidR="00274C12">
        <w:t>’s</w:t>
      </w:r>
      <w:r w:rsidR="00746DA5">
        <w:t xml:space="preserve"> use of a different set of hydro generation parameters violate</w:t>
      </w:r>
      <w:r w:rsidR="00307CBE">
        <w:t>s</w:t>
      </w:r>
      <w:r w:rsidR="00746DA5">
        <w:t xml:space="preserve"> the spirit of the </w:t>
      </w:r>
      <w:r w:rsidR="00746DA5">
        <w:rPr>
          <w:bCs/>
        </w:rPr>
        <w:t xml:space="preserve">“make-whole rate filing approach” </w:t>
      </w:r>
      <w:r w:rsidR="00307CBE">
        <w:rPr>
          <w:bCs/>
        </w:rPr>
        <w:t xml:space="preserve">of this proceeding.  The Company did not identify the proposed change, nor did it provide specific testimony, exhibits, or </w:t>
      </w:r>
      <w:proofErr w:type="spellStart"/>
      <w:r w:rsidR="00307CBE">
        <w:rPr>
          <w:bCs/>
        </w:rPr>
        <w:t>workpapers</w:t>
      </w:r>
      <w:proofErr w:type="spellEnd"/>
      <w:r w:rsidR="00307CBE">
        <w:rPr>
          <w:bCs/>
        </w:rPr>
        <w:t xml:space="preserve"> supporting the decrease.  I do not believe it is sufficient to cite an inadvertent error from the pr</w:t>
      </w:r>
      <w:r w:rsidR="00842632">
        <w:rPr>
          <w:bCs/>
        </w:rPr>
        <w:t>e</w:t>
      </w:r>
      <w:r w:rsidR="00307CBE">
        <w:rPr>
          <w:bCs/>
        </w:rPr>
        <w:t>c</w:t>
      </w:r>
      <w:r w:rsidR="00842632">
        <w:rPr>
          <w:bCs/>
        </w:rPr>
        <w:t>e</w:t>
      </w:r>
      <w:r w:rsidR="00307CBE">
        <w:rPr>
          <w:bCs/>
        </w:rPr>
        <w:t xml:space="preserve">ding case as reason for the accepting the change without support.  As indicated by the extent of the information provided by the Company in its Supplemental Response to ICNU Data Request 6.10, the relationship between changes in forced outages and the actual output of multi-unit hydro generation facilities is a complicated one and its review is beyond the scope of a “make-whole” rate filing.   </w:t>
      </w:r>
      <w:r w:rsidR="000C03E0">
        <w:rPr>
          <w:bCs/>
        </w:rPr>
        <w:t>It is not a</w:t>
      </w:r>
      <w:r w:rsidR="00274C12">
        <w:rPr>
          <w:bCs/>
        </w:rPr>
        <w:t>n update to a</w:t>
      </w:r>
      <w:r w:rsidR="000C03E0">
        <w:rPr>
          <w:bCs/>
        </w:rPr>
        <w:t xml:space="preserve"> contract or market price forecas</w:t>
      </w:r>
      <w:r w:rsidR="00274C12">
        <w:rPr>
          <w:bCs/>
        </w:rPr>
        <w:t>t</w:t>
      </w:r>
      <w:r w:rsidR="000C03E0">
        <w:rPr>
          <w:bCs/>
        </w:rPr>
        <w:t>.</w:t>
      </w:r>
      <w:r w:rsidR="000F62ED">
        <w:rPr>
          <w:bCs/>
        </w:rPr>
        <w:t xml:space="preserve">  For purposes of this proceeding, the change in methodology should not be allowed.  The equivalent hydro generation</w:t>
      </w:r>
      <w:r w:rsidR="0035768F">
        <w:rPr>
          <w:bCs/>
        </w:rPr>
        <w:t xml:space="preserve"> </w:t>
      </w:r>
      <w:r w:rsidR="005D44EC">
        <w:rPr>
          <w:bCs/>
        </w:rPr>
        <w:t>that</w:t>
      </w:r>
      <w:r w:rsidR="000F62ED">
        <w:rPr>
          <w:bCs/>
        </w:rPr>
        <w:t xml:space="preserve"> was used in the previous rate case filing</w:t>
      </w:r>
      <w:r w:rsidR="0035768F">
        <w:rPr>
          <w:bCs/>
        </w:rPr>
        <w:t xml:space="preserve">, with the exception of Condit generation, </w:t>
      </w:r>
      <w:r w:rsidR="000F62ED">
        <w:rPr>
          <w:bCs/>
        </w:rPr>
        <w:t>should be used for purposes of this “make-whole” filing.</w:t>
      </w:r>
    </w:p>
    <w:p w:rsidR="000C03E0" w:rsidRDefault="000C03E0" w:rsidP="00A217A9">
      <w:pPr>
        <w:pStyle w:val="BodyTextIndent"/>
        <w:rPr>
          <w:bCs/>
        </w:rPr>
      </w:pPr>
    </w:p>
    <w:p w:rsidR="005B26E1" w:rsidRDefault="005B26E1" w:rsidP="00A217A9">
      <w:pPr>
        <w:pStyle w:val="BodyTextIndent"/>
        <w:rPr>
          <w:b/>
          <w:bCs/>
        </w:rPr>
      </w:pPr>
    </w:p>
    <w:p w:rsidR="000C03E0" w:rsidRPr="00FC4C33" w:rsidRDefault="000C03E0" w:rsidP="00A217A9">
      <w:pPr>
        <w:pStyle w:val="BodyTextIndent"/>
        <w:rPr>
          <w:b/>
          <w:bCs/>
        </w:rPr>
      </w:pPr>
      <w:r w:rsidRPr="00FC4C33">
        <w:rPr>
          <w:b/>
          <w:bCs/>
        </w:rPr>
        <w:lastRenderedPageBreak/>
        <w:t>Q.</w:t>
      </w:r>
      <w:r w:rsidRPr="00FC4C33">
        <w:rPr>
          <w:b/>
          <w:bCs/>
        </w:rPr>
        <w:tab/>
        <w:t>How did you determine your adjustment?</w:t>
      </w:r>
    </w:p>
    <w:p w:rsidR="000C03E0" w:rsidRDefault="000C03E0" w:rsidP="00A217A9">
      <w:pPr>
        <w:pStyle w:val="BodyTextIndent"/>
      </w:pPr>
      <w:r>
        <w:rPr>
          <w:bCs/>
        </w:rPr>
        <w:t>A.</w:t>
      </w:r>
      <w:r>
        <w:rPr>
          <w:bCs/>
        </w:rPr>
        <w:tab/>
        <w:t xml:space="preserve">I used the Company’s GRID model </w:t>
      </w:r>
      <w:proofErr w:type="spellStart"/>
      <w:r>
        <w:rPr>
          <w:bCs/>
        </w:rPr>
        <w:t>workpapers</w:t>
      </w:r>
      <w:proofErr w:type="spellEnd"/>
      <w:r>
        <w:rPr>
          <w:bCs/>
        </w:rPr>
        <w:t xml:space="preserve"> from this and the previous rate case to compare the difference in Western Control Area hydro generation by month.  </w:t>
      </w:r>
      <w:r w:rsidR="00D10A49">
        <w:rPr>
          <w:bCs/>
        </w:rPr>
        <w:t xml:space="preserve">I eliminated the generation related to the Condit facility which has been removed and the generation associated with the Company’s Mid-C project rights.  </w:t>
      </w:r>
      <w:r>
        <w:rPr>
          <w:bCs/>
        </w:rPr>
        <w:t xml:space="preserve">The </w:t>
      </w:r>
      <w:r w:rsidR="00D10A49">
        <w:rPr>
          <w:bCs/>
        </w:rPr>
        <w:t xml:space="preserve">remaining Company-owned hydro generation </w:t>
      </w:r>
      <w:r>
        <w:rPr>
          <w:bCs/>
        </w:rPr>
        <w:t>difference vari</w:t>
      </w:r>
      <w:r w:rsidR="00D10A49">
        <w:rPr>
          <w:bCs/>
        </w:rPr>
        <w:t>es</w:t>
      </w:r>
      <w:r>
        <w:rPr>
          <w:bCs/>
        </w:rPr>
        <w:t xml:space="preserve"> by month, with most </w:t>
      </w:r>
      <w:r w:rsidR="00D10A49">
        <w:rPr>
          <w:bCs/>
        </w:rPr>
        <w:t xml:space="preserve">months experiencing a decrease in generation as compared to the previous general rate case.  To determine an adjustment amount, I effectively added the lost </w:t>
      </w:r>
      <w:r w:rsidR="00FC4C33">
        <w:rPr>
          <w:bCs/>
        </w:rPr>
        <w:t xml:space="preserve">generation back into </w:t>
      </w:r>
      <w:r w:rsidR="00D10A49">
        <w:rPr>
          <w:bCs/>
        </w:rPr>
        <w:t xml:space="preserve">  </w:t>
      </w:r>
      <w:r w:rsidR="00FC4C33">
        <w:t xml:space="preserve">pro forma normalized net power costs as a revenue </w:t>
      </w:r>
      <w:r w:rsidR="009B47A8">
        <w:t xml:space="preserve">credit </w:t>
      </w:r>
      <w:r w:rsidR="00FC4C33">
        <w:t>by pricing that generation at the C</w:t>
      </w:r>
      <w:r w:rsidR="005D44EC">
        <w:t>alifornia/Oregon Border</w:t>
      </w:r>
      <w:r w:rsidR="00FC4C33">
        <w:t xml:space="preserve"> </w:t>
      </w:r>
      <w:r w:rsidR="005D44EC">
        <w:t xml:space="preserve">(“COB”) </w:t>
      </w:r>
      <w:r w:rsidR="00FC4C33">
        <w:t>electric market prices used in the GRID model.  To more accurately reflect the monthly shape of the generation differences, I used average monthly COB electric prices.</w:t>
      </w:r>
    </w:p>
    <w:p w:rsidR="00FC4C33" w:rsidRDefault="00FC4C33" w:rsidP="00A217A9">
      <w:pPr>
        <w:pStyle w:val="BodyTextIndent"/>
      </w:pPr>
    </w:p>
    <w:p w:rsidR="00FC4C33" w:rsidRPr="00D148F7" w:rsidRDefault="00FC4C33" w:rsidP="00A217A9">
      <w:pPr>
        <w:pStyle w:val="BodyTextIndent"/>
        <w:rPr>
          <w:b/>
        </w:rPr>
      </w:pPr>
      <w:r w:rsidRPr="00D148F7">
        <w:rPr>
          <w:b/>
        </w:rPr>
        <w:t>Q.</w:t>
      </w:r>
      <w:r w:rsidRPr="00D148F7">
        <w:rPr>
          <w:b/>
        </w:rPr>
        <w:tab/>
        <w:t xml:space="preserve">What is the amount of your proposed </w:t>
      </w:r>
      <w:r w:rsidR="00D148F7">
        <w:rPr>
          <w:b/>
        </w:rPr>
        <w:t xml:space="preserve">Hydro Generation </w:t>
      </w:r>
      <w:r w:rsidRPr="00D148F7">
        <w:rPr>
          <w:b/>
        </w:rPr>
        <w:t>adjustment?</w:t>
      </w:r>
    </w:p>
    <w:p w:rsidR="009B47A8" w:rsidRDefault="00FC4C33" w:rsidP="00A217A9">
      <w:pPr>
        <w:pStyle w:val="BodyTextIndent"/>
      </w:pPr>
      <w:r>
        <w:t>A.</w:t>
      </w:r>
      <w:r>
        <w:tab/>
        <w:t>My adjustment decreases Western Control Area pro forma normalized net power costs by $3,089,637</w:t>
      </w:r>
      <w:r w:rsidR="005D44EC">
        <w:t>,</w:t>
      </w:r>
      <w:r>
        <w:t xml:space="preserve"> which equates to a decrease in Washington-allocated pro forma normalized net power costs of approximately $</w:t>
      </w:r>
      <w:r w:rsidR="009B47A8">
        <w:t>6</w:t>
      </w:r>
      <w:r w:rsidR="00274C12">
        <w:t>94,371</w:t>
      </w:r>
      <w:r>
        <w:t xml:space="preserve"> at the expense level</w:t>
      </w:r>
      <w:r w:rsidR="009B47A8">
        <w:t xml:space="preserve"> based on the CAGW allocator of 22.</w:t>
      </w:r>
      <w:r w:rsidR="00274C12">
        <w:t>4742</w:t>
      </w:r>
      <w:r w:rsidR="009B47A8">
        <w:t>%</w:t>
      </w:r>
      <w:r>
        <w:t>.</w:t>
      </w:r>
    </w:p>
    <w:p w:rsidR="00E0216E" w:rsidRDefault="00E0216E" w:rsidP="00A217A9">
      <w:pPr>
        <w:pStyle w:val="BodyTextIndent"/>
      </w:pPr>
      <w:r>
        <w:tab/>
      </w:r>
    </w:p>
    <w:p w:rsidR="00BC4FEC" w:rsidRDefault="00FC4C33" w:rsidP="004A04B7">
      <w:pPr>
        <w:pStyle w:val="BodyTextIndent"/>
        <w:ind w:left="0" w:firstLine="0"/>
        <w:rPr>
          <w:b/>
        </w:rPr>
      </w:pPr>
      <w:r>
        <w:rPr>
          <w:b/>
        </w:rPr>
        <w:t>B</w:t>
      </w:r>
      <w:r w:rsidR="00E65FAF">
        <w:rPr>
          <w:b/>
        </w:rPr>
        <w:t>.</w:t>
      </w:r>
      <w:r w:rsidR="00E65FAF">
        <w:rPr>
          <w:b/>
        </w:rPr>
        <w:tab/>
      </w:r>
      <w:r w:rsidR="00E65FAF" w:rsidRPr="00E65FAF">
        <w:rPr>
          <w:b/>
        </w:rPr>
        <w:t xml:space="preserve"> Update</w:t>
      </w:r>
      <w:r>
        <w:rPr>
          <w:b/>
        </w:rPr>
        <w:t xml:space="preserve"> Adjustment</w:t>
      </w:r>
      <w:r w:rsidR="00F3756B">
        <w:rPr>
          <w:b/>
        </w:rPr>
        <w:t>s</w:t>
      </w:r>
    </w:p>
    <w:p w:rsidR="004A04B7" w:rsidRDefault="004A04B7" w:rsidP="004A04B7">
      <w:pPr>
        <w:pStyle w:val="BodyTextIndent"/>
        <w:ind w:left="0" w:firstLine="0"/>
      </w:pPr>
    </w:p>
    <w:p w:rsidR="000B0A46" w:rsidRDefault="002A6C2F" w:rsidP="009A5C7E">
      <w:pPr>
        <w:pStyle w:val="BodyTextIndent"/>
      </w:pPr>
      <w:r w:rsidRPr="002A6C2F">
        <w:rPr>
          <w:b/>
        </w:rPr>
        <w:t>Q.</w:t>
      </w:r>
      <w:r w:rsidRPr="002A6C2F">
        <w:rPr>
          <w:b/>
        </w:rPr>
        <w:tab/>
      </w:r>
      <w:r w:rsidR="00E65FAF">
        <w:rPr>
          <w:b/>
        </w:rPr>
        <w:t>You</w:t>
      </w:r>
      <w:r w:rsidR="0035768F">
        <w:rPr>
          <w:b/>
        </w:rPr>
        <w:t xml:space="preserve"> have several </w:t>
      </w:r>
      <w:r w:rsidR="00E65FAF">
        <w:rPr>
          <w:b/>
        </w:rPr>
        <w:t>adjustment</w:t>
      </w:r>
      <w:r w:rsidR="002F005A">
        <w:rPr>
          <w:b/>
        </w:rPr>
        <w:t>s</w:t>
      </w:r>
      <w:r w:rsidR="00E65FAF">
        <w:rPr>
          <w:b/>
        </w:rPr>
        <w:t xml:space="preserve"> </w:t>
      </w:r>
      <w:r w:rsidR="0035768F">
        <w:rPr>
          <w:b/>
        </w:rPr>
        <w:t>under the label</w:t>
      </w:r>
      <w:r w:rsidR="000B0A46">
        <w:rPr>
          <w:b/>
        </w:rPr>
        <w:t xml:space="preserve"> “</w:t>
      </w:r>
      <w:r w:rsidR="00FC4C33">
        <w:rPr>
          <w:b/>
        </w:rPr>
        <w:t>Update Adjustment</w:t>
      </w:r>
      <w:r w:rsidR="00F3756B">
        <w:rPr>
          <w:b/>
        </w:rPr>
        <w:t>s</w:t>
      </w:r>
      <w:r w:rsidR="000B0A46">
        <w:rPr>
          <w:b/>
        </w:rPr>
        <w:t xml:space="preserve">” in Exhibit No. </w:t>
      </w:r>
      <w:proofErr w:type="gramStart"/>
      <w:r w:rsidR="000B0A46">
        <w:rPr>
          <w:b/>
        </w:rPr>
        <w:t>_</w:t>
      </w:r>
      <w:r w:rsidR="00842632">
        <w:rPr>
          <w:b/>
        </w:rPr>
        <w:t>_</w:t>
      </w:r>
      <w:r w:rsidR="000B0A46">
        <w:rPr>
          <w:b/>
        </w:rPr>
        <w:t>_ (APB-</w:t>
      </w:r>
      <w:r w:rsidR="000B0A46" w:rsidRPr="00E65FAF">
        <w:rPr>
          <w:b/>
        </w:rPr>
        <w:t>2</w:t>
      </w:r>
      <w:r w:rsidR="0035768F">
        <w:rPr>
          <w:b/>
        </w:rPr>
        <w:t>C</w:t>
      </w:r>
      <w:r w:rsidR="000B0A46" w:rsidRPr="00E65FAF">
        <w:rPr>
          <w:b/>
        </w:rPr>
        <w:t>)</w:t>
      </w:r>
      <w:r w:rsidRPr="002A6C2F">
        <w:rPr>
          <w:b/>
        </w:rPr>
        <w:t>.</w:t>
      </w:r>
      <w:proofErr w:type="gramEnd"/>
      <w:r w:rsidRPr="002A6C2F">
        <w:rPr>
          <w:b/>
        </w:rPr>
        <w:t xml:space="preserve">  Please explain the context of th</w:t>
      </w:r>
      <w:r w:rsidR="0035768F">
        <w:rPr>
          <w:b/>
        </w:rPr>
        <w:t>ese</w:t>
      </w:r>
      <w:r w:rsidRPr="002A6C2F">
        <w:rPr>
          <w:b/>
        </w:rPr>
        <w:t xml:space="preserve"> adjustment</w:t>
      </w:r>
      <w:r w:rsidR="0035768F">
        <w:rPr>
          <w:b/>
        </w:rPr>
        <w:t>s</w:t>
      </w:r>
      <w:r w:rsidRPr="002A6C2F">
        <w:rPr>
          <w:b/>
        </w:rPr>
        <w:t>.</w:t>
      </w:r>
    </w:p>
    <w:p w:rsidR="00DD681C" w:rsidRDefault="000B0A46" w:rsidP="000D2EF5">
      <w:pPr>
        <w:pStyle w:val="BodyTextIndent"/>
      </w:pPr>
      <w:r>
        <w:lastRenderedPageBreak/>
        <w:t>A.</w:t>
      </w:r>
      <w:r w:rsidR="00114F0D">
        <w:tab/>
        <w:t>The Commission has recently allow</w:t>
      </w:r>
      <w:r w:rsidR="00160988">
        <w:t>ed</w:t>
      </w:r>
      <w:r w:rsidR="002F0C9F">
        <w:t xml:space="preserve"> electric utilities to update certain costs during the general rate case process, as long as there is a suitable transparency to the calculation and </w:t>
      </w:r>
      <w:r w:rsidR="00E65FAF">
        <w:t xml:space="preserve">adequate time for other parties to </w:t>
      </w:r>
      <w:r w:rsidR="002F0C9F">
        <w:t xml:space="preserve">review the updated amounts.  Typically, those updates have been limited to </w:t>
      </w:r>
      <w:r w:rsidR="00DD681C">
        <w:t xml:space="preserve">forecasted </w:t>
      </w:r>
      <w:r w:rsidR="002F0C9F">
        <w:t xml:space="preserve">gas </w:t>
      </w:r>
      <w:r w:rsidR="00DD681C">
        <w:t xml:space="preserve">and electric market </w:t>
      </w:r>
      <w:r w:rsidR="002F0C9F">
        <w:t xml:space="preserve">prices, new firm contracts, or budget updates from third party owners of resources such as the Mid-Columbia project owners.  This transparency is </w:t>
      </w:r>
      <w:r w:rsidR="00E65FAF">
        <w:t>critical,</w:t>
      </w:r>
      <w:r w:rsidR="002F0C9F">
        <w:t xml:space="preserve"> given the timing </w:t>
      </w:r>
      <w:r w:rsidR="00C72623">
        <w:t>of when the updates are allowed to occur</w:t>
      </w:r>
      <w:r w:rsidR="002F0C9F">
        <w:t xml:space="preserve">.  </w:t>
      </w:r>
      <w:r w:rsidR="0035768F">
        <w:t>It is critical that these updates be limited to items that can be readily audited and evaluated, preferably using generally available public or industry information.</w:t>
      </w:r>
    </w:p>
    <w:p w:rsidR="00BC4FEC" w:rsidRDefault="00DD681C" w:rsidP="00287128">
      <w:pPr>
        <w:pStyle w:val="BodyTextIndent"/>
      </w:pPr>
      <w:r>
        <w:tab/>
      </w:r>
      <w:r w:rsidR="00C72623">
        <w:tab/>
      </w:r>
    </w:p>
    <w:p w:rsidR="00DD681C" w:rsidRPr="000E1601" w:rsidRDefault="00F02D63" w:rsidP="00DD681C">
      <w:pPr>
        <w:pStyle w:val="BodyTextIndent"/>
        <w:rPr>
          <w:b/>
        </w:rPr>
      </w:pPr>
      <w:r w:rsidRPr="004A5216">
        <w:rPr>
          <w:b/>
        </w:rPr>
        <w:t>Q.</w:t>
      </w:r>
      <w:r w:rsidRPr="004A5216">
        <w:rPr>
          <w:b/>
        </w:rPr>
        <w:tab/>
      </w:r>
      <w:r w:rsidRPr="000E1601">
        <w:rPr>
          <w:b/>
        </w:rPr>
        <w:t xml:space="preserve">Has the Company </w:t>
      </w:r>
      <w:r w:rsidR="000E1601" w:rsidRPr="000E1601">
        <w:rPr>
          <w:b/>
        </w:rPr>
        <w:t>proposed to</w:t>
      </w:r>
      <w:r w:rsidR="00160988" w:rsidRPr="000E1601">
        <w:rPr>
          <w:b/>
        </w:rPr>
        <w:t xml:space="preserve"> update its</w:t>
      </w:r>
      <w:r w:rsidRPr="000E1601">
        <w:rPr>
          <w:b/>
        </w:rPr>
        <w:t xml:space="preserve"> </w:t>
      </w:r>
      <w:r w:rsidR="000E1601" w:rsidRPr="000E1601">
        <w:rPr>
          <w:b/>
        </w:rPr>
        <w:t xml:space="preserve">Washington-allocated pro forma normalized net power costs </w:t>
      </w:r>
      <w:r w:rsidR="00354D44">
        <w:rPr>
          <w:b/>
        </w:rPr>
        <w:t>in</w:t>
      </w:r>
      <w:r w:rsidR="000E1601" w:rsidRPr="000E1601">
        <w:rPr>
          <w:b/>
        </w:rPr>
        <w:t xml:space="preserve"> this case</w:t>
      </w:r>
      <w:r w:rsidRPr="000E1601">
        <w:rPr>
          <w:b/>
        </w:rPr>
        <w:t>?</w:t>
      </w:r>
    </w:p>
    <w:p w:rsidR="00F02D63" w:rsidRDefault="00F02D63" w:rsidP="00DD681C">
      <w:pPr>
        <w:pStyle w:val="BodyTextIndent"/>
      </w:pPr>
      <w:r>
        <w:t>A.</w:t>
      </w:r>
      <w:r>
        <w:tab/>
      </w:r>
      <w:r w:rsidR="000E1601">
        <w:t xml:space="preserve">Only </w:t>
      </w:r>
      <w:r w:rsidR="0035768F">
        <w:t xml:space="preserve">explicitly </w:t>
      </w:r>
      <w:r w:rsidR="000E1601">
        <w:t xml:space="preserve">in the context of the final BPA rate case decision.  </w:t>
      </w:r>
      <w:r w:rsidR="00354D44">
        <w:t>Exhibit No.</w:t>
      </w:r>
      <w:r w:rsidR="00842632">
        <w:t xml:space="preserve"> </w:t>
      </w:r>
      <w:r w:rsidR="00354D44">
        <w:t>___</w:t>
      </w:r>
      <w:r w:rsidR="00842632">
        <w:t xml:space="preserve"> </w:t>
      </w:r>
      <w:r w:rsidR="00354D44">
        <w:t>(GND-1T</w:t>
      </w:r>
      <w:r w:rsidR="0035768F">
        <w:t>)</w:t>
      </w:r>
      <w:r w:rsidR="00354D44">
        <w:t>, p.9, line</w:t>
      </w:r>
      <w:r w:rsidR="005D44EC">
        <w:t>s</w:t>
      </w:r>
      <w:r w:rsidR="00354D44">
        <w:t xml:space="preserve"> 10-12</w:t>
      </w:r>
      <w:r w:rsidR="005D44EC">
        <w:t xml:space="preserve">. </w:t>
      </w:r>
      <w:r w:rsidR="00354D44">
        <w:t xml:space="preserve">  </w:t>
      </w:r>
      <w:r w:rsidR="000E1601">
        <w:t>However, on two occasions</w:t>
      </w:r>
      <w:r w:rsidR="00842632">
        <w:t>,</w:t>
      </w:r>
      <w:r w:rsidR="000E1601">
        <w:t xml:space="preserve"> Staff has asked the Company to update its net power costs using the latest available electric and gas forward price curves.</w:t>
      </w:r>
      <w:r w:rsidR="00354D44">
        <w:t xml:space="preserve">  Exhibit No.___</w:t>
      </w:r>
      <w:r w:rsidR="00842632">
        <w:t xml:space="preserve"> </w:t>
      </w:r>
      <w:r w:rsidR="00354D44">
        <w:t xml:space="preserve">(APB-4) contains the non-confidential narrative response and summary sheet from the Company’s response to </w:t>
      </w:r>
      <w:r w:rsidR="00A75820">
        <w:t>UTC</w:t>
      </w:r>
      <w:r w:rsidR="00ED44F9">
        <w:t xml:space="preserve"> </w:t>
      </w:r>
      <w:r w:rsidR="005647F8">
        <w:t>Staff</w:t>
      </w:r>
      <w:r w:rsidR="00354D44">
        <w:t xml:space="preserve"> Data Requests 91 and 101.  The </w:t>
      </w:r>
      <w:r w:rsidR="0035768F">
        <w:t xml:space="preserve">Company </w:t>
      </w:r>
      <w:r w:rsidR="00354D44">
        <w:t>narrative provides a brief explanation of updates to power supply costs made by the Company in response to the data requests</w:t>
      </w:r>
      <w:r w:rsidR="005D44EC">
        <w:t>,</w:t>
      </w:r>
      <w:r w:rsidR="00354D44">
        <w:t xml:space="preserve"> and the summary provides the numbers attached to those updates.</w:t>
      </w:r>
    </w:p>
    <w:p w:rsidR="00F36F9F" w:rsidRDefault="00F36F9F" w:rsidP="00DD681C">
      <w:pPr>
        <w:pStyle w:val="BodyTextIndent"/>
      </w:pPr>
    </w:p>
    <w:p w:rsidR="005B26E1" w:rsidRDefault="005B26E1" w:rsidP="00DD681C">
      <w:pPr>
        <w:pStyle w:val="BodyTextIndent"/>
        <w:rPr>
          <w:b/>
        </w:rPr>
      </w:pPr>
    </w:p>
    <w:p w:rsidR="00F36F9F" w:rsidRPr="00F36F9F" w:rsidRDefault="00F36F9F" w:rsidP="00DD681C">
      <w:pPr>
        <w:pStyle w:val="BodyTextIndent"/>
        <w:rPr>
          <w:b/>
        </w:rPr>
      </w:pPr>
      <w:r w:rsidRPr="00F36F9F">
        <w:rPr>
          <w:b/>
        </w:rPr>
        <w:lastRenderedPageBreak/>
        <w:t>Q.</w:t>
      </w:r>
      <w:r w:rsidRPr="00F36F9F">
        <w:rPr>
          <w:b/>
        </w:rPr>
        <w:tab/>
        <w:t>Are you satisfied with the overall results of the updates identified by the Company in the data responses?</w:t>
      </w:r>
    </w:p>
    <w:p w:rsidR="00F36F9F" w:rsidRDefault="00F36F9F" w:rsidP="00DD681C">
      <w:pPr>
        <w:pStyle w:val="BodyTextIndent"/>
      </w:pPr>
      <w:r>
        <w:t>A.</w:t>
      </w:r>
      <w:r>
        <w:tab/>
        <w:t>No.  I have three princip</w:t>
      </w:r>
      <w:r w:rsidR="005D44EC">
        <w:t>al</w:t>
      </w:r>
      <w:r>
        <w:t xml:space="preserve"> issues with the Company’s updates, </w:t>
      </w:r>
      <w:r w:rsidR="00261BD9">
        <w:t xml:space="preserve">two </w:t>
      </w:r>
      <w:r>
        <w:t xml:space="preserve">of which can be addressed in this proceeding, and one </w:t>
      </w:r>
      <w:r w:rsidR="00842632">
        <w:t>that</w:t>
      </w:r>
      <w:r>
        <w:t xml:space="preserve"> will require some additional action on </w:t>
      </w:r>
      <w:r w:rsidR="00261BD9">
        <w:t xml:space="preserve">the </w:t>
      </w:r>
      <w:r>
        <w:t xml:space="preserve">part of the </w:t>
      </w:r>
      <w:r w:rsidR="00346E28">
        <w:t xml:space="preserve">Commission and </w:t>
      </w:r>
      <w:r>
        <w:t xml:space="preserve">Company.  First, any increases, or decreases, in net power costs associated with the amount identified as “Updated Coal Costs” should not be allowed in the proceeding.  Second, although I will identify </w:t>
      </w:r>
      <w:r w:rsidR="00346E28">
        <w:t xml:space="preserve">update </w:t>
      </w:r>
      <w:r>
        <w:t>adjustment</w:t>
      </w:r>
      <w:r w:rsidR="00346E28">
        <w:t>s</w:t>
      </w:r>
      <w:r>
        <w:t xml:space="preserve"> in my testimony and in Exhibit No.</w:t>
      </w:r>
      <w:r w:rsidR="00842632">
        <w:t xml:space="preserve"> </w:t>
      </w:r>
      <w:r>
        <w:t>___</w:t>
      </w:r>
      <w:r w:rsidR="00842632">
        <w:t xml:space="preserve"> </w:t>
      </w:r>
      <w:r>
        <w:t>(APB-2</w:t>
      </w:r>
      <w:r w:rsidR="00346E28">
        <w:t>C</w:t>
      </w:r>
      <w:r>
        <w:t>)</w:t>
      </w:r>
      <w:r w:rsidR="00066EFD">
        <w:t xml:space="preserve">, </w:t>
      </w:r>
      <w:r>
        <w:t xml:space="preserve">it should be understood that </w:t>
      </w:r>
      <w:r w:rsidR="00D61CD1">
        <w:t xml:space="preserve">several of </w:t>
      </w:r>
      <w:r w:rsidR="00066EFD">
        <w:t xml:space="preserve">the </w:t>
      </w:r>
      <w:r w:rsidR="00D61CD1">
        <w:t>proposed adjustments</w:t>
      </w:r>
      <w:r w:rsidR="00346E28">
        <w:t xml:space="preserve"> </w:t>
      </w:r>
      <w:r w:rsidR="00D61CD1">
        <w:t>shown on Exhibit No.</w:t>
      </w:r>
      <w:r w:rsidR="00842632">
        <w:t xml:space="preserve"> </w:t>
      </w:r>
      <w:r w:rsidR="00D61CD1">
        <w:t>___</w:t>
      </w:r>
      <w:r w:rsidR="00842632">
        <w:t xml:space="preserve"> </w:t>
      </w:r>
      <w:r w:rsidR="00D61CD1">
        <w:t xml:space="preserve">(APB-2C) </w:t>
      </w:r>
      <w:r w:rsidR="00346E28">
        <w:t>are</w:t>
      </w:r>
      <w:r>
        <w:t xml:space="preserve"> based on already out-of-date </w:t>
      </w:r>
      <w:r w:rsidR="00066EFD">
        <w:t>forward gas market pricing</w:t>
      </w:r>
      <w:r w:rsidR="00D61CD1">
        <w:t>,</w:t>
      </w:r>
      <w:r w:rsidR="00066EFD">
        <w:t xml:space="preserve"> and therefore should be </w:t>
      </w:r>
      <w:r w:rsidR="00346E28">
        <w:t xml:space="preserve">further </w:t>
      </w:r>
      <w:r w:rsidR="00066EFD">
        <w:t>updated upon Commission order to reflect the latest available auditable pricing information.  Finally,</w:t>
      </w:r>
      <w:r w:rsidR="007A243F">
        <w:t xml:space="preserve"> in order to address </w:t>
      </w:r>
      <w:r w:rsidR="00376F12">
        <w:t xml:space="preserve">issues </w:t>
      </w:r>
      <w:r w:rsidR="00D61CD1">
        <w:t>arising out of the Company’s use of</w:t>
      </w:r>
      <w:r w:rsidR="007A243F">
        <w:t xml:space="preserve"> </w:t>
      </w:r>
      <w:r w:rsidR="00D416EE">
        <w:t>a proprietary</w:t>
      </w:r>
      <w:r w:rsidR="007A243F">
        <w:t xml:space="preserve"> </w:t>
      </w:r>
      <w:r w:rsidR="00D416EE">
        <w:t>dispatch model</w:t>
      </w:r>
      <w:r w:rsidR="00D61CD1">
        <w:t>, together</w:t>
      </w:r>
      <w:r w:rsidR="00376F12">
        <w:t xml:space="preserve"> with</w:t>
      </w:r>
      <w:r w:rsidR="00346E28">
        <w:t xml:space="preserve"> balancing </w:t>
      </w:r>
      <w:r w:rsidR="00D416EE">
        <w:t xml:space="preserve">the needs for </w:t>
      </w:r>
      <w:r w:rsidR="00376F12">
        <w:t xml:space="preserve">transparency and </w:t>
      </w:r>
      <w:r w:rsidR="00D416EE">
        <w:t>timely audit</w:t>
      </w:r>
      <w:r w:rsidR="00346E28">
        <w:t>ing</w:t>
      </w:r>
      <w:r w:rsidR="00D416EE">
        <w:t xml:space="preserve"> of updates</w:t>
      </w:r>
      <w:r w:rsidR="007A243F">
        <w:t xml:space="preserve">, </w:t>
      </w:r>
      <w:r w:rsidR="00066EFD">
        <w:t>the Commission should order the Company to u</w:t>
      </w:r>
      <w:r w:rsidR="00D61CD1">
        <w:t>se</w:t>
      </w:r>
      <w:r w:rsidR="00066EFD">
        <w:t xml:space="preserve"> </w:t>
      </w:r>
      <w:r w:rsidR="00D416EE">
        <w:t>a common commercially available dispatch model</w:t>
      </w:r>
      <w:r w:rsidR="00075A87">
        <w:t>,</w:t>
      </w:r>
      <w:r w:rsidR="00D416EE">
        <w:t xml:space="preserve"> such as </w:t>
      </w:r>
      <w:r w:rsidR="00346E28">
        <w:t>what is used by our other two regulated electric utilities</w:t>
      </w:r>
      <w:r w:rsidR="00066EFD">
        <w:t xml:space="preserve"> in general rate case and other proceedings before the Commission.</w:t>
      </w:r>
      <w:r w:rsidR="007A243F">
        <w:t xml:space="preserve">  Th</w:t>
      </w:r>
      <w:r w:rsidR="00D416EE">
        <w:t xml:space="preserve">e AURORA dispatch model </w:t>
      </w:r>
      <w:r w:rsidR="007A243F">
        <w:t xml:space="preserve">is presently being used by </w:t>
      </w:r>
      <w:r w:rsidR="00075A87">
        <w:t xml:space="preserve">both PSE and </w:t>
      </w:r>
      <w:proofErr w:type="spellStart"/>
      <w:r w:rsidR="00075A87">
        <w:t>Avista</w:t>
      </w:r>
      <w:proofErr w:type="spellEnd"/>
      <w:r w:rsidR="00D61CD1">
        <w:t xml:space="preserve">, </w:t>
      </w:r>
      <w:r w:rsidR="00746798">
        <w:t xml:space="preserve">with results </w:t>
      </w:r>
      <w:r w:rsidR="00D61CD1">
        <w:t xml:space="preserve">that are satisfactory to </w:t>
      </w:r>
      <w:proofErr w:type="gramStart"/>
      <w:r w:rsidR="00D61CD1">
        <w:t xml:space="preserve">both </w:t>
      </w:r>
      <w:r w:rsidR="009B2062">
        <w:t>c</w:t>
      </w:r>
      <w:r w:rsidR="00D61CD1">
        <w:t>ompanies</w:t>
      </w:r>
      <w:proofErr w:type="gramEnd"/>
      <w:r w:rsidR="00D61CD1">
        <w:t>, Staff, and</w:t>
      </w:r>
      <w:r w:rsidR="001B24D5">
        <w:t xml:space="preserve"> intervening parties.</w:t>
      </w:r>
    </w:p>
    <w:p w:rsidR="00D416EE" w:rsidRDefault="00D416EE" w:rsidP="00DD681C">
      <w:pPr>
        <w:pStyle w:val="BodyTextIndent"/>
      </w:pPr>
    </w:p>
    <w:p w:rsidR="001A46D5" w:rsidRPr="00E40F3A" w:rsidRDefault="00D416EE" w:rsidP="00DD681C">
      <w:pPr>
        <w:pStyle w:val="BodyTextIndent"/>
        <w:rPr>
          <w:b/>
        </w:rPr>
      </w:pPr>
      <w:r w:rsidRPr="00E40F3A">
        <w:rPr>
          <w:b/>
        </w:rPr>
        <w:t>Q.</w:t>
      </w:r>
      <w:r w:rsidRPr="00E40F3A">
        <w:rPr>
          <w:b/>
        </w:rPr>
        <w:tab/>
      </w:r>
      <w:r w:rsidR="002C527D" w:rsidRPr="00E40F3A">
        <w:rPr>
          <w:b/>
        </w:rPr>
        <w:t>You s</w:t>
      </w:r>
      <w:r w:rsidR="00D61CD1">
        <w:rPr>
          <w:b/>
        </w:rPr>
        <w:t>tate</w:t>
      </w:r>
      <w:r w:rsidR="002C527D" w:rsidRPr="00E40F3A">
        <w:rPr>
          <w:b/>
        </w:rPr>
        <w:t xml:space="preserve"> that the Commission should not allow net power costs to be updated for changes in coal prices as identified in the Company responses included in Exhibit No.</w:t>
      </w:r>
      <w:r w:rsidR="00842632">
        <w:rPr>
          <w:b/>
        </w:rPr>
        <w:t xml:space="preserve"> </w:t>
      </w:r>
      <w:proofErr w:type="gramStart"/>
      <w:r w:rsidR="002C527D" w:rsidRPr="00E40F3A">
        <w:rPr>
          <w:b/>
        </w:rPr>
        <w:t>___</w:t>
      </w:r>
      <w:r w:rsidR="00842632">
        <w:rPr>
          <w:b/>
        </w:rPr>
        <w:t xml:space="preserve"> </w:t>
      </w:r>
      <w:r w:rsidR="002C527D" w:rsidRPr="00E40F3A">
        <w:rPr>
          <w:b/>
        </w:rPr>
        <w:t>(APB-</w:t>
      </w:r>
      <w:r w:rsidR="009B47A8">
        <w:rPr>
          <w:b/>
        </w:rPr>
        <w:t>4</w:t>
      </w:r>
      <w:r w:rsidR="002C527D" w:rsidRPr="00E40F3A">
        <w:rPr>
          <w:b/>
        </w:rPr>
        <w:t>).</w:t>
      </w:r>
      <w:proofErr w:type="gramEnd"/>
      <w:r w:rsidR="002C527D" w:rsidRPr="00E40F3A">
        <w:rPr>
          <w:b/>
        </w:rPr>
        <w:t xml:space="preserve">  Please </w:t>
      </w:r>
      <w:r w:rsidR="00B47EE8">
        <w:rPr>
          <w:b/>
        </w:rPr>
        <w:t>e</w:t>
      </w:r>
      <w:r w:rsidR="002C527D" w:rsidRPr="00E40F3A">
        <w:rPr>
          <w:b/>
        </w:rPr>
        <w:t>xplain.</w:t>
      </w:r>
    </w:p>
    <w:p w:rsidR="00B47EE8" w:rsidRDefault="001A46D5" w:rsidP="00DD681C">
      <w:pPr>
        <w:pStyle w:val="BodyTextIndent"/>
        <w:rPr>
          <w:bCs/>
        </w:rPr>
      </w:pPr>
      <w:r>
        <w:lastRenderedPageBreak/>
        <w:t>A.</w:t>
      </w:r>
      <w:r>
        <w:tab/>
        <w:t>As part of the Company’s</w:t>
      </w:r>
      <w:r w:rsidR="00D148F7">
        <w:t xml:space="preserve"> d</w:t>
      </w:r>
      <w:r w:rsidR="00EF2FA7">
        <w:t xml:space="preserve">irect case and </w:t>
      </w:r>
      <w:r w:rsidR="00EF2FA7">
        <w:rPr>
          <w:bCs/>
        </w:rPr>
        <w:t>“make-whole rate filing approach” in this filing</w:t>
      </w:r>
      <w:r w:rsidR="007B5769">
        <w:rPr>
          <w:bCs/>
        </w:rPr>
        <w:t>,</w:t>
      </w:r>
      <w:r w:rsidR="00EF2FA7">
        <w:rPr>
          <w:bCs/>
        </w:rPr>
        <w:t xml:space="preserve"> </w:t>
      </w:r>
      <w:r w:rsidR="00B47EE8">
        <w:rPr>
          <w:bCs/>
        </w:rPr>
        <w:t xml:space="preserve">the Company provides </w:t>
      </w:r>
      <w:r w:rsidR="00EF2FA7">
        <w:rPr>
          <w:bCs/>
        </w:rPr>
        <w:t xml:space="preserve">testimony, exhibits, and </w:t>
      </w:r>
      <w:proofErr w:type="spellStart"/>
      <w:r w:rsidR="00EF2FA7">
        <w:rPr>
          <w:bCs/>
        </w:rPr>
        <w:t>workpapers</w:t>
      </w:r>
      <w:proofErr w:type="spellEnd"/>
      <w:r w:rsidR="00EF2FA7">
        <w:rPr>
          <w:bCs/>
        </w:rPr>
        <w:t xml:space="preserve"> supporting a</w:t>
      </w:r>
      <w:r w:rsidR="00B47EE8">
        <w:rPr>
          <w:bCs/>
        </w:rPr>
        <w:t xml:space="preserve"> significant</w:t>
      </w:r>
      <w:r w:rsidR="00EF2FA7">
        <w:rPr>
          <w:bCs/>
        </w:rPr>
        <w:t xml:space="preserve"> increase in coal prices since the 2010 Rate Case.</w:t>
      </w:r>
      <w:r w:rsidR="005647F8">
        <w:rPr>
          <w:bCs/>
        </w:rPr>
        <w:t xml:space="preserve"> </w:t>
      </w:r>
      <w:r w:rsidR="00B47EE8">
        <w:rPr>
          <w:bCs/>
        </w:rPr>
        <w:t xml:space="preserve"> </w:t>
      </w:r>
      <w:r w:rsidR="005647F8">
        <w:rPr>
          <w:bCs/>
        </w:rPr>
        <w:t>E</w:t>
      </w:r>
      <w:r w:rsidR="00EF2FA7">
        <w:rPr>
          <w:bCs/>
        </w:rPr>
        <w:t>xhibit No.</w:t>
      </w:r>
      <w:r w:rsidR="00842632">
        <w:rPr>
          <w:bCs/>
        </w:rPr>
        <w:t xml:space="preserve"> </w:t>
      </w:r>
      <w:proofErr w:type="gramStart"/>
      <w:r w:rsidR="00EF2FA7">
        <w:rPr>
          <w:bCs/>
        </w:rPr>
        <w:t>___</w:t>
      </w:r>
      <w:r w:rsidR="00842632">
        <w:rPr>
          <w:bCs/>
        </w:rPr>
        <w:t xml:space="preserve"> </w:t>
      </w:r>
      <w:r w:rsidR="00EF2FA7">
        <w:rPr>
          <w:bCs/>
        </w:rPr>
        <w:t>(CAC-1CT)</w:t>
      </w:r>
      <w:r w:rsidR="00842632">
        <w:rPr>
          <w:bCs/>
        </w:rPr>
        <w:t>.</w:t>
      </w:r>
      <w:proofErr w:type="gramEnd"/>
      <w:r w:rsidR="00EF2FA7">
        <w:rPr>
          <w:bCs/>
        </w:rPr>
        <w:t xml:space="preserve">  </w:t>
      </w:r>
      <w:proofErr w:type="gramStart"/>
      <w:r w:rsidR="00EF2FA7">
        <w:rPr>
          <w:bCs/>
        </w:rPr>
        <w:t>The</w:t>
      </w:r>
      <w:proofErr w:type="gramEnd"/>
      <w:r w:rsidR="00EF2FA7">
        <w:rPr>
          <w:bCs/>
        </w:rPr>
        <w:t xml:space="preserve"> increase </w:t>
      </w:r>
      <w:r w:rsidR="007B5769">
        <w:rPr>
          <w:bCs/>
        </w:rPr>
        <w:t xml:space="preserve">discussed in the Company’s direct case </w:t>
      </w:r>
      <w:r w:rsidR="00EF2FA7">
        <w:rPr>
          <w:bCs/>
        </w:rPr>
        <w:t xml:space="preserve">is principally related to costs at the mines serving the Company’s Jim Bridger plant.  </w:t>
      </w:r>
      <w:r w:rsidR="00A56139">
        <w:rPr>
          <w:bCs/>
        </w:rPr>
        <w:t>Later in th</w:t>
      </w:r>
      <w:r w:rsidR="00B47EE8">
        <w:rPr>
          <w:bCs/>
        </w:rPr>
        <w:t>is</w:t>
      </w:r>
      <w:r w:rsidR="00A56139">
        <w:rPr>
          <w:bCs/>
        </w:rPr>
        <w:t xml:space="preserve"> proceeding</w:t>
      </w:r>
      <w:r w:rsidR="00EF2FA7">
        <w:rPr>
          <w:bCs/>
        </w:rPr>
        <w:t xml:space="preserve">, in response to both </w:t>
      </w:r>
      <w:r w:rsidR="00A75820">
        <w:rPr>
          <w:bCs/>
        </w:rPr>
        <w:t>UTC</w:t>
      </w:r>
      <w:r w:rsidR="00ED44F9">
        <w:rPr>
          <w:bCs/>
        </w:rPr>
        <w:t xml:space="preserve"> </w:t>
      </w:r>
      <w:r w:rsidR="00B47EE8">
        <w:rPr>
          <w:bCs/>
        </w:rPr>
        <w:t>Staff</w:t>
      </w:r>
      <w:r w:rsidR="00EF2FA7">
        <w:rPr>
          <w:bCs/>
        </w:rPr>
        <w:t xml:space="preserve"> Data Request</w:t>
      </w:r>
      <w:r w:rsidR="00B47EE8">
        <w:rPr>
          <w:bCs/>
        </w:rPr>
        <w:t>s</w:t>
      </w:r>
      <w:r w:rsidR="00EF2FA7">
        <w:rPr>
          <w:bCs/>
        </w:rPr>
        <w:t xml:space="preserve"> </w:t>
      </w:r>
      <w:r w:rsidR="00E40F3A">
        <w:rPr>
          <w:bCs/>
        </w:rPr>
        <w:t xml:space="preserve">91 and 101, the Company </w:t>
      </w:r>
      <w:r w:rsidR="00A56139">
        <w:rPr>
          <w:bCs/>
        </w:rPr>
        <w:t>identified</w:t>
      </w:r>
      <w:r w:rsidR="00E40F3A">
        <w:rPr>
          <w:bCs/>
        </w:rPr>
        <w:t xml:space="preserve"> </w:t>
      </w:r>
      <w:r w:rsidR="007B5769">
        <w:rPr>
          <w:bCs/>
        </w:rPr>
        <w:t xml:space="preserve">additional </w:t>
      </w:r>
      <w:r w:rsidR="00B47EE8">
        <w:rPr>
          <w:bCs/>
        </w:rPr>
        <w:t xml:space="preserve">potential cost </w:t>
      </w:r>
      <w:r w:rsidR="00E40F3A">
        <w:rPr>
          <w:bCs/>
        </w:rPr>
        <w:t>changes labeled “Updated Coal Costs”</w:t>
      </w:r>
      <w:r w:rsidR="00A56139">
        <w:rPr>
          <w:bCs/>
        </w:rPr>
        <w:t xml:space="preserve"> in the summaries</w:t>
      </w:r>
      <w:r w:rsidR="00B47EE8">
        <w:rPr>
          <w:bCs/>
        </w:rPr>
        <w:t xml:space="preserve"> that were included with those responses</w:t>
      </w:r>
      <w:r w:rsidR="00A56139">
        <w:rPr>
          <w:bCs/>
        </w:rPr>
        <w:t xml:space="preserve">. </w:t>
      </w:r>
      <w:r w:rsidR="00E40F3A">
        <w:rPr>
          <w:bCs/>
        </w:rPr>
        <w:t xml:space="preserve"> In the first instance the change was a decrease in costs, while in the second, the change was a significant increase.  </w:t>
      </w:r>
    </w:p>
    <w:p w:rsidR="00D416EE" w:rsidRDefault="00E40F3A" w:rsidP="00842632">
      <w:pPr>
        <w:pStyle w:val="BodyTextIndent"/>
        <w:ind w:firstLine="720"/>
        <w:rPr>
          <w:bCs/>
        </w:rPr>
      </w:pPr>
      <w:r>
        <w:rPr>
          <w:bCs/>
        </w:rPr>
        <w:t xml:space="preserve">The Jim Bridger plant is presently served by two mines –one </w:t>
      </w:r>
      <w:r w:rsidR="00B47EE8">
        <w:rPr>
          <w:bCs/>
        </w:rPr>
        <w:t xml:space="preserve">is </w:t>
      </w:r>
      <w:r>
        <w:rPr>
          <w:bCs/>
        </w:rPr>
        <w:t>a</w:t>
      </w:r>
      <w:r w:rsidR="00A56139">
        <w:rPr>
          <w:bCs/>
        </w:rPr>
        <w:t xml:space="preserve">n independent, </w:t>
      </w:r>
      <w:r>
        <w:rPr>
          <w:bCs/>
        </w:rPr>
        <w:t>“third-part</w:t>
      </w:r>
      <w:r w:rsidR="00C20E2C">
        <w:rPr>
          <w:bCs/>
        </w:rPr>
        <w:t>y</w:t>
      </w:r>
      <w:r>
        <w:rPr>
          <w:bCs/>
        </w:rPr>
        <w:t>” mine</w:t>
      </w:r>
      <w:r w:rsidR="00A56139">
        <w:rPr>
          <w:bCs/>
        </w:rPr>
        <w:t>, while the</w:t>
      </w:r>
      <w:r w:rsidR="00C20E2C">
        <w:rPr>
          <w:bCs/>
        </w:rPr>
        <w:t xml:space="preserve"> </w:t>
      </w:r>
      <w:r w:rsidR="00A56139">
        <w:rPr>
          <w:bCs/>
        </w:rPr>
        <w:t xml:space="preserve">other </w:t>
      </w:r>
      <w:r w:rsidR="00C20E2C">
        <w:rPr>
          <w:bCs/>
        </w:rPr>
        <w:t xml:space="preserve">operates as an affiliate </w:t>
      </w:r>
      <w:r w:rsidR="00A56139">
        <w:rPr>
          <w:bCs/>
        </w:rPr>
        <w:t>to t</w:t>
      </w:r>
      <w:r w:rsidR="00C20E2C">
        <w:rPr>
          <w:bCs/>
        </w:rPr>
        <w:t xml:space="preserve">he Company.  </w:t>
      </w:r>
      <w:r w:rsidR="00A56139">
        <w:rPr>
          <w:bCs/>
        </w:rPr>
        <w:t>To support a significant increase in</w:t>
      </w:r>
      <w:r w:rsidR="00FD3666">
        <w:rPr>
          <w:bCs/>
        </w:rPr>
        <w:t xml:space="preserve"> coal prices</w:t>
      </w:r>
      <w:r w:rsidR="00A56139">
        <w:rPr>
          <w:bCs/>
        </w:rPr>
        <w:t>, even during a proceeding,</w:t>
      </w:r>
      <w:r w:rsidR="00FD3666">
        <w:rPr>
          <w:bCs/>
        </w:rPr>
        <w:t xml:space="preserve"> </w:t>
      </w:r>
      <w:r w:rsidR="00A56139">
        <w:rPr>
          <w:bCs/>
        </w:rPr>
        <w:t>I</w:t>
      </w:r>
      <w:r w:rsidR="00FD3666">
        <w:rPr>
          <w:bCs/>
        </w:rPr>
        <w:t xml:space="preserve"> would expect to see substantial support and analyses</w:t>
      </w:r>
      <w:r w:rsidR="00C20E2C">
        <w:rPr>
          <w:bCs/>
        </w:rPr>
        <w:t xml:space="preserve"> </w:t>
      </w:r>
      <w:r w:rsidR="00FD3666">
        <w:rPr>
          <w:bCs/>
        </w:rPr>
        <w:t xml:space="preserve">regarding the causes and possible alternatives.  </w:t>
      </w:r>
      <w:r w:rsidR="00C20E2C">
        <w:rPr>
          <w:bCs/>
        </w:rPr>
        <w:t>In any case, a</w:t>
      </w:r>
      <w:r>
        <w:rPr>
          <w:bCs/>
        </w:rPr>
        <w:t>s can be observed by looking at the narrative summary for both data responses,</w:t>
      </w:r>
      <w:r w:rsidR="00B47EE8">
        <w:rPr>
          <w:bCs/>
        </w:rPr>
        <w:t xml:space="preserve"> the Company initially provided</w:t>
      </w:r>
      <w:r>
        <w:rPr>
          <w:bCs/>
        </w:rPr>
        <w:t xml:space="preserve"> no explanation for either change amount </w:t>
      </w:r>
      <w:r w:rsidR="00FD3666">
        <w:rPr>
          <w:bCs/>
        </w:rPr>
        <w:t xml:space="preserve">or </w:t>
      </w:r>
      <w:r w:rsidR="00B47EE8">
        <w:rPr>
          <w:bCs/>
        </w:rPr>
        <w:t xml:space="preserve">any </w:t>
      </w:r>
      <w:r w:rsidR="00FD3666">
        <w:rPr>
          <w:bCs/>
        </w:rPr>
        <w:t xml:space="preserve">alternatives </w:t>
      </w:r>
      <w:r w:rsidR="00B47EE8">
        <w:rPr>
          <w:bCs/>
        </w:rPr>
        <w:t>as costs increased</w:t>
      </w:r>
      <w:r w:rsidR="00A56139">
        <w:rPr>
          <w:bCs/>
        </w:rPr>
        <w:t xml:space="preserve">, although the cost changes were </w:t>
      </w:r>
      <w:r w:rsidR="00B47EE8">
        <w:rPr>
          <w:bCs/>
        </w:rPr>
        <w:t xml:space="preserve">explicitly </w:t>
      </w:r>
      <w:r w:rsidR="00A56139">
        <w:rPr>
          <w:bCs/>
        </w:rPr>
        <w:t>identified</w:t>
      </w:r>
      <w:r>
        <w:rPr>
          <w:bCs/>
        </w:rPr>
        <w:t>.</w:t>
      </w:r>
      <w:r w:rsidR="00B47EE8">
        <w:rPr>
          <w:bCs/>
        </w:rPr>
        <w:t xml:space="preserve"> </w:t>
      </w:r>
      <w:r>
        <w:rPr>
          <w:bCs/>
        </w:rPr>
        <w:t xml:space="preserve"> </w:t>
      </w:r>
      <w:r w:rsidR="00B47EE8">
        <w:rPr>
          <w:bCs/>
        </w:rPr>
        <w:t xml:space="preserve">Attempting to </w:t>
      </w:r>
      <w:r w:rsidR="002B7CC4">
        <w:rPr>
          <w:bCs/>
        </w:rPr>
        <w:t xml:space="preserve">further </w:t>
      </w:r>
      <w:r w:rsidR="00B47EE8">
        <w:rPr>
          <w:bCs/>
        </w:rPr>
        <w:t xml:space="preserve">update power costs based on </w:t>
      </w:r>
      <w:r w:rsidR="00C20E2C">
        <w:rPr>
          <w:bCs/>
        </w:rPr>
        <w:t xml:space="preserve">unsupported </w:t>
      </w:r>
      <w:r w:rsidR="002B7CC4">
        <w:rPr>
          <w:bCs/>
        </w:rPr>
        <w:t>presentations</w:t>
      </w:r>
      <w:r w:rsidR="00A56139">
        <w:rPr>
          <w:bCs/>
        </w:rPr>
        <w:t xml:space="preserve">, </w:t>
      </w:r>
      <w:r w:rsidR="005647F8">
        <w:rPr>
          <w:bCs/>
        </w:rPr>
        <w:t>in my opinion,</w:t>
      </w:r>
      <w:r w:rsidR="00C20E2C">
        <w:rPr>
          <w:bCs/>
        </w:rPr>
        <w:t xml:space="preserve"> </w:t>
      </w:r>
      <w:r w:rsidR="00B47EE8">
        <w:rPr>
          <w:bCs/>
        </w:rPr>
        <w:t>goes</w:t>
      </w:r>
      <w:r w:rsidR="00A56139">
        <w:rPr>
          <w:bCs/>
        </w:rPr>
        <w:t xml:space="preserve"> well </w:t>
      </w:r>
      <w:r w:rsidR="00C20E2C">
        <w:rPr>
          <w:bCs/>
        </w:rPr>
        <w:t xml:space="preserve">beyond the </w:t>
      </w:r>
      <w:r w:rsidR="002B7CC4">
        <w:rPr>
          <w:bCs/>
        </w:rPr>
        <w:t xml:space="preserve">purported </w:t>
      </w:r>
      <w:r w:rsidR="00C20E2C">
        <w:rPr>
          <w:bCs/>
        </w:rPr>
        <w:t xml:space="preserve"> “make-whole rate filing approach” of this filing</w:t>
      </w:r>
      <w:r w:rsidR="002B7CC4">
        <w:rPr>
          <w:bCs/>
        </w:rPr>
        <w:t xml:space="preserve">.  The </w:t>
      </w:r>
      <w:r w:rsidR="00A56139">
        <w:rPr>
          <w:bCs/>
        </w:rPr>
        <w:t xml:space="preserve">Company </w:t>
      </w:r>
      <w:r w:rsidR="002B7CC4">
        <w:rPr>
          <w:bCs/>
        </w:rPr>
        <w:t>should not be allowed to recover in base rate coal costs greater than what has been supported in their “make-whole” filing,</w:t>
      </w:r>
      <w:r w:rsidR="005647F8">
        <w:rPr>
          <w:bCs/>
        </w:rPr>
        <w:t xml:space="preserve"> particularly given that the majority of the cost increases appear to </w:t>
      </w:r>
      <w:r w:rsidR="005414A3">
        <w:rPr>
          <w:bCs/>
        </w:rPr>
        <w:t xml:space="preserve">be </w:t>
      </w:r>
      <w:r w:rsidR="005647F8">
        <w:rPr>
          <w:bCs/>
        </w:rPr>
        <w:t>pass-through of affiliate costs</w:t>
      </w:r>
      <w:r w:rsidR="00C20E2C">
        <w:rPr>
          <w:bCs/>
        </w:rPr>
        <w:t>.</w:t>
      </w:r>
    </w:p>
    <w:p w:rsidR="00541D3E" w:rsidRDefault="00541D3E" w:rsidP="00DD681C">
      <w:pPr>
        <w:pStyle w:val="BodyTextIndent"/>
        <w:rPr>
          <w:bCs/>
        </w:rPr>
      </w:pPr>
    </w:p>
    <w:p w:rsidR="00541D3E" w:rsidRPr="00541D3E" w:rsidRDefault="00541D3E" w:rsidP="00DD681C">
      <w:pPr>
        <w:pStyle w:val="BodyTextIndent"/>
        <w:rPr>
          <w:b/>
          <w:bCs/>
        </w:rPr>
      </w:pPr>
      <w:r w:rsidRPr="00541D3E">
        <w:rPr>
          <w:b/>
          <w:bCs/>
        </w:rPr>
        <w:lastRenderedPageBreak/>
        <w:t>Q.</w:t>
      </w:r>
      <w:r w:rsidRPr="00541D3E">
        <w:rPr>
          <w:b/>
          <w:bCs/>
        </w:rPr>
        <w:tab/>
        <w:t xml:space="preserve">Has the Company </w:t>
      </w:r>
      <w:r w:rsidR="00A56139">
        <w:rPr>
          <w:b/>
          <w:bCs/>
        </w:rPr>
        <w:t xml:space="preserve">subsequently </w:t>
      </w:r>
      <w:r w:rsidRPr="00541D3E">
        <w:rPr>
          <w:b/>
          <w:bCs/>
        </w:rPr>
        <w:t xml:space="preserve">attempted to provide additional support for its response to </w:t>
      </w:r>
      <w:r w:rsidR="00A75820">
        <w:rPr>
          <w:b/>
          <w:bCs/>
        </w:rPr>
        <w:t>UTC</w:t>
      </w:r>
      <w:r w:rsidR="00ED44F9">
        <w:rPr>
          <w:b/>
          <w:bCs/>
        </w:rPr>
        <w:t xml:space="preserve"> </w:t>
      </w:r>
      <w:r w:rsidRPr="00541D3E">
        <w:rPr>
          <w:b/>
          <w:bCs/>
        </w:rPr>
        <w:t>Staff Data Request 101?</w:t>
      </w:r>
    </w:p>
    <w:p w:rsidR="00D148F7" w:rsidRDefault="00541D3E" w:rsidP="00DD681C">
      <w:pPr>
        <w:pStyle w:val="BodyTextIndent"/>
        <w:rPr>
          <w:bCs/>
        </w:rPr>
      </w:pPr>
      <w:r>
        <w:rPr>
          <w:bCs/>
        </w:rPr>
        <w:t>A.</w:t>
      </w:r>
      <w:r>
        <w:rPr>
          <w:bCs/>
        </w:rPr>
        <w:tab/>
        <w:t>Yes.  On December 22, 20</w:t>
      </w:r>
      <w:r w:rsidR="00EF36F4">
        <w:rPr>
          <w:bCs/>
        </w:rPr>
        <w:t>1</w:t>
      </w:r>
      <w:r>
        <w:rPr>
          <w:bCs/>
        </w:rPr>
        <w:t xml:space="preserve">1, a full </w:t>
      </w:r>
      <w:r w:rsidR="00842632">
        <w:rPr>
          <w:bCs/>
        </w:rPr>
        <w:t>17</w:t>
      </w:r>
      <w:r>
        <w:rPr>
          <w:bCs/>
        </w:rPr>
        <w:t xml:space="preserve"> days after its initial response, the Company provided a supplemental response to </w:t>
      </w:r>
      <w:r w:rsidR="00A75820">
        <w:rPr>
          <w:bCs/>
        </w:rPr>
        <w:t>UTC</w:t>
      </w:r>
      <w:r w:rsidR="00ED44F9">
        <w:rPr>
          <w:bCs/>
        </w:rPr>
        <w:t xml:space="preserve"> </w:t>
      </w:r>
      <w:r>
        <w:rPr>
          <w:bCs/>
        </w:rPr>
        <w:t>Staff Data Request 101, attem</w:t>
      </w:r>
      <w:r w:rsidR="00EF36F4">
        <w:rPr>
          <w:bCs/>
        </w:rPr>
        <w:t>p</w:t>
      </w:r>
      <w:r>
        <w:rPr>
          <w:bCs/>
        </w:rPr>
        <w:t xml:space="preserve">ting to support the updated coal prices indicated in both </w:t>
      </w:r>
      <w:r w:rsidR="00A75820">
        <w:rPr>
          <w:bCs/>
        </w:rPr>
        <w:t>UTC</w:t>
      </w:r>
      <w:r w:rsidR="00ED44F9">
        <w:rPr>
          <w:bCs/>
        </w:rPr>
        <w:t xml:space="preserve"> </w:t>
      </w:r>
      <w:r w:rsidR="00EF36F4">
        <w:rPr>
          <w:bCs/>
        </w:rPr>
        <w:t>Staff Data Request</w:t>
      </w:r>
      <w:r w:rsidR="00952FB1">
        <w:rPr>
          <w:bCs/>
        </w:rPr>
        <w:t>s</w:t>
      </w:r>
      <w:r w:rsidR="00EF36F4">
        <w:rPr>
          <w:bCs/>
        </w:rPr>
        <w:t xml:space="preserve"> 91 and 101, as well </w:t>
      </w:r>
      <w:r w:rsidR="00952FB1">
        <w:rPr>
          <w:bCs/>
        </w:rPr>
        <w:t xml:space="preserve">providing </w:t>
      </w:r>
      <w:r w:rsidR="00F3756B">
        <w:rPr>
          <w:bCs/>
        </w:rPr>
        <w:t>information regarding</w:t>
      </w:r>
      <w:r w:rsidR="00EF36F4">
        <w:rPr>
          <w:bCs/>
        </w:rPr>
        <w:t xml:space="preserve"> the calculation of</w:t>
      </w:r>
      <w:r w:rsidR="009C734D">
        <w:rPr>
          <w:bCs/>
        </w:rPr>
        <w:t xml:space="preserve"> revenue from a </w:t>
      </w:r>
      <w:r w:rsidR="00EF36F4">
        <w:rPr>
          <w:bCs/>
        </w:rPr>
        <w:t>new S</w:t>
      </w:r>
      <w:r w:rsidR="002B7CC4">
        <w:rPr>
          <w:bCs/>
        </w:rPr>
        <w:t>eattle City Light</w:t>
      </w:r>
      <w:r w:rsidR="00EF36F4">
        <w:rPr>
          <w:bCs/>
        </w:rPr>
        <w:t xml:space="preserve"> Stateline </w:t>
      </w:r>
      <w:r w:rsidR="009C734D">
        <w:rPr>
          <w:bCs/>
        </w:rPr>
        <w:t>contract</w:t>
      </w:r>
      <w:r w:rsidR="00EF36F4">
        <w:rPr>
          <w:bCs/>
        </w:rPr>
        <w:t>.  The supplement’s narrative summary and several excerpts are included in Exhibit No.</w:t>
      </w:r>
      <w:r w:rsidR="00842632">
        <w:rPr>
          <w:bCs/>
        </w:rPr>
        <w:t xml:space="preserve"> </w:t>
      </w:r>
      <w:proofErr w:type="gramStart"/>
      <w:r w:rsidR="00EF36F4">
        <w:rPr>
          <w:bCs/>
        </w:rPr>
        <w:t>___</w:t>
      </w:r>
      <w:r w:rsidR="00842632">
        <w:rPr>
          <w:bCs/>
        </w:rPr>
        <w:t xml:space="preserve"> </w:t>
      </w:r>
      <w:r w:rsidR="00EF36F4">
        <w:rPr>
          <w:bCs/>
        </w:rPr>
        <w:t>(APB-</w:t>
      </w:r>
      <w:r w:rsidR="009C734D">
        <w:rPr>
          <w:bCs/>
        </w:rPr>
        <w:t>5C</w:t>
      </w:r>
      <w:r w:rsidR="00EF36F4">
        <w:rPr>
          <w:bCs/>
        </w:rPr>
        <w:t>).</w:t>
      </w:r>
      <w:proofErr w:type="gramEnd"/>
      <w:r w:rsidR="00EF36F4">
        <w:rPr>
          <w:bCs/>
        </w:rPr>
        <w:t xml:space="preserve">  </w:t>
      </w:r>
    </w:p>
    <w:p w:rsidR="00EF36F4" w:rsidRDefault="00EF36F4" w:rsidP="00DD681C">
      <w:pPr>
        <w:pStyle w:val="BodyTextIndent"/>
        <w:rPr>
          <w:bCs/>
        </w:rPr>
      </w:pPr>
    </w:p>
    <w:p w:rsidR="00EF36F4" w:rsidRPr="00952FB1" w:rsidRDefault="00EF36F4" w:rsidP="00DD681C">
      <w:pPr>
        <w:pStyle w:val="BodyTextIndent"/>
        <w:rPr>
          <w:b/>
          <w:bCs/>
        </w:rPr>
      </w:pPr>
      <w:r w:rsidRPr="00952FB1">
        <w:rPr>
          <w:b/>
          <w:bCs/>
        </w:rPr>
        <w:t>Q.</w:t>
      </w:r>
      <w:r w:rsidRPr="00952FB1">
        <w:rPr>
          <w:b/>
          <w:bCs/>
        </w:rPr>
        <w:tab/>
        <w:t xml:space="preserve">Does receipt of the supplemental information change your testimony regarding the coal cost updates indicated in the Company’s response to </w:t>
      </w:r>
      <w:r w:rsidR="00A75820">
        <w:rPr>
          <w:b/>
          <w:bCs/>
        </w:rPr>
        <w:t>UTC</w:t>
      </w:r>
      <w:r w:rsidR="00ED44F9">
        <w:rPr>
          <w:b/>
          <w:bCs/>
        </w:rPr>
        <w:t xml:space="preserve"> </w:t>
      </w:r>
      <w:r w:rsidRPr="00952FB1">
        <w:rPr>
          <w:b/>
          <w:bCs/>
        </w:rPr>
        <w:t xml:space="preserve">Staff </w:t>
      </w:r>
      <w:r w:rsidR="00952FB1" w:rsidRPr="00952FB1">
        <w:rPr>
          <w:b/>
          <w:bCs/>
        </w:rPr>
        <w:t>Data Requests 91 and 101?</w:t>
      </w:r>
    </w:p>
    <w:p w:rsidR="00952FB1" w:rsidRDefault="00952FB1" w:rsidP="00DD681C">
      <w:pPr>
        <w:pStyle w:val="BodyTextIndent"/>
        <w:rPr>
          <w:bCs/>
        </w:rPr>
      </w:pPr>
      <w:r>
        <w:rPr>
          <w:bCs/>
        </w:rPr>
        <w:t>A.</w:t>
      </w:r>
      <w:r>
        <w:rPr>
          <w:bCs/>
        </w:rPr>
        <w:tab/>
        <w:t>No</w:t>
      </w:r>
      <w:r w:rsidR="00ED44F9">
        <w:rPr>
          <w:bCs/>
        </w:rPr>
        <w:t>.  I</w:t>
      </w:r>
      <w:r w:rsidR="00261BD9">
        <w:rPr>
          <w:bCs/>
        </w:rPr>
        <w:t>t</w:t>
      </w:r>
      <w:r>
        <w:rPr>
          <w:bCs/>
        </w:rPr>
        <w:t xml:space="preserve"> only serves to reinforce my opinion </w:t>
      </w:r>
      <w:r w:rsidR="002B7CC4">
        <w:rPr>
          <w:bCs/>
        </w:rPr>
        <w:t>to disallow</w:t>
      </w:r>
      <w:r>
        <w:rPr>
          <w:bCs/>
        </w:rPr>
        <w:t xml:space="preserve"> any allowed coal cost updates </w:t>
      </w:r>
      <w:r w:rsidR="002B7CC4">
        <w:rPr>
          <w:bCs/>
        </w:rPr>
        <w:t>in this “make-whole” filing</w:t>
      </w:r>
      <w:r>
        <w:rPr>
          <w:bCs/>
        </w:rPr>
        <w:t xml:space="preserve">.   </w:t>
      </w:r>
      <w:r w:rsidR="00994E74">
        <w:rPr>
          <w:bCs/>
        </w:rPr>
        <w:t xml:space="preserve">Receiving </w:t>
      </w:r>
      <w:r w:rsidR="00543756">
        <w:rPr>
          <w:bCs/>
        </w:rPr>
        <w:t xml:space="preserve">documents purporting to </w:t>
      </w:r>
      <w:r w:rsidR="00994E74">
        <w:rPr>
          <w:bCs/>
        </w:rPr>
        <w:t xml:space="preserve">support cost updates </w:t>
      </w:r>
      <w:r w:rsidR="003262E3">
        <w:rPr>
          <w:bCs/>
        </w:rPr>
        <w:t xml:space="preserve">that consists of numerous worksheets, each requiring </w:t>
      </w:r>
      <w:r w:rsidR="002B7CC4">
        <w:rPr>
          <w:bCs/>
        </w:rPr>
        <w:t xml:space="preserve">significant </w:t>
      </w:r>
      <w:r w:rsidR="003262E3">
        <w:rPr>
          <w:bCs/>
        </w:rPr>
        <w:t xml:space="preserve">analysis and auditing, </w:t>
      </w:r>
      <w:r w:rsidR="00752266">
        <w:rPr>
          <w:bCs/>
        </w:rPr>
        <w:t>15</w:t>
      </w:r>
      <w:r w:rsidR="00994E74">
        <w:rPr>
          <w:bCs/>
        </w:rPr>
        <w:t xml:space="preserve"> days before</w:t>
      </w:r>
      <w:r w:rsidR="003262E3">
        <w:rPr>
          <w:bCs/>
        </w:rPr>
        <w:t xml:space="preserve"> the due date of </w:t>
      </w:r>
      <w:r w:rsidR="00994E74">
        <w:rPr>
          <w:bCs/>
        </w:rPr>
        <w:t xml:space="preserve">Staff and </w:t>
      </w:r>
      <w:proofErr w:type="spellStart"/>
      <w:r w:rsidR="00994E74">
        <w:rPr>
          <w:bCs/>
        </w:rPr>
        <w:t>interven</w:t>
      </w:r>
      <w:r w:rsidR="00261BD9">
        <w:rPr>
          <w:bCs/>
        </w:rPr>
        <w:t>or</w:t>
      </w:r>
      <w:proofErr w:type="spellEnd"/>
      <w:r w:rsidR="00994E74">
        <w:rPr>
          <w:bCs/>
        </w:rPr>
        <w:t xml:space="preserve"> direct t</w:t>
      </w:r>
      <w:r w:rsidR="003262E3">
        <w:rPr>
          <w:bCs/>
        </w:rPr>
        <w:t>estimony</w:t>
      </w:r>
      <w:r w:rsidR="002B7CC4">
        <w:rPr>
          <w:bCs/>
        </w:rPr>
        <w:t xml:space="preserve"> is</w:t>
      </w:r>
      <w:r w:rsidR="00543756">
        <w:rPr>
          <w:bCs/>
        </w:rPr>
        <w:t xml:space="preserve"> not consistent with a “make-whole rate filing approach.” </w:t>
      </w:r>
      <w:r w:rsidR="003262E3">
        <w:rPr>
          <w:bCs/>
        </w:rPr>
        <w:t xml:space="preserve"> </w:t>
      </w:r>
      <w:r w:rsidR="00543756">
        <w:rPr>
          <w:bCs/>
        </w:rPr>
        <w:t xml:space="preserve">A cost component that requires significant review, auditing, potential discovery and analyses, such </w:t>
      </w:r>
      <w:r w:rsidR="002B7CC4">
        <w:rPr>
          <w:bCs/>
        </w:rPr>
        <w:t xml:space="preserve">as </w:t>
      </w:r>
      <w:r w:rsidR="00543756">
        <w:rPr>
          <w:bCs/>
        </w:rPr>
        <w:t>coal pricing of Company-owned mining facilities, is</w:t>
      </w:r>
      <w:r w:rsidR="003262E3">
        <w:rPr>
          <w:bCs/>
        </w:rPr>
        <w:t xml:space="preserve"> clearly different than </w:t>
      </w:r>
      <w:r w:rsidR="00543756">
        <w:rPr>
          <w:bCs/>
        </w:rPr>
        <w:t>update components</w:t>
      </w:r>
      <w:r w:rsidR="003262E3">
        <w:rPr>
          <w:bCs/>
        </w:rPr>
        <w:t xml:space="preserve"> </w:t>
      </w:r>
      <w:r w:rsidR="00BF6AB0">
        <w:rPr>
          <w:bCs/>
        </w:rPr>
        <w:t>such as FERC</w:t>
      </w:r>
      <w:r w:rsidR="003262E3">
        <w:rPr>
          <w:bCs/>
        </w:rPr>
        <w:t xml:space="preserve"> tariffs, contract</w:t>
      </w:r>
      <w:r w:rsidR="00543756">
        <w:rPr>
          <w:bCs/>
        </w:rPr>
        <w:t>s</w:t>
      </w:r>
      <w:r w:rsidR="003262E3">
        <w:rPr>
          <w:bCs/>
        </w:rPr>
        <w:t>, or public and generally available industry market information</w:t>
      </w:r>
      <w:r w:rsidR="00543756">
        <w:rPr>
          <w:bCs/>
        </w:rPr>
        <w:t xml:space="preserve"> that can be readily reviewed</w:t>
      </w:r>
      <w:r w:rsidR="003262E3">
        <w:rPr>
          <w:bCs/>
        </w:rPr>
        <w:t xml:space="preserve">. </w:t>
      </w:r>
    </w:p>
    <w:p w:rsidR="002B7CC4" w:rsidRDefault="002B7CC4" w:rsidP="00DD681C">
      <w:pPr>
        <w:pStyle w:val="BodyTextIndent"/>
        <w:rPr>
          <w:bCs/>
        </w:rPr>
      </w:pPr>
    </w:p>
    <w:p w:rsidR="009B2062" w:rsidRPr="005100B0" w:rsidRDefault="009B2062" w:rsidP="00DD681C">
      <w:pPr>
        <w:pStyle w:val="BodyTextIndent"/>
        <w:rPr>
          <w:b/>
          <w:bCs/>
        </w:rPr>
      </w:pPr>
      <w:r w:rsidRPr="005100B0">
        <w:rPr>
          <w:b/>
          <w:bCs/>
        </w:rPr>
        <w:lastRenderedPageBreak/>
        <w:t>Q.</w:t>
      </w:r>
      <w:r w:rsidRPr="005100B0">
        <w:rPr>
          <w:b/>
          <w:bCs/>
        </w:rPr>
        <w:tab/>
        <w:t>Does the Company propose to recover other increased coal costs in this proceeding?</w:t>
      </w:r>
    </w:p>
    <w:p w:rsidR="009B2062" w:rsidRDefault="009B2062" w:rsidP="00DD681C">
      <w:pPr>
        <w:pStyle w:val="BodyTextIndent"/>
        <w:rPr>
          <w:bCs/>
        </w:rPr>
      </w:pPr>
      <w:r>
        <w:rPr>
          <w:bCs/>
        </w:rPr>
        <w:t>A.</w:t>
      </w:r>
      <w:r>
        <w:rPr>
          <w:bCs/>
        </w:rPr>
        <w:tab/>
        <w:t xml:space="preserve">Yes.  </w:t>
      </w:r>
      <w:r w:rsidR="006C2A56">
        <w:rPr>
          <w:bCs/>
        </w:rPr>
        <w:t>PacifiCorp’s w</w:t>
      </w:r>
      <w:r>
        <w:rPr>
          <w:bCs/>
        </w:rPr>
        <w:t>i</w:t>
      </w:r>
      <w:r w:rsidR="00853136">
        <w:rPr>
          <w:bCs/>
        </w:rPr>
        <w:t>tness Cindy Crane addresses the $20.3 million</w:t>
      </w:r>
      <w:r>
        <w:rPr>
          <w:bCs/>
        </w:rPr>
        <w:t xml:space="preserve"> </w:t>
      </w:r>
      <w:r w:rsidR="006C2A56">
        <w:rPr>
          <w:bCs/>
        </w:rPr>
        <w:t xml:space="preserve">Western Control Area basis </w:t>
      </w:r>
      <w:r>
        <w:rPr>
          <w:bCs/>
        </w:rPr>
        <w:t xml:space="preserve">increase in coal costs reflected in the net power costs as </w:t>
      </w:r>
      <w:r w:rsidR="006C2A56">
        <w:rPr>
          <w:bCs/>
        </w:rPr>
        <w:t xml:space="preserve">initially </w:t>
      </w:r>
      <w:r>
        <w:rPr>
          <w:bCs/>
        </w:rPr>
        <w:t xml:space="preserve">filed in the Company’s direct case.  The entire increase is due to increased </w:t>
      </w:r>
      <w:r w:rsidR="006C2A56">
        <w:rPr>
          <w:bCs/>
        </w:rPr>
        <w:t>costs associated with the Jim Bridger plant mines.</w:t>
      </w:r>
    </w:p>
    <w:p w:rsidR="009B2062" w:rsidRDefault="009B2062" w:rsidP="00DD681C">
      <w:pPr>
        <w:pStyle w:val="BodyTextIndent"/>
        <w:rPr>
          <w:bCs/>
        </w:rPr>
      </w:pPr>
    </w:p>
    <w:p w:rsidR="002B7CC4" w:rsidRPr="009D0BE9" w:rsidRDefault="002B7CC4" w:rsidP="00DD681C">
      <w:pPr>
        <w:pStyle w:val="BodyTextIndent"/>
        <w:rPr>
          <w:b/>
          <w:bCs/>
        </w:rPr>
      </w:pPr>
      <w:r w:rsidRPr="009D0BE9">
        <w:rPr>
          <w:b/>
          <w:bCs/>
        </w:rPr>
        <w:t>Q.</w:t>
      </w:r>
      <w:r w:rsidRPr="009D0BE9">
        <w:rPr>
          <w:b/>
          <w:bCs/>
        </w:rPr>
        <w:tab/>
        <w:t>Are you contesting the Company’s proposed coal cost increases that are the subject of Company witness Crane’s testimony</w:t>
      </w:r>
      <w:r w:rsidR="009D0BE9" w:rsidRPr="009D0BE9">
        <w:rPr>
          <w:b/>
          <w:bCs/>
        </w:rPr>
        <w:t xml:space="preserve"> in this proceeding</w:t>
      </w:r>
      <w:r w:rsidRPr="009D0BE9">
        <w:rPr>
          <w:b/>
          <w:bCs/>
        </w:rPr>
        <w:t>?</w:t>
      </w:r>
    </w:p>
    <w:p w:rsidR="009D0BE9" w:rsidRDefault="009D0BE9" w:rsidP="00DD681C">
      <w:pPr>
        <w:pStyle w:val="BodyTextIndent"/>
        <w:rPr>
          <w:bCs/>
        </w:rPr>
      </w:pPr>
      <w:r>
        <w:rPr>
          <w:bCs/>
        </w:rPr>
        <w:t>A.</w:t>
      </w:r>
      <w:r>
        <w:rPr>
          <w:bCs/>
        </w:rPr>
        <w:tab/>
        <w:t xml:space="preserve">No.  In fact, that increase is the largest single component of the Company’s proposed $32.7 million difference in WCA net power costs between this rate case and the 2010 Rate Case.  </w:t>
      </w:r>
      <w:r w:rsidR="00E93A8A">
        <w:rPr>
          <w:bCs/>
        </w:rPr>
        <w:t xml:space="preserve"> For purposes of this “make-whole” rate case, I have evaluated and have accepted the initially filed coal cost increase.  For the reasons explained above I do not recommend the Commission accept coal cost updates related to the Jim Bridger plant.</w:t>
      </w:r>
    </w:p>
    <w:p w:rsidR="009D0BE9" w:rsidRDefault="009D0BE9" w:rsidP="00DD681C">
      <w:pPr>
        <w:pStyle w:val="BodyTextIndent"/>
        <w:rPr>
          <w:bCs/>
        </w:rPr>
      </w:pPr>
    </w:p>
    <w:p w:rsidR="009E0A4A" w:rsidRDefault="009C734D" w:rsidP="00DD681C">
      <w:pPr>
        <w:pStyle w:val="BodyTextIndent"/>
        <w:rPr>
          <w:b/>
          <w:bCs/>
        </w:rPr>
        <w:sectPr w:rsidR="009E0A4A" w:rsidSect="004410D6">
          <w:footerReference w:type="default" r:id="rId13"/>
          <w:type w:val="continuous"/>
          <w:pgSz w:w="12240" w:h="15840" w:code="1"/>
          <w:pgMar w:top="1440" w:right="1440" w:bottom="1440" w:left="1872" w:header="720" w:footer="720" w:gutter="0"/>
          <w:lnNumType w:countBy="1"/>
          <w:cols w:space="720"/>
          <w:docGrid w:linePitch="360"/>
        </w:sectPr>
      </w:pPr>
      <w:r w:rsidRPr="00777F2D">
        <w:rPr>
          <w:b/>
          <w:bCs/>
        </w:rPr>
        <w:t>Q.</w:t>
      </w:r>
      <w:r w:rsidRPr="00777F2D">
        <w:rPr>
          <w:b/>
          <w:bCs/>
        </w:rPr>
        <w:tab/>
      </w:r>
      <w:r w:rsidR="00543756">
        <w:rPr>
          <w:b/>
          <w:bCs/>
        </w:rPr>
        <w:t>The Company appears to have identified additional revenue from a</w:t>
      </w:r>
      <w:r w:rsidR="009656EA">
        <w:rPr>
          <w:b/>
          <w:bCs/>
        </w:rPr>
        <w:t>n</w:t>
      </w:r>
      <w:r w:rsidR="00543756">
        <w:rPr>
          <w:b/>
          <w:bCs/>
        </w:rPr>
        <w:t xml:space="preserve"> ancillary service contract. </w:t>
      </w:r>
      <w:r w:rsidRPr="00777F2D">
        <w:rPr>
          <w:b/>
          <w:bCs/>
        </w:rPr>
        <w:t xml:space="preserve">Can you explain </w:t>
      </w:r>
      <w:r w:rsidR="00543756">
        <w:rPr>
          <w:b/>
          <w:bCs/>
        </w:rPr>
        <w:t xml:space="preserve">this update and </w:t>
      </w:r>
      <w:r w:rsidRPr="00777F2D">
        <w:rPr>
          <w:b/>
          <w:bCs/>
        </w:rPr>
        <w:t>the excerpt contained in Exhibit No.___</w:t>
      </w:r>
      <w:r w:rsidR="00752266">
        <w:rPr>
          <w:b/>
          <w:bCs/>
        </w:rPr>
        <w:t xml:space="preserve"> </w:t>
      </w:r>
      <w:r w:rsidRPr="00777F2D">
        <w:rPr>
          <w:b/>
          <w:bCs/>
        </w:rPr>
        <w:t xml:space="preserve">(APB-5C) that is labeled “Confidential Attachment </w:t>
      </w:r>
      <w:r w:rsidR="00A75820">
        <w:rPr>
          <w:b/>
          <w:bCs/>
        </w:rPr>
        <w:t>UTC</w:t>
      </w:r>
      <w:r w:rsidRPr="00777F2D">
        <w:rPr>
          <w:b/>
          <w:bCs/>
        </w:rPr>
        <w:t xml:space="preserve"> 101-1 2</w:t>
      </w:r>
      <w:r w:rsidRPr="00777F2D">
        <w:rPr>
          <w:b/>
          <w:bCs/>
          <w:vertAlign w:val="superscript"/>
        </w:rPr>
        <w:t>nd</w:t>
      </w:r>
      <w:r w:rsidRPr="00777F2D">
        <w:rPr>
          <w:b/>
          <w:bCs/>
        </w:rPr>
        <w:t xml:space="preserve"> Supplemental?”</w:t>
      </w:r>
    </w:p>
    <w:p w:rsidR="00077C04" w:rsidRDefault="009C734D" w:rsidP="00DD681C">
      <w:pPr>
        <w:pStyle w:val="BodyTextIndent"/>
        <w:rPr>
          <w:bCs/>
        </w:rPr>
      </w:pPr>
      <w:r>
        <w:rPr>
          <w:bCs/>
        </w:rPr>
        <w:lastRenderedPageBreak/>
        <w:t>A.</w:t>
      </w:r>
      <w:r>
        <w:rPr>
          <w:bCs/>
        </w:rPr>
        <w:tab/>
        <w:t xml:space="preserve">Yes. </w:t>
      </w:r>
      <w:r w:rsidR="00752266">
        <w:rPr>
          <w:bCs/>
        </w:rPr>
        <w:t xml:space="preserve"> </w:t>
      </w:r>
      <w:r>
        <w:rPr>
          <w:bCs/>
        </w:rPr>
        <w:t xml:space="preserve">This worksheet shows the calculation of rate period revenues and </w:t>
      </w:r>
      <w:r w:rsidR="00777F2D">
        <w:rPr>
          <w:bCs/>
        </w:rPr>
        <w:t xml:space="preserve">the </w:t>
      </w:r>
      <w:r>
        <w:rPr>
          <w:bCs/>
        </w:rPr>
        <w:t xml:space="preserve">impact on Washington costs from a new integration and exchange contract with Seattle City Light </w:t>
      </w:r>
      <w:r w:rsidR="009D0BE9">
        <w:rPr>
          <w:bCs/>
        </w:rPr>
        <w:t xml:space="preserve">(“SCL”) </w:t>
      </w:r>
      <w:r>
        <w:rPr>
          <w:bCs/>
        </w:rPr>
        <w:t xml:space="preserve">to manage the generation from SCL’s share of the Stateline wind </w:t>
      </w:r>
      <w:r>
        <w:rPr>
          <w:bCs/>
        </w:rPr>
        <w:lastRenderedPageBreak/>
        <w:t xml:space="preserve">project.  </w:t>
      </w:r>
      <w:r w:rsidR="0068318F">
        <w:rPr>
          <w:bCs/>
        </w:rPr>
        <w:t>A</w:t>
      </w:r>
      <w:r w:rsidR="00077C04">
        <w:rPr>
          <w:bCs/>
        </w:rPr>
        <w:t>s shown on the</w:t>
      </w:r>
      <w:r w:rsidR="0068318F">
        <w:rPr>
          <w:bCs/>
        </w:rPr>
        <w:t xml:space="preserve"> </w:t>
      </w:r>
      <w:r w:rsidR="00077C04">
        <w:rPr>
          <w:bCs/>
        </w:rPr>
        <w:t>page</w:t>
      </w:r>
      <w:r w:rsidR="0068318F">
        <w:rPr>
          <w:bCs/>
        </w:rPr>
        <w:t>s</w:t>
      </w:r>
      <w:r w:rsidR="00077C04">
        <w:rPr>
          <w:bCs/>
        </w:rPr>
        <w:t xml:space="preserve"> marked 3.7 and 3.7.1 in Exhibit No.___(APB-5C), the Company has removed all booked revenues associated with the previous SCL Stateline contract </w:t>
      </w:r>
      <w:r w:rsidR="0068318F">
        <w:rPr>
          <w:bCs/>
        </w:rPr>
        <w:t>on the assumption that</w:t>
      </w:r>
      <w:r w:rsidR="00077C04">
        <w:rPr>
          <w:bCs/>
        </w:rPr>
        <w:t xml:space="preserve"> it was expiring.  This was included as Adjustment 3.7 of </w:t>
      </w:r>
      <w:r w:rsidR="00E143B6">
        <w:rPr>
          <w:bCs/>
        </w:rPr>
        <w:t xml:space="preserve">Company witness Mr. </w:t>
      </w:r>
      <w:proofErr w:type="spellStart"/>
      <w:r w:rsidR="00E143B6">
        <w:rPr>
          <w:bCs/>
        </w:rPr>
        <w:t>Dalley’s</w:t>
      </w:r>
      <w:proofErr w:type="spellEnd"/>
      <w:r w:rsidR="00E143B6">
        <w:rPr>
          <w:bCs/>
        </w:rPr>
        <w:t xml:space="preserve"> </w:t>
      </w:r>
      <w:r>
        <w:rPr>
          <w:bCs/>
        </w:rPr>
        <w:t>Exhibit No.___</w:t>
      </w:r>
      <w:r w:rsidR="00752266">
        <w:rPr>
          <w:bCs/>
        </w:rPr>
        <w:t xml:space="preserve"> </w:t>
      </w:r>
      <w:r>
        <w:rPr>
          <w:bCs/>
        </w:rPr>
        <w:t xml:space="preserve">(RND-3).  </w:t>
      </w:r>
      <w:r w:rsidR="00077C04">
        <w:rPr>
          <w:bCs/>
        </w:rPr>
        <w:t>In actuality</w:t>
      </w:r>
      <w:r w:rsidR="0068318F">
        <w:rPr>
          <w:bCs/>
        </w:rPr>
        <w:t xml:space="preserve"> however</w:t>
      </w:r>
      <w:r w:rsidR="00077C04">
        <w:rPr>
          <w:bCs/>
        </w:rPr>
        <w:t>, the contract is being extended.</w:t>
      </w:r>
    </w:p>
    <w:p w:rsidR="009E0A4A" w:rsidRDefault="009E0A4A" w:rsidP="00DD681C">
      <w:pPr>
        <w:pStyle w:val="BodyTextIndent"/>
        <w:rPr>
          <w:bCs/>
        </w:rPr>
      </w:pPr>
    </w:p>
    <w:p w:rsidR="003262E3" w:rsidRPr="00E143B6" w:rsidRDefault="00E143B6" w:rsidP="00DD681C">
      <w:pPr>
        <w:pStyle w:val="BodyTextIndent"/>
        <w:rPr>
          <w:b/>
          <w:bCs/>
        </w:rPr>
      </w:pPr>
      <w:r w:rsidRPr="00E143B6">
        <w:rPr>
          <w:b/>
          <w:bCs/>
        </w:rPr>
        <w:t>Q.</w:t>
      </w:r>
      <w:r w:rsidRPr="00E143B6">
        <w:rPr>
          <w:b/>
          <w:bCs/>
        </w:rPr>
        <w:tab/>
        <w:t>How should the revenues associated with the extended SCL Stateline contract be treated in this proceeding?</w:t>
      </w:r>
    </w:p>
    <w:p w:rsidR="00E143B6" w:rsidRDefault="00E143B6" w:rsidP="00DD681C">
      <w:pPr>
        <w:pStyle w:val="BodyTextIndent"/>
        <w:rPr>
          <w:bCs/>
        </w:rPr>
      </w:pPr>
      <w:r>
        <w:rPr>
          <w:bCs/>
        </w:rPr>
        <w:t>A.</w:t>
      </w:r>
      <w:r>
        <w:rPr>
          <w:bCs/>
        </w:rPr>
        <w:tab/>
        <w:t xml:space="preserve">To maintain an easily understandable approach and to streamline adjustments, Staff chose to work within the existing Adjustment 3.7.  </w:t>
      </w:r>
      <w:r w:rsidR="00223AAF">
        <w:rPr>
          <w:bCs/>
        </w:rPr>
        <w:t>In its Adjustment 3.7, t</w:t>
      </w:r>
      <w:r>
        <w:rPr>
          <w:bCs/>
        </w:rPr>
        <w:t xml:space="preserve">he Company has removed, or effectively zeroed out, the </w:t>
      </w:r>
      <w:r w:rsidR="00B8060F">
        <w:rPr>
          <w:bCs/>
        </w:rPr>
        <w:t xml:space="preserve">approximately $5 million of </w:t>
      </w:r>
      <w:r>
        <w:rPr>
          <w:bCs/>
        </w:rPr>
        <w:t>ancillary contract revenues</w:t>
      </w:r>
      <w:r w:rsidR="00223AAF">
        <w:rPr>
          <w:bCs/>
        </w:rPr>
        <w:t xml:space="preserve"> booked from the previous contract</w:t>
      </w:r>
      <w:r>
        <w:rPr>
          <w:bCs/>
        </w:rPr>
        <w:t xml:space="preserve">.  To reflect an increase in </w:t>
      </w:r>
      <w:r w:rsidRPr="00E4390E">
        <w:rPr>
          <w:bCs/>
        </w:rPr>
        <w:t>revenues of</w:t>
      </w:r>
      <w:r w:rsidR="00E4390E" w:rsidRPr="00E4390E">
        <w:rPr>
          <w:bCs/>
        </w:rPr>
        <w:t xml:space="preserve"> </w:t>
      </w:r>
      <w:r w:rsidR="00580403" w:rsidRPr="00580403">
        <w:rPr>
          <w:bCs/>
          <w:highlight w:val="black"/>
        </w:rPr>
        <w:t>XXXXXX</w:t>
      </w:r>
      <w:r w:rsidR="00AF2A5E" w:rsidRPr="00E4390E">
        <w:rPr>
          <w:bCs/>
        </w:rPr>
        <w:t xml:space="preserve">, </w:t>
      </w:r>
      <w:r w:rsidRPr="00E4390E">
        <w:rPr>
          <w:bCs/>
        </w:rPr>
        <w:t>instead of zero revenues</w:t>
      </w:r>
      <w:r w:rsidR="00223AAF" w:rsidRPr="00E4390E">
        <w:rPr>
          <w:bCs/>
        </w:rPr>
        <w:t xml:space="preserve"> due to the new contract</w:t>
      </w:r>
      <w:r w:rsidRPr="00E4390E">
        <w:rPr>
          <w:bCs/>
        </w:rPr>
        <w:t xml:space="preserve">, Staff has </w:t>
      </w:r>
      <w:r w:rsidR="009656EA" w:rsidRPr="00E4390E">
        <w:rPr>
          <w:bCs/>
        </w:rPr>
        <w:t>included in Adjustment 3.7 the above revenues for a net</w:t>
      </w:r>
      <w:r w:rsidR="00B8060F" w:rsidRPr="00E4390E">
        <w:rPr>
          <w:bCs/>
        </w:rPr>
        <w:t xml:space="preserve"> </w:t>
      </w:r>
      <w:r w:rsidRPr="00E4390E">
        <w:rPr>
          <w:bCs/>
        </w:rPr>
        <w:t>increase</w:t>
      </w:r>
      <w:r w:rsidR="009656EA" w:rsidRPr="00E4390E">
        <w:rPr>
          <w:bCs/>
        </w:rPr>
        <w:t xml:space="preserve"> in rate year </w:t>
      </w:r>
      <w:r w:rsidRPr="00E4390E">
        <w:rPr>
          <w:bCs/>
        </w:rPr>
        <w:t xml:space="preserve">Account 456 revenues of </w:t>
      </w:r>
      <w:r w:rsidR="00580403" w:rsidRPr="00580403">
        <w:rPr>
          <w:bCs/>
          <w:highlight w:val="black"/>
        </w:rPr>
        <w:t>XXXXXX</w:t>
      </w:r>
      <w:r w:rsidRPr="00E4390E">
        <w:rPr>
          <w:bCs/>
        </w:rPr>
        <w:t xml:space="preserve">, which represents the difference between </w:t>
      </w:r>
      <w:r w:rsidR="00223AAF" w:rsidRPr="00E4390E">
        <w:rPr>
          <w:bCs/>
        </w:rPr>
        <w:t xml:space="preserve">test-year </w:t>
      </w:r>
      <w:r w:rsidR="002424F6" w:rsidRPr="00E4390E">
        <w:rPr>
          <w:bCs/>
        </w:rPr>
        <w:t xml:space="preserve">booked revenues </w:t>
      </w:r>
      <w:r w:rsidR="008811ED" w:rsidRPr="00E4390E">
        <w:rPr>
          <w:bCs/>
        </w:rPr>
        <w:t xml:space="preserve">(now not zeroed out) </w:t>
      </w:r>
      <w:r w:rsidR="002424F6" w:rsidRPr="00E4390E">
        <w:rPr>
          <w:bCs/>
        </w:rPr>
        <w:t xml:space="preserve">and the additional </w:t>
      </w:r>
      <w:r w:rsidR="00223AAF" w:rsidRPr="00E4390E">
        <w:rPr>
          <w:bCs/>
        </w:rPr>
        <w:t>rate-</w:t>
      </w:r>
      <w:r w:rsidR="008811ED" w:rsidRPr="00E4390E">
        <w:rPr>
          <w:bCs/>
        </w:rPr>
        <w:t>y</w:t>
      </w:r>
      <w:r w:rsidR="00223AAF" w:rsidRPr="00E4390E">
        <w:rPr>
          <w:bCs/>
        </w:rPr>
        <w:t xml:space="preserve">ear </w:t>
      </w:r>
      <w:r w:rsidR="002424F6" w:rsidRPr="00E4390E">
        <w:rPr>
          <w:bCs/>
        </w:rPr>
        <w:t xml:space="preserve">revenues from the extended contract. </w:t>
      </w:r>
      <w:r w:rsidR="00270100" w:rsidRPr="00E4390E">
        <w:rPr>
          <w:bCs/>
        </w:rPr>
        <w:t xml:space="preserve"> </w:t>
      </w:r>
      <w:r w:rsidR="009656EA" w:rsidRPr="00E4390E">
        <w:rPr>
          <w:bCs/>
        </w:rPr>
        <w:t xml:space="preserve">From a Company as-filed perspective, this adjustment increases WCA revenues by </w:t>
      </w:r>
      <w:r w:rsidR="00580403" w:rsidRPr="00580403">
        <w:rPr>
          <w:bCs/>
          <w:highlight w:val="black"/>
        </w:rPr>
        <w:t>XXXXXX</w:t>
      </w:r>
      <w:r w:rsidRPr="00E4390E">
        <w:rPr>
          <w:bCs/>
        </w:rPr>
        <w:t xml:space="preserve"> </w:t>
      </w:r>
      <w:r w:rsidR="002424F6" w:rsidRPr="00E4390E">
        <w:rPr>
          <w:bCs/>
        </w:rPr>
        <w:t xml:space="preserve">with a Washington jurisdictional </w:t>
      </w:r>
      <w:r w:rsidR="00223AAF" w:rsidRPr="00E4390E">
        <w:rPr>
          <w:bCs/>
        </w:rPr>
        <w:t xml:space="preserve">allocation </w:t>
      </w:r>
      <w:r w:rsidR="002424F6" w:rsidRPr="00E4390E">
        <w:rPr>
          <w:bCs/>
        </w:rPr>
        <w:t xml:space="preserve">revenue increase of </w:t>
      </w:r>
      <w:r w:rsidR="00580403" w:rsidRPr="00580403">
        <w:rPr>
          <w:bCs/>
          <w:highlight w:val="black"/>
        </w:rPr>
        <w:t>XXXXXX</w:t>
      </w:r>
      <w:r w:rsidR="002424F6" w:rsidRPr="00E4390E">
        <w:rPr>
          <w:bCs/>
        </w:rPr>
        <w:t xml:space="preserve"> based on a WA CAGW allocator of 22.4742%.  The revenue requirement effect of this adjustment is shown in Staff witness </w:t>
      </w:r>
      <w:proofErr w:type="spellStart"/>
      <w:r w:rsidR="002424F6" w:rsidRPr="00E4390E">
        <w:rPr>
          <w:bCs/>
        </w:rPr>
        <w:t>Foisy’s</w:t>
      </w:r>
      <w:proofErr w:type="spellEnd"/>
      <w:r w:rsidR="002424F6" w:rsidRPr="00E4390E">
        <w:rPr>
          <w:bCs/>
        </w:rPr>
        <w:t xml:space="preserve"> Exhibit No.___(</w:t>
      </w:r>
      <w:r w:rsidR="0068318F" w:rsidRPr="00E4390E">
        <w:rPr>
          <w:bCs/>
        </w:rPr>
        <w:t>MDF-2</w:t>
      </w:r>
      <w:r w:rsidR="002424F6" w:rsidRPr="00E4390E">
        <w:rPr>
          <w:bCs/>
        </w:rPr>
        <w:t>), Adjustment</w:t>
      </w:r>
      <w:r w:rsidR="002424F6">
        <w:rPr>
          <w:bCs/>
        </w:rPr>
        <w:t xml:space="preserve"> 3.7.</w:t>
      </w:r>
    </w:p>
    <w:p w:rsidR="009E0A4A" w:rsidRDefault="009E0A4A" w:rsidP="00DD681C">
      <w:pPr>
        <w:pStyle w:val="BodyTextIndent"/>
        <w:rPr>
          <w:bCs/>
        </w:rPr>
        <w:sectPr w:rsidR="009E0A4A" w:rsidSect="004410D6">
          <w:footerReference w:type="default" r:id="rId14"/>
          <w:type w:val="continuous"/>
          <w:pgSz w:w="12240" w:h="15840" w:code="1"/>
          <w:pgMar w:top="1440" w:right="1440" w:bottom="1440" w:left="1872" w:header="720" w:footer="720" w:gutter="0"/>
          <w:lnNumType w:countBy="1"/>
          <w:cols w:space="720"/>
          <w:docGrid w:linePitch="360"/>
        </w:sectPr>
      </w:pPr>
    </w:p>
    <w:p w:rsidR="00B8060F" w:rsidRDefault="00B8060F" w:rsidP="00DD681C">
      <w:pPr>
        <w:pStyle w:val="BodyTextIndent"/>
        <w:rPr>
          <w:bCs/>
        </w:rPr>
      </w:pPr>
    </w:p>
    <w:p w:rsidR="00B8060F" w:rsidRPr="008811ED" w:rsidRDefault="00B8060F" w:rsidP="00DD681C">
      <w:pPr>
        <w:pStyle w:val="BodyTextIndent"/>
        <w:rPr>
          <w:b/>
          <w:bCs/>
        </w:rPr>
      </w:pPr>
      <w:r w:rsidRPr="008811ED">
        <w:rPr>
          <w:b/>
          <w:bCs/>
        </w:rPr>
        <w:lastRenderedPageBreak/>
        <w:t>Q.</w:t>
      </w:r>
      <w:r w:rsidRPr="008811ED">
        <w:rPr>
          <w:b/>
          <w:bCs/>
        </w:rPr>
        <w:tab/>
        <w:t>Is this contract update different than the coal cost update from a “make-whole” rate case context?</w:t>
      </w:r>
    </w:p>
    <w:p w:rsidR="002424F6" w:rsidRDefault="00B8060F" w:rsidP="00DD681C">
      <w:pPr>
        <w:pStyle w:val="BodyTextIndent"/>
        <w:rPr>
          <w:bCs/>
        </w:rPr>
      </w:pPr>
      <w:r>
        <w:rPr>
          <w:bCs/>
        </w:rPr>
        <w:t>A.</w:t>
      </w:r>
      <w:r>
        <w:rPr>
          <w:bCs/>
        </w:rPr>
        <w:tab/>
        <w:t xml:space="preserve">Yes.  The </w:t>
      </w:r>
      <w:r w:rsidR="0068318F">
        <w:rPr>
          <w:bCs/>
        </w:rPr>
        <w:t xml:space="preserve">extended SCL Stateline </w:t>
      </w:r>
      <w:r>
        <w:rPr>
          <w:bCs/>
        </w:rPr>
        <w:t xml:space="preserve">contract </w:t>
      </w:r>
      <w:r w:rsidR="008811ED">
        <w:rPr>
          <w:bCs/>
        </w:rPr>
        <w:t>has been entered into by the parties.  It is easily audited and confirmed by the intervening parties</w:t>
      </w:r>
      <w:r w:rsidR="0068318F">
        <w:rPr>
          <w:bCs/>
        </w:rPr>
        <w:t>, in stark contrast to</w:t>
      </w:r>
      <w:r w:rsidR="008811ED">
        <w:rPr>
          <w:bCs/>
        </w:rPr>
        <w:t xml:space="preserve"> </w:t>
      </w:r>
      <w:r w:rsidR="009656EA">
        <w:rPr>
          <w:bCs/>
        </w:rPr>
        <w:t xml:space="preserve">the </w:t>
      </w:r>
      <w:r w:rsidR="008811ED">
        <w:rPr>
          <w:bCs/>
        </w:rPr>
        <w:t>coal cost changes</w:t>
      </w:r>
      <w:r w:rsidR="009656EA">
        <w:rPr>
          <w:bCs/>
        </w:rPr>
        <w:t xml:space="preserve"> as discussed earlier</w:t>
      </w:r>
      <w:r w:rsidR="008811ED">
        <w:rPr>
          <w:bCs/>
        </w:rPr>
        <w:t>.</w:t>
      </w:r>
    </w:p>
    <w:p w:rsidR="009E0A4A" w:rsidRDefault="009E0A4A" w:rsidP="00DD681C">
      <w:pPr>
        <w:pStyle w:val="BodyTextIndent"/>
        <w:rPr>
          <w:bCs/>
        </w:rPr>
      </w:pPr>
    </w:p>
    <w:p w:rsidR="009E0A4A" w:rsidRDefault="00D148F7" w:rsidP="00DD681C">
      <w:pPr>
        <w:pStyle w:val="BodyTextIndent"/>
        <w:rPr>
          <w:b/>
          <w:bCs/>
        </w:rPr>
      </w:pPr>
      <w:r w:rsidRPr="00D148F7">
        <w:rPr>
          <w:b/>
          <w:bCs/>
        </w:rPr>
        <w:t>Q.</w:t>
      </w:r>
      <w:r w:rsidRPr="00D148F7">
        <w:rPr>
          <w:b/>
          <w:bCs/>
        </w:rPr>
        <w:tab/>
        <w:t xml:space="preserve">What </w:t>
      </w:r>
      <w:r w:rsidR="002424F6">
        <w:rPr>
          <w:b/>
          <w:bCs/>
        </w:rPr>
        <w:t xml:space="preserve">other </w:t>
      </w:r>
      <w:r w:rsidRPr="00D148F7">
        <w:rPr>
          <w:b/>
          <w:bCs/>
        </w:rPr>
        <w:t xml:space="preserve">updates </w:t>
      </w:r>
      <w:r w:rsidR="0068318F">
        <w:rPr>
          <w:b/>
          <w:bCs/>
        </w:rPr>
        <w:t>do</w:t>
      </w:r>
      <w:r w:rsidRPr="00D148F7">
        <w:rPr>
          <w:b/>
          <w:bCs/>
        </w:rPr>
        <w:t xml:space="preserve"> you recommend that the Commission adopt for purposes of this “make-whole rate filing approach” filing?</w:t>
      </w:r>
    </w:p>
    <w:p w:rsidR="00D148F7" w:rsidRDefault="00D148F7" w:rsidP="00DD681C">
      <w:pPr>
        <w:pStyle w:val="BodyTextIndent"/>
        <w:rPr>
          <w:bCs/>
        </w:rPr>
      </w:pPr>
      <w:r>
        <w:rPr>
          <w:bCs/>
        </w:rPr>
        <w:t>A.</w:t>
      </w:r>
      <w:r>
        <w:rPr>
          <w:bCs/>
        </w:rPr>
        <w:tab/>
        <w:t xml:space="preserve">In addition to the “Hydro Generation” adjustment </w:t>
      </w:r>
      <w:r w:rsidR="002424F6">
        <w:rPr>
          <w:bCs/>
        </w:rPr>
        <w:t xml:space="preserve">and SCL Stateline contract </w:t>
      </w:r>
      <w:r w:rsidR="005414A3">
        <w:rPr>
          <w:bCs/>
        </w:rPr>
        <w:t xml:space="preserve">revenue </w:t>
      </w:r>
      <w:r w:rsidR="002424F6">
        <w:rPr>
          <w:bCs/>
        </w:rPr>
        <w:t xml:space="preserve">adjustment </w:t>
      </w:r>
      <w:r>
        <w:rPr>
          <w:bCs/>
        </w:rPr>
        <w:t xml:space="preserve">discussed above, I recommend </w:t>
      </w:r>
      <w:r w:rsidR="0068318F">
        <w:rPr>
          <w:bCs/>
        </w:rPr>
        <w:t xml:space="preserve">that </w:t>
      </w:r>
      <w:r>
        <w:rPr>
          <w:bCs/>
        </w:rPr>
        <w:t>the Commission adopt the remaining updates</w:t>
      </w:r>
      <w:r w:rsidR="009656EA">
        <w:rPr>
          <w:bCs/>
        </w:rPr>
        <w:t xml:space="preserve"> </w:t>
      </w:r>
      <w:r>
        <w:rPr>
          <w:bCs/>
        </w:rPr>
        <w:t xml:space="preserve">other than </w:t>
      </w:r>
      <w:r w:rsidR="002424F6">
        <w:rPr>
          <w:bCs/>
        </w:rPr>
        <w:t xml:space="preserve">those </w:t>
      </w:r>
      <w:r>
        <w:rPr>
          <w:bCs/>
        </w:rPr>
        <w:t>for coal costs,</w:t>
      </w:r>
      <w:r w:rsidR="00541D3E">
        <w:rPr>
          <w:bCs/>
        </w:rPr>
        <w:t xml:space="preserve"> that are due to changes in actual </w:t>
      </w:r>
      <w:r w:rsidR="00E93A8A">
        <w:rPr>
          <w:bCs/>
        </w:rPr>
        <w:t>FERC</w:t>
      </w:r>
      <w:r w:rsidR="00E6375A">
        <w:rPr>
          <w:bCs/>
        </w:rPr>
        <w:t xml:space="preserve"> </w:t>
      </w:r>
      <w:r w:rsidR="00541D3E">
        <w:rPr>
          <w:bCs/>
        </w:rPr>
        <w:t>tariff rates or contract terms and</w:t>
      </w:r>
      <w:r w:rsidR="00655D24">
        <w:rPr>
          <w:bCs/>
        </w:rPr>
        <w:t xml:space="preserve"> are identified and </w:t>
      </w:r>
      <w:r>
        <w:rPr>
          <w:bCs/>
        </w:rPr>
        <w:t xml:space="preserve">included in the Company’s responses to </w:t>
      </w:r>
      <w:r w:rsidR="00A75820">
        <w:rPr>
          <w:bCs/>
        </w:rPr>
        <w:t>UTC</w:t>
      </w:r>
      <w:r w:rsidR="00ED44F9">
        <w:rPr>
          <w:bCs/>
        </w:rPr>
        <w:t xml:space="preserve"> </w:t>
      </w:r>
      <w:r w:rsidR="00655D24">
        <w:rPr>
          <w:bCs/>
        </w:rPr>
        <w:t>Staff</w:t>
      </w:r>
      <w:r>
        <w:rPr>
          <w:bCs/>
        </w:rPr>
        <w:t xml:space="preserve"> Data Request</w:t>
      </w:r>
      <w:r w:rsidR="00655D24">
        <w:rPr>
          <w:bCs/>
        </w:rPr>
        <w:t>s</w:t>
      </w:r>
      <w:r>
        <w:rPr>
          <w:bCs/>
        </w:rPr>
        <w:t xml:space="preserve"> 91 and 101 </w:t>
      </w:r>
      <w:r w:rsidR="00777F2D">
        <w:rPr>
          <w:bCs/>
        </w:rPr>
        <w:t>(</w:t>
      </w:r>
      <w:r>
        <w:rPr>
          <w:bCs/>
        </w:rPr>
        <w:t xml:space="preserve">and </w:t>
      </w:r>
      <w:r w:rsidR="009656EA">
        <w:rPr>
          <w:bCs/>
        </w:rPr>
        <w:t>s</w:t>
      </w:r>
      <w:r w:rsidR="00777F2D">
        <w:rPr>
          <w:bCs/>
        </w:rPr>
        <w:t>upplements)</w:t>
      </w:r>
      <w:r w:rsidR="00655D24">
        <w:rPr>
          <w:bCs/>
        </w:rPr>
        <w:t>,</w:t>
      </w:r>
      <w:r w:rsidR="00777F2D">
        <w:rPr>
          <w:bCs/>
        </w:rPr>
        <w:t xml:space="preserve"> as contained in </w:t>
      </w:r>
      <w:r>
        <w:rPr>
          <w:bCs/>
        </w:rPr>
        <w:t>Exhibit</w:t>
      </w:r>
      <w:r w:rsidR="00777F2D">
        <w:rPr>
          <w:bCs/>
        </w:rPr>
        <w:t>s</w:t>
      </w:r>
      <w:r>
        <w:rPr>
          <w:bCs/>
        </w:rPr>
        <w:t xml:space="preserve"> No</w:t>
      </w:r>
      <w:r w:rsidR="00ED44F9">
        <w:rPr>
          <w:bCs/>
        </w:rPr>
        <w:t>s</w:t>
      </w:r>
      <w:r w:rsidR="00777F2D">
        <w:rPr>
          <w:bCs/>
        </w:rPr>
        <w:t>.</w:t>
      </w:r>
      <w:r w:rsidR="00ED44F9">
        <w:rPr>
          <w:bCs/>
        </w:rPr>
        <w:t xml:space="preserve"> </w:t>
      </w:r>
      <w:proofErr w:type="gramStart"/>
      <w:r w:rsidR="00ED44F9">
        <w:rPr>
          <w:bCs/>
        </w:rPr>
        <w:t xml:space="preserve">___ </w:t>
      </w:r>
      <w:r>
        <w:rPr>
          <w:bCs/>
        </w:rPr>
        <w:t>(APB-</w:t>
      </w:r>
      <w:r w:rsidR="00E924C5">
        <w:rPr>
          <w:bCs/>
        </w:rPr>
        <w:t>4</w:t>
      </w:r>
      <w:r>
        <w:rPr>
          <w:bCs/>
        </w:rPr>
        <w:t>)</w:t>
      </w:r>
      <w:r w:rsidR="00777F2D">
        <w:rPr>
          <w:bCs/>
        </w:rPr>
        <w:t xml:space="preserve"> and (APB-5C)</w:t>
      </w:r>
      <w:r>
        <w:rPr>
          <w:bCs/>
        </w:rPr>
        <w:t>.</w:t>
      </w:r>
      <w:proofErr w:type="gramEnd"/>
      <w:r>
        <w:rPr>
          <w:bCs/>
        </w:rPr>
        <w:t xml:space="preserve">  In addition, I recommend that the Commission order an additional </w:t>
      </w:r>
      <w:r w:rsidR="008811ED">
        <w:rPr>
          <w:bCs/>
        </w:rPr>
        <w:t xml:space="preserve">limited </w:t>
      </w:r>
      <w:r>
        <w:rPr>
          <w:bCs/>
        </w:rPr>
        <w:t xml:space="preserve">update at the time of the Company’s compliance filing in the manner </w:t>
      </w:r>
      <w:r w:rsidR="00655D24">
        <w:rPr>
          <w:bCs/>
        </w:rPr>
        <w:t>that I further</w:t>
      </w:r>
      <w:r>
        <w:rPr>
          <w:bCs/>
        </w:rPr>
        <w:t xml:space="preserve"> describe below.</w:t>
      </w:r>
    </w:p>
    <w:p w:rsidR="00F00D31" w:rsidRDefault="00F00D31" w:rsidP="00DD681C">
      <w:pPr>
        <w:pStyle w:val="BodyTextIndent"/>
        <w:rPr>
          <w:bCs/>
        </w:rPr>
      </w:pPr>
    </w:p>
    <w:p w:rsidR="00F00D31" w:rsidRPr="00F00D31" w:rsidRDefault="00F00D31" w:rsidP="00DD681C">
      <w:pPr>
        <w:pStyle w:val="BodyTextIndent"/>
        <w:rPr>
          <w:b/>
          <w:bCs/>
        </w:rPr>
      </w:pPr>
      <w:r w:rsidRPr="00F00D31">
        <w:rPr>
          <w:b/>
          <w:bCs/>
        </w:rPr>
        <w:t>Q.</w:t>
      </w:r>
      <w:r w:rsidRPr="00F00D31">
        <w:rPr>
          <w:b/>
          <w:bCs/>
        </w:rPr>
        <w:tab/>
        <w:t xml:space="preserve">What is the total effect of your </w:t>
      </w:r>
      <w:r w:rsidR="005414A3">
        <w:rPr>
          <w:b/>
          <w:bCs/>
        </w:rPr>
        <w:t xml:space="preserve">additional </w:t>
      </w:r>
      <w:r w:rsidRPr="00F00D31">
        <w:rPr>
          <w:b/>
          <w:bCs/>
        </w:rPr>
        <w:t>recommended adjustment</w:t>
      </w:r>
      <w:r w:rsidR="005414A3">
        <w:rPr>
          <w:b/>
          <w:bCs/>
        </w:rPr>
        <w:t>s?</w:t>
      </w:r>
    </w:p>
    <w:p w:rsidR="00F00D31" w:rsidRDefault="00F00D31" w:rsidP="00DD681C">
      <w:pPr>
        <w:pStyle w:val="BodyTextIndent"/>
      </w:pPr>
      <w:r>
        <w:rPr>
          <w:bCs/>
        </w:rPr>
        <w:t>A.</w:t>
      </w:r>
      <w:r>
        <w:rPr>
          <w:bCs/>
        </w:rPr>
        <w:tab/>
        <w:t>As shown on Exhibit No.</w:t>
      </w:r>
      <w:r w:rsidR="00ED44F9">
        <w:rPr>
          <w:bCs/>
        </w:rPr>
        <w:t xml:space="preserve"> ___ </w:t>
      </w:r>
      <w:r>
        <w:rPr>
          <w:bCs/>
        </w:rPr>
        <w:t>(APB-2</w:t>
      </w:r>
      <w:r w:rsidR="005B1BD8">
        <w:rPr>
          <w:bCs/>
        </w:rPr>
        <w:t>C</w:t>
      </w:r>
      <w:r>
        <w:rPr>
          <w:bCs/>
        </w:rPr>
        <w:t>)</w:t>
      </w:r>
      <w:r w:rsidR="005B1BD8">
        <w:rPr>
          <w:bCs/>
        </w:rPr>
        <w:t>, line 12</w:t>
      </w:r>
      <w:r>
        <w:rPr>
          <w:bCs/>
        </w:rPr>
        <w:t xml:space="preserve">, the </w:t>
      </w:r>
      <w:r w:rsidR="005414A3">
        <w:rPr>
          <w:bCs/>
        </w:rPr>
        <w:t xml:space="preserve">total </w:t>
      </w:r>
      <w:r w:rsidR="00655D24">
        <w:rPr>
          <w:bCs/>
        </w:rPr>
        <w:t>U</w:t>
      </w:r>
      <w:r w:rsidR="005414A3">
        <w:rPr>
          <w:bCs/>
        </w:rPr>
        <w:t xml:space="preserve">pdate </w:t>
      </w:r>
      <w:r w:rsidR="00655D24">
        <w:rPr>
          <w:bCs/>
        </w:rPr>
        <w:t>A</w:t>
      </w:r>
      <w:r>
        <w:rPr>
          <w:bCs/>
        </w:rPr>
        <w:t>djustmen</w:t>
      </w:r>
      <w:r w:rsidR="009656EA">
        <w:rPr>
          <w:bCs/>
        </w:rPr>
        <w:t>t</w:t>
      </w:r>
      <w:r>
        <w:rPr>
          <w:bCs/>
        </w:rPr>
        <w:t xml:space="preserve"> amount </w:t>
      </w:r>
      <w:r w:rsidR="00655D24">
        <w:rPr>
          <w:bCs/>
        </w:rPr>
        <w:t>is</w:t>
      </w:r>
      <w:r>
        <w:rPr>
          <w:bCs/>
        </w:rPr>
        <w:t xml:space="preserve"> $18,902,72</w:t>
      </w:r>
      <w:r w:rsidR="009656EA">
        <w:rPr>
          <w:bCs/>
        </w:rPr>
        <w:t>2</w:t>
      </w:r>
      <w:r w:rsidR="009B47A8">
        <w:rPr>
          <w:bCs/>
        </w:rPr>
        <w:t xml:space="preserve"> on a Western Control Area basis</w:t>
      </w:r>
      <w:r>
        <w:rPr>
          <w:bCs/>
        </w:rPr>
        <w:t>, including the estimated system balancing impacts and without the updated coal costs.</w:t>
      </w:r>
      <w:r w:rsidR="00E924C5">
        <w:rPr>
          <w:bCs/>
        </w:rPr>
        <w:t xml:space="preserve">  </w:t>
      </w:r>
      <w:r w:rsidR="009B47A8">
        <w:rPr>
          <w:bCs/>
        </w:rPr>
        <w:t xml:space="preserve">This equates to an approximate reduction in </w:t>
      </w:r>
      <w:r w:rsidR="009B47A8" w:rsidRPr="009B47A8">
        <w:t>Washington-allocated pro forma normalized net power costs</w:t>
      </w:r>
      <w:r w:rsidR="009B47A8">
        <w:t xml:space="preserve"> of $4,</w:t>
      </w:r>
      <w:r w:rsidR="005414A3">
        <w:t>248,236</w:t>
      </w:r>
      <w:r w:rsidR="00655D24">
        <w:t>,</w:t>
      </w:r>
      <w:r w:rsidR="009B47A8">
        <w:t xml:space="preserve"> </w:t>
      </w:r>
      <w:r w:rsidR="00A76C8B">
        <w:t xml:space="preserve">at the expense level </w:t>
      </w:r>
      <w:r w:rsidR="009B47A8">
        <w:t>based on a CAGW allocator of 22.</w:t>
      </w:r>
      <w:r w:rsidR="005414A3">
        <w:t>4742</w:t>
      </w:r>
      <w:r w:rsidR="009B47A8">
        <w:t>%.</w:t>
      </w:r>
    </w:p>
    <w:p w:rsidR="00E924C5" w:rsidRPr="00E924C5" w:rsidRDefault="00F00D31" w:rsidP="00DD681C">
      <w:pPr>
        <w:pStyle w:val="BodyTextIndent"/>
        <w:rPr>
          <w:b/>
        </w:rPr>
      </w:pPr>
      <w:r w:rsidRPr="00E924C5">
        <w:rPr>
          <w:b/>
        </w:rPr>
        <w:lastRenderedPageBreak/>
        <w:t>Q.</w:t>
      </w:r>
      <w:r w:rsidRPr="00E924C5">
        <w:rPr>
          <w:b/>
        </w:rPr>
        <w:tab/>
      </w:r>
      <w:r w:rsidR="00541D3E">
        <w:rPr>
          <w:b/>
        </w:rPr>
        <w:t>Returning to other updated items, h</w:t>
      </w:r>
      <w:r w:rsidRPr="00E924C5">
        <w:rPr>
          <w:b/>
        </w:rPr>
        <w:t>ow conte</w:t>
      </w:r>
      <w:r w:rsidR="00E924C5" w:rsidRPr="00E924C5">
        <w:rPr>
          <w:b/>
        </w:rPr>
        <w:t>mporary are the forward prices used in the Exhibit No.</w:t>
      </w:r>
      <w:r w:rsidR="00ED44F9">
        <w:rPr>
          <w:b/>
        </w:rPr>
        <w:t xml:space="preserve"> ___ </w:t>
      </w:r>
      <w:r w:rsidR="00E924C5" w:rsidRPr="00E924C5">
        <w:rPr>
          <w:b/>
        </w:rPr>
        <w:t>(APB-4) updates?</w:t>
      </w:r>
    </w:p>
    <w:p w:rsidR="00E924C5" w:rsidRDefault="00E924C5" w:rsidP="00DD681C">
      <w:pPr>
        <w:pStyle w:val="BodyTextIndent"/>
      </w:pPr>
      <w:r>
        <w:t>A.</w:t>
      </w:r>
      <w:r>
        <w:tab/>
        <w:t>Unfortunately, not very</w:t>
      </w:r>
      <w:r w:rsidR="009B47A8">
        <w:t xml:space="preserve"> contemporary</w:t>
      </w:r>
      <w:r>
        <w:t xml:space="preserve">.  The Company’s response to </w:t>
      </w:r>
      <w:r w:rsidR="00A75820">
        <w:t>UTC</w:t>
      </w:r>
      <w:r w:rsidR="00ED44F9">
        <w:t xml:space="preserve"> </w:t>
      </w:r>
      <w:r w:rsidR="00655D24">
        <w:t>Staff</w:t>
      </w:r>
      <w:r>
        <w:t xml:space="preserve"> Data Request 101 uses its own Company “Official” Forward Price Curves from November 8, 2011.  The underlying market data used to develop those curves is even earlier than that.</w:t>
      </w:r>
    </w:p>
    <w:p w:rsidR="00F00D31" w:rsidRDefault="00E924C5" w:rsidP="00DD681C">
      <w:pPr>
        <w:pStyle w:val="BodyTextIndent"/>
      </w:pPr>
      <w:r>
        <w:t xml:space="preserve"> </w:t>
      </w:r>
    </w:p>
    <w:p w:rsidR="00F02D63" w:rsidRPr="004A5216" w:rsidRDefault="00DE5817" w:rsidP="00DD681C">
      <w:pPr>
        <w:pStyle w:val="BodyTextIndent"/>
        <w:rPr>
          <w:b/>
        </w:rPr>
      </w:pPr>
      <w:r w:rsidRPr="004A5216">
        <w:rPr>
          <w:b/>
        </w:rPr>
        <w:t>Q.</w:t>
      </w:r>
      <w:r w:rsidRPr="004A5216">
        <w:rPr>
          <w:b/>
        </w:rPr>
        <w:tab/>
        <w:t>How ha</w:t>
      </w:r>
      <w:r w:rsidR="00E924C5">
        <w:rPr>
          <w:b/>
        </w:rPr>
        <w:t>ve</w:t>
      </w:r>
      <w:r w:rsidRPr="004A5216">
        <w:rPr>
          <w:b/>
        </w:rPr>
        <w:t xml:space="preserve"> forward gas price forecasts for the rate year behaved since the Company made its </w:t>
      </w:r>
      <w:r w:rsidR="00D148F7">
        <w:rPr>
          <w:b/>
        </w:rPr>
        <w:t>initial</w:t>
      </w:r>
      <w:r w:rsidRPr="004A5216">
        <w:rPr>
          <w:b/>
        </w:rPr>
        <w:t xml:space="preserve"> filing</w:t>
      </w:r>
      <w:r w:rsidR="00D148F7">
        <w:rPr>
          <w:b/>
        </w:rPr>
        <w:t xml:space="preserve"> and data request responses</w:t>
      </w:r>
      <w:r w:rsidRPr="004A5216">
        <w:rPr>
          <w:b/>
        </w:rPr>
        <w:t>?</w:t>
      </w:r>
    </w:p>
    <w:p w:rsidR="00DE5817" w:rsidRDefault="00DE5817" w:rsidP="00DD681C">
      <w:pPr>
        <w:pStyle w:val="BodyTextIndent"/>
        <w:rPr>
          <w:bCs/>
        </w:rPr>
      </w:pPr>
      <w:r>
        <w:t>A.</w:t>
      </w:r>
      <w:r>
        <w:tab/>
        <w:t xml:space="preserve">The three-month average of daily forward </w:t>
      </w:r>
      <w:r w:rsidR="00D63D97">
        <w:t xml:space="preserve">rate year </w:t>
      </w:r>
      <w:r>
        <w:t xml:space="preserve">gas price </w:t>
      </w:r>
      <w:r w:rsidR="00D63D97">
        <w:t>prices</w:t>
      </w:r>
      <w:r>
        <w:t xml:space="preserve"> has </w:t>
      </w:r>
      <w:r w:rsidR="00D148F7">
        <w:t xml:space="preserve">continued to </w:t>
      </w:r>
      <w:r>
        <w:t xml:space="preserve">decline significantly.  </w:t>
      </w:r>
      <w:r w:rsidR="00B10B7B">
        <w:rPr>
          <w:bCs/>
        </w:rPr>
        <w:t xml:space="preserve">I expect the </w:t>
      </w:r>
      <w:r w:rsidR="00655D24">
        <w:rPr>
          <w:bCs/>
        </w:rPr>
        <w:t>resulting U</w:t>
      </w:r>
      <w:r w:rsidR="00B10B7B">
        <w:rPr>
          <w:bCs/>
        </w:rPr>
        <w:t xml:space="preserve">pdate </w:t>
      </w:r>
      <w:r w:rsidR="00655D24">
        <w:rPr>
          <w:bCs/>
        </w:rPr>
        <w:t>A</w:t>
      </w:r>
      <w:r w:rsidR="00B10B7B">
        <w:rPr>
          <w:bCs/>
        </w:rPr>
        <w:t>djustment to increase, perhaps significantly, depending on the Company’s hedged position during the rate year.</w:t>
      </w:r>
      <w:r w:rsidR="00C87726">
        <w:rPr>
          <w:bCs/>
        </w:rPr>
        <w:t xml:space="preserve">  For general comparison purposes, the Company’s response to </w:t>
      </w:r>
      <w:r w:rsidR="00A75820">
        <w:rPr>
          <w:bCs/>
        </w:rPr>
        <w:t>UTC</w:t>
      </w:r>
      <w:r w:rsidR="00C87726">
        <w:rPr>
          <w:bCs/>
        </w:rPr>
        <w:t xml:space="preserve"> </w:t>
      </w:r>
      <w:r w:rsidR="00853136">
        <w:rPr>
          <w:bCs/>
        </w:rPr>
        <w:t xml:space="preserve">Staff </w:t>
      </w:r>
      <w:r w:rsidR="00C87726">
        <w:rPr>
          <w:bCs/>
        </w:rPr>
        <w:t>Data Request 101 shows a</w:t>
      </w:r>
      <w:r w:rsidR="00655D24">
        <w:rPr>
          <w:bCs/>
        </w:rPr>
        <w:t xml:space="preserve"> power cost</w:t>
      </w:r>
      <w:r w:rsidR="00C87726">
        <w:rPr>
          <w:bCs/>
        </w:rPr>
        <w:t xml:space="preserve"> </w:t>
      </w:r>
      <w:r w:rsidR="005B1BD8">
        <w:rPr>
          <w:bCs/>
        </w:rPr>
        <w:t xml:space="preserve">reduction of </w:t>
      </w:r>
      <w:r w:rsidR="00C87726">
        <w:rPr>
          <w:bCs/>
        </w:rPr>
        <w:t>almost $4 million due to a $0.26 decrease in annual average forward gas prices ($4.31</w:t>
      </w:r>
      <w:r w:rsidR="00B5680A">
        <w:rPr>
          <w:bCs/>
        </w:rPr>
        <w:t>/MMBTU</w:t>
      </w:r>
      <w:r w:rsidR="00C87726">
        <w:rPr>
          <w:bCs/>
        </w:rPr>
        <w:t xml:space="preserve"> annual 11/08/11 average compared to </w:t>
      </w:r>
      <w:r w:rsidR="00655D24">
        <w:rPr>
          <w:bCs/>
        </w:rPr>
        <w:t>the</w:t>
      </w:r>
      <w:r w:rsidR="00C87726">
        <w:rPr>
          <w:bCs/>
        </w:rPr>
        <w:t xml:space="preserve"> $4.57</w:t>
      </w:r>
      <w:r w:rsidR="00B5680A">
        <w:rPr>
          <w:bCs/>
        </w:rPr>
        <w:t xml:space="preserve">/MMBTU </w:t>
      </w:r>
      <w:r w:rsidR="00C87726">
        <w:rPr>
          <w:bCs/>
        </w:rPr>
        <w:t xml:space="preserve">annual 9/30/11 average used in the response to </w:t>
      </w:r>
      <w:r w:rsidR="00A75820">
        <w:rPr>
          <w:bCs/>
        </w:rPr>
        <w:t>UTC</w:t>
      </w:r>
      <w:r w:rsidR="00752266">
        <w:rPr>
          <w:bCs/>
        </w:rPr>
        <w:t xml:space="preserve"> Staff </w:t>
      </w:r>
      <w:r w:rsidR="00C87726">
        <w:rPr>
          <w:bCs/>
        </w:rPr>
        <w:t>DR 91).</w:t>
      </w:r>
      <w:r w:rsidR="00B5680A">
        <w:rPr>
          <w:bCs/>
        </w:rPr>
        <w:t xml:space="preserve">  The annual average of three-month  rolling average daily forward rate year gas prices are in the range of $4.00/MMBTU </w:t>
      </w:r>
      <w:r w:rsidR="00655D24">
        <w:rPr>
          <w:bCs/>
        </w:rPr>
        <w:t>in late December</w:t>
      </w:r>
      <w:r w:rsidR="00B5680A">
        <w:rPr>
          <w:bCs/>
        </w:rPr>
        <w:t xml:space="preserve"> and still falling.  The expected decrease in net power costs due to this trend should be significant.</w:t>
      </w:r>
    </w:p>
    <w:p w:rsidR="00D148F7" w:rsidRDefault="00D148F7" w:rsidP="00DD681C">
      <w:pPr>
        <w:pStyle w:val="BodyTextIndent"/>
      </w:pPr>
    </w:p>
    <w:p w:rsidR="00DE5817" w:rsidRPr="004A5216" w:rsidRDefault="00DE5817" w:rsidP="00DD681C">
      <w:pPr>
        <w:pStyle w:val="BodyTextIndent"/>
        <w:rPr>
          <w:b/>
        </w:rPr>
      </w:pPr>
      <w:r w:rsidRPr="004A5216">
        <w:rPr>
          <w:b/>
        </w:rPr>
        <w:t>Q.</w:t>
      </w:r>
      <w:r w:rsidRPr="004A5216">
        <w:rPr>
          <w:b/>
        </w:rPr>
        <w:tab/>
      </w:r>
      <w:r w:rsidR="00E924C5">
        <w:rPr>
          <w:b/>
        </w:rPr>
        <w:t>You state that the Company uses its “Official” Forward Price Curves.  Do th</w:t>
      </w:r>
      <w:r w:rsidR="00B10B7B">
        <w:rPr>
          <w:b/>
        </w:rPr>
        <w:t>ese</w:t>
      </w:r>
      <w:r w:rsidR="00E924C5">
        <w:rPr>
          <w:b/>
        </w:rPr>
        <w:t xml:space="preserve"> present problems for the parties when evaluating power cost updates during rate case proceedings</w:t>
      </w:r>
      <w:r w:rsidRPr="004A5216">
        <w:rPr>
          <w:b/>
        </w:rPr>
        <w:t>?</w:t>
      </w:r>
    </w:p>
    <w:p w:rsidR="00DE5817" w:rsidRDefault="000E4A42" w:rsidP="00DD681C">
      <w:pPr>
        <w:pStyle w:val="BodyTextIndent"/>
      </w:pPr>
      <w:r>
        <w:lastRenderedPageBreak/>
        <w:t>A.</w:t>
      </w:r>
      <w:r>
        <w:tab/>
      </w:r>
      <w:r w:rsidR="005B1BD8">
        <w:t xml:space="preserve">For Staff and </w:t>
      </w:r>
      <w:proofErr w:type="spellStart"/>
      <w:r w:rsidR="005B1BD8">
        <w:t>intervenors</w:t>
      </w:r>
      <w:proofErr w:type="spellEnd"/>
      <w:r w:rsidR="00B5680A">
        <w:t>,</w:t>
      </w:r>
      <w:r w:rsidR="00B10B7B">
        <w:t xml:space="preserve"> yes.  The Company’s process for developing it</w:t>
      </w:r>
      <w:r w:rsidR="005B1BD8">
        <w:t>s</w:t>
      </w:r>
      <w:r w:rsidR="00B10B7B">
        <w:t xml:space="preserve"> “Official Forward Price Curves” </w:t>
      </w:r>
      <w:r w:rsidR="00B5680A">
        <w:t xml:space="preserve">is an </w:t>
      </w:r>
      <w:r w:rsidR="00B10B7B">
        <w:t>internal</w:t>
      </w:r>
      <w:r w:rsidR="00B5680A">
        <w:t xml:space="preserve"> one, carried out</w:t>
      </w:r>
      <w:r w:rsidR="00B10B7B">
        <w:t xml:space="preserve"> by its commercial and trading department.  Market data is adjusted </w:t>
      </w:r>
      <w:r w:rsidR="00655D24">
        <w:t xml:space="preserve">by </w:t>
      </w:r>
      <w:r w:rsidR="00B10B7B">
        <w:t xml:space="preserve">using what the Company calls “scalars” developed from historic hourly data in order to develop on and off-peak market prices.   </w:t>
      </w:r>
      <w:r w:rsidR="00655D24">
        <w:t>However, the</w:t>
      </w:r>
      <w:r w:rsidR="00B10B7B">
        <w:t xml:space="preserve"> process is time consuming and not transparent for the customers who ultimately pay the rates.  </w:t>
      </w:r>
      <w:r w:rsidR="00844E17">
        <w:t>Moreover, the Company’s non-transparent</w:t>
      </w:r>
      <w:r w:rsidR="00D13B4F">
        <w:t xml:space="preserve"> </w:t>
      </w:r>
      <w:r w:rsidR="00844E17">
        <w:t xml:space="preserve">process poses significant problems for Staff </w:t>
      </w:r>
      <w:r w:rsidR="00D13B4F">
        <w:t xml:space="preserve">during a rate case proceeding, particularly when it is necessary to review and audit power cost updates that are proposed </w:t>
      </w:r>
      <w:r w:rsidR="00844E17">
        <w:t>with</w:t>
      </w:r>
      <w:r w:rsidR="00D13B4F">
        <w:t>in a limited amount of time.</w:t>
      </w:r>
    </w:p>
    <w:p w:rsidR="00D13B4F" w:rsidRDefault="00D13B4F" w:rsidP="00DD681C">
      <w:pPr>
        <w:pStyle w:val="BodyTextIndent"/>
      </w:pPr>
    </w:p>
    <w:p w:rsidR="00D13B4F" w:rsidRPr="00CF6A1F" w:rsidRDefault="00D13B4F" w:rsidP="00DD681C">
      <w:pPr>
        <w:pStyle w:val="BodyTextIndent"/>
        <w:rPr>
          <w:b/>
        </w:rPr>
      </w:pPr>
      <w:r w:rsidRPr="00CF6A1F">
        <w:rPr>
          <w:b/>
        </w:rPr>
        <w:t>Q.</w:t>
      </w:r>
      <w:r w:rsidRPr="00CF6A1F">
        <w:rPr>
          <w:b/>
        </w:rPr>
        <w:tab/>
        <w:t>Do you have a solution for this problem?</w:t>
      </w:r>
    </w:p>
    <w:p w:rsidR="00D13B4F" w:rsidRDefault="00D13B4F" w:rsidP="00DD681C">
      <w:pPr>
        <w:pStyle w:val="BodyTextIndent"/>
      </w:pPr>
      <w:r>
        <w:t>A.</w:t>
      </w:r>
      <w:r>
        <w:tab/>
        <w:t>Yes.  The short term solution is for the Commission to order a “final” update during the compliance phase of this proceeding to incorporate the latest forward market conditions</w:t>
      </w:r>
      <w:r w:rsidR="00844E17">
        <w:t>, using</w:t>
      </w:r>
      <w:r w:rsidR="00CF6A1F">
        <w:t xml:space="preserve"> </w:t>
      </w:r>
      <w:r w:rsidR="00CF6A1F" w:rsidRPr="005B1BD8">
        <w:rPr>
          <w:u w:val="single"/>
        </w:rPr>
        <w:t xml:space="preserve">generally available </w:t>
      </w:r>
      <w:r w:rsidR="005B1BD8" w:rsidRPr="005B1BD8">
        <w:rPr>
          <w:u w:val="single"/>
        </w:rPr>
        <w:t xml:space="preserve">market </w:t>
      </w:r>
      <w:r w:rsidR="00CF6A1F" w:rsidRPr="005B1BD8">
        <w:rPr>
          <w:u w:val="single"/>
        </w:rPr>
        <w:t>information</w:t>
      </w:r>
      <w:r w:rsidR="00844E17">
        <w:rPr>
          <w:u w:val="single"/>
        </w:rPr>
        <w:t>,</w:t>
      </w:r>
      <w:r w:rsidR="00CF6A1F">
        <w:t xml:space="preserve"> NOT the latest Company internally generated “official” price curves</w:t>
      </w:r>
      <w:r>
        <w:t xml:space="preserve">.  For example, </w:t>
      </w:r>
      <w:r w:rsidR="005B1BD8">
        <w:t xml:space="preserve">Staff and </w:t>
      </w:r>
      <w:r>
        <w:t xml:space="preserve">the intervening parties are familiar with using a </w:t>
      </w:r>
      <w:r w:rsidR="00844E17">
        <w:t>three</w:t>
      </w:r>
      <w:r>
        <w:t xml:space="preserve">-month rolling average of rate year </w:t>
      </w:r>
      <w:r w:rsidR="00CF6A1F">
        <w:t xml:space="preserve">forward </w:t>
      </w:r>
      <w:r>
        <w:t>gas pr</w:t>
      </w:r>
      <w:r w:rsidR="00CF6A1F">
        <w:t xml:space="preserve">ices in proceedings involving the other regulated electric utilities. </w:t>
      </w:r>
      <w:r w:rsidR="009B47A8">
        <w:t xml:space="preserve">The Commission should order the Company </w:t>
      </w:r>
      <w:r w:rsidR="00844E17">
        <w:t>to use</w:t>
      </w:r>
      <w:r w:rsidR="005B1BD8">
        <w:t xml:space="preserve"> such easily auditable pricing data  and </w:t>
      </w:r>
      <w:r w:rsidR="009B47A8">
        <w:t xml:space="preserve">to provide immediate access to resources sufficient for the parties to review and audit the updated data and results in a timely manner. </w:t>
      </w:r>
      <w:r w:rsidR="00CF6A1F">
        <w:t xml:space="preserve">The longer-term solution is for the Company to move away from the </w:t>
      </w:r>
      <w:r w:rsidR="00BC36D7">
        <w:t xml:space="preserve">basic </w:t>
      </w:r>
      <w:r w:rsidR="00CF6A1F">
        <w:t xml:space="preserve">GRID model and to the same power supply dispatch model </w:t>
      </w:r>
      <w:r w:rsidR="005B1BD8">
        <w:t xml:space="preserve">used by </w:t>
      </w:r>
      <w:r w:rsidR="00844E17">
        <w:t xml:space="preserve">the </w:t>
      </w:r>
      <w:r w:rsidR="005B1BD8">
        <w:t xml:space="preserve">other Commission regulated electric utilities </w:t>
      </w:r>
      <w:r w:rsidR="00CF6A1F">
        <w:t xml:space="preserve">and </w:t>
      </w:r>
      <w:r w:rsidR="005B1BD8">
        <w:t xml:space="preserve">to </w:t>
      </w:r>
      <w:r w:rsidR="00844E17">
        <w:t>use</w:t>
      </w:r>
      <w:r w:rsidR="005B1BD8">
        <w:t xml:space="preserve"> </w:t>
      </w:r>
      <w:r w:rsidR="00CF6A1F">
        <w:lastRenderedPageBreak/>
        <w:t>general forward pricing methodolog</w:t>
      </w:r>
      <w:r w:rsidR="005B1BD8">
        <w:t xml:space="preserve">ies for rate making purposes </w:t>
      </w:r>
      <w:r w:rsidR="00844E17">
        <w:t>that are</w:t>
      </w:r>
      <w:r w:rsidR="00CF6A1F">
        <w:t xml:space="preserve"> </w:t>
      </w:r>
      <w:r w:rsidR="00261BD9">
        <w:t xml:space="preserve">as </w:t>
      </w:r>
      <w:r w:rsidR="005B1BD8">
        <w:t>consistent with one another as possible</w:t>
      </w:r>
      <w:r w:rsidR="00CF6A1F">
        <w:t xml:space="preserve">.  </w:t>
      </w:r>
    </w:p>
    <w:p w:rsidR="00CF6A1F" w:rsidRDefault="00CF6A1F" w:rsidP="00DD681C">
      <w:pPr>
        <w:pStyle w:val="BodyTextIndent"/>
      </w:pPr>
    </w:p>
    <w:p w:rsidR="00CF6A1F" w:rsidRPr="00C65046" w:rsidRDefault="00CF6A1F" w:rsidP="00DD681C">
      <w:pPr>
        <w:pStyle w:val="BodyTextIndent"/>
        <w:rPr>
          <w:b/>
        </w:rPr>
      </w:pPr>
      <w:r w:rsidRPr="00C65046">
        <w:rPr>
          <w:b/>
        </w:rPr>
        <w:t>Q.</w:t>
      </w:r>
      <w:r w:rsidRPr="00C65046">
        <w:rPr>
          <w:b/>
        </w:rPr>
        <w:tab/>
        <w:t xml:space="preserve">Do you believe having a common power supply dispatch model and </w:t>
      </w:r>
      <w:r w:rsidR="005B1BD8">
        <w:rPr>
          <w:b/>
        </w:rPr>
        <w:t xml:space="preserve">consistent </w:t>
      </w:r>
      <w:r w:rsidRPr="00C65046">
        <w:rPr>
          <w:b/>
        </w:rPr>
        <w:t>general forward pricing methodology for all of the regulated electric companies will provide some benefits to ratepayers?</w:t>
      </w:r>
    </w:p>
    <w:p w:rsidR="00D63D97" w:rsidRDefault="00CF6A1F" w:rsidP="00DD681C">
      <w:pPr>
        <w:pStyle w:val="BodyTextIndent"/>
      </w:pPr>
      <w:r>
        <w:t>A.</w:t>
      </w:r>
      <w:r>
        <w:tab/>
        <w:t xml:space="preserve">Yes.  Puget Sound Energy and </w:t>
      </w:r>
      <w:proofErr w:type="spellStart"/>
      <w:r>
        <w:t>Avista</w:t>
      </w:r>
      <w:proofErr w:type="spellEnd"/>
      <w:r>
        <w:t xml:space="preserve"> currently use EPIS, Inc</w:t>
      </w:r>
      <w:r w:rsidR="00841647">
        <w:t>.</w:t>
      </w:r>
      <w:r>
        <w:t>’s AURORA market forecasting model for rate case proceeding</w:t>
      </w:r>
      <w:r w:rsidR="00844E17">
        <w:t>s</w:t>
      </w:r>
      <w:r>
        <w:t xml:space="preserve"> before this commission.  Pacifi</w:t>
      </w:r>
      <w:r w:rsidR="00841647">
        <w:t>C</w:t>
      </w:r>
      <w:r>
        <w:t xml:space="preserve">orp uses its internally </w:t>
      </w:r>
      <w:r w:rsidR="00C65046">
        <w:t>developed and supported GRID model.  All of the Companies have continued to file regular general rate cases along with their other periodic and necessary filings.  It is important to look for ways to streamline the efforts of all the parties involved in these proceedings</w:t>
      </w:r>
      <w:r w:rsidR="00B73460">
        <w:t xml:space="preserve">.  In general, internal dispatch model issues </w:t>
      </w:r>
      <w:r w:rsidR="005B1BD8">
        <w:t xml:space="preserve">with PSE and </w:t>
      </w:r>
      <w:proofErr w:type="spellStart"/>
      <w:r w:rsidR="005B1BD8">
        <w:t>Avista</w:t>
      </w:r>
      <w:proofErr w:type="spellEnd"/>
      <w:r w:rsidR="005B1BD8">
        <w:t xml:space="preserve"> </w:t>
      </w:r>
      <w:r w:rsidR="00B73460">
        <w:t xml:space="preserve">have decreased significantly, or have been eliminated as the parties have gained familiarity and trust with a common dispatch model.  In addition, the relatively transparent methodology used to update forward gas prices has enabled the parties to carry out timely reviews of updates throughout proceedings without reliance on proprietary or internally generated data.  </w:t>
      </w:r>
    </w:p>
    <w:p w:rsidR="009B47A8" w:rsidRDefault="009B47A8" w:rsidP="00DD681C">
      <w:pPr>
        <w:pStyle w:val="BodyTextIndent"/>
      </w:pPr>
    </w:p>
    <w:p w:rsidR="00FD3666" w:rsidRPr="00BC36D7" w:rsidRDefault="00FD3666" w:rsidP="00DD681C">
      <w:pPr>
        <w:pStyle w:val="BodyTextIndent"/>
        <w:rPr>
          <w:b/>
        </w:rPr>
      </w:pPr>
      <w:r w:rsidRPr="00BC36D7">
        <w:rPr>
          <w:b/>
        </w:rPr>
        <w:t>Q.</w:t>
      </w:r>
      <w:r w:rsidRPr="00BC36D7">
        <w:rPr>
          <w:b/>
        </w:rPr>
        <w:tab/>
        <w:t>Should the Company be allowed to present additional updates, including support for hydro generation changes or coal price changes, as part of its rebuttal filing in this proceeding?</w:t>
      </w:r>
    </w:p>
    <w:p w:rsidR="00C556D1" w:rsidRDefault="00FD3666" w:rsidP="00D63D97">
      <w:pPr>
        <w:pStyle w:val="BodyTextIndent"/>
      </w:pPr>
      <w:r>
        <w:t>A.</w:t>
      </w:r>
      <w:r>
        <w:tab/>
        <w:t>No.</w:t>
      </w:r>
      <w:r w:rsidR="00BC36D7">
        <w:t xml:space="preserve">  The context for this case should remain within the spirit of the “make-whole rate filing approach” suggested by the Company.  To allow unsupported</w:t>
      </w:r>
      <w:r w:rsidR="00E3355E">
        <w:t xml:space="preserve">, untimely, </w:t>
      </w:r>
      <w:r w:rsidR="00BC36D7">
        <w:lastRenderedPageBreak/>
        <w:t xml:space="preserve">or additional </w:t>
      </w:r>
      <w:r w:rsidR="00844E17">
        <w:t xml:space="preserve">belated </w:t>
      </w:r>
      <w:r w:rsidR="00BC36D7">
        <w:t xml:space="preserve">adjustments would violate this intent.  </w:t>
      </w:r>
      <w:r w:rsidR="00AA6471">
        <w:t xml:space="preserve">Although the Commission has not adopted a set regulatory framework for proceeding with what might be called a “make-whole” rate case, Staff and the intervening parties should certainly expect the Company to maintain its stated intent </w:t>
      </w:r>
      <w:r w:rsidR="00734BD0">
        <w:t>to “</w:t>
      </w:r>
      <w:r w:rsidR="00734BD0" w:rsidRPr="004D7594">
        <w:t>minimize controversy and encourage expeditious resolution</w:t>
      </w:r>
      <w:r w:rsidR="006C2A56">
        <w:t>.”</w:t>
      </w:r>
      <w:r w:rsidR="00734BD0">
        <w:t xml:space="preserve">   Exhibit No.</w:t>
      </w:r>
      <w:r w:rsidR="00752266">
        <w:t xml:space="preserve"> </w:t>
      </w:r>
      <w:r w:rsidR="00734BD0">
        <w:t>___</w:t>
      </w:r>
      <w:r w:rsidR="00752266">
        <w:t xml:space="preserve"> </w:t>
      </w:r>
      <w:r w:rsidR="00734BD0">
        <w:t xml:space="preserve">(ALK-1T), page 7.   From a real and practical perspective, both Staff and intervening parties must schedule resources, make assignments, and carry out other business with certain </w:t>
      </w:r>
      <w:r w:rsidR="009179C2">
        <w:t xml:space="preserve">rate case </w:t>
      </w:r>
      <w:r w:rsidR="00734BD0">
        <w:t>expectations in mind, including the needs of the Commission, the Company, and their constituents</w:t>
      </w:r>
      <w:r w:rsidR="009179C2">
        <w:t>.  However, neither Staff, nor the intervening parties, should be expected to process, evaluate, and make recommendations regarding burdensome updates to any</w:t>
      </w:r>
      <w:r w:rsidR="00F8017F">
        <w:t>,</w:t>
      </w:r>
      <w:r w:rsidR="009179C2">
        <w:t xml:space="preserve"> </w:t>
      </w:r>
      <w:r w:rsidR="00F8017F">
        <w:t xml:space="preserve">and all, </w:t>
      </w:r>
      <w:r w:rsidR="009179C2">
        <w:t>cost components with little or no warning, and in some cases questionable support, including during the rebuttal phase of a proceeding.  Fortunately, the regulated electric companies have for the most part been working with Staff and intervening parties to eliminate issues associated with providing updated costs, particularly power cost related ones, to the Co</w:t>
      </w:r>
      <w:r w:rsidR="00F8017F">
        <w:t>m</w:t>
      </w:r>
      <w:r w:rsidR="009179C2">
        <w:t>mission for their consideration</w:t>
      </w:r>
      <w:r w:rsidR="00F8017F">
        <w:t xml:space="preserve"> during rate cases</w:t>
      </w:r>
      <w:r w:rsidR="009179C2">
        <w:t>.  However, in this instance</w:t>
      </w:r>
      <w:r w:rsidR="00F8017F">
        <w:t>,</w:t>
      </w:r>
      <w:r w:rsidR="009179C2">
        <w:t xml:space="preserve"> I suspect that a gap remains between what the Company may believe is appropriate to update and what Staff and others believe appropriate.</w:t>
      </w:r>
      <w:r w:rsidR="00F8017F">
        <w:t xml:space="preserve">  As stated in the testimony above, my recommendation is simply to not allow further increases, other than those proposed in the Company’s direct case, in coal costs associated with an affiliated mine at this time, and to not allow the Company to include the effects of any adjustments in hydro generation levels until a complete and thorough study can be carried out and evaluated by the parties.   All other proposed cost updates are proposed to be </w:t>
      </w:r>
      <w:r w:rsidR="00F8017F">
        <w:lastRenderedPageBreak/>
        <w:t>allowed, including a final update of net power costs due to the latest electric and gas market prices.</w:t>
      </w:r>
    </w:p>
    <w:p w:rsidR="00C556D1" w:rsidRDefault="00C556D1" w:rsidP="00D63D97">
      <w:pPr>
        <w:pStyle w:val="BodyTextIndent"/>
      </w:pPr>
    </w:p>
    <w:p w:rsidR="000B0A46" w:rsidRDefault="000511A4" w:rsidP="00D63D97">
      <w:pPr>
        <w:pStyle w:val="BodyTextIndent"/>
        <w:rPr>
          <w:b/>
          <w:bCs/>
        </w:rPr>
      </w:pPr>
      <w:r w:rsidRPr="00C556D1">
        <w:rPr>
          <w:b/>
        </w:rPr>
        <w:t>Q.</w:t>
      </w:r>
      <w:r>
        <w:tab/>
      </w:r>
      <w:r w:rsidR="000B0A46">
        <w:rPr>
          <w:b/>
          <w:bCs/>
        </w:rPr>
        <w:t>Does this conclude your testimony?</w:t>
      </w:r>
    </w:p>
    <w:p w:rsidR="000B0A46" w:rsidRDefault="000B0A46" w:rsidP="00E65FAF">
      <w:pPr>
        <w:pStyle w:val="BodyTextIndent"/>
      </w:pPr>
      <w:r>
        <w:t>A.</w:t>
      </w:r>
      <w:r>
        <w:tab/>
        <w:t xml:space="preserve">Yes.  </w:t>
      </w:r>
    </w:p>
    <w:p w:rsidR="00BC4FEC" w:rsidRDefault="00BC4FEC">
      <w:pPr>
        <w:spacing w:line="480" w:lineRule="auto"/>
      </w:pPr>
    </w:p>
    <w:p w:rsidR="00BC4FEC" w:rsidRDefault="00BC4FEC">
      <w:pPr>
        <w:spacing w:line="480" w:lineRule="auto"/>
      </w:pPr>
    </w:p>
    <w:sectPr w:rsidR="00BC4FEC" w:rsidSect="00C556D1">
      <w:footerReference w:type="default" r:id="rId15"/>
      <w:type w:val="continuous"/>
      <w:pgSz w:w="12240" w:h="15840" w:code="1"/>
      <w:pgMar w:top="1440" w:right="1440" w:bottom="1440" w:left="1872"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403" w:rsidRDefault="00580403" w:rsidP="000E1A75">
      <w:r>
        <w:separator/>
      </w:r>
    </w:p>
  </w:endnote>
  <w:endnote w:type="continuationSeparator" w:id="0">
    <w:p w:rsidR="00580403" w:rsidRDefault="00580403" w:rsidP="000E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403" w:rsidRPr="00DC40BC" w:rsidRDefault="00580403">
    <w:pPr>
      <w:pStyle w:val="Footer"/>
      <w:rPr>
        <w:sz w:val="20"/>
        <w:szCs w:val="20"/>
      </w:rPr>
    </w:pPr>
  </w:p>
  <w:p w:rsidR="00580403" w:rsidRPr="00DC40BC" w:rsidRDefault="00580403">
    <w:pPr>
      <w:pStyle w:val="Footer"/>
      <w:rPr>
        <w:sz w:val="20"/>
        <w:szCs w:val="20"/>
      </w:rPr>
    </w:pPr>
    <w:r w:rsidRPr="00DC40BC">
      <w:rPr>
        <w:sz w:val="20"/>
        <w:szCs w:val="20"/>
      </w:rPr>
      <w:t>TESTIMONY O</w:t>
    </w:r>
    <w:r>
      <w:rPr>
        <w:sz w:val="20"/>
        <w:szCs w:val="20"/>
      </w:rPr>
      <w:t xml:space="preserve">F ALAN P. BUCKLEY </w:t>
    </w:r>
    <w:r>
      <w:rPr>
        <w:sz w:val="20"/>
        <w:szCs w:val="20"/>
      </w:rPr>
      <w:tab/>
    </w:r>
    <w:r>
      <w:rPr>
        <w:sz w:val="20"/>
        <w:szCs w:val="20"/>
      </w:rPr>
      <w:tab/>
      <w:t>Exhibit No. ___ CT (APB-1CT)</w:t>
    </w:r>
  </w:p>
  <w:p w:rsidR="00580403" w:rsidRDefault="00580403" w:rsidP="00153ECA">
    <w:pPr>
      <w:pStyle w:val="Footer"/>
      <w:rPr>
        <w:rStyle w:val="PageNumber"/>
        <w:sz w:val="20"/>
        <w:szCs w:val="20"/>
        <w:lang w:val="fr-FR"/>
      </w:rPr>
    </w:pPr>
    <w:r w:rsidRPr="00DC40BC">
      <w:rPr>
        <w:sz w:val="20"/>
        <w:szCs w:val="20"/>
      </w:rPr>
      <w:t>Docket</w:t>
    </w:r>
    <w:r>
      <w:rPr>
        <w:sz w:val="20"/>
        <w:szCs w:val="20"/>
        <w:lang w:val="fr-FR"/>
      </w:rPr>
      <w:t xml:space="preserve"> UE-111190</w:t>
    </w:r>
    <w:r w:rsidRPr="00DC40BC">
      <w:rPr>
        <w:sz w:val="20"/>
        <w:szCs w:val="20"/>
        <w:lang w:val="fr-FR"/>
      </w:rPr>
      <w:tab/>
    </w:r>
    <w:r w:rsidRPr="00DC40BC">
      <w:rPr>
        <w:sz w:val="20"/>
        <w:szCs w:val="20"/>
        <w:lang w:val="fr-FR"/>
      </w:rPr>
      <w:tab/>
      <w:t xml:space="preserve">Page </w:t>
    </w:r>
    <w:r w:rsidRPr="00DC40BC">
      <w:rPr>
        <w:rStyle w:val="PageNumber"/>
        <w:sz w:val="20"/>
        <w:szCs w:val="20"/>
        <w:lang w:val="fr-FR"/>
      </w:rPr>
      <w:fldChar w:fldCharType="begin"/>
    </w:r>
    <w:r w:rsidRPr="00DC40BC">
      <w:rPr>
        <w:rStyle w:val="PageNumber"/>
        <w:sz w:val="20"/>
        <w:szCs w:val="20"/>
        <w:lang w:val="fr-FR"/>
      </w:rPr>
      <w:instrText xml:space="preserve"> PAGE </w:instrText>
    </w:r>
    <w:r w:rsidRPr="00DC40BC">
      <w:rPr>
        <w:rStyle w:val="PageNumber"/>
        <w:sz w:val="20"/>
        <w:szCs w:val="20"/>
        <w:lang w:val="fr-FR"/>
      </w:rPr>
      <w:fldChar w:fldCharType="separate"/>
    </w:r>
    <w:r>
      <w:rPr>
        <w:rStyle w:val="PageNumber"/>
        <w:noProof/>
        <w:sz w:val="20"/>
        <w:szCs w:val="20"/>
        <w:lang w:val="fr-FR"/>
      </w:rPr>
      <w:t>1</w:t>
    </w:r>
    <w:r w:rsidRPr="00DC40BC">
      <w:rPr>
        <w:rStyle w:val="PageNumber"/>
        <w:sz w:val="20"/>
        <w:szCs w:val="20"/>
        <w:lang w:val="fr-FR"/>
      </w:rPr>
      <w:fldChar w:fldCharType="end"/>
    </w:r>
  </w:p>
  <w:p w:rsidR="00580403" w:rsidRDefault="00580403" w:rsidP="00153ECA">
    <w:pPr>
      <w:pStyle w:val="Footer"/>
      <w:rPr>
        <w:rStyle w:val="PageNumber"/>
        <w:sz w:val="20"/>
        <w:szCs w:val="20"/>
        <w:lang w:val="fr-FR"/>
      </w:rPr>
    </w:pPr>
  </w:p>
  <w:p w:rsidR="00580403" w:rsidRPr="00DC40BC" w:rsidRDefault="00580403" w:rsidP="00153ECA">
    <w:pPr>
      <w:pStyle w:val="Footer"/>
      <w:rPr>
        <w:sz w:val="20"/>
        <w:szCs w:val="20"/>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403" w:rsidRPr="00DC40BC" w:rsidRDefault="00580403">
    <w:pPr>
      <w:pStyle w:val="Footer"/>
      <w:rPr>
        <w:sz w:val="20"/>
        <w:szCs w:val="20"/>
      </w:rPr>
    </w:pPr>
  </w:p>
  <w:p w:rsidR="00580403" w:rsidRPr="00DC40BC" w:rsidRDefault="00580403">
    <w:pPr>
      <w:pStyle w:val="Footer"/>
      <w:rPr>
        <w:sz w:val="20"/>
        <w:szCs w:val="20"/>
      </w:rPr>
    </w:pPr>
    <w:r w:rsidRPr="00DC40BC">
      <w:rPr>
        <w:sz w:val="20"/>
        <w:szCs w:val="20"/>
      </w:rPr>
      <w:t>TESTIMONY O</w:t>
    </w:r>
    <w:r>
      <w:rPr>
        <w:sz w:val="20"/>
        <w:szCs w:val="20"/>
      </w:rPr>
      <w:t xml:space="preserve">F ALAN P. BUCKLEY </w:t>
    </w:r>
    <w:r>
      <w:rPr>
        <w:sz w:val="20"/>
        <w:szCs w:val="20"/>
      </w:rPr>
      <w:tab/>
    </w:r>
    <w:r>
      <w:rPr>
        <w:sz w:val="20"/>
        <w:szCs w:val="20"/>
      </w:rPr>
      <w:tab/>
      <w:t>Exhibit No. ___ CT (APB-1CT)</w:t>
    </w:r>
  </w:p>
  <w:p w:rsidR="00580403" w:rsidRDefault="00580403" w:rsidP="00153ECA">
    <w:pPr>
      <w:pStyle w:val="Footer"/>
      <w:rPr>
        <w:rStyle w:val="PageNumber"/>
        <w:sz w:val="20"/>
        <w:szCs w:val="20"/>
        <w:lang w:val="fr-FR"/>
      </w:rPr>
    </w:pPr>
    <w:r w:rsidRPr="00DC40BC">
      <w:rPr>
        <w:sz w:val="20"/>
        <w:szCs w:val="20"/>
      </w:rPr>
      <w:t>Docket</w:t>
    </w:r>
    <w:r>
      <w:rPr>
        <w:sz w:val="20"/>
        <w:szCs w:val="20"/>
        <w:lang w:val="fr-FR"/>
      </w:rPr>
      <w:t xml:space="preserve"> UE-111190</w:t>
    </w:r>
    <w:r w:rsidRPr="00DC40BC">
      <w:rPr>
        <w:sz w:val="20"/>
        <w:szCs w:val="20"/>
        <w:lang w:val="fr-FR"/>
      </w:rPr>
      <w:tab/>
    </w:r>
    <w:r w:rsidRPr="00DC40BC">
      <w:rPr>
        <w:sz w:val="20"/>
        <w:szCs w:val="20"/>
        <w:lang w:val="fr-FR"/>
      </w:rPr>
      <w:tab/>
      <w:t xml:space="preserve">Page </w:t>
    </w:r>
    <w:r w:rsidRPr="00DC40BC">
      <w:rPr>
        <w:rStyle w:val="PageNumber"/>
        <w:sz w:val="20"/>
        <w:szCs w:val="20"/>
        <w:lang w:val="fr-FR"/>
      </w:rPr>
      <w:fldChar w:fldCharType="begin"/>
    </w:r>
    <w:r w:rsidRPr="00DC40BC">
      <w:rPr>
        <w:rStyle w:val="PageNumber"/>
        <w:sz w:val="20"/>
        <w:szCs w:val="20"/>
        <w:lang w:val="fr-FR"/>
      </w:rPr>
      <w:instrText xml:space="preserve"> PAGE </w:instrText>
    </w:r>
    <w:r w:rsidRPr="00DC40BC">
      <w:rPr>
        <w:rStyle w:val="PageNumber"/>
        <w:sz w:val="20"/>
        <w:szCs w:val="20"/>
        <w:lang w:val="fr-FR"/>
      </w:rPr>
      <w:fldChar w:fldCharType="separate"/>
    </w:r>
    <w:r w:rsidR="00207B92">
      <w:rPr>
        <w:rStyle w:val="PageNumber"/>
        <w:noProof/>
        <w:sz w:val="20"/>
        <w:szCs w:val="20"/>
        <w:lang w:val="fr-FR"/>
      </w:rPr>
      <w:t>6</w:t>
    </w:r>
    <w:r w:rsidRPr="00DC40BC">
      <w:rPr>
        <w:rStyle w:val="PageNumber"/>
        <w:sz w:val="20"/>
        <w:szCs w:val="20"/>
        <w:lang w:val="fr-FR"/>
      </w:rPr>
      <w:fldChar w:fldCharType="end"/>
    </w:r>
  </w:p>
  <w:p w:rsidR="00580403" w:rsidRDefault="00580403" w:rsidP="00153ECA">
    <w:pPr>
      <w:pStyle w:val="Footer"/>
      <w:rPr>
        <w:rStyle w:val="PageNumber"/>
        <w:sz w:val="20"/>
        <w:szCs w:val="20"/>
        <w:lang w:val="fr-FR"/>
      </w:rPr>
    </w:pPr>
  </w:p>
  <w:p w:rsidR="00580403" w:rsidRPr="00DC40BC" w:rsidRDefault="00580403" w:rsidP="00153ECA">
    <w:pPr>
      <w:pStyle w:val="Footer"/>
      <w:rPr>
        <w:sz w:val="20"/>
        <w:szCs w:val="20"/>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403" w:rsidRPr="00DC40BC" w:rsidRDefault="00580403">
    <w:pPr>
      <w:pStyle w:val="Footer"/>
      <w:rPr>
        <w:sz w:val="20"/>
        <w:szCs w:val="20"/>
      </w:rPr>
    </w:pPr>
    <w:r w:rsidRPr="00DC40BC">
      <w:rPr>
        <w:sz w:val="20"/>
        <w:szCs w:val="20"/>
      </w:rPr>
      <w:t>TESTIMONY O</w:t>
    </w:r>
    <w:r>
      <w:rPr>
        <w:sz w:val="20"/>
        <w:szCs w:val="20"/>
      </w:rPr>
      <w:t xml:space="preserve">F ALAN P. BUCKLEY </w:t>
    </w:r>
    <w:r>
      <w:rPr>
        <w:sz w:val="20"/>
        <w:szCs w:val="20"/>
      </w:rPr>
      <w:tab/>
    </w:r>
    <w:r>
      <w:rPr>
        <w:sz w:val="20"/>
        <w:szCs w:val="20"/>
      </w:rPr>
      <w:tab/>
      <w:t>Exhibit No. ___ CT (APB-1CT)</w:t>
    </w:r>
  </w:p>
  <w:p w:rsidR="00580403" w:rsidRDefault="00580403" w:rsidP="00153ECA">
    <w:pPr>
      <w:pStyle w:val="Footer"/>
      <w:rPr>
        <w:rStyle w:val="PageNumber"/>
        <w:sz w:val="20"/>
        <w:szCs w:val="20"/>
        <w:lang w:val="fr-FR"/>
      </w:rPr>
    </w:pPr>
    <w:r w:rsidRPr="00DC40BC">
      <w:rPr>
        <w:sz w:val="20"/>
        <w:szCs w:val="20"/>
      </w:rPr>
      <w:t>Docket</w:t>
    </w:r>
    <w:r>
      <w:rPr>
        <w:sz w:val="20"/>
        <w:szCs w:val="20"/>
        <w:lang w:val="fr-FR"/>
      </w:rPr>
      <w:t xml:space="preserve"> UE-111190</w:t>
    </w:r>
    <w:r w:rsidRPr="00DC40BC">
      <w:rPr>
        <w:sz w:val="20"/>
        <w:szCs w:val="20"/>
        <w:lang w:val="fr-FR"/>
      </w:rPr>
      <w:tab/>
    </w:r>
    <w:r w:rsidRPr="00DC40BC">
      <w:rPr>
        <w:sz w:val="20"/>
        <w:szCs w:val="20"/>
        <w:lang w:val="fr-FR"/>
      </w:rPr>
      <w:tab/>
      <w:t xml:space="preserve">Page </w:t>
    </w:r>
    <w:r w:rsidRPr="00DC40BC">
      <w:rPr>
        <w:rStyle w:val="PageNumber"/>
        <w:sz w:val="20"/>
        <w:szCs w:val="20"/>
        <w:lang w:val="fr-FR"/>
      </w:rPr>
      <w:fldChar w:fldCharType="begin"/>
    </w:r>
    <w:r w:rsidRPr="00DC40BC">
      <w:rPr>
        <w:rStyle w:val="PageNumber"/>
        <w:sz w:val="20"/>
        <w:szCs w:val="20"/>
        <w:lang w:val="fr-FR"/>
      </w:rPr>
      <w:instrText xml:space="preserve"> PAGE </w:instrText>
    </w:r>
    <w:r w:rsidRPr="00DC40BC">
      <w:rPr>
        <w:rStyle w:val="PageNumber"/>
        <w:sz w:val="20"/>
        <w:szCs w:val="20"/>
        <w:lang w:val="fr-FR"/>
      </w:rPr>
      <w:fldChar w:fldCharType="separate"/>
    </w:r>
    <w:r w:rsidR="00207B92">
      <w:rPr>
        <w:rStyle w:val="PageNumber"/>
        <w:noProof/>
        <w:sz w:val="20"/>
        <w:szCs w:val="20"/>
        <w:lang w:val="fr-FR"/>
      </w:rPr>
      <w:t>7</w:t>
    </w:r>
    <w:r w:rsidRPr="00DC40BC">
      <w:rPr>
        <w:rStyle w:val="PageNumber"/>
        <w:sz w:val="20"/>
        <w:szCs w:val="20"/>
        <w:lang w:val="fr-FR"/>
      </w:rPr>
      <w:fldChar w:fldCharType="end"/>
    </w:r>
  </w:p>
  <w:p w:rsidR="00580403" w:rsidRDefault="00580403" w:rsidP="00153ECA">
    <w:pPr>
      <w:pStyle w:val="Footer"/>
      <w:rPr>
        <w:rStyle w:val="PageNumber"/>
        <w:sz w:val="20"/>
        <w:szCs w:val="20"/>
        <w:lang w:val="fr-FR"/>
      </w:rPr>
    </w:pPr>
  </w:p>
  <w:p w:rsidR="00580403" w:rsidRPr="00DC40BC" w:rsidRDefault="00580403" w:rsidP="00853136">
    <w:pPr>
      <w:pStyle w:val="Footer"/>
      <w:jc w:val="center"/>
      <w:rPr>
        <w:sz w:val="20"/>
        <w:szCs w:val="20"/>
        <w:lang w:val="fr-FR"/>
      </w:rPr>
    </w:pPr>
    <w:r>
      <w:rPr>
        <w:rStyle w:val="PageNumber"/>
        <w:b/>
        <w:sz w:val="20"/>
        <w:szCs w:val="20"/>
        <w:lang w:val="fr-FR"/>
      </w:rPr>
      <w:t>CONFIDENTIAL PER PROTECTIVE ORDER – REDACTED VERSION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403" w:rsidRPr="00DC40BC" w:rsidRDefault="00580403">
    <w:pPr>
      <w:pStyle w:val="Footer"/>
      <w:rPr>
        <w:sz w:val="20"/>
        <w:szCs w:val="20"/>
      </w:rPr>
    </w:pPr>
  </w:p>
  <w:p w:rsidR="00580403" w:rsidRPr="00DC40BC" w:rsidRDefault="00580403">
    <w:pPr>
      <w:pStyle w:val="Footer"/>
      <w:rPr>
        <w:sz w:val="20"/>
        <w:szCs w:val="20"/>
      </w:rPr>
    </w:pPr>
    <w:r w:rsidRPr="00DC40BC">
      <w:rPr>
        <w:sz w:val="20"/>
        <w:szCs w:val="20"/>
      </w:rPr>
      <w:t>TESTIMONY O</w:t>
    </w:r>
    <w:r>
      <w:rPr>
        <w:sz w:val="20"/>
        <w:szCs w:val="20"/>
      </w:rPr>
      <w:t xml:space="preserve">F ALAN P. BUCKLEY </w:t>
    </w:r>
    <w:r>
      <w:rPr>
        <w:sz w:val="20"/>
        <w:szCs w:val="20"/>
      </w:rPr>
      <w:tab/>
    </w:r>
    <w:r>
      <w:rPr>
        <w:sz w:val="20"/>
        <w:szCs w:val="20"/>
      </w:rPr>
      <w:tab/>
      <w:t>Exhibit No. ___ CT (APB-1CT)</w:t>
    </w:r>
  </w:p>
  <w:p w:rsidR="00580403" w:rsidRDefault="00580403" w:rsidP="00153ECA">
    <w:pPr>
      <w:pStyle w:val="Footer"/>
      <w:rPr>
        <w:rStyle w:val="PageNumber"/>
        <w:sz w:val="20"/>
        <w:szCs w:val="20"/>
        <w:lang w:val="fr-FR"/>
      </w:rPr>
    </w:pPr>
    <w:r w:rsidRPr="00DC40BC">
      <w:rPr>
        <w:sz w:val="20"/>
        <w:szCs w:val="20"/>
      </w:rPr>
      <w:t>Docket</w:t>
    </w:r>
    <w:r>
      <w:rPr>
        <w:sz w:val="20"/>
        <w:szCs w:val="20"/>
        <w:lang w:val="fr-FR"/>
      </w:rPr>
      <w:t xml:space="preserve"> UE-111190</w:t>
    </w:r>
    <w:r w:rsidRPr="00DC40BC">
      <w:rPr>
        <w:sz w:val="20"/>
        <w:szCs w:val="20"/>
        <w:lang w:val="fr-FR"/>
      </w:rPr>
      <w:tab/>
    </w:r>
    <w:r w:rsidRPr="00DC40BC">
      <w:rPr>
        <w:sz w:val="20"/>
        <w:szCs w:val="20"/>
        <w:lang w:val="fr-FR"/>
      </w:rPr>
      <w:tab/>
      <w:t xml:space="preserve">Page </w:t>
    </w:r>
    <w:r w:rsidRPr="00DC40BC">
      <w:rPr>
        <w:rStyle w:val="PageNumber"/>
        <w:sz w:val="20"/>
        <w:szCs w:val="20"/>
        <w:lang w:val="fr-FR"/>
      </w:rPr>
      <w:fldChar w:fldCharType="begin"/>
    </w:r>
    <w:r w:rsidRPr="00DC40BC">
      <w:rPr>
        <w:rStyle w:val="PageNumber"/>
        <w:sz w:val="20"/>
        <w:szCs w:val="20"/>
        <w:lang w:val="fr-FR"/>
      </w:rPr>
      <w:instrText xml:space="preserve"> PAGE </w:instrText>
    </w:r>
    <w:r w:rsidRPr="00DC40BC">
      <w:rPr>
        <w:rStyle w:val="PageNumber"/>
        <w:sz w:val="20"/>
        <w:szCs w:val="20"/>
        <w:lang w:val="fr-FR"/>
      </w:rPr>
      <w:fldChar w:fldCharType="separate"/>
    </w:r>
    <w:r w:rsidR="00207B92">
      <w:rPr>
        <w:rStyle w:val="PageNumber"/>
        <w:noProof/>
        <w:sz w:val="20"/>
        <w:szCs w:val="20"/>
        <w:lang w:val="fr-FR"/>
      </w:rPr>
      <w:t>15</w:t>
    </w:r>
    <w:r w:rsidRPr="00DC40BC">
      <w:rPr>
        <w:rStyle w:val="PageNumber"/>
        <w:sz w:val="20"/>
        <w:szCs w:val="20"/>
        <w:lang w:val="fr-FR"/>
      </w:rPr>
      <w:fldChar w:fldCharType="end"/>
    </w:r>
  </w:p>
  <w:p w:rsidR="00580403" w:rsidRDefault="00580403" w:rsidP="00153ECA">
    <w:pPr>
      <w:pStyle w:val="Footer"/>
      <w:rPr>
        <w:rStyle w:val="PageNumber"/>
        <w:sz w:val="20"/>
        <w:szCs w:val="20"/>
        <w:lang w:val="fr-F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403" w:rsidRPr="00DC40BC" w:rsidRDefault="00580403">
    <w:pPr>
      <w:pStyle w:val="Footer"/>
      <w:rPr>
        <w:sz w:val="20"/>
        <w:szCs w:val="20"/>
      </w:rPr>
    </w:pPr>
  </w:p>
  <w:p w:rsidR="00580403" w:rsidRPr="00DC40BC" w:rsidRDefault="00580403">
    <w:pPr>
      <w:pStyle w:val="Footer"/>
      <w:rPr>
        <w:sz w:val="20"/>
        <w:szCs w:val="20"/>
      </w:rPr>
    </w:pPr>
    <w:r w:rsidRPr="00DC40BC">
      <w:rPr>
        <w:sz w:val="20"/>
        <w:szCs w:val="20"/>
      </w:rPr>
      <w:t>TESTIMONY O</w:t>
    </w:r>
    <w:r>
      <w:rPr>
        <w:sz w:val="20"/>
        <w:szCs w:val="20"/>
      </w:rPr>
      <w:t xml:space="preserve">F ALAN P. BUCKLEY </w:t>
    </w:r>
    <w:r>
      <w:rPr>
        <w:sz w:val="20"/>
        <w:szCs w:val="20"/>
      </w:rPr>
      <w:tab/>
    </w:r>
    <w:r>
      <w:rPr>
        <w:sz w:val="20"/>
        <w:szCs w:val="20"/>
      </w:rPr>
      <w:tab/>
      <w:t>Exhibit No. ___ CT (APB-1CT)</w:t>
    </w:r>
  </w:p>
  <w:p w:rsidR="00580403" w:rsidRDefault="00580403" w:rsidP="00153ECA">
    <w:pPr>
      <w:pStyle w:val="Footer"/>
      <w:rPr>
        <w:rStyle w:val="PageNumber"/>
        <w:sz w:val="20"/>
        <w:szCs w:val="20"/>
        <w:lang w:val="fr-FR"/>
      </w:rPr>
    </w:pPr>
    <w:r w:rsidRPr="00DC40BC">
      <w:rPr>
        <w:sz w:val="20"/>
        <w:szCs w:val="20"/>
      </w:rPr>
      <w:t>Docket</w:t>
    </w:r>
    <w:r>
      <w:rPr>
        <w:sz w:val="20"/>
        <w:szCs w:val="20"/>
        <w:lang w:val="fr-FR"/>
      </w:rPr>
      <w:t xml:space="preserve"> UE-111190</w:t>
    </w:r>
    <w:r w:rsidRPr="00DC40BC">
      <w:rPr>
        <w:sz w:val="20"/>
        <w:szCs w:val="20"/>
        <w:lang w:val="fr-FR"/>
      </w:rPr>
      <w:tab/>
    </w:r>
    <w:r w:rsidRPr="00DC40BC">
      <w:rPr>
        <w:sz w:val="20"/>
        <w:szCs w:val="20"/>
        <w:lang w:val="fr-FR"/>
      </w:rPr>
      <w:tab/>
      <w:t xml:space="preserve">Page </w:t>
    </w:r>
    <w:r w:rsidRPr="00DC40BC">
      <w:rPr>
        <w:rStyle w:val="PageNumber"/>
        <w:sz w:val="20"/>
        <w:szCs w:val="20"/>
        <w:lang w:val="fr-FR"/>
      </w:rPr>
      <w:fldChar w:fldCharType="begin"/>
    </w:r>
    <w:r w:rsidRPr="00DC40BC">
      <w:rPr>
        <w:rStyle w:val="PageNumber"/>
        <w:sz w:val="20"/>
        <w:szCs w:val="20"/>
        <w:lang w:val="fr-FR"/>
      </w:rPr>
      <w:instrText xml:space="preserve"> PAGE </w:instrText>
    </w:r>
    <w:r w:rsidRPr="00DC40BC">
      <w:rPr>
        <w:rStyle w:val="PageNumber"/>
        <w:sz w:val="20"/>
        <w:szCs w:val="20"/>
        <w:lang w:val="fr-FR"/>
      </w:rPr>
      <w:fldChar w:fldCharType="separate"/>
    </w:r>
    <w:r w:rsidR="00207B92">
      <w:rPr>
        <w:rStyle w:val="PageNumber"/>
        <w:noProof/>
        <w:sz w:val="20"/>
        <w:szCs w:val="20"/>
        <w:lang w:val="fr-FR"/>
      </w:rPr>
      <w:t>16</w:t>
    </w:r>
    <w:r w:rsidRPr="00DC40BC">
      <w:rPr>
        <w:rStyle w:val="PageNumber"/>
        <w:sz w:val="20"/>
        <w:szCs w:val="20"/>
        <w:lang w:val="fr-FR"/>
      </w:rPr>
      <w:fldChar w:fldCharType="end"/>
    </w:r>
  </w:p>
  <w:p w:rsidR="00580403" w:rsidRDefault="00580403" w:rsidP="00153ECA">
    <w:pPr>
      <w:pStyle w:val="Footer"/>
      <w:rPr>
        <w:rStyle w:val="PageNumber"/>
        <w:sz w:val="20"/>
        <w:szCs w:val="20"/>
        <w:lang w:val="fr-FR"/>
      </w:rPr>
    </w:pPr>
  </w:p>
  <w:p w:rsidR="00580403" w:rsidRPr="009E0A4A" w:rsidRDefault="00580403" w:rsidP="009E0A4A">
    <w:pPr>
      <w:pStyle w:val="Footer"/>
      <w:jc w:val="center"/>
      <w:rPr>
        <w:rStyle w:val="PageNumber"/>
        <w:b/>
        <w:sz w:val="20"/>
        <w:szCs w:val="20"/>
        <w:lang w:val="fr-FR"/>
      </w:rPr>
    </w:pPr>
    <w:r>
      <w:rPr>
        <w:rStyle w:val="PageNumber"/>
        <w:b/>
        <w:sz w:val="20"/>
        <w:szCs w:val="20"/>
        <w:lang w:val="fr-FR"/>
      </w:rPr>
      <w:t>CONFIDENTIAL PER PROTECTIVE ORDER – REDACTED VERSION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403" w:rsidRPr="00DC40BC" w:rsidRDefault="00580403">
    <w:pPr>
      <w:pStyle w:val="Footer"/>
      <w:rPr>
        <w:sz w:val="20"/>
        <w:szCs w:val="20"/>
      </w:rPr>
    </w:pPr>
  </w:p>
  <w:p w:rsidR="00580403" w:rsidRPr="00DC40BC" w:rsidRDefault="00580403">
    <w:pPr>
      <w:pStyle w:val="Footer"/>
      <w:rPr>
        <w:sz w:val="20"/>
        <w:szCs w:val="20"/>
      </w:rPr>
    </w:pPr>
    <w:r w:rsidRPr="00DC40BC">
      <w:rPr>
        <w:sz w:val="20"/>
        <w:szCs w:val="20"/>
      </w:rPr>
      <w:t>TESTIMONY O</w:t>
    </w:r>
    <w:r>
      <w:rPr>
        <w:sz w:val="20"/>
        <w:szCs w:val="20"/>
      </w:rPr>
      <w:t xml:space="preserve">F ALAN P. BUCKLEY </w:t>
    </w:r>
    <w:r>
      <w:rPr>
        <w:sz w:val="20"/>
        <w:szCs w:val="20"/>
      </w:rPr>
      <w:tab/>
    </w:r>
    <w:r>
      <w:rPr>
        <w:sz w:val="20"/>
        <w:szCs w:val="20"/>
      </w:rPr>
      <w:tab/>
      <w:t>Exhibit No. ___ CT (APB-1CT)</w:t>
    </w:r>
  </w:p>
  <w:p w:rsidR="00580403" w:rsidRDefault="00580403" w:rsidP="00153ECA">
    <w:pPr>
      <w:pStyle w:val="Footer"/>
      <w:rPr>
        <w:rStyle w:val="PageNumber"/>
        <w:sz w:val="20"/>
        <w:szCs w:val="20"/>
        <w:lang w:val="fr-FR"/>
      </w:rPr>
    </w:pPr>
    <w:r w:rsidRPr="00DC40BC">
      <w:rPr>
        <w:sz w:val="20"/>
        <w:szCs w:val="20"/>
      </w:rPr>
      <w:t>Docket</w:t>
    </w:r>
    <w:r>
      <w:rPr>
        <w:sz w:val="20"/>
        <w:szCs w:val="20"/>
        <w:lang w:val="fr-FR"/>
      </w:rPr>
      <w:t xml:space="preserve"> UE-111190</w:t>
    </w:r>
    <w:r w:rsidRPr="00DC40BC">
      <w:rPr>
        <w:sz w:val="20"/>
        <w:szCs w:val="20"/>
        <w:lang w:val="fr-FR"/>
      </w:rPr>
      <w:tab/>
    </w:r>
    <w:r w:rsidRPr="00DC40BC">
      <w:rPr>
        <w:sz w:val="20"/>
        <w:szCs w:val="20"/>
        <w:lang w:val="fr-FR"/>
      </w:rPr>
      <w:tab/>
      <w:t xml:space="preserve">Page </w:t>
    </w:r>
    <w:r w:rsidRPr="00DC40BC">
      <w:rPr>
        <w:rStyle w:val="PageNumber"/>
        <w:sz w:val="20"/>
        <w:szCs w:val="20"/>
        <w:lang w:val="fr-FR"/>
      </w:rPr>
      <w:fldChar w:fldCharType="begin"/>
    </w:r>
    <w:r w:rsidRPr="00DC40BC">
      <w:rPr>
        <w:rStyle w:val="PageNumber"/>
        <w:sz w:val="20"/>
        <w:szCs w:val="20"/>
        <w:lang w:val="fr-FR"/>
      </w:rPr>
      <w:instrText xml:space="preserve"> PAGE </w:instrText>
    </w:r>
    <w:r w:rsidRPr="00DC40BC">
      <w:rPr>
        <w:rStyle w:val="PageNumber"/>
        <w:sz w:val="20"/>
        <w:szCs w:val="20"/>
        <w:lang w:val="fr-FR"/>
      </w:rPr>
      <w:fldChar w:fldCharType="separate"/>
    </w:r>
    <w:r w:rsidR="00207B92">
      <w:rPr>
        <w:rStyle w:val="PageNumber"/>
        <w:noProof/>
        <w:sz w:val="20"/>
        <w:szCs w:val="20"/>
        <w:lang w:val="fr-FR"/>
      </w:rPr>
      <w:t>22</w:t>
    </w:r>
    <w:r w:rsidRPr="00DC40BC">
      <w:rPr>
        <w:rStyle w:val="PageNumber"/>
        <w:sz w:val="20"/>
        <w:szCs w:val="20"/>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403" w:rsidRDefault="00580403" w:rsidP="000E1A75">
      <w:r>
        <w:separator/>
      </w:r>
    </w:p>
  </w:footnote>
  <w:footnote w:type="continuationSeparator" w:id="0">
    <w:p w:rsidR="00580403" w:rsidRDefault="00580403" w:rsidP="000E1A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694F"/>
    <w:multiLevelType w:val="hybridMultilevel"/>
    <w:tmpl w:val="1CFE7C4A"/>
    <w:lvl w:ilvl="0" w:tplc="3310710A">
      <w:start w:val="17"/>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9CC7BB8"/>
    <w:multiLevelType w:val="hybridMultilevel"/>
    <w:tmpl w:val="FEBE8B6A"/>
    <w:lvl w:ilvl="0" w:tplc="3BAA7898">
      <w:start w:val="17"/>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BBA1F8B"/>
    <w:multiLevelType w:val="hybridMultilevel"/>
    <w:tmpl w:val="A10A77EE"/>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65575B1"/>
    <w:multiLevelType w:val="hybridMultilevel"/>
    <w:tmpl w:val="5C0A7912"/>
    <w:lvl w:ilvl="0" w:tplc="0090D30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09450D"/>
    <w:multiLevelType w:val="hybridMultilevel"/>
    <w:tmpl w:val="EEEC7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A139E5"/>
    <w:multiLevelType w:val="hybridMultilevel"/>
    <w:tmpl w:val="36E0838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835AC4"/>
    <w:multiLevelType w:val="hybridMultilevel"/>
    <w:tmpl w:val="F95E4F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FC3860"/>
    <w:multiLevelType w:val="hybridMultilevel"/>
    <w:tmpl w:val="471EDDEA"/>
    <w:lvl w:ilvl="0" w:tplc="2B0CC9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D13899"/>
    <w:multiLevelType w:val="hybridMultilevel"/>
    <w:tmpl w:val="FE849A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6A27A6"/>
    <w:multiLevelType w:val="hybridMultilevel"/>
    <w:tmpl w:val="64B4B1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F42FBD"/>
    <w:multiLevelType w:val="hybridMultilevel"/>
    <w:tmpl w:val="60761248"/>
    <w:lvl w:ilvl="0" w:tplc="35F431D0">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3919D3"/>
    <w:multiLevelType w:val="hybridMultilevel"/>
    <w:tmpl w:val="49B64B00"/>
    <w:lvl w:ilvl="0" w:tplc="76BCA31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B936CB"/>
    <w:multiLevelType w:val="hybridMultilevel"/>
    <w:tmpl w:val="11BCB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C81199"/>
    <w:multiLevelType w:val="hybridMultilevel"/>
    <w:tmpl w:val="B522594E"/>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F7872F1"/>
    <w:multiLevelType w:val="hybridMultilevel"/>
    <w:tmpl w:val="D73CC28E"/>
    <w:lvl w:ilvl="0" w:tplc="0114A4B2">
      <w:start w:val="17"/>
      <w:numFmt w:val="upperLetter"/>
      <w:lvlText w:val="%1."/>
      <w:lvlJc w:val="left"/>
      <w:pPr>
        <w:ind w:left="4680" w:hanging="360"/>
      </w:pPr>
      <w:rPr>
        <w:rFonts w:hint="default"/>
        <w:b/>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5">
    <w:nsid w:val="519F74B6"/>
    <w:multiLevelType w:val="hybridMultilevel"/>
    <w:tmpl w:val="64F68C96"/>
    <w:lvl w:ilvl="0" w:tplc="865014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5656D7"/>
    <w:multiLevelType w:val="hybridMultilevel"/>
    <w:tmpl w:val="E83E21A2"/>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C114E6E"/>
    <w:multiLevelType w:val="hybridMultilevel"/>
    <w:tmpl w:val="634A91C2"/>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B112B4"/>
    <w:multiLevelType w:val="hybridMultilevel"/>
    <w:tmpl w:val="2584ABB0"/>
    <w:lvl w:ilvl="0" w:tplc="71B81C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3E46EFE"/>
    <w:multiLevelType w:val="hybridMultilevel"/>
    <w:tmpl w:val="22C8AB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F06083"/>
    <w:multiLevelType w:val="hybridMultilevel"/>
    <w:tmpl w:val="F61E66A8"/>
    <w:lvl w:ilvl="0" w:tplc="3D22C200">
      <w:start w:val="3"/>
      <w:numFmt w:val="upperRoman"/>
      <w:lvlText w:val="%1."/>
      <w:lvlJc w:val="left"/>
      <w:pPr>
        <w:ind w:left="2250" w:hanging="720"/>
      </w:pPr>
      <w:rPr>
        <w:rFonts w:cs="Times New Roman" w:hint="default"/>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21">
    <w:nsid w:val="6F8051C1"/>
    <w:multiLevelType w:val="hybridMultilevel"/>
    <w:tmpl w:val="88C800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77695C1E"/>
    <w:multiLevelType w:val="hybridMultilevel"/>
    <w:tmpl w:val="6A3AC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B5B2971"/>
    <w:multiLevelType w:val="hybridMultilevel"/>
    <w:tmpl w:val="C3B8F816"/>
    <w:lvl w:ilvl="0" w:tplc="7A52413A">
      <w:start w:val="17"/>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20"/>
  </w:num>
  <w:num w:numId="3">
    <w:abstractNumId w:val="21"/>
  </w:num>
  <w:num w:numId="4">
    <w:abstractNumId w:val="23"/>
  </w:num>
  <w:num w:numId="5">
    <w:abstractNumId w:val="2"/>
  </w:num>
  <w:num w:numId="6">
    <w:abstractNumId w:val="1"/>
  </w:num>
  <w:num w:numId="7">
    <w:abstractNumId w:val="0"/>
  </w:num>
  <w:num w:numId="8">
    <w:abstractNumId w:val="16"/>
  </w:num>
  <w:num w:numId="9">
    <w:abstractNumId w:val="9"/>
  </w:num>
  <w:num w:numId="10">
    <w:abstractNumId w:val="6"/>
  </w:num>
  <w:num w:numId="11">
    <w:abstractNumId w:val="19"/>
  </w:num>
  <w:num w:numId="12">
    <w:abstractNumId w:val="12"/>
  </w:num>
  <w:num w:numId="13">
    <w:abstractNumId w:val="8"/>
  </w:num>
  <w:num w:numId="14">
    <w:abstractNumId w:val="4"/>
  </w:num>
  <w:num w:numId="15">
    <w:abstractNumId w:val="18"/>
  </w:num>
  <w:num w:numId="16">
    <w:abstractNumId w:val="14"/>
  </w:num>
  <w:num w:numId="17">
    <w:abstractNumId w:val="15"/>
  </w:num>
  <w:num w:numId="18">
    <w:abstractNumId w:val="5"/>
  </w:num>
  <w:num w:numId="19">
    <w:abstractNumId w:val="17"/>
  </w:num>
  <w:num w:numId="20">
    <w:abstractNumId w:val="3"/>
  </w:num>
  <w:num w:numId="21">
    <w:abstractNumId w:val="10"/>
  </w:num>
  <w:num w:numId="22">
    <w:abstractNumId w:val="11"/>
  </w:num>
  <w:num w:numId="23">
    <w:abstractNumId w:val="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A7E"/>
    <w:rsid w:val="00003D28"/>
    <w:rsid w:val="00013F00"/>
    <w:rsid w:val="00016F2B"/>
    <w:rsid w:val="000202FB"/>
    <w:rsid w:val="00021204"/>
    <w:rsid w:val="00024B06"/>
    <w:rsid w:val="00024F90"/>
    <w:rsid w:val="00034FCC"/>
    <w:rsid w:val="00040438"/>
    <w:rsid w:val="0004147F"/>
    <w:rsid w:val="000422E1"/>
    <w:rsid w:val="00042B1D"/>
    <w:rsid w:val="00044FFC"/>
    <w:rsid w:val="000511A4"/>
    <w:rsid w:val="00066EFD"/>
    <w:rsid w:val="00067B2B"/>
    <w:rsid w:val="000720BC"/>
    <w:rsid w:val="00075A87"/>
    <w:rsid w:val="00077C04"/>
    <w:rsid w:val="0009059F"/>
    <w:rsid w:val="00092AE4"/>
    <w:rsid w:val="000962A0"/>
    <w:rsid w:val="000A0FA4"/>
    <w:rsid w:val="000A6BBA"/>
    <w:rsid w:val="000B0A46"/>
    <w:rsid w:val="000B114B"/>
    <w:rsid w:val="000B35FD"/>
    <w:rsid w:val="000B3D2D"/>
    <w:rsid w:val="000C03E0"/>
    <w:rsid w:val="000C3D9E"/>
    <w:rsid w:val="000C6C97"/>
    <w:rsid w:val="000D01D0"/>
    <w:rsid w:val="000D06C2"/>
    <w:rsid w:val="000D2EF5"/>
    <w:rsid w:val="000D6A48"/>
    <w:rsid w:val="000E1601"/>
    <w:rsid w:val="000E1A75"/>
    <w:rsid w:val="000E2B29"/>
    <w:rsid w:val="000E3B55"/>
    <w:rsid w:val="000E4A42"/>
    <w:rsid w:val="000E5DA8"/>
    <w:rsid w:val="000F31C4"/>
    <w:rsid w:val="000F62ED"/>
    <w:rsid w:val="0010140A"/>
    <w:rsid w:val="00102BE3"/>
    <w:rsid w:val="00106CCD"/>
    <w:rsid w:val="00114EA8"/>
    <w:rsid w:val="00114F0D"/>
    <w:rsid w:val="001157BA"/>
    <w:rsid w:val="00121263"/>
    <w:rsid w:val="00122E0F"/>
    <w:rsid w:val="00124A11"/>
    <w:rsid w:val="00132995"/>
    <w:rsid w:val="00136C52"/>
    <w:rsid w:val="00147842"/>
    <w:rsid w:val="00152557"/>
    <w:rsid w:val="00153ECA"/>
    <w:rsid w:val="00160988"/>
    <w:rsid w:val="00161B4A"/>
    <w:rsid w:val="001630F9"/>
    <w:rsid w:val="00163628"/>
    <w:rsid w:val="00164E7C"/>
    <w:rsid w:val="0018210C"/>
    <w:rsid w:val="001905C5"/>
    <w:rsid w:val="001931AB"/>
    <w:rsid w:val="00193DE3"/>
    <w:rsid w:val="00194655"/>
    <w:rsid w:val="00196768"/>
    <w:rsid w:val="00197344"/>
    <w:rsid w:val="00197D7C"/>
    <w:rsid w:val="001A2621"/>
    <w:rsid w:val="001A46D5"/>
    <w:rsid w:val="001B24D5"/>
    <w:rsid w:val="001B3491"/>
    <w:rsid w:val="001B797E"/>
    <w:rsid w:val="001D17E5"/>
    <w:rsid w:val="001D7AD9"/>
    <w:rsid w:val="001E1C3F"/>
    <w:rsid w:val="001F54F4"/>
    <w:rsid w:val="001F59D5"/>
    <w:rsid w:val="002009ED"/>
    <w:rsid w:val="00207B92"/>
    <w:rsid w:val="002119E5"/>
    <w:rsid w:val="00213A1F"/>
    <w:rsid w:val="002176E6"/>
    <w:rsid w:val="002222B9"/>
    <w:rsid w:val="00222C40"/>
    <w:rsid w:val="0022316E"/>
    <w:rsid w:val="00223632"/>
    <w:rsid w:val="00223AAF"/>
    <w:rsid w:val="00227C6F"/>
    <w:rsid w:val="0023407B"/>
    <w:rsid w:val="002357CC"/>
    <w:rsid w:val="00240640"/>
    <w:rsid w:val="002424F6"/>
    <w:rsid w:val="002441BD"/>
    <w:rsid w:val="00247942"/>
    <w:rsid w:val="00261BD9"/>
    <w:rsid w:val="00267630"/>
    <w:rsid w:val="00270100"/>
    <w:rsid w:val="00274C12"/>
    <w:rsid w:val="00287128"/>
    <w:rsid w:val="002A6C2F"/>
    <w:rsid w:val="002B7CC4"/>
    <w:rsid w:val="002C0AF9"/>
    <w:rsid w:val="002C2171"/>
    <w:rsid w:val="002C3A56"/>
    <w:rsid w:val="002C527D"/>
    <w:rsid w:val="002D0FF8"/>
    <w:rsid w:val="002F005A"/>
    <w:rsid w:val="002F0C9F"/>
    <w:rsid w:val="00307CBE"/>
    <w:rsid w:val="003145A0"/>
    <w:rsid w:val="0031769E"/>
    <w:rsid w:val="003262E3"/>
    <w:rsid w:val="00330658"/>
    <w:rsid w:val="00336E36"/>
    <w:rsid w:val="00337471"/>
    <w:rsid w:val="0034187B"/>
    <w:rsid w:val="003439C5"/>
    <w:rsid w:val="00345F19"/>
    <w:rsid w:val="00346E28"/>
    <w:rsid w:val="003508CE"/>
    <w:rsid w:val="00354D44"/>
    <w:rsid w:val="0035768F"/>
    <w:rsid w:val="00360BE2"/>
    <w:rsid w:val="0036310E"/>
    <w:rsid w:val="0036755F"/>
    <w:rsid w:val="00370A7E"/>
    <w:rsid w:val="00376CD7"/>
    <w:rsid w:val="00376F12"/>
    <w:rsid w:val="00377422"/>
    <w:rsid w:val="00392DC7"/>
    <w:rsid w:val="0039351F"/>
    <w:rsid w:val="003A60DA"/>
    <w:rsid w:val="003B0668"/>
    <w:rsid w:val="003B395D"/>
    <w:rsid w:val="003C3FEA"/>
    <w:rsid w:val="003C5B68"/>
    <w:rsid w:val="003C7CA3"/>
    <w:rsid w:val="003D09BB"/>
    <w:rsid w:val="003D314F"/>
    <w:rsid w:val="003D494E"/>
    <w:rsid w:val="003E0523"/>
    <w:rsid w:val="003E0E52"/>
    <w:rsid w:val="00400044"/>
    <w:rsid w:val="00402101"/>
    <w:rsid w:val="0040254B"/>
    <w:rsid w:val="0040393B"/>
    <w:rsid w:val="00404174"/>
    <w:rsid w:val="00405545"/>
    <w:rsid w:val="004057C4"/>
    <w:rsid w:val="00413A7F"/>
    <w:rsid w:val="0041775D"/>
    <w:rsid w:val="00420252"/>
    <w:rsid w:val="00430132"/>
    <w:rsid w:val="00433629"/>
    <w:rsid w:val="00433E2A"/>
    <w:rsid w:val="004370AF"/>
    <w:rsid w:val="004410D6"/>
    <w:rsid w:val="00454FCC"/>
    <w:rsid w:val="00456B79"/>
    <w:rsid w:val="004629DE"/>
    <w:rsid w:val="00466890"/>
    <w:rsid w:val="004852C7"/>
    <w:rsid w:val="004A04B7"/>
    <w:rsid w:val="004A06AF"/>
    <w:rsid w:val="004A47BF"/>
    <w:rsid w:val="004A5216"/>
    <w:rsid w:val="004A5D9C"/>
    <w:rsid w:val="004D27AB"/>
    <w:rsid w:val="004E2C40"/>
    <w:rsid w:val="004F6D33"/>
    <w:rsid w:val="00500ABA"/>
    <w:rsid w:val="00507A86"/>
    <w:rsid w:val="005100B0"/>
    <w:rsid w:val="00511ADC"/>
    <w:rsid w:val="00514572"/>
    <w:rsid w:val="00520B80"/>
    <w:rsid w:val="00537658"/>
    <w:rsid w:val="00541161"/>
    <w:rsid w:val="005414A3"/>
    <w:rsid w:val="00541D3E"/>
    <w:rsid w:val="00543756"/>
    <w:rsid w:val="00545B97"/>
    <w:rsid w:val="00553770"/>
    <w:rsid w:val="005647F8"/>
    <w:rsid w:val="005651DC"/>
    <w:rsid w:val="0057357E"/>
    <w:rsid w:val="005736EF"/>
    <w:rsid w:val="005765CF"/>
    <w:rsid w:val="00580403"/>
    <w:rsid w:val="005A2E57"/>
    <w:rsid w:val="005A3F6D"/>
    <w:rsid w:val="005A4C10"/>
    <w:rsid w:val="005A5614"/>
    <w:rsid w:val="005A5AE8"/>
    <w:rsid w:val="005A67DC"/>
    <w:rsid w:val="005A68BF"/>
    <w:rsid w:val="005B1BD8"/>
    <w:rsid w:val="005B26E1"/>
    <w:rsid w:val="005B3B72"/>
    <w:rsid w:val="005B4C4C"/>
    <w:rsid w:val="005B6A56"/>
    <w:rsid w:val="005C432F"/>
    <w:rsid w:val="005C4C0A"/>
    <w:rsid w:val="005D44EC"/>
    <w:rsid w:val="005E6796"/>
    <w:rsid w:val="005E6D13"/>
    <w:rsid w:val="005F4D64"/>
    <w:rsid w:val="0060153E"/>
    <w:rsid w:val="006209A2"/>
    <w:rsid w:val="00627C24"/>
    <w:rsid w:val="00631366"/>
    <w:rsid w:val="00640A99"/>
    <w:rsid w:val="0064655D"/>
    <w:rsid w:val="00655D24"/>
    <w:rsid w:val="00661A98"/>
    <w:rsid w:val="0068318F"/>
    <w:rsid w:val="00690285"/>
    <w:rsid w:val="006933CA"/>
    <w:rsid w:val="006A1944"/>
    <w:rsid w:val="006A65C0"/>
    <w:rsid w:val="006C2A56"/>
    <w:rsid w:val="006C6513"/>
    <w:rsid w:val="006D4423"/>
    <w:rsid w:val="006F770D"/>
    <w:rsid w:val="006F7941"/>
    <w:rsid w:val="00711D76"/>
    <w:rsid w:val="0071485D"/>
    <w:rsid w:val="00715824"/>
    <w:rsid w:val="0071592C"/>
    <w:rsid w:val="0071772B"/>
    <w:rsid w:val="00721AB1"/>
    <w:rsid w:val="00721D05"/>
    <w:rsid w:val="00731E01"/>
    <w:rsid w:val="00734BD0"/>
    <w:rsid w:val="00746798"/>
    <w:rsid w:val="00746DA5"/>
    <w:rsid w:val="007508CC"/>
    <w:rsid w:val="00752266"/>
    <w:rsid w:val="007531B6"/>
    <w:rsid w:val="00756408"/>
    <w:rsid w:val="007651E4"/>
    <w:rsid w:val="0076709C"/>
    <w:rsid w:val="0077064E"/>
    <w:rsid w:val="00776819"/>
    <w:rsid w:val="00777F2D"/>
    <w:rsid w:val="00786665"/>
    <w:rsid w:val="00790570"/>
    <w:rsid w:val="0079100B"/>
    <w:rsid w:val="00796113"/>
    <w:rsid w:val="007A15E7"/>
    <w:rsid w:val="007A16FE"/>
    <w:rsid w:val="007A243F"/>
    <w:rsid w:val="007B1B03"/>
    <w:rsid w:val="007B5769"/>
    <w:rsid w:val="007C3F46"/>
    <w:rsid w:val="007C53A9"/>
    <w:rsid w:val="007D42E2"/>
    <w:rsid w:val="007D4E85"/>
    <w:rsid w:val="007E1989"/>
    <w:rsid w:val="007F395A"/>
    <w:rsid w:val="00810374"/>
    <w:rsid w:val="00811948"/>
    <w:rsid w:val="00811D21"/>
    <w:rsid w:val="008162E3"/>
    <w:rsid w:val="00823A90"/>
    <w:rsid w:val="008248E7"/>
    <w:rsid w:val="00825C47"/>
    <w:rsid w:val="00840EE1"/>
    <w:rsid w:val="00841647"/>
    <w:rsid w:val="00842632"/>
    <w:rsid w:val="00844E17"/>
    <w:rsid w:val="008466F6"/>
    <w:rsid w:val="00846B0D"/>
    <w:rsid w:val="00852C93"/>
    <w:rsid w:val="00853136"/>
    <w:rsid w:val="00861DD4"/>
    <w:rsid w:val="00864314"/>
    <w:rsid w:val="008764C2"/>
    <w:rsid w:val="008811ED"/>
    <w:rsid w:val="008850A3"/>
    <w:rsid w:val="00887885"/>
    <w:rsid w:val="008B159E"/>
    <w:rsid w:val="008B1840"/>
    <w:rsid w:val="008D06D2"/>
    <w:rsid w:val="008D1577"/>
    <w:rsid w:val="008D1F2A"/>
    <w:rsid w:val="008E3B53"/>
    <w:rsid w:val="008F40AD"/>
    <w:rsid w:val="008F64BA"/>
    <w:rsid w:val="00914C3A"/>
    <w:rsid w:val="00915B32"/>
    <w:rsid w:val="009179C2"/>
    <w:rsid w:val="009202F6"/>
    <w:rsid w:val="00920503"/>
    <w:rsid w:val="0092181A"/>
    <w:rsid w:val="00922540"/>
    <w:rsid w:val="00932B1B"/>
    <w:rsid w:val="009408B1"/>
    <w:rsid w:val="00942998"/>
    <w:rsid w:val="00952FB1"/>
    <w:rsid w:val="00954F7A"/>
    <w:rsid w:val="0095671E"/>
    <w:rsid w:val="00962CCA"/>
    <w:rsid w:val="009656EA"/>
    <w:rsid w:val="00967B14"/>
    <w:rsid w:val="009700DE"/>
    <w:rsid w:val="00971467"/>
    <w:rsid w:val="00974DA5"/>
    <w:rsid w:val="0098406C"/>
    <w:rsid w:val="00994E74"/>
    <w:rsid w:val="0099750C"/>
    <w:rsid w:val="009A5C7E"/>
    <w:rsid w:val="009B2062"/>
    <w:rsid w:val="009B47A8"/>
    <w:rsid w:val="009B6FDD"/>
    <w:rsid w:val="009C5234"/>
    <w:rsid w:val="009C734D"/>
    <w:rsid w:val="009D0BE9"/>
    <w:rsid w:val="009D1031"/>
    <w:rsid w:val="009D16C7"/>
    <w:rsid w:val="009D6F51"/>
    <w:rsid w:val="009E0A4A"/>
    <w:rsid w:val="009F62A8"/>
    <w:rsid w:val="009F6C27"/>
    <w:rsid w:val="00A12926"/>
    <w:rsid w:val="00A20837"/>
    <w:rsid w:val="00A217A9"/>
    <w:rsid w:val="00A36294"/>
    <w:rsid w:val="00A442B3"/>
    <w:rsid w:val="00A465F7"/>
    <w:rsid w:val="00A5234E"/>
    <w:rsid w:val="00A52915"/>
    <w:rsid w:val="00A53978"/>
    <w:rsid w:val="00A55134"/>
    <w:rsid w:val="00A56139"/>
    <w:rsid w:val="00A7449B"/>
    <w:rsid w:val="00A7492C"/>
    <w:rsid w:val="00A74BF1"/>
    <w:rsid w:val="00A75820"/>
    <w:rsid w:val="00A76C8B"/>
    <w:rsid w:val="00A905B0"/>
    <w:rsid w:val="00A911E9"/>
    <w:rsid w:val="00A94ED3"/>
    <w:rsid w:val="00AA2937"/>
    <w:rsid w:val="00AA6471"/>
    <w:rsid w:val="00AB279D"/>
    <w:rsid w:val="00AC3AE1"/>
    <w:rsid w:val="00AD24B4"/>
    <w:rsid w:val="00AD3051"/>
    <w:rsid w:val="00AE2F3E"/>
    <w:rsid w:val="00AF2A5E"/>
    <w:rsid w:val="00AF2EE1"/>
    <w:rsid w:val="00AF3C43"/>
    <w:rsid w:val="00AF61C8"/>
    <w:rsid w:val="00AF646F"/>
    <w:rsid w:val="00B10B7B"/>
    <w:rsid w:val="00B11EFB"/>
    <w:rsid w:val="00B17DD1"/>
    <w:rsid w:val="00B37F6C"/>
    <w:rsid w:val="00B4046E"/>
    <w:rsid w:val="00B47EE8"/>
    <w:rsid w:val="00B528BA"/>
    <w:rsid w:val="00B54176"/>
    <w:rsid w:val="00B5680A"/>
    <w:rsid w:val="00B622F8"/>
    <w:rsid w:val="00B6495F"/>
    <w:rsid w:val="00B654FA"/>
    <w:rsid w:val="00B700A8"/>
    <w:rsid w:val="00B73460"/>
    <w:rsid w:val="00B76234"/>
    <w:rsid w:val="00B8060F"/>
    <w:rsid w:val="00B80E6A"/>
    <w:rsid w:val="00B810A5"/>
    <w:rsid w:val="00B93246"/>
    <w:rsid w:val="00B9757E"/>
    <w:rsid w:val="00BA22FF"/>
    <w:rsid w:val="00BA2654"/>
    <w:rsid w:val="00BC011C"/>
    <w:rsid w:val="00BC36D7"/>
    <w:rsid w:val="00BC4FEC"/>
    <w:rsid w:val="00BD171C"/>
    <w:rsid w:val="00BD6FF5"/>
    <w:rsid w:val="00BE077D"/>
    <w:rsid w:val="00BF02B7"/>
    <w:rsid w:val="00BF280B"/>
    <w:rsid w:val="00BF3928"/>
    <w:rsid w:val="00BF48DA"/>
    <w:rsid w:val="00BF6AB0"/>
    <w:rsid w:val="00C11DAE"/>
    <w:rsid w:val="00C11E7A"/>
    <w:rsid w:val="00C17427"/>
    <w:rsid w:val="00C20AAA"/>
    <w:rsid w:val="00C20E2C"/>
    <w:rsid w:val="00C238A1"/>
    <w:rsid w:val="00C245B1"/>
    <w:rsid w:val="00C2768B"/>
    <w:rsid w:val="00C3471C"/>
    <w:rsid w:val="00C42A4C"/>
    <w:rsid w:val="00C44EBE"/>
    <w:rsid w:val="00C47084"/>
    <w:rsid w:val="00C532EE"/>
    <w:rsid w:val="00C556D1"/>
    <w:rsid w:val="00C56203"/>
    <w:rsid w:val="00C565CA"/>
    <w:rsid w:val="00C65046"/>
    <w:rsid w:val="00C658DF"/>
    <w:rsid w:val="00C668AA"/>
    <w:rsid w:val="00C72623"/>
    <w:rsid w:val="00C75FDA"/>
    <w:rsid w:val="00C766FB"/>
    <w:rsid w:val="00C76823"/>
    <w:rsid w:val="00C87726"/>
    <w:rsid w:val="00C958B9"/>
    <w:rsid w:val="00CA4580"/>
    <w:rsid w:val="00CA5D74"/>
    <w:rsid w:val="00CA7C22"/>
    <w:rsid w:val="00CB3957"/>
    <w:rsid w:val="00CB3EED"/>
    <w:rsid w:val="00CC1013"/>
    <w:rsid w:val="00CC793C"/>
    <w:rsid w:val="00CD1343"/>
    <w:rsid w:val="00CD2226"/>
    <w:rsid w:val="00CD28EE"/>
    <w:rsid w:val="00CD32CA"/>
    <w:rsid w:val="00CE26EC"/>
    <w:rsid w:val="00CE4309"/>
    <w:rsid w:val="00CE581E"/>
    <w:rsid w:val="00CE6D8E"/>
    <w:rsid w:val="00CF62A8"/>
    <w:rsid w:val="00CF6A1F"/>
    <w:rsid w:val="00D06BEF"/>
    <w:rsid w:val="00D10A49"/>
    <w:rsid w:val="00D13B4F"/>
    <w:rsid w:val="00D148F7"/>
    <w:rsid w:val="00D249DE"/>
    <w:rsid w:val="00D334DF"/>
    <w:rsid w:val="00D416EE"/>
    <w:rsid w:val="00D51DED"/>
    <w:rsid w:val="00D52D95"/>
    <w:rsid w:val="00D54619"/>
    <w:rsid w:val="00D600E2"/>
    <w:rsid w:val="00D60DB7"/>
    <w:rsid w:val="00D615FA"/>
    <w:rsid w:val="00D61CD1"/>
    <w:rsid w:val="00D63D97"/>
    <w:rsid w:val="00D6418D"/>
    <w:rsid w:val="00D663C4"/>
    <w:rsid w:val="00D764FC"/>
    <w:rsid w:val="00D871B2"/>
    <w:rsid w:val="00D90291"/>
    <w:rsid w:val="00D93D98"/>
    <w:rsid w:val="00D964EE"/>
    <w:rsid w:val="00DA3416"/>
    <w:rsid w:val="00DB4DB0"/>
    <w:rsid w:val="00DC24D1"/>
    <w:rsid w:val="00DC40BC"/>
    <w:rsid w:val="00DC6FE5"/>
    <w:rsid w:val="00DD681C"/>
    <w:rsid w:val="00DE030D"/>
    <w:rsid w:val="00DE5817"/>
    <w:rsid w:val="00DE6AC9"/>
    <w:rsid w:val="00DF518E"/>
    <w:rsid w:val="00E00951"/>
    <w:rsid w:val="00E00A82"/>
    <w:rsid w:val="00E0216E"/>
    <w:rsid w:val="00E03DFF"/>
    <w:rsid w:val="00E0425E"/>
    <w:rsid w:val="00E06CF7"/>
    <w:rsid w:val="00E143B6"/>
    <w:rsid w:val="00E20BB5"/>
    <w:rsid w:val="00E26646"/>
    <w:rsid w:val="00E3355E"/>
    <w:rsid w:val="00E40F3A"/>
    <w:rsid w:val="00E4390E"/>
    <w:rsid w:val="00E575BF"/>
    <w:rsid w:val="00E62FAD"/>
    <w:rsid w:val="00E6375A"/>
    <w:rsid w:val="00E65FAF"/>
    <w:rsid w:val="00E7124B"/>
    <w:rsid w:val="00E77450"/>
    <w:rsid w:val="00E87CBA"/>
    <w:rsid w:val="00E90776"/>
    <w:rsid w:val="00E91133"/>
    <w:rsid w:val="00E924C5"/>
    <w:rsid w:val="00E92F3A"/>
    <w:rsid w:val="00E93A8A"/>
    <w:rsid w:val="00E967A5"/>
    <w:rsid w:val="00EA4285"/>
    <w:rsid w:val="00EA79B0"/>
    <w:rsid w:val="00EB40AA"/>
    <w:rsid w:val="00ED44F9"/>
    <w:rsid w:val="00ED58CA"/>
    <w:rsid w:val="00EE685A"/>
    <w:rsid w:val="00EF2FA7"/>
    <w:rsid w:val="00EF36F4"/>
    <w:rsid w:val="00EF714A"/>
    <w:rsid w:val="00F00D31"/>
    <w:rsid w:val="00F02D63"/>
    <w:rsid w:val="00F05ADB"/>
    <w:rsid w:val="00F136A6"/>
    <w:rsid w:val="00F2752D"/>
    <w:rsid w:val="00F30D83"/>
    <w:rsid w:val="00F36F9F"/>
    <w:rsid w:val="00F3756B"/>
    <w:rsid w:val="00F50E13"/>
    <w:rsid w:val="00F53B73"/>
    <w:rsid w:val="00F53FFA"/>
    <w:rsid w:val="00F5786D"/>
    <w:rsid w:val="00F600C9"/>
    <w:rsid w:val="00F62B10"/>
    <w:rsid w:val="00F669E6"/>
    <w:rsid w:val="00F8017F"/>
    <w:rsid w:val="00F844C7"/>
    <w:rsid w:val="00F925BF"/>
    <w:rsid w:val="00F95C35"/>
    <w:rsid w:val="00F96CDF"/>
    <w:rsid w:val="00FA1896"/>
    <w:rsid w:val="00FA300E"/>
    <w:rsid w:val="00FA3543"/>
    <w:rsid w:val="00FA5118"/>
    <w:rsid w:val="00FA556F"/>
    <w:rsid w:val="00FB29BD"/>
    <w:rsid w:val="00FB2A42"/>
    <w:rsid w:val="00FB5C12"/>
    <w:rsid w:val="00FB6F77"/>
    <w:rsid w:val="00FC18FA"/>
    <w:rsid w:val="00FC1A1B"/>
    <w:rsid w:val="00FC1C0B"/>
    <w:rsid w:val="00FC3C2E"/>
    <w:rsid w:val="00FC45D8"/>
    <w:rsid w:val="00FC4C33"/>
    <w:rsid w:val="00FC7814"/>
    <w:rsid w:val="00FC7D95"/>
    <w:rsid w:val="00FC7F6D"/>
    <w:rsid w:val="00FD117A"/>
    <w:rsid w:val="00FD158D"/>
    <w:rsid w:val="00FD1C91"/>
    <w:rsid w:val="00FD3666"/>
    <w:rsid w:val="00FD3C17"/>
    <w:rsid w:val="00FF04EF"/>
    <w:rsid w:val="00FF22C0"/>
    <w:rsid w:val="00FF48F3"/>
    <w:rsid w:val="00FF6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City"/>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309"/>
    <w:rPr>
      <w:rFonts w:ascii="Times New Roman" w:eastAsia="Times New Roman" w:hAnsi="Times New Roman"/>
      <w:sz w:val="24"/>
      <w:szCs w:val="24"/>
    </w:rPr>
  </w:style>
  <w:style w:type="paragraph" w:styleId="Heading1">
    <w:name w:val="heading 1"/>
    <w:basedOn w:val="Normal"/>
    <w:next w:val="Normal"/>
    <w:link w:val="Heading1Char"/>
    <w:uiPriority w:val="99"/>
    <w:qFormat/>
    <w:rsid w:val="00370A7E"/>
    <w:pPr>
      <w:keepNext/>
      <w:spacing w:line="480" w:lineRule="auto"/>
      <w:ind w:left="720" w:hanging="720"/>
      <w:outlineLvl w:val="0"/>
    </w:pPr>
    <w:rPr>
      <w:b/>
      <w:bCs/>
    </w:rPr>
  </w:style>
  <w:style w:type="paragraph" w:styleId="Heading3">
    <w:name w:val="heading 3"/>
    <w:basedOn w:val="Normal"/>
    <w:next w:val="Normal"/>
    <w:link w:val="Heading3Char"/>
    <w:uiPriority w:val="99"/>
    <w:qFormat/>
    <w:rsid w:val="00370A7E"/>
    <w:pPr>
      <w:keepNext/>
      <w:spacing w:line="480" w:lineRule="auto"/>
      <w:ind w:left="720" w:hanging="7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0A7E"/>
    <w:rPr>
      <w:rFonts w:ascii="Times New Roman" w:hAnsi="Times New Roman" w:cs="Times New Roman"/>
      <w:b/>
      <w:bCs/>
      <w:sz w:val="24"/>
      <w:szCs w:val="24"/>
    </w:rPr>
  </w:style>
  <w:style w:type="character" w:customStyle="1" w:styleId="Heading3Char">
    <w:name w:val="Heading 3 Char"/>
    <w:basedOn w:val="DefaultParagraphFont"/>
    <w:link w:val="Heading3"/>
    <w:uiPriority w:val="99"/>
    <w:locked/>
    <w:rsid w:val="00370A7E"/>
    <w:rPr>
      <w:rFonts w:ascii="Times New Roman" w:hAnsi="Times New Roman" w:cs="Times New Roman"/>
      <w:b/>
      <w:bCs/>
      <w:sz w:val="24"/>
      <w:szCs w:val="24"/>
    </w:rPr>
  </w:style>
  <w:style w:type="paragraph" w:styleId="BodyTextIndent">
    <w:name w:val="Body Text Indent"/>
    <w:basedOn w:val="Normal"/>
    <w:link w:val="BodyTextIndentChar"/>
    <w:uiPriority w:val="99"/>
    <w:rsid w:val="00370A7E"/>
    <w:pPr>
      <w:spacing w:line="480" w:lineRule="auto"/>
      <w:ind w:left="720" w:hanging="720"/>
    </w:pPr>
  </w:style>
  <w:style w:type="character" w:customStyle="1" w:styleId="BodyTextIndentChar">
    <w:name w:val="Body Text Indent Char"/>
    <w:basedOn w:val="DefaultParagraphFont"/>
    <w:link w:val="BodyTextIndent"/>
    <w:uiPriority w:val="99"/>
    <w:locked/>
    <w:rsid w:val="00370A7E"/>
    <w:rPr>
      <w:rFonts w:ascii="Times New Roman" w:hAnsi="Times New Roman" w:cs="Times New Roman"/>
      <w:sz w:val="24"/>
      <w:szCs w:val="24"/>
    </w:rPr>
  </w:style>
  <w:style w:type="paragraph" w:styleId="Footer">
    <w:name w:val="footer"/>
    <w:basedOn w:val="Normal"/>
    <w:link w:val="FooterChar"/>
    <w:uiPriority w:val="99"/>
    <w:rsid w:val="00370A7E"/>
    <w:pPr>
      <w:tabs>
        <w:tab w:val="center" w:pos="4320"/>
        <w:tab w:val="right" w:pos="8640"/>
      </w:tabs>
    </w:pPr>
  </w:style>
  <w:style w:type="character" w:customStyle="1" w:styleId="FooterChar">
    <w:name w:val="Footer Char"/>
    <w:basedOn w:val="DefaultParagraphFont"/>
    <w:link w:val="Footer"/>
    <w:uiPriority w:val="99"/>
    <w:locked/>
    <w:rsid w:val="00370A7E"/>
    <w:rPr>
      <w:rFonts w:ascii="Times New Roman" w:hAnsi="Times New Roman" w:cs="Times New Roman"/>
      <w:sz w:val="24"/>
      <w:szCs w:val="24"/>
    </w:rPr>
  </w:style>
  <w:style w:type="character" w:styleId="PageNumber">
    <w:name w:val="page number"/>
    <w:basedOn w:val="DefaultParagraphFont"/>
    <w:uiPriority w:val="99"/>
    <w:rsid w:val="00370A7E"/>
    <w:rPr>
      <w:rFonts w:cs="Times New Roman"/>
    </w:rPr>
  </w:style>
  <w:style w:type="paragraph" w:styleId="BodyTextIndent2">
    <w:name w:val="Body Text Indent 2"/>
    <w:basedOn w:val="Normal"/>
    <w:link w:val="BodyTextIndent2Char"/>
    <w:uiPriority w:val="99"/>
    <w:rsid w:val="00370A7E"/>
    <w:pPr>
      <w:spacing w:after="120" w:line="480" w:lineRule="auto"/>
      <w:ind w:left="360"/>
    </w:pPr>
  </w:style>
  <w:style w:type="character" w:customStyle="1" w:styleId="BodyTextIndent2Char">
    <w:name w:val="Body Text Indent 2 Char"/>
    <w:basedOn w:val="DefaultParagraphFont"/>
    <w:link w:val="BodyTextIndent2"/>
    <w:uiPriority w:val="99"/>
    <w:locked/>
    <w:rsid w:val="00370A7E"/>
    <w:rPr>
      <w:rFonts w:ascii="Times New Roman" w:hAnsi="Times New Roman" w:cs="Times New Roman"/>
      <w:sz w:val="24"/>
      <w:szCs w:val="24"/>
    </w:rPr>
  </w:style>
  <w:style w:type="paragraph" w:styleId="BodyText">
    <w:name w:val="Body Text"/>
    <w:basedOn w:val="Normal"/>
    <w:link w:val="BodyTextChar"/>
    <w:uiPriority w:val="99"/>
    <w:semiHidden/>
    <w:rsid w:val="00370A7E"/>
    <w:pPr>
      <w:spacing w:after="120"/>
    </w:pPr>
  </w:style>
  <w:style w:type="character" w:customStyle="1" w:styleId="BodyTextChar">
    <w:name w:val="Body Text Char"/>
    <w:basedOn w:val="DefaultParagraphFont"/>
    <w:link w:val="BodyText"/>
    <w:uiPriority w:val="99"/>
    <w:semiHidden/>
    <w:locked/>
    <w:rsid w:val="00370A7E"/>
    <w:rPr>
      <w:rFonts w:ascii="Times New Roman" w:hAnsi="Times New Roman" w:cs="Times New Roman"/>
      <w:sz w:val="24"/>
      <w:szCs w:val="24"/>
    </w:rPr>
  </w:style>
  <w:style w:type="character" w:styleId="CommentReference">
    <w:name w:val="annotation reference"/>
    <w:basedOn w:val="DefaultParagraphFont"/>
    <w:uiPriority w:val="99"/>
    <w:semiHidden/>
    <w:rsid w:val="00370A7E"/>
    <w:rPr>
      <w:rFonts w:cs="Times New Roman"/>
      <w:sz w:val="16"/>
      <w:szCs w:val="16"/>
    </w:rPr>
  </w:style>
  <w:style w:type="paragraph" w:styleId="CommentText">
    <w:name w:val="annotation text"/>
    <w:basedOn w:val="Normal"/>
    <w:link w:val="CommentTextChar"/>
    <w:uiPriority w:val="99"/>
    <w:semiHidden/>
    <w:rsid w:val="00370A7E"/>
    <w:rPr>
      <w:sz w:val="20"/>
      <w:szCs w:val="20"/>
    </w:rPr>
  </w:style>
  <w:style w:type="character" w:customStyle="1" w:styleId="CommentTextChar">
    <w:name w:val="Comment Text Char"/>
    <w:basedOn w:val="DefaultParagraphFont"/>
    <w:link w:val="CommentText"/>
    <w:uiPriority w:val="99"/>
    <w:semiHidden/>
    <w:locked/>
    <w:rsid w:val="00370A7E"/>
    <w:rPr>
      <w:rFonts w:ascii="Times New Roman" w:hAnsi="Times New Roman" w:cs="Times New Roman"/>
      <w:sz w:val="20"/>
      <w:szCs w:val="20"/>
    </w:rPr>
  </w:style>
  <w:style w:type="paragraph" w:styleId="BalloonText">
    <w:name w:val="Balloon Text"/>
    <w:basedOn w:val="Normal"/>
    <w:link w:val="BalloonTextChar"/>
    <w:uiPriority w:val="99"/>
    <w:semiHidden/>
    <w:rsid w:val="00370A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0A7E"/>
    <w:rPr>
      <w:rFonts w:ascii="Tahoma" w:hAnsi="Tahoma" w:cs="Tahoma"/>
      <w:sz w:val="16"/>
      <w:szCs w:val="16"/>
    </w:rPr>
  </w:style>
  <w:style w:type="character" w:styleId="LineNumber">
    <w:name w:val="line number"/>
    <w:basedOn w:val="DefaultParagraphFont"/>
    <w:uiPriority w:val="99"/>
    <w:semiHidden/>
    <w:rsid w:val="00370A7E"/>
    <w:rPr>
      <w:rFonts w:cs="Times New Roman"/>
    </w:rPr>
  </w:style>
  <w:style w:type="paragraph" w:styleId="Header">
    <w:name w:val="header"/>
    <w:basedOn w:val="Normal"/>
    <w:link w:val="HeaderChar"/>
    <w:uiPriority w:val="99"/>
    <w:rsid w:val="00197D7C"/>
    <w:pPr>
      <w:tabs>
        <w:tab w:val="center" w:pos="4320"/>
        <w:tab w:val="right" w:pos="8640"/>
      </w:tabs>
    </w:pPr>
  </w:style>
  <w:style w:type="character" w:customStyle="1" w:styleId="HeaderChar">
    <w:name w:val="Header Char"/>
    <w:basedOn w:val="DefaultParagraphFont"/>
    <w:link w:val="Header"/>
    <w:uiPriority w:val="99"/>
    <w:semiHidden/>
    <w:rsid w:val="004B7737"/>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95671E"/>
    <w:rPr>
      <w:b/>
      <w:bCs/>
    </w:rPr>
  </w:style>
  <w:style w:type="character" w:customStyle="1" w:styleId="CommentSubjectChar">
    <w:name w:val="Comment Subject Char"/>
    <w:basedOn w:val="CommentTextChar"/>
    <w:link w:val="CommentSubject"/>
    <w:uiPriority w:val="99"/>
    <w:semiHidden/>
    <w:rsid w:val="0095671E"/>
    <w:rPr>
      <w:rFonts w:ascii="Times New Roman" w:eastAsia="Times New Roman" w:hAnsi="Times New Roman" w:cs="Times New Roman"/>
      <w:b/>
      <w:bCs/>
      <w:sz w:val="20"/>
      <w:szCs w:val="20"/>
    </w:rPr>
  </w:style>
  <w:style w:type="paragraph" w:styleId="ListParagraph">
    <w:name w:val="List Paragraph"/>
    <w:basedOn w:val="Normal"/>
    <w:uiPriority w:val="34"/>
    <w:qFormat/>
    <w:rsid w:val="007C3F46"/>
    <w:pPr>
      <w:ind w:left="720"/>
      <w:contextualSpacing/>
    </w:pPr>
  </w:style>
  <w:style w:type="table" w:styleId="TableGrid">
    <w:name w:val="Table Grid"/>
    <w:basedOn w:val="TableNormal"/>
    <w:locked/>
    <w:rsid w:val="00013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F2752D"/>
    <w:rPr>
      <w:sz w:val="20"/>
      <w:szCs w:val="20"/>
    </w:rPr>
  </w:style>
  <w:style w:type="character" w:customStyle="1" w:styleId="FootnoteTextChar">
    <w:name w:val="Footnote Text Char"/>
    <w:basedOn w:val="DefaultParagraphFont"/>
    <w:link w:val="FootnoteText"/>
    <w:uiPriority w:val="99"/>
    <w:semiHidden/>
    <w:rsid w:val="00F2752D"/>
    <w:rPr>
      <w:rFonts w:ascii="Times New Roman" w:eastAsia="Times New Roman" w:hAnsi="Times New Roman"/>
      <w:sz w:val="20"/>
      <w:szCs w:val="20"/>
    </w:rPr>
  </w:style>
  <w:style w:type="character" w:styleId="FootnoteReference">
    <w:name w:val="footnote reference"/>
    <w:basedOn w:val="DefaultParagraphFont"/>
    <w:uiPriority w:val="99"/>
    <w:semiHidden/>
    <w:unhideWhenUsed/>
    <w:rsid w:val="00F2752D"/>
    <w:rPr>
      <w:vertAlign w:val="superscript"/>
    </w:rPr>
  </w:style>
  <w:style w:type="character" w:styleId="Hyperlink">
    <w:name w:val="Hyperlink"/>
    <w:basedOn w:val="DefaultParagraphFont"/>
    <w:uiPriority w:val="99"/>
    <w:unhideWhenUsed/>
    <w:rsid w:val="00ED44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309"/>
    <w:rPr>
      <w:rFonts w:ascii="Times New Roman" w:eastAsia="Times New Roman" w:hAnsi="Times New Roman"/>
      <w:sz w:val="24"/>
      <w:szCs w:val="24"/>
    </w:rPr>
  </w:style>
  <w:style w:type="paragraph" w:styleId="Heading1">
    <w:name w:val="heading 1"/>
    <w:basedOn w:val="Normal"/>
    <w:next w:val="Normal"/>
    <w:link w:val="Heading1Char"/>
    <w:uiPriority w:val="99"/>
    <w:qFormat/>
    <w:rsid w:val="00370A7E"/>
    <w:pPr>
      <w:keepNext/>
      <w:spacing w:line="480" w:lineRule="auto"/>
      <w:ind w:left="720" w:hanging="720"/>
      <w:outlineLvl w:val="0"/>
    </w:pPr>
    <w:rPr>
      <w:b/>
      <w:bCs/>
    </w:rPr>
  </w:style>
  <w:style w:type="paragraph" w:styleId="Heading3">
    <w:name w:val="heading 3"/>
    <w:basedOn w:val="Normal"/>
    <w:next w:val="Normal"/>
    <w:link w:val="Heading3Char"/>
    <w:uiPriority w:val="99"/>
    <w:qFormat/>
    <w:rsid w:val="00370A7E"/>
    <w:pPr>
      <w:keepNext/>
      <w:spacing w:line="480" w:lineRule="auto"/>
      <w:ind w:left="720" w:hanging="7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0A7E"/>
    <w:rPr>
      <w:rFonts w:ascii="Times New Roman" w:hAnsi="Times New Roman" w:cs="Times New Roman"/>
      <w:b/>
      <w:bCs/>
      <w:sz w:val="24"/>
      <w:szCs w:val="24"/>
    </w:rPr>
  </w:style>
  <w:style w:type="character" w:customStyle="1" w:styleId="Heading3Char">
    <w:name w:val="Heading 3 Char"/>
    <w:basedOn w:val="DefaultParagraphFont"/>
    <w:link w:val="Heading3"/>
    <w:uiPriority w:val="99"/>
    <w:locked/>
    <w:rsid w:val="00370A7E"/>
    <w:rPr>
      <w:rFonts w:ascii="Times New Roman" w:hAnsi="Times New Roman" w:cs="Times New Roman"/>
      <w:b/>
      <w:bCs/>
      <w:sz w:val="24"/>
      <w:szCs w:val="24"/>
    </w:rPr>
  </w:style>
  <w:style w:type="paragraph" w:styleId="BodyTextIndent">
    <w:name w:val="Body Text Indent"/>
    <w:basedOn w:val="Normal"/>
    <w:link w:val="BodyTextIndentChar"/>
    <w:uiPriority w:val="99"/>
    <w:rsid w:val="00370A7E"/>
    <w:pPr>
      <w:spacing w:line="480" w:lineRule="auto"/>
      <w:ind w:left="720" w:hanging="720"/>
    </w:pPr>
  </w:style>
  <w:style w:type="character" w:customStyle="1" w:styleId="BodyTextIndentChar">
    <w:name w:val="Body Text Indent Char"/>
    <w:basedOn w:val="DefaultParagraphFont"/>
    <w:link w:val="BodyTextIndent"/>
    <w:uiPriority w:val="99"/>
    <w:locked/>
    <w:rsid w:val="00370A7E"/>
    <w:rPr>
      <w:rFonts w:ascii="Times New Roman" w:hAnsi="Times New Roman" w:cs="Times New Roman"/>
      <w:sz w:val="24"/>
      <w:szCs w:val="24"/>
    </w:rPr>
  </w:style>
  <w:style w:type="paragraph" w:styleId="Footer">
    <w:name w:val="footer"/>
    <w:basedOn w:val="Normal"/>
    <w:link w:val="FooterChar"/>
    <w:uiPriority w:val="99"/>
    <w:rsid w:val="00370A7E"/>
    <w:pPr>
      <w:tabs>
        <w:tab w:val="center" w:pos="4320"/>
        <w:tab w:val="right" w:pos="8640"/>
      </w:tabs>
    </w:pPr>
  </w:style>
  <w:style w:type="character" w:customStyle="1" w:styleId="FooterChar">
    <w:name w:val="Footer Char"/>
    <w:basedOn w:val="DefaultParagraphFont"/>
    <w:link w:val="Footer"/>
    <w:uiPriority w:val="99"/>
    <w:locked/>
    <w:rsid w:val="00370A7E"/>
    <w:rPr>
      <w:rFonts w:ascii="Times New Roman" w:hAnsi="Times New Roman" w:cs="Times New Roman"/>
      <w:sz w:val="24"/>
      <w:szCs w:val="24"/>
    </w:rPr>
  </w:style>
  <w:style w:type="character" w:styleId="PageNumber">
    <w:name w:val="page number"/>
    <w:basedOn w:val="DefaultParagraphFont"/>
    <w:uiPriority w:val="99"/>
    <w:rsid w:val="00370A7E"/>
    <w:rPr>
      <w:rFonts w:cs="Times New Roman"/>
    </w:rPr>
  </w:style>
  <w:style w:type="paragraph" w:styleId="BodyTextIndent2">
    <w:name w:val="Body Text Indent 2"/>
    <w:basedOn w:val="Normal"/>
    <w:link w:val="BodyTextIndent2Char"/>
    <w:uiPriority w:val="99"/>
    <w:rsid w:val="00370A7E"/>
    <w:pPr>
      <w:spacing w:after="120" w:line="480" w:lineRule="auto"/>
      <w:ind w:left="360"/>
    </w:pPr>
  </w:style>
  <w:style w:type="character" w:customStyle="1" w:styleId="BodyTextIndent2Char">
    <w:name w:val="Body Text Indent 2 Char"/>
    <w:basedOn w:val="DefaultParagraphFont"/>
    <w:link w:val="BodyTextIndent2"/>
    <w:uiPriority w:val="99"/>
    <w:locked/>
    <w:rsid w:val="00370A7E"/>
    <w:rPr>
      <w:rFonts w:ascii="Times New Roman" w:hAnsi="Times New Roman" w:cs="Times New Roman"/>
      <w:sz w:val="24"/>
      <w:szCs w:val="24"/>
    </w:rPr>
  </w:style>
  <w:style w:type="paragraph" w:styleId="BodyText">
    <w:name w:val="Body Text"/>
    <w:basedOn w:val="Normal"/>
    <w:link w:val="BodyTextChar"/>
    <w:uiPriority w:val="99"/>
    <w:semiHidden/>
    <w:rsid w:val="00370A7E"/>
    <w:pPr>
      <w:spacing w:after="120"/>
    </w:pPr>
  </w:style>
  <w:style w:type="character" w:customStyle="1" w:styleId="BodyTextChar">
    <w:name w:val="Body Text Char"/>
    <w:basedOn w:val="DefaultParagraphFont"/>
    <w:link w:val="BodyText"/>
    <w:uiPriority w:val="99"/>
    <w:semiHidden/>
    <w:locked/>
    <w:rsid w:val="00370A7E"/>
    <w:rPr>
      <w:rFonts w:ascii="Times New Roman" w:hAnsi="Times New Roman" w:cs="Times New Roman"/>
      <w:sz w:val="24"/>
      <w:szCs w:val="24"/>
    </w:rPr>
  </w:style>
  <w:style w:type="character" w:styleId="CommentReference">
    <w:name w:val="annotation reference"/>
    <w:basedOn w:val="DefaultParagraphFont"/>
    <w:uiPriority w:val="99"/>
    <w:semiHidden/>
    <w:rsid w:val="00370A7E"/>
    <w:rPr>
      <w:rFonts w:cs="Times New Roman"/>
      <w:sz w:val="16"/>
      <w:szCs w:val="16"/>
    </w:rPr>
  </w:style>
  <w:style w:type="paragraph" w:styleId="CommentText">
    <w:name w:val="annotation text"/>
    <w:basedOn w:val="Normal"/>
    <w:link w:val="CommentTextChar"/>
    <w:uiPriority w:val="99"/>
    <w:semiHidden/>
    <w:rsid w:val="00370A7E"/>
    <w:rPr>
      <w:sz w:val="20"/>
      <w:szCs w:val="20"/>
    </w:rPr>
  </w:style>
  <w:style w:type="character" w:customStyle="1" w:styleId="CommentTextChar">
    <w:name w:val="Comment Text Char"/>
    <w:basedOn w:val="DefaultParagraphFont"/>
    <w:link w:val="CommentText"/>
    <w:uiPriority w:val="99"/>
    <w:semiHidden/>
    <w:locked/>
    <w:rsid w:val="00370A7E"/>
    <w:rPr>
      <w:rFonts w:ascii="Times New Roman" w:hAnsi="Times New Roman" w:cs="Times New Roman"/>
      <w:sz w:val="20"/>
      <w:szCs w:val="20"/>
    </w:rPr>
  </w:style>
  <w:style w:type="paragraph" w:styleId="BalloonText">
    <w:name w:val="Balloon Text"/>
    <w:basedOn w:val="Normal"/>
    <w:link w:val="BalloonTextChar"/>
    <w:uiPriority w:val="99"/>
    <w:semiHidden/>
    <w:rsid w:val="00370A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0A7E"/>
    <w:rPr>
      <w:rFonts w:ascii="Tahoma" w:hAnsi="Tahoma" w:cs="Tahoma"/>
      <w:sz w:val="16"/>
      <w:szCs w:val="16"/>
    </w:rPr>
  </w:style>
  <w:style w:type="character" w:styleId="LineNumber">
    <w:name w:val="line number"/>
    <w:basedOn w:val="DefaultParagraphFont"/>
    <w:uiPriority w:val="99"/>
    <w:semiHidden/>
    <w:rsid w:val="00370A7E"/>
    <w:rPr>
      <w:rFonts w:cs="Times New Roman"/>
    </w:rPr>
  </w:style>
  <w:style w:type="paragraph" w:styleId="Header">
    <w:name w:val="header"/>
    <w:basedOn w:val="Normal"/>
    <w:link w:val="HeaderChar"/>
    <w:uiPriority w:val="99"/>
    <w:rsid w:val="00197D7C"/>
    <w:pPr>
      <w:tabs>
        <w:tab w:val="center" w:pos="4320"/>
        <w:tab w:val="right" w:pos="8640"/>
      </w:tabs>
    </w:pPr>
  </w:style>
  <w:style w:type="character" w:customStyle="1" w:styleId="HeaderChar">
    <w:name w:val="Header Char"/>
    <w:basedOn w:val="DefaultParagraphFont"/>
    <w:link w:val="Header"/>
    <w:uiPriority w:val="99"/>
    <w:semiHidden/>
    <w:rsid w:val="004B7737"/>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95671E"/>
    <w:rPr>
      <w:b/>
      <w:bCs/>
    </w:rPr>
  </w:style>
  <w:style w:type="character" w:customStyle="1" w:styleId="CommentSubjectChar">
    <w:name w:val="Comment Subject Char"/>
    <w:basedOn w:val="CommentTextChar"/>
    <w:link w:val="CommentSubject"/>
    <w:uiPriority w:val="99"/>
    <w:semiHidden/>
    <w:rsid w:val="0095671E"/>
    <w:rPr>
      <w:rFonts w:ascii="Times New Roman" w:eastAsia="Times New Roman" w:hAnsi="Times New Roman" w:cs="Times New Roman"/>
      <w:b/>
      <w:bCs/>
      <w:sz w:val="20"/>
      <w:szCs w:val="20"/>
    </w:rPr>
  </w:style>
  <w:style w:type="paragraph" w:styleId="ListParagraph">
    <w:name w:val="List Paragraph"/>
    <w:basedOn w:val="Normal"/>
    <w:uiPriority w:val="34"/>
    <w:qFormat/>
    <w:rsid w:val="007C3F46"/>
    <w:pPr>
      <w:ind w:left="720"/>
      <w:contextualSpacing/>
    </w:pPr>
  </w:style>
  <w:style w:type="table" w:styleId="TableGrid">
    <w:name w:val="Table Grid"/>
    <w:basedOn w:val="TableNormal"/>
    <w:locked/>
    <w:rsid w:val="00013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F2752D"/>
    <w:rPr>
      <w:sz w:val="20"/>
      <w:szCs w:val="20"/>
    </w:rPr>
  </w:style>
  <w:style w:type="character" w:customStyle="1" w:styleId="FootnoteTextChar">
    <w:name w:val="Footnote Text Char"/>
    <w:basedOn w:val="DefaultParagraphFont"/>
    <w:link w:val="FootnoteText"/>
    <w:uiPriority w:val="99"/>
    <w:semiHidden/>
    <w:rsid w:val="00F2752D"/>
    <w:rPr>
      <w:rFonts w:ascii="Times New Roman" w:eastAsia="Times New Roman" w:hAnsi="Times New Roman"/>
      <w:sz w:val="20"/>
      <w:szCs w:val="20"/>
    </w:rPr>
  </w:style>
  <w:style w:type="character" w:styleId="FootnoteReference">
    <w:name w:val="footnote reference"/>
    <w:basedOn w:val="DefaultParagraphFont"/>
    <w:uiPriority w:val="99"/>
    <w:semiHidden/>
    <w:unhideWhenUsed/>
    <w:rsid w:val="00F2752D"/>
    <w:rPr>
      <w:vertAlign w:val="superscript"/>
    </w:rPr>
  </w:style>
  <w:style w:type="character" w:styleId="Hyperlink">
    <w:name w:val="Hyperlink"/>
    <w:basedOn w:val="DefaultParagraphFont"/>
    <w:uiPriority w:val="99"/>
    <w:unhideWhenUsed/>
    <w:rsid w:val="00ED44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1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buckley@utc.wa.gov" TargetMode="Externa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7CE28074734D4792DBD415A4708DE0" ma:contentTypeVersion="143" ma:contentTypeDescription="" ma:contentTypeScope="" ma:versionID="a3dd2b48c08cc92b7c987e6cb8a261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2011-07-01T07:00:00+00:00</OpenedDate>
    <Date1 xmlns="dc463f71-b30c-4ab2-9473-d307f9d35888">2012-01-06T08:00:00+00:00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111190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316A9A1-C8FD-4C2F-82D0-F5A91D4A284D}"/>
</file>

<file path=customXml/itemProps2.xml><?xml version="1.0" encoding="utf-8"?>
<ds:datastoreItem xmlns:ds="http://schemas.openxmlformats.org/officeDocument/2006/customXml" ds:itemID="{D8E7FD02-C3AB-461F-B7E4-0B9346258012}"/>
</file>

<file path=customXml/itemProps3.xml><?xml version="1.0" encoding="utf-8"?>
<ds:datastoreItem xmlns:ds="http://schemas.openxmlformats.org/officeDocument/2006/customXml" ds:itemID="{A99D10A1-FFE4-4DDC-A7F2-D3F9A39EF5C6}"/>
</file>

<file path=customXml/itemProps4.xml><?xml version="1.0" encoding="utf-8"?>
<ds:datastoreItem xmlns:ds="http://schemas.openxmlformats.org/officeDocument/2006/customXml" ds:itemID="{E398DBE0-62DF-4C61-B49C-A7F2E182BA26}"/>
</file>

<file path=customXml/itemProps5.xml><?xml version="1.0" encoding="utf-8"?>
<ds:datastoreItem xmlns:ds="http://schemas.openxmlformats.org/officeDocument/2006/customXml" ds:itemID="{29FD192C-4CC3-4091-B8F5-3E97B81EB431}"/>
</file>

<file path=docProps/app.xml><?xml version="1.0" encoding="utf-8"?>
<Properties xmlns="http://schemas.openxmlformats.org/officeDocument/2006/extended-properties" xmlns:vt="http://schemas.openxmlformats.org/officeDocument/2006/docPropsVTypes">
  <Template>Normal</Template>
  <TotalTime>17</TotalTime>
  <Pages>24</Pages>
  <Words>4880</Words>
  <Characters>27821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Buckley</dc:creator>
  <cp:lastModifiedBy>DeMarco, Betsy (UTC)</cp:lastModifiedBy>
  <cp:revision>4</cp:revision>
  <cp:lastPrinted>2012-01-05T00:28:00Z</cp:lastPrinted>
  <dcterms:created xsi:type="dcterms:W3CDTF">2012-01-05T00:11:00Z</dcterms:created>
  <dcterms:modified xsi:type="dcterms:W3CDTF">2012-01-05T00:28:00Z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0x0101006E56B4D1795A2E4DB2F0B01679ED314A00D17CE28074734D4792DBD415A4708DE0</vt:lpwstr>
  </property>
  <property fmtid="{D5CDD505-2E9C-101B-9397-08002B2CF9AE}" pid="3" name="_docset_NoMedatataSyncRequired">
    <vt:lpwstr>False</vt:lpwstr>
  </property>
</Properties>
</file>