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0B1" w:rsidRDefault="003E10B1">
      <w:pPr>
        <w:pStyle w:val="Address"/>
      </w:pPr>
    </w:p>
    <w:p w:rsidR="003E10B1" w:rsidRDefault="0044029E" w:rsidP="00A773C7">
      <w:pPr>
        <w:jc w:val="center"/>
      </w:pPr>
      <w:r>
        <w:t>BEFORE THE WASHINGTON STATE</w:t>
      </w:r>
    </w:p>
    <w:p w:rsidR="003E10B1" w:rsidRDefault="0044029E" w:rsidP="00A773C7">
      <w:pPr>
        <w:jc w:val="center"/>
      </w:pPr>
      <w:r>
        <w:t>UTILITIES AND TRANSPORTATION COMMISSION</w:t>
      </w:r>
    </w:p>
    <w:p w:rsidR="00D551EA" w:rsidRDefault="00D551EA"/>
    <w:tbl>
      <w:tblPr>
        <w:tblW w:w="9363" w:type="dxa"/>
        <w:tblInd w:w="8" w:type="dxa"/>
        <w:tblLayout w:type="fixed"/>
        <w:tblCellMar>
          <w:left w:w="0" w:type="dxa"/>
          <w:right w:w="0" w:type="dxa"/>
        </w:tblCellMar>
        <w:tblLook w:val="0000" w:firstRow="0" w:lastRow="0" w:firstColumn="0" w:lastColumn="0" w:noHBand="0" w:noVBand="0"/>
      </w:tblPr>
      <w:tblGrid>
        <w:gridCol w:w="4582"/>
        <w:gridCol w:w="360"/>
        <w:gridCol w:w="4421"/>
      </w:tblGrid>
      <w:tr w:rsidR="003E10B1" w:rsidTr="00470046">
        <w:tc>
          <w:tcPr>
            <w:tcW w:w="4582" w:type="dxa"/>
            <w:tcBorders>
              <w:bottom w:val="single" w:sz="4" w:space="0" w:color="auto"/>
            </w:tcBorders>
          </w:tcPr>
          <w:p w:rsidR="00DF7357" w:rsidRDefault="0044029E" w:rsidP="00DF7357">
            <w:r>
              <w:t>WASHINGTON UTILITIES AND TRANSPORTATION COMMISSION</w:t>
            </w:r>
            <w:r w:rsidR="00DF7357">
              <w:t>,</w:t>
            </w:r>
          </w:p>
          <w:p w:rsidR="00DF7357" w:rsidRDefault="00DF7357" w:rsidP="00DF7357"/>
          <w:p w:rsidR="00DF7357" w:rsidRDefault="0044029E" w:rsidP="0044029E">
            <w:pPr>
              <w:ind w:left="2160"/>
            </w:pPr>
            <w:r>
              <w:t>Complainant,</w:t>
            </w:r>
          </w:p>
          <w:p w:rsidR="00DF7357" w:rsidRDefault="00DF7357" w:rsidP="00DF7357"/>
          <w:p w:rsidR="00DF7357" w:rsidRDefault="00DF7357" w:rsidP="00DF7357">
            <w:r>
              <w:tab/>
              <w:t>vs.</w:t>
            </w:r>
          </w:p>
          <w:p w:rsidR="00DF7357" w:rsidRDefault="00DF7357" w:rsidP="00DF7357"/>
          <w:p w:rsidR="00DF7357" w:rsidRDefault="0044029E" w:rsidP="00DF7357">
            <w:r>
              <w:t>AVISTA CORPORATION d/b/a AVISTA UTILITIES</w:t>
            </w:r>
            <w:r w:rsidR="00DF7357">
              <w:t>,</w:t>
            </w:r>
          </w:p>
          <w:p w:rsidR="0044029E" w:rsidRDefault="0044029E" w:rsidP="00DF7357"/>
          <w:p w:rsidR="00612D61" w:rsidRDefault="0044029E" w:rsidP="0044029E">
            <w:pPr>
              <w:ind w:left="2160"/>
            </w:pPr>
            <w:r>
              <w:t>Respondent.</w:t>
            </w:r>
          </w:p>
          <w:p w:rsidR="003E10B1" w:rsidRDefault="003E10B1" w:rsidP="0044029E"/>
        </w:tc>
        <w:tc>
          <w:tcPr>
            <w:tcW w:w="360" w:type="dxa"/>
          </w:tcPr>
          <w:p w:rsidR="003E10B1" w:rsidRDefault="003E10B1">
            <w:pPr>
              <w:pStyle w:val="SingleSpacing"/>
            </w:pPr>
            <w:r>
              <w:t>)</w:t>
            </w:r>
          </w:p>
          <w:p w:rsidR="003E10B1" w:rsidRDefault="003E10B1">
            <w:pPr>
              <w:pStyle w:val="SingleSpacing"/>
            </w:pPr>
            <w:r>
              <w:t>)</w:t>
            </w:r>
          </w:p>
          <w:p w:rsidR="003E10B1" w:rsidRDefault="003E10B1">
            <w:pPr>
              <w:pStyle w:val="SingleSpacing"/>
            </w:pPr>
            <w:r>
              <w:t>)</w:t>
            </w:r>
          </w:p>
          <w:p w:rsidR="003E10B1" w:rsidRDefault="003E10B1">
            <w:pPr>
              <w:pStyle w:val="SingleSpacing"/>
            </w:pPr>
            <w:r>
              <w:t>)</w:t>
            </w:r>
          </w:p>
          <w:p w:rsidR="003E10B1" w:rsidRDefault="003E10B1">
            <w:pPr>
              <w:pStyle w:val="SingleSpacing"/>
            </w:pPr>
            <w:r>
              <w:t>)</w:t>
            </w:r>
          </w:p>
          <w:p w:rsidR="003E10B1" w:rsidRDefault="003E10B1">
            <w:pPr>
              <w:pStyle w:val="SingleSpacing"/>
            </w:pPr>
            <w:r>
              <w:t>)</w:t>
            </w:r>
          </w:p>
          <w:p w:rsidR="003E10B1" w:rsidRDefault="003E10B1">
            <w:pPr>
              <w:pStyle w:val="SingleSpacing"/>
            </w:pPr>
            <w:r>
              <w:t>)</w:t>
            </w:r>
          </w:p>
          <w:p w:rsidR="003E10B1" w:rsidRDefault="003E10B1">
            <w:pPr>
              <w:pStyle w:val="SingleSpacing"/>
            </w:pPr>
            <w:r>
              <w:t>)</w:t>
            </w:r>
          </w:p>
          <w:p w:rsidR="003E10B1" w:rsidRDefault="003E10B1">
            <w:pPr>
              <w:pStyle w:val="SingleSpacing"/>
            </w:pPr>
            <w:r>
              <w:t>)</w:t>
            </w:r>
          </w:p>
          <w:p w:rsidR="00170BBB" w:rsidRDefault="00D551EA">
            <w:pPr>
              <w:pStyle w:val="SingleSpacing"/>
            </w:pPr>
            <w:r>
              <w:t>)</w:t>
            </w:r>
          </w:p>
          <w:p w:rsidR="00AA32CB" w:rsidRDefault="00AA32CB">
            <w:pPr>
              <w:pStyle w:val="SingleSpacing"/>
            </w:pPr>
            <w:r>
              <w:t>)</w:t>
            </w:r>
          </w:p>
          <w:p w:rsidR="00612D61" w:rsidRDefault="00AA32CB">
            <w:pPr>
              <w:pStyle w:val="SingleSpacing"/>
            </w:pPr>
            <w:r>
              <w:t>)</w:t>
            </w:r>
          </w:p>
        </w:tc>
        <w:tc>
          <w:tcPr>
            <w:tcW w:w="4421" w:type="dxa"/>
          </w:tcPr>
          <w:p w:rsidR="00DA536A" w:rsidRDefault="0044029E" w:rsidP="00A773C7">
            <w:pPr>
              <w:ind w:right="183"/>
            </w:pPr>
            <w:r>
              <w:t>DOCKET NOS. UE-110876</w:t>
            </w:r>
          </w:p>
          <w:p w:rsidR="0044029E" w:rsidRDefault="0044029E" w:rsidP="00A773C7">
            <w:pPr>
              <w:ind w:right="183"/>
            </w:pPr>
            <w:r>
              <w:t>and UG-110877 (</w:t>
            </w:r>
            <w:r>
              <w:rPr>
                <w:i/>
              </w:rPr>
              <w:t>Consolidated)</w:t>
            </w:r>
          </w:p>
          <w:p w:rsidR="0044029E" w:rsidRDefault="0044029E" w:rsidP="00A773C7">
            <w:pPr>
              <w:ind w:right="183"/>
            </w:pPr>
          </w:p>
          <w:p w:rsidR="003E10B1" w:rsidRDefault="003E10B1" w:rsidP="00DE65AB"/>
          <w:p w:rsidR="0044029E" w:rsidRDefault="001721E0" w:rsidP="00F02E6F">
            <w:r>
              <w:t>N</w:t>
            </w:r>
            <w:r w:rsidR="00F02E6F">
              <w:t>W</w:t>
            </w:r>
            <w:r>
              <w:t xml:space="preserve"> ENERGY COALITION’S RESPONSE TO REQUEST FOR PREHEARING CONFERENCE</w:t>
            </w:r>
          </w:p>
        </w:tc>
      </w:tr>
    </w:tbl>
    <w:p w:rsidR="00E97864" w:rsidRDefault="00E97864" w:rsidP="002D4B92"/>
    <w:p w:rsidR="00DE65AB" w:rsidRDefault="00A66038" w:rsidP="0044029E">
      <w:pPr>
        <w:pStyle w:val="BodyText"/>
      </w:pPr>
      <w:r>
        <w:tab/>
      </w:r>
      <w:proofErr w:type="spellStart"/>
      <w:r>
        <w:t>Intervenor</w:t>
      </w:r>
      <w:proofErr w:type="spellEnd"/>
      <w:r>
        <w:t xml:space="preserve"> N</w:t>
      </w:r>
      <w:r w:rsidR="00F02E6F">
        <w:t>W</w:t>
      </w:r>
      <w:r>
        <w:t xml:space="preserve"> Energy Coalition (“NWEC”) provides this short response to the pending request for a prehearing conference in order to clarify its position regarding further proceedings </w:t>
      </w:r>
      <w:r w:rsidR="000F44B3">
        <w:t xml:space="preserve">herein </w:t>
      </w:r>
      <w:r>
        <w:t>in light of a proposed partial settlement among the other parties.</w:t>
      </w:r>
    </w:p>
    <w:p w:rsidR="00A66038" w:rsidRDefault="00A66038" w:rsidP="0044029E">
      <w:pPr>
        <w:pStyle w:val="BodyText"/>
      </w:pPr>
      <w:r>
        <w:tab/>
        <w:t>First, NWEC supports the request for a prompt prehearing conference to address proceedings on the remaining issue in these matters.</w:t>
      </w:r>
    </w:p>
    <w:p w:rsidR="00A66038" w:rsidRDefault="00A66038" w:rsidP="0044029E">
      <w:pPr>
        <w:pStyle w:val="BodyText"/>
      </w:pPr>
      <w:r>
        <w:tab/>
        <w:t xml:space="preserve">Second, NWEC agrees that the remaining unresolved issue is electricity rate decoupling in </w:t>
      </w:r>
      <w:r w:rsidR="00674A17">
        <w:t xml:space="preserve">Docket </w:t>
      </w:r>
      <w:r w:rsidR="00F02E6F">
        <w:t xml:space="preserve">No. </w:t>
      </w:r>
      <w:r w:rsidR="00674A17">
        <w:t>UE-110876</w:t>
      </w:r>
      <w:r>
        <w:t>.</w:t>
      </w:r>
    </w:p>
    <w:p w:rsidR="00A66038" w:rsidRDefault="00A66038" w:rsidP="0044029E">
      <w:pPr>
        <w:pStyle w:val="BodyText"/>
      </w:pPr>
      <w:r>
        <w:tab/>
        <w:t>Third, in light of the Commission’s Policy Statement on Decoupling</w:t>
      </w:r>
      <w:r w:rsidR="00A9755A">
        <w:rPr>
          <w:rStyle w:val="FootnoteReference"/>
        </w:rPr>
        <w:footnoteReference w:id="1"/>
      </w:r>
      <w:r w:rsidR="00A9755A">
        <w:t xml:space="preserve"> </w:t>
      </w:r>
      <w:r>
        <w:t>and its Bench Order in these proceedings,</w:t>
      </w:r>
      <w:r w:rsidR="00A9755A">
        <w:rPr>
          <w:rStyle w:val="FootnoteReference"/>
        </w:rPr>
        <w:footnoteReference w:id="2"/>
      </w:r>
      <w:r>
        <w:t xml:space="preserve"> NWEC intends to present the Commission with testimony </w:t>
      </w:r>
      <w:r w:rsidR="0055373E">
        <w:t>proposing</w:t>
      </w:r>
      <w:r>
        <w:t xml:space="preserve"> a full decoupling mechanism for </w:t>
      </w:r>
      <w:proofErr w:type="spellStart"/>
      <w:r w:rsidR="0055373E">
        <w:t>Avista’s</w:t>
      </w:r>
      <w:proofErr w:type="spellEnd"/>
      <w:r w:rsidR="0055373E">
        <w:t xml:space="preserve"> </w:t>
      </w:r>
      <w:r>
        <w:t xml:space="preserve">electricity rates.  NWEC expects to file this testimony on October 14, 2011, in accordance with the existing schedule for these proceedings.  NWEC’s testimony will show that this decoupling mechanism can and should be adopted as part of the </w:t>
      </w:r>
      <w:r>
        <w:lastRenderedPageBreak/>
        <w:t xml:space="preserve">Commission’s resolution of </w:t>
      </w:r>
      <w:r w:rsidR="00F45B14">
        <w:t>this d</w:t>
      </w:r>
      <w:r w:rsidR="00674A17">
        <w:t xml:space="preserve">ocket </w:t>
      </w:r>
      <w:r w:rsidR="00442B08">
        <w:t>–</w:t>
      </w:r>
      <w:r w:rsidR="00F45B14">
        <w:t xml:space="preserve"> </w:t>
      </w:r>
      <w:r w:rsidR="00674A17">
        <w:t>UE-110876</w:t>
      </w:r>
      <w:r w:rsidR="001721E0">
        <w:t xml:space="preserve">, </w:t>
      </w:r>
      <w:r w:rsidR="005055E9">
        <w:t xml:space="preserve">in accordance with the Commission’s </w:t>
      </w:r>
      <w:r w:rsidR="001721E0">
        <w:t>guidance</w:t>
      </w:r>
      <w:r w:rsidR="005055E9">
        <w:t xml:space="preserve"> that decoupling should be addressed in the context of a general rate case.</w:t>
      </w:r>
      <w:r w:rsidR="001721E0">
        <w:t xml:space="preserve">  </w:t>
      </w:r>
      <w:r w:rsidR="001721E0" w:rsidRPr="00A9755A">
        <w:rPr>
          <w:u w:val="single"/>
        </w:rPr>
        <w:t>See</w:t>
      </w:r>
      <w:r w:rsidR="001721E0">
        <w:t xml:space="preserve"> </w:t>
      </w:r>
      <w:r w:rsidR="00A9755A">
        <w:t xml:space="preserve">Decoupling Policy Statement </w:t>
      </w:r>
      <w:r w:rsidR="00420DFE">
        <w:t>¶ 28</w:t>
      </w:r>
      <w:r w:rsidR="001721E0">
        <w:t>.</w:t>
      </w:r>
    </w:p>
    <w:p w:rsidR="00381952" w:rsidRDefault="00442B08" w:rsidP="00442B08">
      <w:pPr>
        <w:pStyle w:val="BodyText"/>
      </w:pPr>
      <w:r>
        <w:tab/>
      </w:r>
      <w:r w:rsidR="005055E9">
        <w:t>Fourth</w:t>
      </w:r>
      <w:r w:rsidR="00381952">
        <w:t xml:space="preserve">, NWEC’s testimony </w:t>
      </w:r>
      <w:r w:rsidR="00F45B14">
        <w:t xml:space="preserve">on these issues </w:t>
      </w:r>
      <w:r w:rsidR="00381952">
        <w:t xml:space="preserve">will </w:t>
      </w:r>
      <w:r w:rsidR="00F02E6F">
        <w:t>be provided by Mr. Ralph Cavana</w:t>
      </w:r>
      <w:r w:rsidR="00F45B14">
        <w:t xml:space="preserve">gh of the Natural Resources Defense Council and will </w:t>
      </w:r>
      <w:r w:rsidR="00381952">
        <w:t>explain that a full decoupling mechanism can be adopted for electricity rates in this matter without altering the particular terms of the partial settlement the other parties to these proceedings have proposed.</w:t>
      </w:r>
      <w:r w:rsidR="005055E9">
        <w:t xml:space="preserve">  NWEC’s testimony and the resolution of the decoupling issue </w:t>
      </w:r>
      <w:r w:rsidR="00F45B14">
        <w:t xml:space="preserve">it will propose also </w:t>
      </w:r>
      <w:r w:rsidR="005055E9">
        <w:t>should not delay the January 1, 2012</w:t>
      </w:r>
      <w:r w:rsidR="00F45B14">
        <w:t>,</w:t>
      </w:r>
      <w:r w:rsidR="005055E9">
        <w:t xml:space="preserve"> date to which the other parties have agreed as an effective date for the new rates </w:t>
      </w:r>
      <w:r w:rsidR="00F45B14">
        <w:t xml:space="preserve">described </w:t>
      </w:r>
      <w:r w:rsidR="005055E9">
        <w:t xml:space="preserve">in the </w:t>
      </w:r>
      <w:r w:rsidR="00F45B14">
        <w:t xml:space="preserve">partial </w:t>
      </w:r>
      <w:r w:rsidR="005055E9">
        <w:t>settlement</w:t>
      </w:r>
      <w:r w:rsidR="00F45B14">
        <w:t xml:space="preserve">.  In fact, </w:t>
      </w:r>
      <w:r w:rsidR="00F45B14" w:rsidRPr="00F45B14">
        <w:t xml:space="preserve">NWEC’s testimony proposing a full decoupling mechanism </w:t>
      </w:r>
      <w:r w:rsidR="001721E0">
        <w:t xml:space="preserve">for electricity rates </w:t>
      </w:r>
      <w:r w:rsidR="00F45B14" w:rsidRPr="00F45B14">
        <w:t xml:space="preserve">will incorporate and rely on the terms of the </w:t>
      </w:r>
      <w:r w:rsidR="001721E0">
        <w:t xml:space="preserve">proposed </w:t>
      </w:r>
      <w:r w:rsidR="00F45B14" w:rsidRPr="00F45B14">
        <w:t xml:space="preserve">settlement.  Thus, even if </w:t>
      </w:r>
      <w:r w:rsidR="005055E9" w:rsidRPr="00F45B14">
        <w:t xml:space="preserve">the decoupling issue </w:t>
      </w:r>
      <w:r w:rsidR="00F45B14" w:rsidRPr="00F45B14">
        <w:t>itself is not</w:t>
      </w:r>
      <w:r w:rsidR="005055E9" w:rsidRPr="00F45B14">
        <w:t xml:space="preserve"> </w:t>
      </w:r>
      <w:r w:rsidR="00F45B14" w:rsidRPr="00F45B14">
        <w:t xml:space="preserve">fully </w:t>
      </w:r>
      <w:r w:rsidR="005055E9" w:rsidRPr="00F45B14">
        <w:t xml:space="preserve">resolved by </w:t>
      </w:r>
      <w:r w:rsidR="00F45B14" w:rsidRPr="00F45B14">
        <w:t xml:space="preserve">January 1, 2012, </w:t>
      </w:r>
      <w:r w:rsidR="008E72CC" w:rsidRPr="00F45B14">
        <w:t>allowing the proposed new rates to take effect will not affect resolution of the decoupling issue.</w:t>
      </w:r>
    </w:p>
    <w:p w:rsidR="00A66038" w:rsidRDefault="00442B08" w:rsidP="00442B08">
      <w:pPr>
        <w:pStyle w:val="BodyText"/>
      </w:pPr>
      <w:r>
        <w:tab/>
      </w:r>
      <w:r w:rsidR="00381952">
        <w:t xml:space="preserve">NWEC will be prepared to discuss these issues further at </w:t>
      </w:r>
      <w:r w:rsidR="00F45B14">
        <w:t xml:space="preserve">the </w:t>
      </w:r>
      <w:r w:rsidR="00381952">
        <w:t>prehearing conference.</w:t>
      </w:r>
    </w:p>
    <w:p w:rsidR="00442B08" w:rsidRPr="00B82822" w:rsidRDefault="00442B08" w:rsidP="00B82822">
      <w:pPr>
        <w:spacing w:line="480" w:lineRule="auto"/>
      </w:pPr>
      <w:r w:rsidRPr="00B82822">
        <w:tab/>
        <w:t xml:space="preserve">Respectfully submitted this </w:t>
      </w:r>
      <w:r w:rsidR="003328A4">
        <w:t>3rd</w:t>
      </w:r>
      <w:r w:rsidRPr="00B82822">
        <w:t xml:space="preserve"> day of </w:t>
      </w:r>
      <w:r w:rsidR="003A7721">
        <w:t>October</w:t>
      </w:r>
      <w:r w:rsidRPr="00B82822">
        <w:t>, 2011.</w:t>
      </w:r>
    </w:p>
    <w:p w:rsidR="00442B08" w:rsidRPr="00B82822" w:rsidRDefault="00442B08" w:rsidP="00B82822">
      <w:pPr>
        <w:ind w:left="4320"/>
      </w:pPr>
    </w:p>
    <w:p w:rsidR="00442B08" w:rsidRPr="00B82822" w:rsidRDefault="00442B08" w:rsidP="00B82822">
      <w:pPr>
        <w:ind w:left="4320"/>
      </w:pPr>
    </w:p>
    <w:p w:rsidR="00442B08" w:rsidRPr="00B654C8" w:rsidRDefault="00B654C8" w:rsidP="00B82822">
      <w:pPr>
        <w:ind w:left="4320"/>
        <w:rPr>
          <w:u w:val="single"/>
        </w:rPr>
      </w:pPr>
      <w:bookmarkStart w:id="0" w:name="_GoBack"/>
      <w:r w:rsidRPr="00B654C8">
        <w:rPr>
          <w:u w:val="single"/>
        </w:rPr>
        <w:t>/s/  Todd D. True</w:t>
      </w:r>
      <w:r w:rsidRPr="00B654C8">
        <w:rPr>
          <w:u w:val="single"/>
        </w:rPr>
        <w:tab/>
      </w:r>
      <w:r w:rsidRPr="00B654C8">
        <w:rPr>
          <w:u w:val="single"/>
        </w:rPr>
        <w:tab/>
      </w:r>
      <w:r w:rsidRPr="00B654C8">
        <w:rPr>
          <w:u w:val="single"/>
        </w:rPr>
        <w:tab/>
      </w:r>
    </w:p>
    <w:bookmarkEnd w:id="0"/>
    <w:p w:rsidR="00442B08" w:rsidRPr="00B82822" w:rsidRDefault="00442B08" w:rsidP="003909CB">
      <w:pPr>
        <w:ind w:left="4320"/>
      </w:pPr>
      <w:r>
        <w:t>TODD D. TRUE (WSB #12864)</w:t>
      </w:r>
    </w:p>
    <w:p w:rsidR="00442B08" w:rsidRDefault="00442B08" w:rsidP="00B82822">
      <w:pPr>
        <w:ind w:left="4320"/>
      </w:pPr>
      <w:r w:rsidRPr="00B82822">
        <w:t>KRISTEN L. BOYLES (WSB #</w:t>
      </w:r>
      <w:r>
        <w:t>23806</w:t>
      </w:r>
      <w:r w:rsidRPr="00B82822">
        <w:t>)</w:t>
      </w:r>
    </w:p>
    <w:p w:rsidR="00442B08" w:rsidRPr="00B82822" w:rsidRDefault="00442B08" w:rsidP="00B82822">
      <w:pPr>
        <w:ind w:left="4320"/>
      </w:pPr>
      <w:r w:rsidRPr="00B82822">
        <w:t xml:space="preserve">AMANDA </w:t>
      </w:r>
      <w:r>
        <w:t xml:space="preserve">W. </w:t>
      </w:r>
      <w:r w:rsidRPr="00B82822">
        <w:t>GOODIN (WSB #</w:t>
      </w:r>
      <w:r>
        <w:t>41312</w:t>
      </w:r>
      <w:r w:rsidRPr="00B82822">
        <w:t>)</w:t>
      </w:r>
    </w:p>
    <w:p w:rsidR="00442B08" w:rsidRPr="00B82822" w:rsidRDefault="00442B08" w:rsidP="00B82822">
      <w:pPr>
        <w:ind w:left="4320"/>
      </w:pPr>
      <w:r w:rsidRPr="00B82822">
        <w:t>Earthjustice</w:t>
      </w:r>
    </w:p>
    <w:p w:rsidR="00442B08" w:rsidRPr="00B82822" w:rsidRDefault="00442B08" w:rsidP="00B82822">
      <w:pPr>
        <w:ind w:left="4320"/>
      </w:pPr>
      <w:r w:rsidRPr="00B82822">
        <w:t>705 Second Avenue, Suite 203</w:t>
      </w:r>
    </w:p>
    <w:p w:rsidR="00442B08" w:rsidRPr="00B82822" w:rsidRDefault="00442B08" w:rsidP="00B82822">
      <w:pPr>
        <w:ind w:left="4320"/>
      </w:pPr>
      <w:r w:rsidRPr="00B82822">
        <w:t>Seattle, WA  98104</w:t>
      </w:r>
    </w:p>
    <w:p w:rsidR="00442B08" w:rsidRPr="00B82822" w:rsidRDefault="00442B08" w:rsidP="00B82822">
      <w:pPr>
        <w:ind w:left="4320"/>
      </w:pPr>
      <w:r w:rsidRPr="00B82822">
        <w:t>(206) 343-7340 | Phone</w:t>
      </w:r>
    </w:p>
    <w:p w:rsidR="00442B08" w:rsidRPr="00B82822" w:rsidRDefault="00442B08" w:rsidP="00B82822">
      <w:pPr>
        <w:ind w:left="4320"/>
      </w:pPr>
      <w:r w:rsidRPr="00B82822">
        <w:t>(206) 343-1526 | Fax</w:t>
      </w:r>
    </w:p>
    <w:p w:rsidR="00442B08" w:rsidRPr="00B82822" w:rsidRDefault="00442B08" w:rsidP="003909CB">
      <w:pPr>
        <w:ind w:left="4320"/>
      </w:pPr>
      <w:r>
        <w:t>ttrue@earthjustice.org</w:t>
      </w:r>
    </w:p>
    <w:p w:rsidR="00442B08" w:rsidRDefault="00442B08" w:rsidP="00B82822">
      <w:pPr>
        <w:ind w:left="4320"/>
      </w:pPr>
      <w:r w:rsidRPr="003B0701">
        <w:t>kboyles@earthjustice.org</w:t>
      </w:r>
    </w:p>
    <w:p w:rsidR="00442B08" w:rsidRPr="00B82822" w:rsidRDefault="00442B08" w:rsidP="00B82822">
      <w:pPr>
        <w:ind w:left="4320"/>
      </w:pPr>
      <w:r w:rsidRPr="00B82822">
        <w:t>agoodin@earthjustice.org</w:t>
      </w:r>
    </w:p>
    <w:p w:rsidR="00442B08" w:rsidRPr="00B82822" w:rsidRDefault="00442B08" w:rsidP="00B82822">
      <w:pPr>
        <w:ind w:left="4320"/>
      </w:pPr>
    </w:p>
    <w:p w:rsidR="00442B08" w:rsidRPr="00B82822" w:rsidRDefault="00442B08" w:rsidP="00B82822">
      <w:pPr>
        <w:ind w:left="4320"/>
      </w:pPr>
      <w:r w:rsidRPr="00B82822">
        <w:rPr>
          <w:i/>
        </w:rPr>
        <w:t>Attorneys for NW Energy Coalition</w:t>
      </w:r>
    </w:p>
    <w:p w:rsidR="00442B08" w:rsidRPr="00B82822" w:rsidRDefault="00442B08" w:rsidP="00B82822">
      <w:pPr>
        <w:ind w:left="4320"/>
      </w:pPr>
    </w:p>
    <w:p w:rsidR="00442B08" w:rsidRPr="00B82822" w:rsidRDefault="00442B08" w:rsidP="00B82822">
      <w:pPr>
        <w:ind w:left="4320"/>
      </w:pPr>
      <w:r w:rsidRPr="00B82822">
        <w:t>Danielle Dixon</w:t>
      </w:r>
    </w:p>
    <w:p w:rsidR="00442B08" w:rsidRPr="00B82822" w:rsidRDefault="00442B08" w:rsidP="00B82822">
      <w:pPr>
        <w:ind w:left="4320"/>
      </w:pPr>
      <w:r w:rsidRPr="00B82822">
        <w:t>Senior Policy Associate</w:t>
      </w:r>
    </w:p>
    <w:p w:rsidR="00442B08" w:rsidRPr="00B82822" w:rsidRDefault="00442B08" w:rsidP="00B82822">
      <w:pPr>
        <w:ind w:left="4320"/>
      </w:pPr>
      <w:r w:rsidRPr="00B82822">
        <w:t>NW Energy Coalition</w:t>
      </w:r>
    </w:p>
    <w:p w:rsidR="00442B08" w:rsidRPr="00B82822" w:rsidRDefault="00442B08" w:rsidP="00B82822">
      <w:pPr>
        <w:ind w:left="4320"/>
      </w:pPr>
      <w:r w:rsidRPr="00B82822">
        <w:t>811 – 1st Avenue, Suite 305</w:t>
      </w:r>
    </w:p>
    <w:p w:rsidR="00442B08" w:rsidRPr="00B82822" w:rsidRDefault="00442B08" w:rsidP="00B82822">
      <w:pPr>
        <w:ind w:left="4320"/>
      </w:pPr>
      <w:r w:rsidRPr="00B82822">
        <w:t>Seattle, WA  98104</w:t>
      </w:r>
    </w:p>
    <w:p w:rsidR="00442B08" w:rsidRPr="00B82822" w:rsidRDefault="00442B08" w:rsidP="00B82822">
      <w:pPr>
        <w:ind w:left="4320"/>
      </w:pPr>
      <w:r w:rsidRPr="00B82822">
        <w:t>(206) 621-0094 | Phone</w:t>
      </w:r>
    </w:p>
    <w:p w:rsidR="00442B08" w:rsidRPr="00B82822" w:rsidRDefault="00442B08" w:rsidP="00B82822">
      <w:pPr>
        <w:ind w:left="4320"/>
      </w:pPr>
      <w:r w:rsidRPr="00B82822">
        <w:t>(206) 621-0097 | Fax</w:t>
      </w:r>
    </w:p>
    <w:p w:rsidR="00442B08" w:rsidRPr="00B82822" w:rsidRDefault="00442B08" w:rsidP="00B82822">
      <w:pPr>
        <w:ind w:left="4320"/>
      </w:pPr>
      <w:r w:rsidRPr="00B82822">
        <w:t>danielle@nwenergy.org</w:t>
      </w:r>
    </w:p>
    <w:p w:rsidR="00442B08" w:rsidRDefault="00442B08" w:rsidP="00442B08">
      <w:pPr>
        <w:pStyle w:val="BodyText"/>
      </w:pPr>
    </w:p>
    <w:sectPr w:rsidR="00442B08">
      <w:footerReference w:type="default" r:id="rId9"/>
      <w:pgSz w:w="12240" w:h="15840" w:code="1"/>
      <w:pgMar w:top="1440" w:right="1440" w:bottom="1440" w:left="1440" w:header="720" w:footer="432"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B14" w:rsidRDefault="00F45B14">
      <w:r>
        <w:separator/>
      </w:r>
    </w:p>
  </w:endnote>
  <w:endnote w:type="continuationSeparator" w:id="0">
    <w:p w:rsidR="00F45B14" w:rsidRDefault="00F45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B14" w:rsidRDefault="00442B08" w:rsidP="00DE65AB">
    <w:r>
      <w:rPr>
        <w:noProof/>
      </w:rPr>
      <mc:AlternateContent>
        <mc:Choice Requires="wps">
          <w:drawing>
            <wp:anchor distT="0" distB="0" distL="114300" distR="114300" simplePos="0" relativeHeight="251659776" behindDoc="0" locked="0" layoutInCell="1" allowOverlap="1" wp14:anchorId="03F3C48E" wp14:editId="39C83222">
              <wp:simplePos x="0" y="0"/>
              <wp:positionH relativeFrom="column">
                <wp:posOffset>4499610</wp:posOffset>
              </wp:positionH>
              <wp:positionV relativeFrom="paragraph">
                <wp:posOffset>-240741</wp:posOffset>
              </wp:positionV>
              <wp:extent cx="1459865" cy="735330"/>
              <wp:effectExtent l="0" t="0" r="6985" b="762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865" cy="73533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F45B14" w:rsidRDefault="00F45B14">
                          <w:pPr>
                            <w:rPr>
                              <w:i/>
                              <w:sz w:val="18"/>
                            </w:rPr>
                          </w:pPr>
                          <w:r>
                            <w:rPr>
                              <w:i/>
                              <w:sz w:val="18"/>
                            </w:rPr>
                            <w:t>Earthjustice</w:t>
                          </w:r>
                        </w:p>
                        <w:p w:rsidR="00F45B14" w:rsidRDefault="00F45B14">
                          <w:pPr>
                            <w:rPr>
                              <w:i/>
                              <w:sz w:val="18"/>
                            </w:rPr>
                          </w:pPr>
                          <w:r>
                            <w:rPr>
                              <w:i/>
                              <w:sz w:val="18"/>
                            </w:rPr>
                            <w:t xml:space="preserve">705 </w:t>
                          </w:r>
                          <w:smartTag w:uri="urn:schemas-microsoft-com:office:smarttags" w:element="Street">
                            <w:smartTag w:uri="urn:schemas-microsoft-com:office:smarttags" w:element="address">
                              <w:r>
                                <w:rPr>
                                  <w:i/>
                                  <w:sz w:val="18"/>
                                </w:rPr>
                                <w:t>Second Ave.</w:t>
                              </w:r>
                            </w:smartTag>
                          </w:smartTag>
                          <w:r>
                            <w:rPr>
                              <w:i/>
                              <w:sz w:val="18"/>
                            </w:rPr>
                            <w:t xml:space="preserve">, </w:t>
                          </w:r>
                          <w:smartTag w:uri="urn:schemas-microsoft-com:office:smarttags" w:element="address">
                            <w:smartTag w:uri="urn:schemas-microsoft-com:office:smarttags" w:element="Street">
                              <w:r>
                                <w:rPr>
                                  <w:i/>
                                  <w:sz w:val="18"/>
                                </w:rPr>
                                <w:t>Suite</w:t>
                              </w:r>
                            </w:smartTag>
                            <w:r>
                              <w:rPr>
                                <w:i/>
                                <w:sz w:val="18"/>
                              </w:rPr>
                              <w:t xml:space="preserve"> 203</w:t>
                            </w:r>
                          </w:smartTag>
                        </w:p>
                        <w:p w:rsidR="00F45B14" w:rsidRDefault="00F45B14">
                          <w:pPr>
                            <w:rPr>
                              <w:i/>
                              <w:sz w:val="18"/>
                            </w:rPr>
                          </w:pPr>
                          <w:smartTag w:uri="urn:schemas-microsoft-com:office:smarttags" w:element="place">
                            <w:smartTag w:uri="urn:schemas-microsoft-com:office:smarttags" w:element="City">
                              <w:r>
                                <w:rPr>
                                  <w:i/>
                                  <w:sz w:val="18"/>
                                </w:rPr>
                                <w:t>Seattle</w:t>
                              </w:r>
                            </w:smartTag>
                            <w:r>
                              <w:rPr>
                                <w:i/>
                                <w:sz w:val="18"/>
                              </w:rPr>
                              <w:t xml:space="preserve">, </w:t>
                            </w:r>
                            <w:smartTag w:uri="urn:schemas-microsoft-com:office:smarttags" w:element="State">
                              <w:r>
                                <w:rPr>
                                  <w:i/>
                                  <w:sz w:val="18"/>
                                </w:rPr>
                                <w:t>WA</w:t>
                              </w:r>
                            </w:smartTag>
                            <w:r>
                              <w:rPr>
                                <w:i/>
                                <w:sz w:val="18"/>
                              </w:rPr>
                              <w:t xml:space="preserve">  </w:t>
                            </w:r>
                            <w:smartTag w:uri="urn:schemas-microsoft-com:office:smarttags" w:element="PostalCode">
                              <w:r>
                                <w:rPr>
                                  <w:i/>
                                  <w:sz w:val="18"/>
                                </w:rPr>
                                <w:t>98104</w:t>
                              </w:r>
                            </w:smartTag>
                          </w:smartTag>
                        </w:p>
                        <w:p w:rsidR="00F45B14" w:rsidRDefault="00F45B14">
                          <w:pPr>
                            <w:rPr>
                              <w:i/>
                              <w:sz w:val="18"/>
                            </w:rPr>
                          </w:pPr>
                          <w:r>
                            <w:rPr>
                              <w:i/>
                              <w:sz w:val="18"/>
                            </w:rPr>
                            <w:t>(206) 343-7340</w:t>
                          </w:r>
                        </w:p>
                        <w:p w:rsidR="00F45B14" w:rsidRDefault="00F45B14">
                          <w:pPr>
                            <w:rPr>
                              <w:i/>
                              <w:sz w:val="18"/>
                            </w:rPr>
                          </w:pPr>
                          <w:r>
                            <w:rPr>
                              <w:i/>
                              <w:sz w:val="18"/>
                            </w:rPr>
                            <w:t>(206) 343-1526 [FAX]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54.3pt;margin-top:-18.95pt;width:114.95pt;height:57.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znggIAAAw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" stroked="f" strokeweight="0">
              <v:textbox>
                <w:txbxContent>
                  <w:p w:rsidR="00F45B14" w:rsidRDefault="00F45B14">
                    <w:pPr>
                      <w:rPr>
                        <w:i/>
                        <w:sz w:val="18"/>
                      </w:rPr>
                    </w:pPr>
                    <w:r>
                      <w:rPr>
                        <w:i/>
                        <w:sz w:val="18"/>
                      </w:rPr>
                      <w:t>Earthjustice</w:t>
                    </w:r>
                  </w:p>
                  <w:p w:rsidR="00F45B14" w:rsidRDefault="00F45B14">
                    <w:pPr>
                      <w:rPr>
                        <w:i/>
                        <w:sz w:val="18"/>
                      </w:rPr>
                    </w:pPr>
                    <w:r>
                      <w:rPr>
                        <w:i/>
                        <w:sz w:val="18"/>
                      </w:rPr>
                      <w:t xml:space="preserve">705 </w:t>
                    </w:r>
                    <w:smartTag w:uri="urn:schemas-microsoft-com:office:smarttags" w:element="Street">
                      <w:smartTag w:uri="urn:schemas-microsoft-com:office:smarttags" w:element="address">
                        <w:r>
                          <w:rPr>
                            <w:i/>
                            <w:sz w:val="18"/>
                          </w:rPr>
                          <w:t>Second Ave.</w:t>
                        </w:r>
                      </w:smartTag>
                    </w:smartTag>
                    <w:r>
                      <w:rPr>
                        <w:i/>
                        <w:sz w:val="18"/>
                      </w:rPr>
                      <w:t xml:space="preserve">, </w:t>
                    </w:r>
                    <w:smartTag w:uri="urn:schemas-microsoft-com:office:smarttags" w:element="address">
                      <w:smartTag w:uri="urn:schemas-microsoft-com:office:smarttags" w:element="Street">
                        <w:r>
                          <w:rPr>
                            <w:i/>
                            <w:sz w:val="18"/>
                          </w:rPr>
                          <w:t>Suite</w:t>
                        </w:r>
                      </w:smartTag>
                      <w:r>
                        <w:rPr>
                          <w:i/>
                          <w:sz w:val="18"/>
                        </w:rPr>
                        <w:t xml:space="preserve"> 203</w:t>
                      </w:r>
                    </w:smartTag>
                  </w:p>
                  <w:p w:rsidR="00F45B14" w:rsidRDefault="00F45B14">
                    <w:pPr>
                      <w:rPr>
                        <w:i/>
                        <w:sz w:val="18"/>
                      </w:rPr>
                    </w:pPr>
                    <w:smartTag w:uri="urn:schemas-microsoft-com:office:smarttags" w:element="place">
                      <w:smartTag w:uri="urn:schemas-microsoft-com:office:smarttags" w:element="City">
                        <w:r>
                          <w:rPr>
                            <w:i/>
                            <w:sz w:val="18"/>
                          </w:rPr>
                          <w:t>Seattle</w:t>
                        </w:r>
                      </w:smartTag>
                      <w:r>
                        <w:rPr>
                          <w:i/>
                          <w:sz w:val="18"/>
                        </w:rPr>
                        <w:t xml:space="preserve">, </w:t>
                      </w:r>
                      <w:smartTag w:uri="urn:schemas-microsoft-com:office:smarttags" w:element="State">
                        <w:r>
                          <w:rPr>
                            <w:i/>
                            <w:sz w:val="18"/>
                          </w:rPr>
                          <w:t>WA</w:t>
                        </w:r>
                      </w:smartTag>
                      <w:r>
                        <w:rPr>
                          <w:i/>
                          <w:sz w:val="18"/>
                        </w:rPr>
                        <w:t xml:space="preserve">  </w:t>
                      </w:r>
                      <w:smartTag w:uri="urn:schemas-microsoft-com:office:smarttags" w:element="PostalCode">
                        <w:r>
                          <w:rPr>
                            <w:i/>
                            <w:sz w:val="18"/>
                          </w:rPr>
                          <w:t>98104</w:t>
                        </w:r>
                      </w:smartTag>
                    </w:smartTag>
                  </w:p>
                  <w:p w:rsidR="00F45B14" w:rsidRDefault="00F45B14">
                    <w:pPr>
                      <w:rPr>
                        <w:i/>
                        <w:sz w:val="18"/>
                      </w:rPr>
                    </w:pPr>
                    <w:r>
                      <w:rPr>
                        <w:i/>
                        <w:sz w:val="18"/>
                      </w:rPr>
                      <w:t>(206) 343-7340</w:t>
                    </w:r>
                  </w:p>
                  <w:p w:rsidR="00F45B14" w:rsidRDefault="00F45B14">
                    <w:pPr>
                      <w:rPr>
                        <w:i/>
                        <w:sz w:val="18"/>
                      </w:rPr>
                    </w:pPr>
                    <w:r>
                      <w:rPr>
                        <w:i/>
                        <w:sz w:val="18"/>
                      </w:rPr>
                      <w:t>(206) 343-1526 [FAX]</w:t>
                    </w:r>
                  </w:p>
                </w:txbxContent>
              </v:textbox>
            </v:shape>
          </w:pict>
        </mc:Fallback>
      </mc:AlternateContent>
    </w:r>
    <w:r>
      <w:t>NORTHWEST ENERGY COALITION’S RESPONSE TO</w:t>
    </w:r>
    <w:r>
      <w:br/>
      <w:t>REQUEST FOR PREHEARING CONFERENCE</w:t>
    </w:r>
    <w:r>
      <w:rPr>
        <w:noProof/>
      </w:rPr>
      <w:t xml:space="preserve"> </w:t>
    </w:r>
    <w:r w:rsidR="00F45B14">
      <w:t xml:space="preserve">   - </w:t>
    </w:r>
    <w:r w:rsidR="00F45B14">
      <w:rPr>
        <w:rStyle w:val="PageNumber"/>
      </w:rPr>
      <w:fldChar w:fldCharType="begin"/>
    </w:r>
    <w:r w:rsidR="00F45B14">
      <w:rPr>
        <w:rStyle w:val="PageNumber"/>
      </w:rPr>
      <w:instrText xml:space="preserve"> PAGE </w:instrText>
    </w:r>
    <w:r w:rsidR="00F45B14">
      <w:rPr>
        <w:rStyle w:val="PageNumber"/>
      </w:rPr>
      <w:fldChar w:fldCharType="separate"/>
    </w:r>
    <w:r w:rsidR="00B654C8">
      <w:rPr>
        <w:rStyle w:val="PageNumber"/>
        <w:noProof/>
      </w:rPr>
      <w:t>2</w:t>
    </w:r>
    <w:r w:rsidR="00F45B14">
      <w:rPr>
        <w:rStyle w:val="PageNumber"/>
      </w:rPr>
      <w:fldChar w:fldCharType="end"/>
    </w:r>
    <w:r w:rsidR="00F45B14">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B14" w:rsidRDefault="00F45B14">
      <w:r>
        <w:separator/>
      </w:r>
    </w:p>
  </w:footnote>
  <w:footnote w:type="continuationSeparator" w:id="0">
    <w:p w:rsidR="00F45B14" w:rsidRDefault="00F45B14">
      <w:r>
        <w:continuationSeparator/>
      </w:r>
    </w:p>
  </w:footnote>
  <w:footnote w:id="1">
    <w:p w:rsidR="00A9755A" w:rsidRDefault="00A9755A">
      <w:pPr>
        <w:pStyle w:val="FootnoteText"/>
      </w:pPr>
      <w:r>
        <w:rPr>
          <w:rStyle w:val="FootnoteReference"/>
        </w:rPr>
        <w:footnoteRef/>
      </w:r>
      <w:r>
        <w:t xml:space="preserve"> Wash. Util. &amp; Trans. Comm., Docket </w:t>
      </w:r>
      <w:r w:rsidR="00F02E6F">
        <w:t xml:space="preserve">No. </w:t>
      </w:r>
      <w:r w:rsidRPr="00F02E6F">
        <w:t>U-100522</w:t>
      </w:r>
      <w:r>
        <w:t>, Report and Policy Statement on Regulatory Mechanisms, Including Decoupling, to Encourage Utilities to Meet or Exceed Their Conservation Targets (“Decoupling Policy Statement”)</w:t>
      </w:r>
      <w:r w:rsidR="00420DFE">
        <w:t xml:space="preserve"> ¶¶ 25-29</w:t>
      </w:r>
      <w:r>
        <w:t xml:space="preserve"> (2010).</w:t>
      </w:r>
    </w:p>
  </w:footnote>
  <w:footnote w:id="2">
    <w:p w:rsidR="00A9755A" w:rsidRDefault="00A9755A">
      <w:pPr>
        <w:pStyle w:val="FootnoteText"/>
      </w:pPr>
      <w:r>
        <w:rPr>
          <w:rStyle w:val="FootnoteReference"/>
        </w:rPr>
        <w:footnoteRef/>
      </w:r>
      <w:r>
        <w:t xml:space="preserve"> Wash. Util. &amp; Trans. Comm., Docket </w:t>
      </w:r>
      <w:r w:rsidR="00F02E6F">
        <w:t xml:space="preserve">No. </w:t>
      </w:r>
      <w:r>
        <w:t>UE-110876, Notice of Bench Request (June 28, 2011).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E7C6A"/>
    <w:multiLevelType w:val="multilevel"/>
    <w:tmpl w:val="D8387BD4"/>
    <w:lvl w:ilvl="0">
      <w:start w:val="1"/>
      <w:numFmt w:val="none"/>
      <w:pStyle w:val="Heading1"/>
      <w:suff w:val="nothing"/>
      <w:lvlText w:val="%1"/>
      <w:lvlJc w:val="center"/>
      <w:pPr>
        <w:ind w:left="0" w:firstLine="0"/>
      </w:pPr>
      <w:rPr>
        <w:rFonts w:hint="default"/>
      </w:rPr>
    </w:lvl>
    <w:lvl w:ilvl="1">
      <w:start w:val="1"/>
      <w:numFmt w:val="upperRoman"/>
      <w:pStyle w:val="Heading2"/>
      <w:lvlText w:val="%2."/>
      <w:lvlJc w:val="left"/>
      <w:pPr>
        <w:tabs>
          <w:tab w:val="num" w:pos="720"/>
        </w:tabs>
        <w:ind w:left="720" w:hanging="720"/>
      </w:pPr>
      <w:rPr>
        <w:rFonts w:hint="default"/>
      </w:rPr>
    </w:lvl>
    <w:lvl w:ilvl="2">
      <w:start w:val="1"/>
      <w:numFmt w:val="upperLetter"/>
      <w:pStyle w:val="Heading3"/>
      <w:lvlText w:val="%3."/>
      <w:lvlJc w:val="left"/>
      <w:pPr>
        <w:tabs>
          <w:tab w:val="num" w:pos="1440"/>
        </w:tabs>
        <w:ind w:left="1440" w:hanging="720"/>
      </w:pPr>
      <w:rPr>
        <w:rFonts w:hint="default"/>
      </w:rPr>
    </w:lvl>
    <w:lvl w:ilvl="3">
      <w:start w:val="1"/>
      <w:numFmt w:val="decimal"/>
      <w:pStyle w:val="Heading4"/>
      <w:lvlText w:val="%4."/>
      <w:lvlJc w:val="left"/>
      <w:pPr>
        <w:tabs>
          <w:tab w:val="num" w:pos="2160"/>
        </w:tabs>
        <w:ind w:left="2160" w:hanging="720"/>
      </w:pPr>
      <w:rPr>
        <w:rFonts w:ascii="Times New Roman" w:hAnsi="Times New Roman" w:hint="default"/>
        <w:b w:val="0"/>
        <w:i/>
        <w:sz w:val="24"/>
      </w:rPr>
    </w:lvl>
    <w:lvl w:ilvl="4">
      <w:start w:val="1"/>
      <w:numFmt w:val="lowerLetter"/>
      <w:pStyle w:val="Heading5"/>
      <w:lvlText w:val="%5."/>
      <w:lvlJc w:val="left"/>
      <w:pPr>
        <w:tabs>
          <w:tab w:val="num" w:pos="2880"/>
        </w:tabs>
        <w:ind w:left="2880" w:hanging="720"/>
      </w:pPr>
      <w:rPr>
        <w:rFonts w:hint="default"/>
      </w:rPr>
    </w:lvl>
    <w:lvl w:ilvl="5">
      <w:start w:val="1"/>
      <w:numFmt w:val="none"/>
      <w:lvlText w:val=""/>
      <w:lvlJc w:val="left"/>
      <w:pPr>
        <w:tabs>
          <w:tab w:val="num" w:pos="396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480"/>
        </w:tabs>
        <w:ind w:left="5760" w:firstLine="0"/>
      </w:pPr>
      <w:rPr>
        <w:rFonts w:hint="default"/>
      </w:rPr>
    </w:lvl>
  </w:abstractNum>
  <w:abstractNum w:abstractNumId="1">
    <w:nsid w:val="20C26176"/>
    <w:multiLevelType w:val="singleLevel"/>
    <w:tmpl w:val="154EA3FC"/>
    <w:lvl w:ilvl="0">
      <w:start w:val="1"/>
      <w:numFmt w:val="decimal"/>
      <w:pStyle w:val="ParaNum"/>
      <w:lvlText w:val="%1."/>
      <w:lvlJc w:val="left"/>
      <w:pPr>
        <w:tabs>
          <w:tab w:val="num" w:pos="1080"/>
        </w:tabs>
        <w:ind w:left="0" w:firstLine="720"/>
      </w:pPr>
      <w:rPr>
        <w:rFonts w:ascii="Times New Roman" w:hAnsi="Times New Roman" w:hint="default"/>
        <w:b w:val="0"/>
        <w:i w:val="0"/>
        <w:sz w:val="24"/>
      </w:rPr>
    </w:lvl>
  </w:abstractNum>
  <w:abstractNum w:abstractNumId="2">
    <w:nsid w:val="32C973E9"/>
    <w:multiLevelType w:val="singleLevel"/>
    <w:tmpl w:val="C8608CCE"/>
    <w:lvl w:ilvl="0">
      <w:start w:val="1"/>
      <w:numFmt w:val="decimal"/>
      <w:lvlText w:val="%1."/>
      <w:lvlJc w:val="left"/>
      <w:pPr>
        <w:tabs>
          <w:tab w:val="num" w:pos="360"/>
        </w:tabs>
        <w:ind w:left="360" w:hanging="360"/>
      </w:pPr>
    </w:lvl>
  </w:abstractNum>
  <w:abstractNum w:abstractNumId="3">
    <w:nsid w:val="33690D1D"/>
    <w:multiLevelType w:val="hybridMultilevel"/>
    <w:tmpl w:val="A2E84952"/>
    <w:lvl w:ilvl="0" w:tplc="C054E57C">
      <w:start w:val="1"/>
      <w:numFmt w:val="decimal"/>
      <w:lvlText w:val="%1."/>
      <w:lvlJc w:val="left"/>
      <w:pPr>
        <w:tabs>
          <w:tab w:val="num" w:pos="720"/>
        </w:tabs>
        <w:ind w:left="720" w:hanging="360"/>
      </w:pPr>
    </w:lvl>
    <w:lvl w:ilvl="1" w:tplc="503C9C14" w:tentative="1">
      <w:start w:val="1"/>
      <w:numFmt w:val="lowerLetter"/>
      <w:lvlText w:val="%2."/>
      <w:lvlJc w:val="left"/>
      <w:pPr>
        <w:tabs>
          <w:tab w:val="num" w:pos="1440"/>
        </w:tabs>
        <w:ind w:left="1440" w:hanging="360"/>
      </w:pPr>
    </w:lvl>
    <w:lvl w:ilvl="2" w:tplc="53D0D3C6" w:tentative="1">
      <w:start w:val="1"/>
      <w:numFmt w:val="lowerRoman"/>
      <w:lvlText w:val="%3."/>
      <w:lvlJc w:val="right"/>
      <w:pPr>
        <w:tabs>
          <w:tab w:val="num" w:pos="2160"/>
        </w:tabs>
        <w:ind w:left="2160" w:hanging="180"/>
      </w:pPr>
    </w:lvl>
    <w:lvl w:ilvl="3" w:tplc="0AE44D8A" w:tentative="1">
      <w:start w:val="1"/>
      <w:numFmt w:val="decimal"/>
      <w:lvlText w:val="%4."/>
      <w:lvlJc w:val="left"/>
      <w:pPr>
        <w:tabs>
          <w:tab w:val="num" w:pos="2880"/>
        </w:tabs>
        <w:ind w:left="2880" w:hanging="360"/>
      </w:pPr>
    </w:lvl>
    <w:lvl w:ilvl="4" w:tplc="2EF6DE1C" w:tentative="1">
      <w:start w:val="1"/>
      <w:numFmt w:val="lowerLetter"/>
      <w:lvlText w:val="%5."/>
      <w:lvlJc w:val="left"/>
      <w:pPr>
        <w:tabs>
          <w:tab w:val="num" w:pos="3600"/>
        </w:tabs>
        <w:ind w:left="3600" w:hanging="360"/>
      </w:pPr>
    </w:lvl>
    <w:lvl w:ilvl="5" w:tplc="5248F0DE" w:tentative="1">
      <w:start w:val="1"/>
      <w:numFmt w:val="lowerRoman"/>
      <w:lvlText w:val="%6."/>
      <w:lvlJc w:val="right"/>
      <w:pPr>
        <w:tabs>
          <w:tab w:val="num" w:pos="4320"/>
        </w:tabs>
        <w:ind w:left="4320" w:hanging="180"/>
      </w:pPr>
    </w:lvl>
    <w:lvl w:ilvl="6" w:tplc="FD9A89BE" w:tentative="1">
      <w:start w:val="1"/>
      <w:numFmt w:val="decimal"/>
      <w:lvlText w:val="%7."/>
      <w:lvlJc w:val="left"/>
      <w:pPr>
        <w:tabs>
          <w:tab w:val="num" w:pos="5040"/>
        </w:tabs>
        <w:ind w:left="5040" w:hanging="360"/>
      </w:pPr>
    </w:lvl>
    <w:lvl w:ilvl="7" w:tplc="DC3EB1BC" w:tentative="1">
      <w:start w:val="1"/>
      <w:numFmt w:val="lowerLetter"/>
      <w:lvlText w:val="%8."/>
      <w:lvlJc w:val="left"/>
      <w:pPr>
        <w:tabs>
          <w:tab w:val="num" w:pos="5760"/>
        </w:tabs>
        <w:ind w:left="5760" w:hanging="360"/>
      </w:pPr>
    </w:lvl>
    <w:lvl w:ilvl="8" w:tplc="0CE2950C"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0"/>
  </w:num>
  <w:num w:numId="5">
    <w:abstractNumId w:val="0"/>
  </w:num>
  <w:num w:numId="6">
    <w:abstractNumId w:val="0"/>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29E"/>
    <w:rsid w:val="00005D81"/>
    <w:rsid w:val="000526A3"/>
    <w:rsid w:val="00076410"/>
    <w:rsid w:val="000B790C"/>
    <w:rsid w:val="000E553B"/>
    <w:rsid w:val="000F44B3"/>
    <w:rsid w:val="001564C5"/>
    <w:rsid w:val="00162A57"/>
    <w:rsid w:val="00170BBB"/>
    <w:rsid w:val="001721E0"/>
    <w:rsid w:val="00183FFE"/>
    <w:rsid w:val="001A4E40"/>
    <w:rsid w:val="001F2750"/>
    <w:rsid w:val="001F2DC0"/>
    <w:rsid w:val="00270791"/>
    <w:rsid w:val="002A41F0"/>
    <w:rsid w:val="002D4B92"/>
    <w:rsid w:val="003328A4"/>
    <w:rsid w:val="00336E14"/>
    <w:rsid w:val="003521B5"/>
    <w:rsid w:val="00381952"/>
    <w:rsid w:val="003A37C1"/>
    <w:rsid w:val="003A7721"/>
    <w:rsid w:val="003C6EC7"/>
    <w:rsid w:val="003E10B1"/>
    <w:rsid w:val="00420CDF"/>
    <w:rsid w:val="00420DFE"/>
    <w:rsid w:val="0044029E"/>
    <w:rsid w:val="00442B08"/>
    <w:rsid w:val="004463D1"/>
    <w:rsid w:val="00470046"/>
    <w:rsid w:val="004B55C1"/>
    <w:rsid w:val="004B64AD"/>
    <w:rsid w:val="004D41EC"/>
    <w:rsid w:val="005055E9"/>
    <w:rsid w:val="00526EE2"/>
    <w:rsid w:val="0055373E"/>
    <w:rsid w:val="00561674"/>
    <w:rsid w:val="005D763C"/>
    <w:rsid w:val="005E505E"/>
    <w:rsid w:val="005F645A"/>
    <w:rsid w:val="00612D61"/>
    <w:rsid w:val="00617118"/>
    <w:rsid w:val="006640CD"/>
    <w:rsid w:val="00674A17"/>
    <w:rsid w:val="0067642B"/>
    <w:rsid w:val="00693E69"/>
    <w:rsid w:val="006E1A0A"/>
    <w:rsid w:val="00704D2B"/>
    <w:rsid w:val="00705555"/>
    <w:rsid w:val="00736D93"/>
    <w:rsid w:val="008A7786"/>
    <w:rsid w:val="008C680B"/>
    <w:rsid w:val="008E72CC"/>
    <w:rsid w:val="00954DFA"/>
    <w:rsid w:val="00A53688"/>
    <w:rsid w:val="00A66038"/>
    <w:rsid w:val="00A773C7"/>
    <w:rsid w:val="00A9755A"/>
    <w:rsid w:val="00AA32CB"/>
    <w:rsid w:val="00AC1A2C"/>
    <w:rsid w:val="00B46553"/>
    <w:rsid w:val="00B654C8"/>
    <w:rsid w:val="00BD3CDF"/>
    <w:rsid w:val="00C240CC"/>
    <w:rsid w:val="00C27F83"/>
    <w:rsid w:val="00C32511"/>
    <w:rsid w:val="00C71A7A"/>
    <w:rsid w:val="00C7256D"/>
    <w:rsid w:val="00C878C4"/>
    <w:rsid w:val="00CC6F9C"/>
    <w:rsid w:val="00D551EA"/>
    <w:rsid w:val="00D67950"/>
    <w:rsid w:val="00DA28F1"/>
    <w:rsid w:val="00DA4862"/>
    <w:rsid w:val="00DA536A"/>
    <w:rsid w:val="00DE228E"/>
    <w:rsid w:val="00DE65AB"/>
    <w:rsid w:val="00DF323A"/>
    <w:rsid w:val="00DF7357"/>
    <w:rsid w:val="00E45ECB"/>
    <w:rsid w:val="00E97864"/>
    <w:rsid w:val="00F02E6F"/>
    <w:rsid w:val="00F45B14"/>
    <w:rsid w:val="00F85A4C"/>
    <w:rsid w:val="00FB131C"/>
    <w:rsid w:val="00FC14E6"/>
    <w:rsid w:val="00FD503E"/>
    <w:rsid w:val="00FF5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martTagType w:namespaceuri="urn:schemas-microsoft-com:office:smarttags" w:name="State"/>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z w:val="24"/>
    </w:rPr>
  </w:style>
  <w:style w:type="paragraph" w:styleId="Heading1">
    <w:name w:val="heading 1"/>
    <w:basedOn w:val="Normal"/>
    <w:next w:val="BodyText"/>
    <w:qFormat/>
    <w:rsid w:val="00C878C4"/>
    <w:pPr>
      <w:keepNext/>
      <w:keepLines/>
      <w:numPr>
        <w:numId w:val="7"/>
      </w:numPr>
      <w:spacing w:after="240"/>
      <w:jc w:val="center"/>
      <w:outlineLvl w:val="0"/>
    </w:pPr>
    <w:rPr>
      <w:caps/>
      <w:kern w:val="28"/>
    </w:rPr>
  </w:style>
  <w:style w:type="paragraph" w:styleId="Heading2">
    <w:name w:val="heading 2"/>
    <w:basedOn w:val="Normal"/>
    <w:next w:val="BodyText"/>
    <w:qFormat/>
    <w:rsid w:val="00C878C4"/>
    <w:pPr>
      <w:keepNext/>
      <w:keepLines/>
      <w:numPr>
        <w:ilvl w:val="1"/>
        <w:numId w:val="7"/>
      </w:numPr>
      <w:spacing w:after="240"/>
      <w:outlineLvl w:val="1"/>
    </w:pPr>
    <w:rPr>
      <w:caps/>
    </w:rPr>
  </w:style>
  <w:style w:type="paragraph" w:styleId="Heading3">
    <w:name w:val="heading 3"/>
    <w:basedOn w:val="Normal"/>
    <w:next w:val="BodyText"/>
    <w:qFormat/>
    <w:rsid w:val="00C878C4"/>
    <w:pPr>
      <w:keepNext/>
      <w:keepLines/>
      <w:numPr>
        <w:ilvl w:val="2"/>
        <w:numId w:val="7"/>
      </w:numPr>
      <w:spacing w:after="240"/>
      <w:outlineLvl w:val="2"/>
    </w:pPr>
    <w:rPr>
      <w:u w:val="single"/>
    </w:rPr>
  </w:style>
  <w:style w:type="paragraph" w:styleId="Heading4">
    <w:name w:val="heading 4"/>
    <w:basedOn w:val="Normal"/>
    <w:next w:val="BodyText"/>
    <w:qFormat/>
    <w:rsid w:val="00C878C4"/>
    <w:pPr>
      <w:keepNext/>
      <w:keepLines/>
      <w:numPr>
        <w:ilvl w:val="3"/>
        <w:numId w:val="7"/>
      </w:numPr>
      <w:spacing w:after="240"/>
      <w:outlineLvl w:val="3"/>
    </w:pPr>
    <w:rPr>
      <w:i/>
    </w:rPr>
  </w:style>
  <w:style w:type="paragraph" w:styleId="Heading5">
    <w:name w:val="heading 5"/>
    <w:basedOn w:val="Normal"/>
    <w:next w:val="BodyText"/>
    <w:qFormat/>
    <w:rsid w:val="00C878C4"/>
    <w:pPr>
      <w:keepNext/>
      <w:keepLines/>
      <w:numPr>
        <w:ilvl w:val="4"/>
        <w:numId w:val="7"/>
      </w:numPr>
      <w:spacing w:after="24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LineNumbers">
    <w:name w:val="LineNumbers"/>
    <w:basedOn w:val="Normal"/>
    <w:pPr>
      <w:spacing w:line="480" w:lineRule="auto"/>
      <w:jc w:val="right"/>
    </w:pPr>
  </w:style>
  <w:style w:type="paragraph" w:styleId="NormalIndent">
    <w:name w:val="Normal Indent"/>
    <w:basedOn w:val="Normal"/>
    <w:pPr>
      <w:ind w:left="720"/>
    </w:pPr>
    <w:rPr>
      <w:rFonts w:ascii="Tms Rmn" w:hAnsi="Tms Rmn"/>
      <w:sz w:val="3276"/>
    </w:rPr>
  </w:style>
  <w:style w:type="paragraph" w:customStyle="1" w:styleId="Address">
    <w:name w:val="Address"/>
    <w:basedOn w:val="SingleSpacing"/>
  </w:style>
  <w:style w:type="paragraph" w:customStyle="1" w:styleId="SingleSpacing">
    <w:name w:val="Single Spacing"/>
    <w:basedOn w:val="Normal"/>
  </w:style>
  <w:style w:type="paragraph" w:customStyle="1" w:styleId="15Spacing">
    <w:name w:val="1.5 Spacing"/>
    <w:basedOn w:val="Normal"/>
    <w:pPr>
      <w:spacing w:line="360" w:lineRule="exact"/>
    </w:pPr>
    <w:rPr>
      <w:rFonts w:ascii="Courier" w:hAnsi="Courier"/>
      <w:sz w:val="18"/>
    </w:rPr>
  </w:style>
  <w:style w:type="paragraph" w:customStyle="1" w:styleId="DoubleSpacing">
    <w:name w:val="Double Spacing"/>
    <w:basedOn w:val="Normal"/>
    <w:pPr>
      <w:spacing w:line="480" w:lineRule="auto"/>
    </w:pPr>
  </w:style>
  <w:style w:type="character" w:styleId="PageNumber">
    <w:name w:val="page number"/>
    <w:basedOn w:val="DefaultParagraphFont"/>
  </w:style>
  <w:style w:type="paragraph" w:customStyle="1" w:styleId="CourtName">
    <w:name w:val="CourtName"/>
    <w:basedOn w:val="Normal"/>
    <w:pPr>
      <w:jc w:val="center"/>
    </w:pPr>
  </w:style>
  <w:style w:type="paragraph" w:styleId="FootnoteText">
    <w:name w:val="footnote text"/>
    <w:basedOn w:val="Normal"/>
    <w:rsid w:val="00C878C4"/>
    <w:pPr>
      <w:widowControl/>
      <w:spacing w:after="120"/>
    </w:pPr>
  </w:style>
  <w:style w:type="character" w:styleId="LineNumber">
    <w:name w:val="line number"/>
    <w:basedOn w:val="DefaultParagraphFont"/>
    <w:rPr>
      <w:rFonts w:ascii="Times New Roman" w:hAnsi="Times New Roman"/>
      <w:sz w:val="24"/>
    </w:rPr>
  </w:style>
  <w:style w:type="paragraph" w:styleId="BodyText">
    <w:name w:val="Body Text"/>
    <w:basedOn w:val="Normal"/>
    <w:pPr>
      <w:spacing w:line="480" w:lineRule="auto"/>
    </w:pPr>
  </w:style>
  <w:style w:type="paragraph" w:customStyle="1" w:styleId="SpaceAfter">
    <w:name w:val="Space After"/>
    <w:basedOn w:val="BodyText"/>
    <w:pPr>
      <w:spacing w:after="160"/>
    </w:pPr>
  </w:style>
  <w:style w:type="paragraph" w:styleId="BodyText2">
    <w:name w:val="Body Text 2"/>
    <w:basedOn w:val="Normal"/>
    <w:rPr>
      <w:i/>
      <w:sz w:val="18"/>
    </w:rPr>
  </w:style>
  <w:style w:type="paragraph" w:styleId="TOC1">
    <w:name w:val="toc 1"/>
    <w:basedOn w:val="Normal"/>
    <w:next w:val="Normal"/>
    <w:autoRedefine/>
    <w:semiHidden/>
    <w:pPr>
      <w:tabs>
        <w:tab w:val="right" w:leader="dot" w:pos="9350"/>
      </w:tabs>
      <w:spacing w:after="240"/>
      <w:ind w:right="720"/>
    </w:pPr>
    <w:rPr>
      <w:caps/>
      <w:noProof/>
    </w:rPr>
  </w:style>
  <w:style w:type="paragraph" w:styleId="TOC2">
    <w:name w:val="toc 2"/>
    <w:basedOn w:val="Normal"/>
    <w:next w:val="Normal"/>
    <w:autoRedefine/>
    <w:semiHidden/>
    <w:pPr>
      <w:keepLines/>
      <w:tabs>
        <w:tab w:val="left" w:pos="720"/>
        <w:tab w:val="left" w:pos="1440"/>
        <w:tab w:val="right" w:leader="dot" w:pos="9350"/>
      </w:tabs>
      <w:spacing w:after="240"/>
      <w:ind w:left="1440" w:right="720" w:hanging="720"/>
    </w:pPr>
    <w:rPr>
      <w:caps/>
      <w:noProof/>
    </w:rPr>
  </w:style>
  <w:style w:type="paragraph" w:styleId="TOC3">
    <w:name w:val="toc 3"/>
    <w:basedOn w:val="Normal"/>
    <w:next w:val="Normal"/>
    <w:autoRedefine/>
    <w:semiHidden/>
    <w:pPr>
      <w:keepLines/>
      <w:tabs>
        <w:tab w:val="left" w:pos="1440"/>
        <w:tab w:val="right" w:leader="dot" w:pos="9360"/>
      </w:tabs>
      <w:spacing w:after="240"/>
      <w:ind w:left="1872" w:right="720" w:hanging="432"/>
    </w:pPr>
    <w:rPr>
      <w:noProof/>
    </w:rPr>
  </w:style>
  <w:style w:type="paragraph" w:styleId="TOC4">
    <w:name w:val="toc 4"/>
    <w:basedOn w:val="Normal"/>
    <w:next w:val="Normal"/>
    <w:autoRedefine/>
    <w:semiHidden/>
    <w:pPr>
      <w:tabs>
        <w:tab w:val="right" w:leader="dot" w:pos="9360"/>
      </w:tabs>
      <w:spacing w:after="240"/>
      <w:ind w:left="2592" w:right="720" w:hanging="432"/>
    </w:pPr>
  </w:style>
  <w:style w:type="paragraph" w:styleId="TOC5">
    <w:name w:val="toc 5"/>
    <w:basedOn w:val="Normal"/>
    <w:next w:val="Normal"/>
    <w:autoRedefine/>
    <w:semiHidden/>
    <w:pPr>
      <w:tabs>
        <w:tab w:val="right" w:leader="dot" w:pos="9360"/>
      </w:tabs>
      <w:spacing w:after="240"/>
      <w:ind w:left="3312" w:right="720" w:hanging="432"/>
    </w:pPr>
  </w:style>
  <w:style w:type="paragraph" w:customStyle="1" w:styleId="ParaNum">
    <w:name w:val="ParaNum"/>
    <w:basedOn w:val="Normal"/>
    <w:next w:val="BodyText"/>
    <w:rsid w:val="000526A3"/>
    <w:pPr>
      <w:numPr>
        <w:numId w:val="8"/>
      </w:numPr>
      <w:tabs>
        <w:tab w:val="left" w:pos="720"/>
        <w:tab w:val="left" w:pos="1440"/>
      </w:tabs>
      <w:spacing w:line="480" w:lineRule="auto"/>
    </w:pPr>
  </w:style>
  <w:style w:type="character" w:styleId="Hyperlink">
    <w:name w:val="Hyperlink"/>
    <w:basedOn w:val="DefaultParagraphFont"/>
    <w:rPr>
      <w:color w:val="0000FF"/>
      <w:u w:val="single"/>
    </w:rPr>
  </w:style>
  <w:style w:type="paragraph" w:styleId="BlockText">
    <w:name w:val="Block Text"/>
    <w:basedOn w:val="Normal"/>
    <w:pPr>
      <w:widowControl/>
      <w:ind w:left="720" w:right="720"/>
    </w:pPr>
  </w:style>
  <w:style w:type="character" w:customStyle="1" w:styleId="documentbody1">
    <w:name w:val="documentbody1"/>
    <w:basedOn w:val="DefaultParagraphFont"/>
    <w:rsid w:val="006E1A0A"/>
    <w:rPr>
      <w:rFonts w:ascii="Verdana" w:hAnsi="Verdana" w:hint="default"/>
      <w:sz w:val="19"/>
      <w:szCs w:val="19"/>
    </w:rPr>
  </w:style>
  <w:style w:type="character" w:styleId="FootnoteReference">
    <w:name w:val="footnote reference"/>
    <w:basedOn w:val="DefaultParagraphFont"/>
    <w:semiHidden/>
    <w:rsid w:val="0027079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z w:val="24"/>
    </w:rPr>
  </w:style>
  <w:style w:type="paragraph" w:styleId="Heading1">
    <w:name w:val="heading 1"/>
    <w:basedOn w:val="Normal"/>
    <w:next w:val="BodyText"/>
    <w:qFormat/>
    <w:rsid w:val="00C878C4"/>
    <w:pPr>
      <w:keepNext/>
      <w:keepLines/>
      <w:numPr>
        <w:numId w:val="7"/>
      </w:numPr>
      <w:spacing w:after="240"/>
      <w:jc w:val="center"/>
      <w:outlineLvl w:val="0"/>
    </w:pPr>
    <w:rPr>
      <w:caps/>
      <w:kern w:val="28"/>
    </w:rPr>
  </w:style>
  <w:style w:type="paragraph" w:styleId="Heading2">
    <w:name w:val="heading 2"/>
    <w:basedOn w:val="Normal"/>
    <w:next w:val="BodyText"/>
    <w:qFormat/>
    <w:rsid w:val="00C878C4"/>
    <w:pPr>
      <w:keepNext/>
      <w:keepLines/>
      <w:numPr>
        <w:ilvl w:val="1"/>
        <w:numId w:val="7"/>
      </w:numPr>
      <w:spacing w:after="240"/>
      <w:outlineLvl w:val="1"/>
    </w:pPr>
    <w:rPr>
      <w:caps/>
    </w:rPr>
  </w:style>
  <w:style w:type="paragraph" w:styleId="Heading3">
    <w:name w:val="heading 3"/>
    <w:basedOn w:val="Normal"/>
    <w:next w:val="BodyText"/>
    <w:qFormat/>
    <w:rsid w:val="00C878C4"/>
    <w:pPr>
      <w:keepNext/>
      <w:keepLines/>
      <w:numPr>
        <w:ilvl w:val="2"/>
        <w:numId w:val="7"/>
      </w:numPr>
      <w:spacing w:after="240"/>
      <w:outlineLvl w:val="2"/>
    </w:pPr>
    <w:rPr>
      <w:u w:val="single"/>
    </w:rPr>
  </w:style>
  <w:style w:type="paragraph" w:styleId="Heading4">
    <w:name w:val="heading 4"/>
    <w:basedOn w:val="Normal"/>
    <w:next w:val="BodyText"/>
    <w:qFormat/>
    <w:rsid w:val="00C878C4"/>
    <w:pPr>
      <w:keepNext/>
      <w:keepLines/>
      <w:numPr>
        <w:ilvl w:val="3"/>
        <w:numId w:val="7"/>
      </w:numPr>
      <w:spacing w:after="240"/>
      <w:outlineLvl w:val="3"/>
    </w:pPr>
    <w:rPr>
      <w:i/>
    </w:rPr>
  </w:style>
  <w:style w:type="paragraph" w:styleId="Heading5">
    <w:name w:val="heading 5"/>
    <w:basedOn w:val="Normal"/>
    <w:next w:val="BodyText"/>
    <w:qFormat/>
    <w:rsid w:val="00C878C4"/>
    <w:pPr>
      <w:keepNext/>
      <w:keepLines/>
      <w:numPr>
        <w:ilvl w:val="4"/>
        <w:numId w:val="7"/>
      </w:numPr>
      <w:spacing w:after="24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LineNumbers">
    <w:name w:val="LineNumbers"/>
    <w:basedOn w:val="Normal"/>
    <w:pPr>
      <w:spacing w:line="480" w:lineRule="auto"/>
      <w:jc w:val="right"/>
    </w:pPr>
  </w:style>
  <w:style w:type="paragraph" w:styleId="NormalIndent">
    <w:name w:val="Normal Indent"/>
    <w:basedOn w:val="Normal"/>
    <w:pPr>
      <w:ind w:left="720"/>
    </w:pPr>
    <w:rPr>
      <w:rFonts w:ascii="Tms Rmn" w:hAnsi="Tms Rmn"/>
      <w:sz w:val="3276"/>
    </w:rPr>
  </w:style>
  <w:style w:type="paragraph" w:customStyle="1" w:styleId="Address">
    <w:name w:val="Address"/>
    <w:basedOn w:val="SingleSpacing"/>
  </w:style>
  <w:style w:type="paragraph" w:customStyle="1" w:styleId="SingleSpacing">
    <w:name w:val="Single Spacing"/>
    <w:basedOn w:val="Normal"/>
  </w:style>
  <w:style w:type="paragraph" w:customStyle="1" w:styleId="15Spacing">
    <w:name w:val="1.5 Spacing"/>
    <w:basedOn w:val="Normal"/>
    <w:pPr>
      <w:spacing w:line="360" w:lineRule="exact"/>
    </w:pPr>
    <w:rPr>
      <w:rFonts w:ascii="Courier" w:hAnsi="Courier"/>
      <w:sz w:val="18"/>
    </w:rPr>
  </w:style>
  <w:style w:type="paragraph" w:customStyle="1" w:styleId="DoubleSpacing">
    <w:name w:val="Double Spacing"/>
    <w:basedOn w:val="Normal"/>
    <w:pPr>
      <w:spacing w:line="480" w:lineRule="auto"/>
    </w:pPr>
  </w:style>
  <w:style w:type="character" w:styleId="PageNumber">
    <w:name w:val="page number"/>
    <w:basedOn w:val="DefaultParagraphFont"/>
  </w:style>
  <w:style w:type="paragraph" w:customStyle="1" w:styleId="CourtName">
    <w:name w:val="CourtName"/>
    <w:basedOn w:val="Normal"/>
    <w:pPr>
      <w:jc w:val="center"/>
    </w:pPr>
  </w:style>
  <w:style w:type="paragraph" w:styleId="FootnoteText">
    <w:name w:val="footnote text"/>
    <w:basedOn w:val="Normal"/>
    <w:rsid w:val="00C878C4"/>
    <w:pPr>
      <w:widowControl/>
      <w:spacing w:after="120"/>
    </w:pPr>
  </w:style>
  <w:style w:type="character" w:styleId="LineNumber">
    <w:name w:val="line number"/>
    <w:basedOn w:val="DefaultParagraphFont"/>
    <w:rPr>
      <w:rFonts w:ascii="Times New Roman" w:hAnsi="Times New Roman"/>
      <w:sz w:val="24"/>
    </w:rPr>
  </w:style>
  <w:style w:type="paragraph" w:styleId="BodyText">
    <w:name w:val="Body Text"/>
    <w:basedOn w:val="Normal"/>
    <w:pPr>
      <w:spacing w:line="480" w:lineRule="auto"/>
    </w:pPr>
  </w:style>
  <w:style w:type="paragraph" w:customStyle="1" w:styleId="SpaceAfter">
    <w:name w:val="Space After"/>
    <w:basedOn w:val="BodyText"/>
    <w:pPr>
      <w:spacing w:after="160"/>
    </w:pPr>
  </w:style>
  <w:style w:type="paragraph" w:styleId="BodyText2">
    <w:name w:val="Body Text 2"/>
    <w:basedOn w:val="Normal"/>
    <w:rPr>
      <w:i/>
      <w:sz w:val="18"/>
    </w:rPr>
  </w:style>
  <w:style w:type="paragraph" w:styleId="TOC1">
    <w:name w:val="toc 1"/>
    <w:basedOn w:val="Normal"/>
    <w:next w:val="Normal"/>
    <w:autoRedefine/>
    <w:semiHidden/>
    <w:pPr>
      <w:tabs>
        <w:tab w:val="right" w:leader="dot" w:pos="9350"/>
      </w:tabs>
      <w:spacing w:after="240"/>
      <w:ind w:right="720"/>
    </w:pPr>
    <w:rPr>
      <w:caps/>
      <w:noProof/>
    </w:rPr>
  </w:style>
  <w:style w:type="paragraph" w:styleId="TOC2">
    <w:name w:val="toc 2"/>
    <w:basedOn w:val="Normal"/>
    <w:next w:val="Normal"/>
    <w:autoRedefine/>
    <w:semiHidden/>
    <w:pPr>
      <w:keepLines/>
      <w:tabs>
        <w:tab w:val="left" w:pos="720"/>
        <w:tab w:val="left" w:pos="1440"/>
        <w:tab w:val="right" w:leader="dot" w:pos="9350"/>
      </w:tabs>
      <w:spacing w:after="240"/>
      <w:ind w:left="1440" w:right="720" w:hanging="720"/>
    </w:pPr>
    <w:rPr>
      <w:caps/>
      <w:noProof/>
    </w:rPr>
  </w:style>
  <w:style w:type="paragraph" w:styleId="TOC3">
    <w:name w:val="toc 3"/>
    <w:basedOn w:val="Normal"/>
    <w:next w:val="Normal"/>
    <w:autoRedefine/>
    <w:semiHidden/>
    <w:pPr>
      <w:keepLines/>
      <w:tabs>
        <w:tab w:val="left" w:pos="1440"/>
        <w:tab w:val="right" w:leader="dot" w:pos="9360"/>
      </w:tabs>
      <w:spacing w:after="240"/>
      <w:ind w:left="1872" w:right="720" w:hanging="432"/>
    </w:pPr>
    <w:rPr>
      <w:noProof/>
    </w:rPr>
  </w:style>
  <w:style w:type="paragraph" w:styleId="TOC4">
    <w:name w:val="toc 4"/>
    <w:basedOn w:val="Normal"/>
    <w:next w:val="Normal"/>
    <w:autoRedefine/>
    <w:semiHidden/>
    <w:pPr>
      <w:tabs>
        <w:tab w:val="right" w:leader="dot" w:pos="9360"/>
      </w:tabs>
      <w:spacing w:after="240"/>
      <w:ind w:left="2592" w:right="720" w:hanging="432"/>
    </w:pPr>
  </w:style>
  <w:style w:type="paragraph" w:styleId="TOC5">
    <w:name w:val="toc 5"/>
    <w:basedOn w:val="Normal"/>
    <w:next w:val="Normal"/>
    <w:autoRedefine/>
    <w:semiHidden/>
    <w:pPr>
      <w:tabs>
        <w:tab w:val="right" w:leader="dot" w:pos="9360"/>
      </w:tabs>
      <w:spacing w:after="240"/>
      <w:ind w:left="3312" w:right="720" w:hanging="432"/>
    </w:pPr>
  </w:style>
  <w:style w:type="paragraph" w:customStyle="1" w:styleId="ParaNum">
    <w:name w:val="ParaNum"/>
    <w:basedOn w:val="Normal"/>
    <w:next w:val="BodyText"/>
    <w:rsid w:val="000526A3"/>
    <w:pPr>
      <w:numPr>
        <w:numId w:val="8"/>
      </w:numPr>
      <w:tabs>
        <w:tab w:val="left" w:pos="720"/>
        <w:tab w:val="left" w:pos="1440"/>
      </w:tabs>
      <w:spacing w:line="480" w:lineRule="auto"/>
    </w:pPr>
  </w:style>
  <w:style w:type="character" w:styleId="Hyperlink">
    <w:name w:val="Hyperlink"/>
    <w:basedOn w:val="DefaultParagraphFont"/>
    <w:rPr>
      <w:color w:val="0000FF"/>
      <w:u w:val="single"/>
    </w:rPr>
  </w:style>
  <w:style w:type="paragraph" w:styleId="BlockText">
    <w:name w:val="Block Text"/>
    <w:basedOn w:val="Normal"/>
    <w:pPr>
      <w:widowControl/>
      <w:ind w:left="720" w:right="720"/>
    </w:pPr>
  </w:style>
  <w:style w:type="character" w:customStyle="1" w:styleId="documentbody1">
    <w:name w:val="documentbody1"/>
    <w:basedOn w:val="DefaultParagraphFont"/>
    <w:rsid w:val="006E1A0A"/>
    <w:rPr>
      <w:rFonts w:ascii="Verdana" w:hAnsi="Verdana" w:hint="default"/>
      <w:sz w:val="19"/>
      <w:szCs w:val="19"/>
    </w:rPr>
  </w:style>
  <w:style w:type="character" w:styleId="FootnoteReference">
    <w:name w:val="footnote reference"/>
    <w:basedOn w:val="DefaultParagraphFont"/>
    <w:semiHidden/>
    <w:rsid w:val="002707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2011-05-16T07:00:00+00:00</OpenedDate>
    <Date1 xmlns="dc463f71-b30c-4ab2-9473-d307f9d35888">2011-10-03T07:00:00+00:00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110876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D2EDE5D49710546BF34E24D0FD386C8" ma:contentTypeVersion="143" ma:contentTypeDescription="" ma:contentTypeScope="" ma:versionID="02d4caa573078acd943627e8cf23a5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9752F4-B8A2-4F20-A2F4-87B62FBF3C16}"/>
</file>

<file path=customXml/itemProps2.xml><?xml version="1.0" encoding="utf-8"?>
<ds:datastoreItem xmlns:ds="http://schemas.openxmlformats.org/officeDocument/2006/customXml" ds:itemID="{ED976EC0-51F5-45D4-98B4-049EAADF5923}"/>
</file>

<file path=customXml/itemProps3.xml><?xml version="1.0" encoding="utf-8"?>
<ds:datastoreItem xmlns:ds="http://schemas.openxmlformats.org/officeDocument/2006/customXml" ds:itemID="{33FA31FA-9B84-4E49-9773-21450F882E4A}"/>
</file>

<file path=customXml/itemProps4.xml><?xml version="1.0" encoding="utf-8"?>
<ds:datastoreItem xmlns:ds="http://schemas.openxmlformats.org/officeDocument/2006/customXml" ds:itemID="{D5F5890B-BB72-4674-8C12-DB56AE4F583C}"/>
</file>

<file path=customXml/itemProps5.xml><?xml version="1.0" encoding="utf-8"?>
<ds:datastoreItem xmlns:ds="http://schemas.openxmlformats.org/officeDocument/2006/customXml" ds:itemID="{97C918BD-B6C2-43F9-B486-47A161B4E6E1}"/>
</file>

<file path=docProps/app.xml><?xml version="1.0" encoding="utf-8"?>
<Properties xmlns="http://schemas.openxmlformats.org/officeDocument/2006/extended-properties" xmlns:vt="http://schemas.openxmlformats.org/officeDocument/2006/docPropsVTypes">
  <Template>3A945B4A.dotm</Template>
  <TotalTime>0</TotalTime>
  <Pages>3</Pages>
  <Words>461</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2011-09-30T22:55:00Z</dcterms:created>
  <dcterms:modified xsi:type="dcterms:W3CDTF">2011-09-30T22:55:00Z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1830451954</vt:i4>
  </property>
  <property fmtid="{D5CDD505-2E9C-101B-9397-08002B2CF9AE}" pid="3" name="_NewReviewCycle">
    <vt:lpwstr/>
  </property>
  <property fmtid="{D5CDD505-2E9C-101B-9397-08002B2CF9AE}" pid="5" name="_PreviousAdHocReviewCycleID">
    <vt:i4>784898315</vt:i4>
  </property>
  <property fmtid="{D5CDD505-2E9C-101B-9397-08002B2CF9AE}" pid="6" name="ContentTypeId">
    <vt:lpwstr>0x0101006E56B4D1795A2E4DB2F0B01679ED314A003D2EDE5D49710546BF34E24D0FD386C8</vt:lpwstr>
  </property>
  <property fmtid="{D5CDD505-2E9C-101B-9397-08002B2CF9AE}" pid="7" name="_docset_NoMedatataSyncRequired">
    <vt:lpwstr>False</vt:lpwstr>
  </property>
</Properties>
</file>