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AE0EE" w14:textId="77777777" w:rsidR="00C227D0" w:rsidRDefault="00C227D0" w:rsidP="00676749">
      <w:bookmarkStart w:id="0" w:name="_GoBack"/>
      <w:bookmarkEnd w:id="0"/>
      <w:r>
        <w:t>December 1, 2017</w:t>
      </w:r>
    </w:p>
    <w:p w14:paraId="56C579EC" w14:textId="77777777" w:rsidR="00542D41" w:rsidRDefault="00542D41" w:rsidP="00676749"/>
    <w:p w14:paraId="0A23413D" w14:textId="77777777" w:rsidR="00C227D0" w:rsidRDefault="00C227D0" w:rsidP="00676749">
      <w:r>
        <w:t>Steven V. King</w:t>
      </w:r>
    </w:p>
    <w:p w14:paraId="058A655B" w14:textId="77777777" w:rsidR="00C227D0" w:rsidRDefault="00C227D0" w:rsidP="00676749">
      <w:r>
        <w:t>Executive Director and Secretary</w:t>
      </w:r>
    </w:p>
    <w:p w14:paraId="295EFD45" w14:textId="77777777" w:rsidR="00C227D0" w:rsidRDefault="00C227D0" w:rsidP="00676749">
      <w:r>
        <w:t xml:space="preserve">Washington Utilities and Transportation Commission </w:t>
      </w:r>
    </w:p>
    <w:p w14:paraId="3C271629" w14:textId="77777777" w:rsidR="00C227D0" w:rsidRDefault="00C227D0" w:rsidP="00676749">
      <w:r>
        <w:t>1300 Evergreen Park Drive SW</w:t>
      </w:r>
    </w:p>
    <w:p w14:paraId="4289F16B" w14:textId="77777777" w:rsidR="00C227D0" w:rsidRDefault="00C227D0" w:rsidP="00676749">
      <w:r>
        <w:t>Olympia, WA 98504-7250</w:t>
      </w:r>
    </w:p>
    <w:p w14:paraId="40FF7D7F" w14:textId="77777777" w:rsidR="00C227D0" w:rsidRDefault="00C227D0" w:rsidP="00676749"/>
    <w:p w14:paraId="247E52FF" w14:textId="72353E69" w:rsidR="00923C8F" w:rsidRPr="002127BA" w:rsidRDefault="00C227D0" w:rsidP="002127BA">
      <w:pPr>
        <w:ind w:left="720"/>
        <w:rPr>
          <w:i/>
        </w:rPr>
      </w:pPr>
      <w:r w:rsidRPr="002127BA">
        <w:rPr>
          <w:i/>
        </w:rPr>
        <w:t xml:space="preserve">Re: Docket No. UE-171091, Avista </w:t>
      </w:r>
      <w:r w:rsidR="00542D41">
        <w:rPr>
          <w:i/>
        </w:rPr>
        <w:t>Ten-Year Achievable Conservation Potential, Biennial Conservation Target, and</w:t>
      </w:r>
      <w:r w:rsidR="00542D41" w:rsidRPr="002127BA">
        <w:rPr>
          <w:i/>
        </w:rPr>
        <w:t xml:space="preserve"> Biennial Conservation Plan for 2018-2019</w:t>
      </w:r>
      <w:r w:rsidRPr="002127BA">
        <w:rPr>
          <w:i/>
        </w:rPr>
        <w:t>, pursuant to RCW 19.285.040 and WAC 480-109-120</w:t>
      </w:r>
    </w:p>
    <w:p w14:paraId="1D42BCA8" w14:textId="77777777" w:rsidR="00C227D0" w:rsidRDefault="00C227D0" w:rsidP="00676749"/>
    <w:p w14:paraId="244C3F77" w14:textId="5BF11247" w:rsidR="00C227D0" w:rsidRDefault="00C227D0" w:rsidP="00676749">
      <w:r>
        <w:t>The NW Energy Coalition (NWEC or Coalition) appreciates the opportunity to comment on Avista</w:t>
      </w:r>
      <w:r w:rsidR="00DE4456">
        <w:t xml:space="preserve"> Corporation</w:t>
      </w:r>
      <w:r>
        <w:t>’s</w:t>
      </w:r>
      <w:r w:rsidR="00DE4456">
        <w:t xml:space="preserve"> (Avista or the Company)</w:t>
      </w:r>
      <w:r>
        <w:t xml:space="preserve"> 2018-2</w:t>
      </w:r>
      <w:r w:rsidR="0088493D">
        <w:t xml:space="preserve">019 </w:t>
      </w:r>
      <w:r w:rsidR="00655CAB">
        <w:t xml:space="preserve">Biennial Conservation Target and </w:t>
      </w:r>
      <w:r w:rsidR="0088493D">
        <w:t>Biennial Con</w:t>
      </w:r>
      <w:r w:rsidR="003B2F62">
        <w:t>servation Plan</w:t>
      </w:r>
      <w:r w:rsidR="001A48F4">
        <w:t xml:space="preserve"> (BCP</w:t>
      </w:r>
      <w:r w:rsidR="002127BA">
        <w:t>)</w:t>
      </w:r>
      <w:r w:rsidR="001A48F4">
        <w:t>.</w:t>
      </w:r>
      <w:r w:rsidR="00F4216E">
        <w:t xml:space="preserve"> </w:t>
      </w:r>
      <w:r w:rsidR="00947334">
        <w:t xml:space="preserve">NWEC is a member of the Avista DSM Advisory Group. </w:t>
      </w:r>
      <w:r w:rsidR="00641FBB">
        <w:t>We appreciate</w:t>
      </w:r>
      <w:r w:rsidR="002127BA">
        <w:t xml:space="preserve"> </w:t>
      </w:r>
      <w:r w:rsidR="000E07DE">
        <w:t>Avista’s</w:t>
      </w:r>
      <w:r w:rsidR="002127BA">
        <w:t xml:space="preserve"> willingness to discuss </w:t>
      </w:r>
      <w:r w:rsidR="00D3658F">
        <w:t xml:space="preserve">ideas for enhancements and improvements to </w:t>
      </w:r>
      <w:r w:rsidR="00DE4456">
        <w:t xml:space="preserve">best </w:t>
      </w:r>
      <w:r w:rsidR="00D3658F">
        <w:t>serve their customers</w:t>
      </w:r>
      <w:r w:rsidR="00DE4456">
        <w:t xml:space="preserve"> and acquire cost-effective conservation</w:t>
      </w:r>
      <w:r w:rsidR="00D3658F">
        <w:t xml:space="preserve">.  </w:t>
      </w:r>
    </w:p>
    <w:p w14:paraId="1C2B882E" w14:textId="77777777" w:rsidR="008D09A3" w:rsidRDefault="008D09A3" w:rsidP="00676749"/>
    <w:p w14:paraId="4D141F48" w14:textId="77EDA7EF" w:rsidR="008D09A3" w:rsidRDefault="008D09A3" w:rsidP="00676749">
      <w:r>
        <w:t xml:space="preserve">Our concerns </w:t>
      </w:r>
      <w:r w:rsidR="00E2352E">
        <w:t xml:space="preserve">with the </w:t>
      </w:r>
      <w:r w:rsidR="00641FBB">
        <w:t>BCP</w:t>
      </w:r>
      <w:r w:rsidR="00E2352E">
        <w:t xml:space="preserve"> as proposed </w:t>
      </w:r>
      <w:r>
        <w:t xml:space="preserve">are focused on </w:t>
      </w:r>
      <w:r w:rsidR="00E2352E">
        <w:t>two</w:t>
      </w:r>
      <w:r>
        <w:t xml:space="preserve"> main areas: Avista’s aggr</w:t>
      </w:r>
      <w:r w:rsidR="00641FBB">
        <w:t xml:space="preserve">essive fuel conversion programs and </w:t>
      </w:r>
      <w:r>
        <w:t>its lim</w:t>
      </w:r>
      <w:r w:rsidR="00E2352E">
        <w:t xml:space="preserve">ited </w:t>
      </w:r>
      <w:r w:rsidR="00DE4456">
        <w:t xml:space="preserve">electric </w:t>
      </w:r>
      <w:r w:rsidR="00E2352E">
        <w:t>residential portfolio. We also of</w:t>
      </w:r>
      <w:r w:rsidR="00641FBB">
        <w:t xml:space="preserve">fer a few additional suggestions </w:t>
      </w:r>
      <w:r w:rsidR="00D3658F">
        <w:t>for other areas of the BCP.</w:t>
      </w:r>
      <w:r w:rsidR="00641FBB">
        <w:t xml:space="preserve"> </w:t>
      </w:r>
    </w:p>
    <w:p w14:paraId="443F9DAE" w14:textId="0E0C6A30" w:rsidR="00FE43B5" w:rsidRPr="001C59DC" w:rsidRDefault="00B6683E" w:rsidP="001C59DC">
      <w:pPr>
        <w:pStyle w:val="Heading1"/>
        <w:rPr>
          <w:rFonts w:eastAsia="Times New Roman"/>
        </w:rPr>
      </w:pPr>
      <w:r>
        <w:rPr>
          <w:rFonts w:eastAsia="Times New Roman"/>
        </w:rPr>
        <w:t>Avista’s</w:t>
      </w:r>
      <w:r w:rsidR="00BF78DD">
        <w:rPr>
          <w:rFonts w:eastAsia="Times New Roman"/>
        </w:rPr>
        <w:t xml:space="preserve"> </w:t>
      </w:r>
      <w:r w:rsidR="0088493D" w:rsidRPr="00326A35">
        <w:rPr>
          <w:rFonts w:eastAsia="Times New Roman"/>
        </w:rPr>
        <w:t>Fuel Conversion Program</w:t>
      </w:r>
      <w:r w:rsidR="00FE43B5">
        <w:rPr>
          <w:rFonts w:eastAsia="Times New Roman"/>
        </w:rPr>
        <w:t>s</w:t>
      </w:r>
    </w:p>
    <w:p w14:paraId="603AFD9A" w14:textId="148A891C" w:rsidR="00312DA4" w:rsidRDefault="00312DA4" w:rsidP="00312DA4">
      <w:r>
        <w:t xml:space="preserve">Avista proposes three fuel conversion programs through the BCP, which are described briefly below. </w:t>
      </w:r>
      <w:r w:rsidR="00D3658F">
        <w:t>B</w:t>
      </w:r>
      <w:r>
        <w:t xml:space="preserve">elow is a summary of Avista’s 2018-2019 </w:t>
      </w:r>
      <w:r w:rsidR="00A36D94">
        <w:t xml:space="preserve">proposed </w:t>
      </w:r>
      <w:r>
        <w:t>budget</w:t>
      </w:r>
      <w:r w:rsidR="000E07DE">
        <w:t xml:space="preserve"> and</w:t>
      </w:r>
      <w:r>
        <w:t xml:space="preserve"> a notation of how much of each program budget i</w:t>
      </w:r>
      <w:r w:rsidR="000E07DE">
        <w:t>s dedicated to fuel conversion</w:t>
      </w:r>
      <w:r w:rsidR="00A36D94">
        <w:t>, as taken from Appendix A of the BCP.</w:t>
      </w:r>
      <w:r w:rsidR="00EE4B63">
        <w:t xml:space="preserve"> Particular</w:t>
      </w:r>
      <w:r w:rsidR="00A16D95">
        <w:t>ly</w:t>
      </w:r>
      <w:r w:rsidR="00EE4B63">
        <w:t xml:space="preserve"> in the case of the residential program, </w:t>
      </w:r>
      <w:r w:rsidR="00A16D95">
        <w:t>fuel conversions make up a substantial part of the electric budget.</w:t>
      </w:r>
    </w:p>
    <w:p w14:paraId="521FEA7D" w14:textId="77777777" w:rsidR="00312DA4" w:rsidRDefault="00312DA4" w:rsidP="00312DA4"/>
    <w:tbl>
      <w:tblPr>
        <w:tblStyle w:val="TableGrid"/>
        <w:tblW w:w="0" w:type="auto"/>
        <w:tblLook w:val="04A0" w:firstRow="1" w:lastRow="0" w:firstColumn="1" w:lastColumn="0" w:noHBand="0" w:noVBand="1"/>
      </w:tblPr>
      <w:tblGrid>
        <w:gridCol w:w="3116"/>
        <w:gridCol w:w="2639"/>
        <w:gridCol w:w="3595"/>
      </w:tblGrid>
      <w:tr w:rsidR="000E07DE" w:rsidRPr="004C77CF" w14:paraId="609AC9D7" w14:textId="77777777" w:rsidTr="000E07DE">
        <w:trPr>
          <w:trHeight w:val="584"/>
        </w:trPr>
        <w:tc>
          <w:tcPr>
            <w:tcW w:w="3116" w:type="dxa"/>
          </w:tcPr>
          <w:p w14:paraId="2D73ACAE" w14:textId="77777777" w:rsidR="00312DA4" w:rsidRPr="004C77CF" w:rsidRDefault="00312DA4" w:rsidP="00923C8F">
            <w:pPr>
              <w:rPr>
                <w:b/>
              </w:rPr>
            </w:pPr>
          </w:p>
        </w:tc>
        <w:tc>
          <w:tcPr>
            <w:tcW w:w="2639" w:type="dxa"/>
            <w:vAlign w:val="center"/>
          </w:tcPr>
          <w:p w14:paraId="49B45EEF" w14:textId="1AEA14D3" w:rsidR="00312DA4" w:rsidRPr="004C77CF" w:rsidRDefault="000E07DE" w:rsidP="000E07DE">
            <w:pPr>
              <w:jc w:val="center"/>
              <w:rPr>
                <w:b/>
              </w:rPr>
            </w:pPr>
            <w:r>
              <w:rPr>
                <w:b/>
              </w:rPr>
              <w:t>2018-</w:t>
            </w:r>
            <w:r w:rsidR="00312DA4" w:rsidRPr="004C77CF">
              <w:rPr>
                <w:b/>
              </w:rPr>
              <w:t xml:space="preserve">19 </w:t>
            </w:r>
            <w:r w:rsidR="00312DA4">
              <w:rPr>
                <w:b/>
              </w:rPr>
              <w:t xml:space="preserve">Electric </w:t>
            </w:r>
            <w:r w:rsidR="00312DA4" w:rsidRPr="004C77CF">
              <w:rPr>
                <w:b/>
              </w:rPr>
              <w:t>Budget</w:t>
            </w:r>
          </w:p>
        </w:tc>
        <w:tc>
          <w:tcPr>
            <w:tcW w:w="3595" w:type="dxa"/>
            <w:vAlign w:val="center"/>
          </w:tcPr>
          <w:p w14:paraId="27AADADB" w14:textId="6D07C01B" w:rsidR="00312DA4" w:rsidRPr="004C77CF" w:rsidRDefault="000E07DE" w:rsidP="000E07DE">
            <w:pPr>
              <w:jc w:val="center"/>
              <w:rPr>
                <w:b/>
              </w:rPr>
            </w:pPr>
            <w:r>
              <w:rPr>
                <w:b/>
              </w:rPr>
              <w:t>2018-</w:t>
            </w:r>
            <w:r w:rsidR="00312DA4" w:rsidRPr="004C77CF">
              <w:rPr>
                <w:b/>
              </w:rPr>
              <w:t>19 Fuel Conversion Budget</w:t>
            </w:r>
          </w:p>
        </w:tc>
      </w:tr>
      <w:tr w:rsidR="000E07DE" w14:paraId="7B9B85A9" w14:textId="77777777" w:rsidTr="000E07DE">
        <w:trPr>
          <w:trHeight w:val="287"/>
        </w:trPr>
        <w:tc>
          <w:tcPr>
            <w:tcW w:w="3116" w:type="dxa"/>
          </w:tcPr>
          <w:p w14:paraId="2D3E257B" w14:textId="77777777" w:rsidR="00312DA4" w:rsidRPr="004C77CF" w:rsidRDefault="00312DA4" w:rsidP="00923C8F">
            <w:pPr>
              <w:rPr>
                <w:i/>
              </w:rPr>
            </w:pPr>
            <w:r w:rsidRPr="004C77CF">
              <w:rPr>
                <w:i/>
              </w:rPr>
              <w:t>Low Income Programs</w:t>
            </w:r>
          </w:p>
        </w:tc>
        <w:tc>
          <w:tcPr>
            <w:tcW w:w="2639" w:type="dxa"/>
          </w:tcPr>
          <w:p w14:paraId="4430BA7F" w14:textId="77777777" w:rsidR="00312DA4" w:rsidRDefault="00312DA4" w:rsidP="00923C8F">
            <w:r>
              <w:t>$2,362,517</w:t>
            </w:r>
          </w:p>
        </w:tc>
        <w:tc>
          <w:tcPr>
            <w:tcW w:w="3595" w:type="dxa"/>
          </w:tcPr>
          <w:p w14:paraId="1C6F79AC" w14:textId="77777777" w:rsidR="00312DA4" w:rsidRDefault="00312DA4" w:rsidP="00923C8F">
            <w:r>
              <w:t>$296,672 (12.6%)</w:t>
            </w:r>
          </w:p>
        </w:tc>
      </w:tr>
      <w:tr w:rsidR="000E07DE" w14:paraId="4444323B" w14:textId="77777777" w:rsidTr="000E07DE">
        <w:tc>
          <w:tcPr>
            <w:tcW w:w="3116" w:type="dxa"/>
          </w:tcPr>
          <w:p w14:paraId="18639DDB" w14:textId="77777777" w:rsidR="00312DA4" w:rsidRPr="004C77CF" w:rsidRDefault="00312DA4" w:rsidP="00923C8F">
            <w:pPr>
              <w:rPr>
                <w:i/>
              </w:rPr>
            </w:pPr>
            <w:r w:rsidRPr="004C77CF">
              <w:rPr>
                <w:i/>
              </w:rPr>
              <w:t>Residential Programs</w:t>
            </w:r>
          </w:p>
        </w:tc>
        <w:tc>
          <w:tcPr>
            <w:tcW w:w="2639" w:type="dxa"/>
          </w:tcPr>
          <w:p w14:paraId="40AB9EF8" w14:textId="77777777" w:rsidR="00312DA4" w:rsidRDefault="00312DA4" w:rsidP="00923C8F">
            <w:r>
              <w:t>$8,156,832</w:t>
            </w:r>
          </w:p>
        </w:tc>
        <w:tc>
          <w:tcPr>
            <w:tcW w:w="3595" w:type="dxa"/>
          </w:tcPr>
          <w:p w14:paraId="12FE63B8" w14:textId="77777777" w:rsidR="00312DA4" w:rsidRDefault="00312DA4" w:rsidP="00923C8F">
            <w:r>
              <w:t>$4,942,900 (60.6%)</w:t>
            </w:r>
          </w:p>
        </w:tc>
      </w:tr>
      <w:tr w:rsidR="000E07DE" w14:paraId="7EF9DA07" w14:textId="77777777" w:rsidTr="000E07DE">
        <w:tc>
          <w:tcPr>
            <w:tcW w:w="3116" w:type="dxa"/>
          </w:tcPr>
          <w:p w14:paraId="0747D79B" w14:textId="77777777" w:rsidR="00312DA4" w:rsidRPr="004C77CF" w:rsidRDefault="00312DA4" w:rsidP="00923C8F">
            <w:pPr>
              <w:rPr>
                <w:i/>
              </w:rPr>
            </w:pPr>
            <w:r w:rsidRPr="004C77CF">
              <w:rPr>
                <w:i/>
              </w:rPr>
              <w:t>Non-Residential Programs</w:t>
            </w:r>
          </w:p>
        </w:tc>
        <w:tc>
          <w:tcPr>
            <w:tcW w:w="2639" w:type="dxa"/>
          </w:tcPr>
          <w:p w14:paraId="6A270470" w14:textId="77777777" w:rsidR="00312DA4" w:rsidRDefault="00312DA4" w:rsidP="00923C8F">
            <w:r>
              <w:t>$10,737,426</w:t>
            </w:r>
          </w:p>
        </w:tc>
        <w:tc>
          <w:tcPr>
            <w:tcW w:w="3595" w:type="dxa"/>
          </w:tcPr>
          <w:p w14:paraId="75E22030" w14:textId="77777777" w:rsidR="00312DA4" w:rsidRDefault="00312DA4" w:rsidP="00923C8F">
            <w:r>
              <w:t>$3,794,000 (35.3%)</w:t>
            </w:r>
          </w:p>
        </w:tc>
      </w:tr>
      <w:tr w:rsidR="000E07DE" w:rsidRPr="00E2352E" w14:paraId="0C126503" w14:textId="77777777" w:rsidTr="000E07DE">
        <w:tc>
          <w:tcPr>
            <w:tcW w:w="3116" w:type="dxa"/>
          </w:tcPr>
          <w:p w14:paraId="522E43D7" w14:textId="77777777" w:rsidR="00312DA4" w:rsidRPr="004C77CF" w:rsidRDefault="00312DA4" w:rsidP="00923C8F">
            <w:pPr>
              <w:rPr>
                <w:b/>
                <w:i/>
              </w:rPr>
            </w:pPr>
            <w:r w:rsidRPr="004C77CF">
              <w:rPr>
                <w:b/>
                <w:i/>
              </w:rPr>
              <w:t>Subtotal Program Funding</w:t>
            </w:r>
          </w:p>
        </w:tc>
        <w:tc>
          <w:tcPr>
            <w:tcW w:w="2639" w:type="dxa"/>
          </w:tcPr>
          <w:p w14:paraId="53ED6E57" w14:textId="77777777" w:rsidR="00312DA4" w:rsidRPr="00E2352E" w:rsidRDefault="00312DA4" w:rsidP="00923C8F">
            <w:pPr>
              <w:rPr>
                <w:b/>
              </w:rPr>
            </w:pPr>
            <w:r w:rsidRPr="00E2352E">
              <w:rPr>
                <w:b/>
              </w:rPr>
              <w:t>$21,256,775</w:t>
            </w:r>
          </w:p>
        </w:tc>
        <w:tc>
          <w:tcPr>
            <w:tcW w:w="3595" w:type="dxa"/>
          </w:tcPr>
          <w:p w14:paraId="56AED446" w14:textId="77777777" w:rsidR="00312DA4" w:rsidRPr="00E2352E" w:rsidRDefault="00312DA4" w:rsidP="00923C8F">
            <w:pPr>
              <w:rPr>
                <w:b/>
              </w:rPr>
            </w:pPr>
            <w:r>
              <w:rPr>
                <w:b/>
              </w:rPr>
              <w:t>$9,033,572 (42.5%)</w:t>
            </w:r>
          </w:p>
        </w:tc>
      </w:tr>
      <w:tr w:rsidR="000E07DE" w14:paraId="3ED6F300" w14:textId="77777777" w:rsidTr="000E07DE">
        <w:tc>
          <w:tcPr>
            <w:tcW w:w="3116" w:type="dxa"/>
          </w:tcPr>
          <w:p w14:paraId="38B9E6ED" w14:textId="77777777" w:rsidR="00312DA4" w:rsidRPr="004C77CF" w:rsidRDefault="00312DA4" w:rsidP="00923C8F">
            <w:pPr>
              <w:rPr>
                <w:i/>
              </w:rPr>
            </w:pPr>
            <w:r w:rsidRPr="004C77CF">
              <w:rPr>
                <w:i/>
              </w:rPr>
              <w:t>NEEA Funding</w:t>
            </w:r>
          </w:p>
        </w:tc>
        <w:tc>
          <w:tcPr>
            <w:tcW w:w="2639" w:type="dxa"/>
          </w:tcPr>
          <w:p w14:paraId="4EDCECD6" w14:textId="77777777" w:rsidR="00312DA4" w:rsidRDefault="00312DA4" w:rsidP="00923C8F">
            <w:r>
              <w:t>$2,800,000</w:t>
            </w:r>
          </w:p>
        </w:tc>
        <w:tc>
          <w:tcPr>
            <w:tcW w:w="3595" w:type="dxa"/>
          </w:tcPr>
          <w:p w14:paraId="0C76A650" w14:textId="77777777" w:rsidR="00312DA4" w:rsidRDefault="00312DA4" w:rsidP="00923C8F"/>
        </w:tc>
      </w:tr>
      <w:tr w:rsidR="000E07DE" w14:paraId="77C21489" w14:textId="77777777" w:rsidTr="000E07DE">
        <w:trPr>
          <w:trHeight w:val="314"/>
        </w:trPr>
        <w:tc>
          <w:tcPr>
            <w:tcW w:w="3116" w:type="dxa"/>
          </w:tcPr>
          <w:p w14:paraId="573519B8" w14:textId="77777777" w:rsidR="00312DA4" w:rsidRPr="004C77CF" w:rsidRDefault="00312DA4" w:rsidP="00923C8F">
            <w:pPr>
              <w:rPr>
                <w:i/>
              </w:rPr>
            </w:pPr>
            <w:r w:rsidRPr="004C77CF">
              <w:rPr>
                <w:i/>
              </w:rPr>
              <w:t>Portfolio Support</w:t>
            </w:r>
          </w:p>
        </w:tc>
        <w:tc>
          <w:tcPr>
            <w:tcW w:w="2639" w:type="dxa"/>
          </w:tcPr>
          <w:p w14:paraId="2B289611" w14:textId="77777777" w:rsidR="00312DA4" w:rsidRDefault="00312DA4" w:rsidP="00923C8F">
            <w:r>
              <w:t>$7,480,165</w:t>
            </w:r>
          </w:p>
        </w:tc>
        <w:tc>
          <w:tcPr>
            <w:tcW w:w="3595" w:type="dxa"/>
          </w:tcPr>
          <w:p w14:paraId="4F11C512" w14:textId="77777777" w:rsidR="00312DA4" w:rsidRDefault="00312DA4" w:rsidP="00923C8F"/>
        </w:tc>
      </w:tr>
      <w:tr w:rsidR="000E07DE" w:rsidRPr="00E2352E" w14:paraId="661FEC37" w14:textId="77777777" w:rsidTr="000E07DE">
        <w:tc>
          <w:tcPr>
            <w:tcW w:w="3116" w:type="dxa"/>
          </w:tcPr>
          <w:p w14:paraId="6B9AB32B" w14:textId="77777777" w:rsidR="00312DA4" w:rsidRPr="004C77CF" w:rsidRDefault="00312DA4" w:rsidP="00923C8F">
            <w:pPr>
              <w:rPr>
                <w:b/>
                <w:i/>
              </w:rPr>
            </w:pPr>
            <w:r w:rsidRPr="004C77CF">
              <w:rPr>
                <w:b/>
                <w:i/>
              </w:rPr>
              <w:t>Total</w:t>
            </w:r>
          </w:p>
        </w:tc>
        <w:tc>
          <w:tcPr>
            <w:tcW w:w="2639" w:type="dxa"/>
          </w:tcPr>
          <w:p w14:paraId="28D86BF0" w14:textId="77777777" w:rsidR="00312DA4" w:rsidRPr="00E2352E" w:rsidRDefault="00312DA4" w:rsidP="00923C8F">
            <w:pPr>
              <w:rPr>
                <w:b/>
              </w:rPr>
            </w:pPr>
            <w:r w:rsidRPr="00E2352E">
              <w:rPr>
                <w:b/>
              </w:rPr>
              <w:t>$31,536,939</w:t>
            </w:r>
          </w:p>
        </w:tc>
        <w:tc>
          <w:tcPr>
            <w:tcW w:w="3595" w:type="dxa"/>
          </w:tcPr>
          <w:p w14:paraId="11B19EA5" w14:textId="77777777" w:rsidR="00312DA4" w:rsidRPr="00E2352E" w:rsidRDefault="00312DA4" w:rsidP="00923C8F">
            <w:pPr>
              <w:rPr>
                <w:b/>
              </w:rPr>
            </w:pPr>
          </w:p>
        </w:tc>
      </w:tr>
    </w:tbl>
    <w:p w14:paraId="71B5F6BC" w14:textId="77777777" w:rsidR="00312DA4" w:rsidRDefault="00312DA4" w:rsidP="00312DA4"/>
    <w:p w14:paraId="3BCC96B1" w14:textId="73506AA4" w:rsidR="00312DA4" w:rsidRDefault="00C9703C" w:rsidP="001C59DC">
      <w:pPr>
        <w:pStyle w:val="Heading2"/>
      </w:pPr>
      <w:r>
        <w:t xml:space="preserve">Summary of </w:t>
      </w:r>
      <w:r w:rsidR="00DE4456">
        <w:t xml:space="preserve">Fuel Conversion </w:t>
      </w:r>
      <w:r>
        <w:t>Programs</w:t>
      </w:r>
    </w:p>
    <w:p w14:paraId="4DDBE2AA" w14:textId="212E0E72" w:rsidR="00312DA4" w:rsidRPr="00312DA4" w:rsidRDefault="00312DA4" w:rsidP="00312DA4">
      <w:pPr>
        <w:pStyle w:val="ListParagraph"/>
        <w:numPr>
          <w:ilvl w:val="0"/>
          <w:numId w:val="6"/>
        </w:numPr>
        <w:rPr>
          <w:i/>
        </w:rPr>
      </w:pPr>
      <w:r w:rsidRPr="00312DA4">
        <w:rPr>
          <w:i/>
        </w:rPr>
        <w:t>Residential Fuel Conversion</w:t>
      </w:r>
      <w:r w:rsidR="002127BA">
        <w:rPr>
          <w:i/>
        </w:rPr>
        <w:t>s</w:t>
      </w:r>
    </w:p>
    <w:p w14:paraId="24B7D6A3" w14:textId="4A201EF0" w:rsidR="00CB587B" w:rsidRDefault="00E34289" w:rsidP="00312DA4">
      <w:r>
        <w:t xml:space="preserve">Avista </w:t>
      </w:r>
      <w:r w:rsidR="00AD0879">
        <w:t>offers</w:t>
      </w:r>
      <w:r>
        <w:t xml:space="preserve"> a </w:t>
      </w:r>
      <w:r w:rsidR="00BF78DD">
        <w:t xml:space="preserve">residential </w:t>
      </w:r>
      <w:r>
        <w:t xml:space="preserve">fuel conversion </w:t>
      </w:r>
      <w:r w:rsidR="00AD0879">
        <w:t xml:space="preserve">(also known as “fuel switching” or “fuel efficiency”) </w:t>
      </w:r>
      <w:r>
        <w:t xml:space="preserve">incentive to </w:t>
      </w:r>
      <w:r w:rsidR="00DE4456">
        <w:t xml:space="preserve">its </w:t>
      </w:r>
      <w:r>
        <w:t xml:space="preserve">customers. To </w:t>
      </w:r>
      <w:r w:rsidR="00BF78DD">
        <w:t>receive</w:t>
      </w:r>
      <w:r>
        <w:t xml:space="preserve"> this incentive, a customer switches from an electric-</w:t>
      </w:r>
      <w:r>
        <w:lastRenderedPageBreak/>
        <w:t>powered appliance (e.g., electric resistance heat, electric water heat</w:t>
      </w:r>
      <w:r w:rsidR="00676749">
        <w:t>er</w:t>
      </w:r>
      <w:r w:rsidR="00276F55">
        <w:t>) to a natural gas appliance.</w:t>
      </w:r>
    </w:p>
    <w:p w14:paraId="33962881" w14:textId="77777777" w:rsidR="00CB587B" w:rsidRDefault="00CB587B" w:rsidP="00676749"/>
    <w:p w14:paraId="79EE91AE" w14:textId="695B65CE" w:rsidR="00F75939" w:rsidRDefault="00F75939" w:rsidP="00676749">
      <w:r>
        <w:t xml:space="preserve">In the </w:t>
      </w:r>
      <w:r w:rsidR="00276F55">
        <w:t>2018-2019</w:t>
      </w:r>
      <w:r>
        <w:t xml:space="preserve"> BCP, Avista proposes </w:t>
      </w:r>
      <w:r w:rsidR="0043309D">
        <w:t>three</w:t>
      </w:r>
      <w:r>
        <w:t xml:space="preserve"> residential fuel conversion incentives:</w:t>
      </w:r>
    </w:p>
    <w:p w14:paraId="231BDC84" w14:textId="3965D09D" w:rsidR="0043309D" w:rsidRPr="0043309D" w:rsidRDefault="00AD0879" w:rsidP="00676749">
      <w:pPr>
        <w:pStyle w:val="ListParagraph"/>
        <w:numPr>
          <w:ilvl w:val="0"/>
          <w:numId w:val="4"/>
        </w:numPr>
      </w:pPr>
      <w:r>
        <w:t>F</w:t>
      </w:r>
      <w:r w:rsidR="0043309D" w:rsidRPr="0043309D">
        <w:t>rom an electric resistance heater to a natural gas furnace: $1,500</w:t>
      </w:r>
    </w:p>
    <w:p w14:paraId="68BD967C" w14:textId="14CFA66D" w:rsidR="00F75939" w:rsidRPr="0043309D" w:rsidRDefault="00AD0879" w:rsidP="00676749">
      <w:pPr>
        <w:pStyle w:val="ListParagraph"/>
        <w:numPr>
          <w:ilvl w:val="0"/>
          <w:numId w:val="4"/>
        </w:numPr>
      </w:pPr>
      <w:r>
        <w:t>F</w:t>
      </w:r>
      <w:r w:rsidR="00B12FF4" w:rsidRPr="0043309D">
        <w:t>rom an electric resistance heater and water heater to a natural gas furnace and natural gas water heater: $2,250</w:t>
      </w:r>
    </w:p>
    <w:p w14:paraId="601570D9" w14:textId="3656F546" w:rsidR="0043309D" w:rsidRDefault="00AD0879" w:rsidP="00676749">
      <w:pPr>
        <w:pStyle w:val="ListParagraph"/>
        <w:numPr>
          <w:ilvl w:val="0"/>
          <w:numId w:val="4"/>
        </w:numPr>
      </w:pPr>
      <w:r>
        <w:t>F</w:t>
      </w:r>
      <w:r w:rsidR="00B12FF4" w:rsidRPr="0043309D">
        <w:t>rom an electric resistance heater to a natural gas direct vent wall heat unit: $1,300</w:t>
      </w:r>
    </w:p>
    <w:p w14:paraId="4CD12A0F" w14:textId="77777777" w:rsidR="0043309D" w:rsidRDefault="0043309D" w:rsidP="00676749"/>
    <w:p w14:paraId="2311E793" w14:textId="4A3902E6" w:rsidR="0080393D" w:rsidRDefault="00AD0879" w:rsidP="00676749">
      <w:r>
        <w:t>R</w:t>
      </w:r>
      <w:r w:rsidR="0080393D">
        <w:t>eceiving the conversion incentive does not require that a customer install equipment that is more efficient than standard; an additional incentive funded from the gas conservation rider incents</w:t>
      </w:r>
      <w:r>
        <w:t xml:space="preserve"> that upgrade.</w:t>
      </w:r>
      <w:r w:rsidR="0080393D">
        <w:t xml:space="preserve"> </w:t>
      </w:r>
      <w:r>
        <w:t>C</w:t>
      </w:r>
      <w:r w:rsidR="0080393D">
        <w:t xml:space="preserve">ommunications from </w:t>
      </w:r>
      <w:r>
        <w:t>Avista staff indicate that 94% of customers install high efficiency equipment as part of the fuel conversion program.</w:t>
      </w:r>
      <w:r w:rsidR="00676749">
        <w:rPr>
          <w:rStyle w:val="FootnoteReference"/>
          <w:rFonts w:ascii="Times New Roman" w:eastAsia="Times New Roman" w:hAnsi="Times New Roman" w:cs="Times New Roman"/>
        </w:rPr>
        <w:footnoteReference w:id="1"/>
      </w:r>
    </w:p>
    <w:p w14:paraId="00EDB518" w14:textId="77777777" w:rsidR="0080393D" w:rsidRPr="0080393D" w:rsidRDefault="0080393D" w:rsidP="00676749"/>
    <w:p w14:paraId="359FC75D" w14:textId="2B9BBCBA" w:rsidR="00CB587B" w:rsidRDefault="00BF78DD" w:rsidP="00676749">
      <w:r>
        <w:t xml:space="preserve">This </w:t>
      </w:r>
      <w:r w:rsidR="00CB587B">
        <w:t xml:space="preserve">conversion </w:t>
      </w:r>
      <w:r>
        <w:t xml:space="preserve">incentive is </w:t>
      </w:r>
      <w:r w:rsidR="00A34D82">
        <w:t>funded from the electric</w:t>
      </w:r>
      <w:r w:rsidR="00276F55">
        <w:t xml:space="preserve"> conservation rider</w:t>
      </w:r>
      <w:r w:rsidR="004161EF">
        <w:t xml:space="preserve">. </w:t>
      </w:r>
      <w:r w:rsidR="00E34289">
        <w:t xml:space="preserve">Prior to September 2014, Avista was </w:t>
      </w:r>
      <w:r w:rsidR="00F75939">
        <w:t xml:space="preserve">only </w:t>
      </w:r>
      <w:r w:rsidR="00E34289">
        <w:t>able to fund</w:t>
      </w:r>
      <w:r w:rsidR="00CE265F">
        <w:t xml:space="preserve"> residential </w:t>
      </w:r>
      <w:r w:rsidR="00276F55">
        <w:t xml:space="preserve">fuel conversions </w:t>
      </w:r>
      <w:r w:rsidR="00CE265F">
        <w:t xml:space="preserve">at between $0.01 and $0.07 per kWh </w:t>
      </w:r>
      <w:r w:rsidR="00A02617">
        <w:t>diverted</w:t>
      </w:r>
      <w:r w:rsidR="005D0146">
        <w:t xml:space="preserve">, compared to </w:t>
      </w:r>
      <w:r w:rsidR="0043309D">
        <w:t xml:space="preserve">the </w:t>
      </w:r>
      <w:r w:rsidR="005D0146">
        <w:t>$0.</w:t>
      </w:r>
      <w:r w:rsidR="00276F55">
        <w:t>0</w:t>
      </w:r>
      <w:r w:rsidR="005D0146">
        <w:t xml:space="preserve">8 to $0.20 per kWh </w:t>
      </w:r>
      <w:r w:rsidR="0043309D">
        <w:t xml:space="preserve">saved </w:t>
      </w:r>
      <w:r w:rsidR="00DE4456">
        <w:t>at which</w:t>
      </w:r>
      <w:r w:rsidR="005D0146">
        <w:t xml:space="preserve"> </w:t>
      </w:r>
      <w:r w:rsidR="0043309D">
        <w:t>electric efficiency projects could be funded</w:t>
      </w:r>
      <w:r w:rsidR="00CE265F">
        <w:t xml:space="preserve">. In September 2014, under docket UE-143081, Avista proposed changing the fuel conversion incentive to </w:t>
      </w:r>
      <w:r w:rsidR="00DE4456">
        <w:t xml:space="preserve">be </w:t>
      </w:r>
      <w:r w:rsidR="00CE265F">
        <w:t xml:space="preserve">the same as </w:t>
      </w:r>
      <w:r w:rsidR="00F75939">
        <w:t>electric efficiency projects</w:t>
      </w:r>
      <w:r w:rsidR="0043309D">
        <w:t>, and the proposal was allowed to take effect</w:t>
      </w:r>
      <w:r w:rsidR="00F75939">
        <w:t xml:space="preserve">. </w:t>
      </w:r>
      <w:r w:rsidR="00CB587B">
        <w:t>Before the tariff revision, the</w:t>
      </w:r>
      <w:r w:rsidR="00276F55">
        <w:t xml:space="preserve"> Avista</w:t>
      </w:r>
      <w:r w:rsidR="00CB587B">
        <w:t xml:space="preserve"> incentive for a conversion to a natural gas furnace, for example, was $1</w:t>
      </w:r>
      <w:r w:rsidR="00DE4456">
        <w:t>,</w:t>
      </w:r>
      <w:r w:rsidR="00CB587B">
        <w:t xml:space="preserve">000 or less. </w:t>
      </w:r>
      <w:r w:rsidR="00276F55">
        <w:t>After</w:t>
      </w:r>
      <w:r w:rsidR="00CB587B">
        <w:t xml:space="preserve"> the tariff revision, the incentive for conversion to a natural gas furnace has r</w:t>
      </w:r>
      <w:r w:rsidR="00276F55">
        <w:t xml:space="preserve">anged between $1,500 and $2,300; the current and proposed incentive is for </w:t>
      </w:r>
      <w:r w:rsidR="009A2F71">
        <w:t xml:space="preserve">an incentive of </w:t>
      </w:r>
      <w:r w:rsidR="00276F55">
        <w:t>$1,500.</w:t>
      </w:r>
      <w:r w:rsidR="00CB587B">
        <w:t xml:space="preserve">  </w:t>
      </w:r>
    </w:p>
    <w:p w14:paraId="7667978E" w14:textId="77777777" w:rsidR="00CB587B" w:rsidRDefault="00CB587B" w:rsidP="00676749"/>
    <w:p w14:paraId="5791063C" w14:textId="25872DC1" w:rsidR="00E34289" w:rsidRDefault="00F75939" w:rsidP="00676749">
      <w:r>
        <w:t xml:space="preserve">Since </w:t>
      </w:r>
      <w:r w:rsidR="00CB587B">
        <w:t>the tariff was revised</w:t>
      </w:r>
      <w:r w:rsidR="00276F55">
        <w:t xml:space="preserve"> in 2014</w:t>
      </w:r>
      <w:r>
        <w:t xml:space="preserve">, the number of fuel conversion projects that has been funded by Avista under this rider has increased dramatically. </w:t>
      </w:r>
      <w:r w:rsidR="0015250D">
        <w:t>Below is a brief summary of fuel conversion projects fund</w:t>
      </w:r>
      <w:r w:rsidR="009A2F71">
        <w:t>ed under this rider since 2010, as provided by the Company.</w:t>
      </w:r>
      <w:r w:rsidR="009A2F71">
        <w:rPr>
          <w:rStyle w:val="FootnoteReference"/>
        </w:rPr>
        <w:footnoteReference w:id="2"/>
      </w:r>
    </w:p>
    <w:p w14:paraId="62C9144B" w14:textId="77777777" w:rsidR="00CB587B" w:rsidRDefault="00CB587B" w:rsidP="00676749"/>
    <w:tbl>
      <w:tblPr>
        <w:tblStyle w:val="TableGrid"/>
        <w:tblW w:w="0" w:type="auto"/>
        <w:tblLook w:val="04A0" w:firstRow="1" w:lastRow="0" w:firstColumn="1" w:lastColumn="0" w:noHBand="0" w:noVBand="1"/>
      </w:tblPr>
      <w:tblGrid>
        <w:gridCol w:w="2875"/>
        <w:gridCol w:w="2880"/>
      </w:tblGrid>
      <w:tr w:rsidR="00EF5A4A" w:rsidRPr="00EF5A4A" w14:paraId="241158FB" w14:textId="77777777" w:rsidTr="00EF5A4A">
        <w:tc>
          <w:tcPr>
            <w:tcW w:w="2875" w:type="dxa"/>
          </w:tcPr>
          <w:p w14:paraId="084DD53F" w14:textId="134962CE" w:rsidR="00CB587B" w:rsidRPr="00EF5A4A" w:rsidRDefault="00CB587B" w:rsidP="00676749">
            <w:pPr>
              <w:rPr>
                <w:b/>
              </w:rPr>
            </w:pPr>
            <w:r w:rsidRPr="00EF5A4A">
              <w:rPr>
                <w:b/>
              </w:rPr>
              <w:t>Year</w:t>
            </w:r>
          </w:p>
        </w:tc>
        <w:tc>
          <w:tcPr>
            <w:tcW w:w="2880" w:type="dxa"/>
          </w:tcPr>
          <w:p w14:paraId="2CFA9420" w14:textId="4EA50164" w:rsidR="00CB587B" w:rsidRPr="00EF5A4A" w:rsidRDefault="00C2093E" w:rsidP="00676749">
            <w:pPr>
              <w:rPr>
                <w:b/>
              </w:rPr>
            </w:pPr>
            <w:r w:rsidRPr="00EF5A4A">
              <w:rPr>
                <w:b/>
              </w:rPr>
              <w:t>Residential Fuel Conversion Projects (WA)</w:t>
            </w:r>
          </w:p>
        </w:tc>
      </w:tr>
      <w:tr w:rsidR="00EF5A4A" w14:paraId="50695651" w14:textId="77777777" w:rsidTr="00EF5A4A">
        <w:tc>
          <w:tcPr>
            <w:tcW w:w="2875" w:type="dxa"/>
          </w:tcPr>
          <w:p w14:paraId="488F685B" w14:textId="01603575" w:rsidR="00CB587B" w:rsidRDefault="00CB587B" w:rsidP="00676749">
            <w:r>
              <w:t>2010</w:t>
            </w:r>
          </w:p>
        </w:tc>
        <w:tc>
          <w:tcPr>
            <w:tcW w:w="2880" w:type="dxa"/>
          </w:tcPr>
          <w:p w14:paraId="40A3365D" w14:textId="38555367" w:rsidR="00CB587B" w:rsidRDefault="009A2F71" w:rsidP="00676749">
            <w:r>
              <w:t>177</w:t>
            </w:r>
          </w:p>
        </w:tc>
      </w:tr>
      <w:tr w:rsidR="00EF5A4A" w14:paraId="3034E30A" w14:textId="77777777" w:rsidTr="00EF5A4A">
        <w:tc>
          <w:tcPr>
            <w:tcW w:w="2875" w:type="dxa"/>
          </w:tcPr>
          <w:p w14:paraId="742134AB" w14:textId="62EF7AF4" w:rsidR="00CB587B" w:rsidRDefault="00CB587B" w:rsidP="00676749">
            <w:r>
              <w:t>2011</w:t>
            </w:r>
          </w:p>
        </w:tc>
        <w:tc>
          <w:tcPr>
            <w:tcW w:w="2880" w:type="dxa"/>
          </w:tcPr>
          <w:p w14:paraId="38EE7CC2" w14:textId="73D1AE38" w:rsidR="00CB587B" w:rsidRDefault="00C2093E" w:rsidP="00676749">
            <w:r>
              <w:t>1</w:t>
            </w:r>
            <w:r w:rsidR="009A2F71">
              <w:t>43</w:t>
            </w:r>
          </w:p>
        </w:tc>
      </w:tr>
      <w:tr w:rsidR="00EF5A4A" w14:paraId="774F63AB" w14:textId="77777777" w:rsidTr="00EF5A4A">
        <w:tc>
          <w:tcPr>
            <w:tcW w:w="2875" w:type="dxa"/>
          </w:tcPr>
          <w:p w14:paraId="77F6B1D3" w14:textId="184CDE5A" w:rsidR="00CB587B" w:rsidRDefault="00CB587B" w:rsidP="00676749">
            <w:r>
              <w:t>2012</w:t>
            </w:r>
          </w:p>
        </w:tc>
        <w:tc>
          <w:tcPr>
            <w:tcW w:w="2880" w:type="dxa"/>
          </w:tcPr>
          <w:p w14:paraId="4E10D886" w14:textId="1345FD23" w:rsidR="00CB587B" w:rsidRDefault="00C2093E" w:rsidP="00676749">
            <w:r>
              <w:t>1</w:t>
            </w:r>
            <w:r w:rsidR="009A2F71">
              <w:t>49</w:t>
            </w:r>
          </w:p>
        </w:tc>
      </w:tr>
      <w:tr w:rsidR="00EF5A4A" w14:paraId="711D3C7D" w14:textId="77777777" w:rsidTr="00EF5A4A">
        <w:tc>
          <w:tcPr>
            <w:tcW w:w="2875" w:type="dxa"/>
          </w:tcPr>
          <w:p w14:paraId="3BAF92E7" w14:textId="57FADD5D" w:rsidR="00CB587B" w:rsidRDefault="00CB587B" w:rsidP="00676749">
            <w:r>
              <w:t>2013</w:t>
            </w:r>
          </w:p>
        </w:tc>
        <w:tc>
          <w:tcPr>
            <w:tcW w:w="2880" w:type="dxa"/>
          </w:tcPr>
          <w:p w14:paraId="59A38474" w14:textId="54424561" w:rsidR="00CB587B" w:rsidRDefault="00C2093E" w:rsidP="00676749">
            <w:r>
              <w:t>1</w:t>
            </w:r>
            <w:r w:rsidR="009A2F71">
              <w:t>34</w:t>
            </w:r>
          </w:p>
        </w:tc>
      </w:tr>
      <w:tr w:rsidR="00EF5A4A" w14:paraId="4FE7753C" w14:textId="77777777" w:rsidTr="00EF5A4A">
        <w:tc>
          <w:tcPr>
            <w:tcW w:w="2875" w:type="dxa"/>
          </w:tcPr>
          <w:p w14:paraId="09A68C43" w14:textId="4E0B1B3E" w:rsidR="00CB587B" w:rsidRDefault="00CB587B" w:rsidP="00676749">
            <w:r>
              <w:t>2014</w:t>
            </w:r>
          </w:p>
        </w:tc>
        <w:tc>
          <w:tcPr>
            <w:tcW w:w="2880" w:type="dxa"/>
          </w:tcPr>
          <w:p w14:paraId="555F9BC3" w14:textId="11F708E4" w:rsidR="00CB587B" w:rsidRDefault="00C2093E" w:rsidP="00676749">
            <w:r>
              <w:t>191</w:t>
            </w:r>
          </w:p>
        </w:tc>
      </w:tr>
      <w:tr w:rsidR="00EF5A4A" w14:paraId="3139D912" w14:textId="77777777" w:rsidTr="00EF5A4A">
        <w:tc>
          <w:tcPr>
            <w:tcW w:w="2875" w:type="dxa"/>
          </w:tcPr>
          <w:p w14:paraId="7D896020" w14:textId="1B20E6ED" w:rsidR="00CB587B" w:rsidRDefault="00CB587B" w:rsidP="00676749">
            <w:r>
              <w:t>2015</w:t>
            </w:r>
          </w:p>
        </w:tc>
        <w:tc>
          <w:tcPr>
            <w:tcW w:w="2880" w:type="dxa"/>
          </w:tcPr>
          <w:p w14:paraId="1A39A9F5" w14:textId="4D1CC2B5" w:rsidR="00CB587B" w:rsidRDefault="00C2093E" w:rsidP="00676749">
            <w:r>
              <w:t>422</w:t>
            </w:r>
          </w:p>
        </w:tc>
      </w:tr>
      <w:tr w:rsidR="00EF5A4A" w14:paraId="417C2BA2" w14:textId="77777777" w:rsidTr="00EF5A4A">
        <w:tc>
          <w:tcPr>
            <w:tcW w:w="2875" w:type="dxa"/>
          </w:tcPr>
          <w:p w14:paraId="6A1DA2C1" w14:textId="53A2C2B0" w:rsidR="00CB587B" w:rsidRDefault="00CB587B" w:rsidP="00676749">
            <w:r>
              <w:t>2016</w:t>
            </w:r>
          </w:p>
        </w:tc>
        <w:tc>
          <w:tcPr>
            <w:tcW w:w="2880" w:type="dxa"/>
          </w:tcPr>
          <w:p w14:paraId="0DF9C160" w14:textId="63667637" w:rsidR="00CB587B" w:rsidRDefault="00C2093E" w:rsidP="00676749">
            <w:r>
              <w:t>811</w:t>
            </w:r>
          </w:p>
        </w:tc>
      </w:tr>
      <w:tr w:rsidR="00EF5A4A" w14:paraId="5B15DC33" w14:textId="77777777" w:rsidTr="00AD0839">
        <w:trPr>
          <w:trHeight w:val="251"/>
        </w:trPr>
        <w:tc>
          <w:tcPr>
            <w:tcW w:w="2875" w:type="dxa"/>
          </w:tcPr>
          <w:p w14:paraId="6CECCA2A" w14:textId="5BBBF74B" w:rsidR="00CB587B" w:rsidRDefault="009A2F71" w:rsidP="00676749">
            <w:r>
              <w:t>2017 (Jan-Oct</w:t>
            </w:r>
            <w:r w:rsidR="00CB587B">
              <w:t xml:space="preserve"> 2017)</w:t>
            </w:r>
          </w:p>
        </w:tc>
        <w:tc>
          <w:tcPr>
            <w:tcW w:w="2880" w:type="dxa"/>
          </w:tcPr>
          <w:p w14:paraId="5314ABF6" w14:textId="1A16C2D0" w:rsidR="00CB587B" w:rsidRDefault="009A2F71" w:rsidP="00676749">
            <w:r>
              <w:t>1546</w:t>
            </w:r>
          </w:p>
        </w:tc>
      </w:tr>
      <w:tr w:rsidR="000E07DE" w14:paraId="011190A7" w14:textId="77777777" w:rsidTr="00AD0839">
        <w:trPr>
          <w:trHeight w:val="251"/>
        </w:trPr>
        <w:tc>
          <w:tcPr>
            <w:tcW w:w="2875" w:type="dxa"/>
          </w:tcPr>
          <w:p w14:paraId="08DE9F90" w14:textId="07A5FE7A" w:rsidR="000E07DE" w:rsidRDefault="000E07DE" w:rsidP="009A2F71">
            <w:r>
              <w:t>2018 (</w:t>
            </w:r>
            <w:r w:rsidR="009A2F71">
              <w:t>forecast</w:t>
            </w:r>
            <w:r>
              <w:t>)</w:t>
            </w:r>
          </w:p>
        </w:tc>
        <w:tc>
          <w:tcPr>
            <w:tcW w:w="2880" w:type="dxa"/>
          </w:tcPr>
          <w:p w14:paraId="5F9C0FA8" w14:textId="3F157452" w:rsidR="000E07DE" w:rsidRDefault="0073626A" w:rsidP="00676749">
            <w:r>
              <w:t>1255</w:t>
            </w:r>
          </w:p>
        </w:tc>
      </w:tr>
    </w:tbl>
    <w:p w14:paraId="571C7F59" w14:textId="77777777" w:rsidR="00CB587B" w:rsidRDefault="00CB587B" w:rsidP="00676749"/>
    <w:p w14:paraId="2B3334AB" w14:textId="3438142F" w:rsidR="00C2093E" w:rsidRDefault="00C2093E" w:rsidP="00676749">
      <w:r>
        <w:lastRenderedPageBreak/>
        <w:t xml:space="preserve">Avista has another program that can provide incentives for </w:t>
      </w:r>
      <w:r w:rsidR="005A1F41">
        <w:t xml:space="preserve">residential </w:t>
      </w:r>
      <w:r>
        <w:t>fuel conversion, the Line Excess Allowance Program (LEAP) pilot</w:t>
      </w:r>
      <w:r w:rsidR="00EF5A4A">
        <w:t>, which began in 2016</w:t>
      </w:r>
      <w:r w:rsidR="00965DA4">
        <w:t xml:space="preserve"> and </w:t>
      </w:r>
      <w:r w:rsidR="00D3658F">
        <w:t>is likely contributing</w:t>
      </w:r>
      <w:r w:rsidR="00965DA4">
        <w:t xml:space="preserve"> to the </w:t>
      </w:r>
      <w:r w:rsidR="00D3658F">
        <w:t xml:space="preserve">recent </w:t>
      </w:r>
      <w:r w:rsidR="00965DA4">
        <w:t>large increase in fuel conversions</w:t>
      </w:r>
      <w:r>
        <w:t>. Under th</w:t>
      </w:r>
      <w:r w:rsidR="006612D8">
        <w:t>is program, the Company gives a new natural gas residential customer an</w:t>
      </w:r>
      <w:r>
        <w:t xml:space="preserve"> allowance of $4,482 to cover the cost of the</w:t>
      </w:r>
      <w:r w:rsidR="006612D8">
        <w:t xml:space="preserve"> natural gas</w:t>
      </w:r>
      <w:r>
        <w:t xml:space="preserve"> line extension</w:t>
      </w:r>
      <w:r w:rsidR="006612D8">
        <w:t xml:space="preserve"> to the property</w:t>
      </w:r>
      <w:r>
        <w:t>. If the cost to connect to the system is less than the allowance amount, any excess can be applied toward an efficient natural gas furnace, boiler, and/or water heater. The average customer receives an excess allowance rebate of $2,805</w:t>
      </w:r>
      <w:r w:rsidR="00965DA4">
        <w:rPr>
          <w:rStyle w:val="FootnoteReference"/>
        </w:rPr>
        <w:footnoteReference w:id="3"/>
      </w:r>
      <w:r w:rsidR="00312DA4">
        <w:t>; this incentive is additional to the fuel conversion incentive and to the natural gas efficiency incentive.</w:t>
      </w:r>
      <w:r>
        <w:t xml:space="preserve"> While this program is not </w:t>
      </w:r>
      <w:r w:rsidR="006D1474">
        <w:t>discussed as</w:t>
      </w:r>
      <w:r w:rsidR="00EF5A4A">
        <w:t xml:space="preserve"> part of the BCP and is not funded by the conservation riders, it obviously has some impact on the desirability of natural gas direct use versus efficient electric uses for residential customers. </w:t>
      </w:r>
      <w:r w:rsidR="00800521">
        <w:t>In 2016, 531 customers par</w:t>
      </w:r>
      <w:r w:rsidR="0073626A">
        <w:t xml:space="preserve">ticipated in the LEAP pilot and, in 2017, </w:t>
      </w:r>
      <w:r w:rsidR="00800521">
        <w:t>1142 customers had participated as of September 2017.</w:t>
      </w:r>
      <w:r w:rsidR="009A2F71">
        <w:rPr>
          <w:rStyle w:val="FootnoteReference"/>
        </w:rPr>
        <w:footnoteReference w:id="4"/>
      </w:r>
    </w:p>
    <w:p w14:paraId="4AB6FF84" w14:textId="77777777" w:rsidR="00312DA4" w:rsidRDefault="00312DA4" w:rsidP="00676749"/>
    <w:p w14:paraId="14CBC81C" w14:textId="1ABC73E6" w:rsidR="0060456E" w:rsidRPr="00312DA4" w:rsidRDefault="00312DA4" w:rsidP="00312DA4">
      <w:pPr>
        <w:pStyle w:val="ListParagraph"/>
        <w:numPr>
          <w:ilvl w:val="0"/>
          <w:numId w:val="6"/>
        </w:numPr>
        <w:rPr>
          <w:i/>
        </w:rPr>
      </w:pPr>
      <w:r w:rsidRPr="00312DA4">
        <w:rPr>
          <w:i/>
        </w:rPr>
        <w:t>Low Income Fuel Conversion</w:t>
      </w:r>
    </w:p>
    <w:p w14:paraId="47C56934" w14:textId="5A295FB3" w:rsidR="005A1F41" w:rsidRDefault="00BD76B8" w:rsidP="00676749">
      <w:r>
        <w:t xml:space="preserve">Community Action Partner (CAP) agencies </w:t>
      </w:r>
      <w:r w:rsidR="00B70BAC">
        <w:t xml:space="preserve">are able to fund </w:t>
      </w:r>
      <w:r w:rsidR="003D456B">
        <w:t xml:space="preserve">fuel conversions for low-income customers with Avista funding. In </w:t>
      </w:r>
      <w:r w:rsidR="00655CAB">
        <w:t>Avista’s</w:t>
      </w:r>
      <w:r w:rsidR="003D456B">
        <w:t xml:space="preserve"> 2018 Annual Conservation Plan, electric </w:t>
      </w:r>
      <w:r w:rsidR="00800521">
        <w:t xml:space="preserve">resistance heaters </w:t>
      </w:r>
      <w:r w:rsidR="003D456B">
        <w:t xml:space="preserve">to natural gas </w:t>
      </w:r>
      <w:r w:rsidR="00800521">
        <w:t xml:space="preserve">furnace </w:t>
      </w:r>
      <w:r w:rsidR="003D456B">
        <w:t xml:space="preserve">conversions </w:t>
      </w:r>
      <w:r w:rsidR="00241638">
        <w:t xml:space="preserve">through the CAP agencies </w:t>
      </w:r>
      <w:r w:rsidR="003D456B">
        <w:t xml:space="preserve">are </w:t>
      </w:r>
      <w:r w:rsidR="00241638">
        <w:t xml:space="preserve">fully funded ($5,196.30) </w:t>
      </w:r>
      <w:r w:rsidR="00BE3C81">
        <w:t xml:space="preserve">by Avista </w:t>
      </w:r>
      <w:r w:rsidR="00241638">
        <w:t>and electric to natural gas</w:t>
      </w:r>
      <w:r w:rsidR="00BE3C81">
        <w:t xml:space="preserve"> water heating is rebated at Avista’s</w:t>
      </w:r>
      <w:r w:rsidR="00241638">
        <w:t xml:space="preserve"> avoided cost of energy ($586.78).</w:t>
      </w:r>
      <w:r w:rsidR="00C9703C">
        <w:t xml:space="preserve"> </w:t>
      </w:r>
    </w:p>
    <w:p w14:paraId="6E84832D" w14:textId="77777777" w:rsidR="00BD76B8" w:rsidRDefault="00BD76B8" w:rsidP="00676749"/>
    <w:p w14:paraId="6975574C" w14:textId="7EECEAF3" w:rsidR="00312DA4" w:rsidRPr="00312DA4" w:rsidRDefault="00312DA4" w:rsidP="00312DA4">
      <w:pPr>
        <w:pStyle w:val="ListParagraph"/>
        <w:numPr>
          <w:ilvl w:val="0"/>
          <w:numId w:val="6"/>
        </w:numPr>
        <w:rPr>
          <w:i/>
        </w:rPr>
      </w:pPr>
      <w:r w:rsidRPr="00312DA4">
        <w:rPr>
          <w:i/>
        </w:rPr>
        <w:t>Non-Residential Fuel Conversion</w:t>
      </w:r>
      <w:r w:rsidR="002127BA">
        <w:rPr>
          <w:i/>
        </w:rPr>
        <w:t>s</w:t>
      </w:r>
    </w:p>
    <w:p w14:paraId="6CA935A1" w14:textId="54B3FB01" w:rsidR="00BD76B8" w:rsidRDefault="00BD76B8" w:rsidP="00676749">
      <w:r>
        <w:t>Finally,</w:t>
      </w:r>
      <w:r w:rsidR="009A2F71">
        <w:t xml:space="preserve"> since 2008,</w:t>
      </w:r>
      <w:r>
        <w:t xml:space="preserve"> </w:t>
      </w:r>
      <w:r w:rsidR="000B538A">
        <w:t xml:space="preserve">Avista </w:t>
      </w:r>
      <w:r w:rsidR="009A2F71">
        <w:t>has offered</w:t>
      </w:r>
      <w:r w:rsidR="000B538A">
        <w:t xml:space="preserve"> a “multi-family market transformation program,” which </w:t>
      </w:r>
      <w:r w:rsidR="00241638">
        <w:t>the Company notes i</w:t>
      </w:r>
      <w:r w:rsidR="00BE3C81">
        <w:t xml:space="preserve">n the </w:t>
      </w:r>
      <w:r w:rsidR="009A2F71">
        <w:t xml:space="preserve">current </w:t>
      </w:r>
      <w:r w:rsidR="00BE3C81">
        <w:t>BCP filing i</w:t>
      </w:r>
      <w:r w:rsidR="00241638">
        <w:t>s</w:t>
      </w:r>
      <w:r w:rsidR="000B538A">
        <w:t xml:space="preserve"> </w:t>
      </w:r>
      <w:r w:rsidR="00F323B9">
        <w:t>“</w:t>
      </w:r>
      <w:r w:rsidR="000B538A">
        <w:t>intended to increase the availability of natural gas space and water heating in multi-fam</w:t>
      </w:r>
      <w:r w:rsidR="00295E75">
        <w:t xml:space="preserve">ily residential </w:t>
      </w:r>
      <w:r w:rsidR="00F323B9">
        <w:t>rentals, larger than a 5-plex</w:t>
      </w:r>
      <w:r w:rsidR="00295E75">
        <w:t>.</w:t>
      </w:r>
      <w:r w:rsidR="00F323B9">
        <w:t>”</w:t>
      </w:r>
      <w:r w:rsidR="00295E75">
        <w:t xml:space="preserve"> </w:t>
      </w:r>
      <w:r w:rsidR="00F323B9">
        <w:t>N</w:t>
      </w:r>
      <w:r w:rsidR="000B538A">
        <w:t xml:space="preserve">ew </w:t>
      </w:r>
      <w:r w:rsidR="00F323B9">
        <w:t xml:space="preserve">multi-family </w:t>
      </w:r>
      <w:r w:rsidR="000B538A">
        <w:t xml:space="preserve">construction can </w:t>
      </w:r>
      <w:r w:rsidR="000B538A" w:rsidRPr="00BE3C81">
        <w:t xml:space="preserve">receive </w:t>
      </w:r>
      <w:r w:rsidR="00BE3C81" w:rsidRPr="00BE3C81">
        <w:t>$3,5</w:t>
      </w:r>
      <w:r w:rsidR="00A51917" w:rsidRPr="00BE3C81">
        <w:t>00 per</w:t>
      </w:r>
      <w:r w:rsidR="00A51917">
        <w:t xml:space="preserve"> unit </w:t>
      </w:r>
      <w:r w:rsidR="00295E75">
        <w:t>for the installation of natural gas or wa</w:t>
      </w:r>
      <w:r w:rsidR="0060456E">
        <w:t xml:space="preserve">ter heating (as written in the BCP and in program materials, it does not seem that the equipment installed </w:t>
      </w:r>
      <w:r w:rsidR="00312DA4">
        <w:t>h</w:t>
      </w:r>
      <w:r w:rsidR="0060456E">
        <w:t>as to be more efficient than standard</w:t>
      </w:r>
      <w:r w:rsidR="00312DA4">
        <w:t xml:space="preserve"> to receive the incentive</w:t>
      </w:r>
      <w:r w:rsidR="0060456E">
        <w:t>).</w:t>
      </w:r>
      <w:r w:rsidR="00F73729">
        <w:t xml:space="preserve"> </w:t>
      </w:r>
    </w:p>
    <w:p w14:paraId="54F7C9EA" w14:textId="77777777" w:rsidR="00FE27FA" w:rsidRDefault="00FE27FA" w:rsidP="00676749"/>
    <w:p w14:paraId="410A0700" w14:textId="6FA31E15" w:rsidR="00FE27FA" w:rsidRDefault="00FE27FA" w:rsidP="00676749">
      <w:r>
        <w:t xml:space="preserve">Other fuel conversions may happen as part of the site-specific non-residential program, but these incentives and electricity savings are not specifically called out in the </w:t>
      </w:r>
      <w:r w:rsidR="00947334">
        <w:t xml:space="preserve">2018-2019 </w:t>
      </w:r>
      <w:r>
        <w:t>BCP budget.</w:t>
      </w:r>
    </w:p>
    <w:p w14:paraId="70BF7D1C" w14:textId="77777777" w:rsidR="0060456E" w:rsidRDefault="0060456E" w:rsidP="00676749"/>
    <w:p w14:paraId="02B639DF" w14:textId="014540BF" w:rsidR="00EF5A4A" w:rsidRPr="008362F8" w:rsidRDefault="00357434" w:rsidP="002127BA">
      <w:pPr>
        <w:pStyle w:val="Heading2"/>
        <w:rPr>
          <w:rFonts w:eastAsia="Times New Roman"/>
        </w:rPr>
      </w:pPr>
      <w:r w:rsidRPr="0060456E">
        <w:rPr>
          <w:rFonts w:eastAsia="Times New Roman"/>
        </w:rPr>
        <w:t>Future of Avista’s Fuel Conversion Programs</w:t>
      </w:r>
    </w:p>
    <w:p w14:paraId="703D0348" w14:textId="799A5328" w:rsidR="00AD0839" w:rsidRDefault="00AD0839" w:rsidP="00676749">
      <w:r>
        <w:t xml:space="preserve">In written email comments to </w:t>
      </w:r>
      <w:r w:rsidR="00CF780B">
        <w:t>the three</w:t>
      </w:r>
      <w:r>
        <w:t xml:space="preserve"> </w:t>
      </w:r>
      <w:r w:rsidR="00CF780B">
        <w:t xml:space="preserve">Washington electric </w:t>
      </w:r>
      <w:r>
        <w:t>Investor-Owned Utilities</w:t>
      </w:r>
      <w:r w:rsidR="00947334">
        <w:t xml:space="preserve"> (IOUs)</w:t>
      </w:r>
      <w:r>
        <w:t xml:space="preserve"> on </w:t>
      </w:r>
      <w:r w:rsidR="00CF780B">
        <w:t>October 23, 2017</w:t>
      </w:r>
      <w:r w:rsidR="00AA0A69">
        <w:t>,</w:t>
      </w:r>
      <w:r w:rsidR="00CF780B">
        <w:t xml:space="preserve"> UTC Staff expressed that fuel conversion programs should </w:t>
      </w:r>
      <w:r w:rsidR="008362F8">
        <w:t xml:space="preserve">be </w:t>
      </w:r>
      <w:r w:rsidR="00CF780B">
        <w:t>rem</w:t>
      </w:r>
      <w:r w:rsidR="007023F5">
        <w:t>oved from conservation programs</w:t>
      </w:r>
      <w:r w:rsidR="00CF780B">
        <w:t>.</w:t>
      </w:r>
      <w:r w:rsidR="00BE49F7">
        <w:rPr>
          <w:rStyle w:val="FootnoteReference"/>
        </w:rPr>
        <w:footnoteReference w:id="5"/>
      </w:r>
      <w:r w:rsidR="00CF780B">
        <w:t xml:space="preserve"> In filed testimony in the </w:t>
      </w:r>
      <w:r w:rsidR="000A0391">
        <w:t xml:space="preserve">current </w:t>
      </w:r>
      <w:r w:rsidR="00341268">
        <w:t>Avista General Rate Case, S</w:t>
      </w:r>
      <w:r w:rsidR="00CF780B">
        <w:t xml:space="preserve">taff </w:t>
      </w:r>
      <w:r w:rsidR="004934F1">
        <w:t xml:space="preserve">further explained that they are of the view that Avista should discontinue </w:t>
      </w:r>
      <w:r w:rsidR="000A0391">
        <w:t>its</w:t>
      </w:r>
      <w:r w:rsidR="00AA0A69">
        <w:t xml:space="preserve"> fuel conversion program, beginning </w:t>
      </w:r>
      <w:r w:rsidR="00AC6AA7">
        <w:t>with</w:t>
      </w:r>
      <w:r w:rsidR="004934F1">
        <w:t xml:space="preserve"> the 2018-2019 biennium.</w:t>
      </w:r>
      <w:r w:rsidR="00BE49F7">
        <w:rPr>
          <w:rStyle w:val="FootnoteReference"/>
        </w:rPr>
        <w:footnoteReference w:id="6"/>
      </w:r>
      <w:r w:rsidR="004934F1">
        <w:t xml:space="preserve"> In short, Staff’s testimony </w:t>
      </w:r>
      <w:r w:rsidR="00F72E6E">
        <w:t>related to the fuel conversion program</w:t>
      </w:r>
      <w:r w:rsidR="004934F1">
        <w:t xml:space="preserve"> was that:</w:t>
      </w:r>
    </w:p>
    <w:p w14:paraId="47B906CF" w14:textId="2424F1EC" w:rsidR="004934F1" w:rsidRPr="005E2E02" w:rsidRDefault="000A0391" w:rsidP="008362F8">
      <w:pPr>
        <w:pStyle w:val="ListParagraph"/>
        <w:numPr>
          <w:ilvl w:val="0"/>
          <w:numId w:val="7"/>
        </w:numPr>
      </w:pPr>
      <w:r>
        <w:lastRenderedPageBreak/>
        <w:t>It is unfair that</w:t>
      </w:r>
      <w:r w:rsidR="004934F1" w:rsidRPr="005E2E02">
        <w:t xml:space="preserve"> electric ratepayers pay for the </w:t>
      </w:r>
      <w:r w:rsidR="005E2E02">
        <w:t xml:space="preserve">administration and incentives for </w:t>
      </w:r>
      <w:r w:rsidR="004934F1" w:rsidRPr="005E2E02">
        <w:t xml:space="preserve">conversion </w:t>
      </w:r>
      <w:r w:rsidR="005E2E02">
        <w:t>to natural gas.</w:t>
      </w:r>
    </w:p>
    <w:p w14:paraId="7FF18499" w14:textId="4DDFDFDD" w:rsidR="004934F1" w:rsidRPr="005E2E02" w:rsidRDefault="004934F1" w:rsidP="008362F8">
      <w:pPr>
        <w:pStyle w:val="ListParagraph"/>
        <w:numPr>
          <w:ilvl w:val="0"/>
          <w:numId w:val="7"/>
        </w:numPr>
      </w:pPr>
      <w:r w:rsidRPr="005E2E02">
        <w:t xml:space="preserve">Fuel conversion is not conservation as defined by the Northwest Power Act or Washington State. </w:t>
      </w:r>
    </w:p>
    <w:p w14:paraId="6D768296" w14:textId="17F84B23" w:rsidR="00357434" w:rsidRPr="005E2E02" w:rsidRDefault="00357434" w:rsidP="008362F8">
      <w:pPr>
        <w:pStyle w:val="ListParagraph"/>
        <w:numPr>
          <w:ilvl w:val="0"/>
          <w:numId w:val="7"/>
        </w:numPr>
      </w:pPr>
      <w:r w:rsidRPr="005E2E02">
        <w:t>W</w:t>
      </w:r>
      <w:r w:rsidR="004934F1" w:rsidRPr="005E2E02">
        <w:t>hile other</w:t>
      </w:r>
      <w:r w:rsidR="00947334">
        <w:t xml:space="preserve"> IOUs have funded</w:t>
      </w:r>
      <w:r w:rsidR="004934F1" w:rsidRPr="005E2E02">
        <w:t xml:space="preserve"> non-conservation programs </w:t>
      </w:r>
      <w:r w:rsidR="00947334">
        <w:t xml:space="preserve">under </w:t>
      </w:r>
      <w:r w:rsidR="002B2ABC" w:rsidRPr="005E2E02">
        <w:t>conservation rider</w:t>
      </w:r>
      <w:r w:rsidR="00947334">
        <w:t>s</w:t>
      </w:r>
      <w:r w:rsidR="002B2ABC" w:rsidRPr="005E2E02">
        <w:t xml:space="preserve">, </w:t>
      </w:r>
      <w:r w:rsidRPr="005E2E02">
        <w:t xml:space="preserve">these programs have usually been small in scope, in the public benefit, and unlikely to be supported by the utility without this </w:t>
      </w:r>
      <w:r w:rsidR="000A0391">
        <w:t xml:space="preserve">cost </w:t>
      </w:r>
      <w:r w:rsidRPr="005E2E02">
        <w:t>recovery. These characteristics do not apply to the fuel conversion program.</w:t>
      </w:r>
    </w:p>
    <w:p w14:paraId="245E99C4" w14:textId="3DE40E3A" w:rsidR="00357434" w:rsidRDefault="00357434" w:rsidP="008362F8">
      <w:pPr>
        <w:pStyle w:val="ListParagraph"/>
        <w:numPr>
          <w:ilvl w:val="0"/>
          <w:numId w:val="7"/>
        </w:numPr>
      </w:pPr>
      <w:r w:rsidRPr="005E2E02">
        <w:t xml:space="preserve">Avista’s fuel conversion programs and incentives together </w:t>
      </w:r>
      <w:r w:rsidR="005E2E02">
        <w:t>(LEAP</w:t>
      </w:r>
      <w:r w:rsidR="000A0391">
        <w:t xml:space="preserve"> excess allowance</w:t>
      </w:r>
      <w:r w:rsidR="005E2E02">
        <w:t>,</w:t>
      </w:r>
      <w:r w:rsidR="00BE49F7">
        <w:t xml:space="preserve"> fuel conversion incentive, and </w:t>
      </w:r>
      <w:r w:rsidR="005E2E02">
        <w:t xml:space="preserve">natural gas efficiency incentive) </w:t>
      </w:r>
      <w:r w:rsidRPr="005E2E02">
        <w:t>bias customers toward natural gas.</w:t>
      </w:r>
    </w:p>
    <w:p w14:paraId="3E57F56B" w14:textId="37827D51" w:rsidR="005E2E02" w:rsidRPr="005E2E02" w:rsidRDefault="00F72E6E" w:rsidP="008362F8">
      <w:pPr>
        <w:pStyle w:val="ListParagraph"/>
        <w:numPr>
          <w:ilvl w:val="0"/>
          <w:numId w:val="7"/>
        </w:numPr>
      </w:pPr>
      <w:r>
        <w:t>Low income fuel conversions can continue “in cases where it is in the best interest of the low-income customer.”</w:t>
      </w:r>
      <w:r w:rsidR="00FE27FA">
        <w:rPr>
          <w:rStyle w:val="FootnoteReference"/>
        </w:rPr>
        <w:footnoteReference w:id="7"/>
      </w:r>
    </w:p>
    <w:p w14:paraId="17B1271D" w14:textId="77777777" w:rsidR="009A2F71" w:rsidRDefault="009A2F71" w:rsidP="00676749"/>
    <w:p w14:paraId="2C0F5E85" w14:textId="25087542" w:rsidR="001C59DC" w:rsidRDefault="001C59DC" w:rsidP="001C59DC">
      <w:pPr>
        <w:pStyle w:val="Heading2"/>
      </w:pPr>
      <w:r>
        <w:t>NWEC Fuel Conversion Program Comments</w:t>
      </w:r>
    </w:p>
    <w:p w14:paraId="023762B4" w14:textId="0E688117" w:rsidR="00EF5A4A" w:rsidRDefault="00AA0A69" w:rsidP="00676749">
      <w:r>
        <w:t>NWEC</w:t>
      </w:r>
      <w:r w:rsidR="00F72E6E">
        <w:t xml:space="preserve"> agrees with Staff that </w:t>
      </w:r>
      <w:r w:rsidR="001D6B56">
        <w:t>Avista’s fuel conversion program</w:t>
      </w:r>
      <w:r w:rsidR="00F72E6E">
        <w:t>s are</w:t>
      </w:r>
      <w:r w:rsidR="001D6B56">
        <w:t xml:space="preserve"> not conservation and should the</w:t>
      </w:r>
      <w:r w:rsidR="00B7251E">
        <w:t>refore not be included as part of the BCP or be fun</w:t>
      </w:r>
      <w:r>
        <w:t>ded from the conservation rider</w:t>
      </w:r>
      <w:r w:rsidR="00B7251E">
        <w:t>.</w:t>
      </w:r>
      <w:r w:rsidR="0038797A">
        <w:t xml:space="preserve"> To the above points</w:t>
      </w:r>
      <w:r>
        <w:t xml:space="preserve"> from Staff</w:t>
      </w:r>
      <w:r w:rsidR="0038797A">
        <w:t xml:space="preserve">, we add the following points and make a recommendation regarding low-income </w:t>
      </w:r>
      <w:r>
        <w:t xml:space="preserve">fuel </w:t>
      </w:r>
      <w:r w:rsidR="0038797A">
        <w:t>conversions.</w:t>
      </w:r>
    </w:p>
    <w:p w14:paraId="5A14AB40" w14:textId="77777777" w:rsidR="002A39E9" w:rsidRDefault="001B1B68" w:rsidP="009A2F71">
      <w:pPr>
        <w:pStyle w:val="ListParagraph"/>
        <w:numPr>
          <w:ilvl w:val="0"/>
          <w:numId w:val="8"/>
        </w:numPr>
      </w:pPr>
      <w:r w:rsidRPr="000262CE">
        <w:t xml:space="preserve">The Northwest Power Act </w:t>
      </w:r>
      <w:r w:rsidR="00C064F5">
        <w:t xml:space="preserve">and Washington State </w:t>
      </w:r>
      <w:r w:rsidRPr="000262CE">
        <w:t>defines conservation as “any reductio</w:t>
      </w:r>
      <w:r w:rsidR="000262CE" w:rsidRPr="000262CE">
        <w:t>n in electric power consumption</w:t>
      </w:r>
      <w:r w:rsidR="000262CE">
        <w:t xml:space="preserve"> </w:t>
      </w:r>
      <w:r w:rsidRPr="000262CE">
        <w:t>as a result of increases in the efficiency of energy use, production, or distr</w:t>
      </w:r>
      <w:r w:rsidR="00C064F5">
        <w:t>ibution.</w:t>
      </w:r>
      <w:r w:rsidRPr="000262CE">
        <w:t>”</w:t>
      </w:r>
      <w:r w:rsidR="00AA57F3">
        <w:rPr>
          <w:rStyle w:val="FootnoteReference"/>
        </w:rPr>
        <w:footnoteReference w:id="8"/>
      </w:r>
      <w:r w:rsidR="00AA57F3" w:rsidRPr="009A2F71">
        <w:rPr>
          <w:vertAlign w:val="superscript"/>
        </w:rPr>
        <w:t>,</w:t>
      </w:r>
      <w:r w:rsidR="00EB0B13">
        <w:rPr>
          <w:rStyle w:val="FootnoteReference"/>
        </w:rPr>
        <w:footnoteReference w:id="9"/>
      </w:r>
      <w:r w:rsidR="000262CE" w:rsidRPr="000262CE">
        <w:t xml:space="preserve"> </w:t>
      </w:r>
      <w:r w:rsidR="00C064F5">
        <w:t>T</w:t>
      </w:r>
      <w:r w:rsidR="000262CE" w:rsidRPr="000262CE">
        <w:t>he</w:t>
      </w:r>
      <w:r w:rsidR="000262CE">
        <w:t xml:space="preserve"> </w:t>
      </w:r>
      <w:r w:rsidRPr="000262CE">
        <w:t xml:space="preserve">Northwest Power and Conservation Council </w:t>
      </w:r>
      <w:r w:rsidR="00C064F5">
        <w:t xml:space="preserve">additionally </w:t>
      </w:r>
      <w:r w:rsidR="00B248B3" w:rsidRPr="000262CE">
        <w:t>clarifies</w:t>
      </w:r>
      <w:r w:rsidRPr="000262CE">
        <w:t xml:space="preserve"> in the 7</w:t>
      </w:r>
      <w:r w:rsidRPr="009A2F71">
        <w:rPr>
          <w:vertAlign w:val="superscript"/>
        </w:rPr>
        <w:t>th</w:t>
      </w:r>
      <w:r w:rsidRPr="000262CE">
        <w:t xml:space="preserve"> Power Plan that </w:t>
      </w:r>
      <w:r w:rsidR="00B248B3" w:rsidRPr="000262CE">
        <w:t>“fue</w:t>
      </w:r>
      <w:r w:rsidR="000262CE" w:rsidRPr="000262CE">
        <w:t>l</w:t>
      </w:r>
      <w:r w:rsidR="000262CE">
        <w:t xml:space="preserve"> </w:t>
      </w:r>
      <w:r w:rsidR="00B248B3" w:rsidRPr="000262CE">
        <w:t>switching is not conservation und</w:t>
      </w:r>
      <w:r w:rsidR="00D34695">
        <w:t xml:space="preserve">er the Northwest Power Act,” and further </w:t>
      </w:r>
      <w:r w:rsidR="00B248B3" w:rsidRPr="000262CE">
        <w:t>concludes that, “fuel choice markets are reasonably competitive and that those markets should be allowed to work without interference”</w:t>
      </w:r>
      <w:r w:rsidR="003616F6">
        <w:rPr>
          <w:rStyle w:val="FootnoteReference"/>
        </w:rPr>
        <w:footnoteReference w:id="10"/>
      </w:r>
      <w:r w:rsidR="00B248B3" w:rsidRPr="000262CE">
        <w:t>—that is, incentives that encourage fu</w:t>
      </w:r>
      <w:r w:rsidR="000262CE">
        <w:t>el switching are not necessary.</w:t>
      </w:r>
    </w:p>
    <w:p w14:paraId="17D8ABAF" w14:textId="3ECC5AD7" w:rsidR="000A1F4E" w:rsidRDefault="00947334" w:rsidP="009A2F71">
      <w:pPr>
        <w:pStyle w:val="ListParagraph"/>
        <w:numPr>
          <w:ilvl w:val="0"/>
          <w:numId w:val="8"/>
        </w:numPr>
      </w:pPr>
      <w:r>
        <w:t>In Avista’</w:t>
      </w:r>
      <w:r w:rsidR="00DE6CB1">
        <w:t>s Integrated</w:t>
      </w:r>
      <w:r>
        <w:t xml:space="preserve"> Resource Plan </w:t>
      </w:r>
      <w:r w:rsidR="00DE6CB1">
        <w:t xml:space="preserve">(IRP) </w:t>
      </w:r>
      <w:r>
        <w:t>process</w:t>
      </w:r>
      <w:r w:rsidR="00DE6CB1">
        <w:t xml:space="preserve">, </w:t>
      </w:r>
      <w:r w:rsidR="009A2F71">
        <w:t xml:space="preserve">fuel conversions are </w:t>
      </w:r>
      <w:r w:rsidR="00FE27FA">
        <w:t xml:space="preserve">included in the load </w:t>
      </w:r>
      <w:r w:rsidR="009A2F71">
        <w:t>forecast</w:t>
      </w:r>
      <w:r w:rsidR="000A50BA">
        <w:t xml:space="preserve"> </w:t>
      </w:r>
      <w:r w:rsidR="009A2F71">
        <w:t>in the Company’s Integrated Resource Plan</w:t>
      </w:r>
      <w:r w:rsidR="00655CAB">
        <w:t>,</w:t>
      </w:r>
      <w:r w:rsidR="009A2F71">
        <w:t xml:space="preserve"> </w:t>
      </w:r>
      <w:r w:rsidR="00655CAB">
        <w:t>with the forecast being based</w:t>
      </w:r>
      <w:r w:rsidR="009A2F71">
        <w:t xml:space="preserve"> on historical dat</w:t>
      </w:r>
      <w:r w:rsidR="00DE6CB1">
        <w:t>a. Fuel conversion</w:t>
      </w:r>
      <w:r w:rsidR="00655CAB">
        <w:t>s</w:t>
      </w:r>
      <w:r w:rsidR="00DE6CB1">
        <w:t xml:space="preserve"> are not included </w:t>
      </w:r>
      <w:r w:rsidR="00655CAB">
        <w:t xml:space="preserve">as a measure </w:t>
      </w:r>
      <w:r w:rsidR="00DE6CB1">
        <w:t>in the Conservation Potential Assessment to “compete” against other conservation measures</w:t>
      </w:r>
      <w:r w:rsidR="00241DA6">
        <w:t xml:space="preserve"> on the supply-side</w:t>
      </w:r>
      <w:r w:rsidR="007D5F14">
        <w:t>–</w:t>
      </w:r>
      <w:r w:rsidR="009A2F71">
        <w:t xml:space="preserve">further confirming that the fuel </w:t>
      </w:r>
      <w:r w:rsidR="00241DA6">
        <w:t>conversion is not “conservation</w:t>
      </w:r>
      <w:r w:rsidR="009A2F71">
        <w:t>”</w:t>
      </w:r>
      <w:r w:rsidR="00241DA6">
        <w:t xml:space="preserve"> as other efficiency measures are considered.</w:t>
      </w:r>
    </w:p>
    <w:p w14:paraId="3263EB8E" w14:textId="1F5351C1" w:rsidR="00256F94" w:rsidRDefault="00256F94" w:rsidP="008362F8">
      <w:pPr>
        <w:pStyle w:val="ListParagraph"/>
        <w:numPr>
          <w:ilvl w:val="0"/>
          <w:numId w:val="8"/>
        </w:numPr>
      </w:pPr>
      <w:r>
        <w:t>T</w:t>
      </w:r>
      <w:r w:rsidR="00B7251E" w:rsidRPr="000262CE">
        <w:t xml:space="preserve">he Company contends that, because of Avista’s current fuel mix, converting to direct use of natural gas </w:t>
      </w:r>
      <w:r>
        <w:t>is less</w:t>
      </w:r>
      <w:r w:rsidR="00D34695">
        <w:t xml:space="preserve"> greenhouse gas</w:t>
      </w:r>
      <w:r>
        <w:t xml:space="preserve"> emissions intensive than </w:t>
      </w:r>
      <w:r w:rsidR="000A0391">
        <w:t xml:space="preserve">using </w:t>
      </w:r>
      <w:r>
        <w:t>electric appliances</w:t>
      </w:r>
      <w:r w:rsidR="00C064F5">
        <w:t>.</w:t>
      </w:r>
      <w:r w:rsidR="003616F6">
        <w:rPr>
          <w:rStyle w:val="FootnoteReference"/>
        </w:rPr>
        <w:footnoteReference w:id="11"/>
      </w:r>
      <w:r w:rsidR="00C064F5">
        <w:t xml:space="preserve"> </w:t>
      </w:r>
      <w:r>
        <w:t xml:space="preserve">However, </w:t>
      </w:r>
      <w:r w:rsidR="000A0391">
        <w:t>we can expect Avista’s</w:t>
      </w:r>
      <w:r>
        <w:t xml:space="preserve"> </w:t>
      </w:r>
      <w:r w:rsidR="00695883">
        <w:t xml:space="preserve">electricity fuel </w:t>
      </w:r>
      <w:r>
        <w:t xml:space="preserve">mix </w:t>
      </w:r>
      <w:r w:rsidR="000A0391">
        <w:t>t</w:t>
      </w:r>
      <w:r>
        <w:t>o become cleaner</w:t>
      </w:r>
      <w:r w:rsidR="00D34695">
        <w:t xml:space="preserve"> and less emissions intensive</w:t>
      </w:r>
      <w:r>
        <w:t xml:space="preserve"> </w:t>
      </w:r>
      <w:r w:rsidR="000A0391">
        <w:t xml:space="preserve">over time </w:t>
      </w:r>
      <w:r>
        <w:t xml:space="preserve">as </w:t>
      </w:r>
      <w:r w:rsidR="00A60E00">
        <w:t xml:space="preserve">Avista works toward meeting its renewable targets under </w:t>
      </w:r>
      <w:r>
        <w:t>Washington’s</w:t>
      </w:r>
      <w:r w:rsidR="00A60E00">
        <w:t xml:space="preserve"> Energy Independence Act,</w:t>
      </w:r>
      <w:r>
        <w:t xml:space="preserve"> as coal plants retire, and as other energy </w:t>
      </w:r>
      <w:r>
        <w:lastRenderedPageBreak/>
        <w:t xml:space="preserve">policy continues pushing the electric grid toward a cleaner </w:t>
      </w:r>
      <w:r w:rsidR="00414E60">
        <w:t>future</w:t>
      </w:r>
      <w:r w:rsidR="00A60E00">
        <w:t xml:space="preserve">. </w:t>
      </w:r>
      <w:r w:rsidR="00923C8F">
        <w:t xml:space="preserve">Any assessment of a program’s impacts on greenhouse gas emissions must be long-term in nature. </w:t>
      </w:r>
      <w:r w:rsidR="0038797A" w:rsidRPr="000F083F">
        <w:t xml:space="preserve">Locking </w:t>
      </w:r>
      <w:r w:rsidR="00923C8F">
        <w:t xml:space="preserve">a significant amount of new </w:t>
      </w:r>
      <w:r w:rsidR="0038797A" w:rsidRPr="000F083F">
        <w:t xml:space="preserve">customers into natural gas infrastructure </w:t>
      </w:r>
      <w:r w:rsidR="00923C8F">
        <w:t>at this time may not result in a long-term beneficial greenhouse gas reductions over the alternative of relying more on the electrical system</w:t>
      </w:r>
      <w:r w:rsidR="000A0391" w:rsidRPr="000F083F">
        <w:t>.</w:t>
      </w:r>
      <w:r w:rsidR="000A0391">
        <w:t xml:space="preserve"> </w:t>
      </w:r>
    </w:p>
    <w:p w14:paraId="66E432AE" w14:textId="0E6364FE" w:rsidR="00B7251E" w:rsidRDefault="00256F94" w:rsidP="008362F8">
      <w:pPr>
        <w:pStyle w:val="ListParagraph"/>
        <w:numPr>
          <w:ilvl w:val="0"/>
          <w:numId w:val="8"/>
        </w:numPr>
      </w:pPr>
      <w:r>
        <w:t xml:space="preserve">The Company also contends that conversion </w:t>
      </w:r>
      <w:r w:rsidR="009C24CE">
        <w:t xml:space="preserve">to natural gas </w:t>
      </w:r>
      <w:r>
        <w:t>is the least cost to customers.</w:t>
      </w:r>
      <w:r w:rsidR="00451E95">
        <w:rPr>
          <w:rStyle w:val="FootnoteReference"/>
        </w:rPr>
        <w:footnoteReference w:id="12"/>
      </w:r>
      <w:r>
        <w:t xml:space="preserve"> However, </w:t>
      </w:r>
      <w:r w:rsidR="00125E10">
        <w:t>switching customers to natural gas use expose</w:t>
      </w:r>
      <w:r w:rsidR="000A0391">
        <w:t>s</w:t>
      </w:r>
      <w:r w:rsidR="00125E10">
        <w:t xml:space="preserve"> customers to </w:t>
      </w:r>
      <w:r w:rsidR="000A0391">
        <w:t xml:space="preserve">any </w:t>
      </w:r>
      <w:r w:rsidR="00125E10">
        <w:t>future price volatility</w:t>
      </w:r>
      <w:r w:rsidR="0038797A">
        <w:t xml:space="preserve"> in the natural gas markets and to price risk due to any future carbon pricing.</w:t>
      </w:r>
      <w:r w:rsidR="00125E10">
        <w:t xml:space="preserve"> </w:t>
      </w:r>
      <w:r w:rsidR="00A60E00" w:rsidRPr="00256F94">
        <w:t xml:space="preserve">We </w:t>
      </w:r>
      <w:r w:rsidR="0038797A">
        <w:t>highlight</w:t>
      </w:r>
      <w:r w:rsidR="00A60E00" w:rsidRPr="00256F94">
        <w:t xml:space="preserve"> that Puget Sound Energy has discontinued its fuel conversion program</w:t>
      </w:r>
      <w:r w:rsidR="0038797A">
        <w:t xml:space="preserve"> for the 2018-2019 biennium, noting that, “Key rational</w:t>
      </w:r>
      <w:r w:rsidR="000F083F">
        <w:t>e</w:t>
      </w:r>
      <w:r w:rsidR="0038797A">
        <w:t xml:space="preserve"> included a potential carbon tax (making the conversion from electric to natural gas potentially not economic for participating customers, and create the perception of an unwise investment for PSE customers in the long-term).”</w:t>
      </w:r>
      <w:r w:rsidR="00451E95">
        <w:rPr>
          <w:rStyle w:val="FootnoteReference"/>
        </w:rPr>
        <w:footnoteReference w:id="13"/>
      </w:r>
      <w:r w:rsidR="000A0391">
        <w:t xml:space="preserve"> </w:t>
      </w:r>
      <w:r w:rsidR="000F083F">
        <w:t>Actively encouraging natural gas uptake and infrastructure build-out as Avista is doing through its programs is not in the best long-term interests of customers.</w:t>
      </w:r>
    </w:p>
    <w:p w14:paraId="7D56DDB9" w14:textId="3DD25304" w:rsidR="00BF78DD" w:rsidRDefault="0091627B" w:rsidP="00676749">
      <w:pPr>
        <w:pStyle w:val="ListParagraph"/>
        <w:numPr>
          <w:ilvl w:val="0"/>
          <w:numId w:val="8"/>
        </w:numPr>
      </w:pPr>
      <w:r>
        <w:t>For low-income fuel conversions, b</w:t>
      </w:r>
      <w:r w:rsidR="0038797A">
        <w:t xml:space="preserve">ecause of these above points, the Coalition </w:t>
      </w:r>
      <w:r>
        <w:t xml:space="preserve">recommends that more research be done </w:t>
      </w:r>
      <w:r w:rsidR="008E49EB">
        <w:t xml:space="preserve">by the Company and reviewed by </w:t>
      </w:r>
      <w:r w:rsidR="00C23576">
        <w:t xml:space="preserve">the advisory group and the UTC </w:t>
      </w:r>
      <w:r>
        <w:t xml:space="preserve">to </w:t>
      </w:r>
      <w:r w:rsidR="0013370C">
        <w:t>determine exactly when fuel conversion</w:t>
      </w:r>
      <w:r w:rsidR="00DE6CB1">
        <w:t xml:space="preserve"> projects</w:t>
      </w:r>
      <w:r w:rsidR="0013370C">
        <w:t xml:space="preserve"> would be in </w:t>
      </w:r>
      <w:r w:rsidR="002127BA">
        <w:t>“</w:t>
      </w:r>
      <w:r w:rsidR="0013370C">
        <w:t xml:space="preserve">the best interest of </w:t>
      </w:r>
      <w:r w:rsidR="002127BA">
        <w:t xml:space="preserve">the </w:t>
      </w:r>
      <w:r w:rsidR="0013370C">
        <w:t>low-income customer</w:t>
      </w:r>
      <w:r w:rsidR="002127BA">
        <w:t>”</w:t>
      </w:r>
      <w:r w:rsidR="001359F2">
        <w:t xml:space="preserve"> versus upgrading to</w:t>
      </w:r>
      <w:r w:rsidR="0013370C">
        <w:t xml:space="preserve"> more efficient electric</w:t>
      </w:r>
      <w:r w:rsidR="001359F2">
        <w:t xml:space="preserve"> equipment</w:t>
      </w:r>
      <w:r w:rsidR="0013370C">
        <w:t>.</w:t>
      </w:r>
    </w:p>
    <w:p w14:paraId="7CBE5AD7" w14:textId="77777777" w:rsidR="0088493D" w:rsidRDefault="0088493D" w:rsidP="000A0391">
      <w:pPr>
        <w:pStyle w:val="Heading1"/>
        <w:rPr>
          <w:rFonts w:eastAsia="Times New Roman"/>
        </w:rPr>
      </w:pPr>
      <w:r>
        <w:rPr>
          <w:rFonts w:eastAsia="Times New Roman"/>
        </w:rPr>
        <w:t>Other Residential Conservation Programs</w:t>
      </w:r>
    </w:p>
    <w:p w14:paraId="0DF7C250" w14:textId="25D4965E" w:rsidR="00E50E6D" w:rsidRDefault="000A0391" w:rsidP="000A0391">
      <w:r>
        <w:t>The remainder of Avista’s electric residential effi</w:t>
      </w:r>
      <w:r w:rsidR="00BC2DFC">
        <w:t xml:space="preserve">ciency portfolio is limited: </w:t>
      </w:r>
      <w:r w:rsidR="004356AD">
        <w:t xml:space="preserve">the Company funds Simple Steps, a retail buy-down </w:t>
      </w:r>
      <w:r w:rsidR="009349E7">
        <w:t>program for lighting, showerheads, and clothes washers; and it has a small residential prescriptive program, which accounts for about 4% of the residential electric budget for 2018-2019</w:t>
      </w:r>
      <w:r w:rsidR="005A5951">
        <w:t xml:space="preserve"> and </w:t>
      </w:r>
      <w:r w:rsidR="004E451F">
        <w:t>4% of the expected residential electricity savings</w:t>
      </w:r>
      <w:r w:rsidR="009349E7">
        <w:t xml:space="preserve">. The </w:t>
      </w:r>
      <w:r w:rsidR="00A375AC">
        <w:t xml:space="preserve">Oracle/OPower </w:t>
      </w:r>
      <w:r w:rsidR="009349E7">
        <w:t>Home Energy Report</w:t>
      </w:r>
      <w:r w:rsidR="00A375AC">
        <w:t>s program will be discontinued as of the end of 2017, to be replaced in 2019 with a behavioral pilot program.</w:t>
      </w:r>
    </w:p>
    <w:p w14:paraId="3BEC8DF6" w14:textId="77777777" w:rsidR="00E50E6D" w:rsidRDefault="00E50E6D" w:rsidP="000A0391"/>
    <w:p w14:paraId="7C45C1D1" w14:textId="3129BD26" w:rsidR="00523C1D" w:rsidRDefault="00916066" w:rsidP="000A0391">
      <w:r>
        <w:t>W</w:t>
      </w:r>
      <w:r w:rsidR="002454C5">
        <w:t xml:space="preserve">e </w:t>
      </w:r>
      <w:r>
        <w:t>urge</w:t>
      </w:r>
      <w:r w:rsidR="002454C5">
        <w:t xml:space="preserve"> the Company to take a harder look at</w:t>
      </w:r>
      <w:r w:rsidR="000F083F">
        <w:t xml:space="preserve"> other opportunit</w:t>
      </w:r>
      <w:r>
        <w:t>ies for residential conservation.</w:t>
      </w:r>
      <w:r w:rsidR="00523C1D">
        <w:t xml:space="preserve"> We would </w:t>
      </w:r>
      <w:r w:rsidR="006611F6">
        <w:t xml:space="preserve">also </w:t>
      </w:r>
      <w:r w:rsidR="00936F0F">
        <w:t xml:space="preserve">like to see a more thorough explanation of how </w:t>
      </w:r>
      <w:r w:rsidR="00EE43F7">
        <w:t xml:space="preserve">the Company plans to achieve the savings that they are guaranteeing to meet </w:t>
      </w:r>
      <w:r>
        <w:t>after</w:t>
      </w:r>
      <w:r w:rsidR="00615BA5">
        <w:t xml:space="preserve"> the discontinuation of the Oracle/OPower Home Energy Reports Program.</w:t>
      </w:r>
    </w:p>
    <w:p w14:paraId="208D6BAB" w14:textId="77777777" w:rsidR="00523C1D" w:rsidRDefault="00523C1D" w:rsidP="000A0391"/>
    <w:p w14:paraId="21B9948F" w14:textId="14EAD638" w:rsidR="00615BA5" w:rsidRDefault="00615BA5" w:rsidP="00615BA5">
      <w:pPr>
        <w:pStyle w:val="Heading2"/>
      </w:pPr>
      <w:r>
        <w:t xml:space="preserve">Residential </w:t>
      </w:r>
      <w:r w:rsidR="00A22440">
        <w:t>Program</w:t>
      </w:r>
      <w:r w:rsidR="00916066">
        <w:t xml:space="preserve"> Opportunities</w:t>
      </w:r>
    </w:p>
    <w:p w14:paraId="37996C0C" w14:textId="0D7552B5" w:rsidR="00FA337E" w:rsidRDefault="008B706A" w:rsidP="000A0391">
      <w:r>
        <w:t>Avista’s Conservation Potential Assessment</w:t>
      </w:r>
      <w:r w:rsidR="00916066">
        <w:t xml:space="preserve"> (CPA)</w:t>
      </w:r>
      <w:r>
        <w:t>, prepared for the 2017 Integrated Resource Plan</w:t>
      </w:r>
      <w:r w:rsidR="00916066">
        <w:t xml:space="preserve"> (IRP)</w:t>
      </w:r>
      <w:r>
        <w:t xml:space="preserve">, </w:t>
      </w:r>
      <w:r w:rsidR="0025288A">
        <w:t>includes a table listing the top residential measures with the highest conservation pote</w:t>
      </w:r>
      <w:r w:rsidR="00FA337E">
        <w:t>ntial in Washington over the 20-</w:t>
      </w:r>
      <w:r w:rsidR="0025288A">
        <w:t xml:space="preserve">year horizon. Weatherization measures, such </w:t>
      </w:r>
      <w:r w:rsidR="00916066">
        <w:t xml:space="preserve">as infiltration </w:t>
      </w:r>
      <w:r w:rsidR="00916066">
        <w:lastRenderedPageBreak/>
        <w:t>control (e.g., air sealing) and insulation</w:t>
      </w:r>
      <w:r w:rsidR="0025288A">
        <w:t>, were some of the highest-rated measures</w:t>
      </w:r>
      <w:r w:rsidR="00916066">
        <w:t>.</w:t>
      </w:r>
      <w:r w:rsidR="006838ED">
        <w:rPr>
          <w:rStyle w:val="FootnoteReference"/>
        </w:rPr>
        <w:footnoteReference w:id="14"/>
      </w:r>
      <w:r w:rsidR="00916066">
        <w:t xml:space="preserve"> However, </w:t>
      </w:r>
      <w:r w:rsidR="0025288A">
        <w:t>Avista’s 2018-2019</w:t>
      </w:r>
      <w:r w:rsidR="00916066">
        <w:t xml:space="preserve"> BCP only lists two incentives in the area of </w:t>
      </w:r>
      <w:r w:rsidR="0025288A">
        <w:t xml:space="preserve">the </w:t>
      </w:r>
      <w:r w:rsidR="006838ED">
        <w:t xml:space="preserve">residential </w:t>
      </w:r>
      <w:r w:rsidR="00916066">
        <w:t>building enve</w:t>
      </w:r>
      <w:r w:rsidR="008D0B8F">
        <w:t xml:space="preserve">lope—storm windows and windows. </w:t>
      </w:r>
    </w:p>
    <w:p w14:paraId="18377E80" w14:textId="77777777" w:rsidR="00FA337E" w:rsidRDefault="00FA337E" w:rsidP="000A0391"/>
    <w:p w14:paraId="4A5D6F85" w14:textId="4CF59394" w:rsidR="00D57B34" w:rsidRDefault="008D0B8F" w:rsidP="000A0391">
      <w:r>
        <w:t xml:space="preserve">The Company is proposing </w:t>
      </w:r>
      <w:r w:rsidR="00FA337E">
        <w:t>two</w:t>
      </w:r>
      <w:r>
        <w:t xml:space="preserve"> pilot programs that </w:t>
      </w:r>
      <w:r w:rsidR="0025288A">
        <w:t>would</w:t>
      </w:r>
      <w:r>
        <w:t xml:space="preserve"> touch on the area of the residential envelope – </w:t>
      </w:r>
      <w:r w:rsidR="0025288A">
        <w:t xml:space="preserve">(1) </w:t>
      </w:r>
      <w:r>
        <w:t xml:space="preserve">a </w:t>
      </w:r>
      <w:r w:rsidR="0025288A">
        <w:t xml:space="preserve">direct install program that would install lightbulbs and </w:t>
      </w:r>
      <w:r w:rsidR="00FA337E">
        <w:t>water efficiency measures</w:t>
      </w:r>
      <w:r w:rsidR="0025288A">
        <w:t xml:space="preserve"> but also have a contractor assess a home’s attic and/or crawl space insulation and reco</w:t>
      </w:r>
      <w:r w:rsidR="00FA337E">
        <w:t>mmend efficiency measures; and (2) a residential wall insulation pilot to encourage building envelope improvements when a customer is upgrading siding. NWEC is supportive of both of these pilots and hopes the Company will consider ways to incentivize or otherwise encourage participating customers to maximize their weatherization opportunities when they are already interacting with the Company or its contractor.</w:t>
      </w:r>
    </w:p>
    <w:p w14:paraId="04A40C11" w14:textId="77777777" w:rsidR="00D57B34" w:rsidRDefault="00D57B34" w:rsidP="000A0391"/>
    <w:p w14:paraId="668997BF" w14:textId="33410367" w:rsidR="00523C1D" w:rsidRDefault="00D57B34" w:rsidP="000A0391">
      <w:r>
        <w:t>In addition to weatherization, the CPA highlights conservation opportunities in the areas of heat pumps. Avista does have an incentive for a</w:t>
      </w:r>
      <w:r w:rsidR="00826551">
        <w:t>n air source</w:t>
      </w:r>
      <w:r>
        <w:t xml:space="preserve"> heat pump</w:t>
      </w:r>
      <w:r w:rsidR="00826551">
        <w:t xml:space="preserve"> and </w:t>
      </w:r>
      <w:r w:rsidR="00D63B04">
        <w:t>for a ductless heat pump ($700 and $500, respectively), but indicates that the Company is not expecting much uptake for these incentives in the 2018 DSM Annual Plan (57 and 80 projects, respectively, compared to 2,800 expected natural gas furnaces or boilers).</w:t>
      </w:r>
      <w:r w:rsidR="00D63B04">
        <w:rPr>
          <w:rStyle w:val="FootnoteReference"/>
        </w:rPr>
        <w:footnoteReference w:id="15"/>
      </w:r>
      <w:r w:rsidR="00BC17B8">
        <w:t xml:space="preserve"> </w:t>
      </w:r>
    </w:p>
    <w:p w14:paraId="17D1868C" w14:textId="77777777" w:rsidR="00FA337E" w:rsidRDefault="00FA337E" w:rsidP="000A0391"/>
    <w:p w14:paraId="56ECFAA2" w14:textId="79B485BF" w:rsidR="00FA337E" w:rsidRDefault="00FA337E" w:rsidP="000A0391">
      <w:r>
        <w:t xml:space="preserve">NWEC encourages Avista to consider creative ways to achieve the conservation opportunities highlighted in the CPA and </w:t>
      </w:r>
      <w:r w:rsidR="00D63B04">
        <w:t xml:space="preserve">to </w:t>
      </w:r>
      <w:r>
        <w:t xml:space="preserve">bring ideas and </w:t>
      </w:r>
      <w:r w:rsidR="00D1748C">
        <w:t xml:space="preserve">questions to the DSM </w:t>
      </w:r>
      <w:r w:rsidR="00D63B04">
        <w:t>advisory group. NWEC also echoes a request made during the Fall Advisory Group meeting that the Company present a webinar or other information to the advisory group about how the Company sets its prescriptive incentive levels.</w:t>
      </w:r>
      <w:r w:rsidR="00BC17B8">
        <w:t xml:space="preserve"> </w:t>
      </w:r>
    </w:p>
    <w:p w14:paraId="0A9EA240" w14:textId="77777777" w:rsidR="002454C5" w:rsidRDefault="002454C5" w:rsidP="000A0391"/>
    <w:p w14:paraId="0B74513D" w14:textId="5A9EA61E" w:rsidR="00FA337E" w:rsidRDefault="00FA337E" w:rsidP="00D1748C">
      <w:pPr>
        <w:pStyle w:val="Heading2"/>
      </w:pPr>
      <w:r>
        <w:t>Home Energy Report Savings</w:t>
      </w:r>
    </w:p>
    <w:p w14:paraId="4E0AC97C" w14:textId="63779CF9" w:rsidR="00FC58D0" w:rsidRDefault="002454C5" w:rsidP="00676749">
      <w:r>
        <w:t>The Company is transitioning away from its OPower/Oracle Home Energy Report and will be launching a smart thermostat pilot in 2018 and eventually a behavioral</w:t>
      </w:r>
      <w:r w:rsidR="00BC17B8">
        <w:t xml:space="preserve"> pilot</w:t>
      </w:r>
      <w:r>
        <w:t xml:space="preserve"> program that works with its AMI. However, the Company has committed to the estimated savings that would have been realized by the OPower/Oracle Home Energy Reports, or 15,386 MWh for the biennium. </w:t>
      </w:r>
      <w:r w:rsidR="00863C58">
        <w:t xml:space="preserve">NWEC </w:t>
      </w:r>
      <w:r>
        <w:t>would appreciate more clarity in the BCP of how t</w:t>
      </w:r>
      <w:r w:rsidR="00863C58">
        <w:t>he Company plans to achieve the</w:t>
      </w:r>
      <w:r>
        <w:t xml:space="preserve"> conservation</w:t>
      </w:r>
      <w:r w:rsidR="00863C58">
        <w:t xml:space="preserve"> that would have come from the Home Energy Reports</w:t>
      </w:r>
      <w:r>
        <w:t xml:space="preserve">. </w:t>
      </w:r>
    </w:p>
    <w:p w14:paraId="41DD2D4D" w14:textId="0425B5B6" w:rsidR="00994996" w:rsidRPr="00994996" w:rsidRDefault="00863C58" w:rsidP="00DE6CB1">
      <w:pPr>
        <w:pStyle w:val="Heading1"/>
      </w:pPr>
      <w:r>
        <w:t>Other Comments</w:t>
      </w:r>
    </w:p>
    <w:p w14:paraId="47B760B0" w14:textId="5465D6F9" w:rsidR="00AA0043" w:rsidRPr="00AA0043" w:rsidRDefault="0073626A" w:rsidP="00AA0043">
      <w:pPr>
        <w:rPr>
          <w:rFonts w:ascii="Times New Roman" w:eastAsia="Times New Roman" w:hAnsi="Times New Roman" w:cs="Times New Roman"/>
        </w:rPr>
      </w:pPr>
      <w:r w:rsidRPr="00AA0043">
        <w:rPr>
          <w:i/>
        </w:rPr>
        <w:t xml:space="preserve">NEEA Savings: </w:t>
      </w:r>
      <w:r w:rsidR="004173C0" w:rsidRPr="00AA0043">
        <w:t xml:space="preserve">In UTC staff comments emailed to the Company on October 23, 2017, Staff expressed that </w:t>
      </w:r>
      <w:r w:rsidR="00777033">
        <w:t>IOUs</w:t>
      </w:r>
      <w:r w:rsidR="00AA0043" w:rsidRPr="00AA0043">
        <w:t xml:space="preserve"> should include NEEA forecast savings within the</w:t>
      </w:r>
      <w:r w:rsidR="00AA0043">
        <w:t>ir biennial</w:t>
      </w:r>
      <w:r w:rsidR="00AA0043" w:rsidRPr="00AA0043">
        <w:t xml:space="preserve"> target. NWEC looks forward to further discussions with Staff a</w:t>
      </w:r>
      <w:r w:rsidR="00777033">
        <w:t>nd the Company about this issue</w:t>
      </w:r>
      <w:r w:rsidR="00655CAB">
        <w:t xml:space="preserve">, how decoupling commitments should be calculated, </w:t>
      </w:r>
      <w:r w:rsidR="00777033">
        <w:t xml:space="preserve">and ensuring </w:t>
      </w:r>
      <w:r w:rsidR="00AA0043" w:rsidRPr="00AA0043">
        <w:t xml:space="preserve">a common approach by all </w:t>
      </w:r>
      <w:r w:rsidR="00777033">
        <w:t>IOUs</w:t>
      </w:r>
      <w:r w:rsidR="00AA0043" w:rsidRPr="00AA0043">
        <w:t>.</w:t>
      </w:r>
    </w:p>
    <w:p w14:paraId="605DAAD0" w14:textId="77777777" w:rsidR="0073626A" w:rsidRPr="0073626A" w:rsidRDefault="0073626A" w:rsidP="00676749"/>
    <w:p w14:paraId="1986BF26" w14:textId="437C53AC" w:rsidR="00CA5F20" w:rsidRDefault="00863C58" w:rsidP="00676749">
      <w:r w:rsidRPr="00054DA2">
        <w:rPr>
          <w:i/>
        </w:rPr>
        <w:lastRenderedPageBreak/>
        <w:t>Pilot Programs</w:t>
      </w:r>
      <w:r>
        <w:t xml:space="preserve">: </w:t>
      </w:r>
      <w:r w:rsidR="002454C5">
        <w:t>The Coalition is generally supportive of the pilot concepts outlined in the 2018 Annual Conservation Plan and discussed at the Fall Advisory Group meeting</w:t>
      </w:r>
      <w:r>
        <w:t xml:space="preserve"> and we look forward to discussing them further as </w:t>
      </w:r>
      <w:r w:rsidR="00C863F4">
        <w:t>the pilots</w:t>
      </w:r>
      <w:r>
        <w:t xml:space="preserve"> get underway.</w:t>
      </w:r>
      <w:r w:rsidR="00523C1D">
        <w:t xml:space="preserve"> However, we would like to see more de</w:t>
      </w:r>
      <w:r>
        <w:t>tails in the BCP on how the Company will measure success of these pilots</w:t>
      </w:r>
      <w:r w:rsidR="00033CA7">
        <w:t xml:space="preserve">. We also encourage the Company to move quickly to a full program offering if </w:t>
      </w:r>
      <w:r w:rsidR="00AA0043">
        <w:t>a</w:t>
      </w:r>
      <w:r w:rsidR="00033CA7">
        <w:t xml:space="preserve"> pilot is </w:t>
      </w:r>
      <w:r w:rsidR="00777033">
        <w:t xml:space="preserve">showing that it is </w:t>
      </w:r>
      <w:r w:rsidR="00033CA7">
        <w:t>successful</w:t>
      </w:r>
      <w:r w:rsidR="00AA0043">
        <w:t>.</w:t>
      </w:r>
    </w:p>
    <w:p w14:paraId="260FBAA2" w14:textId="3A16C29E" w:rsidR="007644FE" w:rsidRDefault="00AF13F6" w:rsidP="00AF13F6">
      <w:pPr>
        <w:spacing w:before="240"/>
      </w:pPr>
      <w:r>
        <w:rPr>
          <w:i/>
        </w:rPr>
        <w:t>Residential Financing</w:t>
      </w:r>
      <w:r w:rsidR="00CA5F20">
        <w:t>:</w:t>
      </w:r>
      <w:r w:rsidR="00054DA2">
        <w:t xml:space="preserve"> In Avista’s 2017 </w:t>
      </w:r>
      <w:r>
        <w:t xml:space="preserve">Annual Conservation Plan, the Company said that they were exploring on-bill repayment options for its customers. In this filing, the Company has reported that, while on-bill repayment could be beneficial to its customers, the “additional complexity, monitoring, and administrative burden outweighs those benefits.” NWEC </w:t>
      </w:r>
      <w:r w:rsidR="007A120A">
        <w:t xml:space="preserve">asks that the Company brief its Advisory Group further to explain this burden. NWEC also encourages the Company to research and explore whether there are other opportunities to promote customer access to financing, such as interest buy-downs or </w:t>
      </w:r>
      <w:r w:rsidR="00777033">
        <w:t>credit</w:t>
      </w:r>
      <w:r w:rsidR="007A120A">
        <w:t xml:space="preserve"> reserves that would allow more customers to qualify for </w:t>
      </w:r>
      <w:r w:rsidR="00777033">
        <w:t xml:space="preserve">and take advantage of </w:t>
      </w:r>
      <w:r w:rsidR="007A120A">
        <w:t xml:space="preserve">third-party financing. </w:t>
      </w:r>
    </w:p>
    <w:p w14:paraId="4EF2FD38" w14:textId="18084A86" w:rsidR="00994996" w:rsidRDefault="00994996" w:rsidP="00AF13F6">
      <w:pPr>
        <w:spacing w:before="240"/>
      </w:pPr>
      <w:r w:rsidRPr="00994996">
        <w:rPr>
          <w:i/>
        </w:rPr>
        <w:t>Non-residential pay-for-performance</w:t>
      </w:r>
      <w:r>
        <w:t xml:space="preserve">: Other Washington utilities are beginning to explore and pilot non-residential pay-for-performance programs. NWEC encourages Avista to observe and learn from these programs and </w:t>
      </w:r>
      <w:r w:rsidR="00F61EF8">
        <w:t>implement a</w:t>
      </w:r>
      <w:r>
        <w:t xml:space="preserve"> pay-for-performance</w:t>
      </w:r>
      <w:r w:rsidR="00F61EF8">
        <w:t xml:space="preserve"> pilot in </w:t>
      </w:r>
      <w:r>
        <w:t>Avista’s non-residential sector.</w:t>
      </w:r>
    </w:p>
    <w:p w14:paraId="0DF7A2E1" w14:textId="77777777" w:rsidR="00FA3E4A" w:rsidRDefault="00FA3E4A" w:rsidP="00AF13F6">
      <w:pPr>
        <w:spacing w:before="240"/>
      </w:pPr>
    </w:p>
    <w:p w14:paraId="31FA5235" w14:textId="3D606896" w:rsidR="00833627" w:rsidRDefault="00833627" w:rsidP="00AF13F6">
      <w:pPr>
        <w:spacing w:before="240"/>
      </w:pPr>
      <w:r>
        <w:t xml:space="preserve">Respectfully submitted, </w:t>
      </w:r>
    </w:p>
    <w:p w14:paraId="36992A32" w14:textId="77777777" w:rsidR="00833627" w:rsidRDefault="00833627" w:rsidP="00AF13F6">
      <w:pPr>
        <w:spacing w:before="240"/>
      </w:pPr>
    </w:p>
    <w:p w14:paraId="2CF482A0" w14:textId="3D8226C6" w:rsidR="00833627" w:rsidRDefault="00833627" w:rsidP="00833627">
      <w:r>
        <w:t>Amy Wheeless</w:t>
      </w:r>
    </w:p>
    <w:p w14:paraId="3B441263" w14:textId="0295F564" w:rsidR="00833627" w:rsidRDefault="00833627" w:rsidP="00833627">
      <w:r>
        <w:t>Policy Associate</w:t>
      </w:r>
    </w:p>
    <w:p w14:paraId="4516465B" w14:textId="33EC757C" w:rsidR="00833627" w:rsidRPr="00C227D0" w:rsidRDefault="00833627" w:rsidP="00833627">
      <w:r>
        <w:t>NW Energy Coalition</w:t>
      </w:r>
    </w:p>
    <w:sectPr w:rsidR="00833627" w:rsidRPr="00C227D0" w:rsidSect="00706EC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94A8" w14:textId="77777777" w:rsidR="009A4E91" w:rsidRDefault="009A4E91" w:rsidP="00676749">
      <w:r>
        <w:separator/>
      </w:r>
    </w:p>
  </w:endnote>
  <w:endnote w:type="continuationSeparator" w:id="0">
    <w:p w14:paraId="40A6DBC8" w14:textId="77777777" w:rsidR="009A4E91" w:rsidRDefault="009A4E91" w:rsidP="006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29288" w14:textId="77777777" w:rsidR="00C23576" w:rsidRDefault="00C23576" w:rsidP="00923C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381AD" w14:textId="77777777" w:rsidR="00C23576" w:rsidRDefault="00C23576" w:rsidP="002127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F9A" w14:textId="77777777" w:rsidR="00C23576" w:rsidRDefault="00C23576" w:rsidP="00923C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C12">
      <w:rPr>
        <w:rStyle w:val="PageNumber"/>
        <w:noProof/>
      </w:rPr>
      <w:t>2</w:t>
    </w:r>
    <w:r>
      <w:rPr>
        <w:rStyle w:val="PageNumber"/>
      </w:rPr>
      <w:fldChar w:fldCharType="end"/>
    </w:r>
  </w:p>
  <w:p w14:paraId="2C63491A" w14:textId="77777777" w:rsidR="00C23576" w:rsidRDefault="00C23576" w:rsidP="002127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A68D" w14:textId="77777777" w:rsidR="009A4E91" w:rsidRDefault="009A4E91" w:rsidP="00676749">
      <w:r>
        <w:separator/>
      </w:r>
    </w:p>
  </w:footnote>
  <w:footnote w:type="continuationSeparator" w:id="0">
    <w:p w14:paraId="48365F33" w14:textId="77777777" w:rsidR="009A4E91" w:rsidRDefault="009A4E91" w:rsidP="00676749">
      <w:r>
        <w:continuationSeparator/>
      </w:r>
    </w:p>
  </w:footnote>
  <w:footnote w:id="1">
    <w:p w14:paraId="686BBCD4" w14:textId="16347CD9" w:rsidR="00C23576" w:rsidRPr="00916066" w:rsidRDefault="00C23576">
      <w:pPr>
        <w:pStyle w:val="FootnoteText"/>
        <w:rPr>
          <w:sz w:val="22"/>
        </w:rPr>
      </w:pPr>
      <w:r w:rsidRPr="00916066">
        <w:rPr>
          <w:rStyle w:val="FootnoteReference"/>
          <w:sz w:val="22"/>
        </w:rPr>
        <w:footnoteRef/>
      </w:r>
      <w:r w:rsidRPr="00916066">
        <w:rPr>
          <w:sz w:val="22"/>
        </w:rPr>
        <w:t xml:space="preserve"> Email communication from Amber Gifford, Avista</w:t>
      </w:r>
      <w:r>
        <w:rPr>
          <w:sz w:val="22"/>
        </w:rPr>
        <w:t>,</w:t>
      </w:r>
      <w:r w:rsidRPr="00916066">
        <w:rPr>
          <w:sz w:val="22"/>
        </w:rPr>
        <w:t xml:space="preserve"> on November 2, 2017.</w:t>
      </w:r>
    </w:p>
  </w:footnote>
  <w:footnote w:id="2">
    <w:p w14:paraId="4DF31AD5" w14:textId="09D23B38" w:rsidR="009A2F71" w:rsidRDefault="009A2F71">
      <w:pPr>
        <w:pStyle w:val="FootnoteText"/>
      </w:pPr>
      <w:r>
        <w:rPr>
          <w:rStyle w:val="FootnoteReference"/>
        </w:rPr>
        <w:footnoteRef/>
      </w:r>
      <w:r>
        <w:t xml:space="preserve"> </w:t>
      </w:r>
      <w:r w:rsidRPr="009A2F71">
        <w:rPr>
          <w:sz w:val="22"/>
        </w:rPr>
        <w:t>Presentation by Avista, November 30, 2017.</w:t>
      </w:r>
    </w:p>
  </w:footnote>
  <w:footnote w:id="3">
    <w:p w14:paraId="1E308D7C" w14:textId="06FD3A7F" w:rsidR="00C23576" w:rsidRPr="00916066" w:rsidRDefault="00C23576">
      <w:pPr>
        <w:pStyle w:val="FootnoteText"/>
        <w:rPr>
          <w:sz w:val="22"/>
        </w:rPr>
      </w:pPr>
      <w:r w:rsidRPr="00916066">
        <w:rPr>
          <w:rStyle w:val="FootnoteReference"/>
          <w:sz w:val="22"/>
        </w:rPr>
        <w:footnoteRef/>
      </w:r>
      <w:r w:rsidRPr="00916066">
        <w:rPr>
          <w:sz w:val="22"/>
        </w:rPr>
        <w:t xml:space="preserve"> UE-170485, Exhibit JES-2.</w:t>
      </w:r>
    </w:p>
  </w:footnote>
  <w:footnote w:id="4">
    <w:p w14:paraId="7B824C14" w14:textId="5E266524" w:rsidR="009A2F71" w:rsidRDefault="009A2F71">
      <w:pPr>
        <w:pStyle w:val="FootnoteText"/>
      </w:pPr>
      <w:r>
        <w:rPr>
          <w:rStyle w:val="FootnoteReference"/>
        </w:rPr>
        <w:footnoteRef/>
      </w:r>
      <w:r>
        <w:t xml:space="preserve"> </w:t>
      </w:r>
      <w:r w:rsidRPr="009A2F71">
        <w:rPr>
          <w:i/>
        </w:rPr>
        <w:t>Ibid</w:t>
      </w:r>
      <w:r>
        <w:t>.</w:t>
      </w:r>
    </w:p>
  </w:footnote>
  <w:footnote w:id="5">
    <w:p w14:paraId="79D79BE5" w14:textId="09B1AEFF" w:rsidR="00C23576" w:rsidRPr="00916066" w:rsidRDefault="00C23576">
      <w:pPr>
        <w:pStyle w:val="FootnoteText"/>
        <w:rPr>
          <w:sz w:val="22"/>
        </w:rPr>
      </w:pPr>
      <w:r w:rsidRPr="00916066">
        <w:rPr>
          <w:rStyle w:val="FootnoteReference"/>
          <w:sz w:val="22"/>
        </w:rPr>
        <w:footnoteRef/>
      </w:r>
      <w:r w:rsidRPr="00916066">
        <w:rPr>
          <w:sz w:val="22"/>
        </w:rPr>
        <w:t xml:space="preserve"> Email provided to Avista DSM Advisory Group, dated October 23, 2017.</w:t>
      </w:r>
    </w:p>
  </w:footnote>
  <w:footnote w:id="6">
    <w:p w14:paraId="60DB5FAC" w14:textId="13047B06" w:rsidR="00C23576" w:rsidRDefault="00C23576">
      <w:pPr>
        <w:pStyle w:val="FootnoteText"/>
      </w:pPr>
      <w:r w:rsidRPr="00916066">
        <w:rPr>
          <w:rStyle w:val="FootnoteReference"/>
          <w:sz w:val="22"/>
        </w:rPr>
        <w:footnoteRef/>
      </w:r>
      <w:r w:rsidRPr="00916066">
        <w:rPr>
          <w:sz w:val="22"/>
        </w:rPr>
        <w:t xml:space="preserve"> UE-170485, Testimony of Jennifer Snyder.</w:t>
      </w:r>
    </w:p>
  </w:footnote>
  <w:footnote w:id="7">
    <w:p w14:paraId="240E68BD" w14:textId="313CB19F" w:rsidR="00FE27FA" w:rsidRDefault="00FE27FA">
      <w:pPr>
        <w:pStyle w:val="FootnoteText"/>
      </w:pPr>
      <w:r>
        <w:rPr>
          <w:rStyle w:val="FootnoteReference"/>
        </w:rPr>
        <w:footnoteRef/>
      </w:r>
      <w:r>
        <w:t xml:space="preserve"> </w:t>
      </w:r>
      <w:r w:rsidRPr="00FE27FA">
        <w:rPr>
          <w:i/>
          <w:sz w:val="22"/>
        </w:rPr>
        <w:t>Ibid.</w:t>
      </w:r>
    </w:p>
  </w:footnote>
  <w:footnote w:id="8">
    <w:p w14:paraId="4B282524" w14:textId="2600F318" w:rsidR="00C23576" w:rsidRPr="00916066" w:rsidRDefault="00C23576">
      <w:pPr>
        <w:pStyle w:val="FootnoteText"/>
        <w:rPr>
          <w:sz w:val="21"/>
        </w:rPr>
      </w:pPr>
      <w:r w:rsidRPr="00916066">
        <w:rPr>
          <w:rStyle w:val="FootnoteReference"/>
          <w:sz w:val="21"/>
        </w:rPr>
        <w:footnoteRef/>
      </w:r>
      <w:r w:rsidRPr="00916066">
        <w:rPr>
          <w:sz w:val="21"/>
        </w:rPr>
        <w:t xml:space="preserve"> 16 USC 839a, Sect. 3(3) </w:t>
      </w:r>
      <w:hyperlink r:id="rId1" w:history="1">
        <w:r w:rsidRPr="00916066">
          <w:rPr>
            <w:rStyle w:val="Hyperlink"/>
            <w:sz w:val="21"/>
          </w:rPr>
          <w:t>https://www.gpo.gov/fdsys/pkg/STATUTE-94/pdf/STATUTE-94-Pg2697.pdf</w:t>
        </w:r>
      </w:hyperlink>
      <w:r w:rsidRPr="00916066">
        <w:rPr>
          <w:sz w:val="21"/>
        </w:rPr>
        <w:t xml:space="preserve"> </w:t>
      </w:r>
    </w:p>
  </w:footnote>
  <w:footnote w:id="9">
    <w:p w14:paraId="73461ACD" w14:textId="39BA6354" w:rsidR="00C23576" w:rsidRPr="00916066" w:rsidRDefault="00C23576">
      <w:pPr>
        <w:pStyle w:val="FootnoteText"/>
        <w:rPr>
          <w:sz w:val="21"/>
        </w:rPr>
      </w:pPr>
      <w:r w:rsidRPr="00916066">
        <w:rPr>
          <w:rStyle w:val="FootnoteReference"/>
          <w:sz w:val="21"/>
        </w:rPr>
        <w:footnoteRef/>
      </w:r>
      <w:r w:rsidRPr="00916066">
        <w:rPr>
          <w:sz w:val="21"/>
        </w:rPr>
        <w:t xml:space="preserve"> RCW 19.285.030 (6) </w:t>
      </w:r>
      <w:hyperlink r:id="rId2" w:history="1">
        <w:r w:rsidRPr="00916066">
          <w:rPr>
            <w:rStyle w:val="Hyperlink"/>
            <w:sz w:val="21"/>
          </w:rPr>
          <w:t>http://app.leg.wa.gov/RCW/default.aspx?cite=19.285.030</w:t>
        </w:r>
      </w:hyperlink>
      <w:r w:rsidRPr="00916066">
        <w:rPr>
          <w:sz w:val="21"/>
        </w:rPr>
        <w:t xml:space="preserve"> </w:t>
      </w:r>
    </w:p>
  </w:footnote>
  <w:footnote w:id="10">
    <w:p w14:paraId="32B37646" w14:textId="26E82C3E" w:rsidR="00C23576" w:rsidRPr="00916066" w:rsidRDefault="00C23576">
      <w:pPr>
        <w:pStyle w:val="FootnoteText"/>
        <w:rPr>
          <w:sz w:val="21"/>
        </w:rPr>
      </w:pPr>
      <w:r w:rsidRPr="00916066">
        <w:rPr>
          <w:rStyle w:val="FootnoteReference"/>
          <w:sz w:val="21"/>
        </w:rPr>
        <w:footnoteRef/>
      </w:r>
      <w:r w:rsidRPr="00916066">
        <w:rPr>
          <w:sz w:val="21"/>
        </w:rPr>
        <w:t xml:space="preserve"> Seven Northwest Conservation and Electric Power Plan, Appendix N: Direct Use of Natural Gas. </w:t>
      </w:r>
      <w:hyperlink r:id="rId3" w:history="1">
        <w:r w:rsidRPr="00916066">
          <w:rPr>
            <w:rStyle w:val="Hyperlink"/>
            <w:sz w:val="21"/>
          </w:rPr>
          <w:t>https://www.nwcouncil.org/media/7149904/7thplanfinal_appdixn_duofnatgas.pdf</w:t>
        </w:r>
      </w:hyperlink>
    </w:p>
  </w:footnote>
  <w:footnote w:id="11">
    <w:p w14:paraId="23B41BCC" w14:textId="3322CEB1" w:rsidR="00C23576" w:rsidRPr="00916066" w:rsidRDefault="00C23576">
      <w:pPr>
        <w:pStyle w:val="FootnoteText"/>
        <w:rPr>
          <w:sz w:val="21"/>
        </w:rPr>
      </w:pPr>
      <w:r w:rsidRPr="00916066">
        <w:rPr>
          <w:rStyle w:val="FootnoteReference"/>
          <w:sz w:val="21"/>
        </w:rPr>
        <w:footnoteRef/>
      </w:r>
      <w:r w:rsidRPr="00916066">
        <w:rPr>
          <w:sz w:val="21"/>
        </w:rPr>
        <w:t xml:space="preserve"> Company presentation to UTC Staff, as provided to the Avista DSM Advisory Group on October 26, 2017.</w:t>
      </w:r>
    </w:p>
  </w:footnote>
  <w:footnote w:id="12">
    <w:p w14:paraId="0FA4CB00" w14:textId="7D27C66B" w:rsidR="00C23576" w:rsidRDefault="00C23576">
      <w:pPr>
        <w:pStyle w:val="FootnoteText"/>
      </w:pPr>
      <w:r w:rsidRPr="00916066">
        <w:rPr>
          <w:rStyle w:val="FootnoteReference"/>
          <w:sz w:val="21"/>
        </w:rPr>
        <w:footnoteRef/>
      </w:r>
      <w:r w:rsidRPr="00916066">
        <w:rPr>
          <w:sz w:val="21"/>
        </w:rPr>
        <w:t xml:space="preserve"> </w:t>
      </w:r>
      <w:r w:rsidRPr="00916066">
        <w:rPr>
          <w:i/>
          <w:sz w:val="21"/>
        </w:rPr>
        <w:t>Ibid</w:t>
      </w:r>
      <w:r w:rsidRPr="00916066">
        <w:rPr>
          <w:sz w:val="21"/>
        </w:rPr>
        <w:t>.</w:t>
      </w:r>
    </w:p>
  </w:footnote>
  <w:footnote w:id="13">
    <w:p w14:paraId="75BE4191" w14:textId="08E639AD" w:rsidR="00C23576" w:rsidRPr="00916066" w:rsidRDefault="00C23576">
      <w:pPr>
        <w:pStyle w:val="FootnoteText"/>
        <w:rPr>
          <w:sz w:val="22"/>
        </w:rPr>
      </w:pPr>
      <w:r w:rsidRPr="00916066">
        <w:rPr>
          <w:rStyle w:val="FootnoteReference"/>
          <w:sz w:val="22"/>
        </w:rPr>
        <w:footnoteRef/>
      </w:r>
      <w:r w:rsidRPr="00916066">
        <w:rPr>
          <w:sz w:val="22"/>
        </w:rPr>
        <w:t xml:space="preserve"> 2018-2019 Biennial Conservation Plan Overview, Puget Sound Energy, as filed on November 1, 2017 in UE-171087.</w:t>
      </w:r>
    </w:p>
  </w:footnote>
  <w:footnote w:id="14">
    <w:p w14:paraId="1AD31DA8" w14:textId="20617BA0" w:rsidR="00C23576" w:rsidRDefault="00C23576" w:rsidP="006838ED">
      <w:pPr>
        <w:pStyle w:val="FootnoteText"/>
      </w:pPr>
      <w:r w:rsidRPr="00916066">
        <w:rPr>
          <w:rStyle w:val="FootnoteReference"/>
          <w:sz w:val="22"/>
        </w:rPr>
        <w:footnoteRef/>
      </w:r>
      <w:r w:rsidRPr="00916066">
        <w:rPr>
          <w:sz w:val="22"/>
        </w:rPr>
        <w:t xml:space="preserve"> 2017 Electric IRP Appendices, </w:t>
      </w:r>
      <w:r>
        <w:rPr>
          <w:sz w:val="22"/>
        </w:rPr>
        <w:t xml:space="preserve">Table 5-6, </w:t>
      </w:r>
      <w:r w:rsidRPr="00916066">
        <w:rPr>
          <w:sz w:val="22"/>
        </w:rPr>
        <w:t xml:space="preserve">Page 612. </w:t>
      </w:r>
      <w:hyperlink r:id="rId4" w:history="1">
        <w:r w:rsidRPr="00916066">
          <w:rPr>
            <w:rStyle w:val="Hyperlink"/>
            <w:sz w:val="22"/>
          </w:rPr>
          <w:t>https://www.myavista.com/-/media/myavista/content-documents/about-us/our-company/irp-documents/2017-electric-irp-appendices-final.pdf?la=en</w:t>
        </w:r>
      </w:hyperlink>
      <w:r w:rsidRPr="00916066">
        <w:rPr>
          <w:sz w:val="22"/>
        </w:rPr>
        <w:t xml:space="preserve"> </w:t>
      </w:r>
    </w:p>
  </w:footnote>
  <w:footnote w:id="15">
    <w:p w14:paraId="5C3F32E0" w14:textId="5DAB4B86" w:rsidR="00C23576" w:rsidRPr="002364F0" w:rsidRDefault="00C23576">
      <w:pPr>
        <w:pStyle w:val="FootnoteText"/>
        <w:rPr>
          <w:sz w:val="22"/>
        </w:rPr>
      </w:pPr>
      <w:r w:rsidRPr="002364F0">
        <w:rPr>
          <w:rStyle w:val="FootnoteReference"/>
          <w:sz w:val="22"/>
        </w:rPr>
        <w:footnoteRef/>
      </w:r>
      <w:r w:rsidRPr="002364F0">
        <w:rPr>
          <w:sz w:val="22"/>
        </w:rPr>
        <w:t xml:space="preserve"> ACP Appendix A, Table 1, as filed in Docket.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12C"/>
    <w:multiLevelType w:val="hybridMultilevel"/>
    <w:tmpl w:val="5270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3616E"/>
    <w:multiLevelType w:val="hybridMultilevel"/>
    <w:tmpl w:val="C5B0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8A346F"/>
    <w:multiLevelType w:val="hybridMultilevel"/>
    <w:tmpl w:val="718A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B7A8D"/>
    <w:multiLevelType w:val="hybridMultilevel"/>
    <w:tmpl w:val="99AC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07DDB"/>
    <w:multiLevelType w:val="hybridMultilevel"/>
    <w:tmpl w:val="A7E8E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3487A"/>
    <w:multiLevelType w:val="hybridMultilevel"/>
    <w:tmpl w:val="52E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D7533"/>
    <w:multiLevelType w:val="hybridMultilevel"/>
    <w:tmpl w:val="DF0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10BE0"/>
    <w:multiLevelType w:val="hybridMultilevel"/>
    <w:tmpl w:val="8132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D0"/>
    <w:rsid w:val="000257C3"/>
    <w:rsid w:val="000262CE"/>
    <w:rsid w:val="00033CA7"/>
    <w:rsid w:val="000527B6"/>
    <w:rsid w:val="00054DA2"/>
    <w:rsid w:val="000A0391"/>
    <w:rsid w:val="000A1F4E"/>
    <w:rsid w:val="000A50BA"/>
    <w:rsid w:val="000B538A"/>
    <w:rsid w:val="000E07DE"/>
    <w:rsid w:val="000E177C"/>
    <w:rsid w:val="000F083F"/>
    <w:rsid w:val="00125E10"/>
    <w:rsid w:val="0013370C"/>
    <w:rsid w:val="001359F2"/>
    <w:rsid w:val="00144F46"/>
    <w:rsid w:val="00151445"/>
    <w:rsid w:val="0015250D"/>
    <w:rsid w:val="001A48F4"/>
    <w:rsid w:val="001A6C12"/>
    <w:rsid w:val="001B1B68"/>
    <w:rsid w:val="001C59DC"/>
    <w:rsid w:val="001C715F"/>
    <w:rsid w:val="001D6B56"/>
    <w:rsid w:val="002127BA"/>
    <w:rsid w:val="002364F0"/>
    <w:rsid w:val="00241638"/>
    <w:rsid w:val="00241DA6"/>
    <w:rsid w:val="002454C5"/>
    <w:rsid w:val="0025288A"/>
    <w:rsid w:val="00256F94"/>
    <w:rsid w:val="00276F55"/>
    <w:rsid w:val="00295E75"/>
    <w:rsid w:val="002A39E9"/>
    <w:rsid w:val="002B11EB"/>
    <w:rsid w:val="002B2ABC"/>
    <w:rsid w:val="00300245"/>
    <w:rsid w:val="00312DA4"/>
    <w:rsid w:val="00326A35"/>
    <w:rsid w:val="00341268"/>
    <w:rsid w:val="003554B6"/>
    <w:rsid w:val="00357434"/>
    <w:rsid w:val="003616F6"/>
    <w:rsid w:val="003721D8"/>
    <w:rsid w:val="0038797A"/>
    <w:rsid w:val="003B2F62"/>
    <w:rsid w:val="003D456B"/>
    <w:rsid w:val="004065D0"/>
    <w:rsid w:val="004106B7"/>
    <w:rsid w:val="00414E60"/>
    <w:rsid w:val="004161EF"/>
    <w:rsid w:val="004173C0"/>
    <w:rsid w:val="0043309D"/>
    <w:rsid w:val="004356AD"/>
    <w:rsid w:val="00451E95"/>
    <w:rsid w:val="00454247"/>
    <w:rsid w:val="00455256"/>
    <w:rsid w:val="004934F1"/>
    <w:rsid w:val="004C77CF"/>
    <w:rsid w:val="004E451F"/>
    <w:rsid w:val="00500C0F"/>
    <w:rsid w:val="00510102"/>
    <w:rsid w:val="0052037D"/>
    <w:rsid w:val="00523C1D"/>
    <w:rsid w:val="00542D41"/>
    <w:rsid w:val="005627FE"/>
    <w:rsid w:val="005A1F41"/>
    <w:rsid w:val="005A5951"/>
    <w:rsid w:val="005D0146"/>
    <w:rsid w:val="005E2E02"/>
    <w:rsid w:val="005F192C"/>
    <w:rsid w:val="0060456E"/>
    <w:rsid w:val="00615BA5"/>
    <w:rsid w:val="00637365"/>
    <w:rsid w:val="00641FBB"/>
    <w:rsid w:val="00655CAB"/>
    <w:rsid w:val="0065641C"/>
    <w:rsid w:val="006611F6"/>
    <w:rsid w:val="006612D8"/>
    <w:rsid w:val="00667078"/>
    <w:rsid w:val="00676749"/>
    <w:rsid w:val="006838ED"/>
    <w:rsid w:val="00695883"/>
    <w:rsid w:val="006D0C98"/>
    <w:rsid w:val="006D1474"/>
    <w:rsid w:val="006F2AB1"/>
    <w:rsid w:val="007023F5"/>
    <w:rsid w:val="00706EC1"/>
    <w:rsid w:val="0073626A"/>
    <w:rsid w:val="007644FE"/>
    <w:rsid w:val="00771FEE"/>
    <w:rsid w:val="00777033"/>
    <w:rsid w:val="007918D5"/>
    <w:rsid w:val="007A0DF5"/>
    <w:rsid w:val="007A120A"/>
    <w:rsid w:val="007D5F14"/>
    <w:rsid w:val="007F2420"/>
    <w:rsid w:val="00800521"/>
    <w:rsid w:val="0080393D"/>
    <w:rsid w:val="00826551"/>
    <w:rsid w:val="00833627"/>
    <w:rsid w:val="008362F8"/>
    <w:rsid w:val="00860593"/>
    <w:rsid w:val="00863C58"/>
    <w:rsid w:val="00871F35"/>
    <w:rsid w:val="00877D97"/>
    <w:rsid w:val="0088493D"/>
    <w:rsid w:val="008B706A"/>
    <w:rsid w:val="008D09A3"/>
    <w:rsid w:val="008D0B8F"/>
    <w:rsid w:val="008E49EB"/>
    <w:rsid w:val="00916066"/>
    <w:rsid w:val="0091627B"/>
    <w:rsid w:val="009217CD"/>
    <w:rsid w:val="00923C8F"/>
    <w:rsid w:val="009349E7"/>
    <w:rsid w:val="00936F0F"/>
    <w:rsid w:val="00945BE3"/>
    <w:rsid w:val="00947334"/>
    <w:rsid w:val="00965DA4"/>
    <w:rsid w:val="00994996"/>
    <w:rsid w:val="009A2F71"/>
    <w:rsid w:val="009A4E91"/>
    <w:rsid w:val="009B430C"/>
    <w:rsid w:val="009C24CE"/>
    <w:rsid w:val="00A02617"/>
    <w:rsid w:val="00A16D95"/>
    <w:rsid w:val="00A22440"/>
    <w:rsid w:val="00A34D82"/>
    <w:rsid w:val="00A36D94"/>
    <w:rsid w:val="00A375AC"/>
    <w:rsid w:val="00A51917"/>
    <w:rsid w:val="00A60E00"/>
    <w:rsid w:val="00A9234C"/>
    <w:rsid w:val="00AA0043"/>
    <w:rsid w:val="00AA0A69"/>
    <w:rsid w:val="00AA57F3"/>
    <w:rsid w:val="00AC2C89"/>
    <w:rsid w:val="00AC6AA7"/>
    <w:rsid w:val="00AD0839"/>
    <w:rsid w:val="00AD0879"/>
    <w:rsid w:val="00AE3B76"/>
    <w:rsid w:val="00AE4C53"/>
    <w:rsid w:val="00AF13F6"/>
    <w:rsid w:val="00B12FF4"/>
    <w:rsid w:val="00B248B3"/>
    <w:rsid w:val="00B34469"/>
    <w:rsid w:val="00B574A1"/>
    <w:rsid w:val="00B6683E"/>
    <w:rsid w:val="00B70BAC"/>
    <w:rsid w:val="00B7251E"/>
    <w:rsid w:val="00BB14BA"/>
    <w:rsid w:val="00BC17B8"/>
    <w:rsid w:val="00BC2DFC"/>
    <w:rsid w:val="00BD76B8"/>
    <w:rsid w:val="00BE3C81"/>
    <w:rsid w:val="00BE49F7"/>
    <w:rsid w:val="00BF78DD"/>
    <w:rsid w:val="00C064F5"/>
    <w:rsid w:val="00C17E39"/>
    <w:rsid w:val="00C2093E"/>
    <w:rsid w:val="00C227D0"/>
    <w:rsid w:val="00C23576"/>
    <w:rsid w:val="00C64263"/>
    <w:rsid w:val="00C76FDF"/>
    <w:rsid w:val="00C853A2"/>
    <w:rsid w:val="00C863F4"/>
    <w:rsid w:val="00C9703C"/>
    <w:rsid w:val="00CA5F20"/>
    <w:rsid w:val="00CB587B"/>
    <w:rsid w:val="00CE265F"/>
    <w:rsid w:val="00CF780B"/>
    <w:rsid w:val="00D1748C"/>
    <w:rsid w:val="00D26890"/>
    <w:rsid w:val="00D34695"/>
    <w:rsid w:val="00D3658F"/>
    <w:rsid w:val="00D57B34"/>
    <w:rsid w:val="00D63B04"/>
    <w:rsid w:val="00DD77D3"/>
    <w:rsid w:val="00DE4456"/>
    <w:rsid w:val="00DE6CB1"/>
    <w:rsid w:val="00E2352E"/>
    <w:rsid w:val="00E34289"/>
    <w:rsid w:val="00E50E6D"/>
    <w:rsid w:val="00E76AFB"/>
    <w:rsid w:val="00EB0B13"/>
    <w:rsid w:val="00EE43F7"/>
    <w:rsid w:val="00EE4B63"/>
    <w:rsid w:val="00EF5A4A"/>
    <w:rsid w:val="00F323B9"/>
    <w:rsid w:val="00F4216E"/>
    <w:rsid w:val="00F61EF8"/>
    <w:rsid w:val="00F72E6E"/>
    <w:rsid w:val="00F73729"/>
    <w:rsid w:val="00F75939"/>
    <w:rsid w:val="00FA14D9"/>
    <w:rsid w:val="00FA337E"/>
    <w:rsid w:val="00FA3E4A"/>
    <w:rsid w:val="00FA6633"/>
    <w:rsid w:val="00FC58D0"/>
    <w:rsid w:val="00FE27FA"/>
    <w:rsid w:val="00FE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879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7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2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09D"/>
    <w:pPr>
      <w:ind w:left="720"/>
      <w:contextualSpacing/>
    </w:pPr>
  </w:style>
  <w:style w:type="paragraph" w:styleId="FootnoteText">
    <w:name w:val="footnote text"/>
    <w:basedOn w:val="Normal"/>
    <w:link w:val="FootnoteTextChar"/>
    <w:uiPriority w:val="99"/>
    <w:unhideWhenUsed/>
    <w:rsid w:val="00676749"/>
  </w:style>
  <w:style w:type="character" w:customStyle="1" w:styleId="FootnoteTextChar">
    <w:name w:val="Footnote Text Char"/>
    <w:basedOn w:val="DefaultParagraphFont"/>
    <w:link w:val="FootnoteText"/>
    <w:uiPriority w:val="99"/>
    <w:rsid w:val="00676749"/>
  </w:style>
  <w:style w:type="character" w:styleId="FootnoteReference">
    <w:name w:val="footnote reference"/>
    <w:basedOn w:val="DefaultParagraphFont"/>
    <w:uiPriority w:val="99"/>
    <w:unhideWhenUsed/>
    <w:rsid w:val="00676749"/>
    <w:rPr>
      <w:vertAlign w:val="superscript"/>
    </w:rPr>
  </w:style>
  <w:style w:type="paragraph" w:styleId="Footer">
    <w:name w:val="footer"/>
    <w:basedOn w:val="Normal"/>
    <w:link w:val="FooterChar"/>
    <w:uiPriority w:val="99"/>
    <w:unhideWhenUsed/>
    <w:rsid w:val="002127BA"/>
    <w:pPr>
      <w:tabs>
        <w:tab w:val="center" w:pos="4680"/>
        <w:tab w:val="right" w:pos="9360"/>
      </w:tabs>
    </w:pPr>
  </w:style>
  <w:style w:type="character" w:customStyle="1" w:styleId="FooterChar">
    <w:name w:val="Footer Char"/>
    <w:basedOn w:val="DefaultParagraphFont"/>
    <w:link w:val="Footer"/>
    <w:uiPriority w:val="99"/>
    <w:rsid w:val="002127BA"/>
  </w:style>
  <w:style w:type="character" w:styleId="PageNumber">
    <w:name w:val="page number"/>
    <w:basedOn w:val="DefaultParagraphFont"/>
    <w:uiPriority w:val="99"/>
    <w:semiHidden/>
    <w:unhideWhenUsed/>
    <w:rsid w:val="002127BA"/>
  </w:style>
  <w:style w:type="character" w:customStyle="1" w:styleId="Heading1Char">
    <w:name w:val="Heading 1 Char"/>
    <w:basedOn w:val="DefaultParagraphFont"/>
    <w:link w:val="Heading1"/>
    <w:uiPriority w:val="9"/>
    <w:rsid w:val="002127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27B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616F6"/>
    <w:rPr>
      <w:color w:val="0563C1" w:themeColor="hyperlink"/>
      <w:u w:val="single"/>
    </w:rPr>
  </w:style>
  <w:style w:type="character" w:styleId="CommentReference">
    <w:name w:val="annotation reference"/>
    <w:basedOn w:val="DefaultParagraphFont"/>
    <w:uiPriority w:val="99"/>
    <w:semiHidden/>
    <w:unhideWhenUsed/>
    <w:rsid w:val="00414E60"/>
    <w:rPr>
      <w:sz w:val="18"/>
      <w:szCs w:val="18"/>
    </w:rPr>
  </w:style>
  <w:style w:type="paragraph" w:styleId="CommentText">
    <w:name w:val="annotation text"/>
    <w:basedOn w:val="Normal"/>
    <w:link w:val="CommentTextChar"/>
    <w:uiPriority w:val="99"/>
    <w:semiHidden/>
    <w:unhideWhenUsed/>
    <w:rsid w:val="00414E60"/>
  </w:style>
  <w:style w:type="character" w:customStyle="1" w:styleId="CommentTextChar">
    <w:name w:val="Comment Text Char"/>
    <w:basedOn w:val="DefaultParagraphFont"/>
    <w:link w:val="CommentText"/>
    <w:uiPriority w:val="99"/>
    <w:semiHidden/>
    <w:rsid w:val="00414E60"/>
  </w:style>
  <w:style w:type="paragraph" w:styleId="CommentSubject">
    <w:name w:val="annotation subject"/>
    <w:basedOn w:val="CommentText"/>
    <w:next w:val="CommentText"/>
    <w:link w:val="CommentSubjectChar"/>
    <w:uiPriority w:val="99"/>
    <w:semiHidden/>
    <w:unhideWhenUsed/>
    <w:rsid w:val="00414E60"/>
    <w:rPr>
      <w:b/>
      <w:bCs/>
      <w:sz w:val="20"/>
      <w:szCs w:val="20"/>
    </w:rPr>
  </w:style>
  <w:style w:type="character" w:customStyle="1" w:styleId="CommentSubjectChar">
    <w:name w:val="Comment Subject Char"/>
    <w:basedOn w:val="CommentTextChar"/>
    <w:link w:val="CommentSubject"/>
    <w:uiPriority w:val="99"/>
    <w:semiHidden/>
    <w:rsid w:val="00414E60"/>
    <w:rPr>
      <w:b/>
      <w:bCs/>
      <w:sz w:val="20"/>
      <w:szCs w:val="20"/>
    </w:rPr>
  </w:style>
  <w:style w:type="paragraph" w:styleId="BalloonText">
    <w:name w:val="Balloon Text"/>
    <w:basedOn w:val="Normal"/>
    <w:link w:val="BalloonTextChar"/>
    <w:uiPriority w:val="99"/>
    <w:semiHidden/>
    <w:unhideWhenUsed/>
    <w:rsid w:val="00414E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4E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3657">
      <w:bodyDiv w:val="1"/>
      <w:marLeft w:val="0"/>
      <w:marRight w:val="0"/>
      <w:marTop w:val="0"/>
      <w:marBottom w:val="0"/>
      <w:divBdr>
        <w:top w:val="none" w:sz="0" w:space="0" w:color="auto"/>
        <w:left w:val="none" w:sz="0" w:space="0" w:color="auto"/>
        <w:bottom w:val="none" w:sz="0" w:space="0" w:color="auto"/>
        <w:right w:val="none" w:sz="0" w:space="0" w:color="auto"/>
      </w:divBdr>
    </w:div>
    <w:div w:id="1833065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nwcouncil.org/media/7149904/7thplanfinal_appdixn_duofnatgas.pdf" TargetMode="External"/><Relationship Id="rId2" Type="http://schemas.openxmlformats.org/officeDocument/2006/relationships/hyperlink" Target="http://app.leg.wa.gov/RCW/default.aspx?cite=19.285.030" TargetMode="External"/><Relationship Id="rId1" Type="http://schemas.openxmlformats.org/officeDocument/2006/relationships/hyperlink" Target="https://www.gpo.gov/fdsys/pkg/STATUTE-94/pdf/STATUTE-94-Pg2697.pdf" TargetMode="External"/><Relationship Id="rId4" Type="http://schemas.openxmlformats.org/officeDocument/2006/relationships/hyperlink" Target="https://www.myavista.com/-/media/myavista/content-documents/about-us/our-company/irp-documents/2017-electric-irp-appendices-final.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19956C76CA024588BF50755657D23D" ma:contentTypeVersion="104" ma:contentTypeDescription="" ma:contentTypeScope="" ma:versionID="0ef36183366847ea17253d72375140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Date1 xmlns="dc463f71-b30c-4ab2-9473-d307f9d35888">2017-12-01T08:00:00+00:00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171091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A6A544E-46DB-4922-A314-B0E7DE36DAA3}">
  <ds:schemaRefs>
    <ds:schemaRef ds:uri="http://schemas.openxmlformats.org/officeDocument/2006/bibliography"/>
  </ds:schemaRefs>
</ds:datastoreItem>
</file>

<file path=customXml/itemProps2.xml><?xml version="1.0" encoding="utf-8"?>
<ds:datastoreItem xmlns:ds="http://schemas.openxmlformats.org/officeDocument/2006/customXml" ds:itemID="{76CF70F7-C654-4501-BAAE-B5819C553728}"/>
</file>

<file path=customXml/itemProps3.xml><?xml version="1.0" encoding="utf-8"?>
<ds:datastoreItem xmlns:ds="http://schemas.openxmlformats.org/officeDocument/2006/customXml" ds:itemID="{2AB6F344-DE44-426E-8DC8-5C6CB7DDCC3C}"/>
</file>

<file path=customXml/itemProps4.xml><?xml version="1.0" encoding="utf-8"?>
<ds:datastoreItem xmlns:ds="http://schemas.openxmlformats.org/officeDocument/2006/customXml" ds:itemID="{45371081-A0D7-4366-A5CA-614F5340FC5C}"/>
</file>

<file path=customXml/itemProps5.xml><?xml version="1.0" encoding="utf-8"?>
<ds:datastoreItem xmlns:ds="http://schemas.openxmlformats.org/officeDocument/2006/customXml" ds:itemID="{06D7576A-523D-4FEF-B7E4-455459D9900C}"/>
</file>

<file path=docProps/app.xml><?xml version="1.0" encoding="utf-8"?>
<Properties xmlns="http://schemas.openxmlformats.org/officeDocument/2006/extended-properties" xmlns:vt="http://schemas.openxmlformats.org/officeDocument/2006/docPropsVTypes">
  <Template>Normal</Template>
  <TotalTime>0</TotalTime>
  <Pages>7</Pages>
  <Words>2459</Words>
  <Characters>14021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NW Energy Coalition</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Wheeless</dc:creator>
  <cp:keywords/>
  <dc:description/>
  <cp:lastModifiedBy>Huey, Lorilyn (UTC)</cp:lastModifiedBy>
  <cp:revision>2</cp:revision>
  <dcterms:created xsi:type="dcterms:W3CDTF">2017-12-04T16:00:00Z</dcterms:created>
  <dcterms:modified xsi:type="dcterms:W3CDTF">2017-12-04T16:00:00Z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0x0101006E56B4D1795A2E4DB2F0B01679ED314A00CE19956C76CA024588BF50755657D23D</vt:lpwstr>
  </property>
  <property fmtid="{D5CDD505-2E9C-101B-9397-08002B2CF9AE}" pid="3" name="_docset_NoMedatataSyncRequired">
    <vt:lpwstr>False</vt:lpwstr>
  </property>
  <property fmtid="{D5CDD505-2E9C-101B-9397-08002B2CF9AE}" pid="4" name="IsEFSEC">
    <vt:bool>false</vt:bool>
  </property>
</Properties>
</file>