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D85" w:rsidRDefault="00394D85" w:rsidP="00394D85">
      <w:pPr>
        <w:ind w:right="-720"/>
        <w:rPr>
          <w:b/>
        </w:rPr>
      </w:pPr>
    </w:p>
    <w:p w:rsidR="00506D12" w:rsidRPr="006434A6" w:rsidRDefault="00506D12" w:rsidP="00394D85">
      <w:pPr>
        <w:ind w:right="-720"/>
        <w:jc w:val="center"/>
        <w:rPr>
          <w:b/>
        </w:rPr>
      </w:pPr>
      <w:r w:rsidRPr="006434A6">
        <w:rPr>
          <w:b/>
        </w:rPr>
        <w:t>BEFORE THE WASHINGTON UTILITIES AND TRANSPORTATION COMMISSION</w:t>
      </w:r>
    </w:p>
    <w:p w:rsidR="00506D12" w:rsidRDefault="00506D12" w:rsidP="00506D12"/>
    <w:p w:rsidR="00506D12" w:rsidRDefault="00506D12" w:rsidP="00506D12"/>
    <w:tbl>
      <w:tblPr>
        <w:tblStyle w:val="TableGrid"/>
        <w:tblW w:w="9918" w:type="dxa"/>
        <w:tblLook w:val="04A0"/>
      </w:tblPr>
      <w:tblGrid>
        <w:gridCol w:w="5058"/>
        <w:gridCol w:w="4860"/>
      </w:tblGrid>
      <w:tr w:rsidR="00506D12" w:rsidTr="00737198">
        <w:tc>
          <w:tcPr>
            <w:tcW w:w="5058" w:type="dxa"/>
            <w:tcBorders>
              <w:top w:val="nil"/>
              <w:left w:val="nil"/>
              <w:right w:val="single" w:sz="4" w:space="0" w:color="auto"/>
            </w:tcBorders>
          </w:tcPr>
          <w:p w:rsidR="00506D12" w:rsidRDefault="00506D12" w:rsidP="00737198">
            <w:r>
              <w:rPr>
                <w:smallCaps/>
              </w:rPr>
              <w:t>N</w:t>
            </w:r>
            <w:r w:rsidRPr="0089151C">
              <w:rPr>
                <w:smallCaps/>
              </w:rPr>
              <w:t>otice</w:t>
            </w:r>
            <w:r>
              <w:rPr>
                <w:smallCaps/>
              </w:rPr>
              <w:t xml:space="preserve"> of Transaction and Application for an Order Declining to Assert Jurisdiction Over, or, in the Alternative, Expedited Approval of the Indirect Transfer of Control</w:t>
            </w:r>
            <w:r w:rsidRPr="0089151C">
              <w:rPr>
                <w:smallCaps/>
              </w:rPr>
              <w:t xml:space="preserve"> of Level 3 Communications, LLC, Broadwing Communications, LLC, WilTel Communications, LLC, Global Crossing Telecommunications, Inc., Global Crossing Local Services, Inc., and Level 3 Telecom of </w:t>
            </w:r>
            <w:r>
              <w:rPr>
                <w:smallCaps/>
              </w:rPr>
              <w:t>Washington, LLC</w:t>
            </w:r>
            <w:r w:rsidRPr="0089151C">
              <w:rPr>
                <w:smallCaps/>
              </w:rPr>
              <w:t xml:space="preserve"> to CenturyLink, Inc. (“Notice”)</w:t>
            </w:r>
          </w:p>
        </w:tc>
        <w:tc>
          <w:tcPr>
            <w:tcW w:w="4860" w:type="dxa"/>
            <w:tcBorders>
              <w:top w:val="nil"/>
              <w:left w:val="single" w:sz="4" w:space="0" w:color="auto"/>
              <w:bottom w:val="nil"/>
              <w:right w:val="nil"/>
            </w:tcBorders>
          </w:tcPr>
          <w:p w:rsidR="00506D12" w:rsidRDefault="00506D12" w:rsidP="00737198">
            <w:pPr>
              <w:ind w:left="432"/>
            </w:pPr>
          </w:p>
          <w:p w:rsidR="00506D12" w:rsidRPr="00161713" w:rsidRDefault="00506D12" w:rsidP="00737198">
            <w:pPr>
              <w:ind w:left="432"/>
            </w:pPr>
            <w:r w:rsidRPr="00161713">
              <w:t xml:space="preserve">DOCKET NO. </w:t>
            </w:r>
            <w:r w:rsidR="00A36C9D">
              <w:t>UT-</w:t>
            </w:r>
            <w:r>
              <w:t>170042</w:t>
            </w:r>
          </w:p>
          <w:p w:rsidR="00506D12" w:rsidRDefault="00506D12" w:rsidP="00737198"/>
        </w:tc>
      </w:tr>
    </w:tbl>
    <w:p w:rsidR="00506D12" w:rsidRDefault="00506D12" w:rsidP="00506D12">
      <w:pPr>
        <w:jc w:val="center"/>
        <w:rPr>
          <w:b/>
        </w:rPr>
      </w:pPr>
    </w:p>
    <w:p w:rsidR="005911DF" w:rsidRPr="00467FC2" w:rsidRDefault="005911DF" w:rsidP="005911DF"/>
    <w:p w:rsidR="005911DF" w:rsidRPr="00467FC2" w:rsidRDefault="005911DF" w:rsidP="005911DF"/>
    <w:p w:rsidR="005911DF" w:rsidRPr="00467FC2" w:rsidRDefault="005911DF" w:rsidP="005911DF"/>
    <w:p w:rsidR="005911DF" w:rsidRPr="00467FC2" w:rsidRDefault="00A36C9D" w:rsidP="005911DF">
      <w:pPr>
        <w:jc w:val="center"/>
        <w:rPr>
          <w:b/>
        </w:rPr>
      </w:pPr>
      <w:r>
        <w:rPr>
          <w:b/>
        </w:rPr>
        <w:t xml:space="preserve">DIRECT </w:t>
      </w:r>
      <w:r w:rsidR="005911DF" w:rsidRPr="00467FC2">
        <w:rPr>
          <w:b/>
        </w:rPr>
        <w:t xml:space="preserve">TESTIMONY OF </w:t>
      </w:r>
      <w:r w:rsidR="005911DF">
        <w:rPr>
          <w:b/>
        </w:rPr>
        <w:t>MICHAEL J. BALHOFF</w:t>
      </w:r>
    </w:p>
    <w:p w:rsidR="005911DF" w:rsidRPr="00467FC2" w:rsidRDefault="005911DF" w:rsidP="005911DF">
      <w:pPr>
        <w:jc w:val="center"/>
        <w:rPr>
          <w:b/>
        </w:rPr>
      </w:pPr>
    </w:p>
    <w:p w:rsidR="005911DF" w:rsidRPr="00467FC2" w:rsidRDefault="005911DF" w:rsidP="005911DF">
      <w:pPr>
        <w:jc w:val="center"/>
        <w:rPr>
          <w:b/>
        </w:rPr>
      </w:pPr>
    </w:p>
    <w:p w:rsidR="005911DF" w:rsidRPr="00467FC2" w:rsidRDefault="005911DF" w:rsidP="005911DF">
      <w:pPr>
        <w:jc w:val="center"/>
        <w:rPr>
          <w:b/>
        </w:rPr>
      </w:pPr>
      <w:r w:rsidRPr="00467FC2">
        <w:rPr>
          <w:b/>
        </w:rPr>
        <w:t>ON BEHALF OF</w:t>
      </w:r>
    </w:p>
    <w:p w:rsidR="005911DF" w:rsidRPr="00467FC2" w:rsidRDefault="005911DF" w:rsidP="005911DF">
      <w:pPr>
        <w:jc w:val="center"/>
        <w:rPr>
          <w:b/>
        </w:rPr>
      </w:pPr>
    </w:p>
    <w:p w:rsidR="005911DF" w:rsidRPr="00467FC2" w:rsidRDefault="00F30E12" w:rsidP="005911DF">
      <w:pPr>
        <w:jc w:val="center"/>
        <w:rPr>
          <w:b/>
        </w:rPr>
      </w:pPr>
      <w:r>
        <w:rPr>
          <w:b/>
        </w:rPr>
        <w:t>CENTURYLINK</w:t>
      </w:r>
    </w:p>
    <w:p w:rsidR="005911DF" w:rsidRPr="00467FC2" w:rsidRDefault="005911DF" w:rsidP="005911DF">
      <w:pPr>
        <w:jc w:val="center"/>
        <w:rPr>
          <w:b/>
        </w:rPr>
      </w:pPr>
    </w:p>
    <w:p w:rsidR="005911DF" w:rsidRPr="00467FC2" w:rsidRDefault="005911DF" w:rsidP="005911DF">
      <w:pPr>
        <w:jc w:val="center"/>
        <w:rPr>
          <w:b/>
        </w:rPr>
      </w:pPr>
    </w:p>
    <w:p w:rsidR="005911DF" w:rsidRPr="00467FC2" w:rsidRDefault="005911DF" w:rsidP="005911DF">
      <w:pPr>
        <w:jc w:val="center"/>
        <w:rPr>
          <w:b/>
        </w:rPr>
      </w:pPr>
    </w:p>
    <w:p w:rsidR="005911DF" w:rsidRPr="00467FC2" w:rsidRDefault="005911DF" w:rsidP="005911DF">
      <w:pPr>
        <w:jc w:val="center"/>
        <w:rPr>
          <w:b/>
        </w:rPr>
      </w:pPr>
    </w:p>
    <w:p w:rsidR="00FC2056" w:rsidRDefault="007D372C" w:rsidP="007D372C">
      <w:pPr>
        <w:jc w:val="center"/>
        <w:rPr>
          <w:b/>
        </w:rPr>
      </w:pPr>
      <w:r>
        <w:rPr>
          <w:b/>
        </w:rPr>
        <w:t>February 10</w:t>
      </w:r>
      <w:r w:rsidR="005911DF" w:rsidRPr="00467FC2">
        <w:rPr>
          <w:b/>
        </w:rPr>
        <w:t>, 2017</w:t>
      </w:r>
    </w:p>
    <w:p w:rsidR="00FC2056" w:rsidRDefault="00FC2056">
      <w:pPr>
        <w:rPr>
          <w:b/>
        </w:rPr>
      </w:pPr>
      <w:r>
        <w:rPr>
          <w:b/>
        </w:rPr>
        <w:br w:type="page"/>
      </w:r>
    </w:p>
    <w:sdt>
      <w:sdtPr>
        <w:rPr>
          <w:rFonts w:eastAsia="Times New Roman" w:cs="Times New Roman"/>
          <w:b w:val="0"/>
          <w:bCs w:val="0"/>
          <w:szCs w:val="24"/>
          <w:u w:val="none"/>
        </w:rPr>
        <w:id w:val="37358856"/>
        <w:docPartObj>
          <w:docPartGallery w:val="Table of Contents"/>
          <w:docPartUnique/>
        </w:docPartObj>
      </w:sdtPr>
      <w:sdtContent>
        <w:p w:rsidR="00FC2056" w:rsidRDefault="00FC2056" w:rsidP="00FC2056">
          <w:pPr>
            <w:pStyle w:val="TOCHeading"/>
            <w:jc w:val="center"/>
          </w:pPr>
        </w:p>
        <w:p w:rsidR="00FC2056" w:rsidRDefault="00FC2056" w:rsidP="00FC2056">
          <w:pPr>
            <w:pStyle w:val="TOCHeading"/>
            <w:jc w:val="center"/>
          </w:pPr>
        </w:p>
        <w:p w:rsidR="00FC2056" w:rsidRDefault="00FC2056" w:rsidP="00FC2056">
          <w:pPr>
            <w:pStyle w:val="TOCHeading"/>
            <w:jc w:val="center"/>
          </w:pPr>
          <w:r>
            <w:t>Table of Contents</w:t>
          </w:r>
        </w:p>
        <w:p w:rsidR="001927C2" w:rsidRDefault="00DE167B" w:rsidP="00737198">
          <w:pPr>
            <w:pStyle w:val="TOC1"/>
            <w:tabs>
              <w:tab w:val="left" w:pos="440"/>
              <w:tab w:val="right" w:leader="dot" w:pos="8630"/>
            </w:tabs>
            <w:spacing w:after="160"/>
            <w:ind w:left="446" w:hanging="446"/>
            <w:rPr>
              <w:rFonts w:asciiTheme="minorHAnsi" w:eastAsiaTheme="minorEastAsia" w:hAnsiTheme="minorHAnsi" w:cstheme="minorBidi"/>
              <w:noProof/>
              <w:sz w:val="22"/>
              <w:szCs w:val="22"/>
            </w:rPr>
          </w:pPr>
          <w:r>
            <w:fldChar w:fldCharType="begin"/>
          </w:r>
          <w:r w:rsidR="00FC2056">
            <w:instrText xml:space="preserve"> TOC \o "1-3" \h \z \u </w:instrText>
          </w:r>
          <w:r>
            <w:fldChar w:fldCharType="separate"/>
          </w:r>
          <w:hyperlink w:anchor="_Toc472678911" w:history="1">
            <w:r w:rsidR="001927C2" w:rsidRPr="004B1B4D">
              <w:rPr>
                <w:rStyle w:val="Hyperlink"/>
                <w:noProof/>
              </w:rPr>
              <w:t>I.</w:t>
            </w:r>
            <w:r w:rsidR="001927C2">
              <w:rPr>
                <w:rFonts w:asciiTheme="minorHAnsi" w:eastAsiaTheme="minorEastAsia" w:hAnsiTheme="minorHAnsi" w:cstheme="minorBidi"/>
                <w:noProof/>
                <w:sz w:val="22"/>
                <w:szCs w:val="22"/>
              </w:rPr>
              <w:tab/>
            </w:r>
            <w:r w:rsidR="001927C2" w:rsidRPr="004B1B4D">
              <w:rPr>
                <w:rStyle w:val="Hyperlink"/>
                <w:noProof/>
              </w:rPr>
              <w:t>INTRODUCTION.</w:t>
            </w:r>
            <w:r w:rsidR="001927C2">
              <w:rPr>
                <w:noProof/>
                <w:webHidden/>
              </w:rPr>
              <w:tab/>
            </w:r>
            <w:r>
              <w:rPr>
                <w:noProof/>
                <w:webHidden/>
              </w:rPr>
              <w:fldChar w:fldCharType="begin"/>
            </w:r>
            <w:r w:rsidR="001927C2">
              <w:rPr>
                <w:noProof/>
                <w:webHidden/>
              </w:rPr>
              <w:instrText xml:space="preserve"> PAGEREF _Toc472678911 \h </w:instrText>
            </w:r>
            <w:r>
              <w:rPr>
                <w:noProof/>
                <w:webHidden/>
              </w:rPr>
            </w:r>
            <w:r>
              <w:rPr>
                <w:noProof/>
                <w:webHidden/>
              </w:rPr>
              <w:fldChar w:fldCharType="separate"/>
            </w:r>
            <w:r w:rsidR="00CF0894">
              <w:rPr>
                <w:noProof/>
                <w:webHidden/>
              </w:rPr>
              <w:t>1</w:t>
            </w:r>
            <w:r>
              <w:rPr>
                <w:noProof/>
                <w:webHidden/>
              </w:rPr>
              <w:fldChar w:fldCharType="end"/>
            </w:r>
          </w:hyperlink>
        </w:p>
        <w:p w:rsidR="001927C2" w:rsidRDefault="00DE167B" w:rsidP="00737198">
          <w:pPr>
            <w:pStyle w:val="TOC1"/>
            <w:tabs>
              <w:tab w:val="left" w:pos="660"/>
              <w:tab w:val="right" w:leader="dot" w:pos="8630"/>
            </w:tabs>
            <w:spacing w:after="160"/>
            <w:ind w:left="446" w:hanging="446"/>
            <w:rPr>
              <w:rFonts w:asciiTheme="minorHAnsi" w:eastAsiaTheme="minorEastAsia" w:hAnsiTheme="minorHAnsi" w:cstheme="minorBidi"/>
              <w:noProof/>
              <w:sz w:val="22"/>
              <w:szCs w:val="22"/>
            </w:rPr>
          </w:pPr>
          <w:hyperlink w:anchor="_Toc472678912" w:history="1">
            <w:r w:rsidR="001927C2" w:rsidRPr="004B1B4D">
              <w:rPr>
                <w:rStyle w:val="Hyperlink"/>
                <w:noProof/>
              </w:rPr>
              <w:t>II.</w:t>
            </w:r>
            <w:r w:rsidR="001927C2">
              <w:rPr>
                <w:rFonts w:asciiTheme="minorHAnsi" w:eastAsiaTheme="minorEastAsia" w:hAnsiTheme="minorHAnsi" w:cstheme="minorBidi"/>
                <w:noProof/>
                <w:sz w:val="22"/>
                <w:szCs w:val="22"/>
              </w:rPr>
              <w:tab/>
            </w:r>
            <w:r w:rsidR="001927C2" w:rsidRPr="004B1B4D">
              <w:rPr>
                <w:rStyle w:val="Hyperlink"/>
                <w:noProof/>
              </w:rPr>
              <w:t>PURPOSE AND SUMMARY OF TESTIMONY.</w:t>
            </w:r>
            <w:r w:rsidR="001927C2">
              <w:rPr>
                <w:noProof/>
                <w:webHidden/>
              </w:rPr>
              <w:tab/>
            </w:r>
            <w:r>
              <w:rPr>
                <w:noProof/>
                <w:webHidden/>
              </w:rPr>
              <w:fldChar w:fldCharType="begin"/>
            </w:r>
            <w:r w:rsidR="001927C2">
              <w:rPr>
                <w:noProof/>
                <w:webHidden/>
              </w:rPr>
              <w:instrText xml:space="preserve"> PAGEREF _Toc472678912 \h </w:instrText>
            </w:r>
            <w:r>
              <w:rPr>
                <w:noProof/>
                <w:webHidden/>
              </w:rPr>
            </w:r>
            <w:r>
              <w:rPr>
                <w:noProof/>
                <w:webHidden/>
              </w:rPr>
              <w:fldChar w:fldCharType="separate"/>
            </w:r>
            <w:r w:rsidR="00CF0894">
              <w:rPr>
                <w:noProof/>
                <w:webHidden/>
              </w:rPr>
              <w:t>4</w:t>
            </w:r>
            <w:r>
              <w:rPr>
                <w:noProof/>
                <w:webHidden/>
              </w:rPr>
              <w:fldChar w:fldCharType="end"/>
            </w:r>
          </w:hyperlink>
        </w:p>
        <w:p w:rsidR="001927C2" w:rsidRDefault="00DE167B" w:rsidP="00737198">
          <w:pPr>
            <w:pStyle w:val="TOC1"/>
            <w:tabs>
              <w:tab w:val="left" w:pos="660"/>
              <w:tab w:val="right" w:leader="dot" w:pos="8630"/>
            </w:tabs>
            <w:spacing w:after="160"/>
            <w:ind w:left="446" w:hanging="446"/>
            <w:rPr>
              <w:rFonts w:asciiTheme="minorHAnsi" w:eastAsiaTheme="minorEastAsia" w:hAnsiTheme="minorHAnsi" w:cstheme="minorBidi"/>
              <w:noProof/>
              <w:sz w:val="22"/>
              <w:szCs w:val="22"/>
            </w:rPr>
          </w:pPr>
          <w:hyperlink w:anchor="_Toc472678913" w:history="1">
            <w:r w:rsidR="001927C2" w:rsidRPr="004B1B4D">
              <w:rPr>
                <w:rStyle w:val="Hyperlink"/>
                <w:noProof/>
              </w:rPr>
              <w:t>III.</w:t>
            </w:r>
            <w:r w:rsidR="001927C2">
              <w:rPr>
                <w:rFonts w:asciiTheme="minorHAnsi" w:eastAsiaTheme="minorEastAsia" w:hAnsiTheme="minorHAnsi" w:cstheme="minorBidi"/>
                <w:noProof/>
                <w:sz w:val="22"/>
                <w:szCs w:val="22"/>
              </w:rPr>
              <w:tab/>
            </w:r>
            <w:r w:rsidR="001927C2" w:rsidRPr="004B1B4D">
              <w:rPr>
                <w:rStyle w:val="Hyperlink"/>
                <w:noProof/>
              </w:rPr>
              <w:t>FINANCIAL SUMMARY OF THE MERGER.</w:t>
            </w:r>
            <w:r w:rsidR="001927C2">
              <w:rPr>
                <w:noProof/>
                <w:webHidden/>
              </w:rPr>
              <w:tab/>
            </w:r>
            <w:r>
              <w:rPr>
                <w:noProof/>
                <w:webHidden/>
              </w:rPr>
              <w:fldChar w:fldCharType="begin"/>
            </w:r>
            <w:r w:rsidR="001927C2">
              <w:rPr>
                <w:noProof/>
                <w:webHidden/>
              </w:rPr>
              <w:instrText xml:space="preserve"> PAGEREF _Toc472678913 \h </w:instrText>
            </w:r>
            <w:r>
              <w:rPr>
                <w:noProof/>
                <w:webHidden/>
              </w:rPr>
            </w:r>
            <w:r>
              <w:rPr>
                <w:noProof/>
                <w:webHidden/>
              </w:rPr>
              <w:fldChar w:fldCharType="separate"/>
            </w:r>
            <w:r w:rsidR="00CF0894">
              <w:rPr>
                <w:noProof/>
                <w:webHidden/>
              </w:rPr>
              <w:t>7</w:t>
            </w:r>
            <w:r>
              <w:rPr>
                <w:noProof/>
                <w:webHidden/>
              </w:rPr>
              <w:fldChar w:fldCharType="end"/>
            </w:r>
          </w:hyperlink>
        </w:p>
        <w:p w:rsidR="001927C2" w:rsidRDefault="00DE167B" w:rsidP="00737198">
          <w:pPr>
            <w:pStyle w:val="TOC1"/>
            <w:tabs>
              <w:tab w:val="left" w:pos="660"/>
              <w:tab w:val="right" w:leader="dot" w:pos="8630"/>
            </w:tabs>
            <w:spacing w:after="160"/>
            <w:ind w:left="446" w:hanging="446"/>
            <w:rPr>
              <w:rFonts w:asciiTheme="minorHAnsi" w:eastAsiaTheme="minorEastAsia" w:hAnsiTheme="minorHAnsi" w:cstheme="minorBidi"/>
              <w:noProof/>
              <w:sz w:val="22"/>
              <w:szCs w:val="22"/>
            </w:rPr>
          </w:pPr>
          <w:hyperlink w:anchor="_Toc472678914" w:history="1">
            <w:r w:rsidR="001927C2" w:rsidRPr="004B1B4D">
              <w:rPr>
                <w:rStyle w:val="Hyperlink"/>
                <w:noProof/>
              </w:rPr>
              <w:t>IV.</w:t>
            </w:r>
            <w:r w:rsidR="001927C2">
              <w:rPr>
                <w:rFonts w:asciiTheme="minorHAnsi" w:eastAsiaTheme="minorEastAsia" w:hAnsiTheme="minorHAnsi" w:cstheme="minorBidi"/>
                <w:noProof/>
                <w:sz w:val="22"/>
                <w:szCs w:val="22"/>
              </w:rPr>
              <w:tab/>
            </w:r>
            <w:r w:rsidR="001927C2" w:rsidRPr="004B1B4D">
              <w:rPr>
                <w:rStyle w:val="Hyperlink"/>
                <w:noProof/>
              </w:rPr>
              <w:t>DESCRIPTION OF ACQUISITION-RELATED FINANCING, INCLUDING NEW DEBT THAT DOES NOT RELY ON GUARANTEES OR PLEDGES ASSOCIATED WITH STATE-REGULATED ILEC ASSETS.</w:t>
            </w:r>
            <w:r w:rsidR="001927C2">
              <w:rPr>
                <w:noProof/>
                <w:webHidden/>
              </w:rPr>
              <w:tab/>
            </w:r>
            <w:r>
              <w:rPr>
                <w:noProof/>
                <w:webHidden/>
              </w:rPr>
              <w:fldChar w:fldCharType="begin"/>
            </w:r>
            <w:r w:rsidR="001927C2">
              <w:rPr>
                <w:noProof/>
                <w:webHidden/>
              </w:rPr>
              <w:instrText xml:space="preserve"> PAGEREF _Toc472678914 \h </w:instrText>
            </w:r>
            <w:r>
              <w:rPr>
                <w:noProof/>
                <w:webHidden/>
              </w:rPr>
            </w:r>
            <w:r>
              <w:rPr>
                <w:noProof/>
                <w:webHidden/>
              </w:rPr>
              <w:fldChar w:fldCharType="separate"/>
            </w:r>
            <w:r w:rsidR="00CF0894">
              <w:rPr>
                <w:noProof/>
                <w:webHidden/>
              </w:rPr>
              <w:t>17</w:t>
            </w:r>
            <w:r>
              <w:rPr>
                <w:noProof/>
                <w:webHidden/>
              </w:rPr>
              <w:fldChar w:fldCharType="end"/>
            </w:r>
          </w:hyperlink>
        </w:p>
        <w:p w:rsidR="001927C2" w:rsidRDefault="00DE167B" w:rsidP="00737198">
          <w:pPr>
            <w:pStyle w:val="TOC1"/>
            <w:tabs>
              <w:tab w:val="left" w:pos="660"/>
              <w:tab w:val="right" w:leader="dot" w:pos="8630"/>
            </w:tabs>
            <w:spacing w:after="160"/>
            <w:ind w:left="446" w:hanging="446"/>
            <w:rPr>
              <w:rFonts w:asciiTheme="minorHAnsi" w:eastAsiaTheme="minorEastAsia" w:hAnsiTheme="minorHAnsi" w:cstheme="minorBidi"/>
              <w:noProof/>
              <w:sz w:val="22"/>
              <w:szCs w:val="22"/>
            </w:rPr>
          </w:pPr>
          <w:hyperlink w:anchor="_Toc472678915" w:history="1">
            <w:r w:rsidR="001927C2" w:rsidRPr="004B1B4D">
              <w:rPr>
                <w:rStyle w:val="Hyperlink"/>
                <w:noProof/>
              </w:rPr>
              <w:t>V.</w:t>
            </w:r>
            <w:r w:rsidR="001927C2">
              <w:rPr>
                <w:rFonts w:asciiTheme="minorHAnsi" w:eastAsiaTheme="minorEastAsia" w:hAnsiTheme="minorHAnsi" w:cstheme="minorBidi"/>
                <w:noProof/>
                <w:sz w:val="22"/>
                <w:szCs w:val="22"/>
              </w:rPr>
              <w:tab/>
            </w:r>
            <w:r w:rsidR="001927C2" w:rsidRPr="004B1B4D">
              <w:rPr>
                <w:rStyle w:val="Hyperlink"/>
                <w:noProof/>
              </w:rPr>
              <w:t>FINANCIAL RATIONALE FOR THE MERGED COMPANY, INCLUDING AFFIRMATIVE PUBLIC INTEREST BENEFITS THAT SHOULD FLOW TO CUSTOMERS, EMPLOYEES AND THE COMMUNITIES SERVED BY THE COMPANY.</w:t>
            </w:r>
            <w:r w:rsidR="001927C2">
              <w:rPr>
                <w:noProof/>
                <w:webHidden/>
              </w:rPr>
              <w:tab/>
            </w:r>
            <w:r>
              <w:rPr>
                <w:noProof/>
                <w:webHidden/>
              </w:rPr>
              <w:fldChar w:fldCharType="begin"/>
            </w:r>
            <w:r w:rsidR="001927C2">
              <w:rPr>
                <w:noProof/>
                <w:webHidden/>
              </w:rPr>
              <w:instrText xml:space="preserve"> PAGEREF _Toc472678915 \h </w:instrText>
            </w:r>
            <w:r>
              <w:rPr>
                <w:noProof/>
                <w:webHidden/>
              </w:rPr>
            </w:r>
            <w:r>
              <w:rPr>
                <w:noProof/>
                <w:webHidden/>
              </w:rPr>
              <w:fldChar w:fldCharType="separate"/>
            </w:r>
            <w:r w:rsidR="00CF0894">
              <w:rPr>
                <w:noProof/>
                <w:webHidden/>
              </w:rPr>
              <w:t>28</w:t>
            </w:r>
            <w:r>
              <w:rPr>
                <w:noProof/>
                <w:webHidden/>
              </w:rPr>
              <w:fldChar w:fldCharType="end"/>
            </w:r>
          </w:hyperlink>
        </w:p>
        <w:p w:rsidR="001927C2" w:rsidRDefault="00DE167B" w:rsidP="002426F9">
          <w:pPr>
            <w:pStyle w:val="TOC1"/>
            <w:tabs>
              <w:tab w:val="left" w:pos="660"/>
              <w:tab w:val="right" w:leader="dot" w:pos="8630"/>
            </w:tabs>
            <w:ind w:left="450" w:hanging="450"/>
            <w:rPr>
              <w:rFonts w:asciiTheme="minorHAnsi" w:eastAsiaTheme="minorEastAsia" w:hAnsiTheme="minorHAnsi" w:cstheme="minorBidi"/>
              <w:noProof/>
              <w:sz w:val="22"/>
              <w:szCs w:val="22"/>
            </w:rPr>
          </w:pPr>
          <w:hyperlink w:anchor="_Toc472678916" w:history="1">
            <w:r w:rsidR="001927C2" w:rsidRPr="004B1B4D">
              <w:rPr>
                <w:rStyle w:val="Hyperlink"/>
                <w:noProof/>
              </w:rPr>
              <w:t>VI.</w:t>
            </w:r>
            <w:r w:rsidR="001927C2">
              <w:rPr>
                <w:rFonts w:asciiTheme="minorHAnsi" w:eastAsiaTheme="minorEastAsia" w:hAnsiTheme="minorHAnsi" w:cstheme="minorBidi"/>
                <w:noProof/>
                <w:sz w:val="22"/>
                <w:szCs w:val="22"/>
              </w:rPr>
              <w:tab/>
            </w:r>
            <w:r w:rsidR="001927C2" w:rsidRPr="004B1B4D">
              <w:rPr>
                <w:rStyle w:val="Hyperlink"/>
                <w:noProof/>
              </w:rPr>
              <w:t>SUMMARY.</w:t>
            </w:r>
            <w:r w:rsidR="001927C2">
              <w:rPr>
                <w:noProof/>
                <w:webHidden/>
              </w:rPr>
              <w:tab/>
            </w:r>
            <w:r>
              <w:rPr>
                <w:noProof/>
                <w:webHidden/>
              </w:rPr>
              <w:fldChar w:fldCharType="begin"/>
            </w:r>
            <w:r w:rsidR="001927C2">
              <w:rPr>
                <w:noProof/>
                <w:webHidden/>
              </w:rPr>
              <w:instrText xml:space="preserve"> PAGEREF _Toc472678916 \h </w:instrText>
            </w:r>
            <w:r>
              <w:rPr>
                <w:noProof/>
                <w:webHidden/>
              </w:rPr>
            </w:r>
            <w:r>
              <w:rPr>
                <w:noProof/>
                <w:webHidden/>
              </w:rPr>
              <w:fldChar w:fldCharType="separate"/>
            </w:r>
            <w:r w:rsidR="00CF0894">
              <w:rPr>
                <w:noProof/>
                <w:webHidden/>
              </w:rPr>
              <w:t>34</w:t>
            </w:r>
            <w:r>
              <w:rPr>
                <w:noProof/>
                <w:webHidden/>
              </w:rPr>
              <w:fldChar w:fldCharType="end"/>
            </w:r>
          </w:hyperlink>
        </w:p>
        <w:p w:rsidR="00FC2056" w:rsidRDefault="00DE167B">
          <w:r>
            <w:fldChar w:fldCharType="end"/>
          </w:r>
        </w:p>
      </w:sdtContent>
    </w:sdt>
    <w:p w:rsidR="00FC2056" w:rsidRPr="001927C2" w:rsidRDefault="001927C2" w:rsidP="005911DF">
      <w:pPr>
        <w:jc w:val="center"/>
        <w:rPr>
          <w:b/>
          <w:u w:val="single"/>
        </w:rPr>
      </w:pPr>
      <w:r w:rsidRPr="001927C2">
        <w:rPr>
          <w:b/>
          <w:u w:val="single"/>
        </w:rPr>
        <w:t>Exhibits</w:t>
      </w:r>
    </w:p>
    <w:p w:rsidR="001927C2" w:rsidRDefault="001927C2" w:rsidP="001927C2">
      <w:pPr>
        <w:rPr>
          <w:b/>
        </w:rPr>
      </w:pPr>
    </w:p>
    <w:p w:rsidR="001927C2" w:rsidRDefault="001927C2" w:rsidP="00043DDC">
      <w:pPr>
        <w:spacing w:after="120"/>
        <w:rPr>
          <w:b/>
        </w:rPr>
      </w:pPr>
      <w:r>
        <w:rPr>
          <w:b/>
        </w:rPr>
        <w:t>Exhibit MJB-</w:t>
      </w:r>
      <w:r w:rsidR="00A515F9">
        <w:rPr>
          <w:b/>
        </w:rPr>
        <w:t>2</w:t>
      </w:r>
      <w:r>
        <w:rPr>
          <w:b/>
        </w:rPr>
        <w:t xml:space="preserve"> – Summary of Experience</w:t>
      </w:r>
    </w:p>
    <w:p w:rsidR="00043DDC" w:rsidRDefault="00043DDC" w:rsidP="00043DDC">
      <w:pPr>
        <w:spacing w:after="120"/>
        <w:rPr>
          <w:b/>
        </w:rPr>
      </w:pPr>
      <w:r>
        <w:rPr>
          <w:b/>
        </w:rPr>
        <w:t>Exhibit MJB-3 – Investor Presentation</w:t>
      </w:r>
    </w:p>
    <w:p w:rsidR="00043DDC" w:rsidRDefault="00043DDC" w:rsidP="001927C2">
      <w:pPr>
        <w:rPr>
          <w:b/>
        </w:rPr>
      </w:pPr>
      <w:r>
        <w:rPr>
          <w:b/>
        </w:rPr>
        <w:t>Exhibit MJB-4 – Investor Call Transcript</w:t>
      </w:r>
    </w:p>
    <w:p w:rsidR="00FC2056" w:rsidRDefault="00FC2056">
      <w:pPr>
        <w:rPr>
          <w:b/>
        </w:rPr>
      </w:pPr>
      <w:r>
        <w:rPr>
          <w:b/>
        </w:rPr>
        <w:br w:type="page"/>
      </w:r>
    </w:p>
    <w:p w:rsidR="005911DF" w:rsidRDefault="005911DF" w:rsidP="001927C2">
      <w:pPr>
        <w:rPr>
          <w:b/>
        </w:rPr>
        <w:sectPr w:rsidR="005911DF" w:rsidSect="005911DF">
          <w:headerReference w:type="default" r:id="rId8"/>
          <w:footerReference w:type="even" r:id="rId9"/>
          <w:headerReference w:type="first" r:id="rId10"/>
          <w:pgSz w:w="12240" w:h="15840" w:code="1"/>
          <w:pgMar w:top="1440" w:right="1800" w:bottom="1440" w:left="1800" w:header="720" w:footer="720" w:gutter="0"/>
          <w:cols w:space="720"/>
          <w:titlePg/>
          <w:docGrid w:linePitch="360"/>
        </w:sectPr>
      </w:pPr>
    </w:p>
    <w:p w:rsidR="00D64B12" w:rsidRDefault="00D64B12" w:rsidP="00E14679">
      <w:pPr>
        <w:pStyle w:val="Heading1"/>
        <w:jc w:val="center"/>
        <w:rPr>
          <w:szCs w:val="24"/>
        </w:rPr>
      </w:pPr>
      <w:bookmarkStart w:id="0" w:name="_Toc472678911"/>
      <w:r w:rsidRPr="00151517">
        <w:rPr>
          <w:szCs w:val="24"/>
          <w:u w:val="none"/>
        </w:rPr>
        <w:lastRenderedPageBreak/>
        <w:t>I.</w:t>
      </w:r>
      <w:r w:rsidR="00E14679">
        <w:rPr>
          <w:szCs w:val="24"/>
          <w:u w:val="none"/>
        </w:rPr>
        <w:t xml:space="preserve">  </w:t>
      </w:r>
      <w:r w:rsidR="00D96DB0">
        <w:rPr>
          <w:szCs w:val="24"/>
        </w:rPr>
        <w:t>INTRODUCTION</w:t>
      </w:r>
      <w:r w:rsidR="00B05B6B">
        <w:rPr>
          <w:szCs w:val="24"/>
        </w:rPr>
        <w:t>.</w:t>
      </w:r>
      <w:bookmarkEnd w:id="0"/>
    </w:p>
    <w:p w:rsidR="001927C2" w:rsidRPr="001927C2" w:rsidRDefault="001927C2" w:rsidP="001927C2"/>
    <w:p w:rsidR="00D64B12" w:rsidRPr="00151517" w:rsidRDefault="00D64B12" w:rsidP="00D64B12">
      <w:pPr>
        <w:spacing w:line="480" w:lineRule="auto"/>
        <w:ind w:left="1440" w:hanging="720"/>
        <w:rPr>
          <w:b/>
        </w:rPr>
      </w:pPr>
      <w:r w:rsidRPr="00151517">
        <w:rPr>
          <w:b/>
        </w:rPr>
        <w:t>Q.</w:t>
      </w:r>
      <w:r>
        <w:rPr>
          <w:b/>
        </w:rPr>
        <w:tab/>
        <w:t>P</w:t>
      </w:r>
      <w:r w:rsidRPr="00151517">
        <w:rPr>
          <w:b/>
        </w:rPr>
        <w:t>lease state your name and position for the record.</w:t>
      </w:r>
    </w:p>
    <w:p w:rsidR="00D64B12" w:rsidRPr="00151517" w:rsidRDefault="00D64B12" w:rsidP="00D64B12">
      <w:pPr>
        <w:spacing w:after="240" w:line="480" w:lineRule="auto"/>
        <w:ind w:left="1440" w:hanging="720"/>
      </w:pPr>
      <w:r w:rsidRPr="00151517">
        <w:t>A.</w:t>
      </w:r>
      <w:r w:rsidRPr="00151517">
        <w:tab/>
        <w:t xml:space="preserve">My name is Michael J. Balhoff.  I am Managing Partner of Balhoff &amp; Williams, LLC (“B&amp;W”), and my business address is 5850 Waterloo Road, Suite 140, Columbia, Maryland 21045.  I am also </w:t>
      </w:r>
      <w:r w:rsidR="005E118A">
        <w:t xml:space="preserve">a </w:t>
      </w:r>
      <w:r w:rsidRPr="00151517">
        <w:t xml:space="preserve">Senior Partner of Charlesmead Advisors, LLC (“Charlesmead”), and </w:t>
      </w:r>
      <w:r w:rsidR="005E118A">
        <w:t xml:space="preserve">the </w:t>
      </w:r>
      <w:r>
        <w:t>Charlesmead</w:t>
      </w:r>
      <w:r w:rsidR="005E118A">
        <w:t xml:space="preserve"> office where I work</w:t>
      </w:r>
      <w:r>
        <w:t xml:space="preserve"> has the same business address as B&amp;W.</w:t>
      </w:r>
    </w:p>
    <w:p w:rsidR="00D64B12" w:rsidRPr="00151517" w:rsidRDefault="00D64B12" w:rsidP="00D64B12">
      <w:pPr>
        <w:spacing w:line="480" w:lineRule="auto"/>
        <w:ind w:left="1440" w:hanging="720"/>
        <w:rPr>
          <w:b/>
        </w:rPr>
      </w:pPr>
      <w:r w:rsidRPr="00151517">
        <w:rPr>
          <w:b/>
        </w:rPr>
        <w:t>Q.</w:t>
      </w:r>
      <w:r w:rsidRPr="00151517">
        <w:rPr>
          <w:b/>
        </w:rPr>
        <w:tab/>
        <w:t xml:space="preserve">What services do B&amp;W and Charlesmead provide?  </w:t>
      </w:r>
    </w:p>
    <w:p w:rsidR="00D64B12" w:rsidRPr="00151517" w:rsidRDefault="00D64B12" w:rsidP="00D64B12">
      <w:pPr>
        <w:spacing w:after="240" w:line="480" w:lineRule="auto"/>
        <w:ind w:left="1440" w:hanging="720"/>
      </w:pPr>
      <w:r w:rsidRPr="00151517">
        <w:t>A.</w:t>
      </w:r>
      <w:r w:rsidRPr="00151517">
        <w:tab/>
        <w:t xml:space="preserve">B&amp;W provides </w:t>
      </w:r>
      <w:r w:rsidR="005E118A">
        <w:t xml:space="preserve">consulting </w:t>
      </w:r>
      <w:r w:rsidRPr="00151517">
        <w:t xml:space="preserve">services, </w:t>
      </w:r>
      <w:r w:rsidR="005E118A">
        <w:t>focusing primarily on</w:t>
      </w:r>
      <w:r w:rsidR="005E118A" w:rsidRPr="00151517">
        <w:t xml:space="preserve"> </w:t>
      </w:r>
      <w:r w:rsidRPr="00151517">
        <w:t xml:space="preserve">financial and regulatory </w:t>
      </w:r>
      <w:r w:rsidR="005E118A">
        <w:t>issues</w:t>
      </w:r>
      <w:r w:rsidRPr="00151517">
        <w:t xml:space="preserve">.  Our clients are various telecommunications, cable television, and energy companies.  B&amp;W previously was known as Balhoff &amp; Rowe, LLC, and then Balhoff, Rowe &amp; Williams, LLC.  The firm changed its name to reflect the </w:t>
      </w:r>
      <w:r w:rsidR="005E118A">
        <w:t xml:space="preserve">partners </w:t>
      </w:r>
      <w:r w:rsidRPr="00151517">
        <w:t xml:space="preserve">active </w:t>
      </w:r>
      <w:r w:rsidR="005E118A">
        <w:t>in the business at a given point in time</w:t>
      </w:r>
      <w:r w:rsidRPr="00151517">
        <w:t xml:space="preserve">, but the services of the firm have remained consistent since the company was established in 2004.  </w:t>
      </w:r>
      <w:r w:rsidR="005E118A">
        <w:t>In addition, w</w:t>
      </w:r>
      <w:r w:rsidR="009B4F2E">
        <w:t>ith two</w:t>
      </w:r>
      <w:r>
        <w:t xml:space="preserve"> partners, </w:t>
      </w:r>
      <w:r w:rsidRPr="00151517">
        <w:t xml:space="preserve">I also co-founded Charlesmead in June 2010 to provide investment banking services to </w:t>
      </w:r>
      <w:r w:rsidR="005E118A">
        <w:t xml:space="preserve">companies in the </w:t>
      </w:r>
      <w:r w:rsidRPr="00151517">
        <w:t xml:space="preserve">telecommunications </w:t>
      </w:r>
      <w:r w:rsidR="005E118A">
        <w:t>industry</w:t>
      </w:r>
      <w:r w:rsidRPr="00151517">
        <w:t>.  My services in this proceeding are</w:t>
      </w:r>
      <w:r>
        <w:t xml:space="preserve"> provided</w:t>
      </w:r>
      <w:r w:rsidRPr="00151517">
        <w:t xml:space="preserve"> through B&amp;W.</w:t>
      </w:r>
    </w:p>
    <w:p w:rsidR="00D64B12" w:rsidRPr="00151517" w:rsidRDefault="00D64B12" w:rsidP="00D26A32">
      <w:pPr>
        <w:keepNext/>
        <w:keepLines/>
        <w:spacing w:line="480" w:lineRule="auto"/>
        <w:ind w:left="1440" w:hanging="720"/>
        <w:rPr>
          <w:b/>
        </w:rPr>
      </w:pPr>
      <w:r w:rsidRPr="00151517">
        <w:rPr>
          <w:b/>
        </w:rPr>
        <w:t>Q.</w:t>
      </w:r>
      <w:r w:rsidRPr="00151517">
        <w:rPr>
          <w:b/>
        </w:rPr>
        <w:tab/>
        <w:t>Please describe your relevant educational and professional background.</w:t>
      </w:r>
    </w:p>
    <w:p w:rsidR="00D64B12" w:rsidRPr="00151517" w:rsidRDefault="00D64B12" w:rsidP="00D26A32">
      <w:pPr>
        <w:keepNext/>
        <w:keepLines/>
        <w:spacing w:after="240" w:line="480" w:lineRule="auto"/>
        <w:ind w:left="1440" w:hanging="720"/>
      </w:pPr>
      <w:r w:rsidRPr="00151517">
        <w:t>A.</w:t>
      </w:r>
      <w:r w:rsidRPr="00151517">
        <w:tab/>
        <w:t>I have a doctorate and four masters</w:t>
      </w:r>
      <w:r w:rsidR="00F76C9B">
        <w:t>’</w:t>
      </w:r>
      <w:r w:rsidRPr="00151517">
        <w:t xml:space="preserve"> degrees, including a M</w:t>
      </w:r>
      <w:r w:rsidR="005E118A">
        <w:t>aster</w:t>
      </w:r>
      <w:r w:rsidR="00E320C5">
        <w:t>’</w:t>
      </w:r>
      <w:r w:rsidR="005E118A">
        <w:t xml:space="preserve">s in </w:t>
      </w:r>
      <w:r w:rsidRPr="00151517">
        <w:t>B</w:t>
      </w:r>
      <w:r w:rsidR="005E118A">
        <w:t xml:space="preserve">usiness </w:t>
      </w:r>
      <w:r w:rsidRPr="00151517">
        <w:t>A</w:t>
      </w:r>
      <w:r w:rsidR="005E118A">
        <w:t>dministration</w:t>
      </w:r>
      <w:r w:rsidRPr="00151517">
        <w:t xml:space="preserve">, with a concentration in finance, from the University of Maryland.  I am a Chartered Financial Analyst and am a member of the Baltimore Security Analysts Society.  </w:t>
      </w:r>
      <w:r>
        <w:t>During a</w:t>
      </w:r>
      <w:r w:rsidRPr="00151517">
        <w:t xml:space="preserve"> period of 16 years, I </w:t>
      </w:r>
      <w:r>
        <w:t>was a senior analyst and Managing Director with responsibility for leading</w:t>
      </w:r>
      <w:r w:rsidRPr="00151517">
        <w:t xml:space="preserve"> the telecommunications and technology sell-side equity research group at Legg Mason Wood Walker, Inc., which was the wholly-owned capital markets division of Legg Mason, Inc. (“Legg Mason”), headquartered in Baltimore, Maryland.  </w:t>
      </w:r>
      <w:r w:rsidR="005E118A">
        <w:t>The group I managed at Legg Mason</w:t>
      </w:r>
      <w:r w:rsidR="00F76C9B">
        <w:t xml:space="preserve"> provided investment advice to institutional investors and communications companies across North America and Europe.  </w:t>
      </w:r>
      <w:r>
        <w:t xml:space="preserve">My more extensive resume, including publications, presentations, and testimonies, </w:t>
      </w:r>
      <w:r w:rsidRPr="00A90FA5">
        <w:t xml:space="preserve">is included as </w:t>
      </w:r>
      <w:r w:rsidR="00F65897">
        <w:t xml:space="preserve">Exhibit </w:t>
      </w:r>
      <w:r w:rsidR="00D71634">
        <w:t>MJB-2</w:t>
      </w:r>
      <w:r w:rsidRPr="00A90FA5">
        <w:t>.</w:t>
      </w:r>
    </w:p>
    <w:p w:rsidR="00D64B12" w:rsidRPr="00151517" w:rsidRDefault="00D64B12" w:rsidP="00D64B12">
      <w:pPr>
        <w:spacing w:line="480" w:lineRule="auto"/>
        <w:ind w:left="1440" w:hanging="720"/>
        <w:rPr>
          <w:b/>
        </w:rPr>
      </w:pPr>
      <w:r w:rsidRPr="00151517">
        <w:rPr>
          <w:b/>
        </w:rPr>
        <w:t>Q.</w:t>
      </w:r>
      <w:r w:rsidRPr="00151517">
        <w:rPr>
          <w:b/>
        </w:rPr>
        <w:tab/>
      </w:r>
      <w:r>
        <w:rPr>
          <w:b/>
        </w:rPr>
        <w:t>On whose behalf are you offering testimony</w:t>
      </w:r>
      <w:r w:rsidRPr="00151517">
        <w:rPr>
          <w:b/>
        </w:rPr>
        <w:t xml:space="preserve"> in this proceeding?</w:t>
      </w:r>
    </w:p>
    <w:p w:rsidR="00D64B12" w:rsidRPr="00151517" w:rsidRDefault="00D64B12" w:rsidP="00D64B12">
      <w:pPr>
        <w:spacing w:after="240" w:line="480" w:lineRule="auto"/>
        <w:ind w:left="1440" w:hanging="720"/>
      </w:pPr>
      <w:r w:rsidRPr="00151517">
        <w:t>A.</w:t>
      </w:r>
      <w:r w:rsidRPr="00151517">
        <w:tab/>
      </w:r>
      <w:r>
        <w:t>I am offering testimony on behalf of</w:t>
      </w:r>
      <w:r w:rsidRPr="00151517">
        <w:t xml:space="preserve"> </w:t>
      </w:r>
      <w:r>
        <w:t>CenturyLink</w:t>
      </w:r>
      <w:r w:rsidR="001D3E64">
        <w:t>,</w:t>
      </w:r>
      <w:r>
        <w:t xml:space="preserve"> Inc. (“CenturyLink”</w:t>
      </w:r>
      <w:r w:rsidR="00E336C6">
        <w:t xml:space="preserve"> or the “Company”</w:t>
      </w:r>
      <w:r>
        <w:t>)</w:t>
      </w:r>
      <w:r w:rsidR="00F30E12">
        <w:t xml:space="preserve">.  </w:t>
      </w:r>
      <w:r w:rsidR="000D543A">
        <w:t xml:space="preserve">CenturyLink is a joint </w:t>
      </w:r>
      <w:r w:rsidR="005A7FFE">
        <w:t>a</w:t>
      </w:r>
      <w:r w:rsidR="000D543A">
        <w:t xml:space="preserve">pplicant </w:t>
      </w:r>
      <w:r w:rsidR="00EA6EA2">
        <w:t xml:space="preserve">along with </w:t>
      </w:r>
      <w:r>
        <w:t>Level 3 Communications</w:t>
      </w:r>
      <w:r w:rsidR="001D3E64">
        <w:t>,</w:t>
      </w:r>
      <w:r>
        <w:t xml:space="preserve"> Inc. </w:t>
      </w:r>
      <w:r w:rsidR="004128B9">
        <w:t xml:space="preserve">(“Level 3”) </w:t>
      </w:r>
      <w:r w:rsidR="00EA6EA2">
        <w:t xml:space="preserve">for approval of the indirect transfer of control of all </w:t>
      </w:r>
      <w:r w:rsidR="004128B9">
        <w:t>Level 3</w:t>
      </w:r>
      <w:r w:rsidR="00EA6EA2">
        <w:t xml:space="preserve"> affiliated operating companies</w:t>
      </w:r>
      <w:r w:rsidR="004128B9">
        <w:t xml:space="preserve"> in </w:t>
      </w:r>
      <w:r w:rsidR="007D372C">
        <w:t>Washington</w:t>
      </w:r>
      <w:r>
        <w:t>.</w:t>
      </w:r>
      <w:r w:rsidR="000D543A">
        <w:t xml:space="preserve">  </w:t>
      </w:r>
      <w:r w:rsidR="005A7FFE">
        <w:t>I refer in my testimony to CenturyLink and Level 3</w:t>
      </w:r>
      <w:r w:rsidR="004128B9">
        <w:t xml:space="preserve"> collectively</w:t>
      </w:r>
      <w:r w:rsidR="005A7FFE">
        <w:t xml:space="preserve"> as “Joint Applicants.”</w:t>
      </w:r>
    </w:p>
    <w:p w:rsidR="00D64B12" w:rsidRPr="00151517" w:rsidRDefault="00D64B12" w:rsidP="001927C2">
      <w:pPr>
        <w:keepNext/>
        <w:spacing w:line="480" w:lineRule="auto"/>
        <w:ind w:left="1440" w:hanging="720"/>
        <w:rPr>
          <w:b/>
        </w:rPr>
      </w:pPr>
      <w:r w:rsidRPr="00151517">
        <w:rPr>
          <w:b/>
        </w:rPr>
        <w:t>Q.</w:t>
      </w:r>
      <w:r w:rsidRPr="00151517">
        <w:rPr>
          <w:b/>
        </w:rPr>
        <w:tab/>
        <w:t xml:space="preserve">What is your relationship with </w:t>
      </w:r>
      <w:r>
        <w:rPr>
          <w:b/>
        </w:rPr>
        <w:t xml:space="preserve">the </w:t>
      </w:r>
      <w:r w:rsidR="005A7FFE">
        <w:rPr>
          <w:b/>
        </w:rPr>
        <w:t>Joint Applicants</w:t>
      </w:r>
      <w:r w:rsidRPr="00151517">
        <w:rPr>
          <w:b/>
        </w:rPr>
        <w:t>?</w:t>
      </w:r>
    </w:p>
    <w:p w:rsidR="00D64B12" w:rsidRPr="00151517" w:rsidRDefault="00D64B12" w:rsidP="00D64B12">
      <w:pPr>
        <w:spacing w:after="240" w:line="480" w:lineRule="auto"/>
        <w:ind w:left="1440" w:hanging="720"/>
      </w:pPr>
      <w:r w:rsidRPr="00151517">
        <w:t>A.</w:t>
      </w:r>
      <w:r w:rsidRPr="00151517">
        <w:tab/>
      </w:r>
      <w:r w:rsidR="000E2CC1">
        <w:t>During my</w:t>
      </w:r>
      <w:r w:rsidR="00D96DB0">
        <w:t xml:space="preserve"> last seven years at Legg Mason, </w:t>
      </w:r>
      <w:r w:rsidRPr="00151517">
        <w:t xml:space="preserve">I </w:t>
      </w:r>
      <w:r>
        <w:t xml:space="preserve">provided </w:t>
      </w:r>
      <w:r w:rsidR="00D96DB0">
        <w:t xml:space="preserve">equity </w:t>
      </w:r>
      <w:r w:rsidR="001E3376">
        <w:t xml:space="preserve">research </w:t>
      </w:r>
      <w:r w:rsidR="00D96DB0">
        <w:t>o</w:t>
      </w:r>
      <w:r w:rsidR="001E3376">
        <w:t>n</w:t>
      </w:r>
      <w:r>
        <w:t xml:space="preserve"> </w:t>
      </w:r>
      <w:r w:rsidR="00E575F1">
        <w:t>incumbent local exchange carriers (“</w:t>
      </w:r>
      <w:r>
        <w:t>ILECs</w:t>
      </w:r>
      <w:r w:rsidR="00E575F1">
        <w:t>” or “LECs”)</w:t>
      </w:r>
      <w:r>
        <w:t>, including CenturyLink</w:t>
      </w:r>
      <w:r w:rsidR="001E3376">
        <w:t xml:space="preserve"> (at that time, CenturyTel)</w:t>
      </w:r>
      <w:r>
        <w:t xml:space="preserve">. </w:t>
      </w:r>
      <w:r w:rsidR="00D96DB0">
        <w:t xml:space="preserve"> </w:t>
      </w:r>
      <w:r w:rsidR="00BF4504">
        <w:t xml:space="preserve">Since 2005, </w:t>
      </w:r>
      <w:r w:rsidR="001E3376">
        <w:t>through B&amp;W</w:t>
      </w:r>
      <w:r w:rsidR="00E320C5">
        <w:t>,</w:t>
      </w:r>
      <w:r w:rsidR="001E3376">
        <w:t xml:space="preserve"> </w:t>
      </w:r>
      <w:r w:rsidR="009B4F2E">
        <w:t xml:space="preserve">I have provided </w:t>
      </w:r>
      <w:r w:rsidR="001E3376">
        <w:t xml:space="preserve">financial and regulatory </w:t>
      </w:r>
      <w:r w:rsidR="009B4F2E">
        <w:t>consulting services to</w:t>
      </w:r>
      <w:r w:rsidR="00E336C6">
        <w:t>,</w:t>
      </w:r>
      <w:r w:rsidR="009B4F2E">
        <w:t xml:space="preserve"> and independent testimony on behalf of</w:t>
      </w:r>
      <w:r w:rsidR="00E336C6">
        <w:t>,</w:t>
      </w:r>
      <w:r w:rsidR="009B4F2E">
        <w:t xml:space="preserve"> </w:t>
      </w:r>
      <w:r w:rsidR="00BF4504">
        <w:t xml:space="preserve">many telecommunications companies, including </w:t>
      </w:r>
      <w:r w:rsidR="009B4F2E">
        <w:t xml:space="preserve">CenturyLink.  I have had no </w:t>
      </w:r>
      <w:r w:rsidR="001E3376">
        <w:t xml:space="preserve">professional </w:t>
      </w:r>
      <w:r w:rsidR="009B4F2E">
        <w:t xml:space="preserve">relationship with Level 3 prior </w:t>
      </w:r>
      <w:r w:rsidR="00BF4504">
        <w:t>to this time.  Neither I nor our</w:t>
      </w:r>
      <w:r w:rsidR="00CA3F46">
        <w:t xml:space="preserve"> companies</w:t>
      </w:r>
      <w:r w:rsidR="00E336C6">
        <w:t>—B&amp;W or Charlesmead—</w:t>
      </w:r>
      <w:r w:rsidR="00CA3F46">
        <w:t>offered</w:t>
      </w:r>
      <w:r w:rsidR="009B4F2E">
        <w:t xml:space="preserve"> any advisory or other services to CenturyLink or Level 3 in the </w:t>
      </w:r>
      <w:r w:rsidR="00CA3F46">
        <w:t xml:space="preserve">transactional </w:t>
      </w:r>
      <w:r w:rsidR="009B4F2E">
        <w:t xml:space="preserve">process that led to the October 31, 2016 announcement of the merger between </w:t>
      </w:r>
      <w:r w:rsidR="00FF6DA0">
        <w:t>the tw</w:t>
      </w:r>
      <w:r w:rsidR="00CA3F46">
        <w:t>o companies (“Merger”).  To be clear</w:t>
      </w:r>
      <w:r w:rsidR="00FF6DA0">
        <w:t xml:space="preserve">, I am appearing </w:t>
      </w:r>
      <w:r w:rsidR="00CA3F46">
        <w:t>in this regulatory review process</w:t>
      </w:r>
      <w:r w:rsidR="00FF6DA0">
        <w:t xml:space="preserve"> as a</w:t>
      </w:r>
      <w:r w:rsidR="001E3376">
        <w:t>n independent</w:t>
      </w:r>
      <w:r w:rsidR="00FF6DA0">
        <w:t xml:space="preserve"> third-party professional industry expert</w:t>
      </w:r>
      <w:r w:rsidR="00E575F1">
        <w:t xml:space="preserve">, engaged by CenturyLink, but with the understanding that all opinions in my testimony </w:t>
      </w:r>
      <w:r w:rsidR="009D31D2">
        <w:t>are</w:t>
      </w:r>
      <w:r w:rsidR="00E575F1">
        <w:t xml:space="preserve"> entirely my own</w:t>
      </w:r>
      <w:r w:rsidR="00FF6DA0">
        <w:t>.</w:t>
      </w:r>
    </w:p>
    <w:p w:rsidR="00D64B12" w:rsidRPr="00151517" w:rsidRDefault="00CA3F46" w:rsidP="00D64B12">
      <w:pPr>
        <w:spacing w:line="480" w:lineRule="auto"/>
        <w:ind w:left="1440" w:hanging="720"/>
        <w:rPr>
          <w:b/>
        </w:rPr>
      </w:pPr>
      <w:r>
        <w:rPr>
          <w:b/>
        </w:rPr>
        <w:t>Q.</w:t>
      </w:r>
      <w:r>
        <w:rPr>
          <w:b/>
        </w:rPr>
        <w:tab/>
        <w:t>Have you appeared before t</w:t>
      </w:r>
      <w:r w:rsidR="00D96DB0">
        <w:rPr>
          <w:b/>
        </w:rPr>
        <w:t xml:space="preserve">he </w:t>
      </w:r>
      <w:r w:rsidR="007D372C">
        <w:rPr>
          <w:b/>
        </w:rPr>
        <w:t>Washington Utilities and Transportation Commission</w:t>
      </w:r>
      <w:r w:rsidR="00D64B12">
        <w:rPr>
          <w:b/>
        </w:rPr>
        <w:t xml:space="preserve"> (“Commission”) </w:t>
      </w:r>
      <w:r w:rsidR="00D64B12" w:rsidRPr="00151517">
        <w:rPr>
          <w:b/>
        </w:rPr>
        <w:t>in any other proceedings?</w:t>
      </w:r>
    </w:p>
    <w:p w:rsidR="00D64B12" w:rsidRPr="00151517" w:rsidRDefault="00D64B12" w:rsidP="00D64B12">
      <w:pPr>
        <w:spacing w:after="240" w:line="480" w:lineRule="auto"/>
        <w:ind w:left="1440" w:hanging="720"/>
      </w:pPr>
      <w:r w:rsidRPr="00151517">
        <w:t>A.</w:t>
      </w:r>
      <w:r w:rsidRPr="00151517">
        <w:tab/>
      </w:r>
      <w:r>
        <w:t xml:space="preserve">No, I have not.  However, I have provided regulatory testimony concerning telecommunications matters before the </w:t>
      </w:r>
      <w:r w:rsidR="002B4CB8">
        <w:t xml:space="preserve">Pennsylvania Public Utility Commission, the Colorado Public Utilities Commission, the </w:t>
      </w:r>
      <w:r w:rsidR="00CA3F46">
        <w:t xml:space="preserve">California Public Utilities Commission, the </w:t>
      </w:r>
      <w:r>
        <w:t xml:space="preserve">Regulatory Commission of Alaska, the Iowa Utilities Board, the Public Utility Commission of Texas, </w:t>
      </w:r>
      <w:r w:rsidR="00CA3F46">
        <w:t xml:space="preserve">the North Carolina Utilities Commission, </w:t>
      </w:r>
      <w:r>
        <w:t>the Vermont Public Service Board, the New Hampshire Public Utilities Commission,</w:t>
      </w:r>
      <w:r w:rsidR="00D96DB0">
        <w:t xml:space="preserve"> </w:t>
      </w:r>
      <w:r w:rsidR="00CA3F46">
        <w:t xml:space="preserve">and </w:t>
      </w:r>
      <w:r>
        <w:t>the Maine Public Utiliti</w:t>
      </w:r>
      <w:r w:rsidR="00D96DB0">
        <w:t>es Commission.</w:t>
      </w:r>
    </w:p>
    <w:p w:rsidR="00D64B12" w:rsidRDefault="00D64B12" w:rsidP="00E14679">
      <w:pPr>
        <w:pStyle w:val="Heading1"/>
        <w:keepNext w:val="0"/>
        <w:keepLines w:val="0"/>
        <w:jc w:val="center"/>
        <w:rPr>
          <w:szCs w:val="24"/>
        </w:rPr>
      </w:pPr>
      <w:bookmarkStart w:id="1" w:name="_Toc472678912"/>
      <w:r w:rsidRPr="00151517">
        <w:rPr>
          <w:szCs w:val="24"/>
          <w:u w:val="none"/>
        </w:rPr>
        <w:t>II</w:t>
      </w:r>
      <w:proofErr w:type="gramStart"/>
      <w:r w:rsidRPr="00151517">
        <w:rPr>
          <w:szCs w:val="24"/>
          <w:u w:val="none"/>
        </w:rPr>
        <w:t>.</w:t>
      </w:r>
      <w:r w:rsidR="00E14679">
        <w:rPr>
          <w:szCs w:val="24"/>
          <w:u w:val="none"/>
        </w:rPr>
        <w:t xml:space="preserve">  </w:t>
      </w:r>
      <w:r w:rsidRPr="00151517">
        <w:rPr>
          <w:szCs w:val="24"/>
        </w:rPr>
        <w:t>PURPOSE</w:t>
      </w:r>
      <w:proofErr w:type="gramEnd"/>
      <w:r w:rsidRPr="00151517">
        <w:rPr>
          <w:szCs w:val="24"/>
        </w:rPr>
        <w:t xml:space="preserve"> AND SUMMARY OF TESTIMONY</w:t>
      </w:r>
      <w:r w:rsidR="00B05B6B">
        <w:rPr>
          <w:szCs w:val="24"/>
        </w:rPr>
        <w:t>.</w:t>
      </w:r>
      <w:bookmarkEnd w:id="1"/>
    </w:p>
    <w:p w:rsidR="00FC2056" w:rsidRPr="00FC2056" w:rsidRDefault="00FC2056" w:rsidP="004D69D7"/>
    <w:p w:rsidR="00D64B12" w:rsidRPr="00151517" w:rsidRDefault="00D64B12" w:rsidP="004D69D7">
      <w:pPr>
        <w:spacing w:line="480" w:lineRule="auto"/>
        <w:ind w:firstLine="720"/>
        <w:rPr>
          <w:b/>
        </w:rPr>
      </w:pPr>
      <w:r w:rsidRPr="00151517">
        <w:rPr>
          <w:b/>
        </w:rPr>
        <w:t>Q.</w:t>
      </w:r>
      <w:r w:rsidRPr="00151517">
        <w:rPr>
          <w:b/>
        </w:rPr>
        <w:tab/>
        <w:t>What is the purpose of your testimony in this proceeding?</w:t>
      </w:r>
    </w:p>
    <w:p w:rsidR="007208DB" w:rsidRDefault="008E125A" w:rsidP="00E336C6">
      <w:pPr>
        <w:spacing w:line="480" w:lineRule="auto"/>
        <w:ind w:left="1440" w:hanging="720"/>
      </w:pPr>
      <w:r>
        <w:t>A.</w:t>
      </w:r>
      <w:r>
        <w:tab/>
        <w:t xml:space="preserve">I am testifying </w:t>
      </w:r>
      <w:r w:rsidR="00713D54">
        <w:t xml:space="preserve">before the Commission </w:t>
      </w:r>
      <w:r>
        <w:t xml:space="preserve">in support of the </w:t>
      </w:r>
      <w:r w:rsidR="00FF6DA0">
        <w:t>Merger announced</w:t>
      </w:r>
      <w:r>
        <w:t xml:space="preserve"> by CenturyLink and </w:t>
      </w:r>
      <w:r w:rsidR="00FF6DA0">
        <w:t>Level 3</w:t>
      </w:r>
      <w:r w:rsidR="00080D70">
        <w:t xml:space="preserve"> on October 31, 201</w:t>
      </w:r>
      <w:r w:rsidR="00D71634">
        <w:t>6</w:t>
      </w:r>
      <w:r w:rsidR="00E336C6">
        <w:t>.</w:t>
      </w:r>
      <w:r w:rsidR="00132DFF">
        <w:t xml:space="preserve">  My testimony </w:t>
      </w:r>
      <w:r w:rsidR="00FF6DA0">
        <w:t>provide</w:t>
      </w:r>
      <w:r w:rsidR="00132DFF">
        <w:t>s</w:t>
      </w:r>
      <w:r w:rsidR="00FF6DA0">
        <w:t xml:space="preserve"> an </w:t>
      </w:r>
      <w:r w:rsidR="00380E71">
        <w:t>overview of</w:t>
      </w:r>
      <w:r w:rsidR="001F24AC">
        <w:t xml:space="preserve"> </w:t>
      </w:r>
      <w:r w:rsidR="00E6006C">
        <w:t xml:space="preserve">the </w:t>
      </w:r>
      <w:r w:rsidR="00FF6DA0">
        <w:t xml:space="preserve">proposed Merger, detail about the financing </w:t>
      </w:r>
      <w:r w:rsidR="00713D54">
        <w:t>of the transaction</w:t>
      </w:r>
      <w:r w:rsidR="00FF6DA0">
        <w:t xml:space="preserve">, and </w:t>
      </w:r>
      <w:r w:rsidR="00713D54">
        <w:t xml:space="preserve">discussion of </w:t>
      </w:r>
      <w:r w:rsidR="00FF6DA0">
        <w:t xml:space="preserve">the </w:t>
      </w:r>
      <w:r w:rsidR="00713D54">
        <w:t xml:space="preserve">post-Merger </w:t>
      </w:r>
      <w:r w:rsidR="00E6006C">
        <w:t xml:space="preserve">financial </w:t>
      </w:r>
      <w:r w:rsidR="00380E71">
        <w:t>characteristics of the combined company</w:t>
      </w:r>
      <w:r w:rsidR="001F24AC">
        <w:t xml:space="preserve"> </w:t>
      </w:r>
      <w:r w:rsidR="00BF4504">
        <w:t>as those characteristics</w:t>
      </w:r>
      <w:r w:rsidR="008B64CD">
        <w:t xml:space="preserve"> might relate to the public interest</w:t>
      </w:r>
      <w:r w:rsidR="00FF6DA0">
        <w:t xml:space="preserve">.  </w:t>
      </w:r>
    </w:p>
    <w:p w:rsidR="008E125A" w:rsidRDefault="008E125A" w:rsidP="007208DB">
      <w:pPr>
        <w:spacing w:line="480" w:lineRule="auto"/>
        <w:ind w:left="1440" w:hanging="720"/>
        <w:rPr>
          <w:b/>
          <w:bCs/>
        </w:rPr>
      </w:pPr>
      <w:r>
        <w:rPr>
          <w:b/>
          <w:bCs/>
        </w:rPr>
        <w:t>Q.</w:t>
      </w:r>
      <w:r>
        <w:rPr>
          <w:b/>
          <w:bCs/>
        </w:rPr>
        <w:tab/>
        <w:t>Are other witnesses filing direct testimony in this proceeding?</w:t>
      </w:r>
    </w:p>
    <w:p w:rsidR="008E125A" w:rsidRDefault="008E125A" w:rsidP="00495958">
      <w:pPr>
        <w:spacing w:after="240" w:line="480" w:lineRule="auto"/>
        <w:ind w:left="1440" w:hanging="720"/>
      </w:pPr>
      <w:r>
        <w:t>A.</w:t>
      </w:r>
      <w:r>
        <w:tab/>
        <w:t>Yes.</w:t>
      </w:r>
      <w:r w:rsidR="003104C3">
        <w:t xml:space="preserve">  I have reviewed the testimonies of </w:t>
      </w:r>
      <w:r w:rsidR="00DE167B" w:rsidRPr="00DE167B">
        <w:t>Mark Reynolds, representing CenturyLink, and Kristie Ince</w:t>
      </w:r>
      <w:r w:rsidR="005932DF">
        <w:t>, represent</w:t>
      </w:r>
      <w:r w:rsidR="00A85F1A">
        <w:t xml:space="preserve">ing </w:t>
      </w:r>
      <w:r w:rsidR="007208DB">
        <w:t>Level 3</w:t>
      </w:r>
      <w:r w:rsidR="00E336C6">
        <w:t>.  Those testimonies</w:t>
      </w:r>
      <w:r w:rsidR="00495958">
        <w:t xml:space="preserve"> provide </w:t>
      </w:r>
      <w:r w:rsidR="003104C3">
        <w:t xml:space="preserve">detail about other </w:t>
      </w:r>
      <w:r w:rsidR="00E336C6">
        <w:t>relevant matters</w:t>
      </w:r>
      <w:r w:rsidR="003104C3">
        <w:t xml:space="preserve"> that support th</w:t>
      </w:r>
      <w:r w:rsidR="00380E71">
        <w:t>e proposed</w:t>
      </w:r>
      <w:r w:rsidR="00042E1D">
        <w:t xml:space="preserve"> M</w:t>
      </w:r>
      <w:r w:rsidR="007208DB">
        <w:t>erger of CenturyLink with Level 3</w:t>
      </w:r>
      <w:r w:rsidR="003104C3">
        <w:t xml:space="preserve">.  My testimony </w:t>
      </w:r>
      <w:r w:rsidR="00380E71">
        <w:t>c</w:t>
      </w:r>
      <w:r w:rsidR="00042E1D">
        <w:t>omplements those testimonies with</w:t>
      </w:r>
      <w:r w:rsidR="003104C3">
        <w:t xml:space="preserve"> </w:t>
      </w:r>
      <w:r w:rsidR="00E336C6">
        <w:t>a focus on</w:t>
      </w:r>
      <w:r w:rsidR="003104C3">
        <w:t xml:space="preserve"> financial </w:t>
      </w:r>
      <w:r w:rsidR="00E336C6">
        <w:t xml:space="preserve">factors related to the </w:t>
      </w:r>
      <w:r w:rsidR="003104C3">
        <w:t xml:space="preserve">proposed </w:t>
      </w:r>
      <w:r w:rsidR="00132DFF">
        <w:t>transaction</w:t>
      </w:r>
      <w:r w:rsidR="003104C3">
        <w:t>.</w:t>
      </w:r>
      <w:r>
        <w:t xml:space="preserve">  </w:t>
      </w:r>
      <w:r w:rsidR="00495958">
        <w:t>I have also reviewed</w:t>
      </w:r>
      <w:r w:rsidR="00BF4504">
        <w:t xml:space="preserve"> relevant </w:t>
      </w:r>
      <w:r w:rsidR="0039499C">
        <w:t xml:space="preserve">transaction-related </w:t>
      </w:r>
      <w:r w:rsidR="00BF4504">
        <w:t>documentation, including the Merger announcements</w:t>
      </w:r>
      <w:r w:rsidR="0039499C">
        <w:t xml:space="preserve"> from the companies</w:t>
      </w:r>
      <w:r w:rsidR="00BF4504">
        <w:t xml:space="preserve">, the filings </w:t>
      </w:r>
      <w:r w:rsidR="0039499C">
        <w:t>with</w:t>
      </w:r>
      <w:r w:rsidR="00BF4504">
        <w:t xml:space="preserve"> the Securities and Exchange Commission (“SEC”), </w:t>
      </w:r>
      <w:r w:rsidR="005411E3">
        <w:t>the Notice of Transaction a</w:t>
      </w:r>
      <w:r w:rsidR="005411E3" w:rsidRPr="005411E3">
        <w:t xml:space="preserve">nd Application </w:t>
      </w:r>
      <w:r w:rsidR="005411E3">
        <w:t>before the Commission,</w:t>
      </w:r>
      <w:r w:rsidR="005411E3">
        <w:rPr>
          <w:rStyle w:val="FootnoteReference"/>
        </w:rPr>
        <w:footnoteReference w:id="1"/>
      </w:r>
      <w:r w:rsidR="005411E3">
        <w:t xml:space="preserve"> </w:t>
      </w:r>
      <w:r w:rsidR="00BF4504">
        <w:t xml:space="preserve">and documentation from credit rating agencies and </w:t>
      </w:r>
      <w:r w:rsidR="0039499C">
        <w:t xml:space="preserve">Wall Street </w:t>
      </w:r>
      <w:r w:rsidR="00BF4504">
        <w:t xml:space="preserve">sell-side equity </w:t>
      </w:r>
      <w:r w:rsidR="0039499C">
        <w:t xml:space="preserve">research </w:t>
      </w:r>
      <w:r w:rsidR="00BF4504">
        <w:t>analysts.</w:t>
      </w:r>
    </w:p>
    <w:p w:rsidR="00D31C2F" w:rsidRDefault="00D31C2F" w:rsidP="007208DB">
      <w:pPr>
        <w:spacing w:line="480" w:lineRule="auto"/>
        <w:ind w:left="1440" w:hanging="720"/>
        <w:rPr>
          <w:b/>
        </w:rPr>
      </w:pPr>
      <w:r>
        <w:rPr>
          <w:b/>
        </w:rPr>
        <w:t>Q.</w:t>
      </w:r>
      <w:r w:rsidR="00CB6A0D">
        <w:rPr>
          <w:b/>
        </w:rPr>
        <w:tab/>
        <w:t>Are you famili</w:t>
      </w:r>
      <w:r w:rsidR="005F7B63">
        <w:rPr>
          <w:b/>
        </w:rPr>
        <w:t>ar with th</w:t>
      </w:r>
      <w:r w:rsidR="0066083D">
        <w:rPr>
          <w:b/>
        </w:rPr>
        <w:t>is Commission</w:t>
      </w:r>
      <w:r w:rsidR="005F7B63">
        <w:rPr>
          <w:b/>
        </w:rPr>
        <w:t>’s</w:t>
      </w:r>
      <w:r w:rsidR="00CB6A0D">
        <w:rPr>
          <w:b/>
        </w:rPr>
        <w:t xml:space="preserve"> standard of review?</w:t>
      </w:r>
    </w:p>
    <w:p w:rsidR="0022671C" w:rsidRDefault="00CB6A0D" w:rsidP="00B27B7C">
      <w:pPr>
        <w:spacing w:line="480" w:lineRule="auto"/>
        <w:ind w:left="1440" w:hanging="720"/>
      </w:pPr>
      <w:r>
        <w:t>A.</w:t>
      </w:r>
      <w:r>
        <w:tab/>
      </w:r>
      <w:r w:rsidR="00B27B7C" w:rsidRPr="001B3020">
        <w:t xml:space="preserve">I am not an attorney and am testifying as a financial and telecommunications expert in this proceeding.  However, I have been advised by counsel representing CenturyLink that </w:t>
      </w:r>
      <w:r w:rsidR="00B27B7C">
        <w:t xml:space="preserve">when </w:t>
      </w:r>
      <w:r w:rsidR="00B27B7C" w:rsidRPr="001B3020">
        <w:t>this Commission</w:t>
      </w:r>
      <w:r w:rsidR="00B27B7C">
        <w:t xml:space="preserve"> was examining the Qwest/CenturyLink merger, it set forth the standard for approval of a merger or acquisition under Chapter 80.12 RCW, focusing on whether the transaction is consistent with the public interest.</w:t>
      </w:r>
      <w:r w:rsidR="00B27B7C">
        <w:rPr>
          <w:rStyle w:val="FootnoteReference"/>
        </w:rPr>
        <w:footnoteReference w:id="2"/>
      </w:r>
      <w:r w:rsidR="00B27B7C">
        <w:t xml:space="preserve">  </w:t>
      </w:r>
      <w:r w:rsidR="00D71634">
        <w:t>T</w:t>
      </w:r>
      <w:r w:rsidR="00F031E6">
        <w:t xml:space="preserve">he Applicants </w:t>
      </w:r>
      <w:r w:rsidR="00B27B7C">
        <w:t>are confident that CenturyLink’s</w:t>
      </w:r>
      <w:r w:rsidR="00B27B7C" w:rsidRPr="008C72FA">
        <w:t xml:space="preserve"> proposed acquisition of Level 3 Communic</w:t>
      </w:r>
      <w:r w:rsidR="00B27B7C">
        <w:t>ations, Inc. meets this standard, as</w:t>
      </w:r>
      <w:r w:rsidR="00F031E6">
        <w:t xml:space="preserve"> the Merger</w:t>
      </w:r>
      <w:r w:rsidR="00B27B7C">
        <w:t xml:space="preserve"> provides affirmative benefits without any adverse impacts or harm. </w:t>
      </w:r>
    </w:p>
    <w:p w:rsidR="005F7B63" w:rsidRDefault="005F7B63" w:rsidP="005F7B63">
      <w:pPr>
        <w:tabs>
          <w:tab w:val="left" w:pos="90"/>
        </w:tabs>
        <w:spacing w:line="480" w:lineRule="auto"/>
        <w:ind w:left="1440" w:hanging="720"/>
        <w:rPr>
          <w:b/>
        </w:rPr>
      </w:pPr>
      <w:r>
        <w:rPr>
          <w:b/>
        </w:rPr>
        <w:t>Q.</w:t>
      </w:r>
      <w:r>
        <w:rPr>
          <w:b/>
        </w:rPr>
        <w:tab/>
      </w:r>
      <w:proofErr w:type="gramStart"/>
      <w:r w:rsidR="002737AB">
        <w:rPr>
          <w:b/>
        </w:rPr>
        <w:t>From</w:t>
      </w:r>
      <w:proofErr w:type="gramEnd"/>
      <w:r w:rsidR="002737AB">
        <w:rPr>
          <w:b/>
        </w:rPr>
        <w:t xml:space="preserve"> a financial perspective, is the proposed merger </w:t>
      </w:r>
      <w:r w:rsidR="00D71634">
        <w:rPr>
          <w:b/>
        </w:rPr>
        <w:t>consistent with</w:t>
      </w:r>
      <w:r w:rsidR="002737AB">
        <w:rPr>
          <w:b/>
        </w:rPr>
        <w:t xml:space="preserve"> the public interest</w:t>
      </w:r>
      <w:r w:rsidR="00AA5C6D">
        <w:rPr>
          <w:b/>
        </w:rPr>
        <w:t>, in your professional opinion</w:t>
      </w:r>
      <w:r>
        <w:rPr>
          <w:b/>
        </w:rPr>
        <w:t>?</w:t>
      </w:r>
    </w:p>
    <w:p w:rsidR="005F7B63" w:rsidRPr="005F7B63" w:rsidRDefault="005F7B63" w:rsidP="00EF23E5">
      <w:pPr>
        <w:tabs>
          <w:tab w:val="left" w:pos="90"/>
        </w:tabs>
        <w:spacing w:after="240" w:line="480" w:lineRule="auto"/>
        <w:ind w:left="1440" w:hanging="720"/>
      </w:pPr>
      <w:r>
        <w:t>A.</w:t>
      </w:r>
      <w:r>
        <w:tab/>
      </w:r>
      <w:r w:rsidR="00133B78">
        <w:t>Yes</w:t>
      </w:r>
      <w:r w:rsidR="00AA5C6D">
        <w:t>.</w:t>
      </w:r>
      <w:r w:rsidR="002737AB">
        <w:t xml:space="preserve"> </w:t>
      </w:r>
      <w:r w:rsidR="00AA5C6D">
        <w:t xml:space="preserve"> It is m</w:t>
      </w:r>
      <w:r w:rsidR="00BA75BF">
        <w:t>y opinion as a financial expert</w:t>
      </w:r>
      <w:r w:rsidR="00AA5C6D">
        <w:t xml:space="preserve"> that </w:t>
      </w:r>
      <w:r w:rsidR="002737AB">
        <w:t xml:space="preserve">the </w:t>
      </w:r>
      <w:r w:rsidR="007A7B8D">
        <w:t>M</w:t>
      </w:r>
      <w:r w:rsidR="002737AB">
        <w:t xml:space="preserve">erger </w:t>
      </w:r>
      <w:r w:rsidR="00D60E02">
        <w:t>should</w:t>
      </w:r>
      <w:r w:rsidR="002737AB">
        <w:t xml:space="preserve"> benefit the public interest.  </w:t>
      </w:r>
      <w:r w:rsidR="006B0AFD">
        <w:t>I explain in this testimony my conviction that t</w:t>
      </w:r>
      <w:r w:rsidR="00E336C6">
        <w:t xml:space="preserve">he </w:t>
      </w:r>
      <w:r w:rsidR="007A7B8D">
        <w:t xml:space="preserve">financial position of the </w:t>
      </w:r>
      <w:r w:rsidR="002737AB">
        <w:t>combined compan</w:t>
      </w:r>
      <w:r w:rsidR="007A7B8D">
        <w:t>y</w:t>
      </w:r>
      <w:r w:rsidR="00E336C6">
        <w:t xml:space="preserve"> </w:t>
      </w:r>
      <w:r w:rsidR="007A7B8D">
        <w:t xml:space="preserve">is </w:t>
      </w:r>
      <w:r w:rsidR="00E336C6">
        <w:t xml:space="preserve">strengthened </w:t>
      </w:r>
      <w:r w:rsidR="001C67B8">
        <w:t>through this Merger</w:t>
      </w:r>
      <w:r w:rsidR="00C374EE">
        <w:t>,</w:t>
      </w:r>
      <w:r w:rsidR="001C67B8">
        <w:t xml:space="preserve"> </w:t>
      </w:r>
      <w:r w:rsidR="00C374EE">
        <w:t>as the transaction</w:t>
      </w:r>
      <w:r w:rsidR="001C67B8">
        <w:t xml:space="preserve"> </w:t>
      </w:r>
      <w:r w:rsidR="00C374EE">
        <w:t xml:space="preserve">enhances operational scale, expands market reach, and is accretive to </w:t>
      </w:r>
      <w:r w:rsidR="009E300A">
        <w:t xml:space="preserve">revenues, </w:t>
      </w:r>
      <w:r w:rsidR="00C374EE">
        <w:t>margins and free</w:t>
      </w:r>
      <w:r w:rsidR="00E336C6">
        <w:t xml:space="preserve"> cash flows</w:t>
      </w:r>
      <w:r w:rsidR="00C374EE">
        <w:t xml:space="preserve">. </w:t>
      </w:r>
      <w:r w:rsidR="00E336C6">
        <w:t xml:space="preserve"> </w:t>
      </w:r>
      <w:r w:rsidR="00C374EE">
        <w:t xml:space="preserve">In addition, the </w:t>
      </w:r>
      <w:r w:rsidR="00B47897">
        <w:t>post-Merger Company will have the assets, network, and product diversity to better address customer needs</w:t>
      </w:r>
      <w:r w:rsidR="00BA75BF">
        <w:t xml:space="preserve"> and reduce business </w:t>
      </w:r>
      <w:r w:rsidR="007A7B8D">
        <w:t xml:space="preserve">concentration </w:t>
      </w:r>
      <w:r w:rsidR="00BA75BF">
        <w:t>risk</w:t>
      </w:r>
      <w:r w:rsidR="00B47897">
        <w:t>, further enhancing its competitive positioning and value proposition</w:t>
      </w:r>
      <w:r w:rsidR="001C67B8">
        <w:t xml:space="preserve">.  </w:t>
      </w:r>
      <w:r w:rsidR="00B47897">
        <w:t>T</w:t>
      </w:r>
      <w:r w:rsidR="001C67B8">
        <w:t>hese</w:t>
      </w:r>
      <w:r w:rsidR="00EF23E5">
        <w:t xml:space="preserve"> </w:t>
      </w:r>
      <w:r w:rsidR="001C67B8">
        <w:t>fi</w:t>
      </w:r>
      <w:r w:rsidR="00EF23E5">
        <w:t xml:space="preserve">nancial and competitive factors are “affirmative benefits” that are </w:t>
      </w:r>
      <w:r w:rsidR="00E336C6">
        <w:t>in the public interest</w:t>
      </w:r>
      <w:r w:rsidR="005A67BC">
        <w:t xml:space="preserve">, as I explain </w:t>
      </w:r>
      <w:r w:rsidR="001C67B8">
        <w:t>in the following testimony</w:t>
      </w:r>
      <w:r w:rsidR="00E336C6">
        <w:t>.</w:t>
      </w:r>
    </w:p>
    <w:p w:rsidR="008E125A" w:rsidRDefault="008E125A" w:rsidP="007208DB">
      <w:pPr>
        <w:spacing w:line="480" w:lineRule="auto"/>
        <w:ind w:left="1440" w:hanging="720"/>
        <w:rPr>
          <w:b/>
          <w:bCs/>
        </w:rPr>
      </w:pPr>
      <w:r>
        <w:rPr>
          <w:b/>
          <w:bCs/>
        </w:rPr>
        <w:t>Q.</w:t>
      </w:r>
      <w:r>
        <w:rPr>
          <w:b/>
          <w:bCs/>
        </w:rPr>
        <w:tab/>
        <w:t xml:space="preserve">Please </w:t>
      </w:r>
      <w:r w:rsidR="008E7A03">
        <w:rPr>
          <w:b/>
          <w:bCs/>
        </w:rPr>
        <w:t>summarize your testimony</w:t>
      </w:r>
      <w:r>
        <w:rPr>
          <w:b/>
          <w:bCs/>
        </w:rPr>
        <w:t>.</w:t>
      </w:r>
    </w:p>
    <w:p w:rsidR="008E7A03" w:rsidRDefault="008E125A" w:rsidP="007208DB">
      <w:pPr>
        <w:spacing w:line="480" w:lineRule="auto"/>
        <w:ind w:left="1440" w:hanging="720"/>
      </w:pPr>
      <w:r>
        <w:t>A.</w:t>
      </w:r>
      <w:r>
        <w:tab/>
      </w:r>
      <w:r w:rsidR="000E10A8">
        <w:t>My testimony is focused on</w:t>
      </w:r>
      <w:r w:rsidR="00281E92">
        <w:t xml:space="preserve"> financial matters about which the Commission may be concerned as it </w:t>
      </w:r>
      <w:r w:rsidR="00AE7EAF">
        <w:t xml:space="preserve">considers </w:t>
      </w:r>
      <w:r w:rsidR="00281E92">
        <w:t xml:space="preserve">the Merger.  </w:t>
      </w:r>
      <w:r w:rsidR="00132DFF">
        <w:t xml:space="preserve">Specifically, I </w:t>
      </w:r>
      <w:r w:rsidR="00AE7EAF">
        <w:t>address</w:t>
      </w:r>
      <w:r w:rsidR="008E7A03">
        <w:t xml:space="preserve"> </w:t>
      </w:r>
      <w:r w:rsidR="0098443F">
        <w:t>three</w:t>
      </w:r>
      <w:r w:rsidR="00811E2C">
        <w:t xml:space="preserve"> general </w:t>
      </w:r>
      <w:r w:rsidR="007C5B16">
        <w:t>subjects</w:t>
      </w:r>
      <w:r w:rsidR="00811E2C">
        <w:t>:</w:t>
      </w:r>
    </w:p>
    <w:p w:rsidR="008E7A03" w:rsidRDefault="008E7A03" w:rsidP="00281E92">
      <w:pPr>
        <w:spacing w:line="480" w:lineRule="auto"/>
        <w:ind w:left="1980" w:hanging="540"/>
      </w:pPr>
      <w:r>
        <w:t>1.</w:t>
      </w:r>
      <w:r>
        <w:tab/>
      </w:r>
      <w:r w:rsidR="00E9795E">
        <w:t>A financial summary of</w:t>
      </w:r>
      <w:r w:rsidR="00281E92">
        <w:t xml:space="preserve"> the Merger</w:t>
      </w:r>
      <w:r w:rsidR="00483E6F">
        <w:t xml:space="preserve">, including the agreed-upon </w:t>
      </w:r>
      <w:r w:rsidR="00AE7EAF">
        <w:t>transaction consideration</w:t>
      </w:r>
      <w:r w:rsidR="00483E6F">
        <w:t xml:space="preserve">, financing </w:t>
      </w:r>
      <w:r w:rsidR="00483E6F" w:rsidRPr="009D1F29">
        <w:t xml:space="preserve">plans, synergies, and </w:t>
      </w:r>
      <w:r w:rsidR="00AE7EAF" w:rsidRPr="009D1F29">
        <w:t>tax</w:t>
      </w:r>
      <w:r w:rsidR="00AE7EAF">
        <w:t xml:space="preserve"> </w:t>
      </w:r>
      <w:r w:rsidR="00483E6F">
        <w:t>benefits derived from the accelerated use of Level 3’s net operating losses (“NOLs”)</w:t>
      </w:r>
      <w:r w:rsidR="00811E2C">
        <w:t>;</w:t>
      </w:r>
    </w:p>
    <w:p w:rsidR="008E7A03" w:rsidRDefault="008E7A03" w:rsidP="00281E92">
      <w:pPr>
        <w:spacing w:line="480" w:lineRule="auto"/>
        <w:ind w:left="1980" w:hanging="540"/>
      </w:pPr>
      <w:r>
        <w:t>2.</w:t>
      </w:r>
      <w:r>
        <w:tab/>
      </w:r>
      <w:r w:rsidR="00E9795E">
        <w:t xml:space="preserve">A description of acquisition-related financing, </w:t>
      </w:r>
      <w:r w:rsidR="00DC0C73">
        <w:t>which</w:t>
      </w:r>
      <w:r w:rsidR="00C15815">
        <w:t xml:space="preserve"> shows that</w:t>
      </w:r>
      <w:r w:rsidR="00132DFF">
        <w:t xml:space="preserve"> </w:t>
      </w:r>
      <w:r w:rsidR="00E06DC1">
        <w:t xml:space="preserve">CenturyLink </w:t>
      </w:r>
      <w:r w:rsidR="00132DFF">
        <w:t xml:space="preserve">should be able to resolve </w:t>
      </w:r>
      <w:r w:rsidR="00AE7EAF">
        <w:t>its financial obligations</w:t>
      </w:r>
      <w:r w:rsidR="00132DFF">
        <w:t xml:space="preserve"> in a variety of ways</w:t>
      </w:r>
      <w:r w:rsidR="00EF23E5">
        <w:t xml:space="preserve"> that have no </w:t>
      </w:r>
      <w:r w:rsidR="00386F04">
        <w:t xml:space="preserve">negative </w:t>
      </w:r>
      <w:r w:rsidR="00EF23E5">
        <w:t>effect on regulated assets or operations</w:t>
      </w:r>
      <w:r w:rsidR="00811E2C">
        <w:t>;</w:t>
      </w:r>
      <w:r w:rsidR="0098443F">
        <w:t xml:space="preserve"> and</w:t>
      </w:r>
    </w:p>
    <w:p w:rsidR="000D1FD9" w:rsidRDefault="0098443F" w:rsidP="00281E92">
      <w:pPr>
        <w:spacing w:line="480" w:lineRule="auto"/>
        <w:ind w:left="1980" w:hanging="540"/>
      </w:pPr>
      <w:r>
        <w:t>3</w:t>
      </w:r>
      <w:r w:rsidR="00305DBB">
        <w:t>.</w:t>
      </w:r>
      <w:r w:rsidR="00305DBB">
        <w:tab/>
      </w:r>
      <w:r w:rsidR="00E9795E">
        <w:t>The financial rationale for</w:t>
      </w:r>
      <w:r w:rsidR="00305DBB">
        <w:t xml:space="preserve"> the merged company, including </w:t>
      </w:r>
      <w:r w:rsidR="00CC5578">
        <w:t xml:space="preserve">affirmative </w:t>
      </w:r>
      <w:r w:rsidR="00E9795E">
        <w:t xml:space="preserve">benefits </w:t>
      </w:r>
      <w:r w:rsidR="00216DD7">
        <w:t xml:space="preserve">that </w:t>
      </w:r>
      <w:r w:rsidR="00CC5578">
        <w:t xml:space="preserve">should </w:t>
      </w:r>
      <w:r w:rsidR="00E9795E">
        <w:t>flow through to customers, employees and the communities served by the company.</w:t>
      </w:r>
    </w:p>
    <w:p w:rsidR="0022671C" w:rsidRDefault="00E9795E" w:rsidP="00E14679">
      <w:pPr>
        <w:pStyle w:val="Heading1"/>
        <w:jc w:val="center"/>
        <w:rPr>
          <w:szCs w:val="24"/>
        </w:rPr>
      </w:pPr>
      <w:bookmarkStart w:id="2" w:name="_Toc472678913"/>
      <w:r w:rsidRPr="00151517">
        <w:rPr>
          <w:szCs w:val="24"/>
          <w:u w:val="none"/>
        </w:rPr>
        <w:t>II</w:t>
      </w:r>
      <w:r>
        <w:rPr>
          <w:szCs w:val="24"/>
          <w:u w:val="none"/>
        </w:rPr>
        <w:t>I</w:t>
      </w:r>
      <w:proofErr w:type="gramStart"/>
      <w:r w:rsidRPr="00151517">
        <w:rPr>
          <w:szCs w:val="24"/>
          <w:u w:val="none"/>
        </w:rPr>
        <w:t>.</w:t>
      </w:r>
      <w:r w:rsidR="00E14679">
        <w:rPr>
          <w:szCs w:val="24"/>
          <w:u w:val="none"/>
        </w:rPr>
        <w:t xml:space="preserve">  </w:t>
      </w:r>
      <w:r>
        <w:rPr>
          <w:szCs w:val="24"/>
        </w:rPr>
        <w:t>FINANCIAL</w:t>
      </w:r>
      <w:proofErr w:type="gramEnd"/>
      <w:r>
        <w:rPr>
          <w:szCs w:val="24"/>
        </w:rPr>
        <w:t xml:space="preserve"> SUMMARY OF THE MERGER.</w:t>
      </w:r>
      <w:bookmarkEnd w:id="2"/>
    </w:p>
    <w:p w:rsidR="00FC2056" w:rsidRPr="00FC2056" w:rsidRDefault="00FC2056" w:rsidP="00FC2056"/>
    <w:p w:rsidR="0022671C" w:rsidRDefault="006C0941" w:rsidP="0022671C">
      <w:pPr>
        <w:pStyle w:val="BodyText"/>
        <w:keepNext/>
        <w:ind w:left="1440" w:hanging="720"/>
        <w:rPr>
          <w:b/>
        </w:rPr>
      </w:pPr>
      <w:r>
        <w:rPr>
          <w:b/>
        </w:rPr>
        <w:t>Q.</w:t>
      </w:r>
      <w:r>
        <w:rPr>
          <w:b/>
        </w:rPr>
        <w:tab/>
        <w:t>Please describe the Merger transaction.</w:t>
      </w:r>
    </w:p>
    <w:p w:rsidR="0022671C" w:rsidRDefault="006C0941" w:rsidP="0022671C">
      <w:pPr>
        <w:pStyle w:val="BodyText"/>
        <w:keepNext/>
        <w:spacing w:line="480" w:lineRule="auto"/>
        <w:ind w:left="1440" w:hanging="720"/>
      </w:pPr>
      <w:r>
        <w:t>A.</w:t>
      </w:r>
      <w:r>
        <w:tab/>
        <w:t xml:space="preserve">On October 31, 2016, </w:t>
      </w:r>
      <w:r w:rsidRPr="006C0941">
        <w:t xml:space="preserve">CenturyLink and Level 3 announced that their Boards of Directors </w:t>
      </w:r>
      <w:r w:rsidR="001F57B6">
        <w:t xml:space="preserve">had </w:t>
      </w:r>
      <w:r w:rsidRPr="006C0941">
        <w:t xml:space="preserve">unanimously approved a </w:t>
      </w:r>
      <w:r>
        <w:t xml:space="preserve">merger </w:t>
      </w:r>
      <w:r w:rsidR="001F57B6">
        <w:t>in which</w:t>
      </w:r>
      <w:r>
        <w:t xml:space="preserve"> </w:t>
      </w:r>
      <w:r w:rsidRPr="006C0941">
        <w:t xml:space="preserve">CenturyLink </w:t>
      </w:r>
      <w:r w:rsidR="004D4E7B">
        <w:t xml:space="preserve">(NYSE: CTL) </w:t>
      </w:r>
      <w:r w:rsidR="00E06DC1">
        <w:t xml:space="preserve">would </w:t>
      </w:r>
      <w:r w:rsidR="001F57B6">
        <w:t>a</w:t>
      </w:r>
      <w:r w:rsidRPr="006C0941">
        <w:t xml:space="preserve">cquire Level 3 </w:t>
      </w:r>
      <w:r w:rsidR="00E06DC1">
        <w:t xml:space="preserve">(NASDAQ: LVLT) </w:t>
      </w:r>
      <w:r w:rsidRPr="006C0941">
        <w:t>in a cash and stock transaction</w:t>
      </w:r>
      <w:r w:rsidR="005A67BC">
        <w:t xml:space="preserve">.  The announced purchase price </w:t>
      </w:r>
      <w:r w:rsidR="009D31D2">
        <w:t xml:space="preserve">sets a </w:t>
      </w:r>
      <w:r w:rsidR="005A67BC">
        <w:t>value</w:t>
      </w:r>
      <w:r w:rsidR="009D31D2">
        <w:t xml:space="preserve"> for</w:t>
      </w:r>
      <w:r w:rsidR="00E06DC1" w:rsidRPr="00E06DC1">
        <w:t xml:space="preserve"> Level 3 </w:t>
      </w:r>
      <w:r w:rsidR="00E06DC1">
        <w:t xml:space="preserve">at </w:t>
      </w:r>
      <w:r w:rsidR="00E06DC1" w:rsidRPr="00E06DC1">
        <w:t xml:space="preserve">$66.50 per share, </w:t>
      </w:r>
      <w:r w:rsidR="00CB268B">
        <w:t>composed of</w:t>
      </w:r>
      <w:r w:rsidR="00E06DC1" w:rsidRPr="00E06DC1">
        <w:t xml:space="preserve"> stock consider</w:t>
      </w:r>
      <w:r w:rsidR="00453755">
        <w:t xml:space="preserve">ation </w:t>
      </w:r>
      <w:r w:rsidR="00CB268B">
        <w:t>of</w:t>
      </w:r>
      <w:r w:rsidR="00453755">
        <w:t xml:space="preserve"> $40 per share</w:t>
      </w:r>
      <w:r w:rsidR="00CB268B">
        <w:t>,</w:t>
      </w:r>
      <w:r w:rsidR="00772BAA">
        <w:t xml:space="preserve"> </w:t>
      </w:r>
      <w:r w:rsidR="00CB268B">
        <w:t>using a fixed exchange ratio of 1.4286 CenturyLink shares for each Level 3 share based on</w:t>
      </w:r>
      <w:r w:rsidR="00772BAA">
        <w:t xml:space="preserve"> a reference price of $28.00 per </w:t>
      </w:r>
      <w:r w:rsidR="00CB268B">
        <w:t xml:space="preserve">CenturyLink </w:t>
      </w:r>
      <w:r w:rsidR="00772BAA">
        <w:t>share</w:t>
      </w:r>
      <w:r w:rsidR="00CB268B">
        <w:t>, and cash consideration of $26.50 per share</w:t>
      </w:r>
      <w:r w:rsidR="00E06DC1" w:rsidRPr="00E06DC1">
        <w:t>.</w:t>
      </w:r>
      <w:r w:rsidR="003522AC">
        <w:rPr>
          <w:rStyle w:val="FootnoteReference"/>
        </w:rPr>
        <w:footnoteReference w:id="3"/>
      </w:r>
      <w:r w:rsidR="00E06DC1">
        <w:t xml:space="preserve">  </w:t>
      </w:r>
      <w:r w:rsidR="00CB268B">
        <w:t xml:space="preserve">As a result, the total consideration is 60% stock and 40% cash.  </w:t>
      </w:r>
      <w:r w:rsidR="001F57B6">
        <w:t xml:space="preserve">The </w:t>
      </w:r>
      <w:r w:rsidR="00A537C2">
        <w:t xml:space="preserve">acquisition implies that </w:t>
      </w:r>
      <w:r w:rsidR="00F9149C">
        <w:t xml:space="preserve">Level 3’s </w:t>
      </w:r>
      <w:r w:rsidR="00A537C2">
        <w:t xml:space="preserve">total </w:t>
      </w:r>
      <w:r w:rsidR="001F57B6">
        <w:t xml:space="preserve">enterprise value </w:t>
      </w:r>
      <w:r w:rsidR="004D4E7B">
        <w:t xml:space="preserve">(equity value plus net debt) </w:t>
      </w:r>
      <w:r w:rsidR="001F57B6">
        <w:t>is</w:t>
      </w:r>
      <w:r w:rsidRPr="006C0941">
        <w:t xml:space="preserve"> approximately $34 billion, </w:t>
      </w:r>
      <w:r>
        <w:t xml:space="preserve">which includes </w:t>
      </w:r>
      <w:r w:rsidR="00F67F81">
        <w:t xml:space="preserve">aggregate </w:t>
      </w:r>
      <w:r>
        <w:t xml:space="preserve">equity consideration </w:t>
      </w:r>
      <w:r w:rsidR="00F67F81">
        <w:t xml:space="preserve">of </w:t>
      </w:r>
      <w:r w:rsidR="00A537C2">
        <w:t>approximately $24</w:t>
      </w:r>
      <w:r w:rsidR="009B547A">
        <w:t>.1</w:t>
      </w:r>
      <w:r w:rsidR="00A537C2">
        <w:t xml:space="preserve"> billion </w:t>
      </w:r>
      <w:r>
        <w:t xml:space="preserve">and </w:t>
      </w:r>
      <w:r w:rsidRPr="006C0941">
        <w:t xml:space="preserve">the assumption of </w:t>
      </w:r>
      <w:r w:rsidRPr="009232AD">
        <w:t xml:space="preserve">Level 3’s </w:t>
      </w:r>
      <w:r w:rsidR="00417EA5" w:rsidRPr="009232AD">
        <w:t xml:space="preserve">net </w:t>
      </w:r>
      <w:r w:rsidRPr="009232AD">
        <w:t>debt</w:t>
      </w:r>
      <w:r w:rsidR="00A537C2" w:rsidRPr="009232AD">
        <w:t xml:space="preserve"> of </w:t>
      </w:r>
      <w:r w:rsidR="005A67BC" w:rsidRPr="009232AD">
        <w:t xml:space="preserve">approximately </w:t>
      </w:r>
      <w:r w:rsidR="00417EA5" w:rsidRPr="009232AD">
        <w:t>$9.</w:t>
      </w:r>
      <w:r w:rsidR="009232AD">
        <w:t>6</w:t>
      </w:r>
      <w:r w:rsidR="00A537C2" w:rsidRPr="009232AD">
        <w:t xml:space="preserve"> billion</w:t>
      </w:r>
      <w:r w:rsidR="00BE3B28">
        <w:t xml:space="preserve">, based on Level 3’s </w:t>
      </w:r>
      <w:r w:rsidR="00BC401D">
        <w:t xml:space="preserve">balance sheet at </w:t>
      </w:r>
      <w:r w:rsidR="00BE3B28">
        <w:t>June 30, 2016</w:t>
      </w:r>
      <w:r w:rsidR="009232AD">
        <w:t>.</w:t>
      </w:r>
      <w:r w:rsidR="00CD5381" w:rsidRPr="009232AD">
        <w:rPr>
          <w:rStyle w:val="FootnoteReference"/>
        </w:rPr>
        <w:footnoteReference w:id="4"/>
      </w:r>
      <w:r w:rsidRPr="009232AD">
        <w:t xml:space="preserve"> </w:t>
      </w:r>
      <w:r w:rsidR="009232AD">
        <w:t xml:space="preserve"> </w:t>
      </w:r>
      <w:r w:rsidR="00FD147C" w:rsidRPr="009232AD">
        <w:t xml:space="preserve">At </w:t>
      </w:r>
      <w:r w:rsidR="00772BAA" w:rsidRPr="009232AD">
        <w:t>the Merger</w:t>
      </w:r>
      <w:r w:rsidR="005A67BC" w:rsidRPr="009232AD">
        <w:t>’s</w:t>
      </w:r>
      <w:r w:rsidR="00772BAA" w:rsidRPr="009232AD">
        <w:t xml:space="preserve"> consummation</w:t>
      </w:r>
      <w:r w:rsidRPr="006C0941">
        <w:t>, CenturyLink</w:t>
      </w:r>
      <w:r w:rsidR="00FD147C">
        <w:t>’s</w:t>
      </w:r>
      <w:r w:rsidRPr="006C0941">
        <w:t xml:space="preserve"> shareholders </w:t>
      </w:r>
      <w:r w:rsidR="005A67BC">
        <w:t>are expected to</w:t>
      </w:r>
      <w:r w:rsidRPr="006C0941">
        <w:t xml:space="preserve"> own approximately 51 percent an</w:t>
      </w:r>
      <w:r w:rsidR="005A67BC">
        <w:t xml:space="preserve">d Level 3 shareholders will </w:t>
      </w:r>
      <w:r w:rsidR="00CB268B">
        <w:t xml:space="preserve">own </w:t>
      </w:r>
      <w:r w:rsidRPr="006C0941">
        <w:t>approxim</w:t>
      </w:r>
      <w:r w:rsidR="00FD147C">
        <w:t xml:space="preserve">ately 49 percent of </w:t>
      </w:r>
      <w:r w:rsidR="00772BAA">
        <w:t>the combined company</w:t>
      </w:r>
      <w:r w:rsidR="0032365D">
        <w:t>.</w:t>
      </w:r>
      <w:r w:rsidR="001A51D4">
        <w:rPr>
          <w:rStyle w:val="FootnoteReference"/>
        </w:rPr>
        <w:footnoteReference w:id="5"/>
      </w:r>
      <w:r w:rsidR="0032365D">
        <w:tab/>
      </w:r>
    </w:p>
    <w:p w:rsidR="00136EE4" w:rsidRDefault="00136EE4" w:rsidP="00ED1A47">
      <w:pPr>
        <w:pStyle w:val="BodyText"/>
        <w:spacing w:after="0" w:line="480" w:lineRule="auto"/>
        <w:ind w:left="1440" w:hanging="720"/>
        <w:rPr>
          <w:b/>
        </w:rPr>
      </w:pPr>
      <w:r>
        <w:rPr>
          <w:b/>
        </w:rPr>
        <w:t>Q.</w:t>
      </w:r>
      <w:r>
        <w:rPr>
          <w:b/>
        </w:rPr>
        <w:tab/>
        <w:t xml:space="preserve">What </w:t>
      </w:r>
      <w:r w:rsidR="002D40C3">
        <w:rPr>
          <w:b/>
        </w:rPr>
        <w:t>is the strategic and operational rationale for</w:t>
      </w:r>
      <w:r w:rsidR="0032365D">
        <w:rPr>
          <w:b/>
        </w:rPr>
        <w:t xml:space="preserve"> the M</w:t>
      </w:r>
      <w:r>
        <w:rPr>
          <w:b/>
        </w:rPr>
        <w:t>erger?</w:t>
      </w:r>
    </w:p>
    <w:p w:rsidR="00136EE4" w:rsidRDefault="00136EE4" w:rsidP="003153DA">
      <w:pPr>
        <w:pStyle w:val="BodyText"/>
        <w:spacing w:line="480" w:lineRule="auto"/>
        <w:ind w:left="1440" w:hanging="720"/>
      </w:pPr>
      <w:r>
        <w:t>A.</w:t>
      </w:r>
      <w:r>
        <w:tab/>
      </w:r>
      <w:r w:rsidR="002D40C3">
        <w:t>The Merger will create a leading facilities-based enterprise communications provider, with $19 billion in pro forma business revenues representing approximately 76% of the combined company’s total consolidated revenues.</w:t>
      </w:r>
      <w:r w:rsidR="0066083D">
        <w:rPr>
          <w:rStyle w:val="FootnoteReference"/>
        </w:rPr>
        <w:footnoteReference w:id="6"/>
      </w:r>
      <w:r w:rsidR="002D40C3">
        <w:t xml:space="preserve">  </w:t>
      </w:r>
      <w:r w:rsidR="0072378E">
        <w:t xml:space="preserve">Strategically, this focus on business and enterprise communications </w:t>
      </w:r>
      <w:r w:rsidR="00295921">
        <w:t xml:space="preserve">is expected to </w:t>
      </w:r>
      <w:r w:rsidR="0072378E">
        <w:t xml:space="preserve">enhance CenturyLink’s existing growth profile, allowing it to transition to a growth-focused company with </w:t>
      </w:r>
      <w:r w:rsidR="00BA7AAD">
        <w:t xml:space="preserve">improved </w:t>
      </w:r>
      <w:r w:rsidR="0072378E">
        <w:t xml:space="preserve">revenue </w:t>
      </w:r>
      <w:r w:rsidR="00046FE6">
        <w:t xml:space="preserve">and operating cash flow </w:t>
      </w:r>
      <w:r w:rsidR="0072378E">
        <w:t xml:space="preserve">trends.  The Merger </w:t>
      </w:r>
      <w:r w:rsidR="00295921">
        <w:t xml:space="preserve">should </w:t>
      </w:r>
      <w:r w:rsidR="0072378E">
        <w:t xml:space="preserve">provide multiple opportunities for growth, both from the companies’ combined product portfolio </w:t>
      </w:r>
      <w:r w:rsidR="00BC401D">
        <w:t xml:space="preserve">deployed </w:t>
      </w:r>
      <w:r w:rsidR="0072378E">
        <w:t xml:space="preserve">across a larger customer base and </w:t>
      </w:r>
      <w:r w:rsidR="00046FE6">
        <w:t xml:space="preserve">from </w:t>
      </w:r>
      <w:r w:rsidR="0072378E">
        <w:t xml:space="preserve">the increased scope and scale of the combined network.  </w:t>
      </w:r>
      <w:r w:rsidR="00BC401D">
        <w:t>O</w:t>
      </w:r>
      <w:r w:rsidR="003153DA">
        <w:t>perationally, CenturyLink is acquiring a global network of more than 20</w:t>
      </w:r>
      <w:r w:rsidR="00721808">
        <w:t>9,000 owned or controlled route-</w:t>
      </w:r>
      <w:r w:rsidR="003153DA">
        <w:t>miles of fiber, includ</w:t>
      </w:r>
      <w:r w:rsidR="00721808">
        <w:t>ing approximately 129,000 route-</w:t>
      </w:r>
      <w:r w:rsidR="003153DA">
        <w:t>miles</w:t>
      </w:r>
      <w:r w:rsidR="00721808">
        <w:t xml:space="preserve"> of fiber in </w:t>
      </w:r>
      <w:r w:rsidR="003153DA">
        <w:t>North America</w:t>
      </w:r>
      <w:r w:rsidR="00721808">
        <w:t>, 47,000 route-</w:t>
      </w:r>
      <w:r w:rsidR="003153DA">
        <w:t xml:space="preserve">miles in the Latin American (“LATAM”) and </w:t>
      </w:r>
      <w:r w:rsidR="00721808">
        <w:t xml:space="preserve">European, </w:t>
      </w:r>
      <w:r w:rsidR="003153DA">
        <w:t>Middle East and African (“EMEA”) r</w:t>
      </w:r>
      <w:r w:rsidR="00721808">
        <w:t>egions, and 33,000 subsea route-</w:t>
      </w:r>
      <w:r w:rsidR="003153DA">
        <w:t>miles.</w:t>
      </w:r>
      <w:r w:rsidR="005D1E98">
        <w:rPr>
          <w:rStyle w:val="FootnoteReference"/>
        </w:rPr>
        <w:footnoteReference w:id="7"/>
      </w:r>
      <w:r w:rsidR="005D1E98">
        <w:t xml:space="preserve"> </w:t>
      </w:r>
      <w:r w:rsidR="003153DA">
        <w:t xml:space="preserve"> Of the </w:t>
      </w:r>
      <w:r w:rsidR="00721808">
        <w:t>total North American route-</w:t>
      </w:r>
      <w:r w:rsidR="003153DA">
        <w:t>miles of fiber owned or co</w:t>
      </w:r>
      <w:r w:rsidR="00721808">
        <w:t>ntrolled today by Level 3</w:t>
      </w:r>
      <w:r w:rsidR="003153DA">
        <w:t>, approximately 70,000 are long-haul fiber and 59,200 are metro fiber.</w:t>
      </w:r>
      <w:r w:rsidR="005D1E98">
        <w:rPr>
          <w:rStyle w:val="FootnoteReference"/>
        </w:rPr>
        <w:footnoteReference w:id="8"/>
      </w:r>
      <w:r w:rsidR="003153DA">
        <w:t xml:space="preserve">  The Company is also adding owned or controlled fiber into 34,755 buildings (based on unique addresses) in the United States</w:t>
      </w:r>
      <w:r w:rsidR="00721808">
        <w:t xml:space="preserve">, including </w:t>
      </w:r>
      <w:r w:rsidR="003153DA">
        <w:t>6,225 (approximately 18 percent) in CenturyLink’s ILEC region, and 28,530 (approximately 82 percent) outside of th</w:t>
      </w:r>
      <w:r w:rsidR="00721808">
        <w:t>e ILEC</w:t>
      </w:r>
      <w:r w:rsidR="003153DA">
        <w:t xml:space="preserve"> region.</w:t>
      </w:r>
      <w:r w:rsidR="003153DA">
        <w:rPr>
          <w:rStyle w:val="FootnoteReference"/>
        </w:rPr>
        <w:footnoteReference w:id="9"/>
      </w:r>
      <w:r w:rsidR="003153DA">
        <w:t xml:space="preserve"> </w:t>
      </w:r>
      <w:r w:rsidR="002C01D7">
        <w:t xml:space="preserve"> In </w:t>
      </w:r>
      <w:r w:rsidR="002D40C3">
        <w:t>the</w:t>
      </w:r>
      <w:r w:rsidR="002C01D7">
        <w:t xml:space="preserve"> rapidly evolving data-centric communications </w:t>
      </w:r>
      <w:r w:rsidR="002D40C3">
        <w:t>industry</w:t>
      </w:r>
      <w:r w:rsidR="002C01D7">
        <w:t>, the Level 3 transport assets and operations are complementary with CenturyLink’s business</w:t>
      </w:r>
      <w:r w:rsidR="00295921">
        <w:t>,</w:t>
      </w:r>
      <w:r w:rsidR="002C01D7">
        <w:t xml:space="preserve"> which </w:t>
      </w:r>
      <w:r w:rsidR="00772BAA">
        <w:t xml:space="preserve">today </w:t>
      </w:r>
      <w:r w:rsidR="002C01D7">
        <w:t>is</w:t>
      </w:r>
      <w:r w:rsidR="00772BAA">
        <w:t xml:space="preserve"> relatively</w:t>
      </w:r>
      <w:r w:rsidR="002C01D7">
        <w:t xml:space="preserve"> more concentrated on</w:t>
      </w:r>
      <w:r w:rsidR="0072378E">
        <w:t xml:space="preserve"> dense</w:t>
      </w:r>
      <w:r w:rsidR="00046FE6">
        <w:t>r</w:t>
      </w:r>
      <w:r w:rsidR="0072378E">
        <w:t xml:space="preserve"> local fiber networks and connections</w:t>
      </w:r>
      <w:r w:rsidR="002C01D7">
        <w:t xml:space="preserve">, including </w:t>
      </w:r>
      <w:r w:rsidR="00C021FB">
        <w:t xml:space="preserve">residential, </w:t>
      </w:r>
      <w:r w:rsidR="002C01D7">
        <w:t>business and commercial customers.</w:t>
      </w:r>
      <w:r w:rsidR="00EE7006">
        <w:rPr>
          <w:rStyle w:val="FootnoteReference"/>
        </w:rPr>
        <w:footnoteReference w:id="10"/>
      </w:r>
    </w:p>
    <w:p w:rsidR="0032365D" w:rsidRDefault="0032365D" w:rsidP="0032365D">
      <w:pPr>
        <w:pStyle w:val="BodyText"/>
        <w:spacing w:after="0" w:line="480" w:lineRule="auto"/>
        <w:ind w:left="1440" w:hanging="720"/>
        <w:rPr>
          <w:b/>
        </w:rPr>
      </w:pPr>
      <w:r>
        <w:rPr>
          <w:b/>
        </w:rPr>
        <w:t>Q.</w:t>
      </w:r>
      <w:r>
        <w:rPr>
          <w:b/>
        </w:rPr>
        <w:tab/>
        <w:t>How will CenturyLink fund the Merger?</w:t>
      </w:r>
    </w:p>
    <w:p w:rsidR="0032365D" w:rsidRPr="0032365D" w:rsidRDefault="0032365D" w:rsidP="00400DCF">
      <w:pPr>
        <w:pStyle w:val="BodyText"/>
        <w:spacing w:line="480" w:lineRule="auto"/>
        <w:ind w:left="1440" w:hanging="720"/>
      </w:pPr>
      <w:r>
        <w:t>A.</w:t>
      </w:r>
      <w:r>
        <w:tab/>
      </w:r>
      <w:r w:rsidR="00400DCF">
        <w:t xml:space="preserve">CenturyLink </w:t>
      </w:r>
      <w:r w:rsidR="00BE6DCA">
        <w:t>plans to</w:t>
      </w:r>
      <w:r w:rsidR="00E70B5E">
        <w:t xml:space="preserve"> </w:t>
      </w:r>
      <w:r w:rsidR="00722FFD">
        <w:t>fund the cash portion of the transaction consideration, along with fees and expenses related to the Merger, with</w:t>
      </w:r>
      <w:r w:rsidR="00E70B5E">
        <w:t xml:space="preserve"> approximately $7</w:t>
      </w:r>
      <w:r w:rsidR="00960DF3">
        <w:t>.1</w:t>
      </w:r>
      <w:r w:rsidR="00400DCF">
        <w:t xml:space="preserve"> billion in incremental </w:t>
      </w:r>
      <w:r w:rsidR="00722FFD">
        <w:t xml:space="preserve">funded </w:t>
      </w:r>
      <w:r w:rsidR="00400DCF">
        <w:t>debt</w:t>
      </w:r>
      <w:r w:rsidR="00227387">
        <w:t xml:space="preserve"> and with cash on hand</w:t>
      </w:r>
      <w:r w:rsidR="00400DCF">
        <w:t>.</w:t>
      </w:r>
      <w:r w:rsidR="00E70B5E">
        <w:rPr>
          <w:rStyle w:val="FootnoteReference"/>
        </w:rPr>
        <w:footnoteReference w:id="11"/>
      </w:r>
      <w:r w:rsidR="00400DCF">
        <w:t xml:space="preserve">  </w:t>
      </w:r>
      <w:r w:rsidR="00722FFD">
        <w:t xml:space="preserve">The </w:t>
      </w:r>
      <w:r w:rsidR="00721808">
        <w:t xml:space="preserve">Company reports that the </w:t>
      </w:r>
      <w:r w:rsidR="00722FFD">
        <w:t>financing commitment for this debt currently is in place.</w:t>
      </w:r>
      <w:r w:rsidR="00721808">
        <w:rPr>
          <w:rStyle w:val="FootnoteReference"/>
        </w:rPr>
        <w:footnoteReference w:id="12"/>
      </w:r>
      <w:r w:rsidR="00722FFD">
        <w:t xml:space="preserve">  </w:t>
      </w:r>
      <w:r w:rsidR="00B11E40">
        <w:t xml:space="preserve">The Company anticipates that </w:t>
      </w:r>
      <w:r w:rsidR="00722FFD">
        <w:t>its pro forma</w:t>
      </w:r>
      <w:r w:rsidR="00B11E40">
        <w:t xml:space="preserve"> debt</w:t>
      </w:r>
      <w:r w:rsidR="00400DCF">
        <w:t xml:space="preserve"> </w:t>
      </w:r>
      <w:r w:rsidR="00722FFD">
        <w:t xml:space="preserve">levels </w:t>
      </w:r>
      <w:r w:rsidR="008D42DE">
        <w:t>are</w:t>
      </w:r>
      <w:r w:rsidR="00984A65">
        <w:t xml:space="preserve"> expected</w:t>
      </w:r>
      <w:r w:rsidR="002D795E">
        <w:t xml:space="preserve"> to</w:t>
      </w:r>
      <w:r w:rsidR="00B11E40">
        <w:t xml:space="preserve"> be reduced </w:t>
      </w:r>
      <w:r w:rsidR="00EE7006">
        <w:t>significantly and quickly</w:t>
      </w:r>
      <w:r w:rsidR="00046491">
        <w:t xml:space="preserve"> </w:t>
      </w:r>
      <w:r w:rsidR="00B11E40">
        <w:t xml:space="preserve">over the next </w:t>
      </w:r>
      <w:r w:rsidR="009D31D2">
        <w:t xml:space="preserve">three to </w:t>
      </w:r>
      <w:r w:rsidR="00B11E40">
        <w:t xml:space="preserve">four years, a period when the Company </w:t>
      </w:r>
      <w:r w:rsidR="00722FFD">
        <w:t xml:space="preserve">expects </w:t>
      </w:r>
      <w:r w:rsidR="00500096">
        <w:t>meaningful</w:t>
      </w:r>
      <w:r w:rsidR="00722FFD">
        <w:t xml:space="preserve"> cash flow accretion resulting from </w:t>
      </w:r>
      <w:r w:rsidR="00F92B1A">
        <w:t>accelerated use of</w:t>
      </w:r>
      <w:r w:rsidR="00400DCF">
        <w:t xml:space="preserve"> </w:t>
      </w:r>
      <w:r w:rsidR="00772BAA">
        <w:t>approximately $9.6</w:t>
      </w:r>
      <w:r w:rsidR="00400DCF">
        <w:t xml:space="preserve"> billion in Level 3 NOLs</w:t>
      </w:r>
      <w:r w:rsidR="00722FFD">
        <w:t xml:space="preserve"> and </w:t>
      </w:r>
      <w:r w:rsidR="00714BE5">
        <w:t>significant reductions in the cash operating costs of the combined company</w:t>
      </w:r>
      <w:r w:rsidR="00BE6DCA">
        <w:t>.</w:t>
      </w:r>
      <w:r w:rsidR="007B0A56">
        <w:rPr>
          <w:rStyle w:val="FootnoteReference"/>
        </w:rPr>
        <w:footnoteReference w:id="13"/>
      </w:r>
      <w:r w:rsidR="00BE6DCA">
        <w:t xml:space="preserve">  </w:t>
      </w:r>
      <w:r w:rsidR="00004A00">
        <w:t>In addition to the incr</w:t>
      </w:r>
      <w:r w:rsidR="0064614C">
        <w:t xml:space="preserve">emental </w:t>
      </w:r>
      <w:r w:rsidR="00004A00">
        <w:t>debt</w:t>
      </w:r>
      <w:r w:rsidR="007B0A56">
        <w:t xml:space="preserve">, the </w:t>
      </w:r>
      <w:r w:rsidR="00004A00">
        <w:t xml:space="preserve">transaction financing </w:t>
      </w:r>
      <w:r w:rsidR="00984A65">
        <w:t>is expected</w:t>
      </w:r>
      <w:r w:rsidR="00004A00">
        <w:t xml:space="preserve"> </w:t>
      </w:r>
      <w:r w:rsidR="001F1C9C">
        <w:t xml:space="preserve">to </w:t>
      </w:r>
      <w:r w:rsidR="00004A00">
        <w:t>include</w:t>
      </w:r>
      <w:r w:rsidR="00F92B1A">
        <w:t xml:space="preserve"> </w:t>
      </w:r>
      <w:r w:rsidR="00004A00">
        <w:t xml:space="preserve">a </w:t>
      </w:r>
      <w:r w:rsidR="00E70B5E">
        <w:t xml:space="preserve">$2.0 billion revolver </w:t>
      </w:r>
      <w:r w:rsidR="003C6C30">
        <w:t>(</w:t>
      </w:r>
      <w:r w:rsidR="00E70B5E">
        <w:t xml:space="preserve">which </w:t>
      </w:r>
      <w:r w:rsidR="009D39F5">
        <w:t xml:space="preserve">is expected to </w:t>
      </w:r>
      <w:r w:rsidR="00E70B5E">
        <w:t xml:space="preserve">be </w:t>
      </w:r>
      <w:r w:rsidR="00004A00">
        <w:t>un</w:t>
      </w:r>
      <w:r w:rsidR="00E70B5E">
        <w:t>drawn at the close</w:t>
      </w:r>
      <w:r w:rsidR="003C6C30">
        <w:t>)</w:t>
      </w:r>
      <w:r w:rsidR="00E70B5E">
        <w:t xml:space="preserve"> </w:t>
      </w:r>
      <w:r w:rsidR="00F92B1A">
        <w:t>and</w:t>
      </w:r>
      <w:r w:rsidR="008322B3">
        <w:t xml:space="preserve"> $1.2 billion to </w:t>
      </w:r>
      <w:r w:rsidR="00004A00">
        <w:t xml:space="preserve">address </w:t>
      </w:r>
      <w:r w:rsidR="000E10A8">
        <w:t>upcoming maturities of debt</w:t>
      </w:r>
      <w:r w:rsidR="00F92B1A">
        <w:t xml:space="preserve"> that will come due before </w:t>
      </w:r>
      <w:r w:rsidR="00960DF3">
        <w:t xml:space="preserve">or at the time </w:t>
      </w:r>
      <w:r w:rsidR="00F92B1A">
        <w:t>the Merger closes</w:t>
      </w:r>
      <w:r w:rsidR="000E10A8">
        <w:t>.</w:t>
      </w:r>
      <w:r w:rsidR="008322B3">
        <w:t xml:space="preserve"> </w:t>
      </w:r>
      <w:r w:rsidR="000E10A8">
        <w:t>Th</w:t>
      </w:r>
      <w:r w:rsidR="00004A00">
        <w:t>us,</w:t>
      </w:r>
      <w:r w:rsidR="000E10A8">
        <w:t xml:space="preserve"> </w:t>
      </w:r>
      <w:r w:rsidR="00004A00">
        <w:t xml:space="preserve">while </w:t>
      </w:r>
      <w:r w:rsidR="000E10A8">
        <w:t xml:space="preserve">total </w:t>
      </w:r>
      <w:r w:rsidR="00004A00">
        <w:t>transaction financing</w:t>
      </w:r>
      <w:r w:rsidR="000E10A8">
        <w:t xml:space="preserve"> </w:t>
      </w:r>
      <w:r w:rsidR="00984A65">
        <w:t>is projected to</w:t>
      </w:r>
      <w:r w:rsidR="000E10A8">
        <w:t xml:space="preserve"> be</w:t>
      </w:r>
      <w:r w:rsidR="00E70B5E">
        <w:t xml:space="preserve"> $10.2 billion</w:t>
      </w:r>
      <w:r w:rsidR="00F92B1A">
        <w:t>,</w:t>
      </w:r>
      <w:r w:rsidR="000E10A8">
        <w:t xml:space="preserve"> </w:t>
      </w:r>
      <w:r w:rsidR="0064614C">
        <w:t xml:space="preserve">it is important to understand that </w:t>
      </w:r>
      <w:r w:rsidR="00EF259E">
        <w:t xml:space="preserve">the Merger purchase price </w:t>
      </w:r>
      <w:r w:rsidR="009D31D2">
        <w:t>and related costs are</w:t>
      </w:r>
      <w:r w:rsidR="00EF259E">
        <w:t xml:space="preserve"> </w:t>
      </w:r>
      <w:r w:rsidR="00F92B1A">
        <w:t xml:space="preserve">to be </w:t>
      </w:r>
      <w:r w:rsidR="00EF259E">
        <w:t xml:space="preserve">funded by </w:t>
      </w:r>
      <w:r w:rsidR="00004A00">
        <w:t xml:space="preserve">approximately </w:t>
      </w:r>
      <w:r w:rsidR="00EF259E">
        <w:t>$7</w:t>
      </w:r>
      <w:r w:rsidR="00295921">
        <w:t>.1</w:t>
      </w:r>
      <w:r w:rsidR="00EF259E">
        <w:t xml:space="preserve"> billion</w:t>
      </w:r>
      <w:r w:rsidR="00004A00">
        <w:t xml:space="preserve"> in incremental debt</w:t>
      </w:r>
      <w:r w:rsidR="00E70B5E">
        <w:t>.</w:t>
      </w:r>
      <w:r w:rsidR="00B11E40">
        <w:rPr>
          <w:rStyle w:val="FootnoteReference"/>
        </w:rPr>
        <w:footnoteReference w:id="14"/>
      </w:r>
      <w:r w:rsidR="00E70B5E">
        <w:t xml:space="preserve">   </w:t>
      </w:r>
    </w:p>
    <w:p w:rsidR="002C01D7" w:rsidRDefault="002C01D7" w:rsidP="00D85FF1">
      <w:pPr>
        <w:pStyle w:val="BodyText"/>
        <w:spacing w:after="0" w:line="480" w:lineRule="auto"/>
        <w:ind w:left="1440" w:hanging="720"/>
        <w:rPr>
          <w:b/>
        </w:rPr>
      </w:pPr>
      <w:r>
        <w:rPr>
          <w:b/>
        </w:rPr>
        <w:t>Q.</w:t>
      </w:r>
      <w:r>
        <w:rPr>
          <w:b/>
        </w:rPr>
        <w:tab/>
      </w:r>
      <w:r w:rsidR="00891B3E">
        <w:rPr>
          <w:b/>
        </w:rPr>
        <w:t>Please describe</w:t>
      </w:r>
      <w:r w:rsidR="007B0A56">
        <w:rPr>
          <w:b/>
        </w:rPr>
        <w:t xml:space="preserve"> in more detail</w:t>
      </w:r>
      <w:r w:rsidR="00891B3E">
        <w:rPr>
          <w:b/>
        </w:rPr>
        <w:t xml:space="preserve"> the </w:t>
      </w:r>
      <w:r w:rsidR="00D224EB">
        <w:rPr>
          <w:b/>
        </w:rPr>
        <w:t xml:space="preserve">cash flow </w:t>
      </w:r>
      <w:r w:rsidR="005C2A94">
        <w:rPr>
          <w:b/>
        </w:rPr>
        <w:t xml:space="preserve">benefits </w:t>
      </w:r>
      <w:r w:rsidR="0070455A">
        <w:rPr>
          <w:b/>
        </w:rPr>
        <w:t>of the Merger</w:t>
      </w:r>
      <w:r w:rsidR="00891B3E">
        <w:rPr>
          <w:b/>
        </w:rPr>
        <w:t>.</w:t>
      </w:r>
    </w:p>
    <w:p w:rsidR="0022671C" w:rsidRDefault="002C01D7" w:rsidP="0022671C">
      <w:pPr>
        <w:pStyle w:val="BodyText"/>
        <w:spacing w:line="480" w:lineRule="auto"/>
        <w:ind w:left="1440" w:hanging="720"/>
      </w:pPr>
      <w:r w:rsidRPr="00ED1A47">
        <w:t>A.</w:t>
      </w:r>
      <w:r w:rsidRPr="00ED1A47">
        <w:tab/>
      </w:r>
      <w:r w:rsidR="001566D5">
        <w:t xml:space="preserve">As mentioned previously, the Merger </w:t>
      </w:r>
      <w:r w:rsidR="00727951">
        <w:t>is expected to</w:t>
      </w:r>
      <w:r w:rsidR="001566D5">
        <w:t xml:space="preserve"> enhance CenturyLink’s existing growth profile.  </w:t>
      </w:r>
      <w:r w:rsidR="00E87E55">
        <w:t>T</w:t>
      </w:r>
      <w:r w:rsidR="001566D5">
        <w:t xml:space="preserve">he combined company’s opportunities for </w:t>
      </w:r>
      <w:r w:rsidR="00F50FCC">
        <w:t xml:space="preserve">revenue </w:t>
      </w:r>
      <w:r w:rsidR="001566D5">
        <w:t xml:space="preserve">growth </w:t>
      </w:r>
      <w:r w:rsidR="00E87E55">
        <w:t>and</w:t>
      </w:r>
      <w:r w:rsidR="001566D5">
        <w:t xml:space="preserve"> </w:t>
      </w:r>
      <w:r w:rsidR="00E87E55">
        <w:t>increased</w:t>
      </w:r>
      <w:r w:rsidR="001566D5">
        <w:t xml:space="preserve"> scale </w:t>
      </w:r>
      <w:r w:rsidR="00E87E55">
        <w:t>should</w:t>
      </w:r>
      <w:r w:rsidR="001566D5">
        <w:t xml:space="preserve"> </w:t>
      </w:r>
      <w:r w:rsidR="00F50FCC">
        <w:t xml:space="preserve">improve </w:t>
      </w:r>
      <w:r w:rsidR="001566D5">
        <w:t>operating leverage to drive growth in cash flows from operations.</w:t>
      </w:r>
      <w:r w:rsidR="00721808">
        <w:rPr>
          <w:rStyle w:val="FootnoteReference"/>
        </w:rPr>
        <w:footnoteReference w:id="15"/>
      </w:r>
      <w:r w:rsidR="001566D5">
        <w:t xml:space="preserve">  In addition, CenturyLink announced that it expects to realize</w:t>
      </w:r>
      <w:r w:rsidR="001566D5" w:rsidRPr="00ED1A47">
        <w:t xml:space="preserve"> $975 million in annual run-rate cash </w:t>
      </w:r>
      <w:r w:rsidR="00E34CAE">
        <w:t>efficiencies</w:t>
      </w:r>
      <w:r w:rsidR="001566D5" w:rsidRPr="00ED1A47">
        <w:t xml:space="preserve">.  The estimated </w:t>
      </w:r>
      <w:r w:rsidR="00E34CAE">
        <w:t>savings</w:t>
      </w:r>
      <w:r w:rsidR="00E34CAE" w:rsidRPr="00ED1A47">
        <w:t xml:space="preserve"> </w:t>
      </w:r>
      <w:r w:rsidR="001566D5" w:rsidRPr="00ED1A47">
        <w:t xml:space="preserve">include $850 million in </w:t>
      </w:r>
      <w:r w:rsidR="001566D5">
        <w:t xml:space="preserve">annual </w:t>
      </w:r>
      <w:r w:rsidR="001566D5" w:rsidRPr="00ED1A47">
        <w:t xml:space="preserve">operating expense reductions and $125 million in </w:t>
      </w:r>
      <w:r w:rsidR="001566D5">
        <w:t xml:space="preserve">annual </w:t>
      </w:r>
      <w:r w:rsidR="001566D5" w:rsidRPr="00ED1A47">
        <w:t xml:space="preserve">capital expenditure </w:t>
      </w:r>
      <w:r w:rsidR="00E34CAE">
        <w:t>benefits</w:t>
      </w:r>
      <w:r w:rsidR="001566D5">
        <w:t>.</w:t>
      </w:r>
      <w:r w:rsidR="001566D5">
        <w:rPr>
          <w:rStyle w:val="FootnoteReference"/>
        </w:rPr>
        <w:footnoteReference w:id="16"/>
      </w:r>
      <w:r w:rsidR="001566D5" w:rsidRPr="00ED1A47">
        <w:t xml:space="preserve"> </w:t>
      </w:r>
      <w:r w:rsidR="001566D5">
        <w:t xml:space="preserve"> </w:t>
      </w:r>
      <w:r w:rsidR="005C7896" w:rsidRPr="00ED1A47">
        <w:t>CenturyLink</w:t>
      </w:r>
      <w:r w:rsidR="00BE37D0">
        <w:t xml:space="preserve"> </w:t>
      </w:r>
      <w:r w:rsidR="005C7896" w:rsidRPr="00ED1A47">
        <w:t xml:space="preserve">anticipates </w:t>
      </w:r>
      <w:r w:rsidR="007B0A56">
        <w:t xml:space="preserve">that </w:t>
      </w:r>
      <w:r w:rsidR="005C2A94">
        <w:t xml:space="preserve">the combined company </w:t>
      </w:r>
      <w:r w:rsidR="00F50FCC">
        <w:t xml:space="preserve">also </w:t>
      </w:r>
      <w:r w:rsidR="005C2A94">
        <w:t xml:space="preserve">will </w:t>
      </w:r>
      <w:r w:rsidR="00BE37D0">
        <w:t xml:space="preserve">be able to accelerate the </w:t>
      </w:r>
      <w:r w:rsidR="005C2A94">
        <w:t>use</w:t>
      </w:r>
      <w:r w:rsidR="003146CD">
        <w:t xml:space="preserve"> </w:t>
      </w:r>
      <w:r w:rsidR="00BE37D0">
        <w:t xml:space="preserve">of Level 3’s existing NOLs, benefiting from </w:t>
      </w:r>
      <w:r w:rsidR="003146CD">
        <w:t>slightly less than $2</w:t>
      </w:r>
      <w:r w:rsidR="00BE6DCA">
        <w:t xml:space="preserve"> billion </w:t>
      </w:r>
      <w:r w:rsidR="005C2A94">
        <w:t xml:space="preserve">in NOLs </w:t>
      </w:r>
      <w:r w:rsidR="00BE6DCA">
        <w:t>annually over a f</w:t>
      </w:r>
      <w:r w:rsidR="00E61B29">
        <w:t>ive</w:t>
      </w:r>
      <w:r w:rsidR="00BE6DCA">
        <w:t>-year period.</w:t>
      </w:r>
      <w:r w:rsidR="003146CD">
        <w:rPr>
          <w:rStyle w:val="FootnoteReference"/>
        </w:rPr>
        <w:footnoteReference w:id="17"/>
      </w:r>
      <w:r w:rsidR="00BE6DCA">
        <w:t xml:space="preserve"> </w:t>
      </w:r>
      <w:r w:rsidR="005C2A94">
        <w:t xml:space="preserve"> CenturyLink has not provided any public c</w:t>
      </w:r>
      <w:r w:rsidR="008D3287">
        <w:t xml:space="preserve">omment on the specific </w:t>
      </w:r>
      <w:r w:rsidR="004B7EB0">
        <w:t xml:space="preserve">annual </w:t>
      </w:r>
      <w:r w:rsidR="008D3287">
        <w:t xml:space="preserve">allocations of NOLs between the two companies.  </w:t>
      </w:r>
      <w:r w:rsidR="00BE37D0">
        <w:t>However</w:t>
      </w:r>
      <w:r w:rsidR="008D3287">
        <w:t xml:space="preserve">, it is reasonable to assume </w:t>
      </w:r>
      <w:r w:rsidR="00E34CAE">
        <w:t xml:space="preserve">that CenturyLink will </w:t>
      </w:r>
      <w:r w:rsidR="00585DFB">
        <w:t>be able to take advantage of</w:t>
      </w:r>
      <w:r w:rsidR="00E34CAE">
        <w:t xml:space="preserve"> </w:t>
      </w:r>
      <w:r w:rsidR="008D3287">
        <w:t xml:space="preserve">several hundred million dollars of </w:t>
      </w:r>
      <w:r w:rsidR="00BE37D0">
        <w:t xml:space="preserve">incremental </w:t>
      </w:r>
      <w:r w:rsidR="00EF259E">
        <w:t xml:space="preserve">cash </w:t>
      </w:r>
      <w:r w:rsidR="008D3287">
        <w:t>tax benefits</w:t>
      </w:r>
      <w:r w:rsidR="00F92B1A">
        <w:t xml:space="preserve">, </w:t>
      </w:r>
      <w:r w:rsidR="009D31D2">
        <w:t>assuming</w:t>
      </w:r>
      <w:r w:rsidR="00F92B1A">
        <w:t xml:space="preserve"> Level 3 </w:t>
      </w:r>
      <w:r w:rsidR="009D31D2">
        <w:t xml:space="preserve">achieves </w:t>
      </w:r>
      <w:r w:rsidR="00F92B1A">
        <w:t>pre-tax operating income levels</w:t>
      </w:r>
      <w:r w:rsidR="009D31D2">
        <w:t xml:space="preserve"> consistent with the trends</w:t>
      </w:r>
      <w:r w:rsidR="00F92B1A">
        <w:t xml:space="preserve"> in recent years</w:t>
      </w:r>
      <w:r w:rsidR="008D3287">
        <w:t>.</w:t>
      </w:r>
      <w:r w:rsidR="00F50FCC">
        <w:rPr>
          <w:rStyle w:val="FootnoteReference"/>
        </w:rPr>
        <w:footnoteReference w:id="18"/>
      </w:r>
      <w:r w:rsidR="008D3287">
        <w:t xml:space="preserve">  </w:t>
      </w:r>
      <w:r w:rsidR="004B57C6">
        <w:t xml:space="preserve">  </w:t>
      </w:r>
    </w:p>
    <w:p w:rsidR="0026748B" w:rsidRDefault="0026748B" w:rsidP="00EF259E">
      <w:pPr>
        <w:pStyle w:val="BodyText"/>
        <w:spacing w:after="0" w:line="480" w:lineRule="auto"/>
        <w:ind w:left="1440" w:hanging="720"/>
        <w:rPr>
          <w:b/>
        </w:rPr>
      </w:pPr>
      <w:r>
        <w:rPr>
          <w:b/>
        </w:rPr>
        <w:t>Q.</w:t>
      </w:r>
      <w:r>
        <w:rPr>
          <w:b/>
        </w:rPr>
        <w:tab/>
        <w:t xml:space="preserve">Will the </w:t>
      </w:r>
      <w:r w:rsidR="00D224EB">
        <w:rPr>
          <w:b/>
        </w:rPr>
        <w:t xml:space="preserve">expected </w:t>
      </w:r>
      <w:r>
        <w:rPr>
          <w:b/>
        </w:rPr>
        <w:t xml:space="preserve">cash </w:t>
      </w:r>
      <w:r w:rsidR="00D224EB">
        <w:rPr>
          <w:b/>
        </w:rPr>
        <w:t>flow benefits</w:t>
      </w:r>
      <w:r>
        <w:rPr>
          <w:b/>
        </w:rPr>
        <w:t xml:space="preserve"> </w:t>
      </w:r>
      <w:r w:rsidR="00D224EB">
        <w:rPr>
          <w:b/>
        </w:rPr>
        <w:t xml:space="preserve">of the Merger </w:t>
      </w:r>
      <w:r>
        <w:rPr>
          <w:b/>
        </w:rPr>
        <w:t xml:space="preserve">offset </w:t>
      </w:r>
      <w:r w:rsidR="00D224EB">
        <w:rPr>
          <w:b/>
        </w:rPr>
        <w:t>CenturyLink’s incremental</w:t>
      </w:r>
      <w:r>
        <w:rPr>
          <w:b/>
        </w:rPr>
        <w:t xml:space="preserve"> debt costs?</w:t>
      </w:r>
    </w:p>
    <w:p w:rsidR="00EF259E" w:rsidRDefault="0026748B" w:rsidP="001D5CA4">
      <w:pPr>
        <w:pStyle w:val="BodyText"/>
        <w:spacing w:line="480" w:lineRule="auto"/>
        <w:ind w:left="1440" w:hanging="720"/>
      </w:pPr>
      <w:r>
        <w:t>A.</w:t>
      </w:r>
      <w:r>
        <w:tab/>
      </w:r>
      <w:r w:rsidR="00255280">
        <w:t xml:space="preserve">While the specific terms of the </w:t>
      </w:r>
      <w:r w:rsidR="00BE37D0">
        <w:t>acquisition financing</w:t>
      </w:r>
      <w:r w:rsidR="00255280">
        <w:t xml:space="preserve"> are not yet known, CenturyLink </w:t>
      </w:r>
      <w:r w:rsidR="00A73B29">
        <w:t>expects to</w:t>
      </w:r>
      <w:r w:rsidR="00255280">
        <w:t xml:space="preserve"> realize cash flow benefits</w:t>
      </w:r>
      <w:r w:rsidR="00A73B29">
        <w:t>—</w:t>
      </w:r>
      <w:r w:rsidR="00BE37D0">
        <w:t xml:space="preserve">from an improved revenue growth profile, operating cost savings and </w:t>
      </w:r>
      <w:r w:rsidR="00A73B29">
        <w:t>NOLs—</w:t>
      </w:r>
      <w:r w:rsidR="00255280">
        <w:t>that</w:t>
      </w:r>
      <w:r w:rsidR="00EF259E">
        <w:t>, by my estimate,</w:t>
      </w:r>
      <w:r w:rsidR="00255280">
        <w:t xml:space="preserve"> might be greater than twice the interest on the </w:t>
      </w:r>
      <w:r w:rsidR="008940F8">
        <w:t>incremental</w:t>
      </w:r>
      <w:r w:rsidR="00255280">
        <w:t xml:space="preserve"> </w:t>
      </w:r>
      <w:r w:rsidR="008940F8">
        <w:t xml:space="preserve">transaction-related </w:t>
      </w:r>
      <w:r w:rsidR="00255280">
        <w:t>debt obligations</w:t>
      </w:r>
      <w:r w:rsidR="008940F8">
        <w:t>.</w:t>
      </w:r>
      <w:r w:rsidR="00B96FEB">
        <w:rPr>
          <w:rStyle w:val="FootnoteReference"/>
        </w:rPr>
        <w:footnoteReference w:id="19"/>
      </w:r>
      <w:r w:rsidR="00255280">
        <w:t xml:space="preserve"> </w:t>
      </w:r>
      <w:r w:rsidR="008940F8">
        <w:t xml:space="preserve"> The resulting net increase in the combined company’s free cash flows (after accounting for the cost of the incremental debt) </w:t>
      </w:r>
      <w:r w:rsidR="00AF05A0">
        <w:t>are expected to</w:t>
      </w:r>
      <w:r w:rsidR="008940F8">
        <w:t xml:space="preserve"> </w:t>
      </w:r>
      <w:r w:rsidR="00AF05A0">
        <w:t>provide</w:t>
      </w:r>
      <w:r w:rsidR="00255280">
        <w:t xml:space="preserve"> the company</w:t>
      </w:r>
      <w:r w:rsidR="00A73B29">
        <w:t xml:space="preserve"> </w:t>
      </w:r>
      <w:r w:rsidR="00AF05A0">
        <w:t xml:space="preserve">with </w:t>
      </w:r>
      <w:r w:rsidR="008940F8">
        <w:t>additional</w:t>
      </w:r>
      <w:r w:rsidR="00A73B29">
        <w:t xml:space="preserve"> </w:t>
      </w:r>
      <w:r w:rsidR="008940F8">
        <w:t xml:space="preserve">financial </w:t>
      </w:r>
      <w:r w:rsidR="00A73B29">
        <w:t>flexibility for new investment and for retirement of debt</w:t>
      </w:r>
      <w:r w:rsidR="008940F8">
        <w:t xml:space="preserve">, among other </w:t>
      </w:r>
      <w:r w:rsidR="00966E1A">
        <w:t>uses</w:t>
      </w:r>
      <w:r w:rsidR="00A73B29">
        <w:t>.</w:t>
      </w:r>
      <w:r w:rsidR="008614C7">
        <w:t xml:space="preserve">  </w:t>
      </w:r>
    </w:p>
    <w:p w:rsidR="00727951" w:rsidRPr="00727951" w:rsidRDefault="00727951" w:rsidP="009D1F29">
      <w:pPr>
        <w:pStyle w:val="BodyText"/>
        <w:spacing w:after="0" w:line="480" w:lineRule="auto"/>
        <w:ind w:left="1440" w:hanging="720"/>
      </w:pPr>
      <w:r>
        <w:rPr>
          <w:b/>
        </w:rPr>
        <w:t>Q.</w:t>
      </w:r>
      <w:r>
        <w:rPr>
          <w:b/>
        </w:rPr>
        <w:tab/>
        <w:t>Will CenturyLink maintain its dividend?</w:t>
      </w:r>
    </w:p>
    <w:p w:rsidR="005C7896" w:rsidRDefault="00727951" w:rsidP="00394AFD">
      <w:pPr>
        <w:pStyle w:val="BodyText"/>
        <w:spacing w:line="480" w:lineRule="auto"/>
        <w:ind w:left="1440" w:hanging="720"/>
      </w:pPr>
      <w:r>
        <w:t>A.</w:t>
      </w:r>
      <w:r>
        <w:tab/>
        <w:t xml:space="preserve">Yes.  </w:t>
      </w:r>
      <w:r w:rsidR="002A31F2">
        <w:t>CenturyLink has announced that it</w:t>
      </w:r>
      <w:r w:rsidR="00984A65">
        <w:t xml:space="preserve"> expects to</w:t>
      </w:r>
      <w:r w:rsidR="002A31F2">
        <w:t xml:space="preserve"> maintain its annual dividend of $2.16 per share, including </w:t>
      </w:r>
      <w:r w:rsidR="008A57C0">
        <w:t xml:space="preserve">the </w:t>
      </w:r>
      <w:r w:rsidR="00FA66AB">
        <w:t xml:space="preserve">incremental dividend </w:t>
      </w:r>
      <w:r w:rsidR="008614C7">
        <w:t>pa</w:t>
      </w:r>
      <w:r w:rsidR="00FA66AB">
        <w:t>yments</w:t>
      </w:r>
      <w:r w:rsidR="008614C7">
        <w:t xml:space="preserve"> </w:t>
      </w:r>
      <w:r w:rsidR="00FA66AB">
        <w:t xml:space="preserve">for shares issued </w:t>
      </w:r>
      <w:r w:rsidR="0089013D">
        <w:t>to Level 3 shareholder</w:t>
      </w:r>
      <w:r w:rsidR="00925076">
        <w:t>s</w:t>
      </w:r>
      <w:r w:rsidR="00C11FC9">
        <w:t xml:space="preserve">.  </w:t>
      </w:r>
      <w:r w:rsidR="00B45820">
        <w:t>On a</w:t>
      </w:r>
      <w:r w:rsidR="00506D12">
        <w:t>nother</w:t>
      </w:r>
      <w:r w:rsidR="00B45820">
        <w:t xml:space="preserve"> positive</w:t>
      </w:r>
      <w:r w:rsidR="00C11FC9">
        <w:t xml:space="preserve"> note,  t</w:t>
      </w:r>
      <w:r w:rsidR="00E86F03">
        <w:t xml:space="preserve">he </w:t>
      </w:r>
      <w:r w:rsidR="00FA66AB">
        <w:t>cash</w:t>
      </w:r>
      <w:r w:rsidR="008F127B">
        <w:t>-</w:t>
      </w:r>
      <w:r w:rsidR="00FA66AB">
        <w:t xml:space="preserve">flow accretive nature of the Merger is expected to </w:t>
      </w:r>
      <w:r w:rsidR="00E86F03">
        <w:t>result i</w:t>
      </w:r>
      <w:r w:rsidR="00FA66AB">
        <w:t>n</w:t>
      </w:r>
      <w:r w:rsidR="00E86F03">
        <w:t xml:space="preserve"> </w:t>
      </w:r>
      <w:r w:rsidR="0089013D">
        <w:t xml:space="preserve">a </w:t>
      </w:r>
      <w:r w:rsidR="008A57C0">
        <w:t>“</w:t>
      </w:r>
      <w:r w:rsidR="004B6807">
        <w:t>significantly lower</w:t>
      </w:r>
      <w:r w:rsidR="008A57C0">
        <w:t>ed</w:t>
      </w:r>
      <w:r w:rsidR="004B6807">
        <w:t xml:space="preserve"> dividend payout ratio.</w:t>
      </w:r>
      <w:r w:rsidR="008A57C0">
        <w:t>”</w:t>
      </w:r>
      <w:r w:rsidR="008A57C0">
        <w:rPr>
          <w:rStyle w:val="FootnoteReference"/>
        </w:rPr>
        <w:footnoteReference w:id="20"/>
      </w:r>
      <w:r w:rsidR="00B1579F">
        <w:t xml:space="preserve">  </w:t>
      </w:r>
      <w:r w:rsidR="002337E1">
        <w:t xml:space="preserve">CenturyLink reported that annual payout ratios </w:t>
      </w:r>
      <w:r w:rsidR="00360FF4">
        <w:t xml:space="preserve">could </w:t>
      </w:r>
      <w:r w:rsidR="002337E1">
        <w:t xml:space="preserve">be improved </w:t>
      </w:r>
      <w:r w:rsidR="00EC78B8">
        <w:t>by 1,000-2,000 basis points because of the Merger.</w:t>
      </w:r>
      <w:r w:rsidR="00EC78B8">
        <w:rPr>
          <w:rStyle w:val="FootnoteReference"/>
        </w:rPr>
        <w:footnoteReference w:id="21"/>
      </w:r>
      <w:r w:rsidR="00EC78B8">
        <w:t xml:space="preserve">  I</w:t>
      </w:r>
      <w:r w:rsidR="00B1579F">
        <w:t xml:space="preserve">ndependent equity analysts such as </w:t>
      </w:r>
      <w:r w:rsidR="00E86F03">
        <w:t xml:space="preserve">those at </w:t>
      </w:r>
      <w:r w:rsidR="00B1579F">
        <w:t xml:space="preserve">UBS </w:t>
      </w:r>
      <w:r w:rsidR="00586979">
        <w:t xml:space="preserve">Global </w:t>
      </w:r>
      <w:r w:rsidR="00EB404D">
        <w:t xml:space="preserve">Research </w:t>
      </w:r>
      <w:r w:rsidR="00E86F03">
        <w:t>estimate</w:t>
      </w:r>
      <w:r w:rsidR="00B1579F">
        <w:t xml:space="preserve"> that “</w:t>
      </w:r>
      <w:r w:rsidR="00B1579F" w:rsidRPr="00B1579F">
        <w:t xml:space="preserve">CTL's dividend payout would improve to </w:t>
      </w:r>
      <w:r w:rsidR="00EC78B8">
        <w:t>60-70% from 70-80% in 2018-2021,</w:t>
      </w:r>
      <w:r w:rsidR="00B1579F">
        <w:t>”</w:t>
      </w:r>
      <w:r w:rsidR="00EC78B8">
        <w:t xml:space="preserve"> and a</w:t>
      </w:r>
      <w:r w:rsidR="00E86F03">
        <w:t xml:space="preserve"> </w:t>
      </w:r>
      <w:r w:rsidR="00B1579F">
        <w:t xml:space="preserve">Merrill Lynch </w:t>
      </w:r>
      <w:r w:rsidR="00E86F03">
        <w:t>equity analyst advised investors</w:t>
      </w:r>
      <w:r w:rsidR="00F46011">
        <w:t xml:space="preserve"> </w:t>
      </w:r>
      <w:r w:rsidR="00E86F03">
        <w:t>t</w:t>
      </w:r>
      <w:r w:rsidR="00F46011">
        <w:t xml:space="preserve">hat </w:t>
      </w:r>
      <w:r w:rsidR="004C39E2">
        <w:t>he “estimate[d] the deal, using a blended average 5% pre-tax cost of debt, could be 50% accretive to CTL’s FCF</w:t>
      </w:r>
      <w:r w:rsidR="00E34CAE">
        <w:t xml:space="preserve"> [free cash flow]</w:t>
      </w:r>
      <w:r w:rsidR="004C39E2">
        <w:t>/share in Year 1 (2018E).  T</w:t>
      </w:r>
      <w:r w:rsidR="00F46011" w:rsidRPr="00F46011">
        <w:t xml:space="preserve">he deal could shrink CTL’s </w:t>
      </w:r>
      <w:r w:rsidR="00F46011">
        <w:t>[free cash flow]</w:t>
      </w:r>
      <w:r w:rsidR="00F46011" w:rsidRPr="00F46011">
        <w:t xml:space="preserve"> dividend payout percentage to 72% and falling</w:t>
      </w:r>
      <w:r w:rsidR="00F46011">
        <w:t>.”</w:t>
      </w:r>
      <w:r w:rsidR="00F46011">
        <w:rPr>
          <w:rStyle w:val="FootnoteReference"/>
        </w:rPr>
        <w:footnoteReference w:id="22"/>
      </w:r>
      <w:r w:rsidR="00BD3500">
        <w:t xml:space="preserve">  </w:t>
      </w:r>
      <w:r w:rsidR="004C39E2">
        <w:t xml:space="preserve">The analysts are affirming that, </w:t>
      </w:r>
      <w:r w:rsidR="008D42DE">
        <w:t>despite</w:t>
      </w:r>
      <w:r w:rsidR="004C39E2">
        <w:t xml:space="preserve"> higher debt costs and dividends paid </w:t>
      </w:r>
      <w:r w:rsidR="00BB52E6">
        <w:t>on</w:t>
      </w:r>
      <w:r w:rsidR="004C39E2">
        <w:t xml:space="preserve"> </w:t>
      </w:r>
      <w:r w:rsidR="00BB52E6">
        <w:t xml:space="preserve">the </w:t>
      </w:r>
      <w:r w:rsidR="004C39E2">
        <w:t>shares</w:t>
      </w:r>
      <w:r w:rsidR="00BB52E6">
        <w:t xml:space="preserve"> issued to Level 3 shareholders as part of the Merger</w:t>
      </w:r>
      <w:r w:rsidR="004C39E2">
        <w:t>, the free cash flow per share</w:t>
      </w:r>
      <w:r w:rsidR="00BB52E6">
        <w:t xml:space="preserve"> of the combined company</w:t>
      </w:r>
      <w:r w:rsidR="004C39E2">
        <w:t xml:space="preserve"> is expect</w:t>
      </w:r>
      <w:r w:rsidR="00C021FB">
        <w:t>ed</w:t>
      </w:r>
      <w:r w:rsidR="004C39E2">
        <w:t xml:space="preserve"> to increase significantly</w:t>
      </w:r>
      <w:r w:rsidR="00BB52E6">
        <w:t xml:space="preserve"> relative to CenturyLink’s current free cash flow per share</w:t>
      </w:r>
      <w:r w:rsidR="004C39E2">
        <w:t xml:space="preserve">.  </w:t>
      </w:r>
      <w:r w:rsidR="00F63083">
        <w:t>Among other positive benefits, t</w:t>
      </w:r>
      <w:r w:rsidR="00BD3500">
        <w:t>he effect of an improved—</w:t>
      </w:r>
      <w:r w:rsidR="0032365D">
        <w:t>reduced—</w:t>
      </w:r>
      <w:r w:rsidR="00BD3500">
        <w:t>dividend payout ratio</w:t>
      </w:r>
      <w:r w:rsidR="004C39E2">
        <w:t xml:space="preserve"> and improved cash flow</w:t>
      </w:r>
      <w:r w:rsidR="00EB404D">
        <w:t xml:space="preserve">, in my </w:t>
      </w:r>
      <w:r w:rsidR="00E34CAE">
        <w:t xml:space="preserve">professional </w:t>
      </w:r>
      <w:r w:rsidR="00EB404D">
        <w:t>opinion,</w:t>
      </w:r>
      <w:r w:rsidR="0032365D">
        <w:t xml:space="preserve"> </w:t>
      </w:r>
      <w:r w:rsidR="00BD3500">
        <w:t>is to create greater confidence among equity investors and to better assure a stable equity price.</w:t>
      </w:r>
    </w:p>
    <w:p w:rsidR="004B6807" w:rsidRDefault="004B6807" w:rsidP="00D36268">
      <w:pPr>
        <w:pStyle w:val="BodyText"/>
        <w:spacing w:after="0" w:line="480" w:lineRule="auto"/>
        <w:ind w:left="1440" w:hanging="720"/>
        <w:rPr>
          <w:b/>
        </w:rPr>
      </w:pPr>
      <w:r>
        <w:rPr>
          <w:b/>
        </w:rPr>
        <w:t>Q.</w:t>
      </w:r>
      <w:r>
        <w:rPr>
          <w:b/>
        </w:rPr>
        <w:tab/>
        <w:t>What is the anticipated effect on CenturyLink’s balance sheet?</w:t>
      </w:r>
    </w:p>
    <w:p w:rsidR="002C01D7" w:rsidRDefault="004B6807" w:rsidP="005C7896">
      <w:pPr>
        <w:pStyle w:val="BodyText"/>
        <w:spacing w:line="480" w:lineRule="auto"/>
        <w:ind w:left="1440" w:hanging="720"/>
      </w:pPr>
      <w:r>
        <w:t>A.</w:t>
      </w:r>
      <w:r>
        <w:tab/>
        <w:t xml:space="preserve">CenturyLink </w:t>
      </w:r>
      <w:r w:rsidR="0032365D">
        <w:t>h</w:t>
      </w:r>
      <w:r>
        <w:t>as announced that its p</w:t>
      </w:r>
      <w:r w:rsidR="005C7896">
        <w:t xml:space="preserve">ro forma net leverage </w:t>
      </w:r>
      <w:r w:rsidR="0047539B">
        <w:t>(net debt-to-</w:t>
      </w:r>
      <w:r w:rsidR="00DE01C5">
        <w:t>earnings before interest, taxes, depreciation and amortization or “</w:t>
      </w:r>
      <w:r w:rsidR="0047539B">
        <w:t>EBITDA</w:t>
      </w:r>
      <w:r w:rsidR="00DE01C5">
        <w:t>”</w:t>
      </w:r>
      <w:r w:rsidR="0047539B">
        <w:t xml:space="preserve">) </w:t>
      </w:r>
      <w:r w:rsidR="00984A65">
        <w:t>is estimated to</w:t>
      </w:r>
      <w:r>
        <w:t xml:space="preserve"> be </w:t>
      </w:r>
      <w:r w:rsidR="0047539B">
        <w:t>approximately</w:t>
      </w:r>
      <w:r w:rsidR="005C7896">
        <w:t xml:space="preserve"> 3.7</w:t>
      </w:r>
      <w:r w:rsidR="000935AB">
        <w:t xml:space="preserve"> times</w:t>
      </w:r>
      <w:r w:rsidR="005C7896">
        <w:t xml:space="preserve"> at </w:t>
      </w:r>
      <w:r w:rsidR="0047539B">
        <w:t xml:space="preserve">the Merger </w:t>
      </w:r>
      <w:r w:rsidR="005C7896">
        <w:t>clos</w:t>
      </w:r>
      <w:r w:rsidR="0047539B">
        <w:t>ing</w:t>
      </w:r>
      <w:r w:rsidR="006C28DF">
        <w:t>,</w:t>
      </w:r>
      <w:r w:rsidR="0032365D">
        <w:t xml:space="preserve"> </w:t>
      </w:r>
      <w:r w:rsidR="009D39F5">
        <w:t xml:space="preserve">after giving effect to anticipated </w:t>
      </w:r>
      <w:r w:rsidR="0032365D">
        <w:t>run-rate synergies</w:t>
      </w:r>
      <w:r w:rsidR="0047539B">
        <w:t>.</w:t>
      </w:r>
      <w:bookmarkStart w:id="3" w:name="_Ref472615147"/>
      <w:r w:rsidR="00E61B29">
        <w:rPr>
          <w:rStyle w:val="FootnoteReference"/>
        </w:rPr>
        <w:footnoteReference w:id="23"/>
      </w:r>
      <w:bookmarkEnd w:id="3"/>
      <w:r w:rsidR="0032365D">
        <w:t xml:space="preserve">  </w:t>
      </w:r>
      <w:r w:rsidR="0047539B">
        <w:t xml:space="preserve">CenturyLink will retain </w:t>
      </w:r>
      <w:r w:rsidR="0032365D">
        <w:t xml:space="preserve">its long-term leverage </w:t>
      </w:r>
      <w:r w:rsidR="0047539B">
        <w:t>target</w:t>
      </w:r>
      <w:r w:rsidR="0032365D">
        <w:t xml:space="preserve"> </w:t>
      </w:r>
      <w:r w:rsidR="0047539B">
        <w:t xml:space="preserve">of </w:t>
      </w:r>
      <w:r w:rsidR="0032365D">
        <w:t>3.0</w:t>
      </w:r>
      <w:r w:rsidR="000935AB">
        <w:t xml:space="preserve"> times</w:t>
      </w:r>
      <w:r w:rsidR="0047539B">
        <w:t>,</w:t>
      </w:r>
      <w:r w:rsidR="00714773">
        <w:t xml:space="preserve"> </w:t>
      </w:r>
      <w:r w:rsidR="0047539B">
        <w:t xml:space="preserve">and </w:t>
      </w:r>
      <w:r w:rsidR="00714773">
        <w:t>expects that it</w:t>
      </w:r>
      <w:r w:rsidR="00EB404D">
        <w:t>s net leverage</w:t>
      </w:r>
      <w:r w:rsidR="00714773">
        <w:t xml:space="preserve"> can be 3.0</w:t>
      </w:r>
      <w:r w:rsidR="000935AB">
        <w:t xml:space="preserve"> times</w:t>
      </w:r>
      <w:r w:rsidR="00714773">
        <w:t xml:space="preserve"> within four years of the Merger close</w:t>
      </w:r>
      <w:r w:rsidR="000935AB">
        <w:t>, driven by improved cash flows resulting from the Merger</w:t>
      </w:r>
      <w:r w:rsidR="0032365D">
        <w:t>.</w:t>
      </w:r>
      <w:bookmarkStart w:id="4" w:name="_Ref468459520"/>
      <w:r w:rsidR="00EB33C3">
        <w:rPr>
          <w:rStyle w:val="FootnoteReference"/>
        </w:rPr>
        <w:footnoteReference w:id="24"/>
      </w:r>
      <w:bookmarkEnd w:id="4"/>
      <w:r w:rsidR="0047539B">
        <w:t xml:space="preserve">  </w:t>
      </w:r>
      <w:r w:rsidR="00757A4C">
        <w:t>T</w:t>
      </w:r>
      <w:r w:rsidR="0047539B">
        <w:t xml:space="preserve">he pro forma company’s enhanced growth profile </w:t>
      </w:r>
      <w:r w:rsidR="00984A65">
        <w:t>should</w:t>
      </w:r>
      <w:r w:rsidR="0047539B">
        <w:t xml:space="preserve"> enable it to carry</w:t>
      </w:r>
      <w:r w:rsidR="006D47AA" w:rsidRPr="006D47AA">
        <w:t xml:space="preserve"> </w:t>
      </w:r>
      <w:r w:rsidR="006D47AA">
        <w:t>comfortably, in my</w:t>
      </w:r>
      <w:r w:rsidR="00AF05A0">
        <w:t xml:space="preserve"> opinion</w:t>
      </w:r>
      <w:r w:rsidR="006D47AA">
        <w:t>,</w:t>
      </w:r>
      <w:r w:rsidR="0047539B">
        <w:t xml:space="preserve"> the incremental acquisition-related debt in the years immediately following the transaction close.</w:t>
      </w:r>
    </w:p>
    <w:p w:rsidR="00881378" w:rsidRPr="001A0AAC" w:rsidRDefault="00881378" w:rsidP="00881378">
      <w:pPr>
        <w:pStyle w:val="BodyText"/>
        <w:spacing w:after="0" w:line="480" w:lineRule="auto"/>
        <w:ind w:left="1440" w:hanging="720"/>
        <w:rPr>
          <w:b/>
        </w:rPr>
      </w:pPr>
      <w:r w:rsidRPr="001A0AAC">
        <w:rPr>
          <w:b/>
        </w:rPr>
        <w:t>Q.</w:t>
      </w:r>
      <w:r w:rsidRPr="001A0AAC">
        <w:rPr>
          <w:b/>
        </w:rPr>
        <w:tab/>
      </w:r>
      <w:r>
        <w:rPr>
          <w:b/>
        </w:rPr>
        <w:t>Is it realistic to expect the Company to reduce its leverage ratio to 3</w:t>
      </w:r>
      <w:r w:rsidR="00BB52E6">
        <w:rPr>
          <w:b/>
        </w:rPr>
        <w:t>.0</w:t>
      </w:r>
      <w:r>
        <w:rPr>
          <w:b/>
        </w:rPr>
        <w:t xml:space="preserve"> times</w:t>
      </w:r>
      <w:r w:rsidR="00BF7AE4">
        <w:rPr>
          <w:b/>
        </w:rPr>
        <w:t xml:space="preserve"> in the years immediately following the Merger</w:t>
      </w:r>
      <w:r w:rsidRPr="001A0AAC">
        <w:rPr>
          <w:b/>
        </w:rPr>
        <w:t>?</w:t>
      </w:r>
    </w:p>
    <w:p w:rsidR="00881378" w:rsidRDefault="00881378" w:rsidP="00881378">
      <w:pPr>
        <w:pStyle w:val="BodyText"/>
        <w:spacing w:line="480" w:lineRule="auto"/>
        <w:ind w:left="1440" w:hanging="720"/>
      </w:pPr>
      <w:r>
        <w:t>A.</w:t>
      </w:r>
      <w:r>
        <w:tab/>
        <w:t xml:space="preserve">Yes.  </w:t>
      </w:r>
      <w:r w:rsidR="0075060B">
        <w:t>H</w:t>
      </w:r>
      <w:r>
        <w:t>istorical</w:t>
      </w:r>
      <w:r w:rsidR="0075060B">
        <w:t>ly,</w:t>
      </w:r>
      <w:r>
        <w:t xml:space="preserve"> CenturyLink has added debt at the time of ac</w:t>
      </w:r>
      <w:r w:rsidR="00304C74">
        <w:t>quisitions and rapidly</w:t>
      </w:r>
      <w:r>
        <w:t xml:space="preserve"> reduced </w:t>
      </w:r>
      <w:r w:rsidR="00E65D4E">
        <w:t>its</w:t>
      </w:r>
      <w:r>
        <w:t xml:space="preserve"> debt levels as increased cash generation</w:t>
      </w:r>
      <w:r w:rsidR="00E65D4E">
        <w:t xml:space="preserve"> following the acquisitions</w:t>
      </w:r>
      <w:r>
        <w:t xml:space="preserve"> permitted the Company to make debt repayments. </w:t>
      </w:r>
      <w:r w:rsidR="006327EB">
        <w:t xml:space="preserve"> </w:t>
      </w:r>
      <w:fldSimple w:instr=" REF _Ref468350284 \h  \* MERGEFORMAT ">
        <w:r w:rsidR="00CF0894" w:rsidRPr="00CF0894">
          <w:t>Figure 1</w:t>
        </w:r>
      </w:fldSimple>
      <w:r w:rsidR="006327EB">
        <w:t xml:space="preserve"> below provides a graphic illustrating CenturyLink’s </w:t>
      </w:r>
      <w:r>
        <w:t>quarterly net debt-to-operating cash flow (</w:t>
      </w:r>
      <w:r w:rsidR="00FE4D51">
        <w:t>“</w:t>
      </w:r>
      <w:r>
        <w:t>EBITDA</w:t>
      </w:r>
      <w:r w:rsidR="00FE4D51">
        <w:t>”</w:t>
      </w:r>
      <w:r>
        <w:t>) ratio</w:t>
      </w:r>
      <w:r w:rsidR="006327EB">
        <w:t xml:space="preserve"> which has risen at the time of acquisitions</w:t>
      </w:r>
      <w:r w:rsidR="008207B8">
        <w:t>, even as far back as fifteen years ago</w:t>
      </w:r>
      <w:r>
        <w:t>.</w:t>
      </w:r>
      <w:r w:rsidR="006327EB">
        <w:rPr>
          <w:rStyle w:val="FootnoteReference"/>
        </w:rPr>
        <w:footnoteReference w:id="25"/>
      </w:r>
      <w:r w:rsidR="006327EB">
        <w:t xml:space="preserve"> </w:t>
      </w:r>
      <w:r>
        <w:t xml:space="preserve">  In 2001, following the 2000 </w:t>
      </w:r>
      <w:r w:rsidR="00AF05A0">
        <w:t xml:space="preserve">announcement of the </w:t>
      </w:r>
      <w:r>
        <w:t>acquisition of Verizon</w:t>
      </w:r>
      <w:r w:rsidR="0047505A">
        <w:t>’s</w:t>
      </w:r>
      <w:r>
        <w:t xml:space="preserve"> Arkansas lines, CenturyLink had a net debt-to-EBITDA ratio that peaked at 4.0 times before dropping to 3.0 times by September 2001.  </w:t>
      </w:r>
      <w:r w:rsidR="008207B8">
        <w:t xml:space="preserve">More recently, CenturyLink acquired Qwest Communications International Inc. in 2011, when the ratio peaked at 4.13 times before improving to 2.68 times by March 2013.  </w:t>
      </w:r>
      <w:r w:rsidR="005107E5">
        <w:t>Notably,</w:t>
      </w:r>
      <w:r w:rsidR="00C601C3">
        <w:t xml:space="preserve"> </w:t>
      </w:r>
      <w:r w:rsidR="005107E5">
        <w:t>for</w:t>
      </w:r>
      <w:r w:rsidR="00C601C3">
        <w:t xml:space="preserve"> three </w:t>
      </w:r>
      <w:r w:rsidR="00AF05A0">
        <w:t xml:space="preserve">of those </w:t>
      </w:r>
      <w:r w:rsidR="005107E5">
        <w:t>recent transactions</w:t>
      </w:r>
      <w:r w:rsidR="00C601C3">
        <w:t xml:space="preserve"> (acquisitions of </w:t>
      </w:r>
      <w:r w:rsidR="00E61B29">
        <w:t xml:space="preserve">select operations of </w:t>
      </w:r>
      <w:r w:rsidR="00C601C3">
        <w:t>Verizon</w:t>
      </w:r>
      <w:r w:rsidR="00E61B29">
        <w:t xml:space="preserve"> as well as </w:t>
      </w:r>
      <w:r w:rsidR="006C5C49">
        <w:t xml:space="preserve">of </w:t>
      </w:r>
      <w:r w:rsidR="00E61B29">
        <w:t xml:space="preserve">the entirety of </w:t>
      </w:r>
      <w:r w:rsidR="00C601C3">
        <w:t>Embarq and Qwest</w:t>
      </w:r>
      <w:r w:rsidR="0024050F">
        <w:t xml:space="preserve"> operations</w:t>
      </w:r>
      <w:r w:rsidR="00C601C3">
        <w:t xml:space="preserve">) </w:t>
      </w:r>
      <w:r w:rsidR="005107E5">
        <w:t xml:space="preserve">the ratio </w:t>
      </w:r>
      <w:r w:rsidR="00C601C3">
        <w:t xml:space="preserve">rose above 3.7 times, which </w:t>
      </w:r>
      <w:r w:rsidR="00AF05A0">
        <w:t xml:space="preserve">is </w:t>
      </w:r>
      <w:r w:rsidR="00C601C3">
        <w:t xml:space="preserve">the pro forma </w:t>
      </w:r>
      <w:r w:rsidR="00AF05A0">
        <w:t>estimate</w:t>
      </w:r>
      <w:r w:rsidR="00C601C3">
        <w:t xml:space="preserve"> for </w:t>
      </w:r>
      <w:r w:rsidR="00AF05A0">
        <w:t xml:space="preserve">the ratio when </w:t>
      </w:r>
      <w:r w:rsidR="00C601C3">
        <w:t>this Merger</w:t>
      </w:r>
      <w:r w:rsidR="00AF05A0">
        <w:t xml:space="preserve"> closes</w:t>
      </w:r>
      <w:r w:rsidR="008207B8">
        <w:t>,</w:t>
      </w:r>
      <w:r>
        <w:t xml:space="preserve"> </w:t>
      </w:r>
      <w:r w:rsidR="005107E5">
        <w:t xml:space="preserve">again </w:t>
      </w:r>
      <w:r>
        <w:t xml:space="preserve">as depicted in </w:t>
      </w:r>
      <w:fldSimple w:instr=" REF _Ref468350284 \h  \* MERGEFORMAT ">
        <w:r w:rsidR="00CF0894" w:rsidRPr="00CF0894">
          <w:t>Figure 1</w:t>
        </w:r>
      </w:fldSimple>
      <w:r w:rsidR="00C601C3">
        <w:t>.</w:t>
      </w:r>
      <w:r w:rsidR="00063CED">
        <w:rPr>
          <w:rStyle w:val="FootnoteReference"/>
        </w:rPr>
        <w:footnoteReference w:id="26"/>
      </w:r>
      <w:r w:rsidR="00C601C3">
        <w:t xml:space="preserve">  In</w:t>
      </w:r>
      <w:r w:rsidR="00AF05A0">
        <w:t xml:space="preserve"> the months after</w:t>
      </w:r>
      <w:r w:rsidR="00C601C3">
        <w:t xml:space="preserve"> each of the previous acquisitions, the debt ratio </w:t>
      </w:r>
      <w:r>
        <w:t xml:space="preserve">improved quickly as </w:t>
      </w:r>
      <w:r w:rsidR="00DE01C5">
        <w:t xml:space="preserve">growing </w:t>
      </w:r>
      <w:r>
        <w:t xml:space="preserve">cash flows allowed the </w:t>
      </w:r>
      <w:r w:rsidR="007E04B3">
        <w:t>C</w:t>
      </w:r>
      <w:r>
        <w:t>ompany to reduce debt</w:t>
      </w:r>
      <w:r w:rsidR="00C601C3">
        <w:t xml:space="preserve"> and the </w:t>
      </w:r>
      <w:r w:rsidR="001C3F4D">
        <w:t xml:space="preserve">leverage </w:t>
      </w:r>
      <w:r w:rsidR="00C601C3">
        <w:t>ratio</w:t>
      </w:r>
      <w:r>
        <w:t xml:space="preserve">.  CenturyLink intends to apply this same discipline in strengthening the merged company’s balance sheet following consummation of the proposed Merger.  While the eventual target </w:t>
      </w:r>
      <w:r w:rsidR="00E65D4E">
        <w:t xml:space="preserve">leverage </w:t>
      </w:r>
      <w:r>
        <w:t xml:space="preserve">ratio </w:t>
      </w:r>
      <w:r w:rsidR="001C3F4D">
        <w:t xml:space="preserve">of 3.0 times </w:t>
      </w:r>
      <w:r>
        <w:t xml:space="preserve">may be marginally above </w:t>
      </w:r>
      <w:r w:rsidR="00E65D4E">
        <w:t>CenturyLink’s</w:t>
      </w:r>
      <w:r>
        <w:t xml:space="preserve"> current </w:t>
      </w:r>
      <w:r w:rsidR="00E65D4E">
        <w:t xml:space="preserve">leverage </w:t>
      </w:r>
      <w:r>
        <w:t>level, the Company expects to have revenue and EBITDA growth that are higher for the merged company than for CenturyLink at the present.</w:t>
      </w:r>
      <w:r w:rsidR="003F5DC6">
        <w:rPr>
          <w:rStyle w:val="FootnoteReference"/>
        </w:rPr>
        <w:footnoteReference w:id="27"/>
      </w:r>
      <w:r>
        <w:t xml:space="preserve">  To be clear, this means that approximately the same leverage ratio as the one reported today is expected to be supported </w:t>
      </w:r>
      <w:r w:rsidR="00457020">
        <w:t xml:space="preserve">in three to four years </w:t>
      </w:r>
      <w:r>
        <w:t xml:space="preserve">by a stronger merged company, which should be </w:t>
      </w:r>
      <w:r w:rsidR="00C601C3">
        <w:t>beneficial</w:t>
      </w:r>
      <w:r>
        <w:t xml:space="preserve"> for all stakeholders</w:t>
      </w:r>
      <w:r w:rsidR="00E65D4E">
        <w:t>,</w:t>
      </w:r>
      <w:r>
        <w:t xml:space="preserve"> including customers.</w:t>
      </w:r>
      <w:r w:rsidR="001C3F4D">
        <w:rPr>
          <w:rStyle w:val="FootnoteReference"/>
        </w:rPr>
        <w:footnoteReference w:id="28"/>
      </w:r>
      <w:r w:rsidR="009D39F5">
        <w:t xml:space="preserve"> </w:t>
      </w:r>
    </w:p>
    <w:p w:rsidR="00881378" w:rsidRDefault="00881378" w:rsidP="00881378">
      <w:pPr>
        <w:pStyle w:val="Caption"/>
        <w:keepNext/>
        <w:pBdr>
          <w:top w:val="single" w:sz="4" w:space="1" w:color="auto"/>
        </w:pBdr>
        <w:ind w:left="1440"/>
        <w:rPr>
          <w:b/>
          <w:color w:val="auto"/>
          <w:sz w:val="20"/>
        </w:rPr>
      </w:pPr>
      <w:bookmarkStart w:id="5" w:name="_Ref468350284"/>
      <w:r w:rsidRPr="001A0AAC">
        <w:rPr>
          <w:b/>
          <w:color w:val="auto"/>
          <w:sz w:val="20"/>
        </w:rPr>
        <w:t xml:space="preserve">Figure </w:t>
      </w:r>
      <w:r w:rsidR="00DE167B" w:rsidRPr="001A0AAC">
        <w:rPr>
          <w:b/>
          <w:color w:val="auto"/>
          <w:sz w:val="20"/>
        </w:rPr>
        <w:fldChar w:fldCharType="begin"/>
      </w:r>
      <w:r w:rsidRPr="001A0AAC">
        <w:rPr>
          <w:b/>
          <w:color w:val="auto"/>
          <w:sz w:val="20"/>
        </w:rPr>
        <w:instrText xml:space="preserve"> SEQ Figure \* ARABIC </w:instrText>
      </w:r>
      <w:r w:rsidR="00DE167B" w:rsidRPr="001A0AAC">
        <w:rPr>
          <w:b/>
          <w:color w:val="auto"/>
          <w:sz w:val="20"/>
        </w:rPr>
        <w:fldChar w:fldCharType="separate"/>
      </w:r>
      <w:r w:rsidR="00CF0894">
        <w:rPr>
          <w:b/>
          <w:noProof/>
          <w:color w:val="auto"/>
          <w:sz w:val="20"/>
        </w:rPr>
        <w:t>1</w:t>
      </w:r>
      <w:r w:rsidR="00DE167B" w:rsidRPr="001A0AAC">
        <w:rPr>
          <w:b/>
          <w:color w:val="auto"/>
          <w:sz w:val="20"/>
        </w:rPr>
        <w:fldChar w:fldCharType="end"/>
      </w:r>
      <w:bookmarkEnd w:id="5"/>
      <w:r w:rsidRPr="001A0AAC">
        <w:rPr>
          <w:b/>
          <w:color w:val="auto"/>
          <w:sz w:val="20"/>
        </w:rPr>
        <w:t>: CenturyLink historical net debt to EBITDA</w:t>
      </w:r>
    </w:p>
    <w:p w:rsidR="008207B8" w:rsidRPr="00F53C4F" w:rsidRDefault="00FC2056" w:rsidP="00F53C4F">
      <w:pPr>
        <w:ind w:firstLine="1440"/>
      </w:pPr>
      <w:r>
        <w:rPr>
          <w:noProof/>
        </w:rPr>
        <w:drawing>
          <wp:inline distT="0" distB="0" distL="0" distR="0">
            <wp:extent cx="4637087" cy="165577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86501" cy="1673416"/>
                    </a:xfrm>
                    <a:prstGeom prst="rect">
                      <a:avLst/>
                    </a:prstGeom>
                    <a:noFill/>
                  </pic:spPr>
                </pic:pic>
              </a:graphicData>
            </a:graphic>
          </wp:inline>
        </w:drawing>
      </w:r>
    </w:p>
    <w:p w:rsidR="00881378" w:rsidRDefault="00881378" w:rsidP="001D5CA4">
      <w:pPr>
        <w:pStyle w:val="BodyText"/>
        <w:pBdr>
          <w:bottom w:val="single" w:sz="4" w:space="1" w:color="auto"/>
        </w:pBdr>
        <w:ind w:left="1440" w:firstLine="0"/>
        <w:rPr>
          <w:i/>
          <w:sz w:val="18"/>
        </w:rPr>
      </w:pPr>
      <w:r w:rsidRPr="001A0AAC">
        <w:rPr>
          <w:i/>
          <w:sz w:val="18"/>
        </w:rPr>
        <w:t>Source: FactSet Fundamentals prepared by Raymond James &amp; Associates; other data and graphic prepared by Balhoff &amp; Williams, LLC.</w:t>
      </w:r>
    </w:p>
    <w:p w:rsidR="008F127B" w:rsidRDefault="008F127B" w:rsidP="008F127B">
      <w:pPr>
        <w:pStyle w:val="BodyText"/>
        <w:spacing w:after="0" w:line="480" w:lineRule="auto"/>
        <w:ind w:left="1440" w:hanging="720"/>
        <w:rPr>
          <w:b/>
        </w:rPr>
      </w:pPr>
    </w:p>
    <w:p w:rsidR="008F127B" w:rsidRDefault="008F127B" w:rsidP="008F127B">
      <w:pPr>
        <w:pStyle w:val="BodyText"/>
        <w:spacing w:after="0" w:line="480" w:lineRule="auto"/>
        <w:ind w:left="1440" w:hanging="720"/>
        <w:rPr>
          <w:b/>
        </w:rPr>
      </w:pPr>
      <w:r>
        <w:rPr>
          <w:b/>
        </w:rPr>
        <w:t>Q.</w:t>
      </w:r>
      <w:r>
        <w:rPr>
          <w:b/>
        </w:rPr>
        <w:tab/>
        <w:t>Does the Merger create positive cash flow benefits when taking</w:t>
      </w:r>
      <w:r w:rsidRPr="008A57C0">
        <w:rPr>
          <w:b/>
        </w:rPr>
        <w:t xml:space="preserve"> </w:t>
      </w:r>
      <w:r>
        <w:rPr>
          <w:b/>
        </w:rPr>
        <w:t>into consideration the one-time integration costs?</w:t>
      </w:r>
    </w:p>
    <w:p w:rsidR="007918D6" w:rsidRDefault="008F127B">
      <w:pPr>
        <w:pStyle w:val="BodyText"/>
        <w:spacing w:line="480" w:lineRule="auto"/>
        <w:ind w:left="1440" w:hanging="720"/>
      </w:pPr>
      <w:r>
        <w:t>A.</w:t>
      </w:r>
      <w:r>
        <w:tab/>
        <w:t xml:space="preserve">Yes. The recurring cash flow benefits of the Merger are expected to be positive even after accounting for the nonrecurring integration costs.  The Company is estimating one-time integration expenses that total $685 million, spread over a five-year period but with the majority </w:t>
      </w:r>
      <w:r w:rsidR="004C141C">
        <w:t xml:space="preserve">expected to be </w:t>
      </w:r>
      <w:r>
        <w:t xml:space="preserve">incurred </w:t>
      </w:r>
      <w:r w:rsidR="00892790">
        <w:t>within the first two to three years</w:t>
      </w:r>
      <w:r>
        <w:t>.</w:t>
      </w:r>
      <w:r w:rsidR="00EC2E71">
        <w:rPr>
          <w:rStyle w:val="FootnoteReference"/>
        </w:rPr>
        <w:footnoteReference w:id="29"/>
      </w:r>
      <w:r>
        <w:t xml:space="preserve">  Even with the integration expenditures, CenturyLink expects that the Merger will be accretive to free cash flow in the first year following the </w:t>
      </w:r>
      <w:r w:rsidR="007E04B3">
        <w:t xml:space="preserve">close of the </w:t>
      </w:r>
      <w:r>
        <w:t>Merger and then, beginning in the second year, the combination is expected to be significantly accretive on an annual run-rate basis.</w:t>
      </w:r>
      <w:r>
        <w:rPr>
          <w:rStyle w:val="FootnoteReference"/>
        </w:rPr>
        <w:footnoteReference w:id="30"/>
      </w:r>
      <w:r>
        <w:t xml:space="preserve">   </w:t>
      </w:r>
    </w:p>
    <w:p w:rsidR="0022671C" w:rsidRDefault="00E9795E" w:rsidP="00E14679">
      <w:pPr>
        <w:pStyle w:val="Heading1"/>
        <w:jc w:val="center"/>
      </w:pPr>
      <w:bookmarkStart w:id="6" w:name="_Toc472678914"/>
      <w:r>
        <w:rPr>
          <w:szCs w:val="24"/>
          <w:u w:val="none"/>
        </w:rPr>
        <w:t>IV</w:t>
      </w:r>
      <w:proofErr w:type="gramStart"/>
      <w:r w:rsidRPr="00151517">
        <w:rPr>
          <w:szCs w:val="24"/>
          <w:u w:val="none"/>
        </w:rPr>
        <w:t>.</w:t>
      </w:r>
      <w:r w:rsidR="00E14679">
        <w:rPr>
          <w:szCs w:val="24"/>
          <w:u w:val="none"/>
        </w:rPr>
        <w:t xml:space="preserve">  </w:t>
      </w:r>
      <w:r w:rsidR="00216DD7">
        <w:t>DESCRIPTION</w:t>
      </w:r>
      <w:proofErr w:type="gramEnd"/>
      <w:r w:rsidR="00216DD7">
        <w:t xml:space="preserve"> OF ACQUISITION-RELATED FINANCING, INCLUDING NEW DEBT THAT DOES NOT RELY ON GUARANTEES </w:t>
      </w:r>
      <w:r w:rsidR="001F03A1">
        <w:t xml:space="preserve">OR PLEDGES </w:t>
      </w:r>
      <w:r w:rsidR="00216DD7">
        <w:t xml:space="preserve">ASSOCIATED WITH STATE-REGULATED </w:t>
      </w:r>
      <w:r w:rsidR="001F03A1">
        <w:t xml:space="preserve">ILEC </w:t>
      </w:r>
      <w:r w:rsidR="00216DD7">
        <w:t>ASSETS.</w:t>
      </w:r>
      <w:bookmarkEnd w:id="6"/>
    </w:p>
    <w:p w:rsidR="00FC2056" w:rsidRPr="00FC2056" w:rsidRDefault="00FC2056" w:rsidP="00FC2056"/>
    <w:p w:rsidR="0022671C" w:rsidRDefault="008B0AAF" w:rsidP="0022671C">
      <w:pPr>
        <w:pStyle w:val="BodyText"/>
        <w:keepNext/>
        <w:spacing w:after="0" w:line="480" w:lineRule="auto"/>
        <w:ind w:left="1440" w:hanging="720"/>
        <w:rPr>
          <w:b/>
        </w:rPr>
      </w:pPr>
      <w:r w:rsidRPr="008B0AAF">
        <w:rPr>
          <w:b/>
        </w:rPr>
        <w:t>Q.</w:t>
      </w:r>
      <w:r w:rsidRPr="008B0AAF">
        <w:rPr>
          <w:b/>
        </w:rPr>
        <w:tab/>
      </w:r>
      <w:r w:rsidR="00E03AF3">
        <w:rPr>
          <w:b/>
        </w:rPr>
        <w:t>Will the incremental funded acquisition financing be guaranteed or secured by</w:t>
      </w:r>
      <w:r w:rsidRPr="008B0AAF">
        <w:rPr>
          <w:b/>
        </w:rPr>
        <w:t xml:space="preserve"> regulated </w:t>
      </w:r>
      <w:r w:rsidR="00E03AF3">
        <w:rPr>
          <w:b/>
        </w:rPr>
        <w:t xml:space="preserve">ILEC </w:t>
      </w:r>
      <w:r w:rsidRPr="008B0AAF">
        <w:rPr>
          <w:b/>
        </w:rPr>
        <w:t>assets?</w:t>
      </w:r>
    </w:p>
    <w:p w:rsidR="0022671C" w:rsidRDefault="008B0AAF" w:rsidP="0022671C">
      <w:pPr>
        <w:pStyle w:val="BodyText"/>
        <w:keepNext/>
        <w:spacing w:line="480" w:lineRule="auto"/>
        <w:ind w:left="1440" w:hanging="720"/>
      </w:pPr>
      <w:r>
        <w:t>A.</w:t>
      </w:r>
      <w:r>
        <w:tab/>
        <w:t>No</w:t>
      </w:r>
      <w:r w:rsidR="002410B1">
        <w:t xml:space="preserve">. </w:t>
      </w:r>
      <w:r>
        <w:t xml:space="preserve"> CenturyLink has </w:t>
      </w:r>
      <w:r w:rsidR="007B09D6">
        <w:t>stated affirmatively</w:t>
      </w:r>
      <w:r>
        <w:t xml:space="preserve"> that it will </w:t>
      </w:r>
      <w:r w:rsidRPr="008F0288">
        <w:rPr>
          <w:i/>
        </w:rPr>
        <w:t>not</w:t>
      </w:r>
      <w:r>
        <w:t xml:space="preserve"> secure the </w:t>
      </w:r>
      <w:r w:rsidR="008924B6">
        <w:t xml:space="preserve">acquisition financing with guarantees </w:t>
      </w:r>
      <w:r w:rsidR="00CA53E3">
        <w:t>from regulated ILECs nor pledges of</w:t>
      </w:r>
      <w:r w:rsidR="009905C4">
        <w:t xml:space="preserve"> regulated </w:t>
      </w:r>
      <w:r w:rsidR="00CA53E3">
        <w:t xml:space="preserve">ILEC operations or </w:t>
      </w:r>
      <w:r w:rsidR="009905C4">
        <w:t>assets.</w:t>
      </w:r>
      <w:r w:rsidR="00BF3CEE">
        <w:t xml:space="preserve">  No regulated ILEC will issue any debt to finance the Transaction.</w:t>
      </w:r>
      <w:r w:rsidR="00DE0404">
        <w:t xml:space="preserve">  But, </w:t>
      </w:r>
      <w:r w:rsidR="00B14BCA">
        <w:t>of course</w:t>
      </w:r>
      <w:r w:rsidR="00DE0404">
        <w:t xml:space="preserve">, cash flows from the various subsidiaries </w:t>
      </w:r>
      <w:r w:rsidR="00984A65">
        <w:t>are expected to</w:t>
      </w:r>
      <w:r w:rsidR="00DE0404">
        <w:t xml:space="preserve"> be used to pay </w:t>
      </w:r>
      <w:r w:rsidR="00006304">
        <w:t>t</w:t>
      </w:r>
      <w:r w:rsidR="00DE0404">
        <w:t>ransaction-related debt.</w:t>
      </w:r>
    </w:p>
    <w:p w:rsidR="009905C4" w:rsidRDefault="009905C4" w:rsidP="008F0288">
      <w:pPr>
        <w:pStyle w:val="BodyText"/>
        <w:spacing w:after="0" w:line="480" w:lineRule="auto"/>
        <w:ind w:left="1440" w:hanging="720"/>
        <w:rPr>
          <w:b/>
        </w:rPr>
      </w:pPr>
      <w:r>
        <w:rPr>
          <w:b/>
        </w:rPr>
        <w:t>Q.</w:t>
      </w:r>
      <w:r>
        <w:rPr>
          <w:b/>
        </w:rPr>
        <w:tab/>
        <w:t xml:space="preserve">Does </w:t>
      </w:r>
      <w:r w:rsidR="00D7301E">
        <w:rPr>
          <w:b/>
        </w:rPr>
        <w:t xml:space="preserve">the </w:t>
      </w:r>
      <w:r w:rsidR="00763FC3">
        <w:rPr>
          <w:b/>
        </w:rPr>
        <w:t>structure of the acquisition-related financing include a</w:t>
      </w:r>
      <w:r>
        <w:rPr>
          <w:b/>
        </w:rPr>
        <w:t xml:space="preserve"> pledge </w:t>
      </w:r>
      <w:r w:rsidR="00763FC3">
        <w:rPr>
          <w:b/>
        </w:rPr>
        <w:t xml:space="preserve">of </w:t>
      </w:r>
      <w:r>
        <w:rPr>
          <w:b/>
        </w:rPr>
        <w:t xml:space="preserve">the stock of </w:t>
      </w:r>
      <w:r w:rsidR="0000584B">
        <w:rPr>
          <w:b/>
        </w:rPr>
        <w:t xml:space="preserve">a regulated </w:t>
      </w:r>
      <w:r w:rsidR="00763FC3">
        <w:rPr>
          <w:b/>
        </w:rPr>
        <w:t xml:space="preserve">ILEC </w:t>
      </w:r>
      <w:r w:rsidR="0000584B">
        <w:rPr>
          <w:b/>
        </w:rPr>
        <w:t>entity</w:t>
      </w:r>
      <w:r>
        <w:rPr>
          <w:b/>
        </w:rPr>
        <w:t>?</w:t>
      </w:r>
    </w:p>
    <w:p w:rsidR="00FB62DD" w:rsidRDefault="009905C4" w:rsidP="008B0AAF">
      <w:pPr>
        <w:pStyle w:val="BodyText"/>
        <w:spacing w:line="480" w:lineRule="auto"/>
        <w:ind w:left="1440" w:hanging="720"/>
      </w:pPr>
      <w:r>
        <w:t>A.</w:t>
      </w:r>
      <w:r>
        <w:tab/>
      </w:r>
      <w:r w:rsidR="00E529C0">
        <w:t>CenturyLink intends that the direct parent of two subsidiaries will pledge stock</w:t>
      </w:r>
      <w:r w:rsidR="00A33270">
        <w:t xml:space="preserve"> as part of the acquisition financing</w:t>
      </w:r>
      <w:r w:rsidR="00E529C0">
        <w:t xml:space="preserve">.  The pledge of Level 3 stock by its </w:t>
      </w:r>
      <w:r w:rsidR="00455275">
        <w:t xml:space="preserve">new </w:t>
      </w:r>
      <w:r w:rsidR="00E529C0">
        <w:t xml:space="preserve">parent, Wildcat Holdco LLC (“Wildcat Holdco”), does not involve any ILEC-related assets or operations.  The second pledge will be by </w:t>
      </w:r>
      <w:r w:rsidR="00DE0404" w:rsidRPr="009905C4">
        <w:t>Qwest Services Corporation</w:t>
      </w:r>
      <w:r w:rsidR="00DE0404">
        <w:t xml:space="preserve"> (“QSC”)</w:t>
      </w:r>
      <w:r w:rsidR="00DE0404" w:rsidRPr="009905C4">
        <w:t>, which will be a guarantor</w:t>
      </w:r>
      <w:r w:rsidR="00DE0404">
        <w:t xml:space="preserve"> of the acquisition financing, </w:t>
      </w:r>
      <w:r w:rsidR="00E529C0">
        <w:t xml:space="preserve">and </w:t>
      </w:r>
      <w:r w:rsidR="00DE0404">
        <w:t xml:space="preserve">is the direct parent of </w:t>
      </w:r>
      <w:r w:rsidR="000834BA">
        <w:t xml:space="preserve">one regulated ILEC company, </w:t>
      </w:r>
      <w:r w:rsidRPr="009905C4">
        <w:t>Qwest Corporation</w:t>
      </w:r>
      <w:r w:rsidR="004D4003">
        <w:t xml:space="preserve"> (“QC”)</w:t>
      </w:r>
      <w:r w:rsidR="00DE0404">
        <w:t xml:space="preserve">.  As part of the financing, QSC will pledge </w:t>
      </w:r>
      <w:r w:rsidR="00E529C0">
        <w:t xml:space="preserve">the </w:t>
      </w:r>
      <w:r w:rsidR="00DE0404">
        <w:t xml:space="preserve">stock </w:t>
      </w:r>
      <w:r w:rsidR="00E529C0">
        <w:t>of</w:t>
      </w:r>
      <w:r w:rsidR="00DE0404">
        <w:t xml:space="preserve"> QC.  Importantly, however,</w:t>
      </w:r>
      <w:r>
        <w:t xml:space="preserve"> </w:t>
      </w:r>
      <w:r w:rsidR="003C6C30">
        <w:t>QC will not be a guarantor of the acquisit</w:t>
      </w:r>
      <w:r w:rsidR="00395E3D">
        <w:t>io</w:t>
      </w:r>
      <w:r w:rsidR="003C6C30">
        <w:t>n financing</w:t>
      </w:r>
      <w:r w:rsidR="00FB62DD">
        <w:t xml:space="preserve"> nor will </w:t>
      </w:r>
      <w:r w:rsidR="00DE0404">
        <w:t xml:space="preserve">QC </w:t>
      </w:r>
      <w:r w:rsidR="00FB62DD">
        <w:t>pledge its assets</w:t>
      </w:r>
      <w:r w:rsidR="003C6C30">
        <w:t xml:space="preserve">.  </w:t>
      </w:r>
      <w:r w:rsidR="004D4003">
        <w:t xml:space="preserve">  </w:t>
      </w:r>
    </w:p>
    <w:p w:rsidR="00FB62DD" w:rsidRPr="00F53C4F" w:rsidRDefault="00FB62DD" w:rsidP="00F53C4F">
      <w:pPr>
        <w:pStyle w:val="BodyText"/>
        <w:spacing w:after="0" w:line="480" w:lineRule="auto"/>
        <w:ind w:left="1440" w:hanging="720"/>
        <w:rPr>
          <w:b/>
        </w:rPr>
      </w:pPr>
      <w:r w:rsidRPr="00F53C4F">
        <w:rPr>
          <w:b/>
        </w:rPr>
        <w:t>Q.</w:t>
      </w:r>
      <w:r w:rsidRPr="00F53C4F">
        <w:rPr>
          <w:b/>
        </w:rPr>
        <w:tab/>
        <w:t xml:space="preserve">Please explain the rationale for </w:t>
      </w:r>
      <w:r w:rsidR="00927FDD">
        <w:rPr>
          <w:b/>
        </w:rPr>
        <w:t>the pledge by QSC of</w:t>
      </w:r>
      <w:r w:rsidR="00927FDD" w:rsidRPr="00F53C4F">
        <w:rPr>
          <w:b/>
        </w:rPr>
        <w:t xml:space="preserve"> </w:t>
      </w:r>
      <w:r w:rsidRPr="00F53C4F">
        <w:rPr>
          <w:b/>
        </w:rPr>
        <w:t>QC stock.</w:t>
      </w:r>
    </w:p>
    <w:p w:rsidR="00B75A23" w:rsidRDefault="00FB62DD" w:rsidP="008B0AAF">
      <w:pPr>
        <w:pStyle w:val="BodyText"/>
        <w:spacing w:line="480" w:lineRule="auto"/>
        <w:ind w:left="1440" w:hanging="720"/>
      </w:pPr>
      <w:r>
        <w:t>A.</w:t>
      </w:r>
      <w:r>
        <w:tab/>
        <w:t xml:space="preserve">The rationale for </w:t>
      </w:r>
      <w:r w:rsidR="00927FDD">
        <w:t xml:space="preserve">QSC to </w:t>
      </w:r>
      <w:r>
        <w:t>pledg</w:t>
      </w:r>
      <w:r w:rsidR="00927FDD">
        <w:t>e</w:t>
      </w:r>
      <w:r>
        <w:t xml:space="preserve"> </w:t>
      </w:r>
      <w:r w:rsidR="00927FDD">
        <w:t xml:space="preserve">its </w:t>
      </w:r>
      <w:r>
        <w:t>QC stock is to reduce interest costs</w:t>
      </w:r>
      <w:r w:rsidR="00C10542">
        <w:t xml:space="preserve">, </w:t>
      </w:r>
      <w:r w:rsidR="004C141C">
        <w:t>a reduction also supported by</w:t>
      </w:r>
      <w:r w:rsidR="00C10542">
        <w:t xml:space="preserve"> the </w:t>
      </w:r>
      <w:r w:rsidR="00D27E9C">
        <w:t>pledges</w:t>
      </w:r>
      <w:r w:rsidR="00A52F7E">
        <w:t xml:space="preserve"> of stock </w:t>
      </w:r>
      <w:r w:rsidR="00455275">
        <w:t xml:space="preserve">and guarantees </w:t>
      </w:r>
      <w:r w:rsidR="00A33270">
        <w:t xml:space="preserve">provided by </w:t>
      </w:r>
      <w:r w:rsidR="00A52F7E">
        <w:t>other CenturyLink unregulated entitie</w:t>
      </w:r>
      <w:r w:rsidR="00C10542">
        <w:t>s</w:t>
      </w:r>
      <w:r>
        <w:t xml:space="preserve">.  </w:t>
      </w:r>
      <w:r w:rsidR="00BF3CEE">
        <w:t>Importantly</w:t>
      </w:r>
      <w:r>
        <w:t xml:space="preserve">, </w:t>
      </w:r>
      <w:r w:rsidR="004D4003">
        <w:t xml:space="preserve">the </w:t>
      </w:r>
      <w:r w:rsidR="00D7301E">
        <w:t xml:space="preserve">current </w:t>
      </w:r>
      <w:r w:rsidR="004D4003">
        <w:t xml:space="preserve">QC </w:t>
      </w:r>
      <w:r w:rsidR="0000584B">
        <w:t xml:space="preserve">debtholders </w:t>
      </w:r>
      <w:r>
        <w:t xml:space="preserve">remain senior to the lenders of the new acquisition debt.  </w:t>
      </w:r>
      <w:r w:rsidR="00622E4A">
        <w:t>Though</w:t>
      </w:r>
      <w:r w:rsidR="00892F39">
        <w:t xml:space="preserve"> </w:t>
      </w:r>
      <w:r w:rsidR="009D39F5">
        <w:t xml:space="preserve">not </w:t>
      </w:r>
      <w:r w:rsidR="00892F39">
        <w:t>secured</w:t>
      </w:r>
      <w:r w:rsidR="00D7301E">
        <w:t xml:space="preserve"> by the regulated ILEC operations or assets</w:t>
      </w:r>
      <w:r w:rsidR="00892F39">
        <w:t xml:space="preserve">, the </w:t>
      </w:r>
      <w:r w:rsidR="00D7301E">
        <w:t xml:space="preserve">existing </w:t>
      </w:r>
      <w:r w:rsidR="00892F39">
        <w:t xml:space="preserve">QC debt </w:t>
      </w:r>
      <w:r w:rsidR="00622E4A">
        <w:t>continues as</w:t>
      </w:r>
      <w:r w:rsidR="00892F39">
        <w:t xml:space="preserve"> "structurally senior" to the </w:t>
      </w:r>
      <w:r w:rsidR="00D7301E">
        <w:t xml:space="preserve">new </w:t>
      </w:r>
      <w:r w:rsidR="00892F39">
        <w:t xml:space="preserve">acquisition debt because QC is not itself a guarantor of the acquisition </w:t>
      </w:r>
      <w:r w:rsidR="00D7301E">
        <w:t>financing</w:t>
      </w:r>
      <w:r w:rsidR="000834BA">
        <w:t xml:space="preserve">.  </w:t>
      </w:r>
      <w:r w:rsidR="00A36633">
        <w:t>By contrast, t</w:t>
      </w:r>
      <w:r w:rsidR="003C6C30">
        <w:t xml:space="preserve">he acquisition financing </w:t>
      </w:r>
      <w:r w:rsidR="00622E4A">
        <w:t>will be</w:t>
      </w:r>
      <w:r w:rsidR="003C6C30">
        <w:t xml:space="preserve"> “structurally senior” to the existing CenturyLink notes </w:t>
      </w:r>
      <w:r>
        <w:t xml:space="preserve">due to </w:t>
      </w:r>
      <w:r w:rsidR="003C6C30">
        <w:t xml:space="preserve">the guarantees and pledges </w:t>
      </w:r>
      <w:r>
        <w:t>of the various other subsidiaries and corporate entities</w:t>
      </w:r>
      <w:r w:rsidR="00892F39">
        <w:t xml:space="preserve">. </w:t>
      </w:r>
      <w:r w:rsidR="00D7301E">
        <w:t xml:space="preserve"> </w:t>
      </w:r>
      <w:r w:rsidR="000834BA">
        <w:t>But in the case of</w:t>
      </w:r>
      <w:r w:rsidR="0000584B">
        <w:t xml:space="preserve"> </w:t>
      </w:r>
      <w:r w:rsidR="00684221">
        <w:t>QSC</w:t>
      </w:r>
      <w:r>
        <w:t>’s</w:t>
      </w:r>
      <w:r w:rsidR="00684221">
        <w:t xml:space="preserve"> pledg</w:t>
      </w:r>
      <w:r w:rsidR="000834BA">
        <w:t>e of</w:t>
      </w:r>
      <w:r w:rsidR="00684221">
        <w:t xml:space="preserve"> its </w:t>
      </w:r>
      <w:r w:rsidR="000834BA">
        <w:t xml:space="preserve">QC </w:t>
      </w:r>
      <w:r w:rsidR="00684221">
        <w:t xml:space="preserve">stock, </w:t>
      </w:r>
      <w:r w:rsidR="000834BA">
        <w:t xml:space="preserve">the </w:t>
      </w:r>
      <w:r w:rsidR="00684221">
        <w:t xml:space="preserve">QC </w:t>
      </w:r>
      <w:r w:rsidR="000834BA">
        <w:t xml:space="preserve">debt retains its seniority and QC does not </w:t>
      </w:r>
      <w:r w:rsidR="00684221">
        <w:t>guar</w:t>
      </w:r>
      <w:r w:rsidR="00622E4A">
        <w:t>a</w:t>
      </w:r>
      <w:r w:rsidR="00684221">
        <w:t>ntee or pledg</w:t>
      </w:r>
      <w:r w:rsidR="000834BA">
        <w:t>e</w:t>
      </w:r>
      <w:r w:rsidR="00684221">
        <w:t xml:space="preserve"> assets to secure</w:t>
      </w:r>
      <w:r w:rsidR="00D7301E">
        <w:t xml:space="preserve"> the acquisition financing</w:t>
      </w:r>
      <w:r w:rsidR="000834BA">
        <w:t>.  The effect is to</w:t>
      </w:r>
      <w:r w:rsidR="0000584B">
        <w:t xml:space="preserve"> ensure that </w:t>
      </w:r>
      <w:r w:rsidR="004C78F8">
        <w:t>QC’s</w:t>
      </w:r>
      <w:r w:rsidR="004D4003">
        <w:t xml:space="preserve"> </w:t>
      </w:r>
      <w:r w:rsidR="00D7301E">
        <w:t xml:space="preserve">independent </w:t>
      </w:r>
      <w:r w:rsidR="004D4003">
        <w:t xml:space="preserve">financial </w:t>
      </w:r>
      <w:r w:rsidR="00D7301E">
        <w:t>position</w:t>
      </w:r>
      <w:r w:rsidR="004D4003">
        <w:t xml:space="preserve"> </w:t>
      </w:r>
      <w:r w:rsidR="004C78F8">
        <w:t xml:space="preserve">is </w:t>
      </w:r>
      <w:r w:rsidR="00D7301E">
        <w:t>maintained</w:t>
      </w:r>
      <w:r w:rsidR="004C78F8">
        <w:t xml:space="preserve"> </w:t>
      </w:r>
      <w:r w:rsidR="004D4003">
        <w:t xml:space="preserve">and </w:t>
      </w:r>
      <w:r w:rsidR="00D7301E">
        <w:t>its</w:t>
      </w:r>
      <w:r w:rsidR="004D4003">
        <w:t xml:space="preserve"> capacity to </w:t>
      </w:r>
      <w:r w:rsidR="0000584B">
        <w:t xml:space="preserve">meet its current obligations </w:t>
      </w:r>
      <w:r w:rsidR="003B3E47">
        <w:t xml:space="preserve">as a regulated ILEC </w:t>
      </w:r>
      <w:r w:rsidR="0000584B">
        <w:t>is</w:t>
      </w:r>
      <w:r w:rsidR="004D4003">
        <w:t xml:space="preserve"> unchanged.</w:t>
      </w:r>
      <w:r w:rsidR="00DE0404">
        <w:t xml:space="preserve">  </w:t>
      </w:r>
    </w:p>
    <w:p w:rsidR="00B45820" w:rsidRPr="005107CB" w:rsidRDefault="00B45820" w:rsidP="00B45820">
      <w:pPr>
        <w:pStyle w:val="BodyText"/>
        <w:spacing w:after="0" w:line="480" w:lineRule="auto"/>
        <w:ind w:left="1440" w:hanging="720"/>
        <w:rPr>
          <w:b/>
        </w:rPr>
      </w:pPr>
      <w:r>
        <w:rPr>
          <w:b/>
        </w:rPr>
        <w:t xml:space="preserve">Q. </w:t>
      </w:r>
      <w:r>
        <w:rPr>
          <w:b/>
        </w:rPr>
        <w:tab/>
        <w:t>How will</w:t>
      </w:r>
      <w:r w:rsidRPr="005107CB">
        <w:rPr>
          <w:b/>
        </w:rPr>
        <w:t xml:space="preserve"> CenturyLink</w:t>
      </w:r>
      <w:r>
        <w:rPr>
          <w:b/>
        </w:rPr>
        <w:t>’s</w:t>
      </w:r>
      <w:r w:rsidRPr="005107CB">
        <w:rPr>
          <w:b/>
        </w:rPr>
        <w:t xml:space="preserve"> propos</w:t>
      </w:r>
      <w:r>
        <w:rPr>
          <w:b/>
        </w:rPr>
        <w:t>ed</w:t>
      </w:r>
      <w:r w:rsidRPr="005107CB">
        <w:rPr>
          <w:b/>
        </w:rPr>
        <w:t xml:space="preserve"> </w:t>
      </w:r>
      <w:r>
        <w:rPr>
          <w:b/>
        </w:rPr>
        <w:t>pledge of the stock of Qwest Corporation</w:t>
      </w:r>
      <w:r w:rsidRPr="005107CB">
        <w:rPr>
          <w:b/>
        </w:rPr>
        <w:t xml:space="preserve"> and </w:t>
      </w:r>
      <w:r>
        <w:rPr>
          <w:b/>
        </w:rPr>
        <w:t>pledge of the</w:t>
      </w:r>
      <w:r w:rsidRPr="005107CB">
        <w:rPr>
          <w:b/>
        </w:rPr>
        <w:t xml:space="preserve"> Level 3</w:t>
      </w:r>
      <w:r>
        <w:rPr>
          <w:b/>
        </w:rPr>
        <w:t xml:space="preserve"> stock impact the acquisition financing</w:t>
      </w:r>
      <w:r w:rsidRPr="005107CB">
        <w:rPr>
          <w:b/>
        </w:rPr>
        <w:t>?</w:t>
      </w:r>
    </w:p>
    <w:p w:rsidR="00B45820" w:rsidRDefault="003F5DC6" w:rsidP="00B45820">
      <w:pPr>
        <w:pStyle w:val="BodyText"/>
        <w:spacing w:line="480" w:lineRule="auto"/>
        <w:ind w:left="1440" w:hanging="720"/>
      </w:pPr>
      <w:proofErr w:type="gramStart"/>
      <w:r>
        <w:t>A</w:t>
      </w:r>
      <w:r>
        <w:tab/>
      </w:r>
      <w:r w:rsidR="00B45820">
        <w:t>These</w:t>
      </w:r>
      <w:proofErr w:type="gramEnd"/>
      <w:r w:rsidR="00B45820">
        <w:t xml:space="preserve"> stock pledges are expected to improve the financing arrangements. While it is difficult to calculate with precision the benefits derived from individual pledges and securities, it is my view that the combination of the QSC pledge of the QC stock and the Wildcat Holdco pledge of the Level 3 stock, together with the use of other guarantees, will result in interest rates that are lower than those that the Company might otherwise be required to pay.  Specifically, it is my opinion that the pledges and guarantees could reasonably result in interest rates on the acquisition financing that are approximately 150 basis points lower than might be achieved without those pledges and guarantees.</w:t>
      </w:r>
      <w:bookmarkStart w:id="7" w:name="_Ref474473230"/>
      <w:r w:rsidR="00B45820">
        <w:rPr>
          <w:rStyle w:val="FootnoteReference"/>
        </w:rPr>
        <w:footnoteReference w:id="31"/>
      </w:r>
      <w:bookmarkEnd w:id="7"/>
      <w:r w:rsidR="00B45820">
        <w:t xml:space="preserve">  This means that annual interest expense might by reduced by approximately $105 million ($7 billion times 150 basis points).  Such pledges and guarantees represent, in my opinion, responsible financial management that mitigates financial risk and better assures lower borrowing costs, which I believe results in cost-competitive services benefiting the Company's customers and in a stronger Company supporting the CenturyLink employee base.</w:t>
      </w:r>
    </w:p>
    <w:p w:rsidR="0080291B" w:rsidRPr="0080291B" w:rsidRDefault="0080291B" w:rsidP="0080291B">
      <w:pPr>
        <w:pStyle w:val="BodyText"/>
        <w:spacing w:line="480" w:lineRule="auto"/>
        <w:ind w:left="1440" w:hanging="720"/>
        <w:rPr>
          <w:b/>
          <w:bCs/>
        </w:rPr>
      </w:pPr>
      <w:r>
        <w:rPr>
          <w:b/>
          <w:bCs/>
        </w:rPr>
        <w:t>Q.</w:t>
      </w:r>
      <w:r>
        <w:rPr>
          <w:b/>
          <w:bCs/>
        </w:rPr>
        <w:tab/>
      </w:r>
      <w:r w:rsidRPr="0080291B">
        <w:rPr>
          <w:b/>
          <w:bCs/>
        </w:rPr>
        <w:t>Does the pledge of QC stock constitute a purchase of QC, or a transfer of control of QC?</w:t>
      </w:r>
    </w:p>
    <w:p w:rsidR="0080291B" w:rsidRPr="0080291B" w:rsidRDefault="0080291B" w:rsidP="0080291B">
      <w:pPr>
        <w:pStyle w:val="BodyText"/>
        <w:spacing w:line="480" w:lineRule="auto"/>
        <w:ind w:left="1440" w:hanging="720"/>
      </w:pPr>
      <w:r w:rsidRPr="00CF0894">
        <w:t>A.</w:t>
      </w:r>
      <w:r>
        <w:tab/>
      </w:r>
      <w:r w:rsidRPr="0080291B">
        <w:t xml:space="preserve">No. The pledge by QSC of QC stock does not result in any change in ownership.  The Washington requirement for approval prior to a change in control of QC would still apply in the very unlikely event (a) there was a default and (b) the Acquisition Debt creditors obtained a controlling interest in QC stock.  In the event of a bankruptcy, the Acquisition </w:t>
      </w:r>
      <w:proofErr w:type="spellStart"/>
      <w:r w:rsidRPr="0080291B">
        <w:t>debtholders</w:t>
      </w:r>
      <w:proofErr w:type="spellEnd"/>
      <w:r w:rsidRPr="0080291B">
        <w:t xml:space="preserve"> would have no precedence over any QC </w:t>
      </w:r>
      <w:proofErr w:type="spellStart"/>
      <w:r w:rsidRPr="0080291B">
        <w:t>debtholders</w:t>
      </w:r>
      <w:proofErr w:type="spellEnd"/>
      <w:r w:rsidRPr="0080291B">
        <w:t xml:space="preserve">, whether secured or unsecured, but would only have the rights to the residual value of the stock.  And the Commission would retain the right to approve any transfer of control. </w:t>
      </w:r>
    </w:p>
    <w:p w:rsidR="0080291B" w:rsidRPr="0080291B" w:rsidRDefault="0080291B" w:rsidP="0080291B">
      <w:pPr>
        <w:pStyle w:val="BodyText"/>
        <w:spacing w:line="480" w:lineRule="auto"/>
        <w:ind w:left="1440" w:hanging="720"/>
      </w:pPr>
    </w:p>
    <w:p w:rsidR="0080291B" w:rsidRDefault="0080291B" w:rsidP="0080291B">
      <w:pPr>
        <w:pStyle w:val="BodyText"/>
        <w:spacing w:line="480" w:lineRule="auto"/>
        <w:ind w:left="1440" w:hanging="720"/>
      </w:pPr>
    </w:p>
    <w:p w:rsidR="00B75A23" w:rsidRDefault="00B75A23" w:rsidP="00B75A23">
      <w:pPr>
        <w:pStyle w:val="BodyText"/>
        <w:spacing w:after="0" w:line="480" w:lineRule="auto"/>
        <w:ind w:left="1440" w:hanging="720"/>
        <w:rPr>
          <w:b/>
        </w:rPr>
      </w:pPr>
      <w:r w:rsidRPr="008B0AAF">
        <w:rPr>
          <w:b/>
        </w:rPr>
        <w:t>Q.</w:t>
      </w:r>
      <w:r w:rsidRPr="008B0AAF">
        <w:rPr>
          <w:b/>
        </w:rPr>
        <w:tab/>
      </w:r>
      <w:r>
        <w:rPr>
          <w:b/>
        </w:rPr>
        <w:t xml:space="preserve">Can you provide additional detail </w:t>
      </w:r>
      <w:r w:rsidR="000566CE">
        <w:rPr>
          <w:b/>
        </w:rPr>
        <w:t>regarding</w:t>
      </w:r>
      <w:r>
        <w:rPr>
          <w:b/>
        </w:rPr>
        <w:t xml:space="preserve"> the acquisition financing</w:t>
      </w:r>
      <w:r w:rsidRPr="008B0AAF">
        <w:rPr>
          <w:b/>
        </w:rPr>
        <w:t>?</w:t>
      </w:r>
    </w:p>
    <w:p w:rsidR="00B75A23" w:rsidRDefault="00B75A23" w:rsidP="00241CD4">
      <w:pPr>
        <w:pStyle w:val="BodyText"/>
        <w:spacing w:line="480" w:lineRule="auto"/>
        <w:ind w:left="1440" w:hanging="720"/>
      </w:pPr>
      <w:r>
        <w:t>A.</w:t>
      </w:r>
      <w:r>
        <w:tab/>
        <w:t xml:space="preserve">CenturyLink expects to incur </w:t>
      </w:r>
      <w:r w:rsidR="008F127B">
        <w:t xml:space="preserve">a total of </w:t>
      </w:r>
      <w:r>
        <w:t xml:space="preserve">$8.225 billion of debt </w:t>
      </w:r>
      <w:r w:rsidR="007D49D9">
        <w:t>related to</w:t>
      </w:r>
      <w:r>
        <w:t xml:space="preserve"> the Merger.</w:t>
      </w:r>
      <w:bookmarkStart w:id="8" w:name="_Ref472658648"/>
      <w:r w:rsidR="00A36633">
        <w:rPr>
          <w:rStyle w:val="FootnoteReference"/>
        </w:rPr>
        <w:footnoteReference w:id="32"/>
      </w:r>
      <w:bookmarkEnd w:id="8"/>
      <w:r>
        <w:t xml:space="preserve">  CenturyLink plans to use approximately $1.150 billion</w:t>
      </w:r>
      <w:r w:rsidR="00622E4A">
        <w:t xml:space="preserve"> </w:t>
      </w:r>
      <w:r>
        <w:t xml:space="preserve">of the proceeds to refinance certain existing debt of CenturyLink and Level 3, meaning </w:t>
      </w:r>
      <w:r w:rsidR="007548FE">
        <w:t xml:space="preserve">that </w:t>
      </w:r>
      <w:r>
        <w:t xml:space="preserve">this portion of the acquisition financing will not result in an increase in the combined company’s total debt.  Accordingly, the incremental </w:t>
      </w:r>
      <w:r w:rsidR="000566CE">
        <w:t xml:space="preserve">Merger-related </w:t>
      </w:r>
      <w:r>
        <w:t xml:space="preserve">debt </w:t>
      </w:r>
      <w:r w:rsidR="00622E4A">
        <w:t xml:space="preserve">that </w:t>
      </w:r>
      <w:r>
        <w:t>CenturyLink expects to incur is $7.075 billion.  CenturyLink will apply this amount, together with cash on hand</w:t>
      </w:r>
      <w:r w:rsidR="00FC5240">
        <w:t>,</w:t>
      </w:r>
      <w:r>
        <w:t xml:space="preserve"> to finance the cash portion of the </w:t>
      </w:r>
      <w:r w:rsidR="008F127B">
        <w:t>a</w:t>
      </w:r>
      <w:r>
        <w:t>cquisition consideration and related fees and expenses.</w:t>
      </w:r>
      <w:r w:rsidR="00241CD4">
        <w:t xml:space="preserve">  </w:t>
      </w:r>
      <w:r>
        <w:t>CenturyLink expects the acquisition financing</w:t>
      </w:r>
      <w:r w:rsidR="008F127B">
        <w:t xml:space="preserve"> </w:t>
      </w:r>
      <w:r>
        <w:t>to be comprised of $2.150 billion of seven-year senior secured notes and $6.025 billion of secured term loans in two tranches—a $1.575 billion five-year tranche and a $4.500 billion seven-year tranche.</w:t>
      </w:r>
      <w:r w:rsidR="008F127B">
        <w:rPr>
          <w:rStyle w:val="FootnoteReference"/>
        </w:rPr>
        <w:footnoteReference w:id="33"/>
      </w:r>
      <w:r w:rsidR="008F127B">
        <w:t xml:space="preserve"> </w:t>
      </w:r>
      <w:r>
        <w:t xml:space="preserve"> In addition, CenturyLink expects to enter a new $2.0 billion five-year revolving credit facility to replace its existing $2.0 billion revolving credit facility that matures in 2019.  The new revolving credit facility </w:t>
      </w:r>
      <w:r w:rsidR="003C6C30">
        <w:t xml:space="preserve">is expected to </w:t>
      </w:r>
      <w:r>
        <w:t xml:space="preserve">be undrawn at closing and, as it replaces an existing facility of the same amount, will result in no increase in CenturyLink’s leverage.  </w:t>
      </w:r>
      <w:r w:rsidR="002E1767">
        <w:t>All existing indebtedness of CenturyLink and its subsidiaries and of Level 3 and its subsidiaries is expected to remain in place, except for the approximately $1.150 billion of existing debt that will be refinanced by the acquisition financing (as discussed above).</w:t>
      </w:r>
    </w:p>
    <w:p w:rsidR="006E1EE8" w:rsidRDefault="006E1EE8" w:rsidP="006E1EE8">
      <w:pPr>
        <w:pStyle w:val="BodyText"/>
        <w:spacing w:after="0" w:line="480" w:lineRule="auto"/>
        <w:ind w:left="1440" w:hanging="720"/>
        <w:rPr>
          <w:b/>
        </w:rPr>
      </w:pPr>
      <w:r w:rsidRPr="008B0AAF">
        <w:rPr>
          <w:b/>
        </w:rPr>
        <w:t>Q.</w:t>
      </w:r>
      <w:r w:rsidRPr="008B0AAF">
        <w:rPr>
          <w:b/>
        </w:rPr>
        <w:tab/>
      </w:r>
      <w:r>
        <w:rPr>
          <w:b/>
        </w:rPr>
        <w:t>Wh</w:t>
      </w:r>
      <w:r w:rsidR="00137E5D">
        <w:rPr>
          <w:b/>
        </w:rPr>
        <w:t>ich</w:t>
      </w:r>
      <w:r>
        <w:rPr>
          <w:b/>
        </w:rPr>
        <w:t xml:space="preserve"> </w:t>
      </w:r>
      <w:r w:rsidR="00EC5D8A">
        <w:rPr>
          <w:b/>
        </w:rPr>
        <w:t xml:space="preserve">legal </w:t>
      </w:r>
      <w:r>
        <w:rPr>
          <w:b/>
        </w:rPr>
        <w:t>entity will be the borrower of the acquisition financing</w:t>
      </w:r>
      <w:r w:rsidRPr="008B0AAF">
        <w:rPr>
          <w:b/>
        </w:rPr>
        <w:t>?</w:t>
      </w:r>
    </w:p>
    <w:p w:rsidR="008B0AAF" w:rsidRDefault="006E1EE8" w:rsidP="007D49D9">
      <w:pPr>
        <w:pStyle w:val="BodyText"/>
        <w:spacing w:line="480" w:lineRule="auto"/>
        <w:ind w:left="1440" w:hanging="720"/>
      </w:pPr>
      <w:r>
        <w:t>A.</w:t>
      </w:r>
      <w:r>
        <w:tab/>
      </w:r>
      <w:r w:rsidR="00B75A23">
        <w:t xml:space="preserve">The </w:t>
      </w:r>
      <w:r w:rsidR="00593F27">
        <w:t>borrower of the acquisition financing</w:t>
      </w:r>
      <w:r w:rsidR="00B75A23">
        <w:t xml:space="preserve"> </w:t>
      </w:r>
      <w:r w:rsidR="004C141C">
        <w:t>is expected to</w:t>
      </w:r>
      <w:r w:rsidR="00B75A23">
        <w:t xml:space="preserve"> be CenturyLink</w:t>
      </w:r>
      <w:r w:rsidR="00593F27">
        <w:t xml:space="preserve">, Inc.  The </w:t>
      </w:r>
      <w:r w:rsidR="004C141C">
        <w:t xml:space="preserve">Company anticipates that </w:t>
      </w:r>
      <w:r w:rsidR="00593F27">
        <w:t>acquisition financing</w:t>
      </w:r>
      <w:r w:rsidR="00B75A23">
        <w:t xml:space="preserve"> will be guaranteed by: (1) Wildcat Holdco (a newly-formed </w:t>
      </w:r>
      <w:r w:rsidR="002A62CD">
        <w:t>CenturyLink</w:t>
      </w:r>
      <w:r w:rsidR="00593F27">
        <w:t xml:space="preserve"> subsidiary </w:t>
      </w:r>
      <w:r w:rsidR="00B75A23">
        <w:t>that</w:t>
      </w:r>
      <w:r w:rsidR="00EC5D8A">
        <w:t>,</w:t>
      </w:r>
      <w:r w:rsidR="00B75A23">
        <w:t xml:space="preserve"> </w:t>
      </w:r>
      <w:r w:rsidR="00EC5D8A">
        <w:t xml:space="preserve">following the Merger, </w:t>
      </w:r>
      <w:r w:rsidR="00B75A23">
        <w:t>will be the parent of the successor to Level 3 Communications, Inc.)</w:t>
      </w:r>
      <w:r w:rsidR="002A62CD">
        <w:rPr>
          <w:rStyle w:val="FootnoteReference"/>
        </w:rPr>
        <w:footnoteReference w:id="34"/>
      </w:r>
      <w:r w:rsidR="00B75A23">
        <w:t xml:space="preserve"> and (2) certain </w:t>
      </w:r>
      <w:r w:rsidR="00EC5D8A">
        <w:t>CenturyLink</w:t>
      </w:r>
      <w:r w:rsidR="004E7363">
        <w:rPr>
          <w:i/>
        </w:rPr>
        <w:t xml:space="preserve"> </w:t>
      </w:r>
      <w:r w:rsidR="004E7363">
        <w:t>unregulated</w:t>
      </w:r>
      <w:r w:rsidR="00593F27" w:rsidRPr="00241CD4">
        <w:rPr>
          <w:i/>
        </w:rPr>
        <w:t xml:space="preserve"> </w:t>
      </w:r>
      <w:r w:rsidR="00B75A23">
        <w:t xml:space="preserve">subsidiaries </w:t>
      </w:r>
      <w:r w:rsidR="00593F27">
        <w:t xml:space="preserve">that guarantee the Company’s existing revolving </w:t>
      </w:r>
      <w:r w:rsidR="008145E1">
        <w:t xml:space="preserve">credit </w:t>
      </w:r>
      <w:r w:rsidR="00593F27">
        <w:t>f</w:t>
      </w:r>
      <w:r w:rsidR="00B75A23">
        <w:t>acility</w:t>
      </w:r>
      <w:r w:rsidR="00593F27">
        <w:t>.</w:t>
      </w:r>
      <w:r w:rsidR="004E7363">
        <w:rPr>
          <w:rStyle w:val="FootnoteReference"/>
        </w:rPr>
        <w:footnoteReference w:id="35"/>
      </w:r>
      <w:r w:rsidR="00593F27">
        <w:t xml:space="preserve">  </w:t>
      </w:r>
      <w:r w:rsidR="00480EDC">
        <w:t>T</w:t>
      </w:r>
      <w:r w:rsidR="00622E4A">
        <w:t>he Company will not provide any</w:t>
      </w:r>
      <w:r w:rsidR="002736CD">
        <w:t xml:space="preserve"> new</w:t>
      </w:r>
      <w:r w:rsidR="00622E4A">
        <w:t xml:space="preserve"> ILEC-related guarantees, except the pledge of </w:t>
      </w:r>
      <w:r w:rsidR="002D26C7">
        <w:t>QC’s stock</w:t>
      </w:r>
      <w:r w:rsidR="00927FDD">
        <w:t xml:space="preserve">.  </w:t>
      </w:r>
      <w:r w:rsidR="00D22F00">
        <w:t>The existing Level 3 parent</w:t>
      </w:r>
      <w:r w:rsidR="00DF29A6">
        <w:t xml:space="preserve"> will not be </w:t>
      </w:r>
      <w:r w:rsidR="00D22F00">
        <w:t xml:space="preserve">a </w:t>
      </w:r>
      <w:r w:rsidR="00DF29A6">
        <w:t>guarantor of the acquisition financing</w:t>
      </w:r>
      <w:r w:rsidR="00B75A23">
        <w:t xml:space="preserve">.  CenturyLink, Inc.’s </w:t>
      </w:r>
      <w:r w:rsidR="000D695A">
        <w:t>direct</w:t>
      </w:r>
      <w:r w:rsidR="004C141C">
        <w:t>-subsidiary</w:t>
      </w:r>
      <w:r w:rsidR="000D695A">
        <w:t xml:space="preserve"> </w:t>
      </w:r>
      <w:r w:rsidR="00B75A23">
        <w:t xml:space="preserve">assets (including the stock of its direct subsidiaries) will not </w:t>
      </w:r>
      <w:r w:rsidR="009B1173">
        <w:t>be pledged as security for the acquisition financing</w:t>
      </w:r>
      <w:r w:rsidR="00B75A23">
        <w:t>.</w:t>
      </w:r>
    </w:p>
    <w:p w:rsidR="00673E33" w:rsidRDefault="00673E33" w:rsidP="007371B1">
      <w:pPr>
        <w:pStyle w:val="BodyText"/>
        <w:spacing w:after="0" w:line="480" w:lineRule="auto"/>
        <w:ind w:left="1440" w:hanging="720"/>
        <w:rPr>
          <w:b/>
        </w:rPr>
      </w:pPr>
      <w:r>
        <w:rPr>
          <w:b/>
        </w:rPr>
        <w:t>Q.</w:t>
      </w:r>
      <w:r>
        <w:rPr>
          <w:b/>
        </w:rPr>
        <w:tab/>
        <w:t xml:space="preserve">Please describe CenturyLink’s </w:t>
      </w:r>
      <w:r w:rsidR="00EC78B8">
        <w:rPr>
          <w:b/>
        </w:rPr>
        <w:t xml:space="preserve">legal </w:t>
      </w:r>
      <w:r>
        <w:rPr>
          <w:b/>
        </w:rPr>
        <w:t>structure</w:t>
      </w:r>
      <w:r w:rsidR="008A3E57">
        <w:rPr>
          <w:b/>
        </w:rPr>
        <w:t xml:space="preserve"> and its guarantor subsidiaries (both pre- and post-Merger)</w:t>
      </w:r>
      <w:r>
        <w:rPr>
          <w:b/>
        </w:rPr>
        <w:t>.</w:t>
      </w:r>
    </w:p>
    <w:p w:rsidR="0022671C" w:rsidRDefault="00673E33" w:rsidP="0022671C">
      <w:pPr>
        <w:spacing w:line="480" w:lineRule="auto"/>
        <w:ind w:left="1440" w:hanging="720"/>
      </w:pPr>
      <w:r>
        <w:t>A.</w:t>
      </w:r>
      <w:r>
        <w:tab/>
      </w:r>
      <w:fldSimple w:instr=" REF _Ref468433915 \h  \* MERGEFORMAT ">
        <w:r w:rsidR="00CF0894" w:rsidRPr="00CF0894">
          <w:t>Figure 2</w:t>
        </w:r>
      </w:fldSimple>
      <w:r w:rsidR="00AA1908">
        <w:t xml:space="preserve"> is</w:t>
      </w:r>
      <w:r>
        <w:t xml:space="preserve"> a summary illustration of CenturyLink’s legal structure</w:t>
      </w:r>
      <w:r w:rsidR="008A3E57">
        <w:t xml:space="preserve"> pre-Merger</w:t>
      </w:r>
      <w:r>
        <w:t xml:space="preserve">.  </w:t>
      </w:r>
      <w:r w:rsidR="008A3E57">
        <w:t>Note that the light</w:t>
      </w:r>
      <w:r w:rsidR="007F77CD">
        <w:t>-</w:t>
      </w:r>
      <w:r w:rsidR="008A3E57">
        <w:t xml:space="preserve">blue-shaded entities are the guarantors of CenturyLink’s </w:t>
      </w:r>
      <w:r w:rsidR="00AD066D">
        <w:t>existing revolving credit and term loan facilities.  All white</w:t>
      </w:r>
      <w:r w:rsidR="007F77CD">
        <w:t>-</w:t>
      </w:r>
      <w:r w:rsidR="00AD066D">
        <w:t xml:space="preserve">unshaded </w:t>
      </w:r>
      <w:r w:rsidR="00137E5D">
        <w:t>boxes represent entities that are</w:t>
      </w:r>
      <w:r w:rsidR="00AD066D">
        <w:t xml:space="preserve"> not guarantors of the Company’s existing debt.  In addition, regulated ILEC subsidiaries are indicated by dotted</w:t>
      </w:r>
      <w:r w:rsidR="00241CD4">
        <w:t>-</w:t>
      </w:r>
      <w:r w:rsidR="00AD066D">
        <w:t xml:space="preserve">line boxes.  </w:t>
      </w:r>
      <w:r w:rsidR="005D0917">
        <w:t xml:space="preserve">As is evident </w:t>
      </w:r>
      <w:r w:rsidR="00241CD4">
        <w:t>in the figure</w:t>
      </w:r>
      <w:r w:rsidR="005D0917">
        <w:t xml:space="preserve">, all the guarantors of CenturyLink’s pre-Merger </w:t>
      </w:r>
      <w:r w:rsidR="00137E5D">
        <w:t xml:space="preserve">debt </w:t>
      </w:r>
      <w:r w:rsidR="005D0917">
        <w:t xml:space="preserve">are </w:t>
      </w:r>
      <w:r w:rsidR="004E7363">
        <w:t>un</w:t>
      </w:r>
      <w:r w:rsidR="005D0917">
        <w:t xml:space="preserve">regulated entities (as stated previously), </w:t>
      </w:r>
      <w:r w:rsidR="004C141C">
        <w:t>except for</w:t>
      </w:r>
      <w:r w:rsidR="005D0917">
        <w:t xml:space="preserve"> United Telephone Company of Ohio.  </w:t>
      </w:r>
      <w:r w:rsidR="007F77CD">
        <w:t xml:space="preserve">In contrast, </w:t>
      </w:r>
      <w:fldSimple w:instr=" REF _Ref468433956 \h  \* MERGEFORMAT ">
        <w:r w:rsidR="00CF0894" w:rsidRPr="00CF0894">
          <w:t>Figure 3</w:t>
        </w:r>
      </w:fldSimple>
      <w:r w:rsidR="005D0917">
        <w:t xml:space="preserve"> is a summary illustration of CenturyLink’s </w:t>
      </w:r>
      <w:r w:rsidR="004B5501">
        <w:t xml:space="preserve">expected </w:t>
      </w:r>
      <w:r w:rsidR="005D0917">
        <w:t xml:space="preserve">legal structure post-Merger.  </w:t>
      </w:r>
    </w:p>
    <w:p w:rsidR="009717AC" w:rsidRDefault="009717AC" w:rsidP="009717AC">
      <w:pPr>
        <w:pStyle w:val="Caption"/>
        <w:keepNext/>
        <w:pBdr>
          <w:top w:val="single" w:sz="4" w:space="1" w:color="auto"/>
        </w:pBdr>
        <w:ind w:left="1440"/>
        <w:rPr>
          <w:b/>
          <w:color w:val="auto"/>
          <w:sz w:val="20"/>
        </w:rPr>
      </w:pPr>
      <w:bookmarkStart w:id="9" w:name="_Ref468433915"/>
      <w:r w:rsidRPr="001D5CA4">
        <w:rPr>
          <w:b/>
          <w:color w:val="auto"/>
          <w:sz w:val="20"/>
        </w:rPr>
        <w:t xml:space="preserve">Figure </w:t>
      </w:r>
      <w:r w:rsidR="00DE167B" w:rsidRPr="001D5CA4">
        <w:rPr>
          <w:b/>
          <w:color w:val="auto"/>
          <w:sz w:val="20"/>
        </w:rPr>
        <w:fldChar w:fldCharType="begin"/>
      </w:r>
      <w:r w:rsidRPr="001D5CA4">
        <w:rPr>
          <w:b/>
          <w:color w:val="auto"/>
          <w:sz w:val="20"/>
        </w:rPr>
        <w:instrText xml:space="preserve"> SEQ Figure \* ARABIC </w:instrText>
      </w:r>
      <w:r w:rsidR="00DE167B" w:rsidRPr="001D5CA4">
        <w:rPr>
          <w:b/>
          <w:color w:val="auto"/>
          <w:sz w:val="20"/>
        </w:rPr>
        <w:fldChar w:fldCharType="separate"/>
      </w:r>
      <w:r w:rsidR="00CF0894">
        <w:rPr>
          <w:b/>
          <w:noProof/>
          <w:color w:val="auto"/>
          <w:sz w:val="20"/>
        </w:rPr>
        <w:t>2</w:t>
      </w:r>
      <w:r w:rsidR="00DE167B" w:rsidRPr="001D5CA4">
        <w:rPr>
          <w:b/>
          <w:color w:val="auto"/>
          <w:sz w:val="20"/>
        </w:rPr>
        <w:fldChar w:fldCharType="end"/>
      </w:r>
      <w:bookmarkEnd w:id="9"/>
      <w:r w:rsidRPr="001D5CA4">
        <w:rPr>
          <w:b/>
          <w:color w:val="auto"/>
          <w:sz w:val="20"/>
        </w:rPr>
        <w:t>: Pre-Merger CenturyLink summary legal structure</w:t>
      </w:r>
    </w:p>
    <w:p w:rsidR="009717AC" w:rsidRDefault="00FC2056" w:rsidP="009717AC">
      <w:pPr>
        <w:ind w:firstLine="1440"/>
      </w:pPr>
      <w:r>
        <w:rPr>
          <w:noProof/>
        </w:rPr>
        <w:drawing>
          <wp:inline distT="0" distB="0" distL="0" distR="0">
            <wp:extent cx="4608138" cy="29432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15383" cy="2947852"/>
                    </a:xfrm>
                    <a:prstGeom prst="rect">
                      <a:avLst/>
                    </a:prstGeom>
                    <a:noFill/>
                    <a:ln>
                      <a:noFill/>
                    </a:ln>
                  </pic:spPr>
                </pic:pic>
              </a:graphicData>
            </a:graphic>
          </wp:inline>
        </w:drawing>
      </w:r>
    </w:p>
    <w:p w:rsidR="009717AC" w:rsidRDefault="009717AC" w:rsidP="009717AC"/>
    <w:p w:rsidR="009717AC" w:rsidRDefault="009717AC" w:rsidP="009717AC">
      <w:pPr>
        <w:keepNext/>
        <w:pBdr>
          <w:bottom w:val="single" w:sz="4" w:space="1" w:color="auto"/>
        </w:pBdr>
        <w:ind w:left="1440"/>
        <w:rPr>
          <w:i/>
          <w:sz w:val="18"/>
        </w:rPr>
      </w:pPr>
      <w:r w:rsidRPr="001A0AAC">
        <w:rPr>
          <w:i/>
          <w:sz w:val="18"/>
        </w:rPr>
        <w:t xml:space="preserve">Source: </w:t>
      </w:r>
      <w:r w:rsidRPr="007D49D9">
        <w:rPr>
          <w:i/>
          <w:sz w:val="18"/>
        </w:rPr>
        <w:t>Wachtell, Lipton, Rosen &amp; Katz</w:t>
      </w:r>
      <w:r>
        <w:rPr>
          <w:i/>
          <w:sz w:val="18"/>
        </w:rPr>
        <w:t>; Balhoff &amp; Williams, LLC.</w:t>
      </w:r>
    </w:p>
    <w:p w:rsidR="009717AC" w:rsidRDefault="009717AC" w:rsidP="009717AC">
      <w:pPr>
        <w:ind w:left="1440"/>
        <w:rPr>
          <w:i/>
          <w:sz w:val="18"/>
        </w:rPr>
      </w:pPr>
    </w:p>
    <w:p w:rsidR="009717AC" w:rsidRDefault="009717AC" w:rsidP="009717AC">
      <w:pPr>
        <w:ind w:left="1440"/>
        <w:rPr>
          <w:i/>
          <w:sz w:val="18"/>
        </w:rPr>
      </w:pPr>
    </w:p>
    <w:p w:rsidR="009717AC" w:rsidRDefault="009717AC" w:rsidP="009717AC">
      <w:pPr>
        <w:pStyle w:val="Caption"/>
        <w:keepNext/>
        <w:pBdr>
          <w:top w:val="single" w:sz="4" w:space="1" w:color="auto"/>
        </w:pBdr>
        <w:ind w:left="1440"/>
        <w:rPr>
          <w:b/>
          <w:color w:val="auto"/>
          <w:sz w:val="20"/>
        </w:rPr>
      </w:pPr>
      <w:bookmarkStart w:id="10" w:name="_Ref468433956"/>
      <w:r w:rsidRPr="001A0AAC">
        <w:rPr>
          <w:b/>
          <w:color w:val="auto"/>
          <w:sz w:val="20"/>
        </w:rPr>
        <w:t xml:space="preserve">Figure </w:t>
      </w:r>
      <w:r w:rsidR="00DE167B" w:rsidRPr="001A0AAC">
        <w:rPr>
          <w:b/>
          <w:color w:val="auto"/>
          <w:sz w:val="20"/>
        </w:rPr>
        <w:fldChar w:fldCharType="begin"/>
      </w:r>
      <w:r w:rsidRPr="001A0AAC">
        <w:rPr>
          <w:b/>
          <w:color w:val="auto"/>
          <w:sz w:val="20"/>
        </w:rPr>
        <w:instrText xml:space="preserve"> SEQ Figure \* ARABIC </w:instrText>
      </w:r>
      <w:r w:rsidR="00DE167B" w:rsidRPr="001A0AAC">
        <w:rPr>
          <w:b/>
          <w:color w:val="auto"/>
          <w:sz w:val="20"/>
        </w:rPr>
        <w:fldChar w:fldCharType="separate"/>
      </w:r>
      <w:r w:rsidR="00CF0894">
        <w:rPr>
          <w:b/>
          <w:noProof/>
          <w:color w:val="auto"/>
          <w:sz w:val="20"/>
        </w:rPr>
        <w:t>3</w:t>
      </w:r>
      <w:r w:rsidR="00DE167B" w:rsidRPr="001A0AAC">
        <w:rPr>
          <w:b/>
          <w:color w:val="auto"/>
          <w:sz w:val="20"/>
        </w:rPr>
        <w:fldChar w:fldCharType="end"/>
      </w:r>
      <w:bookmarkEnd w:id="10"/>
      <w:r>
        <w:rPr>
          <w:b/>
          <w:color w:val="auto"/>
          <w:sz w:val="20"/>
        </w:rPr>
        <w:t>: Post</w:t>
      </w:r>
      <w:r w:rsidRPr="001A0AAC">
        <w:rPr>
          <w:b/>
          <w:color w:val="auto"/>
          <w:sz w:val="20"/>
        </w:rPr>
        <w:t xml:space="preserve">-Merger CenturyLink summary </w:t>
      </w:r>
      <w:r w:rsidR="007403BF">
        <w:rPr>
          <w:b/>
          <w:color w:val="auto"/>
          <w:sz w:val="20"/>
        </w:rPr>
        <w:t xml:space="preserve">expected </w:t>
      </w:r>
      <w:r w:rsidRPr="001A0AAC">
        <w:rPr>
          <w:b/>
          <w:color w:val="auto"/>
          <w:sz w:val="20"/>
        </w:rPr>
        <w:t>legal structure</w:t>
      </w:r>
    </w:p>
    <w:p w:rsidR="009717AC" w:rsidRDefault="00FC2056" w:rsidP="009717AC">
      <w:pPr>
        <w:keepNext/>
        <w:ind w:left="1440"/>
        <w:rPr>
          <w:i/>
          <w:sz w:val="18"/>
        </w:rPr>
      </w:pPr>
      <w:r>
        <w:rPr>
          <w:noProof/>
        </w:rPr>
        <w:drawing>
          <wp:inline distT="0" distB="0" distL="0" distR="0">
            <wp:extent cx="4607560" cy="2919778"/>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13916" cy="2923806"/>
                    </a:xfrm>
                    <a:prstGeom prst="rect">
                      <a:avLst/>
                    </a:prstGeom>
                    <a:noFill/>
                    <a:ln>
                      <a:noFill/>
                    </a:ln>
                  </pic:spPr>
                </pic:pic>
              </a:graphicData>
            </a:graphic>
          </wp:inline>
        </w:drawing>
      </w:r>
    </w:p>
    <w:p w:rsidR="009717AC" w:rsidRDefault="009717AC" w:rsidP="009717AC">
      <w:pPr>
        <w:keepNext/>
        <w:pBdr>
          <w:bottom w:val="single" w:sz="4" w:space="1" w:color="auto"/>
        </w:pBdr>
        <w:ind w:left="1440"/>
        <w:rPr>
          <w:i/>
          <w:sz w:val="18"/>
        </w:rPr>
      </w:pPr>
      <w:r w:rsidRPr="001A0AAC">
        <w:rPr>
          <w:i/>
          <w:sz w:val="18"/>
        </w:rPr>
        <w:t xml:space="preserve">Source: </w:t>
      </w:r>
      <w:r w:rsidRPr="007D49D9">
        <w:rPr>
          <w:i/>
          <w:sz w:val="18"/>
        </w:rPr>
        <w:t>Wachtell, Lipton, Rosen &amp; Katz</w:t>
      </w:r>
      <w:r>
        <w:rPr>
          <w:i/>
          <w:sz w:val="18"/>
        </w:rPr>
        <w:t>; Balhoff &amp; Williams, LLC.</w:t>
      </w:r>
    </w:p>
    <w:p w:rsidR="009717AC" w:rsidRDefault="009717AC" w:rsidP="009717AC">
      <w:pPr>
        <w:ind w:left="1440"/>
        <w:rPr>
          <w:i/>
          <w:sz w:val="18"/>
        </w:rPr>
      </w:pPr>
    </w:p>
    <w:p w:rsidR="00060623" w:rsidRDefault="00060623" w:rsidP="00FA66D0">
      <w:pPr>
        <w:pStyle w:val="BodyText"/>
        <w:spacing w:after="0" w:line="480" w:lineRule="auto"/>
        <w:ind w:left="1440" w:hanging="720"/>
        <w:rPr>
          <w:b/>
        </w:rPr>
      </w:pPr>
    </w:p>
    <w:p w:rsidR="00FA66D0" w:rsidRDefault="00FA66D0" w:rsidP="00FA66D0">
      <w:pPr>
        <w:pStyle w:val="BodyText"/>
        <w:spacing w:after="0" w:line="480" w:lineRule="auto"/>
        <w:ind w:left="1440" w:hanging="720"/>
        <w:rPr>
          <w:b/>
        </w:rPr>
      </w:pPr>
      <w:r>
        <w:rPr>
          <w:b/>
        </w:rPr>
        <w:t>Q.</w:t>
      </w:r>
      <w:r>
        <w:rPr>
          <w:b/>
        </w:rPr>
        <w:tab/>
      </w:r>
      <w:r w:rsidR="007F77CD">
        <w:rPr>
          <w:b/>
        </w:rPr>
        <w:t>Please summarize the</w:t>
      </w:r>
      <w:r>
        <w:rPr>
          <w:b/>
        </w:rPr>
        <w:t xml:space="preserve"> </w:t>
      </w:r>
      <w:r w:rsidR="005107CB">
        <w:rPr>
          <w:b/>
        </w:rPr>
        <w:t xml:space="preserve">changes </w:t>
      </w:r>
      <w:r w:rsidR="007F77CD">
        <w:rPr>
          <w:b/>
        </w:rPr>
        <w:t xml:space="preserve">that </w:t>
      </w:r>
      <w:r w:rsidR="005107CB">
        <w:rPr>
          <w:b/>
        </w:rPr>
        <w:t xml:space="preserve">occur </w:t>
      </w:r>
      <w:r w:rsidR="00137E5D">
        <w:rPr>
          <w:b/>
        </w:rPr>
        <w:t>pursuant to</w:t>
      </w:r>
      <w:r w:rsidR="005107CB">
        <w:rPr>
          <w:b/>
        </w:rPr>
        <w:t xml:space="preserve"> the Merger</w:t>
      </w:r>
      <w:r w:rsidR="00C1527E">
        <w:rPr>
          <w:b/>
        </w:rPr>
        <w:t xml:space="preserve"> financing structure</w:t>
      </w:r>
      <w:r w:rsidR="005107CB">
        <w:rPr>
          <w:b/>
        </w:rPr>
        <w:t xml:space="preserve"> </w:t>
      </w:r>
      <w:r>
        <w:rPr>
          <w:b/>
        </w:rPr>
        <w:t xml:space="preserve">and </w:t>
      </w:r>
      <w:r w:rsidR="005107CB">
        <w:rPr>
          <w:b/>
        </w:rPr>
        <w:t>the effect</w:t>
      </w:r>
      <w:r>
        <w:rPr>
          <w:b/>
        </w:rPr>
        <w:t xml:space="preserve"> </w:t>
      </w:r>
      <w:r w:rsidR="007F77CD">
        <w:rPr>
          <w:b/>
        </w:rPr>
        <w:t>on</w:t>
      </w:r>
      <w:r>
        <w:rPr>
          <w:b/>
        </w:rPr>
        <w:t xml:space="preserve"> CenturyLink’s regulated ILEC subsidiaries</w:t>
      </w:r>
      <w:r w:rsidR="007F77CD">
        <w:rPr>
          <w:b/>
        </w:rPr>
        <w:t>.</w:t>
      </w:r>
    </w:p>
    <w:p w:rsidR="00E64DAF" w:rsidRDefault="00FA66D0" w:rsidP="00BF3756">
      <w:pPr>
        <w:pStyle w:val="BodyText"/>
        <w:spacing w:line="480" w:lineRule="auto"/>
        <w:ind w:left="1440" w:hanging="720"/>
      </w:pPr>
      <w:r>
        <w:t>A.</w:t>
      </w:r>
      <w:r>
        <w:tab/>
      </w:r>
      <w:r w:rsidR="000638AE">
        <w:t>Beyond the addition of Level 3, there are t</w:t>
      </w:r>
      <w:r w:rsidR="004F758E">
        <w:t>wo</w:t>
      </w:r>
      <w:r w:rsidR="000638AE">
        <w:t xml:space="preserve"> primary changes </w:t>
      </w:r>
      <w:r w:rsidR="00137E5D">
        <w:t xml:space="preserve">arising </w:t>
      </w:r>
      <w:r w:rsidR="000638AE">
        <w:t xml:space="preserve">from the acquisition financing, as </w:t>
      </w:r>
      <w:r w:rsidR="00137E5D">
        <w:t xml:space="preserve">depicted in </w:t>
      </w:r>
      <w:fldSimple w:instr=" REF _Ref468433956 \h  \* MERGEFORMAT ">
        <w:r w:rsidR="00CF0894" w:rsidRPr="00CF0894">
          <w:t>Figure 3</w:t>
        </w:r>
      </w:fldSimple>
      <w:r w:rsidR="000638AE">
        <w:t xml:space="preserve">, and these changes have </w:t>
      </w:r>
      <w:r w:rsidR="00137E5D">
        <w:t>no negative effect</w:t>
      </w:r>
      <w:r w:rsidR="000638AE">
        <w:t xml:space="preserve"> on the regulated ILEC subsidiaries.  First, CenturyLink </w:t>
      </w:r>
      <w:r w:rsidR="004029C4">
        <w:t>is expected to</w:t>
      </w:r>
      <w:r w:rsidR="000638AE">
        <w:t xml:space="preserve"> incur approximately $7.1 billion in incremental total debt.  However, as discussed elsewhere in my testimony, this incremental total debt </w:t>
      </w:r>
      <w:r w:rsidR="007F77CD">
        <w:t>is expected to</w:t>
      </w:r>
      <w:r w:rsidR="000638AE">
        <w:t xml:space="preserve"> be supported by the increased cash flows and </w:t>
      </w:r>
      <w:r w:rsidR="005107CB">
        <w:t xml:space="preserve">the </w:t>
      </w:r>
      <w:r w:rsidR="000638AE">
        <w:t xml:space="preserve">enhanced growth profile of the combined company.  In addition, the Company expects to reduce this incremental leverage rapidly over the next </w:t>
      </w:r>
      <w:r w:rsidR="005107CB">
        <w:t>three to four</w:t>
      </w:r>
      <w:r w:rsidR="000638AE">
        <w:t xml:space="preserve"> years.  As such, when these operating and cash flow benefits are considered, I </w:t>
      </w:r>
      <w:r w:rsidR="007F77CD">
        <w:t>am convinced that</w:t>
      </w:r>
      <w:r w:rsidR="000638AE">
        <w:t xml:space="preserve"> the incremental acquisition debt has no direct or indirect negative </w:t>
      </w:r>
      <w:r w:rsidR="005107CB">
        <w:t>effect on</w:t>
      </w:r>
      <w:r w:rsidR="000638AE">
        <w:t xml:space="preserve"> CenturyLink’s regulated ILEC subsidiaries.  </w:t>
      </w:r>
    </w:p>
    <w:p w:rsidR="005107CB" w:rsidRDefault="000B34EA" w:rsidP="00644968">
      <w:pPr>
        <w:pStyle w:val="BodyText"/>
        <w:spacing w:line="480" w:lineRule="auto"/>
        <w:ind w:left="1440" w:hanging="720"/>
      </w:pPr>
      <w:r>
        <w:rPr>
          <w:b/>
        </w:rPr>
        <w:tab/>
      </w:r>
      <w:r w:rsidR="00257539">
        <w:t xml:space="preserve">The </w:t>
      </w:r>
      <w:r w:rsidR="003054BC">
        <w:t xml:space="preserve">second </w:t>
      </w:r>
      <w:r w:rsidR="00257539">
        <w:t>change resulting from the acquisition financing relates to subsidiaries that will</w:t>
      </w:r>
      <w:r w:rsidR="00257539" w:rsidRPr="00BF3756">
        <w:rPr>
          <w:i/>
        </w:rPr>
        <w:t xml:space="preserve"> not </w:t>
      </w:r>
      <w:r w:rsidR="00257539">
        <w:t xml:space="preserve">guarantee the acquisition financing, but </w:t>
      </w:r>
      <w:r w:rsidR="00A04966">
        <w:t xml:space="preserve">whose stock will be </w:t>
      </w:r>
      <w:r w:rsidR="00257539" w:rsidRPr="00BF3756">
        <w:rPr>
          <w:i/>
        </w:rPr>
        <w:t>pledge</w:t>
      </w:r>
      <w:r w:rsidR="00A04966">
        <w:rPr>
          <w:i/>
        </w:rPr>
        <w:t xml:space="preserve">d by </w:t>
      </w:r>
      <w:r w:rsidR="00421A37">
        <w:rPr>
          <w:i/>
        </w:rPr>
        <w:t>their</w:t>
      </w:r>
      <w:r w:rsidR="00A04966">
        <w:rPr>
          <w:i/>
        </w:rPr>
        <w:t xml:space="preserve"> corporate </w:t>
      </w:r>
      <w:r w:rsidR="00421A37">
        <w:rPr>
          <w:i/>
        </w:rPr>
        <w:t>parents</w:t>
      </w:r>
      <w:r w:rsidR="00257539" w:rsidRPr="00BF3756">
        <w:rPr>
          <w:i/>
        </w:rPr>
        <w:t xml:space="preserve"> as security</w:t>
      </w:r>
      <w:r w:rsidR="00257539">
        <w:t xml:space="preserve"> for the new debt (the light</w:t>
      </w:r>
      <w:r w:rsidR="008A6167">
        <w:t>-</w:t>
      </w:r>
      <w:r w:rsidR="00257539">
        <w:t>green</w:t>
      </w:r>
      <w:r w:rsidR="008A6167">
        <w:t>-</w:t>
      </w:r>
      <w:r w:rsidR="00257539">
        <w:t xml:space="preserve">shaded </w:t>
      </w:r>
      <w:r w:rsidR="006216EA">
        <w:t xml:space="preserve">boxes in Figure 3.  </w:t>
      </w:r>
      <w:r w:rsidR="003054BC">
        <w:t>There are two such stock</w:t>
      </w:r>
      <w:r w:rsidR="00797316">
        <w:t xml:space="preserve"> pledges</w:t>
      </w:r>
      <w:r w:rsidR="00257539">
        <w:t xml:space="preserve"> </w:t>
      </w:r>
      <w:r w:rsidR="003054BC">
        <w:t xml:space="preserve">that </w:t>
      </w:r>
      <w:r w:rsidR="00257539">
        <w:t xml:space="preserve">are new (relative to the pre-Merger structure </w:t>
      </w:r>
      <w:r w:rsidR="00991037">
        <w:t>depicted in</w:t>
      </w:r>
      <w:r w:rsidR="00257539">
        <w:t xml:space="preserve"> </w:t>
      </w:r>
      <w:fldSimple w:instr=" REF _Ref468433915 \h  \* MERGEFORMAT ">
        <w:r w:rsidR="00CF0894" w:rsidRPr="00CF0894">
          <w:t>Figure 2</w:t>
        </w:r>
      </w:fldSimple>
      <w:r w:rsidR="00257539">
        <w:t>)</w:t>
      </w:r>
      <w:r w:rsidR="009456DE">
        <w:t>.  T</w:t>
      </w:r>
      <w:r w:rsidR="003054BC">
        <w:t>he pledge of stock in Level 3 does not include any</w:t>
      </w:r>
      <w:r w:rsidR="003C6C30">
        <w:t xml:space="preserve"> </w:t>
      </w:r>
      <w:r w:rsidR="00257539">
        <w:t xml:space="preserve">regulated ILEC entities.  </w:t>
      </w:r>
      <w:r w:rsidR="003054BC">
        <w:t>A</w:t>
      </w:r>
      <w:r w:rsidR="006216EA">
        <w:t>s explained earlier,</w:t>
      </w:r>
      <w:r w:rsidR="00257539">
        <w:t xml:space="preserve"> Qwest Services Corporation </w:t>
      </w:r>
      <w:r w:rsidR="00EB2DD4">
        <w:t>will pledge its stock in</w:t>
      </w:r>
      <w:r w:rsidR="00EB2DD4" w:rsidRPr="00EB2DD4">
        <w:t xml:space="preserve"> </w:t>
      </w:r>
      <w:r w:rsidR="00EB2DD4">
        <w:t>Q</w:t>
      </w:r>
      <w:r w:rsidR="006216EA">
        <w:t>C</w:t>
      </w:r>
      <w:r w:rsidR="00EB2DD4">
        <w:t xml:space="preserve"> (Q</w:t>
      </w:r>
      <w:r w:rsidR="006216EA">
        <w:t>SC</w:t>
      </w:r>
      <w:r w:rsidR="00EB2DD4">
        <w:t xml:space="preserve"> owns 100% of </w:t>
      </w:r>
      <w:r w:rsidR="006216EA">
        <w:t xml:space="preserve">the </w:t>
      </w:r>
      <w:r w:rsidR="00EB2DD4">
        <w:t>QC stock)</w:t>
      </w:r>
      <w:r w:rsidR="00257539">
        <w:t>.</w:t>
      </w:r>
      <w:r w:rsidR="000C41AE">
        <w:t xml:space="preserve">  Thus, the only change in CenturyLink’s post-Merger corporate debt structure that </w:t>
      </w:r>
      <w:r w:rsidR="000C41AE" w:rsidRPr="004E36B0">
        <w:rPr>
          <w:i/>
        </w:rPr>
        <w:t>could</w:t>
      </w:r>
      <w:r w:rsidR="000C41AE">
        <w:t xml:space="preserve"> have implications for one of its regulated ILEC subsidiaries relates to </w:t>
      </w:r>
      <w:r w:rsidR="006216EA">
        <w:t>QSC</w:t>
      </w:r>
      <w:r w:rsidR="00EB2DD4">
        <w:t xml:space="preserve">’s </w:t>
      </w:r>
      <w:r w:rsidR="000C41AE">
        <w:t xml:space="preserve">pledge of </w:t>
      </w:r>
      <w:r w:rsidR="00EB2DD4">
        <w:t>its</w:t>
      </w:r>
      <w:r w:rsidR="000C41AE">
        <w:t xml:space="preserve"> Q</w:t>
      </w:r>
      <w:r w:rsidR="006216EA">
        <w:t>C</w:t>
      </w:r>
      <w:r w:rsidR="000C41AE">
        <w:t xml:space="preserve"> stock.</w:t>
      </w:r>
      <w:r w:rsidR="009456DE">
        <w:rPr>
          <w:rStyle w:val="FootnoteReference"/>
        </w:rPr>
        <w:footnoteReference w:id="36"/>
      </w:r>
      <w:r w:rsidR="000C41AE">
        <w:t xml:space="preserve">  However, as I </w:t>
      </w:r>
      <w:r w:rsidR="009E5C58">
        <w:t>noted above</w:t>
      </w:r>
      <w:r w:rsidR="000C41AE">
        <w:t xml:space="preserve">, </w:t>
      </w:r>
      <w:r w:rsidR="00B45820">
        <w:t xml:space="preserve">that pledge actually improves the financing for the Transaction, and </w:t>
      </w:r>
      <w:r w:rsidR="000C41AE">
        <w:t>in practice</w:t>
      </w:r>
      <w:r w:rsidR="005107CB">
        <w:t>,</w:t>
      </w:r>
      <w:r w:rsidR="000C41AE">
        <w:t xml:space="preserve"> the potential impact on </w:t>
      </w:r>
      <w:r w:rsidR="005107CB">
        <w:t>those</w:t>
      </w:r>
      <w:r w:rsidR="000C41AE">
        <w:t xml:space="preserve"> ILEC operatio</w:t>
      </w:r>
      <w:r w:rsidR="004E36B0">
        <w:t xml:space="preserve">ns </w:t>
      </w:r>
      <w:r w:rsidR="00330148">
        <w:t>resulting from</w:t>
      </w:r>
      <w:r w:rsidR="000C41AE">
        <w:t xml:space="preserve"> this stock pledge is not material and</w:t>
      </w:r>
      <w:r w:rsidR="00293E51">
        <w:t>, in my professional opinion,</w:t>
      </w:r>
      <w:r w:rsidR="000C41AE">
        <w:t xml:space="preserve"> it is </w:t>
      </w:r>
      <w:r w:rsidR="004E36B0">
        <w:t xml:space="preserve">very </w:t>
      </w:r>
      <w:r w:rsidR="000C41AE">
        <w:t xml:space="preserve">unlikely that the pledge would ever be enforced. </w:t>
      </w:r>
    </w:p>
    <w:p w:rsidR="007C5879" w:rsidRPr="00164BE9" w:rsidRDefault="00221FB2">
      <w:pPr>
        <w:pStyle w:val="BodyText"/>
        <w:spacing w:after="0" w:line="480" w:lineRule="auto"/>
        <w:ind w:left="1440" w:hanging="720"/>
        <w:rPr>
          <w:b/>
        </w:rPr>
      </w:pPr>
      <w:r>
        <w:t xml:space="preserve"> </w:t>
      </w:r>
      <w:r w:rsidR="00D72F86">
        <w:t xml:space="preserve"> </w:t>
      </w:r>
      <w:r w:rsidR="007C5879">
        <w:rPr>
          <w:b/>
        </w:rPr>
        <w:t>Q.</w:t>
      </w:r>
      <w:r w:rsidR="007C5879">
        <w:rPr>
          <w:b/>
        </w:rPr>
        <w:tab/>
        <w:t>Does the acquisition financing constitute all the funding for the Merger?</w:t>
      </w:r>
    </w:p>
    <w:p w:rsidR="000B34EA" w:rsidRDefault="007C5879" w:rsidP="00221FB2">
      <w:pPr>
        <w:pStyle w:val="BodyText"/>
        <w:spacing w:after="0" w:line="480" w:lineRule="auto"/>
        <w:ind w:left="1440" w:hanging="720"/>
      </w:pPr>
      <w:r>
        <w:t>A.</w:t>
      </w:r>
      <w:r>
        <w:tab/>
        <w:t>No</w:t>
      </w:r>
      <w:r w:rsidR="00FC2056">
        <w:t xml:space="preserve">.  </w:t>
      </w:r>
      <w:r>
        <w:t>The purchase price will also be funded by cash on hand at the time of the closing.</w:t>
      </w:r>
      <w:r>
        <w:rPr>
          <w:rStyle w:val="FootnoteReference"/>
        </w:rPr>
        <w:footnoteReference w:id="37"/>
      </w:r>
      <w:r>
        <w:t xml:space="preserve">  </w:t>
      </w:r>
      <w:r w:rsidR="002866AF">
        <w:t>Such cash on hand</w:t>
      </w:r>
      <w:r w:rsidR="00A158BE">
        <w:t xml:space="preserve"> will </w:t>
      </w:r>
      <w:r w:rsidR="002866AF">
        <w:t>reflect the</w:t>
      </w:r>
      <w:r w:rsidR="00A158BE">
        <w:t xml:space="preserve"> funds that </w:t>
      </w:r>
      <w:r>
        <w:t xml:space="preserve">CenturyLink expects </w:t>
      </w:r>
      <w:r w:rsidR="00A158BE">
        <w:t xml:space="preserve">to receive in </w:t>
      </w:r>
      <w:r>
        <w:t>the sale of its data center operations, announced on November 4, 2016.</w:t>
      </w:r>
      <w:r>
        <w:rPr>
          <w:rStyle w:val="FootnoteReference"/>
        </w:rPr>
        <w:footnoteReference w:id="38"/>
      </w:r>
      <w:r>
        <w:t xml:space="preserve"> </w:t>
      </w:r>
    </w:p>
    <w:p w:rsidR="00221FB2" w:rsidRPr="00164BE9" w:rsidRDefault="00221FB2" w:rsidP="00221FB2">
      <w:pPr>
        <w:pStyle w:val="BodyText"/>
        <w:spacing w:after="0" w:line="480" w:lineRule="auto"/>
        <w:ind w:left="1440" w:hanging="720"/>
        <w:rPr>
          <w:b/>
        </w:rPr>
      </w:pPr>
      <w:r>
        <w:rPr>
          <w:b/>
        </w:rPr>
        <w:t>Q.</w:t>
      </w:r>
      <w:r>
        <w:rPr>
          <w:b/>
        </w:rPr>
        <w:tab/>
      </w:r>
      <w:r w:rsidR="00BB39DA">
        <w:rPr>
          <w:b/>
        </w:rPr>
        <w:t>Given these changes, guarantees, and pledges, how will the financing of the Transaction affect the public interest?</w:t>
      </w:r>
    </w:p>
    <w:p w:rsidR="00221FB2" w:rsidRDefault="00221FB2" w:rsidP="00FA39EA">
      <w:pPr>
        <w:pStyle w:val="BodyText"/>
        <w:spacing w:line="480" w:lineRule="auto"/>
        <w:ind w:left="1440" w:hanging="720"/>
      </w:pPr>
      <w:r>
        <w:t>A.</w:t>
      </w:r>
      <w:r>
        <w:tab/>
      </w:r>
      <w:r w:rsidR="003C6D52">
        <w:t>My professional opinion is</w:t>
      </w:r>
      <w:r w:rsidR="00BE0B8C">
        <w:t xml:space="preserve"> that CenturyLink’s commitment to this Merger is an effort, on balance, to</w:t>
      </w:r>
      <w:r w:rsidR="00FA39EA">
        <w:t xml:space="preserve"> materially</w:t>
      </w:r>
      <w:r w:rsidR="00BE0B8C">
        <w:t xml:space="preserve"> </w:t>
      </w:r>
      <w:r w:rsidR="00BE0B8C" w:rsidRPr="00A755AB">
        <w:rPr>
          <w:i/>
        </w:rPr>
        <w:t>reduce</w:t>
      </w:r>
      <w:r w:rsidR="00BE0B8C">
        <w:t xml:space="preserve"> the Company’s principal strategic, operational, and financial risks.  </w:t>
      </w:r>
      <w:r w:rsidR="003C6D52">
        <w:t>I believe that, t</w:t>
      </w:r>
      <w:r w:rsidR="00BE0B8C">
        <w:t>hrough the Merger</w:t>
      </w:r>
      <w:r w:rsidR="007B422D">
        <w:t>,</w:t>
      </w:r>
      <w:r w:rsidR="00BE0B8C">
        <w:t xml:space="preserve"> CenturyLink is focused on managing the secular risks that are pervasive in </w:t>
      </w:r>
      <w:r w:rsidR="00FA39EA">
        <w:t>an</w:t>
      </w:r>
      <w:r w:rsidR="00BE0B8C">
        <w:t xml:space="preserve"> increasingly competitive telecommunications industry. </w:t>
      </w:r>
      <w:r w:rsidR="00BB39DA">
        <w:t>While t</w:t>
      </w:r>
      <w:r w:rsidR="00BE0B8C">
        <w:t xml:space="preserve">he Company’s overall post-Merger debt leverage </w:t>
      </w:r>
      <w:r w:rsidR="004029C4">
        <w:t>is expected to</w:t>
      </w:r>
      <w:r w:rsidR="00BB39DA">
        <w:t xml:space="preserve"> increase somewhat with the </w:t>
      </w:r>
      <w:r w:rsidR="003C6D52">
        <w:t>M</w:t>
      </w:r>
      <w:r w:rsidR="00BB39DA">
        <w:t xml:space="preserve">erger, </w:t>
      </w:r>
      <w:r w:rsidR="007B422D">
        <w:t xml:space="preserve">the Company’s history reveals that </w:t>
      </w:r>
      <w:r w:rsidR="00E80D34">
        <w:t xml:space="preserve">on numerous occasions </w:t>
      </w:r>
      <w:r w:rsidR="007B422D">
        <w:t>CenturyLink has been able acquir</w:t>
      </w:r>
      <w:r w:rsidR="0013179C">
        <w:t>e</w:t>
      </w:r>
      <w:r w:rsidR="007B422D">
        <w:t xml:space="preserve"> companies using debt that caused its leverage ratio to rise</w:t>
      </w:r>
      <w:r w:rsidR="00B23EE6">
        <w:t>,</w:t>
      </w:r>
      <w:r w:rsidR="007B422D">
        <w:t xml:space="preserve"> and has </w:t>
      </w:r>
      <w:r w:rsidR="0013179C">
        <w:t>subsequently</w:t>
      </w:r>
      <w:r w:rsidR="007B422D">
        <w:t xml:space="preserve"> reduce</w:t>
      </w:r>
      <w:r w:rsidR="0013179C">
        <w:t>d</w:t>
      </w:r>
      <w:r w:rsidR="007B422D">
        <w:t xml:space="preserve"> that ratio within several years (see </w:t>
      </w:r>
      <w:fldSimple w:instr=" REF _Ref468350284 \h  \* MERGEFORMAT ">
        <w:r w:rsidR="00CF0894" w:rsidRPr="00CF0894">
          <w:t>Figure 1</w:t>
        </w:r>
      </w:fldSimple>
      <w:r w:rsidR="007B422D">
        <w:t>)</w:t>
      </w:r>
      <w:r w:rsidR="00BE0B8C">
        <w:t xml:space="preserve">.  </w:t>
      </w:r>
      <w:r w:rsidR="007B422D">
        <w:t>And</w:t>
      </w:r>
      <w:r w:rsidR="00BE0B8C">
        <w:t xml:space="preserve">, the other compelling benefits of the Merger—diversification, restoration of revenue growth, a stronger competitive position in key markets, and increased cash flows—substantially mitigate </w:t>
      </w:r>
      <w:r w:rsidR="00E80D34">
        <w:t>any</w:t>
      </w:r>
      <w:r w:rsidR="009F5845">
        <w:t xml:space="preserve"> </w:t>
      </w:r>
      <w:r w:rsidR="00BE0B8C">
        <w:t>risk</w:t>
      </w:r>
      <w:r w:rsidR="009F5845">
        <w:t>s</w:t>
      </w:r>
      <w:r w:rsidR="00BE0B8C">
        <w:t xml:space="preserve"> and lead to a conclusion that the Merger will result in a fundamental overall improvement in the Company’s risk profile.</w:t>
      </w:r>
      <w:r>
        <w:t xml:space="preserve"> </w:t>
      </w:r>
    </w:p>
    <w:p w:rsidR="00E162BE" w:rsidRDefault="00E162BE" w:rsidP="00E162BE">
      <w:pPr>
        <w:pStyle w:val="BodyText"/>
        <w:spacing w:after="0" w:line="480" w:lineRule="auto"/>
        <w:ind w:left="1440" w:hanging="720"/>
        <w:rPr>
          <w:b/>
        </w:rPr>
      </w:pPr>
      <w:r>
        <w:rPr>
          <w:b/>
        </w:rPr>
        <w:t>Q.</w:t>
      </w:r>
      <w:r>
        <w:rPr>
          <w:b/>
        </w:rPr>
        <w:tab/>
      </w:r>
      <w:r w:rsidR="007C5879">
        <w:rPr>
          <w:b/>
        </w:rPr>
        <w:t>Describe how these factors lead you to conclude that the Merger will result in an improvement in the Company’s risk profile.</w:t>
      </w:r>
    </w:p>
    <w:p w:rsidR="00E162BE" w:rsidRDefault="00E162BE" w:rsidP="00EE2F27">
      <w:pPr>
        <w:pStyle w:val="BodyText"/>
        <w:spacing w:line="480" w:lineRule="auto"/>
        <w:ind w:left="1440" w:hanging="720"/>
        <w:rPr>
          <w:b/>
        </w:rPr>
      </w:pPr>
      <w:r>
        <w:t>A.</w:t>
      </w:r>
      <w:r w:rsidR="000B34EA">
        <w:tab/>
      </w:r>
      <w:r>
        <w:t xml:space="preserve">As stated above, the combined company </w:t>
      </w:r>
      <w:r w:rsidR="004029C4">
        <w:t>is expected to</w:t>
      </w:r>
      <w:r>
        <w:t xml:space="preserve"> generate more operating cash flow over the term of the loans compared with the level of cash flows that CenturyLink and Level 3 would generate independently over the same period.  CenturyLink will </w:t>
      </w:r>
      <w:r w:rsidR="00181EE7">
        <w:t>add</w:t>
      </w:r>
      <w:r w:rsidR="005D5249">
        <w:t xml:space="preserve"> Level 3</w:t>
      </w:r>
      <w:r w:rsidR="00181EE7">
        <w:t>’s</w:t>
      </w:r>
      <w:r w:rsidR="009F5845">
        <w:t xml:space="preserve"> </w:t>
      </w:r>
      <w:r w:rsidR="00B667AB">
        <w:t xml:space="preserve">future </w:t>
      </w:r>
      <w:r>
        <w:t>EBITDA that</w:t>
      </w:r>
      <w:r w:rsidR="00B667AB">
        <w:t xml:space="preserve">, for perspective, grew 11 percent in 2016 </w:t>
      </w:r>
      <w:proofErr w:type="gramStart"/>
      <w:r w:rsidR="00B667AB">
        <w:t>to</w:t>
      </w:r>
      <w:r>
        <w:t xml:space="preserve"> </w:t>
      </w:r>
      <w:r w:rsidR="00B621AE" w:rsidRPr="00B621AE">
        <w:t xml:space="preserve"> $</w:t>
      </w:r>
      <w:proofErr w:type="gramEnd"/>
      <w:r w:rsidR="00B621AE" w:rsidRPr="00B621AE">
        <w:t>2.865 billion</w:t>
      </w:r>
      <w:r w:rsidR="00B667AB">
        <w:t xml:space="preserve">, as adjusted to exclude certain non-cash expenses and non-recurring acquisition-related costs </w:t>
      </w:r>
      <w:r>
        <w:t>.</w:t>
      </w:r>
      <w:r>
        <w:rPr>
          <w:rStyle w:val="FootnoteReference"/>
        </w:rPr>
        <w:footnoteReference w:id="39"/>
      </w:r>
      <w:r>
        <w:t xml:space="preserve">  Additionally, the merged companies </w:t>
      </w:r>
      <w:r w:rsidR="004029C4">
        <w:t>are expected to</w:t>
      </w:r>
      <w:r>
        <w:t xml:space="preserve"> be able to utilize slightly less than $2 billion in NOLs</w:t>
      </w:r>
      <w:r w:rsidR="00FC23C9">
        <w:t>—approximately $650 million in expected cash tax savings—</w:t>
      </w:r>
      <w:r>
        <w:t xml:space="preserve">annually </w:t>
      </w:r>
      <w:r w:rsidR="00234763">
        <w:t>over each of the first f</w:t>
      </w:r>
      <w:r w:rsidR="002866AF">
        <w:t>ive</w:t>
      </w:r>
      <w:r w:rsidR="00234763">
        <w:t xml:space="preserve"> years after the Merger close</w:t>
      </w:r>
      <w:r>
        <w:t>.</w:t>
      </w:r>
      <w:r>
        <w:rPr>
          <w:rStyle w:val="FootnoteReference"/>
        </w:rPr>
        <w:footnoteReference w:id="40"/>
      </w:r>
      <w:r>
        <w:t xml:space="preserve">  Finally, the projected cost savings from combining the operations are significant, resulting in an estimated $975 million in increased cash flows annually, once the merged company achieves its full run rate.  CenturyLink has stated that it believes that the Company will be able to achieve 80% of the $850 million in annual run-rate operating synergies and all the $125 million in annual capital-expenditure savings within the first thirty-six months after the Merger close.</w:t>
      </w:r>
      <w:r>
        <w:rPr>
          <w:rStyle w:val="FootnoteReference"/>
        </w:rPr>
        <w:footnoteReference w:id="41"/>
      </w:r>
      <w:r>
        <w:t xml:space="preserve">  As a result of these increased cash flows</w:t>
      </w:r>
      <w:r w:rsidR="00D64760">
        <w:t xml:space="preserve">, which are expected to exceed the </w:t>
      </w:r>
      <w:r w:rsidR="00D9275B">
        <w:t xml:space="preserve">annual </w:t>
      </w:r>
      <w:r w:rsidR="00D64760">
        <w:t xml:space="preserve">debt service obligations resulting from the acquisition financing, post-Merger CenturyLink should be </w:t>
      </w:r>
      <w:r w:rsidR="007C5879">
        <w:t>financially health</w:t>
      </w:r>
      <w:r w:rsidR="000B34EA">
        <w:t>ier</w:t>
      </w:r>
      <w:r w:rsidR="007C5879">
        <w:t>, not less</w:t>
      </w:r>
      <w:r w:rsidR="000B34EA">
        <w:t xml:space="preserve"> healthy</w:t>
      </w:r>
      <w:r w:rsidR="00D64760">
        <w:t>.</w:t>
      </w:r>
    </w:p>
    <w:p w:rsidR="0022671C" w:rsidRDefault="00E9795E" w:rsidP="00E14679">
      <w:pPr>
        <w:pStyle w:val="Heading1"/>
        <w:jc w:val="center"/>
      </w:pPr>
      <w:bookmarkStart w:id="11" w:name="_Toc472678915"/>
      <w:r>
        <w:rPr>
          <w:szCs w:val="24"/>
          <w:u w:val="none"/>
        </w:rPr>
        <w:t>V</w:t>
      </w:r>
      <w:r w:rsidRPr="00151517">
        <w:rPr>
          <w:szCs w:val="24"/>
          <w:u w:val="none"/>
        </w:rPr>
        <w:t>.</w:t>
      </w:r>
      <w:r w:rsidR="00E14679">
        <w:rPr>
          <w:szCs w:val="24"/>
          <w:u w:val="none"/>
        </w:rPr>
        <w:t xml:space="preserve">  </w:t>
      </w:r>
      <w:r w:rsidR="00216DD7">
        <w:t xml:space="preserve">FINANCIAL RATIONALE FOR THE MERGED COMPANY, INCLUDING </w:t>
      </w:r>
      <w:r w:rsidR="00CC5578">
        <w:t xml:space="preserve">AFFIRMATIVE </w:t>
      </w:r>
      <w:r w:rsidR="003114E9">
        <w:t xml:space="preserve">PUBLIC INTEREST </w:t>
      </w:r>
      <w:r w:rsidR="00216DD7">
        <w:t>BE</w:t>
      </w:r>
      <w:r w:rsidR="00B05B6B">
        <w:t xml:space="preserve">NEFITS THAT SHOULD FLOW </w:t>
      </w:r>
      <w:r w:rsidR="00216DD7">
        <w:t>TO CUSTOMERS, EMPLOYEES AND THE COMMUNITIES SERVED BY THE COMPANY</w:t>
      </w:r>
      <w:r w:rsidR="00B05B6B">
        <w:t>.</w:t>
      </w:r>
      <w:bookmarkEnd w:id="11"/>
    </w:p>
    <w:p w:rsidR="001927C2" w:rsidRPr="001927C2" w:rsidRDefault="001927C2" w:rsidP="001927C2"/>
    <w:p w:rsidR="0022671C" w:rsidRDefault="005E7117" w:rsidP="0022671C">
      <w:pPr>
        <w:pStyle w:val="BodyText"/>
        <w:keepNext/>
        <w:spacing w:after="0" w:line="480" w:lineRule="auto"/>
        <w:ind w:left="1440" w:hanging="720"/>
        <w:rPr>
          <w:b/>
        </w:rPr>
      </w:pPr>
      <w:r>
        <w:rPr>
          <w:b/>
        </w:rPr>
        <w:t>Q.</w:t>
      </w:r>
      <w:r>
        <w:rPr>
          <w:b/>
        </w:rPr>
        <w:tab/>
      </w:r>
      <w:r w:rsidR="007D3321">
        <w:rPr>
          <w:b/>
        </w:rPr>
        <w:t xml:space="preserve">Why has CenturyLink </w:t>
      </w:r>
      <w:r w:rsidR="00B4503B">
        <w:rPr>
          <w:b/>
        </w:rPr>
        <w:t>engaged</w:t>
      </w:r>
      <w:r w:rsidR="007D3321">
        <w:rPr>
          <w:b/>
        </w:rPr>
        <w:t xml:space="preserve"> </w:t>
      </w:r>
      <w:r w:rsidR="007B31BC">
        <w:rPr>
          <w:b/>
        </w:rPr>
        <w:t xml:space="preserve">in </w:t>
      </w:r>
      <w:r w:rsidR="007D3321">
        <w:rPr>
          <w:b/>
        </w:rPr>
        <w:t>significant acquisitions over the last two decades</w:t>
      </w:r>
      <w:r w:rsidR="00B4503B">
        <w:rPr>
          <w:b/>
        </w:rPr>
        <w:t>, including the proposed Merger</w:t>
      </w:r>
      <w:r w:rsidR="007D3321">
        <w:rPr>
          <w:b/>
        </w:rPr>
        <w:t>?</w:t>
      </w:r>
    </w:p>
    <w:p w:rsidR="0022671C" w:rsidRDefault="005E7117" w:rsidP="0022671C">
      <w:pPr>
        <w:pStyle w:val="BodyText"/>
        <w:keepNext/>
        <w:spacing w:line="480" w:lineRule="auto"/>
        <w:ind w:left="1440" w:hanging="720"/>
      </w:pPr>
      <w:r>
        <w:t>A.</w:t>
      </w:r>
      <w:r>
        <w:tab/>
        <w:t>The communications industry is undergoing fundamental</w:t>
      </w:r>
      <w:r w:rsidR="00B4503B">
        <w:t>—competitive, technological and regulatory—</w:t>
      </w:r>
      <w:r>
        <w:t>changes that have financial impacts</w:t>
      </w:r>
      <w:r w:rsidR="00B4503B">
        <w:t xml:space="preserve"> on the industry and the Company</w:t>
      </w:r>
      <w:r>
        <w:t xml:space="preserve">.  The voice-centric business is contracting rapidly, as </w:t>
      </w:r>
      <w:r w:rsidR="007B31BC">
        <w:t xml:space="preserve">the number of </w:t>
      </w:r>
      <w:r>
        <w:t xml:space="preserve">LEC </w:t>
      </w:r>
      <w:r w:rsidR="00B4503B">
        <w:t xml:space="preserve">wired access lines </w:t>
      </w:r>
      <w:r w:rsidR="007B31BC">
        <w:t>is</w:t>
      </w:r>
      <w:r w:rsidR="00B4503B">
        <w:t xml:space="preserve"> </w:t>
      </w:r>
      <w:r w:rsidR="007B31BC">
        <w:t>shrinking</w:t>
      </w:r>
      <w:r>
        <w:t xml:space="preserve"> due to replacement </w:t>
      </w:r>
      <w:r w:rsidR="00B4503B">
        <w:t xml:space="preserve">of wired services </w:t>
      </w:r>
      <w:r>
        <w:t xml:space="preserve">with wireless </w:t>
      </w:r>
      <w:r w:rsidR="00B4503B">
        <w:t>products</w:t>
      </w:r>
      <w:r w:rsidR="007B31BC">
        <w:t xml:space="preserve"> </w:t>
      </w:r>
      <w:r w:rsidR="00852099">
        <w:t>as well as</w:t>
      </w:r>
      <w:r>
        <w:t xml:space="preserve"> comp</w:t>
      </w:r>
      <w:r w:rsidR="007B31BC">
        <w:t>etition from other carriers</w:t>
      </w:r>
      <w:r w:rsidR="00202093">
        <w:t xml:space="preserve"> and cable companies</w:t>
      </w:r>
      <w:r>
        <w:t xml:space="preserve">.  Data services are becoming the new core products </w:t>
      </w:r>
      <w:r w:rsidR="007E1344">
        <w:t xml:space="preserve">for </w:t>
      </w:r>
      <w:r w:rsidR="00852099">
        <w:t>I</w:t>
      </w:r>
      <w:r w:rsidR="007E1344">
        <w:t xml:space="preserve">LECs as well as </w:t>
      </w:r>
      <w:r w:rsidR="007B31BC">
        <w:t xml:space="preserve">for </w:t>
      </w:r>
      <w:r w:rsidR="007E1344">
        <w:t xml:space="preserve">wireless companies, cable operators and </w:t>
      </w:r>
      <w:r w:rsidR="00970C00">
        <w:t>competitive local exchange carriers (“</w:t>
      </w:r>
      <w:r w:rsidR="007E1344">
        <w:t>CLECs</w:t>
      </w:r>
      <w:r w:rsidR="00970C00">
        <w:t>”</w:t>
      </w:r>
      <w:r w:rsidR="007933E8">
        <w:t>)</w:t>
      </w:r>
      <w:r w:rsidR="007E1344">
        <w:t>, all of which seek to serve</w:t>
      </w:r>
      <w:r>
        <w:t xml:space="preserve"> residential, business and wholesale customers</w:t>
      </w:r>
      <w:r w:rsidR="007E1344">
        <w:t xml:space="preserve">. And, </w:t>
      </w:r>
      <w:r w:rsidR="007C5879">
        <w:t>from a regulatory perspective,</w:t>
      </w:r>
      <w:r w:rsidR="007E1344">
        <w:t xml:space="preserve"> rapid competitive change makes it </w:t>
      </w:r>
      <w:r w:rsidR="00A01F17">
        <w:t xml:space="preserve">increasingly </w:t>
      </w:r>
      <w:r w:rsidR="007E1344">
        <w:t xml:space="preserve">difficult for policymakers </w:t>
      </w:r>
      <w:r w:rsidR="007C5879">
        <w:t xml:space="preserve">and providers </w:t>
      </w:r>
      <w:r w:rsidR="007E1344">
        <w:t xml:space="preserve">to efficiently manage a shifting set of </w:t>
      </w:r>
      <w:r w:rsidR="00202093">
        <w:t xml:space="preserve">operating and financial </w:t>
      </w:r>
      <w:r w:rsidR="007E1344">
        <w:t>variables</w:t>
      </w:r>
      <w:r>
        <w:t xml:space="preserve">.  </w:t>
      </w:r>
    </w:p>
    <w:p w:rsidR="00F14F6D" w:rsidRDefault="007D3321" w:rsidP="007D3321">
      <w:pPr>
        <w:pStyle w:val="BodyText"/>
        <w:spacing w:after="0" w:line="480" w:lineRule="auto"/>
        <w:ind w:left="1440" w:hanging="720"/>
        <w:rPr>
          <w:b/>
        </w:rPr>
      </w:pPr>
      <w:r>
        <w:rPr>
          <w:b/>
        </w:rPr>
        <w:t>Q.</w:t>
      </w:r>
      <w:r>
        <w:rPr>
          <w:b/>
        </w:rPr>
        <w:tab/>
        <w:t>How</w:t>
      </w:r>
      <w:r w:rsidR="00B13C31">
        <w:rPr>
          <w:b/>
        </w:rPr>
        <w:t>, then,</w:t>
      </w:r>
      <w:r>
        <w:rPr>
          <w:b/>
        </w:rPr>
        <w:t xml:space="preserve"> is the Merger likely to affect customers and the public interest?</w:t>
      </w:r>
    </w:p>
    <w:p w:rsidR="007D3321" w:rsidRDefault="007D3321" w:rsidP="00FA614E">
      <w:pPr>
        <w:pStyle w:val="BodyText"/>
        <w:spacing w:line="480" w:lineRule="auto"/>
        <w:ind w:left="1440" w:hanging="720"/>
      </w:pPr>
      <w:r>
        <w:t>A.</w:t>
      </w:r>
      <w:r>
        <w:tab/>
      </w:r>
      <w:r w:rsidR="001D41A0">
        <w:t xml:space="preserve">CenturyLink has stated that the customer benefits </w:t>
      </w:r>
      <w:r w:rsidR="00FE31E4">
        <w:t>should</w:t>
      </w:r>
      <w:r w:rsidR="00AF0377">
        <w:t xml:space="preserve"> be derived from the Company’s access to</w:t>
      </w:r>
      <w:r w:rsidR="001D41A0">
        <w:t xml:space="preserve"> a far more expansive and global owned</w:t>
      </w:r>
      <w:r w:rsidR="00A03074">
        <w:t>-</w:t>
      </w:r>
      <w:r w:rsidR="001D41A0">
        <w:t>network, increased bandwidth capacity and additional managed services, the ability to invest in and further improve the Company’s broadband network and deployment speeds for both business and consumer customers</w:t>
      </w:r>
      <w:r w:rsidR="00FA614E">
        <w:t xml:space="preserve">, and a </w:t>
      </w:r>
      <w:r w:rsidR="001D41A0">
        <w:t>broader range of services and solutions</w:t>
      </w:r>
      <w:r w:rsidR="00FA614E">
        <w:t>.</w:t>
      </w:r>
      <w:r w:rsidR="00FA614E">
        <w:rPr>
          <w:rStyle w:val="FootnoteReference"/>
        </w:rPr>
        <w:footnoteReference w:id="42"/>
      </w:r>
      <w:r w:rsidR="00FA614E">
        <w:t xml:space="preserve">  For employees, the Merger provides the opportunity to work for a </w:t>
      </w:r>
      <w:r w:rsidR="00A03074">
        <w:t>Company that has an industry-</w:t>
      </w:r>
      <w:r w:rsidR="00FA614E">
        <w:t xml:space="preserve">leading global fiber </w:t>
      </w:r>
      <w:r w:rsidR="00A03074">
        <w:t>platform</w:t>
      </w:r>
      <w:r w:rsidR="00FA614E">
        <w:t xml:space="preserve">, </w:t>
      </w:r>
      <w:r w:rsidR="00D965EB">
        <w:t>with</w:t>
      </w:r>
      <w:r w:rsidR="00FA614E">
        <w:t xml:space="preserve"> growth and advancement opportunities.</w:t>
      </w:r>
      <w:r w:rsidR="00FA614E">
        <w:rPr>
          <w:rStyle w:val="FootnoteReference"/>
        </w:rPr>
        <w:footnoteReference w:id="43"/>
      </w:r>
      <w:r w:rsidR="00FA614E">
        <w:t xml:space="preserve">  I agree with those assessments and also believe</w:t>
      </w:r>
      <w:r>
        <w:t xml:space="preserve"> that CenturyLink is responsibly evolving its business to reduce </w:t>
      </w:r>
      <w:r w:rsidR="00852099">
        <w:t xml:space="preserve">concentrated </w:t>
      </w:r>
      <w:r>
        <w:t>risks</w:t>
      </w:r>
      <w:r w:rsidR="00B13C31">
        <w:t xml:space="preserve"> and better assure that the </w:t>
      </w:r>
      <w:r w:rsidR="00927FDD">
        <w:t xml:space="preserve">combined </w:t>
      </w:r>
      <w:r w:rsidR="00B13C31">
        <w:t>Company will be a more</w:t>
      </w:r>
      <w:r w:rsidR="00AF0377">
        <w:t xml:space="preserve"> cost-effective and</w:t>
      </w:r>
      <w:r w:rsidR="00B13C31">
        <w:t xml:space="preserve"> viable competitor over the long term</w:t>
      </w:r>
      <w:r>
        <w:t>.  CenturyLink is also aligning a larger part of its business with growth opportunities—data and enterprise—</w:t>
      </w:r>
      <w:r w:rsidR="00644968">
        <w:t xml:space="preserve">while CenturyLink’s ILEC continues to serve customers and the public interest, including those in low-density, high-cost markets that are often less-economic or even uneconomic.  </w:t>
      </w:r>
    </w:p>
    <w:p w:rsidR="00B13C31" w:rsidRDefault="00B13C31" w:rsidP="001927C2">
      <w:pPr>
        <w:pStyle w:val="BodyText"/>
        <w:keepNext/>
        <w:spacing w:after="0" w:line="480" w:lineRule="auto"/>
        <w:ind w:left="1440" w:hanging="720"/>
        <w:rPr>
          <w:b/>
        </w:rPr>
      </w:pPr>
      <w:r>
        <w:rPr>
          <w:b/>
        </w:rPr>
        <w:t>Q.</w:t>
      </w:r>
      <w:r>
        <w:rPr>
          <w:b/>
        </w:rPr>
        <w:tab/>
        <w:t>How does the Merger change CenturyLink’s mix of business?</w:t>
      </w:r>
    </w:p>
    <w:p w:rsidR="00B13C31" w:rsidRDefault="00B13C31" w:rsidP="005E7117">
      <w:pPr>
        <w:pStyle w:val="BodyText"/>
        <w:spacing w:line="480" w:lineRule="auto"/>
        <w:ind w:left="1440" w:hanging="720"/>
      </w:pPr>
      <w:r>
        <w:t>A.</w:t>
      </w:r>
      <w:r>
        <w:tab/>
        <w:t>CenturyLink expects the Merger to enlarge its business-centric revenue base from 64% of total revenues to 76%.</w:t>
      </w:r>
      <w:r>
        <w:rPr>
          <w:rStyle w:val="FootnoteReference"/>
        </w:rPr>
        <w:footnoteReference w:id="44"/>
      </w:r>
      <w:r>
        <w:t xml:space="preserve">  CenturyLink and Level 3 will combine their enterprise, small business and wholesale revenues that, in 2015, were $10.6 billion (</w:t>
      </w:r>
      <w:r w:rsidR="00AE45B7">
        <w:t>third</w:t>
      </w:r>
      <w:r w:rsidR="00A03074">
        <w:t>-</w:t>
      </w:r>
      <w:r>
        <w:t>largest domestically) and $8.2 billion (</w:t>
      </w:r>
      <w:r w:rsidR="00AE45B7">
        <w:t>fourth</w:t>
      </w:r>
      <w:r w:rsidR="00A03074">
        <w:t>-</w:t>
      </w:r>
      <w:r>
        <w:t xml:space="preserve">largest domestically), respectively, to make the </w:t>
      </w:r>
      <w:r w:rsidR="00DA1DE4">
        <w:t>merged company the second</w:t>
      </w:r>
      <w:r w:rsidR="00A03074">
        <w:t>-</w:t>
      </w:r>
      <w:r w:rsidR="00DA1DE4">
        <w:t>largest domestic communications carrier serving global enterprise customers.</w:t>
      </w:r>
      <w:r w:rsidR="00DA1DE4">
        <w:rPr>
          <w:rStyle w:val="FootnoteReference"/>
        </w:rPr>
        <w:footnoteReference w:id="45"/>
      </w:r>
      <w:r w:rsidR="00DA1DE4">
        <w:t xml:space="preserve"> </w:t>
      </w:r>
      <w:r w:rsidR="00AE45B7">
        <w:t xml:space="preserve"> Four</w:t>
      </w:r>
      <w:r w:rsidR="00DA1DE4">
        <w:t xml:space="preserve"> poin</w:t>
      </w:r>
      <w:r w:rsidR="00AE45B7">
        <w:t>ts might be made</w:t>
      </w:r>
      <w:r w:rsidR="00DA1DE4">
        <w:t>.  Fir</w:t>
      </w:r>
      <w:r w:rsidR="003949E3">
        <w:t xml:space="preserve">st, there </w:t>
      </w:r>
      <w:r w:rsidR="00FE31E4">
        <w:t>should be</w:t>
      </w:r>
      <w:r w:rsidR="003949E3">
        <w:t xml:space="preserve"> no negative effect on </w:t>
      </w:r>
      <w:r w:rsidR="00DA1DE4">
        <w:t xml:space="preserve">the </w:t>
      </w:r>
      <w:r w:rsidR="003949E3">
        <w:t xml:space="preserve">Company’s </w:t>
      </w:r>
      <w:r w:rsidR="00DA1DE4">
        <w:t xml:space="preserve">regulated </w:t>
      </w:r>
      <w:r w:rsidR="00E903B4">
        <w:t>ILEC businesses</w:t>
      </w:r>
      <w:r w:rsidR="00DA1DE4">
        <w:t>, as th</w:t>
      </w:r>
      <w:r w:rsidR="00E903B4">
        <w:t>e M</w:t>
      </w:r>
      <w:r w:rsidR="00DA1DE4">
        <w:t xml:space="preserve">erger is </w:t>
      </w:r>
      <w:r w:rsidR="00A65A90">
        <w:t xml:space="preserve">simply </w:t>
      </w:r>
      <w:r w:rsidR="00DA1DE4">
        <w:t>ad</w:t>
      </w:r>
      <w:r w:rsidR="003949E3">
        <w:t xml:space="preserve">ditive to CenturyLink’s </w:t>
      </w:r>
      <w:r w:rsidR="00E903B4">
        <w:t xml:space="preserve">existing non-ILEC </w:t>
      </w:r>
      <w:r w:rsidR="00A65A90">
        <w:t>operations</w:t>
      </w:r>
      <w:r w:rsidR="00DA1DE4">
        <w:t xml:space="preserve">.  Second, the merged company should be more capable of revenue and EBITDA growth, which means the Company is </w:t>
      </w:r>
      <w:r w:rsidR="003949E3">
        <w:t xml:space="preserve">financially </w:t>
      </w:r>
      <w:r w:rsidR="00DA1DE4">
        <w:t>stronger</w:t>
      </w:r>
      <w:r w:rsidR="003949E3">
        <w:t xml:space="preserve"> over the long term</w:t>
      </w:r>
      <w:r w:rsidR="00DA1DE4">
        <w:t xml:space="preserve"> for custo</w:t>
      </w:r>
      <w:r w:rsidR="00A01F17">
        <w:t xml:space="preserve">mers, employees and </w:t>
      </w:r>
      <w:r w:rsidR="00E903B4">
        <w:t>communities it serves</w:t>
      </w:r>
      <w:r w:rsidR="00DA1DE4">
        <w:t xml:space="preserve">.  Third, </w:t>
      </w:r>
      <w:r w:rsidR="0060579A">
        <w:t xml:space="preserve">CenturyLink’s enterprise </w:t>
      </w:r>
      <w:r w:rsidR="00DA1DE4">
        <w:t>customers</w:t>
      </w:r>
      <w:r w:rsidR="0060579A">
        <w:t xml:space="preserve"> </w:t>
      </w:r>
      <w:r w:rsidR="003949E3">
        <w:t>will have the potential</w:t>
      </w:r>
      <w:r w:rsidR="00DA1DE4">
        <w:t xml:space="preserve"> to benefit from increased bandwidth capacity and additional managed services.</w:t>
      </w:r>
      <w:r w:rsidR="00DA1DE4">
        <w:rPr>
          <w:rStyle w:val="FootnoteReference"/>
        </w:rPr>
        <w:footnoteReference w:id="46"/>
      </w:r>
      <w:r w:rsidR="003949E3">
        <w:t xml:space="preserve">  </w:t>
      </w:r>
      <w:r w:rsidR="00E903B4">
        <w:t>F</w:t>
      </w:r>
      <w:r w:rsidR="003949E3">
        <w:t xml:space="preserve">inally, the overall </w:t>
      </w:r>
      <w:r w:rsidR="00E903B4">
        <w:t xml:space="preserve">enterprise and business communications </w:t>
      </w:r>
      <w:r w:rsidR="003949E3">
        <w:t xml:space="preserve">markets might be expected to become more competitive as the merged company’s business and enterprise </w:t>
      </w:r>
      <w:r w:rsidR="00E903B4">
        <w:t xml:space="preserve">operation </w:t>
      </w:r>
      <w:r w:rsidR="00A01F17">
        <w:t>is larger</w:t>
      </w:r>
      <w:r w:rsidR="00286E8A">
        <w:t>, more integrated</w:t>
      </w:r>
      <w:r w:rsidR="00E903B4">
        <w:t xml:space="preserve"> and better able to compete with </w:t>
      </w:r>
      <w:r w:rsidR="007536DD">
        <w:t xml:space="preserve">major </w:t>
      </w:r>
      <w:r w:rsidR="00B22976">
        <w:t>competitors such as</w:t>
      </w:r>
      <w:r w:rsidR="00E903B4">
        <w:t xml:space="preserve"> AT&amp;T</w:t>
      </w:r>
      <w:r w:rsidR="00B22976">
        <w:t xml:space="preserve">, </w:t>
      </w:r>
      <w:r w:rsidR="00E903B4">
        <w:t>Verizon</w:t>
      </w:r>
      <w:r w:rsidR="00B22976">
        <w:t xml:space="preserve"> and Comcast</w:t>
      </w:r>
      <w:r w:rsidR="00E903B4">
        <w:t xml:space="preserve">.  However, the combined company will </w:t>
      </w:r>
      <w:r w:rsidR="00A01F17">
        <w:t xml:space="preserve">not </w:t>
      </w:r>
      <w:r w:rsidR="00E903B4">
        <w:t xml:space="preserve">be </w:t>
      </w:r>
      <w:r w:rsidR="00A01F17">
        <w:t>so large that competition is harmed</w:t>
      </w:r>
      <w:r w:rsidR="00E903B4">
        <w:t>,</w:t>
      </w:r>
      <w:r w:rsidR="00A01F17">
        <w:t xml:space="preserve"> as the merged company’s enterprise revenues will be </w:t>
      </w:r>
      <w:r w:rsidR="00D965EB">
        <w:t xml:space="preserve">a small percentage of the total </w:t>
      </w:r>
      <w:r w:rsidR="00C333F2">
        <w:t>enterprise</w:t>
      </w:r>
      <w:r w:rsidR="00D965EB">
        <w:t xml:space="preserve"> </w:t>
      </w:r>
      <w:r w:rsidR="00C333F2">
        <w:t xml:space="preserve">communications </w:t>
      </w:r>
      <w:r w:rsidR="00D965EB">
        <w:t>market</w:t>
      </w:r>
      <w:r w:rsidR="003949E3">
        <w:t>.</w:t>
      </w:r>
      <w:bookmarkStart w:id="12" w:name="_Ref468095577"/>
      <w:r w:rsidR="003949E3">
        <w:rPr>
          <w:rStyle w:val="FootnoteReference"/>
        </w:rPr>
        <w:footnoteReference w:id="47"/>
      </w:r>
      <w:bookmarkEnd w:id="12"/>
    </w:p>
    <w:p w:rsidR="00DA155A" w:rsidRDefault="00DA155A" w:rsidP="00DA155A">
      <w:pPr>
        <w:pStyle w:val="BodyText"/>
        <w:spacing w:after="0" w:line="480" w:lineRule="auto"/>
        <w:ind w:left="1440" w:hanging="720"/>
        <w:rPr>
          <w:b/>
        </w:rPr>
      </w:pPr>
      <w:r>
        <w:rPr>
          <w:b/>
        </w:rPr>
        <w:t>Q.</w:t>
      </w:r>
      <w:r>
        <w:rPr>
          <w:b/>
        </w:rPr>
        <w:tab/>
        <w:t>Is CenturyLink’s increased focus on the enterprise segment a negative development for smaller customers?</w:t>
      </w:r>
    </w:p>
    <w:p w:rsidR="00A03074" w:rsidRPr="00B13C31" w:rsidRDefault="00DA155A" w:rsidP="00DA155A">
      <w:pPr>
        <w:pStyle w:val="BodyText"/>
        <w:spacing w:line="480" w:lineRule="auto"/>
        <w:ind w:left="1440" w:hanging="720"/>
      </w:pPr>
      <w:r>
        <w:t>A.</w:t>
      </w:r>
      <w:r>
        <w:tab/>
        <w:t xml:space="preserve">No.  In fact, it is my opinion that </w:t>
      </w:r>
      <w:r w:rsidRPr="00923C02">
        <w:t xml:space="preserve">the </w:t>
      </w:r>
      <w:r>
        <w:t xml:space="preserve">network commitments associated </w:t>
      </w:r>
      <w:r w:rsidR="00154BE0">
        <w:t xml:space="preserve">with </w:t>
      </w:r>
      <w:r w:rsidRPr="00923C02">
        <w:t xml:space="preserve">the enterprise business segment </w:t>
      </w:r>
      <w:r>
        <w:t xml:space="preserve">can be </w:t>
      </w:r>
      <w:r w:rsidR="00817EAE">
        <w:t>viewed as</w:t>
      </w:r>
      <w:r w:rsidRPr="00923C02">
        <w:t xml:space="preserve"> a leading indicator</w:t>
      </w:r>
      <w:r w:rsidR="009C3468">
        <w:t>—an accelerator—</w:t>
      </w:r>
      <w:r w:rsidRPr="00923C02">
        <w:t xml:space="preserve">to the evolution </w:t>
      </w:r>
      <w:r>
        <w:t xml:space="preserve">of the network in </w:t>
      </w:r>
      <w:r w:rsidR="00817EAE">
        <w:t>meeting</w:t>
      </w:r>
      <w:r>
        <w:t xml:space="preserve"> the future needs of all customers</w:t>
      </w:r>
      <w:r w:rsidR="0060579A">
        <w:t xml:space="preserve"> of CenturyLink and Level 3</w:t>
      </w:r>
      <w:r>
        <w:t>.</w:t>
      </w:r>
      <w:r w:rsidRPr="00923C02">
        <w:t xml:space="preserve">  </w:t>
      </w:r>
      <w:r>
        <w:t>E</w:t>
      </w:r>
      <w:r w:rsidRPr="00923C02">
        <w:t xml:space="preserve">nterprise customers </w:t>
      </w:r>
      <w:r>
        <w:t>typically require the most modern, highest-capacity</w:t>
      </w:r>
      <w:r w:rsidRPr="00923C02">
        <w:t xml:space="preserve"> products and services</w:t>
      </w:r>
      <w:r w:rsidR="00817EAE">
        <w:t>,</w:t>
      </w:r>
      <w:r w:rsidRPr="00923C02">
        <w:t xml:space="preserve"> as well as global connectivity.  </w:t>
      </w:r>
      <w:r>
        <w:t>S</w:t>
      </w:r>
      <w:r w:rsidRPr="00923C02">
        <w:t>maller business</w:t>
      </w:r>
      <w:r>
        <w:t>es</w:t>
      </w:r>
      <w:r w:rsidRPr="00923C02">
        <w:t xml:space="preserve"> and consumers </w:t>
      </w:r>
      <w:r>
        <w:t>are typically</w:t>
      </w:r>
      <w:r w:rsidRPr="00923C02">
        <w:t xml:space="preserve"> fast-followers and in need </w:t>
      </w:r>
      <w:r>
        <w:t>of similar</w:t>
      </w:r>
      <w:r w:rsidRPr="00923C02">
        <w:t xml:space="preserve"> connectivity, capacity, security, </w:t>
      </w:r>
      <w:r>
        <w:t xml:space="preserve">and reliability. </w:t>
      </w:r>
      <w:r w:rsidRPr="00923C02">
        <w:t xml:space="preserve"> Combining the two companies </w:t>
      </w:r>
      <w:r>
        <w:t>should improve the capabilities that are sought today and in the future by all</w:t>
      </w:r>
      <w:r w:rsidRPr="00923C02">
        <w:t xml:space="preserve"> network users.</w:t>
      </w:r>
      <w:r>
        <w:t xml:space="preserve">  </w:t>
      </w:r>
    </w:p>
    <w:p w:rsidR="009B325E" w:rsidRDefault="009B325E" w:rsidP="009B325E">
      <w:pPr>
        <w:pStyle w:val="BodyText"/>
        <w:spacing w:after="0" w:line="480" w:lineRule="auto"/>
        <w:ind w:left="1440" w:hanging="720"/>
        <w:rPr>
          <w:b/>
        </w:rPr>
      </w:pPr>
      <w:r>
        <w:rPr>
          <w:b/>
        </w:rPr>
        <w:t>Q.</w:t>
      </w:r>
      <w:r>
        <w:rPr>
          <w:b/>
        </w:rPr>
        <w:tab/>
      </w:r>
      <w:r w:rsidR="0035059F">
        <w:rPr>
          <w:b/>
        </w:rPr>
        <w:t>How d</w:t>
      </w:r>
      <w:r>
        <w:rPr>
          <w:b/>
        </w:rPr>
        <w:t>oes the Merger change the financial, technical or managerial resources as CenturyLink focuses on providing reliable, quality telecommunications services?</w:t>
      </w:r>
    </w:p>
    <w:p w:rsidR="003D555D" w:rsidRDefault="009B325E" w:rsidP="005E7117">
      <w:pPr>
        <w:pStyle w:val="BodyText"/>
        <w:spacing w:line="480" w:lineRule="auto"/>
        <w:ind w:left="1440" w:hanging="720"/>
      </w:pPr>
      <w:r>
        <w:t>A.</w:t>
      </w:r>
      <w:r>
        <w:tab/>
        <w:t xml:space="preserve">CenturyLink is expected to have </w:t>
      </w:r>
      <w:r>
        <w:rPr>
          <w:i/>
        </w:rPr>
        <w:t>improved</w:t>
      </w:r>
      <w:r>
        <w:t xml:space="preserve"> financial, technical and managerial resources, and should have no negative changes</w:t>
      </w:r>
      <w:r w:rsidR="00A65A90">
        <w:t xml:space="preserve">, as explained in earlier sections of this testimony.  </w:t>
      </w:r>
      <w:r w:rsidR="003D555D">
        <w:t xml:space="preserve">That is, the Company will have increased network, market reach, products, and managerial expertise to supplement </w:t>
      </w:r>
      <w:r w:rsidR="009C3468">
        <w:t xml:space="preserve">and augment </w:t>
      </w:r>
      <w:r w:rsidR="003D555D">
        <w:t xml:space="preserve">its current operations.  Because CenturyLink is already in the enterprise </w:t>
      </w:r>
      <w:r w:rsidR="00FF0BB1">
        <w:t xml:space="preserve">communications </w:t>
      </w:r>
      <w:r w:rsidR="003D555D">
        <w:t xml:space="preserve">business and has </w:t>
      </w:r>
      <w:r w:rsidR="00D9275B">
        <w:t xml:space="preserve">an </w:t>
      </w:r>
      <w:r w:rsidR="003D555D">
        <w:t>extensive network, the addition of Level 3 does not represent a new business</w:t>
      </w:r>
      <w:r w:rsidR="00D210E5">
        <w:t>,</w:t>
      </w:r>
      <w:r w:rsidR="003D555D">
        <w:t xml:space="preserve"> but </w:t>
      </w:r>
      <w:r w:rsidR="00D210E5">
        <w:t>is an</w:t>
      </w:r>
      <w:r w:rsidR="003D555D">
        <w:t xml:space="preserve"> expansion of CenturyLink’s business-focused operations.  </w:t>
      </w:r>
    </w:p>
    <w:p w:rsidR="003D555D" w:rsidRDefault="003D555D" w:rsidP="009D1F29">
      <w:pPr>
        <w:pStyle w:val="BodyText"/>
        <w:spacing w:after="0" w:line="480" w:lineRule="auto"/>
        <w:ind w:left="1440" w:hanging="720"/>
        <w:rPr>
          <w:b/>
        </w:rPr>
      </w:pPr>
      <w:r>
        <w:rPr>
          <w:b/>
        </w:rPr>
        <w:t>Q.</w:t>
      </w:r>
      <w:r>
        <w:rPr>
          <w:b/>
        </w:rPr>
        <w:tab/>
        <w:t>What about the Company’s financial resources?</w:t>
      </w:r>
    </w:p>
    <w:p w:rsidR="009B325E" w:rsidRDefault="003D555D" w:rsidP="005E7117">
      <w:pPr>
        <w:pStyle w:val="BodyText"/>
        <w:spacing w:line="480" w:lineRule="auto"/>
        <w:ind w:left="1440" w:hanging="720"/>
      </w:pPr>
      <w:r>
        <w:t>A.</w:t>
      </w:r>
      <w:r>
        <w:tab/>
        <w:t>W</w:t>
      </w:r>
      <w:r w:rsidR="009B325E">
        <w:t>hile the leverage ra</w:t>
      </w:r>
      <w:r w:rsidR="00A65A90">
        <w:t>tio is expected to</w:t>
      </w:r>
      <w:r w:rsidR="009B325E">
        <w:t xml:space="preserve"> rise from 2.8</w:t>
      </w:r>
      <w:r w:rsidR="009D1F29">
        <w:t xml:space="preserve"> times</w:t>
      </w:r>
      <w:r w:rsidR="009B325E">
        <w:t xml:space="preserve"> to </w:t>
      </w:r>
      <w:r w:rsidR="00063CED">
        <w:t xml:space="preserve">a pro forma level of </w:t>
      </w:r>
      <w:r w:rsidR="009B325E">
        <w:t>3.7</w:t>
      </w:r>
      <w:r w:rsidR="009D1F29">
        <w:t xml:space="preserve"> times</w:t>
      </w:r>
      <w:r w:rsidR="00A65A90">
        <w:t xml:space="preserve"> at the time of the Merger close</w:t>
      </w:r>
      <w:r w:rsidR="009B325E">
        <w:t>, it is my professional opinion that this is</w:t>
      </w:r>
      <w:r w:rsidR="00A65A90">
        <w:t xml:space="preserve"> the only indicator that could be pointed to as a</w:t>
      </w:r>
      <w:r w:rsidR="009B325E">
        <w:t xml:space="preserve"> </w:t>
      </w:r>
      <w:r w:rsidR="007C5879">
        <w:t xml:space="preserve">potentially </w:t>
      </w:r>
      <w:r w:rsidR="009B325E">
        <w:t>negative</w:t>
      </w:r>
      <w:r w:rsidR="00A65A90">
        <w:t xml:space="preserve"> factor</w:t>
      </w:r>
      <w:r w:rsidR="009B325E">
        <w:t xml:space="preserve"> fr</w:t>
      </w:r>
      <w:r w:rsidR="00A65A90">
        <w:t>om a financial point of view.</w:t>
      </w:r>
      <w:r w:rsidR="00063CED">
        <w:rPr>
          <w:rStyle w:val="FootnoteReference"/>
        </w:rPr>
        <w:footnoteReference w:id="48"/>
      </w:r>
      <w:r w:rsidR="00A65A90">
        <w:t xml:space="preserve">  However, as I explained, </w:t>
      </w:r>
      <w:r w:rsidR="00A04966">
        <w:t>this is a short</w:t>
      </w:r>
      <w:r w:rsidR="00C333F2">
        <w:t>-</w:t>
      </w:r>
      <w:r w:rsidR="00A04966">
        <w:t xml:space="preserve">term issue.  Through </w:t>
      </w:r>
      <w:r w:rsidR="00C333F2">
        <w:t>a temporary</w:t>
      </w:r>
      <w:r w:rsidR="00A04966">
        <w:t xml:space="preserve"> increase </w:t>
      </w:r>
      <w:r w:rsidR="00C333F2">
        <w:t xml:space="preserve">in </w:t>
      </w:r>
      <w:r w:rsidR="00A04966">
        <w:t xml:space="preserve">leverage, </w:t>
      </w:r>
      <w:r w:rsidR="00A65A90">
        <w:t>the Company expects to realize multiple strategic</w:t>
      </w:r>
      <w:r w:rsidR="00A04966">
        <w:t>, long</w:t>
      </w:r>
      <w:r w:rsidR="00027F47">
        <w:t>-</w:t>
      </w:r>
      <w:r w:rsidR="00A04966">
        <w:t>term</w:t>
      </w:r>
      <w:r w:rsidR="00A65A90">
        <w:t xml:space="preserve"> benefits, including </w:t>
      </w:r>
      <w:r w:rsidR="00716CF7">
        <w:t xml:space="preserve">significant </w:t>
      </w:r>
      <w:r w:rsidR="009B325E">
        <w:t xml:space="preserve">growth potential offsetting </w:t>
      </w:r>
      <w:r w:rsidR="00A65A90">
        <w:t xml:space="preserve">currently </w:t>
      </w:r>
      <w:r w:rsidR="009B325E">
        <w:t>contracting revenues,</w:t>
      </w:r>
      <w:r w:rsidR="00716CF7">
        <w:rPr>
          <w:rStyle w:val="FootnoteReference"/>
        </w:rPr>
        <w:footnoteReference w:id="49"/>
      </w:r>
      <w:r w:rsidR="009B325E">
        <w:t xml:space="preserve"> </w:t>
      </w:r>
      <w:r w:rsidR="00EB2BED">
        <w:t>improving margins at the Level 3 subsidiary</w:t>
      </w:r>
      <w:r w:rsidR="00A65A90">
        <w:t xml:space="preserve"> and at the combined company</w:t>
      </w:r>
      <w:r w:rsidR="00716CF7">
        <w:t xml:space="preserve"> as more services remain on-net</w:t>
      </w:r>
      <w:r w:rsidR="00EB2BED">
        <w:t>,</w:t>
      </w:r>
      <w:r>
        <w:rPr>
          <w:rStyle w:val="FootnoteReference"/>
        </w:rPr>
        <w:footnoteReference w:id="50"/>
      </w:r>
      <w:r w:rsidR="00EB2BED">
        <w:t xml:space="preserve"> accelerated use of the NOLs, </w:t>
      </w:r>
      <w:r w:rsidR="00FF0BB1">
        <w:t xml:space="preserve">and </w:t>
      </w:r>
      <w:r w:rsidR="00EB2BED">
        <w:t xml:space="preserve">substantial </w:t>
      </w:r>
      <w:r w:rsidR="00FF0BB1">
        <w:t xml:space="preserve">cost savings, all of which will allow the combined company </w:t>
      </w:r>
      <w:r w:rsidR="00EB2BED">
        <w:t>to cope better with an increasingly global and highly-competitive business.  Scale</w:t>
      </w:r>
      <w:r w:rsidR="00A65A90">
        <w:t>, scope</w:t>
      </w:r>
      <w:r w:rsidR="00FF0BB1">
        <w:t>,</w:t>
      </w:r>
      <w:r w:rsidR="00A65A90">
        <w:t xml:space="preserve"> and growth are improved, which</w:t>
      </w:r>
      <w:r w:rsidR="00A03074">
        <w:t>,</w:t>
      </w:r>
      <w:r w:rsidR="00A65A90">
        <w:t xml:space="preserve"> in my opinion</w:t>
      </w:r>
      <w:r w:rsidR="00A03074">
        <w:t>,</w:t>
      </w:r>
      <w:r w:rsidR="00A65A90">
        <w:t xml:space="preserve"> are substantive identifiable long-term benefits for customers, employees, investors and policymakers.</w:t>
      </w:r>
    </w:p>
    <w:p w:rsidR="00EB2BED" w:rsidRDefault="00EB2BED" w:rsidP="00A65A90">
      <w:pPr>
        <w:pStyle w:val="BodyText"/>
        <w:spacing w:after="0" w:line="480" w:lineRule="auto"/>
        <w:ind w:left="1440" w:hanging="720"/>
        <w:rPr>
          <w:b/>
        </w:rPr>
      </w:pPr>
      <w:r>
        <w:rPr>
          <w:b/>
        </w:rPr>
        <w:t>Q.</w:t>
      </w:r>
      <w:r>
        <w:rPr>
          <w:b/>
        </w:rPr>
        <w:tab/>
        <w:t>How is the Merger likely to affect competition in the local marketplace?</w:t>
      </w:r>
    </w:p>
    <w:p w:rsidR="00EB2BED" w:rsidRDefault="00EB2BED" w:rsidP="005E7117">
      <w:pPr>
        <w:pStyle w:val="BodyText"/>
        <w:spacing w:line="480" w:lineRule="auto"/>
        <w:ind w:left="1440" w:hanging="720"/>
      </w:pPr>
      <w:r>
        <w:t>A.</w:t>
      </w:r>
      <w:r>
        <w:tab/>
      </w:r>
      <w:r w:rsidR="009D1F29">
        <w:t>Since Level 3 does not own or</w:t>
      </w:r>
      <w:r w:rsidR="009D1F29" w:rsidRPr="009D1F29">
        <w:t xml:space="preserve"> operate ILECs, there </w:t>
      </w:r>
      <w:r w:rsidR="00075A4A">
        <w:t>are expected to</w:t>
      </w:r>
      <w:r w:rsidR="009D1F29" w:rsidRPr="009D1F29">
        <w:t xml:space="preserve"> be no negative impacts on the provision of </w:t>
      </w:r>
      <w:r w:rsidR="00A03074">
        <w:t>I</w:t>
      </w:r>
      <w:r w:rsidR="009D1F29" w:rsidRPr="009D1F29">
        <w:t>LEC servic</w:t>
      </w:r>
      <w:r w:rsidR="009D1F29">
        <w:t xml:space="preserve">es in the Company’s </w:t>
      </w:r>
      <w:r w:rsidR="00A03074">
        <w:t xml:space="preserve">local </w:t>
      </w:r>
      <w:r w:rsidR="009D1F29">
        <w:t>markets</w:t>
      </w:r>
      <w:r w:rsidR="00A03074">
        <w:t xml:space="preserve"> nor </w:t>
      </w:r>
      <w:r w:rsidR="00075A4A">
        <w:t>any</w:t>
      </w:r>
      <w:r w:rsidR="00A03074">
        <w:t xml:space="preserve"> anti-competitive </w:t>
      </w:r>
      <w:r w:rsidR="00075A4A">
        <w:t>effects</w:t>
      </w:r>
      <w:r w:rsidR="009D1F29">
        <w:t>.  I</w:t>
      </w:r>
      <w:r w:rsidR="009372C7">
        <w:t>n fact, i</w:t>
      </w:r>
      <w:r w:rsidR="009D1F29">
        <w:t xml:space="preserve">n the local enterprise markets, CenturyLink should make the markets increasingly competitive based on the additional network and solutions provided by </w:t>
      </w:r>
      <w:r w:rsidR="002F63AB">
        <w:t>combined company as an alternative to those offered by formidable carriers such as AT&amp;T, Verizon, and Comcast.</w:t>
      </w:r>
    </w:p>
    <w:p w:rsidR="00476755" w:rsidRPr="00476755" w:rsidRDefault="00476755" w:rsidP="005E7117">
      <w:pPr>
        <w:pStyle w:val="BodyText"/>
        <w:spacing w:line="480" w:lineRule="auto"/>
        <w:ind w:left="1440" w:hanging="720"/>
      </w:pPr>
      <w:r>
        <w:t xml:space="preserve"> </w:t>
      </w:r>
    </w:p>
    <w:p w:rsidR="0008221E" w:rsidRDefault="00E9795E" w:rsidP="00E14679">
      <w:pPr>
        <w:pStyle w:val="Heading1"/>
        <w:jc w:val="center"/>
        <w:rPr>
          <w:szCs w:val="24"/>
        </w:rPr>
      </w:pPr>
      <w:bookmarkStart w:id="13" w:name="_Toc472678916"/>
      <w:r>
        <w:rPr>
          <w:szCs w:val="24"/>
          <w:u w:val="none"/>
        </w:rPr>
        <w:t>VI</w:t>
      </w:r>
      <w:proofErr w:type="gramStart"/>
      <w:r w:rsidRPr="00151517">
        <w:rPr>
          <w:szCs w:val="24"/>
          <w:u w:val="none"/>
        </w:rPr>
        <w:t>.</w:t>
      </w:r>
      <w:r w:rsidR="00E14679">
        <w:rPr>
          <w:szCs w:val="24"/>
          <w:u w:val="none"/>
        </w:rPr>
        <w:t xml:space="preserve">  </w:t>
      </w:r>
      <w:r w:rsidR="00B05B6B" w:rsidRPr="00B05B6B">
        <w:rPr>
          <w:szCs w:val="24"/>
        </w:rPr>
        <w:t>SUMMARY</w:t>
      </w:r>
      <w:proofErr w:type="gramEnd"/>
      <w:r w:rsidR="00B05B6B" w:rsidRPr="00B05B6B">
        <w:rPr>
          <w:szCs w:val="24"/>
        </w:rPr>
        <w:t>.</w:t>
      </w:r>
      <w:bookmarkEnd w:id="13"/>
    </w:p>
    <w:p w:rsidR="00FC2056" w:rsidRPr="00FC2056" w:rsidRDefault="00FC2056" w:rsidP="00FC2056"/>
    <w:p w:rsidR="00752159" w:rsidRDefault="00752159" w:rsidP="00752159">
      <w:pPr>
        <w:pStyle w:val="BodyText"/>
        <w:spacing w:after="0" w:line="480" w:lineRule="auto"/>
        <w:rPr>
          <w:b/>
        </w:rPr>
      </w:pPr>
      <w:r w:rsidRPr="00752159">
        <w:rPr>
          <w:b/>
        </w:rPr>
        <w:t>Q.</w:t>
      </w:r>
      <w:r w:rsidRPr="00752159">
        <w:rPr>
          <w:b/>
        </w:rPr>
        <w:tab/>
      </w:r>
      <w:r>
        <w:rPr>
          <w:b/>
        </w:rPr>
        <w:t>Please summarize your testimony.</w:t>
      </w:r>
    </w:p>
    <w:p w:rsidR="00752159" w:rsidRDefault="00752159" w:rsidP="00752159">
      <w:pPr>
        <w:pStyle w:val="BodyText"/>
        <w:spacing w:line="480" w:lineRule="auto"/>
        <w:ind w:left="1440" w:hanging="720"/>
      </w:pPr>
      <w:r>
        <w:t>A.</w:t>
      </w:r>
      <w:r>
        <w:tab/>
        <w:t>CenturyLink and Level 3 propose to merge their companies in a transaction that values Level 3 at approximately $34 billion.  The rationale is to create a financially stronger competitor</w:t>
      </w:r>
      <w:r w:rsidR="00DA3B4C">
        <w:t xml:space="preserve"> from two companies</w:t>
      </w:r>
      <w:r>
        <w:t xml:space="preserve"> with complementary </w:t>
      </w:r>
      <w:r w:rsidR="009372C7">
        <w:t xml:space="preserve">networks, products, </w:t>
      </w:r>
      <w:r>
        <w:t>skill sets and customer bases.  There i</w:t>
      </w:r>
      <w:r w:rsidR="0010076F">
        <w:t>s no</w:t>
      </w:r>
      <w:r>
        <w:t xml:space="preserve"> </w:t>
      </w:r>
      <w:r w:rsidR="0010076F">
        <w:t xml:space="preserve">negative </w:t>
      </w:r>
      <w:r>
        <w:t xml:space="preserve">change to the regulated </w:t>
      </w:r>
      <w:r w:rsidR="006E2013">
        <w:t xml:space="preserve">ILEC </w:t>
      </w:r>
      <w:r>
        <w:t>business</w:t>
      </w:r>
      <w:r w:rsidR="006E2013">
        <w:t>es</w:t>
      </w:r>
      <w:r>
        <w:t xml:space="preserve"> of CenturyLink, </w:t>
      </w:r>
      <w:r w:rsidR="0010076F">
        <w:t>and</w:t>
      </w:r>
      <w:r>
        <w:t xml:space="preserve"> the likely result </w:t>
      </w:r>
      <w:r w:rsidR="0010076F">
        <w:t xml:space="preserve">is </w:t>
      </w:r>
      <w:r>
        <w:t xml:space="preserve">that the merged company </w:t>
      </w:r>
      <w:r w:rsidR="0010076F">
        <w:t>will</w:t>
      </w:r>
      <w:r w:rsidR="00DA3B4C">
        <w:t xml:space="preserve"> offer increasingly high</w:t>
      </w:r>
      <w:r w:rsidR="002F63AB">
        <w:t>-</w:t>
      </w:r>
      <w:r w:rsidR="00DA3B4C">
        <w:t>bandwidth</w:t>
      </w:r>
      <w:r>
        <w:t xml:space="preserve"> services</w:t>
      </w:r>
      <w:r w:rsidR="0010076F">
        <w:t xml:space="preserve"> to the marketplace</w:t>
      </w:r>
      <w:r w:rsidR="00DA3B4C">
        <w:t xml:space="preserve"> more efficiently over the next decade</w:t>
      </w:r>
      <w:r w:rsidR="009372C7">
        <w:t>s</w:t>
      </w:r>
      <w:r>
        <w:t xml:space="preserve">.  </w:t>
      </w:r>
      <w:r w:rsidR="0010076F">
        <w:t xml:space="preserve">I </w:t>
      </w:r>
      <w:r w:rsidR="009372C7">
        <w:t xml:space="preserve">am convinced </w:t>
      </w:r>
      <w:r w:rsidR="0010076F">
        <w:t xml:space="preserve">that </w:t>
      </w:r>
      <w:r w:rsidR="00DA3B4C">
        <w:t xml:space="preserve">the Company </w:t>
      </w:r>
      <w:r w:rsidR="0010076F">
        <w:t>will be able to meet</w:t>
      </w:r>
      <w:r w:rsidR="00DA3B4C">
        <w:t xml:space="preserve"> its n</w:t>
      </w:r>
      <w:r w:rsidR="0010076F">
        <w:t>ew debt obligations and reduce</w:t>
      </w:r>
      <w:r w:rsidR="00DA3B4C">
        <w:t xml:space="preserve"> its leverage over a relatively short period of four years. The Merger appears to me, as a financial professional, to be precisely the kind of combination that policymakers hoped for in the 1996 Telecom Act, when they sought more competition and a wider set of customer-focused products.</w:t>
      </w:r>
    </w:p>
    <w:p w:rsidR="00DA3B4C" w:rsidRDefault="00DA3B4C" w:rsidP="00DA3B4C">
      <w:pPr>
        <w:pStyle w:val="BodyText"/>
        <w:spacing w:after="0" w:line="480" w:lineRule="auto"/>
        <w:ind w:left="1440" w:hanging="720"/>
        <w:rPr>
          <w:b/>
        </w:rPr>
      </w:pPr>
      <w:r>
        <w:rPr>
          <w:b/>
        </w:rPr>
        <w:t>Q.</w:t>
      </w:r>
      <w:r>
        <w:rPr>
          <w:b/>
        </w:rPr>
        <w:tab/>
        <w:t>Does this conclude your testimony?</w:t>
      </w:r>
    </w:p>
    <w:p w:rsidR="00E320C5" w:rsidRPr="00DA3B4C" w:rsidRDefault="00DA3B4C" w:rsidP="00386243">
      <w:pPr>
        <w:pStyle w:val="BodyText"/>
        <w:spacing w:after="0" w:line="480" w:lineRule="auto"/>
        <w:ind w:left="1440" w:hanging="720"/>
      </w:pPr>
      <w:r>
        <w:t>A.</w:t>
      </w:r>
      <w:r>
        <w:tab/>
        <w:t>Ye</w:t>
      </w:r>
      <w:r w:rsidR="0010076F">
        <w:t>s</w:t>
      </w:r>
      <w:r>
        <w:t>.</w:t>
      </w:r>
    </w:p>
    <w:sectPr w:rsidR="00E320C5" w:rsidRPr="00DA3B4C" w:rsidSect="001927C2">
      <w:headerReference w:type="default" r:id="rId14"/>
      <w:pgSz w:w="12240" w:h="15840" w:code="1"/>
      <w:pgMar w:top="1440" w:right="1800" w:bottom="1440" w:left="1800" w:header="720" w:footer="720" w:gutter="0"/>
      <w:lnNumType w:countBy="1"/>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894" w:rsidRDefault="00CF0894">
      <w:r>
        <w:separator/>
      </w:r>
    </w:p>
    <w:p w:rsidR="00CF0894" w:rsidRDefault="00CF0894"/>
  </w:endnote>
  <w:endnote w:type="continuationSeparator" w:id="0">
    <w:p w:rsidR="00CF0894" w:rsidRDefault="00CF0894">
      <w:r>
        <w:continuationSeparator/>
      </w:r>
    </w:p>
    <w:p w:rsidR="00CF0894" w:rsidRDefault="00CF089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894" w:rsidRDefault="00CF0894" w:rsidP="00671B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0894" w:rsidRDefault="00CF08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894" w:rsidRDefault="00CF0894">
      <w:r>
        <w:separator/>
      </w:r>
    </w:p>
    <w:p w:rsidR="00CF0894" w:rsidRDefault="00CF0894"/>
  </w:footnote>
  <w:footnote w:type="continuationSeparator" w:id="0">
    <w:p w:rsidR="00CF0894" w:rsidRDefault="00CF0894">
      <w:r>
        <w:continuationSeparator/>
      </w:r>
    </w:p>
    <w:p w:rsidR="00CF0894" w:rsidRDefault="00CF0894"/>
  </w:footnote>
  <w:footnote w:id="1">
    <w:p w:rsidR="00CF0894" w:rsidRDefault="00CF0894" w:rsidP="00043DDC">
      <w:pPr>
        <w:pStyle w:val="FootnoteText"/>
        <w:tabs>
          <w:tab w:val="left" w:pos="360"/>
        </w:tabs>
        <w:ind w:left="360" w:hanging="360"/>
      </w:pPr>
      <w:r>
        <w:rPr>
          <w:rStyle w:val="FootnoteReference"/>
        </w:rPr>
        <w:footnoteRef/>
      </w:r>
      <w:r>
        <w:tab/>
      </w:r>
      <w:proofErr w:type="gramStart"/>
      <w:r>
        <w:t>Filed at the Commission on January 17, 2017.</w:t>
      </w:r>
      <w:proofErr w:type="gramEnd"/>
    </w:p>
    <w:p w:rsidR="00CF0894" w:rsidRDefault="00CF0894" w:rsidP="00043DDC">
      <w:pPr>
        <w:pStyle w:val="FootnoteText"/>
        <w:tabs>
          <w:tab w:val="left" w:pos="360"/>
        </w:tabs>
        <w:ind w:left="360" w:hanging="360"/>
      </w:pPr>
    </w:p>
  </w:footnote>
  <w:footnote w:id="2">
    <w:p w:rsidR="00CF0894" w:rsidRPr="00BF0501" w:rsidRDefault="00CF0894" w:rsidP="006741E3">
      <w:pPr>
        <w:tabs>
          <w:tab w:val="left" w:pos="360"/>
        </w:tabs>
        <w:spacing w:after="60"/>
        <w:ind w:left="360" w:hanging="360"/>
        <w:rPr>
          <w:sz w:val="20"/>
          <w:szCs w:val="20"/>
        </w:rPr>
      </w:pPr>
      <w:r w:rsidRPr="00227074">
        <w:rPr>
          <w:rStyle w:val="FootnoteReference"/>
          <w:sz w:val="20"/>
          <w:szCs w:val="20"/>
        </w:rPr>
        <w:footnoteRef/>
      </w:r>
      <w:r w:rsidRPr="00227074">
        <w:rPr>
          <w:sz w:val="20"/>
          <w:szCs w:val="20"/>
        </w:rPr>
        <w:t xml:space="preserve"> </w:t>
      </w:r>
      <w:r>
        <w:rPr>
          <w:sz w:val="20"/>
          <w:szCs w:val="20"/>
        </w:rPr>
        <w:tab/>
      </w:r>
      <w:r w:rsidRPr="00BF0501">
        <w:rPr>
          <w:sz w:val="20"/>
          <w:szCs w:val="20"/>
        </w:rPr>
        <w:t>The Commission’s authority and responsibility regarding transfers of ownership and control of public services companies are found in RCW 80.12 and WAC 480-143.  These statutes and rules require Commission approval whenever a public service company proposes consolidation with another company.  The standard governing our review is:</w:t>
      </w:r>
    </w:p>
    <w:p w:rsidR="00CF0894" w:rsidRDefault="00CF0894" w:rsidP="006741E3">
      <w:pPr>
        <w:tabs>
          <w:tab w:val="left" w:pos="1080"/>
        </w:tabs>
        <w:spacing w:after="60"/>
        <w:ind w:left="1080" w:right="720" w:hanging="1080"/>
        <w:rPr>
          <w:sz w:val="18"/>
          <w:szCs w:val="18"/>
        </w:rPr>
      </w:pPr>
      <w:r w:rsidRPr="00BF0501">
        <w:rPr>
          <w:sz w:val="20"/>
          <w:szCs w:val="20"/>
        </w:rPr>
        <w:tab/>
        <w:t>If, upon the examination of any application and accompanying exhibits, or upon a hearing concerning the same, the commission finds the proposed transaction is not consistent with the public interest, it shall deny the application.</w:t>
      </w:r>
      <w:r w:rsidRPr="00D71634">
        <w:rPr>
          <w:sz w:val="18"/>
          <w:szCs w:val="18"/>
        </w:rPr>
        <w:t xml:space="preserve"> </w:t>
      </w:r>
    </w:p>
    <w:p w:rsidR="00CF0894" w:rsidRDefault="00CF0894" w:rsidP="006741E3">
      <w:pPr>
        <w:tabs>
          <w:tab w:val="num" w:pos="0"/>
          <w:tab w:val="left" w:pos="360"/>
        </w:tabs>
        <w:ind w:left="360" w:right="720" w:hanging="360"/>
        <w:rPr>
          <w:sz w:val="20"/>
          <w:szCs w:val="20"/>
        </w:rPr>
      </w:pPr>
      <w:r>
        <w:rPr>
          <w:sz w:val="18"/>
          <w:szCs w:val="18"/>
        </w:rPr>
        <w:tab/>
      </w:r>
      <w:r w:rsidRPr="00FD2958">
        <w:rPr>
          <w:sz w:val="18"/>
          <w:szCs w:val="18"/>
        </w:rPr>
        <w:t xml:space="preserve">Order No. 14, Docket No. UT-100820, </w:t>
      </w:r>
      <w:r w:rsidRPr="00DE167B">
        <w:rPr>
          <w:i/>
          <w:sz w:val="18"/>
          <w:szCs w:val="18"/>
        </w:rPr>
        <w:t>In the Matter of the Joint Application of Qwest Communications International Inc. and CenturyTel, Inc. For Approval of Indirect Transfer of Control of Qwest Corporation, Qwest Communications Company LLC, and Qwest LD Corp.</w:t>
      </w:r>
      <w:r w:rsidRPr="00FD2958">
        <w:rPr>
          <w:sz w:val="18"/>
          <w:szCs w:val="18"/>
        </w:rPr>
        <w:t>,</w:t>
      </w:r>
      <w:r>
        <w:t xml:space="preserve"> </w:t>
      </w:r>
      <w:r w:rsidRPr="00FD2958">
        <w:rPr>
          <w:sz w:val="18"/>
          <w:szCs w:val="18"/>
        </w:rPr>
        <w:t>¶88 (March 14, 2011)</w:t>
      </w:r>
      <w:r>
        <w:rPr>
          <w:sz w:val="18"/>
          <w:szCs w:val="18"/>
        </w:rPr>
        <w:t>.</w:t>
      </w:r>
    </w:p>
    <w:p w:rsidR="00CF0894" w:rsidRPr="00D32212" w:rsidRDefault="00CF0894" w:rsidP="00B27B7C">
      <w:pPr>
        <w:tabs>
          <w:tab w:val="num" w:pos="0"/>
        </w:tabs>
        <w:spacing w:line="288" w:lineRule="auto"/>
        <w:ind w:right="720" w:hanging="720"/>
        <w:rPr>
          <w:i/>
          <w:sz w:val="25"/>
          <w:szCs w:val="25"/>
        </w:rPr>
      </w:pPr>
    </w:p>
    <w:p w:rsidR="00CF0894" w:rsidRDefault="00CF0894" w:rsidP="00B27B7C">
      <w:pPr>
        <w:pStyle w:val="FootnoteText"/>
      </w:pPr>
    </w:p>
  </w:footnote>
  <w:footnote w:id="3">
    <w:p w:rsidR="00CF0894" w:rsidRPr="003522AC" w:rsidRDefault="00CF0894" w:rsidP="006741E3">
      <w:pPr>
        <w:pStyle w:val="FootnoteText"/>
        <w:tabs>
          <w:tab w:val="left" w:pos="360"/>
        </w:tabs>
        <w:ind w:left="360" w:hanging="360"/>
      </w:pPr>
      <w:r>
        <w:rPr>
          <w:rStyle w:val="FootnoteReference"/>
        </w:rPr>
        <w:footnoteRef/>
      </w:r>
      <w:r>
        <w:tab/>
        <w:t xml:space="preserve">CenturyLink Press Release, </w:t>
      </w:r>
      <w:r w:rsidRPr="003522AC">
        <w:rPr>
          <w:i/>
        </w:rPr>
        <w:t>Century</w:t>
      </w:r>
      <w:r>
        <w:rPr>
          <w:i/>
        </w:rPr>
        <w:t>L</w:t>
      </w:r>
      <w:r w:rsidRPr="003522AC">
        <w:rPr>
          <w:i/>
        </w:rPr>
        <w:t xml:space="preserve">ink </w:t>
      </w:r>
      <w:proofErr w:type="gramStart"/>
      <w:r w:rsidRPr="003522AC">
        <w:rPr>
          <w:i/>
        </w:rPr>
        <w:t>To</w:t>
      </w:r>
      <w:proofErr w:type="gramEnd"/>
      <w:r w:rsidRPr="003522AC">
        <w:rPr>
          <w:i/>
        </w:rPr>
        <w:t xml:space="preserve"> Acquire Level 3 Communications</w:t>
      </w:r>
      <w:r>
        <w:t xml:space="preserve">, October 31, 2016, available at </w:t>
      </w:r>
      <w:hyperlink r:id="rId1" w:history="1">
        <w:r w:rsidRPr="002479D0">
          <w:rPr>
            <w:rStyle w:val="Hyperlink"/>
          </w:rPr>
          <w:t>https://www.sec.gov/Archives/edgar/data/18926/000119312516753764/d272595dex991.htm</w:t>
        </w:r>
      </w:hyperlink>
      <w:r>
        <w:t xml:space="preserve">  (“Merger Press Release”), p. 1.</w:t>
      </w:r>
    </w:p>
  </w:footnote>
  <w:footnote w:id="4">
    <w:p w:rsidR="00CF0894" w:rsidRDefault="00CF0894" w:rsidP="006741E3">
      <w:pPr>
        <w:pStyle w:val="FootnoteText"/>
        <w:tabs>
          <w:tab w:val="left" w:pos="360"/>
        </w:tabs>
        <w:ind w:left="360" w:hanging="360"/>
      </w:pPr>
      <w:r>
        <w:rPr>
          <w:rStyle w:val="FootnoteReference"/>
        </w:rPr>
        <w:footnoteRef/>
      </w:r>
      <w:r>
        <w:tab/>
        <w:t>CenturyLink, “</w:t>
      </w:r>
      <w:r w:rsidRPr="008A57C0">
        <w:t>CenturyLink to Acquire Level 3 Creates Second Largest Domestic Communications Provider Serving Global Enterprise Customers</w:t>
      </w:r>
      <w:r>
        <w:t xml:space="preserve">,” Slide presentation to Investors, (Exhibit MJB-3”), available at </w:t>
      </w:r>
      <w:hyperlink r:id="rId2" w:history="1">
        <w:r w:rsidRPr="0040050D">
          <w:rPr>
            <w:rStyle w:val="Hyperlink"/>
          </w:rPr>
          <w:t>https://www.sec.gov/Archives/edgar/data/18926/000119312516753764/d272595dex992.htm</w:t>
        </w:r>
      </w:hyperlink>
      <w:r w:rsidRPr="00CD5381">
        <w:t>,</w:t>
      </w:r>
      <w:r>
        <w:t xml:space="preserve"> October 31, 2016, slide 8; at June 30, 2016, Level 3 reported 360.9 million fully-diluted shares outstanding and long-term debt, including the current portion, of $10.878 billion and had $1.291 billion in cash and equivalents (see </w:t>
      </w:r>
      <w:hyperlink r:id="rId3" w:history="1">
        <w:r w:rsidRPr="00A92DBC">
          <w:rPr>
            <w:rStyle w:val="Hyperlink"/>
          </w:rPr>
          <w:t>https://www.sec.gov/Archives/edgar/data/794323/000079432316000037/lvlt-063016_10q.htm</w:t>
        </w:r>
      </w:hyperlink>
      <w:r>
        <w:t xml:space="preserve">, pp. 3, 5); at September 30, 2016, Level 3 reported 361.9 million fully-diluted shares outstanding and long-term debt, including the current portion, of $10.882 billion and had $1.569 billion in cash and equivalents (see </w:t>
      </w:r>
      <w:hyperlink r:id="rId4" w:anchor="sBF33EFD55D4DE73211C96AAE87449611" w:history="1">
        <w:r w:rsidRPr="00933BA2">
          <w:rPr>
            <w:rStyle w:val="Hyperlink"/>
          </w:rPr>
          <w:t>https://www.sec.gov/Archives/edgar/data/794323/000079432316000039/lvlt-093016_10q.htm#sBF33EFD55D4DE73211C96AAE87449611</w:t>
        </w:r>
      </w:hyperlink>
      <w:r>
        <w:t xml:space="preserve">, pp. 3, 5);  Exhibit MJB-3 at slide 14 details Level 3’s total long-term debt as $10.5 billion, composed of High Yield Notes of $0.6 billion at Level 3 Communications, Inc. and, at Level 3 Financing, Inc., a Term Loan B of $4.6 billion and High Yield Notes that total $5.3 billion.  </w:t>
      </w:r>
    </w:p>
    <w:p w:rsidR="00CF0894" w:rsidRDefault="00CF0894" w:rsidP="006741E3">
      <w:pPr>
        <w:pStyle w:val="FootnoteText"/>
        <w:tabs>
          <w:tab w:val="left" w:pos="360"/>
        </w:tabs>
        <w:ind w:left="360" w:hanging="360"/>
      </w:pPr>
    </w:p>
  </w:footnote>
  <w:footnote w:id="5">
    <w:p w:rsidR="00CF0894" w:rsidRDefault="00CF0894" w:rsidP="006741E3">
      <w:pPr>
        <w:pStyle w:val="FootnoteText"/>
        <w:tabs>
          <w:tab w:val="left" w:pos="360"/>
        </w:tabs>
        <w:ind w:left="360" w:hanging="360"/>
      </w:pPr>
      <w:r>
        <w:rPr>
          <w:rStyle w:val="FootnoteReference"/>
        </w:rPr>
        <w:footnoteRef/>
      </w:r>
      <w:r>
        <w:tab/>
        <w:t>Merger Press Release, p. 1.</w:t>
      </w:r>
    </w:p>
    <w:p w:rsidR="00CF0894" w:rsidRDefault="00CF0894" w:rsidP="006741E3">
      <w:pPr>
        <w:pStyle w:val="FootnoteText"/>
        <w:tabs>
          <w:tab w:val="left" w:pos="360"/>
        </w:tabs>
        <w:ind w:left="360" w:hanging="360"/>
      </w:pPr>
    </w:p>
  </w:footnote>
  <w:footnote w:id="6">
    <w:p w:rsidR="00CF0894" w:rsidRDefault="00CF0894" w:rsidP="006741E3">
      <w:pPr>
        <w:pStyle w:val="FootnoteText"/>
        <w:tabs>
          <w:tab w:val="left" w:pos="360"/>
        </w:tabs>
        <w:ind w:left="360" w:hanging="360"/>
      </w:pPr>
      <w:r>
        <w:rPr>
          <w:rStyle w:val="FootnoteReference"/>
        </w:rPr>
        <w:footnoteRef/>
      </w:r>
      <w:r>
        <w:tab/>
        <w:t>For purposes of comparison, CenturyLink currently obtains approximately 64% of its revenues from business customers.</w:t>
      </w:r>
    </w:p>
  </w:footnote>
  <w:footnote w:id="7">
    <w:p w:rsidR="00CF0894" w:rsidRDefault="00CF0894" w:rsidP="003F5DC6">
      <w:pPr>
        <w:pStyle w:val="FootnoteText"/>
        <w:tabs>
          <w:tab w:val="left" w:pos="360"/>
        </w:tabs>
        <w:ind w:left="360" w:hanging="360"/>
      </w:pPr>
      <w:r>
        <w:rPr>
          <w:rStyle w:val="FootnoteReference"/>
        </w:rPr>
        <w:footnoteRef/>
      </w:r>
      <w:r>
        <w:tab/>
        <w:t xml:space="preserve">CenturyLink Application Supplement, December 17, 2016, filed at the FCC via ECFS, available at </w:t>
      </w:r>
      <w:hyperlink r:id="rId5" w:history="1">
        <w:r w:rsidRPr="00A92DBC">
          <w:rPr>
            <w:rStyle w:val="Hyperlink"/>
          </w:rPr>
          <w:t>https://ecfsapi.fcc.gov/file/1220018093230/CTL-L3%20FCC%20Application%20Supplement%2012-19-16.pdf</w:t>
        </w:r>
      </w:hyperlink>
      <w:r>
        <w:t>, p. 2.</w:t>
      </w:r>
    </w:p>
    <w:p w:rsidR="00CF0894" w:rsidRDefault="00CF0894" w:rsidP="003F5DC6">
      <w:pPr>
        <w:pStyle w:val="FootnoteText"/>
        <w:tabs>
          <w:tab w:val="left" w:pos="360"/>
        </w:tabs>
        <w:ind w:left="360" w:hanging="360"/>
      </w:pPr>
    </w:p>
  </w:footnote>
  <w:footnote w:id="8">
    <w:p w:rsidR="00CF0894" w:rsidRDefault="00CF0894" w:rsidP="003F5DC6">
      <w:pPr>
        <w:pStyle w:val="FootnoteText"/>
        <w:tabs>
          <w:tab w:val="left" w:pos="360"/>
        </w:tabs>
        <w:ind w:left="360" w:hanging="360"/>
        <w:rPr>
          <w:i/>
        </w:rPr>
      </w:pPr>
      <w:r>
        <w:rPr>
          <w:rStyle w:val="FootnoteReference"/>
        </w:rPr>
        <w:footnoteRef/>
      </w:r>
      <w:r>
        <w:rPr>
          <w:i/>
        </w:rPr>
        <w:tab/>
        <w:t>Id.</w:t>
      </w:r>
    </w:p>
    <w:p w:rsidR="00CF0894" w:rsidRPr="00F53C4F" w:rsidRDefault="00CF0894" w:rsidP="003F5DC6">
      <w:pPr>
        <w:pStyle w:val="FootnoteText"/>
        <w:tabs>
          <w:tab w:val="left" w:pos="360"/>
        </w:tabs>
        <w:ind w:left="360" w:hanging="360"/>
        <w:rPr>
          <w:i/>
        </w:rPr>
      </w:pPr>
    </w:p>
  </w:footnote>
  <w:footnote w:id="9">
    <w:p w:rsidR="00CF0894" w:rsidRDefault="00CF0894" w:rsidP="003F5DC6">
      <w:pPr>
        <w:pStyle w:val="FootnoteText"/>
        <w:tabs>
          <w:tab w:val="left" w:pos="360"/>
        </w:tabs>
        <w:ind w:left="360" w:hanging="360"/>
      </w:pPr>
      <w:r>
        <w:rPr>
          <w:rStyle w:val="FootnoteReference"/>
        </w:rPr>
        <w:footnoteRef/>
      </w:r>
      <w:r>
        <w:rPr>
          <w:i/>
        </w:rPr>
        <w:tab/>
        <w:t>Id.</w:t>
      </w:r>
    </w:p>
  </w:footnote>
  <w:footnote w:id="10">
    <w:p w:rsidR="00CF0894" w:rsidRDefault="00CF0894" w:rsidP="003F5DC6">
      <w:pPr>
        <w:pStyle w:val="FootnoteText"/>
        <w:tabs>
          <w:tab w:val="left" w:pos="360"/>
        </w:tabs>
        <w:ind w:left="360" w:hanging="360"/>
      </w:pPr>
      <w:r>
        <w:rPr>
          <w:rStyle w:val="FootnoteReference"/>
        </w:rPr>
        <w:footnoteRef/>
      </w:r>
      <w:r>
        <w:tab/>
        <w:t xml:space="preserve">In the quarter ending September 30, 2016, CenturyLink reported service to 11.2 million access lines, 5.95 million broadband subscribers and 318,000 PRISM TV customers; see CenturyLink September 30, 2016 SEC Form 10-Q, available at </w:t>
      </w:r>
      <w:hyperlink r:id="rId6" w:history="1">
        <w:r w:rsidRPr="002A7BA4">
          <w:rPr>
            <w:rStyle w:val="Hyperlink"/>
          </w:rPr>
          <w:t>https://www.sec.gov/Archives/edgar/data/18926/000001892616000070/ctl2016093010q.htm</w:t>
        </w:r>
      </w:hyperlink>
      <w:r>
        <w:t>, p. 25.</w:t>
      </w:r>
    </w:p>
    <w:p w:rsidR="00CF0894" w:rsidRDefault="00CF0894" w:rsidP="003F5DC6">
      <w:pPr>
        <w:pStyle w:val="FootnoteText"/>
        <w:tabs>
          <w:tab w:val="left" w:pos="360"/>
        </w:tabs>
        <w:ind w:left="360" w:hanging="360"/>
      </w:pPr>
    </w:p>
  </w:footnote>
  <w:footnote w:id="11">
    <w:p w:rsidR="00CF0894" w:rsidRDefault="00CF0894" w:rsidP="003F5DC6">
      <w:pPr>
        <w:pStyle w:val="FootnoteText"/>
        <w:tabs>
          <w:tab w:val="left" w:pos="360"/>
        </w:tabs>
        <w:ind w:left="360" w:hanging="360"/>
      </w:pPr>
      <w:r>
        <w:rPr>
          <w:rStyle w:val="FootnoteReference"/>
        </w:rPr>
        <w:footnoteRef/>
      </w:r>
      <w:r>
        <w:tab/>
      </w:r>
      <w:proofErr w:type="gramStart"/>
      <w:r>
        <w:t xml:space="preserve">Transcript of the CenturyLink-Level 3 Call with Investors, October 31, 2016, available at </w:t>
      </w:r>
      <w:hyperlink r:id="rId7" w:history="1">
        <w:r w:rsidRPr="00933BA2">
          <w:rPr>
            <w:rStyle w:val="Hyperlink"/>
          </w:rPr>
          <w:t>https://www.sec.gov/Archives/edgar/data/18926/000119312516753764/d272595dex993.htm</w:t>
        </w:r>
      </w:hyperlink>
      <w:r>
        <w:t xml:space="preserve"> (“Exhibit MJB-4”), p. 9.</w:t>
      </w:r>
      <w:proofErr w:type="gramEnd"/>
    </w:p>
    <w:p w:rsidR="00CF0894" w:rsidRDefault="00CF0894" w:rsidP="003F5DC6">
      <w:pPr>
        <w:pStyle w:val="FootnoteText"/>
        <w:tabs>
          <w:tab w:val="left" w:pos="360"/>
        </w:tabs>
        <w:ind w:left="360" w:hanging="360"/>
      </w:pPr>
    </w:p>
  </w:footnote>
  <w:footnote w:id="12">
    <w:p w:rsidR="00CF0894" w:rsidRDefault="00CF0894" w:rsidP="003F5DC6">
      <w:pPr>
        <w:pStyle w:val="FootnoteText"/>
        <w:tabs>
          <w:tab w:val="left" w:pos="360"/>
        </w:tabs>
      </w:pPr>
      <w:r>
        <w:rPr>
          <w:rStyle w:val="FootnoteReference"/>
        </w:rPr>
        <w:footnoteRef/>
      </w:r>
      <w:r>
        <w:tab/>
      </w:r>
      <w:r>
        <w:rPr>
          <w:i/>
        </w:rPr>
        <w:t>Id.,</w:t>
      </w:r>
      <w:r>
        <w:t xml:space="preserve"> p. 4.</w:t>
      </w:r>
    </w:p>
    <w:p w:rsidR="00CF0894" w:rsidRPr="00F53C4F" w:rsidRDefault="00CF0894" w:rsidP="003F5DC6">
      <w:pPr>
        <w:pStyle w:val="FootnoteText"/>
        <w:tabs>
          <w:tab w:val="left" w:pos="360"/>
        </w:tabs>
      </w:pPr>
    </w:p>
  </w:footnote>
  <w:footnote w:id="13">
    <w:p w:rsidR="00CF0894" w:rsidRPr="007B0A56" w:rsidRDefault="00CF0894" w:rsidP="003F5DC6">
      <w:pPr>
        <w:pStyle w:val="FootnoteText"/>
        <w:tabs>
          <w:tab w:val="left" w:pos="360"/>
        </w:tabs>
      </w:pPr>
      <w:r>
        <w:rPr>
          <w:rStyle w:val="FootnoteReference"/>
        </w:rPr>
        <w:footnoteRef/>
      </w:r>
      <w:r>
        <w:rPr>
          <w:i/>
        </w:rPr>
        <w:tab/>
        <w:t>Id.,</w:t>
      </w:r>
      <w:r>
        <w:t xml:space="preserve"> pp. 3, 28-29.</w:t>
      </w:r>
    </w:p>
  </w:footnote>
  <w:footnote w:id="14">
    <w:p w:rsidR="00CF0894" w:rsidRDefault="00CF0894" w:rsidP="003F5DC6">
      <w:pPr>
        <w:pStyle w:val="FootnoteText"/>
        <w:tabs>
          <w:tab w:val="left" w:pos="360"/>
        </w:tabs>
      </w:pPr>
      <w:r>
        <w:rPr>
          <w:rStyle w:val="FootnoteReference"/>
        </w:rPr>
        <w:footnoteRef/>
      </w:r>
      <w:r>
        <w:tab/>
      </w:r>
      <w:r>
        <w:rPr>
          <w:i/>
        </w:rPr>
        <w:t xml:space="preserve">Id., </w:t>
      </w:r>
      <w:r>
        <w:t>pp. 8-9.</w:t>
      </w:r>
    </w:p>
    <w:p w:rsidR="00CF0894" w:rsidRPr="00B11E40" w:rsidRDefault="00CF0894" w:rsidP="003F5DC6">
      <w:pPr>
        <w:pStyle w:val="FootnoteText"/>
        <w:tabs>
          <w:tab w:val="left" w:pos="360"/>
        </w:tabs>
      </w:pPr>
    </w:p>
  </w:footnote>
  <w:footnote w:id="15">
    <w:p w:rsidR="00CF0894" w:rsidRDefault="00CF0894" w:rsidP="003F5DC6">
      <w:pPr>
        <w:pStyle w:val="FootnoteText"/>
        <w:tabs>
          <w:tab w:val="left" w:pos="360"/>
        </w:tabs>
      </w:pPr>
      <w:r>
        <w:rPr>
          <w:rStyle w:val="FootnoteReference"/>
        </w:rPr>
        <w:footnoteRef/>
      </w:r>
      <w:r>
        <w:tab/>
      </w:r>
      <w:r>
        <w:rPr>
          <w:i/>
        </w:rPr>
        <w:t xml:space="preserve">Id., </w:t>
      </w:r>
      <w:r>
        <w:t>p. 3.</w:t>
      </w:r>
    </w:p>
    <w:p w:rsidR="00CF0894" w:rsidRPr="00F53C4F" w:rsidRDefault="00CF0894" w:rsidP="003F5DC6">
      <w:pPr>
        <w:pStyle w:val="FootnoteText"/>
        <w:tabs>
          <w:tab w:val="left" w:pos="360"/>
        </w:tabs>
      </w:pPr>
    </w:p>
  </w:footnote>
  <w:footnote w:id="16">
    <w:p w:rsidR="00CF0894" w:rsidRDefault="00CF0894" w:rsidP="003F5DC6">
      <w:pPr>
        <w:pStyle w:val="FootnoteText"/>
        <w:tabs>
          <w:tab w:val="left" w:pos="360"/>
        </w:tabs>
      </w:pPr>
      <w:r>
        <w:rPr>
          <w:rStyle w:val="FootnoteReference"/>
        </w:rPr>
        <w:footnoteRef/>
      </w:r>
      <w:r>
        <w:tab/>
        <w:t>Exhibit MJB-3, slide 12.</w:t>
      </w:r>
    </w:p>
    <w:p w:rsidR="00CF0894" w:rsidRDefault="00CF0894" w:rsidP="003F5DC6">
      <w:pPr>
        <w:pStyle w:val="FootnoteText"/>
        <w:tabs>
          <w:tab w:val="left" w:pos="360"/>
        </w:tabs>
      </w:pPr>
    </w:p>
  </w:footnote>
  <w:footnote w:id="17">
    <w:p w:rsidR="00CF0894" w:rsidRDefault="00CF0894" w:rsidP="003F5DC6">
      <w:pPr>
        <w:pStyle w:val="FootnoteText"/>
        <w:tabs>
          <w:tab w:val="left" w:pos="360"/>
        </w:tabs>
      </w:pPr>
      <w:r>
        <w:rPr>
          <w:rStyle w:val="FootnoteReference"/>
        </w:rPr>
        <w:footnoteRef/>
      </w:r>
      <w:r>
        <w:tab/>
        <w:t>Exhibit MJB-4, p. 28.</w:t>
      </w:r>
    </w:p>
    <w:p w:rsidR="00CF0894" w:rsidRDefault="00CF0894" w:rsidP="003F5DC6">
      <w:pPr>
        <w:pStyle w:val="FootnoteText"/>
        <w:tabs>
          <w:tab w:val="left" w:pos="360"/>
        </w:tabs>
      </w:pPr>
    </w:p>
  </w:footnote>
  <w:footnote w:id="18">
    <w:p w:rsidR="00CF0894" w:rsidRDefault="00CF0894" w:rsidP="003F5DC6">
      <w:pPr>
        <w:pStyle w:val="FootnoteText"/>
        <w:tabs>
          <w:tab w:val="left" w:pos="360"/>
        </w:tabs>
        <w:ind w:left="360" w:hanging="360"/>
      </w:pPr>
      <w:r>
        <w:rPr>
          <w:rStyle w:val="FootnoteReference"/>
        </w:rPr>
        <w:footnoteRef/>
      </w:r>
      <w:r>
        <w:tab/>
        <w:t xml:space="preserve">Level 3 reported in 2015 income before taxes that was $283 million ($1.166 billion in depreciation and amortization or “D&amp;A”) and in 2014 $238 million ($808 million in D&amp;A), (see SEC 2015 Level 3 Form 10-K, available at </w:t>
      </w:r>
      <w:hyperlink r:id="rId8" w:history="1">
        <w:r w:rsidRPr="00933BA2">
          <w:rPr>
            <w:rStyle w:val="Hyperlink"/>
          </w:rPr>
          <w:t>https://www.sec.gov/Archives/edgar/data/794323/000079432316000025/lvlt-123115_10k.htm</w:t>
        </w:r>
      </w:hyperlink>
      <w:r>
        <w:t xml:space="preserve">, p. 75); through the first three quarters of 2016, Level 3 reported $625 million in pre-tax income and $930 million in D&amp;A, (see SEC September 30, 2016 Level 3 Form 10-Q, available at </w:t>
      </w:r>
      <w:hyperlink r:id="rId9" w:anchor="sBF33EFD55D4DE73211C96AAE87449611" w:history="1">
        <w:r w:rsidRPr="00933BA2">
          <w:rPr>
            <w:rStyle w:val="Hyperlink"/>
          </w:rPr>
          <w:t>https://www.sec.gov/Archives/edgar/data/794323/000079432316000039/lvlt-093016_10q.htm#sBF33EFD55D4DE73211C96AAE87449611</w:t>
        </w:r>
      </w:hyperlink>
      <w:r>
        <w:t>, p. 37.)</w:t>
      </w:r>
    </w:p>
    <w:p w:rsidR="00CF0894" w:rsidRDefault="00CF0894" w:rsidP="003F5DC6">
      <w:pPr>
        <w:pStyle w:val="FootnoteText"/>
        <w:tabs>
          <w:tab w:val="left" w:pos="360"/>
        </w:tabs>
        <w:ind w:left="360" w:hanging="360"/>
      </w:pPr>
    </w:p>
  </w:footnote>
  <w:footnote w:id="19">
    <w:p w:rsidR="00CF0894" w:rsidRDefault="00CF0894" w:rsidP="003F5DC6">
      <w:pPr>
        <w:pStyle w:val="FootnoteText"/>
        <w:tabs>
          <w:tab w:val="left" w:pos="360"/>
        </w:tabs>
        <w:ind w:left="360" w:hanging="360"/>
      </w:pPr>
      <w:r>
        <w:rPr>
          <w:rStyle w:val="FootnoteReference"/>
        </w:rPr>
        <w:footnoteRef/>
      </w:r>
      <w:r>
        <w:tab/>
        <w:t>For perspective, in its 2015 10-K, CenturyLink reported $10.225 billion in current and non-current long-term debt and net interest paid of $1.310 billion, which suggests a blended interest rate of 6.5%; that rate compares with the Company’s issuance</w:t>
      </w:r>
      <w:r w:rsidRPr="001E6237">
        <w:t xml:space="preserve"> </w:t>
      </w:r>
      <w:r>
        <w:t xml:space="preserve">in September 2015 of long-term notes, maturing in 2055, with an annual interest rate of 6.625% (see CenturyLink 2015 SEC Form 10-K, pp. 74, 75, and 86, available at </w:t>
      </w:r>
      <w:hyperlink r:id="rId10" w:history="1">
        <w:r w:rsidRPr="00432EA6">
          <w:rPr>
            <w:rStyle w:val="Hyperlink"/>
          </w:rPr>
          <w:t>https://www.sec.gov/Archives/edgar/data/18926/000001892616000047/ctl-2015123110k.htm</w:t>
        </w:r>
      </w:hyperlink>
      <w:r>
        <w:t>).  If one were to assume the higher rate of 6.625% and apply it to $7 billion in incremental debt, the initial annual interest payments might be assumed to be approximately $465 million, which is well below the combination of estimated synergies and cash tax benefits derived from the accelerated use of the NOLs.</w:t>
      </w:r>
    </w:p>
    <w:p w:rsidR="00CF0894" w:rsidRDefault="00CF0894" w:rsidP="003F5DC6">
      <w:pPr>
        <w:pStyle w:val="FootnoteText"/>
        <w:tabs>
          <w:tab w:val="left" w:pos="360"/>
        </w:tabs>
        <w:ind w:left="360" w:hanging="360"/>
      </w:pPr>
    </w:p>
  </w:footnote>
  <w:footnote w:id="20">
    <w:p w:rsidR="00CF0894" w:rsidRDefault="00CF0894" w:rsidP="003F5DC6">
      <w:pPr>
        <w:pStyle w:val="FootnoteText"/>
        <w:tabs>
          <w:tab w:val="left" w:pos="360"/>
        </w:tabs>
        <w:ind w:left="360" w:hanging="360"/>
      </w:pPr>
      <w:r>
        <w:rPr>
          <w:rStyle w:val="FootnoteReference"/>
        </w:rPr>
        <w:footnoteRef/>
      </w:r>
      <w:r>
        <w:tab/>
        <w:t>Exhibit MJB-3, slide 13.</w:t>
      </w:r>
    </w:p>
    <w:p w:rsidR="00CF0894" w:rsidRDefault="00CF0894" w:rsidP="003F5DC6">
      <w:pPr>
        <w:pStyle w:val="FootnoteText"/>
        <w:tabs>
          <w:tab w:val="left" w:pos="360"/>
        </w:tabs>
        <w:ind w:left="360" w:hanging="360"/>
      </w:pPr>
    </w:p>
  </w:footnote>
  <w:footnote w:id="21">
    <w:p w:rsidR="00CF0894" w:rsidRDefault="00CF0894" w:rsidP="003F5DC6">
      <w:pPr>
        <w:pStyle w:val="FootnoteText"/>
        <w:tabs>
          <w:tab w:val="left" w:pos="360"/>
        </w:tabs>
        <w:ind w:left="360" w:hanging="360"/>
      </w:pPr>
      <w:r>
        <w:rPr>
          <w:rStyle w:val="FootnoteReference"/>
        </w:rPr>
        <w:footnoteRef/>
      </w:r>
      <w:r>
        <w:tab/>
        <w:t>Exhibit MJB-4, p. 20: “Our payout ratio was going to bump up to the low to mid-80s [in 2018]. When you get about four years out, the dividend payout ratio moves down to about 60 percent so it helps our dividend payout ratio about 10 percentage points each year until you get . . . closer to 15 to 20 percentage points a year.”</w:t>
      </w:r>
    </w:p>
    <w:p w:rsidR="00CF0894" w:rsidRDefault="00CF0894" w:rsidP="003F5DC6">
      <w:pPr>
        <w:pStyle w:val="FootnoteText"/>
        <w:tabs>
          <w:tab w:val="left" w:pos="360"/>
        </w:tabs>
        <w:ind w:left="360" w:hanging="360"/>
      </w:pPr>
    </w:p>
  </w:footnote>
  <w:footnote w:id="22">
    <w:p w:rsidR="00CF0894" w:rsidRDefault="00CF0894" w:rsidP="003F5DC6">
      <w:pPr>
        <w:pStyle w:val="FootnoteText"/>
        <w:tabs>
          <w:tab w:val="left" w:pos="360"/>
        </w:tabs>
        <w:ind w:left="360" w:hanging="360"/>
      </w:pPr>
      <w:r>
        <w:rPr>
          <w:rStyle w:val="FootnoteReference"/>
        </w:rPr>
        <w:footnoteRef/>
      </w:r>
      <w:r>
        <w:tab/>
      </w:r>
      <w:proofErr w:type="spellStart"/>
      <w:r>
        <w:t>Batya</w:t>
      </w:r>
      <w:proofErr w:type="spellEnd"/>
      <w:r>
        <w:t xml:space="preserve"> Levi, UBS Global Research, “CenturyLink, Inc.: Deal makes strategic sense; Maintain Buy,” 31 October 2016, p. 1.  David Barden, Bank of America Merrill Lynch, “</w:t>
      </w:r>
      <w:r w:rsidRPr="00F46011">
        <w:t>CTL announces potential accretive LVLT merger deal</w:t>
      </w:r>
      <w:r>
        <w:t xml:space="preserve">,” 1 November 2016, p. 1. </w:t>
      </w:r>
    </w:p>
    <w:p w:rsidR="00CF0894" w:rsidRDefault="00CF0894" w:rsidP="003F5DC6">
      <w:pPr>
        <w:pStyle w:val="FootnoteText"/>
        <w:tabs>
          <w:tab w:val="left" w:pos="360"/>
        </w:tabs>
        <w:ind w:left="360" w:hanging="360"/>
      </w:pPr>
    </w:p>
  </w:footnote>
  <w:footnote w:id="23">
    <w:p w:rsidR="00CF0894" w:rsidRDefault="00CF0894" w:rsidP="003F5DC6">
      <w:pPr>
        <w:pStyle w:val="FootnoteText"/>
        <w:tabs>
          <w:tab w:val="left" w:pos="360"/>
        </w:tabs>
        <w:ind w:left="360" w:hanging="360"/>
      </w:pPr>
      <w:r>
        <w:rPr>
          <w:rStyle w:val="FootnoteReference"/>
        </w:rPr>
        <w:footnoteRef/>
      </w:r>
      <w:r>
        <w:tab/>
        <w:t>CenturyLink will not immediately, upon close, realize all its run-rate synergies and, accordingly, the actual leverage ratio is expected to be modestly higher than 3.7 times.</w:t>
      </w:r>
    </w:p>
    <w:p w:rsidR="00CF0894" w:rsidRDefault="00CF0894" w:rsidP="003F5DC6">
      <w:pPr>
        <w:pStyle w:val="FootnoteText"/>
        <w:tabs>
          <w:tab w:val="left" w:pos="360"/>
        </w:tabs>
        <w:ind w:left="360" w:hanging="360"/>
      </w:pPr>
    </w:p>
  </w:footnote>
  <w:footnote w:id="24">
    <w:p w:rsidR="00CF0894" w:rsidRDefault="00CF0894" w:rsidP="003F5DC6">
      <w:pPr>
        <w:pStyle w:val="FootnoteText"/>
        <w:tabs>
          <w:tab w:val="left" w:pos="360"/>
        </w:tabs>
        <w:ind w:left="360" w:hanging="360"/>
      </w:pPr>
      <w:r>
        <w:rPr>
          <w:rStyle w:val="FootnoteReference"/>
        </w:rPr>
        <w:footnoteRef/>
      </w:r>
      <w:r>
        <w:tab/>
        <w:t>Exhibit MJB-3, slides 7 and 13; Exhibit MJB-4, pp. 28-29; Glen Post: “it’ll take about four years or so for us to get back down to an EBITDA ratio of three to one – three to four years which we anticipate we can do. But the good thing about that, it de-levers from the free cash flow that’s generated as well as the increase in EBITDA that we expect to have as result of both growth and the customer base, as well as the synergies that we expect to receive and achieve. The good thing about this is</w:t>
      </w:r>
      <w:r w:rsidRPr="00DB5E43">
        <w:t xml:space="preserve"> </w:t>
      </w:r>
      <w:r>
        <w:t>because we de-lever so quickly, it’ll give us the luxury of investing where we need to invest to be able to grow our business together faster than we can grow our business separately.”  See, also, Exhibit MJB-4, p. 3; Glen Post: “Additionally, we believe the combined company will be able to achieve more than 10 percent growth and free cash flow per share in the full year post-closing, including synergies as realized and again, including integration costs. We also expect this combination to drive significant improvement in free cash flow per share in subsequent years.”  Note, also, that Level 3’s pre-Merger net leverage level was 3.5 times, apparently an appropriate level in light of Level 3’s growth characteristics.</w:t>
      </w:r>
    </w:p>
    <w:p w:rsidR="00CF0894" w:rsidRDefault="00CF0894" w:rsidP="003F5DC6">
      <w:pPr>
        <w:pStyle w:val="FootnoteText"/>
        <w:tabs>
          <w:tab w:val="left" w:pos="360"/>
        </w:tabs>
        <w:ind w:left="360" w:hanging="360"/>
      </w:pPr>
    </w:p>
  </w:footnote>
  <w:footnote w:id="25">
    <w:p w:rsidR="00CF0894" w:rsidRDefault="00CF0894" w:rsidP="003F5DC6">
      <w:pPr>
        <w:pStyle w:val="FootnoteText"/>
        <w:tabs>
          <w:tab w:val="left" w:pos="360"/>
        </w:tabs>
        <w:ind w:left="360" w:hanging="360"/>
      </w:pPr>
      <w:r>
        <w:rPr>
          <w:rStyle w:val="FootnoteReference"/>
        </w:rPr>
        <w:footnoteRef/>
      </w:r>
      <w:r>
        <w:tab/>
        <w:t>The data for the analysis are drawn from FactSet Fundamentals, prepared by Raymond James and Associates.</w:t>
      </w:r>
    </w:p>
  </w:footnote>
  <w:footnote w:id="26">
    <w:p w:rsidR="00CF0894" w:rsidRDefault="00CF0894" w:rsidP="003F5DC6">
      <w:pPr>
        <w:pStyle w:val="FootnoteText"/>
        <w:tabs>
          <w:tab w:val="left" w:pos="360"/>
        </w:tabs>
        <w:rPr>
          <w:i/>
        </w:rPr>
      </w:pPr>
      <w:r>
        <w:rPr>
          <w:rStyle w:val="FootnoteReference"/>
        </w:rPr>
        <w:footnoteRef/>
      </w:r>
      <w:r>
        <w:tab/>
        <w:t xml:space="preserve">See footnote </w:t>
      </w:r>
      <w:r>
        <w:fldChar w:fldCharType="begin"/>
      </w:r>
      <w:r>
        <w:instrText xml:space="preserve"> NOTEREF _Ref472615147 \h </w:instrText>
      </w:r>
      <w:r>
        <w:fldChar w:fldCharType="separate"/>
      </w:r>
      <w:r>
        <w:t>23</w:t>
      </w:r>
      <w:r>
        <w:fldChar w:fldCharType="end"/>
      </w:r>
      <w:r>
        <w:t xml:space="preserve">, </w:t>
      </w:r>
      <w:r>
        <w:rPr>
          <w:i/>
        </w:rPr>
        <w:t>supra.</w:t>
      </w:r>
    </w:p>
    <w:p w:rsidR="00CF0894" w:rsidRPr="00063CED" w:rsidRDefault="00CF0894" w:rsidP="003F5DC6">
      <w:pPr>
        <w:pStyle w:val="FootnoteText"/>
        <w:tabs>
          <w:tab w:val="left" w:pos="360"/>
        </w:tabs>
        <w:rPr>
          <w:i/>
        </w:rPr>
      </w:pPr>
    </w:p>
  </w:footnote>
  <w:footnote w:id="27">
    <w:p w:rsidR="00CF0894" w:rsidRDefault="00CF0894" w:rsidP="003F5DC6">
      <w:pPr>
        <w:pStyle w:val="FootnoteText"/>
        <w:tabs>
          <w:tab w:val="left" w:pos="360"/>
        </w:tabs>
      </w:pPr>
      <w:r>
        <w:rPr>
          <w:rStyle w:val="FootnoteReference"/>
        </w:rPr>
        <w:footnoteRef/>
      </w:r>
      <w:r>
        <w:tab/>
        <w:t>Exhibit MJB-4, p. 3.</w:t>
      </w:r>
    </w:p>
    <w:p w:rsidR="00CF0894" w:rsidRDefault="00CF0894" w:rsidP="003F5DC6">
      <w:pPr>
        <w:pStyle w:val="FootnoteText"/>
        <w:tabs>
          <w:tab w:val="left" w:pos="360"/>
        </w:tabs>
      </w:pPr>
    </w:p>
  </w:footnote>
  <w:footnote w:id="28">
    <w:p w:rsidR="00CF0894" w:rsidRDefault="00CF0894" w:rsidP="003F5DC6">
      <w:pPr>
        <w:pStyle w:val="FootnoteText"/>
        <w:tabs>
          <w:tab w:val="left" w:pos="360"/>
        </w:tabs>
      </w:pPr>
      <w:r>
        <w:rPr>
          <w:rStyle w:val="FootnoteReference"/>
        </w:rPr>
        <w:footnoteRef/>
      </w:r>
      <w:r>
        <w:tab/>
        <w:t>The target ratio of 3.0 times is close to the current leverage ratio of approximately 2.8 times.</w:t>
      </w:r>
    </w:p>
    <w:p w:rsidR="00CF0894" w:rsidRDefault="00CF0894" w:rsidP="003F5DC6">
      <w:pPr>
        <w:pStyle w:val="FootnoteText"/>
        <w:tabs>
          <w:tab w:val="left" w:pos="360"/>
        </w:tabs>
      </w:pPr>
    </w:p>
  </w:footnote>
  <w:footnote w:id="29">
    <w:p w:rsidR="00CF0894" w:rsidRDefault="00CF0894" w:rsidP="003F5DC6">
      <w:pPr>
        <w:pStyle w:val="FootnoteText"/>
        <w:tabs>
          <w:tab w:val="left" w:pos="360"/>
        </w:tabs>
      </w:pPr>
      <w:r>
        <w:rPr>
          <w:rStyle w:val="FootnoteReference"/>
        </w:rPr>
        <w:footnoteRef/>
      </w:r>
      <w:r>
        <w:tab/>
        <w:t>Exhibit MJB-4, p. 7.</w:t>
      </w:r>
    </w:p>
    <w:p w:rsidR="00CF0894" w:rsidRDefault="00CF0894" w:rsidP="003F5DC6">
      <w:pPr>
        <w:pStyle w:val="FootnoteText"/>
        <w:tabs>
          <w:tab w:val="left" w:pos="360"/>
        </w:tabs>
      </w:pPr>
    </w:p>
  </w:footnote>
  <w:footnote w:id="30">
    <w:p w:rsidR="00CF0894" w:rsidRDefault="00CF0894" w:rsidP="003F5DC6">
      <w:pPr>
        <w:pStyle w:val="FootnoteText"/>
        <w:tabs>
          <w:tab w:val="left" w:pos="360"/>
        </w:tabs>
      </w:pPr>
      <w:r>
        <w:rPr>
          <w:rStyle w:val="FootnoteReference"/>
        </w:rPr>
        <w:footnoteRef/>
      </w:r>
      <w:r>
        <w:tab/>
        <w:t>Exhibit MJB-3, slide 7.</w:t>
      </w:r>
    </w:p>
  </w:footnote>
  <w:footnote w:id="31">
    <w:p w:rsidR="00CF0894" w:rsidRDefault="00CF0894" w:rsidP="003F5DC6">
      <w:pPr>
        <w:pStyle w:val="FootnoteText"/>
        <w:tabs>
          <w:tab w:val="left" w:pos="360"/>
        </w:tabs>
        <w:ind w:left="360" w:hanging="360"/>
      </w:pPr>
      <w:r>
        <w:rPr>
          <w:rStyle w:val="FootnoteReference"/>
        </w:rPr>
        <w:footnoteRef/>
      </w:r>
      <w:r>
        <w:tab/>
        <w:t xml:space="preserve">There are no simple or certain ways to calculate debt costs with or without guarantees or pledges, as each case is different and there are no company-specific data tables to instruct the lender.  Industry risk, competition, leverage ratios, expected cash flows, and other factors come into play.  The opinion expressed here is based on my experience as a financial professional and based on data from the Company’s banker, but it is a judgment and is not a prediction.  The Commission should understand that my opinion does not rely on specific financial data, but rather on my experience and understanding of the process as a whole. </w:t>
      </w:r>
    </w:p>
    <w:p w:rsidR="00CF0894" w:rsidRDefault="00CF0894" w:rsidP="003F5DC6">
      <w:pPr>
        <w:pStyle w:val="FootnoteText"/>
        <w:tabs>
          <w:tab w:val="left" w:pos="360"/>
        </w:tabs>
        <w:ind w:left="360" w:hanging="360"/>
      </w:pPr>
    </w:p>
  </w:footnote>
  <w:footnote w:id="32">
    <w:p w:rsidR="00CF0894" w:rsidRDefault="00CF0894" w:rsidP="003F5DC6">
      <w:pPr>
        <w:pStyle w:val="FootnoteText"/>
        <w:tabs>
          <w:tab w:val="left" w:pos="360"/>
        </w:tabs>
        <w:ind w:left="360" w:hanging="360"/>
      </w:pPr>
      <w:r>
        <w:rPr>
          <w:rStyle w:val="FootnoteReference"/>
        </w:rPr>
        <w:footnoteRef/>
      </w:r>
      <w:r>
        <w:tab/>
        <w:t xml:space="preserve">This indebtedness, as well as subsequent future indebtedness in this testimony, </w:t>
      </w:r>
      <w:proofErr w:type="gramStart"/>
      <w:r>
        <w:t>are</w:t>
      </w:r>
      <w:proofErr w:type="gramEnd"/>
      <w:r>
        <w:t xml:space="preserve"> the Company’s best estimates.  The actual composition of debt may be different when CenturyLink evaluates the then-current market conditions and negotiates with lenders.  </w:t>
      </w:r>
    </w:p>
    <w:p w:rsidR="00CF0894" w:rsidRDefault="00CF0894" w:rsidP="003F5DC6">
      <w:pPr>
        <w:pStyle w:val="FootnoteText"/>
        <w:tabs>
          <w:tab w:val="left" w:pos="360"/>
        </w:tabs>
        <w:ind w:left="360" w:hanging="360"/>
      </w:pPr>
    </w:p>
  </w:footnote>
  <w:footnote w:id="33">
    <w:p w:rsidR="00CF0894" w:rsidRDefault="00CF0894" w:rsidP="003F5DC6">
      <w:pPr>
        <w:pStyle w:val="FootnoteText"/>
        <w:tabs>
          <w:tab w:val="left" w:pos="360"/>
        </w:tabs>
        <w:ind w:left="360" w:hanging="360"/>
      </w:pPr>
      <w:r>
        <w:rPr>
          <w:rStyle w:val="FootnoteReference"/>
        </w:rPr>
        <w:footnoteRef/>
      </w:r>
      <w:r>
        <w:tab/>
        <w:t xml:space="preserve">As noted above in footnote </w:t>
      </w:r>
      <w:r>
        <w:rPr>
          <w:highlight w:val="yellow"/>
        </w:rPr>
        <w:fldChar w:fldCharType="begin"/>
      </w:r>
      <w:r>
        <w:instrText xml:space="preserve"> NOTEREF _Ref474473230 \h </w:instrText>
      </w:r>
      <w:r>
        <w:rPr>
          <w:highlight w:val="yellow"/>
        </w:rPr>
      </w:r>
      <w:r>
        <w:rPr>
          <w:highlight w:val="yellow"/>
        </w:rPr>
        <w:fldChar w:fldCharType="separate"/>
      </w:r>
      <w:r>
        <w:t>31</w:t>
      </w:r>
      <w:r>
        <w:rPr>
          <w:highlight w:val="yellow"/>
        </w:rPr>
        <w:fldChar w:fldCharType="end"/>
      </w:r>
      <w:r>
        <w:t>, the specific allocation of the acquisition debt between the secured notes and tranches of term loans, as well as the maturity dates for the acquisition debt, will be subject to negotiation and will depend on credit market conditions at the time.  The interest rate will be a market rate for such financings and will not be determined until the financing arrangements are finalized.</w:t>
      </w:r>
    </w:p>
    <w:p w:rsidR="00CF0894" w:rsidRDefault="00CF0894" w:rsidP="003F5DC6">
      <w:pPr>
        <w:pStyle w:val="FootnoteText"/>
        <w:tabs>
          <w:tab w:val="left" w:pos="360"/>
        </w:tabs>
        <w:ind w:left="360" w:hanging="360"/>
      </w:pPr>
    </w:p>
  </w:footnote>
  <w:footnote w:id="34">
    <w:p w:rsidR="00CF0894" w:rsidRDefault="00CF0894" w:rsidP="003F5DC6">
      <w:pPr>
        <w:pStyle w:val="FootnoteText"/>
        <w:tabs>
          <w:tab w:val="left" w:pos="360"/>
        </w:tabs>
        <w:ind w:left="360" w:hanging="360"/>
      </w:pPr>
      <w:r>
        <w:rPr>
          <w:rStyle w:val="FootnoteReference"/>
        </w:rPr>
        <w:footnoteRef/>
      </w:r>
      <w:r>
        <w:tab/>
        <w:t xml:space="preserve">See CenturyLink SEC Registration Statement, Form S-4, as amended, filed January 17, 2017, available at </w:t>
      </w:r>
      <w:hyperlink r:id="rId11" w:history="1">
        <w:r w:rsidRPr="008F6D35">
          <w:rPr>
            <w:rStyle w:val="Hyperlink"/>
          </w:rPr>
          <w:t>https://www.sec.gov/Archives/edgar/data/18926/000119312517011326/d282157ds4a.htm</w:t>
        </w:r>
      </w:hyperlink>
      <w:r>
        <w:t>, pp. A-1 ff.</w:t>
      </w:r>
    </w:p>
    <w:p w:rsidR="00CF0894" w:rsidRDefault="00CF0894" w:rsidP="003F5DC6">
      <w:pPr>
        <w:pStyle w:val="FootnoteText"/>
        <w:tabs>
          <w:tab w:val="left" w:pos="360"/>
        </w:tabs>
        <w:ind w:left="360" w:hanging="360"/>
      </w:pPr>
    </w:p>
  </w:footnote>
  <w:footnote w:id="35">
    <w:p w:rsidR="00CF0894" w:rsidRDefault="00CF0894" w:rsidP="00E14679">
      <w:pPr>
        <w:pStyle w:val="FootnoteText"/>
        <w:tabs>
          <w:tab w:val="left" w:pos="360"/>
        </w:tabs>
      </w:pPr>
      <w:r>
        <w:rPr>
          <w:rStyle w:val="FootnoteReference"/>
        </w:rPr>
        <w:footnoteRef/>
      </w:r>
      <w:r>
        <w:tab/>
        <w:t>“Un</w:t>
      </w:r>
      <w:r w:rsidRPr="004E7363">
        <w:t>regulated</w:t>
      </w:r>
      <w:r>
        <w:t>”</w:t>
      </w:r>
      <w:r w:rsidRPr="004E7363">
        <w:t xml:space="preserve"> in this context refers to anyth</w:t>
      </w:r>
      <w:r>
        <w:t>ing other than a "regulated ILEC."</w:t>
      </w:r>
    </w:p>
  </w:footnote>
  <w:footnote w:id="36">
    <w:p w:rsidR="00CF0894" w:rsidRDefault="00CF0894" w:rsidP="00E14679">
      <w:pPr>
        <w:pStyle w:val="FootnoteText"/>
        <w:tabs>
          <w:tab w:val="left" w:pos="360"/>
        </w:tabs>
        <w:ind w:left="360" w:hanging="360"/>
      </w:pPr>
      <w:r>
        <w:rPr>
          <w:rStyle w:val="FootnoteReference"/>
        </w:rPr>
        <w:footnoteRef/>
      </w:r>
      <w:r>
        <w:t xml:space="preserve"> </w:t>
      </w:r>
      <w:r>
        <w:tab/>
      </w:r>
      <w:r w:rsidR="00A36C9D">
        <w:t>T</w:t>
      </w:r>
      <w:r>
        <w:t xml:space="preserve">he specific guarantors may be different from the depiction in Figure 3, due to negotiation with lenders.  But </w:t>
      </w:r>
      <w:r w:rsidRPr="00677746">
        <w:rPr>
          <w:i/>
        </w:rPr>
        <w:t>no</w:t>
      </w:r>
      <w:r>
        <w:t xml:space="preserve"> entity with regulated ILEC assets will be added as a guarantor. </w:t>
      </w:r>
    </w:p>
    <w:p w:rsidR="00CF0894" w:rsidRDefault="00CF0894" w:rsidP="00E14679">
      <w:pPr>
        <w:pStyle w:val="FootnoteText"/>
        <w:tabs>
          <w:tab w:val="left" w:pos="360"/>
        </w:tabs>
        <w:ind w:left="360" w:hanging="360"/>
      </w:pPr>
    </w:p>
  </w:footnote>
  <w:footnote w:id="37">
    <w:p w:rsidR="00CF0894" w:rsidRDefault="00CF0894" w:rsidP="00E14679">
      <w:pPr>
        <w:pStyle w:val="FootnoteText"/>
        <w:tabs>
          <w:tab w:val="left" w:pos="360"/>
        </w:tabs>
        <w:ind w:left="360" w:hanging="360"/>
      </w:pPr>
      <w:r>
        <w:rPr>
          <w:rStyle w:val="FootnoteReference"/>
        </w:rPr>
        <w:footnoteRef/>
      </w:r>
      <w:r>
        <w:tab/>
        <w:t>Exhibit MJB-4, p. 8.</w:t>
      </w:r>
    </w:p>
    <w:p w:rsidR="00CF0894" w:rsidRDefault="00CF0894" w:rsidP="00E14679">
      <w:pPr>
        <w:pStyle w:val="FootnoteText"/>
        <w:tabs>
          <w:tab w:val="left" w:pos="360"/>
        </w:tabs>
        <w:ind w:left="360" w:hanging="360"/>
      </w:pPr>
    </w:p>
  </w:footnote>
  <w:footnote w:id="38">
    <w:p w:rsidR="00CF0894" w:rsidRPr="00BF3756" w:rsidRDefault="00CF0894" w:rsidP="00E14679">
      <w:pPr>
        <w:pStyle w:val="FootnoteText"/>
        <w:tabs>
          <w:tab w:val="left" w:pos="360"/>
        </w:tabs>
        <w:ind w:left="360" w:hanging="360"/>
        <w:rPr>
          <w:i/>
        </w:rPr>
      </w:pPr>
      <w:r>
        <w:rPr>
          <w:rStyle w:val="FootnoteReference"/>
        </w:rPr>
        <w:footnoteRef/>
      </w:r>
      <w:r>
        <w:tab/>
        <w:t xml:space="preserve">CenturyLink September 30, 2016 SEC Form 10-Q, available at </w:t>
      </w:r>
      <w:hyperlink r:id="rId12" w:history="1">
        <w:r w:rsidRPr="001353D8">
          <w:rPr>
            <w:rStyle w:val="Hyperlink"/>
          </w:rPr>
          <w:t>https://www.sec.gov/Archives/edgar/data/18926/000001892616000070/ctl2016093010q.htm</w:t>
        </w:r>
      </w:hyperlink>
      <w:r>
        <w:t>, p. 23; “</w:t>
      </w:r>
      <w:r w:rsidRPr="00C0524A">
        <w:t>On November 3, 2016, we entered into a definitive stock purchase agreement with a consortium led by BC Partners, Inc. and Medina Capital ("Purchaser") under which we propose to sell our data centers and colocation business for cash and equity valued at $2.3 billion, subject to offsets for the capital lease obligations described below and various working capital and other adjustments. The assets that will be sold and the liabilities to be assumed are currently included in our continuing operations. As part of the transaction, Purchaser will assume our capital lease obligations, which amounted to $320 million as of September 30, 2016, related to the properties that we will sell. The parties anticipate closing the transaction in the first quarter of 2017</w:t>
      </w:r>
      <w:r>
        <w:t>.”</w:t>
      </w:r>
    </w:p>
  </w:footnote>
  <w:footnote w:id="39">
    <w:p w:rsidR="00CF0894" w:rsidRDefault="00CF0894" w:rsidP="00E14679">
      <w:pPr>
        <w:pStyle w:val="FootnoteText"/>
        <w:tabs>
          <w:tab w:val="left" w:pos="360"/>
        </w:tabs>
        <w:ind w:left="360" w:hanging="360"/>
      </w:pPr>
      <w:r>
        <w:rPr>
          <w:rStyle w:val="FootnoteReference"/>
        </w:rPr>
        <w:footnoteRef/>
      </w:r>
      <w:r>
        <w:tab/>
        <w:t xml:space="preserve">Level 3 February 8, 2017 SEC Form 8-K, Exhibit 99.1, available at </w:t>
      </w:r>
      <w:r w:rsidRPr="00B621AE">
        <w:t>https://www.sec.gov/Archives/edgar/data/794323/000110465917007444/a17-3949_1ex99d1.htm</w:t>
      </w:r>
      <w:r>
        <w:t xml:space="preserve">, pp. 1, 13, 16. Adjusted EBITDA is earnings before interest, taxes, depreciation and amortization, which is further adjusted to exclude non-cash compensation expense and </w:t>
      </w:r>
      <w:r w:rsidRPr="0028578C">
        <w:t>$15 million of CenturyLink acquisition-related expenses</w:t>
      </w:r>
      <w:r>
        <w:t>.</w:t>
      </w:r>
    </w:p>
    <w:p w:rsidR="00CF0894" w:rsidRDefault="00CF0894" w:rsidP="00E14679">
      <w:pPr>
        <w:pStyle w:val="FootnoteText"/>
        <w:tabs>
          <w:tab w:val="left" w:pos="360"/>
        </w:tabs>
        <w:ind w:left="360" w:hanging="360"/>
      </w:pPr>
    </w:p>
  </w:footnote>
  <w:footnote w:id="40">
    <w:p w:rsidR="00CF0894" w:rsidRDefault="00CF0894" w:rsidP="00E14679">
      <w:pPr>
        <w:pStyle w:val="FootnoteText"/>
        <w:tabs>
          <w:tab w:val="left" w:pos="360"/>
        </w:tabs>
        <w:ind w:left="360" w:hanging="360"/>
      </w:pPr>
      <w:r>
        <w:rPr>
          <w:rStyle w:val="FootnoteReference"/>
        </w:rPr>
        <w:footnoteRef/>
      </w:r>
      <w:r>
        <w:tab/>
        <w:t>Exhibit MJB-4, p. 20.</w:t>
      </w:r>
    </w:p>
    <w:p w:rsidR="00CF0894" w:rsidRDefault="00CF0894" w:rsidP="00E14679">
      <w:pPr>
        <w:pStyle w:val="FootnoteText"/>
        <w:tabs>
          <w:tab w:val="left" w:pos="360"/>
        </w:tabs>
        <w:ind w:left="360" w:hanging="360"/>
      </w:pPr>
    </w:p>
  </w:footnote>
  <w:footnote w:id="41">
    <w:p w:rsidR="00CF0894" w:rsidRDefault="00CF0894" w:rsidP="00E14679">
      <w:pPr>
        <w:pStyle w:val="FootnoteText"/>
        <w:tabs>
          <w:tab w:val="left" w:pos="360"/>
        </w:tabs>
        <w:ind w:left="360" w:hanging="360"/>
      </w:pPr>
      <w:r>
        <w:rPr>
          <w:rStyle w:val="FootnoteReference"/>
        </w:rPr>
        <w:footnoteRef/>
      </w:r>
      <w:r>
        <w:tab/>
        <w:t>Exhibit MJB-4, p. 7.</w:t>
      </w:r>
    </w:p>
  </w:footnote>
  <w:footnote w:id="42">
    <w:p w:rsidR="00CF0894" w:rsidRDefault="00CF0894" w:rsidP="00E14679">
      <w:pPr>
        <w:pStyle w:val="FootnoteText"/>
        <w:tabs>
          <w:tab w:val="left" w:pos="360"/>
        </w:tabs>
      </w:pPr>
      <w:r>
        <w:rPr>
          <w:rStyle w:val="FootnoteReference"/>
        </w:rPr>
        <w:footnoteRef/>
      </w:r>
      <w:r>
        <w:tab/>
        <w:t>Exhibit MJB-3, slide 16.</w:t>
      </w:r>
    </w:p>
    <w:p w:rsidR="00CF0894" w:rsidRDefault="00CF0894" w:rsidP="00E14679">
      <w:pPr>
        <w:pStyle w:val="FootnoteText"/>
        <w:tabs>
          <w:tab w:val="left" w:pos="360"/>
        </w:tabs>
      </w:pPr>
    </w:p>
  </w:footnote>
  <w:footnote w:id="43">
    <w:p w:rsidR="00CF0894" w:rsidRDefault="00CF0894" w:rsidP="00E14679">
      <w:pPr>
        <w:pStyle w:val="FootnoteText"/>
        <w:tabs>
          <w:tab w:val="left" w:pos="360"/>
        </w:tabs>
        <w:rPr>
          <w:i/>
        </w:rPr>
      </w:pPr>
      <w:r>
        <w:rPr>
          <w:rStyle w:val="FootnoteReference"/>
        </w:rPr>
        <w:footnoteRef/>
      </w:r>
      <w:r>
        <w:tab/>
      </w:r>
      <w:r>
        <w:rPr>
          <w:i/>
        </w:rPr>
        <w:t>Id.</w:t>
      </w:r>
    </w:p>
    <w:p w:rsidR="00CF0894" w:rsidRPr="00FA614E" w:rsidRDefault="00CF0894" w:rsidP="00E14679">
      <w:pPr>
        <w:pStyle w:val="FootnoteText"/>
        <w:tabs>
          <w:tab w:val="left" w:pos="360"/>
        </w:tabs>
        <w:rPr>
          <w:i/>
        </w:rPr>
      </w:pPr>
    </w:p>
  </w:footnote>
  <w:footnote w:id="44">
    <w:p w:rsidR="00CF0894" w:rsidRDefault="00CF0894" w:rsidP="00E14679">
      <w:pPr>
        <w:pStyle w:val="FootnoteText"/>
        <w:tabs>
          <w:tab w:val="left" w:pos="360"/>
        </w:tabs>
      </w:pPr>
      <w:r>
        <w:rPr>
          <w:rStyle w:val="FootnoteReference"/>
        </w:rPr>
        <w:footnoteRef/>
      </w:r>
      <w:r>
        <w:tab/>
        <w:t>Exhibit MJB-3, slide 10.</w:t>
      </w:r>
    </w:p>
    <w:p w:rsidR="00CF0894" w:rsidRDefault="00CF0894" w:rsidP="00E14679">
      <w:pPr>
        <w:pStyle w:val="FootnoteText"/>
        <w:tabs>
          <w:tab w:val="left" w:pos="360"/>
        </w:tabs>
      </w:pPr>
    </w:p>
  </w:footnote>
  <w:footnote w:id="45">
    <w:p w:rsidR="00CF0894" w:rsidRDefault="00CF0894" w:rsidP="00E14679">
      <w:pPr>
        <w:pStyle w:val="FootnoteText"/>
        <w:tabs>
          <w:tab w:val="left" w:pos="360"/>
        </w:tabs>
      </w:pPr>
      <w:r>
        <w:rPr>
          <w:rStyle w:val="FootnoteReference"/>
        </w:rPr>
        <w:footnoteRef/>
      </w:r>
      <w:r>
        <w:tab/>
      </w:r>
      <w:proofErr w:type="gramStart"/>
      <w:r>
        <w:rPr>
          <w:i/>
        </w:rPr>
        <w:t>Id.</w:t>
      </w:r>
      <w:r>
        <w:t>, slides 11, 16.</w:t>
      </w:r>
      <w:proofErr w:type="gramEnd"/>
    </w:p>
    <w:p w:rsidR="00CF0894" w:rsidRPr="00DA1DE4" w:rsidRDefault="00CF0894" w:rsidP="00E14679">
      <w:pPr>
        <w:pStyle w:val="FootnoteText"/>
        <w:tabs>
          <w:tab w:val="left" w:pos="360"/>
        </w:tabs>
      </w:pPr>
    </w:p>
  </w:footnote>
  <w:footnote w:id="46">
    <w:p w:rsidR="00CF0894" w:rsidRDefault="00CF0894" w:rsidP="00E14679">
      <w:pPr>
        <w:pStyle w:val="FootnoteText"/>
        <w:tabs>
          <w:tab w:val="left" w:pos="360"/>
        </w:tabs>
        <w:rPr>
          <w:i/>
        </w:rPr>
      </w:pPr>
      <w:r>
        <w:rPr>
          <w:rStyle w:val="FootnoteReference"/>
        </w:rPr>
        <w:footnoteRef/>
      </w:r>
      <w:r>
        <w:tab/>
      </w:r>
      <w:r>
        <w:rPr>
          <w:i/>
        </w:rPr>
        <w:t>Id.</w:t>
      </w:r>
    </w:p>
    <w:p w:rsidR="00CF0894" w:rsidRDefault="00CF0894" w:rsidP="00E14679">
      <w:pPr>
        <w:pStyle w:val="FootnoteText"/>
        <w:tabs>
          <w:tab w:val="left" w:pos="360"/>
        </w:tabs>
      </w:pPr>
    </w:p>
  </w:footnote>
  <w:footnote w:id="47">
    <w:p w:rsidR="00CF0894" w:rsidRDefault="00CF0894" w:rsidP="00E14679">
      <w:pPr>
        <w:pStyle w:val="FootnoteText"/>
        <w:tabs>
          <w:tab w:val="left" w:pos="360"/>
        </w:tabs>
      </w:pPr>
      <w:r>
        <w:rPr>
          <w:rStyle w:val="FootnoteReference"/>
        </w:rPr>
        <w:footnoteRef/>
      </w:r>
      <w:r>
        <w:tab/>
      </w:r>
      <w:proofErr w:type="gramStart"/>
      <w:r>
        <w:rPr>
          <w:i/>
        </w:rPr>
        <w:t>Id.</w:t>
      </w:r>
      <w:r>
        <w:t>, slide 11.</w:t>
      </w:r>
      <w:proofErr w:type="gramEnd"/>
      <w:r>
        <w:t xml:space="preserve"> </w:t>
      </w:r>
    </w:p>
  </w:footnote>
  <w:footnote w:id="48">
    <w:p w:rsidR="00CF0894" w:rsidRDefault="00CF0894" w:rsidP="00E14679">
      <w:pPr>
        <w:pStyle w:val="FootnoteText"/>
        <w:tabs>
          <w:tab w:val="left" w:pos="360"/>
        </w:tabs>
        <w:ind w:left="360" w:hanging="360"/>
      </w:pPr>
      <w:r>
        <w:rPr>
          <w:rStyle w:val="FootnoteReference"/>
        </w:rPr>
        <w:footnoteRef/>
      </w:r>
      <w:r>
        <w:tab/>
        <w:t>See footnote</w:t>
      </w:r>
      <w:r>
        <w:fldChar w:fldCharType="begin"/>
      </w:r>
      <w:r>
        <w:instrText xml:space="preserve"> NOTEREF _Ref472615147 \h </w:instrText>
      </w:r>
      <w:r>
        <w:fldChar w:fldCharType="separate"/>
      </w:r>
      <w:r>
        <w:t>23</w:t>
      </w:r>
      <w:r>
        <w:fldChar w:fldCharType="end"/>
      </w:r>
      <w:r>
        <w:t xml:space="preserve">, </w:t>
      </w:r>
      <w:r>
        <w:rPr>
          <w:i/>
        </w:rPr>
        <w:t>supra</w:t>
      </w:r>
      <w:r>
        <w:t>, which clarifies that CenturyLink is not expected to realize all its run-rate synergies at the Merger’s close, and therefore the actual leverage ratio is expected to be modestly higher than the pro forma estimate of 3.7 times.</w:t>
      </w:r>
    </w:p>
    <w:p w:rsidR="00CF0894" w:rsidRPr="00FE31E4" w:rsidRDefault="00CF0894" w:rsidP="00E14679">
      <w:pPr>
        <w:pStyle w:val="FootnoteText"/>
        <w:tabs>
          <w:tab w:val="left" w:pos="360"/>
        </w:tabs>
        <w:ind w:left="360" w:hanging="360"/>
      </w:pPr>
    </w:p>
  </w:footnote>
  <w:footnote w:id="49">
    <w:p w:rsidR="00CF0894" w:rsidRDefault="00CF0894" w:rsidP="00E14679">
      <w:pPr>
        <w:pStyle w:val="FootnoteText"/>
        <w:tabs>
          <w:tab w:val="left" w:pos="360"/>
        </w:tabs>
        <w:ind w:left="360" w:hanging="360"/>
      </w:pPr>
      <w:r>
        <w:rPr>
          <w:rStyle w:val="FootnoteReference"/>
        </w:rPr>
        <w:footnoteRef/>
      </w:r>
      <w:r>
        <w:tab/>
        <w:t>Exhibit MJB-4, p. 3: “We believe the transaction or the strategic combination, rather will significantly improve CenturyLink’s growth profile and better position to combine company, to improve its revenue growth, trend and drive meaningful operating cash flow growth in the first full year post-closing, including synergies as realized and including integration costs.  Additionally, we believe the combined company will be able to achieve more than 10 percent growth and free cash flow per share in the full year post-closing, including synergies as realized and again, including integration costs. We also expect this combination to drive significant improvement in free cash flow per share in subsequent years. . . . Together, we expect to be able to leverage Level 3’s and CenturyLink’s strong product portfolios across our combined customer bases. In addition, the increased network scale will provide advantages for our customers in numerous ways.”</w:t>
      </w:r>
    </w:p>
    <w:p w:rsidR="00CF0894" w:rsidRDefault="00CF0894" w:rsidP="00E14679">
      <w:pPr>
        <w:pStyle w:val="FootnoteText"/>
        <w:tabs>
          <w:tab w:val="left" w:pos="360"/>
        </w:tabs>
        <w:ind w:left="360" w:hanging="360"/>
      </w:pPr>
    </w:p>
  </w:footnote>
  <w:footnote w:id="50">
    <w:p w:rsidR="00CF0894" w:rsidRDefault="00CF0894" w:rsidP="00E14679">
      <w:pPr>
        <w:pStyle w:val="FootnoteText"/>
        <w:tabs>
          <w:tab w:val="left" w:pos="360"/>
        </w:tabs>
        <w:ind w:left="360" w:hanging="360"/>
      </w:pPr>
      <w:r>
        <w:rPr>
          <w:rStyle w:val="FootnoteReference"/>
        </w:rPr>
        <w:footnoteRef/>
      </w:r>
      <w:r>
        <w:tab/>
        <w:t>Exhibit MJB-4, p. 23.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894" w:rsidRDefault="00CF0894" w:rsidP="00D935B0">
    <w:pPr>
      <w:pStyle w:val="Header"/>
      <w:tabs>
        <w:tab w:val="clear" w:pos="8640"/>
      </w:tabs>
      <w:ind w:right="-720"/>
      <w:jc w:val="right"/>
    </w:pPr>
    <w:r>
      <w:t>UT-170042</w:t>
    </w:r>
  </w:p>
  <w:p w:rsidR="00CF0894" w:rsidRDefault="00CF0894" w:rsidP="00D935B0">
    <w:pPr>
      <w:pStyle w:val="Header"/>
      <w:tabs>
        <w:tab w:val="clear" w:pos="8640"/>
      </w:tabs>
      <w:ind w:right="-720"/>
      <w:jc w:val="right"/>
    </w:pPr>
    <w:r>
      <w:t>Exhibit MJB-1T</w:t>
    </w:r>
  </w:p>
  <w:p w:rsidR="00CF0894" w:rsidRDefault="00CF0894" w:rsidP="00D935B0">
    <w:pPr>
      <w:pStyle w:val="Header"/>
      <w:tabs>
        <w:tab w:val="clear" w:pos="8640"/>
      </w:tabs>
      <w:ind w:right="-720"/>
      <w:jc w:val="right"/>
    </w:pPr>
  </w:p>
  <w:p w:rsidR="00CF0894" w:rsidRDefault="00CF0894" w:rsidP="00D935B0">
    <w:pPr>
      <w:pStyle w:val="Header"/>
      <w:tabs>
        <w:tab w:val="clear" w:pos="8640"/>
      </w:tabs>
      <w:ind w:right="-72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894" w:rsidRDefault="00CF0894" w:rsidP="00D26A32">
    <w:pPr>
      <w:pStyle w:val="Header"/>
      <w:tabs>
        <w:tab w:val="clear" w:pos="8640"/>
      </w:tabs>
      <w:ind w:right="-720"/>
      <w:jc w:val="right"/>
    </w:pPr>
    <w:r>
      <w:t>UT-170042</w:t>
    </w:r>
  </w:p>
  <w:p w:rsidR="00CF0894" w:rsidRDefault="00CF0894" w:rsidP="00D26A32">
    <w:pPr>
      <w:pStyle w:val="Header"/>
      <w:tabs>
        <w:tab w:val="clear" w:pos="8640"/>
      </w:tabs>
      <w:ind w:right="-720"/>
      <w:jc w:val="right"/>
    </w:pPr>
    <w:r>
      <w:t>Exhibit MJB-1T</w:t>
    </w:r>
  </w:p>
  <w:p w:rsidR="00CF0894" w:rsidRDefault="00CF0894" w:rsidP="00D26A32">
    <w:pPr>
      <w:pStyle w:val="Header"/>
      <w:tabs>
        <w:tab w:val="clear" w:pos="8640"/>
      </w:tabs>
      <w:ind w:right="-720"/>
      <w:jc w:val="right"/>
    </w:pPr>
  </w:p>
  <w:p w:rsidR="00CF0894" w:rsidRDefault="00CF0894" w:rsidP="00D26A32">
    <w:pPr>
      <w:pStyle w:val="Header"/>
      <w:tabs>
        <w:tab w:val="clear" w:pos="8640"/>
      </w:tabs>
      <w:ind w:right="-72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894" w:rsidRPr="00737198" w:rsidRDefault="00CF0894" w:rsidP="00D26A32">
    <w:pPr>
      <w:pStyle w:val="Header"/>
      <w:tabs>
        <w:tab w:val="clear" w:pos="4320"/>
        <w:tab w:val="clear" w:pos="8640"/>
      </w:tabs>
      <w:ind w:right="-720"/>
      <w:jc w:val="right"/>
      <w:rPr>
        <w:sz w:val="22"/>
        <w:szCs w:val="22"/>
      </w:rPr>
    </w:pPr>
    <w:r w:rsidRPr="00737198">
      <w:rPr>
        <w:sz w:val="22"/>
        <w:szCs w:val="22"/>
      </w:rPr>
      <w:t>Docket No. UT-170042</w:t>
    </w:r>
  </w:p>
  <w:p w:rsidR="00CF0894" w:rsidRPr="00737198" w:rsidRDefault="00CF0894" w:rsidP="00D26A32">
    <w:pPr>
      <w:pStyle w:val="Header"/>
      <w:tabs>
        <w:tab w:val="clear" w:pos="4320"/>
        <w:tab w:val="clear" w:pos="8640"/>
      </w:tabs>
      <w:ind w:right="-720"/>
      <w:jc w:val="right"/>
      <w:rPr>
        <w:sz w:val="22"/>
        <w:szCs w:val="22"/>
      </w:rPr>
    </w:pPr>
    <w:r w:rsidRPr="00737198">
      <w:rPr>
        <w:sz w:val="22"/>
        <w:szCs w:val="22"/>
      </w:rPr>
      <w:tab/>
    </w:r>
    <w:r w:rsidRPr="00737198">
      <w:rPr>
        <w:sz w:val="22"/>
        <w:szCs w:val="22"/>
      </w:rPr>
      <w:tab/>
      <w:t>Joint Applicant CenturyLink</w:t>
    </w:r>
  </w:p>
  <w:p w:rsidR="00CF0894" w:rsidRPr="00737198" w:rsidRDefault="00CF0894" w:rsidP="00D26A32">
    <w:pPr>
      <w:pStyle w:val="Header"/>
      <w:tabs>
        <w:tab w:val="clear" w:pos="4320"/>
        <w:tab w:val="clear" w:pos="8640"/>
      </w:tabs>
      <w:ind w:right="-720"/>
      <w:jc w:val="right"/>
      <w:rPr>
        <w:sz w:val="22"/>
        <w:szCs w:val="22"/>
      </w:rPr>
    </w:pPr>
    <w:r w:rsidRPr="00737198">
      <w:rPr>
        <w:sz w:val="22"/>
        <w:szCs w:val="22"/>
      </w:rPr>
      <w:tab/>
    </w:r>
    <w:r w:rsidRPr="00737198">
      <w:rPr>
        <w:sz w:val="22"/>
        <w:szCs w:val="22"/>
      </w:rPr>
      <w:tab/>
      <w:t xml:space="preserve"> Direct Testimony of Michael J. Balhoff Exhibit MJB-1T</w:t>
    </w:r>
  </w:p>
  <w:p w:rsidR="00CF0894" w:rsidRPr="00737198" w:rsidRDefault="00CF0894" w:rsidP="00D26A32">
    <w:pPr>
      <w:pStyle w:val="Header"/>
      <w:tabs>
        <w:tab w:val="clear" w:pos="4320"/>
        <w:tab w:val="clear" w:pos="8640"/>
      </w:tabs>
      <w:ind w:right="-720"/>
      <w:jc w:val="right"/>
      <w:rPr>
        <w:sz w:val="22"/>
        <w:szCs w:val="22"/>
      </w:rPr>
    </w:pPr>
    <w:r w:rsidRPr="00737198">
      <w:rPr>
        <w:sz w:val="22"/>
        <w:szCs w:val="22"/>
      </w:rPr>
      <w:tab/>
    </w:r>
    <w:r w:rsidRPr="00737198">
      <w:rPr>
        <w:sz w:val="22"/>
        <w:szCs w:val="22"/>
      </w:rPr>
      <w:tab/>
      <w:t xml:space="preserve">February 10, 2017, Page </w:t>
    </w:r>
    <w:r w:rsidRPr="00737198">
      <w:rPr>
        <w:rStyle w:val="PageNumber"/>
        <w:sz w:val="22"/>
        <w:szCs w:val="22"/>
      </w:rPr>
      <w:fldChar w:fldCharType="begin"/>
    </w:r>
    <w:r w:rsidRPr="00737198">
      <w:rPr>
        <w:rStyle w:val="PageNumber"/>
        <w:sz w:val="22"/>
        <w:szCs w:val="22"/>
      </w:rPr>
      <w:instrText xml:space="preserve">page </w:instrText>
    </w:r>
    <w:r w:rsidRPr="00737198">
      <w:rPr>
        <w:rStyle w:val="PageNumber"/>
        <w:sz w:val="22"/>
        <w:szCs w:val="22"/>
      </w:rPr>
      <w:fldChar w:fldCharType="separate"/>
    </w:r>
    <w:r w:rsidR="00A36C9D">
      <w:rPr>
        <w:rStyle w:val="PageNumber"/>
        <w:noProof/>
        <w:sz w:val="22"/>
        <w:szCs w:val="22"/>
      </w:rPr>
      <w:t>1</w:t>
    </w:r>
    <w:r w:rsidRPr="00737198">
      <w:rPr>
        <w:rStyle w:val="PageNumber"/>
        <w:sz w:val="22"/>
        <w:szCs w:val="22"/>
      </w:rPr>
      <w:fldChar w:fldCharType="end"/>
    </w:r>
  </w:p>
  <w:p w:rsidR="00CF0894" w:rsidRDefault="00CF08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F0A45"/>
    <w:multiLevelType w:val="hybridMultilevel"/>
    <w:tmpl w:val="6010B9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1171526"/>
    <w:multiLevelType w:val="hybridMultilevel"/>
    <w:tmpl w:val="1CC640E2"/>
    <w:lvl w:ilvl="0" w:tplc="DEE8E576">
      <w:start w:val="1"/>
      <w:numFmt w:val="decimal"/>
      <w:lvlText w:val="%1"/>
      <w:lvlJc w:val="left"/>
      <w:pPr>
        <w:tabs>
          <w:tab w:val="num" w:pos="360"/>
        </w:tabs>
        <w:ind w:left="36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DB280708">
      <w:start w:val="2"/>
      <w:numFmt w:val="upperLetter"/>
      <w:lvlText w:val="%3."/>
      <w:lvlJc w:val="left"/>
      <w:pPr>
        <w:ind w:left="2340" w:hanging="360"/>
      </w:pPr>
      <w:rPr>
        <w:rFonts w:hint="default"/>
      </w:rPr>
    </w:lvl>
    <w:lvl w:ilvl="3" w:tplc="E0140EC4">
      <w:start w:val="3"/>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517D62"/>
    <w:multiLevelType w:val="hybridMultilevel"/>
    <w:tmpl w:val="9D125110"/>
    <w:lvl w:ilvl="0" w:tplc="1A2417C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415EBE"/>
    <w:multiLevelType w:val="multilevel"/>
    <w:tmpl w:val="5F747726"/>
    <w:lvl w:ilvl="0">
      <w:start w:val="1"/>
      <w:numFmt w:val="upperRoman"/>
      <w:pStyle w:val="OutHead1"/>
      <w:lvlText w:val="%1."/>
      <w:lvlJc w:val="left"/>
      <w:pPr>
        <w:tabs>
          <w:tab w:val="num" w:pos="0"/>
        </w:tabs>
        <w:ind w:left="0" w:firstLine="0"/>
      </w:pPr>
      <w:rPr>
        <w:rFonts w:ascii="Times New Roman" w:hAnsi="Times New Roman"/>
        <w:b/>
        <w:i w:val="0"/>
        <w:caps/>
        <w:smallCaps w:val="0"/>
        <w:strike w:val="0"/>
        <w:dstrike w:val="0"/>
        <w:color w:val="000000"/>
        <w:sz w:val="24"/>
        <w:u w:val="none"/>
        <w:effect w:val="none"/>
        <w:vertAlign w:val="baseline"/>
      </w:rPr>
    </w:lvl>
    <w:lvl w:ilvl="1">
      <w:start w:val="1"/>
      <w:numFmt w:val="upperLetter"/>
      <w:pStyle w:val="OutHead2"/>
      <w:lvlText w:val="%2."/>
      <w:lvlJc w:val="left"/>
      <w:pPr>
        <w:tabs>
          <w:tab w:val="num" w:pos="1440"/>
        </w:tabs>
        <w:ind w:left="1440" w:hanging="720"/>
      </w:pPr>
      <w:rPr>
        <w:rFonts w:ascii="Times New Roman" w:hAnsi="Times New Roman"/>
        <w:b/>
        <w:i w:val="0"/>
        <w:caps w:val="0"/>
        <w:smallCaps w:val="0"/>
        <w:strike w:val="0"/>
        <w:dstrike w:val="0"/>
        <w:color w:val="000000"/>
        <w:sz w:val="24"/>
        <w:u w:val="none"/>
        <w:effect w:val="none"/>
        <w:vertAlign w:val="baseline"/>
      </w:rPr>
    </w:lvl>
    <w:lvl w:ilvl="2">
      <w:start w:val="1"/>
      <w:numFmt w:val="decimal"/>
      <w:pStyle w:val="OutHead3"/>
      <w:lvlText w:val="%3."/>
      <w:lvlJc w:val="left"/>
      <w:pPr>
        <w:tabs>
          <w:tab w:val="num" w:pos="2160"/>
        </w:tabs>
        <w:ind w:left="2160" w:hanging="720"/>
      </w:pPr>
      <w:rPr>
        <w:rFonts w:ascii="Times New Roman" w:hAnsi="Times New Roman"/>
        <w:b/>
        <w:i w:val="0"/>
        <w:caps w:val="0"/>
        <w:smallCaps w:val="0"/>
        <w:strike w:val="0"/>
        <w:dstrike w:val="0"/>
        <w:color w:val="000000"/>
        <w:sz w:val="24"/>
        <w:u w:val="none"/>
        <w:effect w:val="none"/>
        <w:vertAlign w:val="baseline"/>
      </w:rPr>
    </w:lvl>
    <w:lvl w:ilvl="3">
      <w:start w:val="1"/>
      <w:numFmt w:val="lowerLetter"/>
      <w:pStyle w:val="OutHead4"/>
      <w:lvlText w:val="%4."/>
      <w:lvlJc w:val="left"/>
      <w:pPr>
        <w:tabs>
          <w:tab w:val="num" w:pos="2880"/>
        </w:tabs>
        <w:ind w:left="2880" w:hanging="720"/>
      </w:pPr>
      <w:rPr>
        <w:rFonts w:ascii="Times New Roman" w:hAnsi="Times New Roman"/>
        <w:b/>
        <w:i w:val="0"/>
        <w:caps w:val="0"/>
        <w:smallCaps w:val="0"/>
        <w:strike w:val="0"/>
        <w:dstrike w:val="0"/>
        <w:color w:val="000000"/>
        <w:sz w:val="24"/>
        <w:u w:val="none"/>
        <w:effect w:val="none"/>
        <w:vertAlign w:val="baseline"/>
      </w:rPr>
    </w:lvl>
    <w:lvl w:ilvl="4">
      <w:start w:val="1"/>
      <w:numFmt w:val="decimal"/>
      <w:pStyle w:val="OutHead5"/>
      <w:lvlText w:val="(%5)"/>
      <w:lvlJc w:val="left"/>
      <w:pPr>
        <w:tabs>
          <w:tab w:val="num" w:pos="3600"/>
        </w:tabs>
        <w:ind w:left="3600" w:hanging="720"/>
      </w:pPr>
      <w:rPr>
        <w:rFonts w:ascii="Times New Roman" w:hAnsi="Times New Roman"/>
        <w:b/>
        <w:i w:val="0"/>
        <w:caps w:val="0"/>
        <w:smallCaps w:val="0"/>
        <w:strike w:val="0"/>
        <w:dstrike w:val="0"/>
        <w:color w:val="000000"/>
        <w:sz w:val="24"/>
        <w:u w:val="none"/>
        <w:effect w:val="none"/>
        <w:vertAlign w:val="baseline"/>
      </w:rPr>
    </w:lvl>
    <w:lvl w:ilvl="5">
      <w:start w:val="1"/>
      <w:numFmt w:val="lowerLetter"/>
      <w:pStyle w:val="OutHead6"/>
      <w:lvlText w:val="(%6)"/>
      <w:lvlJc w:val="left"/>
      <w:pPr>
        <w:tabs>
          <w:tab w:val="num" w:pos="4320"/>
        </w:tabs>
        <w:ind w:left="4320" w:hanging="720"/>
      </w:pPr>
      <w:rPr>
        <w:rFonts w:ascii="Times New Roman" w:hAnsi="Times New Roman"/>
        <w:b/>
        <w:i w:val="0"/>
        <w:caps w:val="0"/>
        <w:smallCaps w:val="0"/>
        <w:strike w:val="0"/>
        <w:dstrike w:val="0"/>
        <w:color w:val="000000"/>
        <w:sz w:val="24"/>
        <w:u w:val="none"/>
        <w:effect w:val="none"/>
        <w:vertAlign w:val="baseline"/>
      </w:rPr>
    </w:lvl>
    <w:lvl w:ilvl="6">
      <w:start w:val="1"/>
      <w:numFmt w:val="lowerRoman"/>
      <w:pStyle w:val="OutHead7"/>
      <w:lvlText w:val="%7)"/>
      <w:lvlJc w:val="left"/>
      <w:pPr>
        <w:tabs>
          <w:tab w:val="num" w:pos="5040"/>
        </w:tabs>
        <w:ind w:left="5040" w:hanging="720"/>
      </w:pPr>
      <w:rPr>
        <w:rFonts w:ascii="Times New Roman" w:hAnsi="Times New Roman"/>
        <w:b/>
        <w:i w:val="0"/>
        <w:caps w:val="0"/>
        <w:smallCaps w:val="0"/>
        <w:strike w:val="0"/>
        <w:dstrike w:val="0"/>
        <w:color w:val="000000"/>
        <w:sz w:val="24"/>
        <w:u w:val="none"/>
        <w:effect w:val="none"/>
        <w:vertAlign w:val="baseline"/>
      </w:rPr>
    </w:lvl>
    <w:lvl w:ilvl="7">
      <w:start w:val="1"/>
      <w:numFmt w:val="lowerLetter"/>
      <w:pStyle w:val="OutHead8"/>
      <w:lvlText w:val="%8)"/>
      <w:lvlJc w:val="left"/>
      <w:pPr>
        <w:tabs>
          <w:tab w:val="num" w:pos="5760"/>
        </w:tabs>
        <w:ind w:left="5760" w:hanging="720"/>
      </w:pPr>
      <w:rPr>
        <w:rFonts w:ascii="Times New Roman" w:hAnsi="Times New Roman"/>
        <w:b/>
        <w:i w:val="0"/>
        <w:caps w:val="0"/>
        <w:smallCaps w:val="0"/>
        <w:strike w:val="0"/>
        <w:dstrike w:val="0"/>
        <w:color w:val="000000"/>
        <w:sz w:val="24"/>
        <w:u w:val="none"/>
        <w:effect w:val="none"/>
        <w:vertAlign w:val="baseline"/>
      </w:rPr>
    </w:lvl>
    <w:lvl w:ilvl="8">
      <w:start w:val="1"/>
      <w:numFmt w:val="lowerRoman"/>
      <w:lvlText w:val="%9."/>
      <w:lvlJc w:val="left"/>
      <w:pPr>
        <w:tabs>
          <w:tab w:val="num" w:pos="3240"/>
        </w:tabs>
        <w:ind w:left="3240" w:hanging="360"/>
      </w:pPr>
    </w:lvl>
  </w:abstractNum>
  <w:abstractNum w:abstractNumId="4">
    <w:nsid w:val="3B6261A3"/>
    <w:multiLevelType w:val="hybridMultilevel"/>
    <w:tmpl w:val="BC9E75C4"/>
    <w:lvl w:ilvl="0" w:tplc="04090015">
      <w:start w:val="17"/>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2CA08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41356B1"/>
    <w:multiLevelType w:val="multilevel"/>
    <w:tmpl w:val="5BF65C5C"/>
    <w:lvl w:ilvl="0">
      <w:start w:val="1"/>
      <w:numFmt w:val="upperRoman"/>
      <w:lvlText w:val="%1."/>
      <w:lvlJc w:val="left"/>
      <w:pPr>
        <w:tabs>
          <w:tab w:val="num" w:pos="720"/>
        </w:tabs>
        <w:ind w:left="720" w:hanging="720"/>
      </w:pPr>
      <w:rPr>
        <w:rFonts w:ascii="Times New Roman" w:hAnsi="Times New Roman"/>
        <w:b/>
        <w:i w:val="0"/>
        <w:caps/>
        <w:smallCaps w:val="0"/>
        <w:color w:val="000000"/>
        <w:sz w:val="24"/>
        <w:u w:val="none"/>
      </w:rPr>
    </w:lvl>
    <w:lvl w:ilvl="1">
      <w:start w:val="1"/>
      <w:numFmt w:val="upperLetter"/>
      <w:lvlText w:val="%2."/>
      <w:lvlJc w:val="left"/>
      <w:pPr>
        <w:tabs>
          <w:tab w:val="num" w:pos="1440"/>
        </w:tabs>
        <w:ind w:left="1440" w:hanging="720"/>
      </w:pPr>
      <w:rPr>
        <w:rFonts w:ascii="Times New Roman" w:hAnsi="Times New Roman"/>
        <w:b/>
        <w:i w:val="0"/>
        <w:caps w:val="0"/>
        <w:smallCaps w:val="0"/>
        <w:color w:val="000000"/>
        <w:sz w:val="24"/>
        <w:u w:val="none"/>
      </w:rPr>
    </w:lvl>
    <w:lvl w:ilvl="2">
      <w:start w:val="1"/>
      <w:numFmt w:val="decimal"/>
      <w:lvlText w:val="%3."/>
      <w:lvlJc w:val="left"/>
      <w:pPr>
        <w:tabs>
          <w:tab w:val="num" w:pos="2160"/>
        </w:tabs>
        <w:ind w:left="2160" w:hanging="720"/>
      </w:pPr>
      <w:rPr>
        <w:rFonts w:ascii="Times New Roman" w:hAnsi="Times New Roman"/>
        <w:b/>
        <w:i w:val="0"/>
        <w:caps w:val="0"/>
        <w:color w:val="000000"/>
        <w:sz w:val="24"/>
        <w:u w:val="none"/>
      </w:rPr>
    </w:lvl>
    <w:lvl w:ilvl="3">
      <w:start w:val="1"/>
      <w:numFmt w:val="lowerLetter"/>
      <w:lvlText w:val="%4."/>
      <w:lvlJc w:val="left"/>
      <w:pPr>
        <w:tabs>
          <w:tab w:val="num" w:pos="2880"/>
        </w:tabs>
        <w:ind w:left="2880" w:hanging="720"/>
      </w:pPr>
      <w:rPr>
        <w:rFonts w:ascii="Times New Roman" w:hAnsi="Times New Roman"/>
        <w:b w:val="0"/>
        <w:i w:val="0"/>
        <w:caps w:val="0"/>
        <w:smallCaps w:val="0"/>
        <w:color w:val="000000"/>
        <w:sz w:val="24"/>
        <w:u w:val="none"/>
      </w:rPr>
    </w:lvl>
    <w:lvl w:ilvl="4">
      <w:start w:val="1"/>
      <w:numFmt w:val="decimal"/>
      <w:lvlText w:val="(%5)"/>
      <w:lvlJc w:val="left"/>
      <w:pPr>
        <w:tabs>
          <w:tab w:val="num" w:pos="3600"/>
        </w:tabs>
        <w:ind w:left="3600" w:hanging="720"/>
      </w:pPr>
      <w:rPr>
        <w:rFonts w:ascii="Times New Roman" w:hAnsi="Times New Roman"/>
        <w:b w:val="0"/>
        <w:i w:val="0"/>
        <w:caps w:val="0"/>
        <w:color w:val="000000"/>
        <w:sz w:val="24"/>
        <w:u w:val="none"/>
      </w:rPr>
    </w:lvl>
    <w:lvl w:ilvl="5">
      <w:start w:val="1"/>
      <w:numFmt w:val="lowerLetter"/>
      <w:lvlText w:val="(%6)"/>
      <w:lvlJc w:val="left"/>
      <w:pPr>
        <w:tabs>
          <w:tab w:val="num" w:pos="4320"/>
        </w:tabs>
        <w:ind w:left="4320" w:hanging="720"/>
      </w:pPr>
      <w:rPr>
        <w:smallCaps w:val="0"/>
        <w:sz w:val="24"/>
      </w:rPr>
    </w:lvl>
    <w:lvl w:ilvl="6">
      <w:start w:val="1"/>
      <w:numFmt w:val="lowerRoman"/>
      <w:lvlText w:val="(%7)"/>
      <w:lvlJc w:val="left"/>
      <w:pPr>
        <w:tabs>
          <w:tab w:val="num" w:pos="5040"/>
        </w:tabs>
        <w:ind w:left="5040" w:hanging="720"/>
      </w:pPr>
      <w:rPr>
        <w:rFonts w:ascii="Times New Roman" w:hAnsi="Times New Roman"/>
        <w:smallCaps w:val="0"/>
        <w:sz w:val="24"/>
      </w:rPr>
    </w:lvl>
    <w:lvl w:ilvl="7">
      <w:start w:val="1"/>
      <w:numFmt w:val="lowerLetter"/>
      <w:lvlText w:val="%8)"/>
      <w:lvlJc w:val="left"/>
      <w:pPr>
        <w:tabs>
          <w:tab w:val="num" w:pos="5760"/>
        </w:tabs>
        <w:ind w:left="5760" w:hanging="720"/>
      </w:pPr>
      <w:rPr>
        <w:rFonts w:ascii="Times New Roman" w:hAnsi="Times New Roman"/>
        <w:caps/>
        <w:smallCaps w:val="0"/>
        <w:sz w:val="24"/>
      </w:rPr>
    </w:lvl>
    <w:lvl w:ilvl="8">
      <w:start w:val="1"/>
      <w:numFmt w:val="lowerRoman"/>
      <w:lvlText w:val="%9)"/>
      <w:lvlJc w:val="left"/>
      <w:pPr>
        <w:tabs>
          <w:tab w:val="num" w:pos="6480"/>
        </w:tabs>
        <w:ind w:left="6480" w:hanging="720"/>
      </w:pPr>
      <w:rPr>
        <w:smallCaps w:val="0"/>
      </w:rPr>
    </w:lvl>
  </w:abstractNum>
  <w:abstractNum w:abstractNumId="7">
    <w:nsid w:val="66D00D9E"/>
    <w:multiLevelType w:val="hybridMultilevel"/>
    <w:tmpl w:val="CEC86240"/>
    <w:lvl w:ilvl="0" w:tplc="ABDEE370">
      <w:start w:val="1"/>
      <w:numFmt w:val="decimal"/>
      <w:lvlText w:val="%1."/>
      <w:lvlJc w:val="left"/>
      <w:pPr>
        <w:tabs>
          <w:tab w:val="num" w:pos="720"/>
        </w:tabs>
        <w:ind w:left="720" w:hanging="360"/>
      </w:pPr>
      <w:rPr>
        <w:b w:val="0"/>
      </w:rPr>
    </w:lvl>
    <w:lvl w:ilvl="1" w:tplc="4EC8B40C">
      <w:start w:val="3"/>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A505F24"/>
    <w:multiLevelType w:val="hybridMultilevel"/>
    <w:tmpl w:val="64D6F5C0"/>
    <w:lvl w:ilvl="0" w:tplc="595A308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73382C"/>
    <w:multiLevelType w:val="hybridMultilevel"/>
    <w:tmpl w:val="77661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4"/>
  </w:num>
  <w:num w:numId="6">
    <w:abstractNumId w:val="8"/>
  </w:num>
  <w:num w:numId="7">
    <w:abstractNumId w:val="2"/>
  </w:num>
  <w:num w:numId="8">
    <w:abstractNumId w:val="9"/>
  </w:num>
  <w:num w:numId="9">
    <w:abstractNumId w:val="5"/>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el Balhoff">
    <w15:presenceInfo w15:providerId="Windows Live" w15:userId="0c2b3267382d98b7"/>
  </w15:person>
  <w15:person w15:author="bradpwilliams">
    <w15:presenceInfo w15:providerId="None" w15:userId="bradpwilliam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745D4"/>
    <w:rsid w:val="000033D3"/>
    <w:rsid w:val="0000349D"/>
    <w:rsid w:val="000042BD"/>
    <w:rsid w:val="00004A00"/>
    <w:rsid w:val="000050B1"/>
    <w:rsid w:val="0000584B"/>
    <w:rsid w:val="00006304"/>
    <w:rsid w:val="00010655"/>
    <w:rsid w:val="00010B53"/>
    <w:rsid w:val="00010DB1"/>
    <w:rsid w:val="00012F41"/>
    <w:rsid w:val="00015E29"/>
    <w:rsid w:val="00017F39"/>
    <w:rsid w:val="00022A55"/>
    <w:rsid w:val="00023268"/>
    <w:rsid w:val="00023B02"/>
    <w:rsid w:val="00024F64"/>
    <w:rsid w:val="00027F47"/>
    <w:rsid w:val="00030026"/>
    <w:rsid w:val="00031161"/>
    <w:rsid w:val="00034701"/>
    <w:rsid w:val="0003470A"/>
    <w:rsid w:val="00037AFD"/>
    <w:rsid w:val="00040193"/>
    <w:rsid w:val="00042E1D"/>
    <w:rsid w:val="00043DDC"/>
    <w:rsid w:val="00046400"/>
    <w:rsid w:val="00046491"/>
    <w:rsid w:val="00046FE6"/>
    <w:rsid w:val="000566CE"/>
    <w:rsid w:val="00056D3C"/>
    <w:rsid w:val="00060623"/>
    <w:rsid w:val="000638AE"/>
    <w:rsid w:val="00063CED"/>
    <w:rsid w:val="000651F0"/>
    <w:rsid w:val="000679B1"/>
    <w:rsid w:val="000745E0"/>
    <w:rsid w:val="00075A4A"/>
    <w:rsid w:val="000763E7"/>
    <w:rsid w:val="0007720A"/>
    <w:rsid w:val="00080B90"/>
    <w:rsid w:val="00080D70"/>
    <w:rsid w:val="000813A5"/>
    <w:rsid w:val="0008221E"/>
    <w:rsid w:val="000828D2"/>
    <w:rsid w:val="000834BA"/>
    <w:rsid w:val="000844A7"/>
    <w:rsid w:val="00086097"/>
    <w:rsid w:val="000870C7"/>
    <w:rsid w:val="00091153"/>
    <w:rsid w:val="0009343E"/>
    <w:rsid w:val="000935AB"/>
    <w:rsid w:val="00094B8A"/>
    <w:rsid w:val="00095F28"/>
    <w:rsid w:val="00096DB6"/>
    <w:rsid w:val="000B044E"/>
    <w:rsid w:val="000B1106"/>
    <w:rsid w:val="000B2232"/>
    <w:rsid w:val="000B300E"/>
    <w:rsid w:val="000B3049"/>
    <w:rsid w:val="000B34EA"/>
    <w:rsid w:val="000C2C22"/>
    <w:rsid w:val="000C3A19"/>
    <w:rsid w:val="000C41AE"/>
    <w:rsid w:val="000C6859"/>
    <w:rsid w:val="000D1FD9"/>
    <w:rsid w:val="000D35CF"/>
    <w:rsid w:val="000D4A01"/>
    <w:rsid w:val="000D4D03"/>
    <w:rsid w:val="000D500C"/>
    <w:rsid w:val="000D543A"/>
    <w:rsid w:val="000D5C09"/>
    <w:rsid w:val="000D695A"/>
    <w:rsid w:val="000E10A8"/>
    <w:rsid w:val="000E1E57"/>
    <w:rsid w:val="000E1ECC"/>
    <w:rsid w:val="000E24F2"/>
    <w:rsid w:val="000E2CC1"/>
    <w:rsid w:val="000E5E33"/>
    <w:rsid w:val="000E78DD"/>
    <w:rsid w:val="000F2D54"/>
    <w:rsid w:val="000F6EE4"/>
    <w:rsid w:val="000F7B64"/>
    <w:rsid w:val="000F7BF2"/>
    <w:rsid w:val="000F7EC0"/>
    <w:rsid w:val="0010076F"/>
    <w:rsid w:val="00101938"/>
    <w:rsid w:val="0010267F"/>
    <w:rsid w:val="00103BE3"/>
    <w:rsid w:val="0010418B"/>
    <w:rsid w:val="001045D6"/>
    <w:rsid w:val="00106831"/>
    <w:rsid w:val="00106E02"/>
    <w:rsid w:val="00107FDA"/>
    <w:rsid w:val="00110931"/>
    <w:rsid w:val="00110D89"/>
    <w:rsid w:val="00112618"/>
    <w:rsid w:val="0012132D"/>
    <w:rsid w:val="00123696"/>
    <w:rsid w:val="0012490A"/>
    <w:rsid w:val="001271AA"/>
    <w:rsid w:val="00130B11"/>
    <w:rsid w:val="0013179C"/>
    <w:rsid w:val="00132CC4"/>
    <w:rsid w:val="00132DFF"/>
    <w:rsid w:val="001330D3"/>
    <w:rsid w:val="00133B78"/>
    <w:rsid w:val="00136DCB"/>
    <w:rsid w:val="00136EE4"/>
    <w:rsid w:val="00137E5D"/>
    <w:rsid w:val="00140ECE"/>
    <w:rsid w:val="0014543A"/>
    <w:rsid w:val="001459DC"/>
    <w:rsid w:val="00145BC2"/>
    <w:rsid w:val="00150B10"/>
    <w:rsid w:val="00151B5A"/>
    <w:rsid w:val="00154BE0"/>
    <w:rsid w:val="001566D5"/>
    <w:rsid w:val="00156D77"/>
    <w:rsid w:val="00157417"/>
    <w:rsid w:val="001577DE"/>
    <w:rsid w:val="00157E08"/>
    <w:rsid w:val="00160571"/>
    <w:rsid w:val="00160F24"/>
    <w:rsid w:val="00162C36"/>
    <w:rsid w:val="00163F1C"/>
    <w:rsid w:val="00163F3F"/>
    <w:rsid w:val="00164BE9"/>
    <w:rsid w:val="001667DF"/>
    <w:rsid w:val="001732F3"/>
    <w:rsid w:val="0017415C"/>
    <w:rsid w:val="00175073"/>
    <w:rsid w:val="0018153F"/>
    <w:rsid w:val="001818AC"/>
    <w:rsid w:val="00181EE7"/>
    <w:rsid w:val="00182E06"/>
    <w:rsid w:val="001839A7"/>
    <w:rsid w:val="00184630"/>
    <w:rsid w:val="00185377"/>
    <w:rsid w:val="00185A1C"/>
    <w:rsid w:val="00186DE1"/>
    <w:rsid w:val="00190A45"/>
    <w:rsid w:val="00190A56"/>
    <w:rsid w:val="00190D18"/>
    <w:rsid w:val="0019128E"/>
    <w:rsid w:val="00191435"/>
    <w:rsid w:val="0019236A"/>
    <w:rsid w:val="001927C2"/>
    <w:rsid w:val="00193305"/>
    <w:rsid w:val="00195AB3"/>
    <w:rsid w:val="001972B6"/>
    <w:rsid w:val="001A0105"/>
    <w:rsid w:val="001A4D06"/>
    <w:rsid w:val="001A4E06"/>
    <w:rsid w:val="001A51D4"/>
    <w:rsid w:val="001A5919"/>
    <w:rsid w:val="001A657D"/>
    <w:rsid w:val="001B002F"/>
    <w:rsid w:val="001B3945"/>
    <w:rsid w:val="001B42B7"/>
    <w:rsid w:val="001B4B16"/>
    <w:rsid w:val="001B4BBC"/>
    <w:rsid w:val="001C2BD3"/>
    <w:rsid w:val="001C2D65"/>
    <w:rsid w:val="001C3F4D"/>
    <w:rsid w:val="001C4B7C"/>
    <w:rsid w:val="001C4CB4"/>
    <w:rsid w:val="001C5930"/>
    <w:rsid w:val="001C6236"/>
    <w:rsid w:val="001C67B8"/>
    <w:rsid w:val="001D0626"/>
    <w:rsid w:val="001D06E6"/>
    <w:rsid w:val="001D227A"/>
    <w:rsid w:val="001D2C37"/>
    <w:rsid w:val="001D3E64"/>
    <w:rsid w:val="001D41A0"/>
    <w:rsid w:val="001D5CA4"/>
    <w:rsid w:val="001D607C"/>
    <w:rsid w:val="001D7346"/>
    <w:rsid w:val="001E0CCC"/>
    <w:rsid w:val="001E13A3"/>
    <w:rsid w:val="001E2F40"/>
    <w:rsid w:val="001E3376"/>
    <w:rsid w:val="001E416B"/>
    <w:rsid w:val="001E6237"/>
    <w:rsid w:val="001F03A1"/>
    <w:rsid w:val="001F06EB"/>
    <w:rsid w:val="001F1C9C"/>
    <w:rsid w:val="001F1FED"/>
    <w:rsid w:val="001F24AC"/>
    <w:rsid w:val="001F57B6"/>
    <w:rsid w:val="001F61EE"/>
    <w:rsid w:val="001F6544"/>
    <w:rsid w:val="001F7801"/>
    <w:rsid w:val="001F7988"/>
    <w:rsid w:val="002005A9"/>
    <w:rsid w:val="00201945"/>
    <w:rsid w:val="00202093"/>
    <w:rsid w:val="00205CE5"/>
    <w:rsid w:val="00210F15"/>
    <w:rsid w:val="00212432"/>
    <w:rsid w:val="00213237"/>
    <w:rsid w:val="00216DD7"/>
    <w:rsid w:val="00217355"/>
    <w:rsid w:val="0022140A"/>
    <w:rsid w:val="00221FB2"/>
    <w:rsid w:val="00223AAA"/>
    <w:rsid w:val="0022671C"/>
    <w:rsid w:val="00227074"/>
    <w:rsid w:val="00227387"/>
    <w:rsid w:val="00227A03"/>
    <w:rsid w:val="002333E0"/>
    <w:rsid w:val="00233698"/>
    <w:rsid w:val="002337E1"/>
    <w:rsid w:val="00234663"/>
    <w:rsid w:val="00234763"/>
    <w:rsid w:val="00236F19"/>
    <w:rsid w:val="002370D3"/>
    <w:rsid w:val="002404E6"/>
    <w:rsid w:val="0024050F"/>
    <w:rsid w:val="002410B1"/>
    <w:rsid w:val="00241CD4"/>
    <w:rsid w:val="002425A3"/>
    <w:rsid w:val="002426F9"/>
    <w:rsid w:val="00243563"/>
    <w:rsid w:val="0024503B"/>
    <w:rsid w:val="00245555"/>
    <w:rsid w:val="00245F5B"/>
    <w:rsid w:val="00245F98"/>
    <w:rsid w:val="00246578"/>
    <w:rsid w:val="0024730B"/>
    <w:rsid w:val="0024796C"/>
    <w:rsid w:val="00255280"/>
    <w:rsid w:val="0025750D"/>
    <w:rsid w:val="00257539"/>
    <w:rsid w:val="00263AC6"/>
    <w:rsid w:val="00263DF7"/>
    <w:rsid w:val="0026748B"/>
    <w:rsid w:val="0026759E"/>
    <w:rsid w:val="00267B6F"/>
    <w:rsid w:val="00270B7E"/>
    <w:rsid w:val="0027156D"/>
    <w:rsid w:val="002736CD"/>
    <w:rsid w:val="002737AB"/>
    <w:rsid w:val="00273E9C"/>
    <w:rsid w:val="00274AAA"/>
    <w:rsid w:val="00276419"/>
    <w:rsid w:val="0028027C"/>
    <w:rsid w:val="00281E92"/>
    <w:rsid w:val="0028578C"/>
    <w:rsid w:val="00286236"/>
    <w:rsid w:val="002866AF"/>
    <w:rsid w:val="00286E8A"/>
    <w:rsid w:val="00293E51"/>
    <w:rsid w:val="00295921"/>
    <w:rsid w:val="002A238E"/>
    <w:rsid w:val="002A2991"/>
    <w:rsid w:val="002A31F2"/>
    <w:rsid w:val="002A345F"/>
    <w:rsid w:val="002A3540"/>
    <w:rsid w:val="002A5329"/>
    <w:rsid w:val="002A62CD"/>
    <w:rsid w:val="002B06D2"/>
    <w:rsid w:val="002B0DF8"/>
    <w:rsid w:val="002B252C"/>
    <w:rsid w:val="002B4112"/>
    <w:rsid w:val="002B42D0"/>
    <w:rsid w:val="002B4CB8"/>
    <w:rsid w:val="002B54BF"/>
    <w:rsid w:val="002B7673"/>
    <w:rsid w:val="002C01D7"/>
    <w:rsid w:val="002C097B"/>
    <w:rsid w:val="002C6B29"/>
    <w:rsid w:val="002C7201"/>
    <w:rsid w:val="002C7579"/>
    <w:rsid w:val="002D0D5A"/>
    <w:rsid w:val="002D26C7"/>
    <w:rsid w:val="002D3680"/>
    <w:rsid w:val="002D40C3"/>
    <w:rsid w:val="002D510D"/>
    <w:rsid w:val="002D5926"/>
    <w:rsid w:val="002D795E"/>
    <w:rsid w:val="002E0C80"/>
    <w:rsid w:val="002E0D4D"/>
    <w:rsid w:val="002E1767"/>
    <w:rsid w:val="002E3367"/>
    <w:rsid w:val="002E4BEB"/>
    <w:rsid w:val="002E6F8E"/>
    <w:rsid w:val="002F24B7"/>
    <w:rsid w:val="002F294C"/>
    <w:rsid w:val="002F2B1C"/>
    <w:rsid w:val="002F49EB"/>
    <w:rsid w:val="002F63AB"/>
    <w:rsid w:val="002F6E81"/>
    <w:rsid w:val="002F7EEC"/>
    <w:rsid w:val="002F7F0D"/>
    <w:rsid w:val="003005DD"/>
    <w:rsid w:val="003016AD"/>
    <w:rsid w:val="00304C74"/>
    <w:rsid w:val="003054BC"/>
    <w:rsid w:val="00305DBB"/>
    <w:rsid w:val="003104C3"/>
    <w:rsid w:val="003107CA"/>
    <w:rsid w:val="003114E9"/>
    <w:rsid w:val="003146CD"/>
    <w:rsid w:val="003153DA"/>
    <w:rsid w:val="00316853"/>
    <w:rsid w:val="00322A86"/>
    <w:rsid w:val="0032365D"/>
    <w:rsid w:val="00323C3C"/>
    <w:rsid w:val="00324459"/>
    <w:rsid w:val="0032703D"/>
    <w:rsid w:val="003274B6"/>
    <w:rsid w:val="00330148"/>
    <w:rsid w:val="0033115F"/>
    <w:rsid w:val="003322CD"/>
    <w:rsid w:val="0034373A"/>
    <w:rsid w:val="0034534F"/>
    <w:rsid w:val="003467A1"/>
    <w:rsid w:val="00346CC4"/>
    <w:rsid w:val="00347042"/>
    <w:rsid w:val="0035059F"/>
    <w:rsid w:val="003522AC"/>
    <w:rsid w:val="00353A13"/>
    <w:rsid w:val="00356D73"/>
    <w:rsid w:val="00360C92"/>
    <w:rsid w:val="00360FF4"/>
    <w:rsid w:val="003642F3"/>
    <w:rsid w:val="003653E6"/>
    <w:rsid w:val="00366259"/>
    <w:rsid w:val="0036718C"/>
    <w:rsid w:val="003723F5"/>
    <w:rsid w:val="0037258E"/>
    <w:rsid w:val="00376067"/>
    <w:rsid w:val="00380E71"/>
    <w:rsid w:val="003817FD"/>
    <w:rsid w:val="00381C2F"/>
    <w:rsid w:val="00383B20"/>
    <w:rsid w:val="00386012"/>
    <w:rsid w:val="00386243"/>
    <w:rsid w:val="003869ED"/>
    <w:rsid w:val="00386F04"/>
    <w:rsid w:val="0039074F"/>
    <w:rsid w:val="00391B2B"/>
    <w:rsid w:val="0039499C"/>
    <w:rsid w:val="003949E3"/>
    <w:rsid w:val="00394AFD"/>
    <w:rsid w:val="00394D85"/>
    <w:rsid w:val="00394D94"/>
    <w:rsid w:val="003951AD"/>
    <w:rsid w:val="00395614"/>
    <w:rsid w:val="00395E3D"/>
    <w:rsid w:val="00395FD0"/>
    <w:rsid w:val="003A217D"/>
    <w:rsid w:val="003A2630"/>
    <w:rsid w:val="003A3718"/>
    <w:rsid w:val="003B00B7"/>
    <w:rsid w:val="003B1F13"/>
    <w:rsid w:val="003B31BB"/>
    <w:rsid w:val="003B398A"/>
    <w:rsid w:val="003B3E47"/>
    <w:rsid w:val="003B4663"/>
    <w:rsid w:val="003B59B5"/>
    <w:rsid w:val="003B6F04"/>
    <w:rsid w:val="003C25B5"/>
    <w:rsid w:val="003C32CF"/>
    <w:rsid w:val="003C3DC7"/>
    <w:rsid w:val="003C49E1"/>
    <w:rsid w:val="003C6C30"/>
    <w:rsid w:val="003C6D52"/>
    <w:rsid w:val="003C7A4C"/>
    <w:rsid w:val="003D0348"/>
    <w:rsid w:val="003D555D"/>
    <w:rsid w:val="003D58AA"/>
    <w:rsid w:val="003E37A7"/>
    <w:rsid w:val="003E3CE6"/>
    <w:rsid w:val="003E4F84"/>
    <w:rsid w:val="003E527B"/>
    <w:rsid w:val="003E6D43"/>
    <w:rsid w:val="003E7515"/>
    <w:rsid w:val="003F3B19"/>
    <w:rsid w:val="003F46E5"/>
    <w:rsid w:val="003F4FCF"/>
    <w:rsid w:val="003F5DC6"/>
    <w:rsid w:val="00400DCF"/>
    <w:rsid w:val="004029C4"/>
    <w:rsid w:val="00404DCC"/>
    <w:rsid w:val="00406373"/>
    <w:rsid w:val="0040646C"/>
    <w:rsid w:val="00406EF6"/>
    <w:rsid w:val="004128B9"/>
    <w:rsid w:val="004149C2"/>
    <w:rsid w:val="00417EA5"/>
    <w:rsid w:val="0042096E"/>
    <w:rsid w:val="004219E5"/>
    <w:rsid w:val="00421A37"/>
    <w:rsid w:val="004306A9"/>
    <w:rsid w:val="004322BC"/>
    <w:rsid w:val="00432AF7"/>
    <w:rsid w:val="00433112"/>
    <w:rsid w:val="004421A7"/>
    <w:rsid w:val="00442428"/>
    <w:rsid w:val="00444B23"/>
    <w:rsid w:val="004457F5"/>
    <w:rsid w:val="00446EB8"/>
    <w:rsid w:val="00446F30"/>
    <w:rsid w:val="00453755"/>
    <w:rsid w:val="00454047"/>
    <w:rsid w:val="004550AD"/>
    <w:rsid w:val="00455169"/>
    <w:rsid w:val="00455275"/>
    <w:rsid w:val="00457020"/>
    <w:rsid w:val="0046061D"/>
    <w:rsid w:val="00461268"/>
    <w:rsid w:val="00462A3B"/>
    <w:rsid w:val="004632FE"/>
    <w:rsid w:val="00471053"/>
    <w:rsid w:val="004718B0"/>
    <w:rsid w:val="00471A9C"/>
    <w:rsid w:val="00471F5E"/>
    <w:rsid w:val="00473D76"/>
    <w:rsid w:val="0047505A"/>
    <w:rsid w:val="0047505E"/>
    <w:rsid w:val="0047539B"/>
    <w:rsid w:val="00476755"/>
    <w:rsid w:val="00477D8F"/>
    <w:rsid w:val="00480EDC"/>
    <w:rsid w:val="00483E6F"/>
    <w:rsid w:val="00485B2E"/>
    <w:rsid w:val="00490661"/>
    <w:rsid w:val="00495958"/>
    <w:rsid w:val="004A1B61"/>
    <w:rsid w:val="004A3376"/>
    <w:rsid w:val="004A6F4E"/>
    <w:rsid w:val="004A71E7"/>
    <w:rsid w:val="004B00BC"/>
    <w:rsid w:val="004B05B0"/>
    <w:rsid w:val="004B5501"/>
    <w:rsid w:val="004B57C6"/>
    <w:rsid w:val="004B6807"/>
    <w:rsid w:val="004B7A42"/>
    <w:rsid w:val="004B7EB0"/>
    <w:rsid w:val="004C079A"/>
    <w:rsid w:val="004C1389"/>
    <w:rsid w:val="004C141C"/>
    <w:rsid w:val="004C22C4"/>
    <w:rsid w:val="004C39E2"/>
    <w:rsid w:val="004C78F8"/>
    <w:rsid w:val="004D0446"/>
    <w:rsid w:val="004D4003"/>
    <w:rsid w:val="004D40FD"/>
    <w:rsid w:val="004D4E7B"/>
    <w:rsid w:val="004D5187"/>
    <w:rsid w:val="004D5670"/>
    <w:rsid w:val="004D5C70"/>
    <w:rsid w:val="004D69D7"/>
    <w:rsid w:val="004E14FC"/>
    <w:rsid w:val="004E1CBD"/>
    <w:rsid w:val="004E36B0"/>
    <w:rsid w:val="004E4658"/>
    <w:rsid w:val="004E55E2"/>
    <w:rsid w:val="004E59B1"/>
    <w:rsid w:val="004E660A"/>
    <w:rsid w:val="004E7363"/>
    <w:rsid w:val="004E7657"/>
    <w:rsid w:val="004F2BEE"/>
    <w:rsid w:val="004F35DA"/>
    <w:rsid w:val="004F758E"/>
    <w:rsid w:val="00500096"/>
    <w:rsid w:val="005010CB"/>
    <w:rsid w:val="00501443"/>
    <w:rsid w:val="00501951"/>
    <w:rsid w:val="00506D12"/>
    <w:rsid w:val="005107CB"/>
    <w:rsid w:val="005107E5"/>
    <w:rsid w:val="0051105E"/>
    <w:rsid w:val="0051416F"/>
    <w:rsid w:val="005151A9"/>
    <w:rsid w:val="00515815"/>
    <w:rsid w:val="0052057A"/>
    <w:rsid w:val="0052057F"/>
    <w:rsid w:val="00526114"/>
    <w:rsid w:val="00530837"/>
    <w:rsid w:val="0053189D"/>
    <w:rsid w:val="005320CA"/>
    <w:rsid w:val="00534B3F"/>
    <w:rsid w:val="00535893"/>
    <w:rsid w:val="00536FB7"/>
    <w:rsid w:val="0053751D"/>
    <w:rsid w:val="00540784"/>
    <w:rsid w:val="005411E3"/>
    <w:rsid w:val="0054350A"/>
    <w:rsid w:val="0054474F"/>
    <w:rsid w:val="00545C5B"/>
    <w:rsid w:val="005475DC"/>
    <w:rsid w:val="005517B7"/>
    <w:rsid w:val="00551B8C"/>
    <w:rsid w:val="00552C58"/>
    <w:rsid w:val="00553956"/>
    <w:rsid w:val="00554597"/>
    <w:rsid w:val="00554956"/>
    <w:rsid w:val="00562906"/>
    <w:rsid w:val="005647C2"/>
    <w:rsid w:val="00565B52"/>
    <w:rsid w:val="00567EE0"/>
    <w:rsid w:val="00570502"/>
    <w:rsid w:val="00574534"/>
    <w:rsid w:val="0057693A"/>
    <w:rsid w:val="00576F3E"/>
    <w:rsid w:val="00577FEC"/>
    <w:rsid w:val="00580FD6"/>
    <w:rsid w:val="00582CD7"/>
    <w:rsid w:val="00585DFB"/>
    <w:rsid w:val="005866C9"/>
    <w:rsid w:val="00586979"/>
    <w:rsid w:val="005911DF"/>
    <w:rsid w:val="005916DB"/>
    <w:rsid w:val="005932DF"/>
    <w:rsid w:val="0059396D"/>
    <w:rsid w:val="00593D4D"/>
    <w:rsid w:val="00593F27"/>
    <w:rsid w:val="00595F9D"/>
    <w:rsid w:val="005961C7"/>
    <w:rsid w:val="00596E53"/>
    <w:rsid w:val="005A385F"/>
    <w:rsid w:val="005A67BC"/>
    <w:rsid w:val="005A67BE"/>
    <w:rsid w:val="005A6AC1"/>
    <w:rsid w:val="005A7831"/>
    <w:rsid w:val="005A7FFE"/>
    <w:rsid w:val="005B08BC"/>
    <w:rsid w:val="005B32C4"/>
    <w:rsid w:val="005B6028"/>
    <w:rsid w:val="005B7138"/>
    <w:rsid w:val="005C01EB"/>
    <w:rsid w:val="005C04A7"/>
    <w:rsid w:val="005C0AB2"/>
    <w:rsid w:val="005C0C7B"/>
    <w:rsid w:val="005C0C89"/>
    <w:rsid w:val="005C10B3"/>
    <w:rsid w:val="005C2A94"/>
    <w:rsid w:val="005C4333"/>
    <w:rsid w:val="005C56C2"/>
    <w:rsid w:val="005C7896"/>
    <w:rsid w:val="005D0174"/>
    <w:rsid w:val="005D0917"/>
    <w:rsid w:val="005D0E0E"/>
    <w:rsid w:val="005D1E98"/>
    <w:rsid w:val="005D35E9"/>
    <w:rsid w:val="005D3B99"/>
    <w:rsid w:val="005D5249"/>
    <w:rsid w:val="005D6F60"/>
    <w:rsid w:val="005E0B2D"/>
    <w:rsid w:val="005E105C"/>
    <w:rsid w:val="005E118A"/>
    <w:rsid w:val="005E204E"/>
    <w:rsid w:val="005E7117"/>
    <w:rsid w:val="005F02F9"/>
    <w:rsid w:val="005F2896"/>
    <w:rsid w:val="005F2D64"/>
    <w:rsid w:val="005F49CE"/>
    <w:rsid w:val="005F7B63"/>
    <w:rsid w:val="00601029"/>
    <w:rsid w:val="0060107B"/>
    <w:rsid w:val="00601AC4"/>
    <w:rsid w:val="006043E0"/>
    <w:rsid w:val="0060579A"/>
    <w:rsid w:val="00605DCA"/>
    <w:rsid w:val="00612538"/>
    <w:rsid w:val="00615065"/>
    <w:rsid w:val="00615AFD"/>
    <w:rsid w:val="00615C36"/>
    <w:rsid w:val="00616C9B"/>
    <w:rsid w:val="006216EA"/>
    <w:rsid w:val="00622E4A"/>
    <w:rsid w:val="00624B66"/>
    <w:rsid w:val="00625DE3"/>
    <w:rsid w:val="00630D03"/>
    <w:rsid w:val="00632431"/>
    <w:rsid w:val="006327EB"/>
    <w:rsid w:val="006336E7"/>
    <w:rsid w:val="006428E9"/>
    <w:rsid w:val="0064465E"/>
    <w:rsid w:val="00644968"/>
    <w:rsid w:val="006451DD"/>
    <w:rsid w:val="0064614C"/>
    <w:rsid w:val="006476DB"/>
    <w:rsid w:val="00647C50"/>
    <w:rsid w:val="00650EB2"/>
    <w:rsid w:val="00651A66"/>
    <w:rsid w:val="0066083D"/>
    <w:rsid w:val="00662493"/>
    <w:rsid w:val="00666940"/>
    <w:rsid w:val="006704B4"/>
    <w:rsid w:val="00671B42"/>
    <w:rsid w:val="00672AD7"/>
    <w:rsid w:val="00673E33"/>
    <w:rsid w:val="006741E3"/>
    <w:rsid w:val="00674578"/>
    <w:rsid w:val="00680EC5"/>
    <w:rsid w:val="00680F37"/>
    <w:rsid w:val="00681F1A"/>
    <w:rsid w:val="00683E72"/>
    <w:rsid w:val="006840E6"/>
    <w:rsid w:val="00684221"/>
    <w:rsid w:val="006846C3"/>
    <w:rsid w:val="00686FEA"/>
    <w:rsid w:val="00693758"/>
    <w:rsid w:val="006948EA"/>
    <w:rsid w:val="006A1B9E"/>
    <w:rsid w:val="006A23ED"/>
    <w:rsid w:val="006A32FB"/>
    <w:rsid w:val="006A3649"/>
    <w:rsid w:val="006A3A2C"/>
    <w:rsid w:val="006A456E"/>
    <w:rsid w:val="006A57F5"/>
    <w:rsid w:val="006A6E14"/>
    <w:rsid w:val="006B0AFD"/>
    <w:rsid w:val="006B10F2"/>
    <w:rsid w:val="006B167C"/>
    <w:rsid w:val="006B3EDC"/>
    <w:rsid w:val="006B4926"/>
    <w:rsid w:val="006B4EC8"/>
    <w:rsid w:val="006B6B17"/>
    <w:rsid w:val="006B728A"/>
    <w:rsid w:val="006C0206"/>
    <w:rsid w:val="006C0941"/>
    <w:rsid w:val="006C1074"/>
    <w:rsid w:val="006C1ADD"/>
    <w:rsid w:val="006C28DF"/>
    <w:rsid w:val="006C5C49"/>
    <w:rsid w:val="006C6491"/>
    <w:rsid w:val="006D1437"/>
    <w:rsid w:val="006D1B68"/>
    <w:rsid w:val="006D47AA"/>
    <w:rsid w:val="006D5EBE"/>
    <w:rsid w:val="006E0ADE"/>
    <w:rsid w:val="006E1994"/>
    <w:rsid w:val="006E1EE8"/>
    <w:rsid w:val="006E2013"/>
    <w:rsid w:val="006E42FA"/>
    <w:rsid w:val="006E48B6"/>
    <w:rsid w:val="006E6CEE"/>
    <w:rsid w:val="0070455A"/>
    <w:rsid w:val="00706EB6"/>
    <w:rsid w:val="00710D90"/>
    <w:rsid w:val="00710E7C"/>
    <w:rsid w:val="00713D54"/>
    <w:rsid w:val="007140FF"/>
    <w:rsid w:val="007145BD"/>
    <w:rsid w:val="00714773"/>
    <w:rsid w:val="00714BE5"/>
    <w:rsid w:val="00716A08"/>
    <w:rsid w:val="00716CF7"/>
    <w:rsid w:val="007208DB"/>
    <w:rsid w:val="00721808"/>
    <w:rsid w:val="00722FFD"/>
    <w:rsid w:val="0072378E"/>
    <w:rsid w:val="00724479"/>
    <w:rsid w:val="00724932"/>
    <w:rsid w:val="0072493C"/>
    <w:rsid w:val="00725996"/>
    <w:rsid w:val="00727951"/>
    <w:rsid w:val="00730CDD"/>
    <w:rsid w:val="0073284B"/>
    <w:rsid w:val="00736CF5"/>
    <w:rsid w:val="00737198"/>
    <w:rsid w:val="007371B1"/>
    <w:rsid w:val="007403BF"/>
    <w:rsid w:val="00743F83"/>
    <w:rsid w:val="007448D4"/>
    <w:rsid w:val="0074766F"/>
    <w:rsid w:val="0075060B"/>
    <w:rsid w:val="00752159"/>
    <w:rsid w:val="00752E66"/>
    <w:rsid w:val="007536DD"/>
    <w:rsid w:val="00753BA9"/>
    <w:rsid w:val="007540D2"/>
    <w:rsid w:val="007548FE"/>
    <w:rsid w:val="007575EE"/>
    <w:rsid w:val="007577A7"/>
    <w:rsid w:val="00757A4C"/>
    <w:rsid w:val="00757DDA"/>
    <w:rsid w:val="007607DC"/>
    <w:rsid w:val="00760B81"/>
    <w:rsid w:val="007635F8"/>
    <w:rsid w:val="00763FC3"/>
    <w:rsid w:val="00765FBD"/>
    <w:rsid w:val="00766519"/>
    <w:rsid w:val="007674D6"/>
    <w:rsid w:val="00772BAA"/>
    <w:rsid w:val="00774655"/>
    <w:rsid w:val="0077570E"/>
    <w:rsid w:val="00780BA7"/>
    <w:rsid w:val="00782D89"/>
    <w:rsid w:val="0078515C"/>
    <w:rsid w:val="0078671A"/>
    <w:rsid w:val="0078756D"/>
    <w:rsid w:val="00790DD2"/>
    <w:rsid w:val="007918D6"/>
    <w:rsid w:val="00791B7F"/>
    <w:rsid w:val="007933E8"/>
    <w:rsid w:val="00797316"/>
    <w:rsid w:val="007A2552"/>
    <w:rsid w:val="007A2BA4"/>
    <w:rsid w:val="007A327E"/>
    <w:rsid w:val="007A3E44"/>
    <w:rsid w:val="007A47C7"/>
    <w:rsid w:val="007A7B8D"/>
    <w:rsid w:val="007B0775"/>
    <w:rsid w:val="007B09D6"/>
    <w:rsid w:val="007B0A56"/>
    <w:rsid w:val="007B2A04"/>
    <w:rsid w:val="007B2E81"/>
    <w:rsid w:val="007B31BC"/>
    <w:rsid w:val="007B3333"/>
    <w:rsid w:val="007B422D"/>
    <w:rsid w:val="007B4480"/>
    <w:rsid w:val="007B44C5"/>
    <w:rsid w:val="007B6606"/>
    <w:rsid w:val="007C0511"/>
    <w:rsid w:val="007C0A4F"/>
    <w:rsid w:val="007C12E6"/>
    <w:rsid w:val="007C554A"/>
    <w:rsid w:val="007C5879"/>
    <w:rsid w:val="007C5A24"/>
    <w:rsid w:val="007C5B16"/>
    <w:rsid w:val="007C5F81"/>
    <w:rsid w:val="007C638C"/>
    <w:rsid w:val="007D056F"/>
    <w:rsid w:val="007D080B"/>
    <w:rsid w:val="007D1149"/>
    <w:rsid w:val="007D129F"/>
    <w:rsid w:val="007D1BFF"/>
    <w:rsid w:val="007D2D07"/>
    <w:rsid w:val="007D3321"/>
    <w:rsid w:val="007D372C"/>
    <w:rsid w:val="007D47DA"/>
    <w:rsid w:val="007D49D9"/>
    <w:rsid w:val="007E04B3"/>
    <w:rsid w:val="007E1344"/>
    <w:rsid w:val="007E1CD2"/>
    <w:rsid w:val="007E4F3B"/>
    <w:rsid w:val="007F3D70"/>
    <w:rsid w:val="007F455A"/>
    <w:rsid w:val="007F4E4E"/>
    <w:rsid w:val="007F77CD"/>
    <w:rsid w:val="0080291B"/>
    <w:rsid w:val="00802EFF"/>
    <w:rsid w:val="00804EB7"/>
    <w:rsid w:val="00805BB0"/>
    <w:rsid w:val="00805C09"/>
    <w:rsid w:val="008060AD"/>
    <w:rsid w:val="00806C05"/>
    <w:rsid w:val="00811B4C"/>
    <w:rsid w:val="00811E2C"/>
    <w:rsid w:val="00812559"/>
    <w:rsid w:val="0081430E"/>
    <w:rsid w:val="00814447"/>
    <w:rsid w:val="008145E1"/>
    <w:rsid w:val="0081569B"/>
    <w:rsid w:val="00817AEE"/>
    <w:rsid w:val="00817DBE"/>
    <w:rsid w:val="00817EAE"/>
    <w:rsid w:val="008207B8"/>
    <w:rsid w:val="00820F12"/>
    <w:rsid w:val="0082334C"/>
    <w:rsid w:val="00824180"/>
    <w:rsid w:val="00824E04"/>
    <w:rsid w:val="008264AA"/>
    <w:rsid w:val="00826A0E"/>
    <w:rsid w:val="00827CF5"/>
    <w:rsid w:val="00827EDA"/>
    <w:rsid w:val="00831D8E"/>
    <w:rsid w:val="008322B3"/>
    <w:rsid w:val="008339A2"/>
    <w:rsid w:val="00844C82"/>
    <w:rsid w:val="0084504D"/>
    <w:rsid w:val="008458C2"/>
    <w:rsid w:val="00845EDE"/>
    <w:rsid w:val="00846361"/>
    <w:rsid w:val="008472ED"/>
    <w:rsid w:val="0085008A"/>
    <w:rsid w:val="00852099"/>
    <w:rsid w:val="00853AF2"/>
    <w:rsid w:val="0085453A"/>
    <w:rsid w:val="00856281"/>
    <w:rsid w:val="00857B75"/>
    <w:rsid w:val="00860FE4"/>
    <w:rsid w:val="008614C7"/>
    <w:rsid w:val="00862E2F"/>
    <w:rsid w:val="00863BB5"/>
    <w:rsid w:val="008648A1"/>
    <w:rsid w:val="008648D4"/>
    <w:rsid w:val="00866001"/>
    <w:rsid w:val="00866EB9"/>
    <w:rsid w:val="0087518E"/>
    <w:rsid w:val="0087590C"/>
    <w:rsid w:val="0088079C"/>
    <w:rsid w:val="00880AB7"/>
    <w:rsid w:val="00880EFE"/>
    <w:rsid w:val="00881378"/>
    <w:rsid w:val="008835A4"/>
    <w:rsid w:val="0089013D"/>
    <w:rsid w:val="008914E0"/>
    <w:rsid w:val="00891B3E"/>
    <w:rsid w:val="008924B6"/>
    <w:rsid w:val="00892790"/>
    <w:rsid w:val="00892F39"/>
    <w:rsid w:val="008940F8"/>
    <w:rsid w:val="00894C89"/>
    <w:rsid w:val="00896A90"/>
    <w:rsid w:val="008971A5"/>
    <w:rsid w:val="008A1E9A"/>
    <w:rsid w:val="008A3296"/>
    <w:rsid w:val="008A3E57"/>
    <w:rsid w:val="008A40E9"/>
    <w:rsid w:val="008A57C0"/>
    <w:rsid w:val="008A6167"/>
    <w:rsid w:val="008B089A"/>
    <w:rsid w:val="008B0AAF"/>
    <w:rsid w:val="008B1CD8"/>
    <w:rsid w:val="008B403E"/>
    <w:rsid w:val="008B4063"/>
    <w:rsid w:val="008B47A0"/>
    <w:rsid w:val="008B64CD"/>
    <w:rsid w:val="008C06E6"/>
    <w:rsid w:val="008C3E94"/>
    <w:rsid w:val="008C4735"/>
    <w:rsid w:val="008D0DEA"/>
    <w:rsid w:val="008D1268"/>
    <w:rsid w:val="008D3287"/>
    <w:rsid w:val="008D4134"/>
    <w:rsid w:val="008D42DE"/>
    <w:rsid w:val="008D6018"/>
    <w:rsid w:val="008D686B"/>
    <w:rsid w:val="008D6C45"/>
    <w:rsid w:val="008E125A"/>
    <w:rsid w:val="008E542E"/>
    <w:rsid w:val="008E7880"/>
    <w:rsid w:val="008E7A03"/>
    <w:rsid w:val="008F0288"/>
    <w:rsid w:val="008F127B"/>
    <w:rsid w:val="008F3CFE"/>
    <w:rsid w:val="008F44E0"/>
    <w:rsid w:val="008F4D65"/>
    <w:rsid w:val="008F5002"/>
    <w:rsid w:val="008F5A79"/>
    <w:rsid w:val="008F647F"/>
    <w:rsid w:val="00902A09"/>
    <w:rsid w:val="009064DE"/>
    <w:rsid w:val="0091216C"/>
    <w:rsid w:val="00912840"/>
    <w:rsid w:val="0091377C"/>
    <w:rsid w:val="009141F7"/>
    <w:rsid w:val="00916856"/>
    <w:rsid w:val="009202AF"/>
    <w:rsid w:val="00921167"/>
    <w:rsid w:val="009232AD"/>
    <w:rsid w:val="009234A0"/>
    <w:rsid w:val="00925076"/>
    <w:rsid w:val="009252FE"/>
    <w:rsid w:val="00925D5A"/>
    <w:rsid w:val="009276BD"/>
    <w:rsid w:val="00927FDD"/>
    <w:rsid w:val="00930819"/>
    <w:rsid w:val="00931E57"/>
    <w:rsid w:val="00932176"/>
    <w:rsid w:val="00933497"/>
    <w:rsid w:val="00936988"/>
    <w:rsid w:val="009372C7"/>
    <w:rsid w:val="0093750B"/>
    <w:rsid w:val="00937E3B"/>
    <w:rsid w:val="00944217"/>
    <w:rsid w:val="009445F8"/>
    <w:rsid w:val="009456DE"/>
    <w:rsid w:val="009457FC"/>
    <w:rsid w:val="00945B2B"/>
    <w:rsid w:val="00947513"/>
    <w:rsid w:val="00947E84"/>
    <w:rsid w:val="00950E1B"/>
    <w:rsid w:val="00952464"/>
    <w:rsid w:val="00953280"/>
    <w:rsid w:val="009536B0"/>
    <w:rsid w:val="00954232"/>
    <w:rsid w:val="009550A6"/>
    <w:rsid w:val="009556D2"/>
    <w:rsid w:val="00955D07"/>
    <w:rsid w:val="009604C8"/>
    <w:rsid w:val="00960DF3"/>
    <w:rsid w:val="00963023"/>
    <w:rsid w:val="00966E1A"/>
    <w:rsid w:val="00967130"/>
    <w:rsid w:val="00970C00"/>
    <w:rsid w:val="009717AC"/>
    <w:rsid w:val="009738A2"/>
    <w:rsid w:val="009745D4"/>
    <w:rsid w:val="00975C92"/>
    <w:rsid w:val="00982DB9"/>
    <w:rsid w:val="00982E5D"/>
    <w:rsid w:val="0098443F"/>
    <w:rsid w:val="00984A65"/>
    <w:rsid w:val="00984B3C"/>
    <w:rsid w:val="0098628E"/>
    <w:rsid w:val="009873F9"/>
    <w:rsid w:val="0098751B"/>
    <w:rsid w:val="009875CE"/>
    <w:rsid w:val="009905C4"/>
    <w:rsid w:val="0099088B"/>
    <w:rsid w:val="00991037"/>
    <w:rsid w:val="00991FBA"/>
    <w:rsid w:val="00992DC7"/>
    <w:rsid w:val="009A0C61"/>
    <w:rsid w:val="009A14BB"/>
    <w:rsid w:val="009A495B"/>
    <w:rsid w:val="009A7C5B"/>
    <w:rsid w:val="009B1173"/>
    <w:rsid w:val="009B1E2F"/>
    <w:rsid w:val="009B325E"/>
    <w:rsid w:val="009B4F2E"/>
    <w:rsid w:val="009B547A"/>
    <w:rsid w:val="009B6439"/>
    <w:rsid w:val="009B70B4"/>
    <w:rsid w:val="009C1B6A"/>
    <w:rsid w:val="009C2EDD"/>
    <w:rsid w:val="009C3468"/>
    <w:rsid w:val="009C4B17"/>
    <w:rsid w:val="009D1F29"/>
    <w:rsid w:val="009D2AB4"/>
    <w:rsid w:val="009D31D2"/>
    <w:rsid w:val="009D39F5"/>
    <w:rsid w:val="009D4588"/>
    <w:rsid w:val="009D4DCB"/>
    <w:rsid w:val="009D5BF9"/>
    <w:rsid w:val="009E300A"/>
    <w:rsid w:val="009E485D"/>
    <w:rsid w:val="009E522E"/>
    <w:rsid w:val="009E5C58"/>
    <w:rsid w:val="009E762E"/>
    <w:rsid w:val="009F32C1"/>
    <w:rsid w:val="009F414D"/>
    <w:rsid w:val="009F546A"/>
    <w:rsid w:val="009F5845"/>
    <w:rsid w:val="009F6B35"/>
    <w:rsid w:val="00A00349"/>
    <w:rsid w:val="00A00F8F"/>
    <w:rsid w:val="00A01F17"/>
    <w:rsid w:val="00A03074"/>
    <w:rsid w:val="00A03ECA"/>
    <w:rsid w:val="00A04966"/>
    <w:rsid w:val="00A052AA"/>
    <w:rsid w:val="00A06D3A"/>
    <w:rsid w:val="00A116A3"/>
    <w:rsid w:val="00A12B51"/>
    <w:rsid w:val="00A135E2"/>
    <w:rsid w:val="00A13E3B"/>
    <w:rsid w:val="00A14AA5"/>
    <w:rsid w:val="00A158BE"/>
    <w:rsid w:val="00A16659"/>
    <w:rsid w:val="00A16DAC"/>
    <w:rsid w:val="00A171EA"/>
    <w:rsid w:val="00A2105D"/>
    <w:rsid w:val="00A21340"/>
    <w:rsid w:val="00A229AD"/>
    <w:rsid w:val="00A23B19"/>
    <w:rsid w:val="00A245B4"/>
    <w:rsid w:val="00A252C8"/>
    <w:rsid w:val="00A2591B"/>
    <w:rsid w:val="00A31144"/>
    <w:rsid w:val="00A33270"/>
    <w:rsid w:val="00A36633"/>
    <w:rsid w:val="00A36C9D"/>
    <w:rsid w:val="00A36EFF"/>
    <w:rsid w:val="00A3793D"/>
    <w:rsid w:val="00A42466"/>
    <w:rsid w:val="00A429DA"/>
    <w:rsid w:val="00A4316B"/>
    <w:rsid w:val="00A433CE"/>
    <w:rsid w:val="00A438D4"/>
    <w:rsid w:val="00A44973"/>
    <w:rsid w:val="00A44CB2"/>
    <w:rsid w:val="00A45C67"/>
    <w:rsid w:val="00A46A1B"/>
    <w:rsid w:val="00A46FE5"/>
    <w:rsid w:val="00A47E12"/>
    <w:rsid w:val="00A515F9"/>
    <w:rsid w:val="00A52363"/>
    <w:rsid w:val="00A52F7E"/>
    <w:rsid w:val="00A53722"/>
    <w:rsid w:val="00A537C2"/>
    <w:rsid w:val="00A63057"/>
    <w:rsid w:val="00A6575B"/>
    <w:rsid w:val="00A65A90"/>
    <w:rsid w:val="00A707A9"/>
    <w:rsid w:val="00A730DC"/>
    <w:rsid w:val="00A73B29"/>
    <w:rsid w:val="00A741E2"/>
    <w:rsid w:val="00A755AB"/>
    <w:rsid w:val="00A809EB"/>
    <w:rsid w:val="00A80D2F"/>
    <w:rsid w:val="00A82741"/>
    <w:rsid w:val="00A85F1A"/>
    <w:rsid w:val="00A90122"/>
    <w:rsid w:val="00A9350E"/>
    <w:rsid w:val="00A938BA"/>
    <w:rsid w:val="00A95AC7"/>
    <w:rsid w:val="00A96A7B"/>
    <w:rsid w:val="00A97D8D"/>
    <w:rsid w:val="00AA0782"/>
    <w:rsid w:val="00AA185B"/>
    <w:rsid w:val="00AA1908"/>
    <w:rsid w:val="00AA1BEC"/>
    <w:rsid w:val="00AA3410"/>
    <w:rsid w:val="00AA3713"/>
    <w:rsid w:val="00AA51D8"/>
    <w:rsid w:val="00AA5C6D"/>
    <w:rsid w:val="00AB025E"/>
    <w:rsid w:val="00AB0C4F"/>
    <w:rsid w:val="00AB1E2C"/>
    <w:rsid w:val="00AB64A9"/>
    <w:rsid w:val="00AB7005"/>
    <w:rsid w:val="00AC627D"/>
    <w:rsid w:val="00AD066D"/>
    <w:rsid w:val="00AD4916"/>
    <w:rsid w:val="00AD65EF"/>
    <w:rsid w:val="00AD6C1C"/>
    <w:rsid w:val="00AE1091"/>
    <w:rsid w:val="00AE2DA0"/>
    <w:rsid w:val="00AE45B7"/>
    <w:rsid w:val="00AE4D2E"/>
    <w:rsid w:val="00AE7EAF"/>
    <w:rsid w:val="00AF0377"/>
    <w:rsid w:val="00AF05A0"/>
    <w:rsid w:val="00AF31D7"/>
    <w:rsid w:val="00AF6DCE"/>
    <w:rsid w:val="00B00F70"/>
    <w:rsid w:val="00B0198C"/>
    <w:rsid w:val="00B037DE"/>
    <w:rsid w:val="00B05270"/>
    <w:rsid w:val="00B054AA"/>
    <w:rsid w:val="00B05B6B"/>
    <w:rsid w:val="00B0684A"/>
    <w:rsid w:val="00B06EFF"/>
    <w:rsid w:val="00B07292"/>
    <w:rsid w:val="00B10086"/>
    <w:rsid w:val="00B11E40"/>
    <w:rsid w:val="00B13C31"/>
    <w:rsid w:val="00B14BCA"/>
    <w:rsid w:val="00B14D77"/>
    <w:rsid w:val="00B15123"/>
    <w:rsid w:val="00B1579F"/>
    <w:rsid w:val="00B157CD"/>
    <w:rsid w:val="00B17739"/>
    <w:rsid w:val="00B21B0D"/>
    <w:rsid w:val="00B21E16"/>
    <w:rsid w:val="00B21F9B"/>
    <w:rsid w:val="00B22616"/>
    <w:rsid w:val="00B22976"/>
    <w:rsid w:val="00B22E4D"/>
    <w:rsid w:val="00B23EE6"/>
    <w:rsid w:val="00B25917"/>
    <w:rsid w:val="00B26159"/>
    <w:rsid w:val="00B274DB"/>
    <w:rsid w:val="00B27B7C"/>
    <w:rsid w:val="00B30F67"/>
    <w:rsid w:val="00B31BE0"/>
    <w:rsid w:val="00B323B3"/>
    <w:rsid w:val="00B325B2"/>
    <w:rsid w:val="00B34348"/>
    <w:rsid w:val="00B35537"/>
    <w:rsid w:val="00B41F23"/>
    <w:rsid w:val="00B447CF"/>
    <w:rsid w:val="00B4503B"/>
    <w:rsid w:val="00B45820"/>
    <w:rsid w:val="00B46E0A"/>
    <w:rsid w:val="00B47897"/>
    <w:rsid w:val="00B51025"/>
    <w:rsid w:val="00B534BF"/>
    <w:rsid w:val="00B53DF5"/>
    <w:rsid w:val="00B54ACB"/>
    <w:rsid w:val="00B602E4"/>
    <w:rsid w:val="00B610F5"/>
    <w:rsid w:val="00B61949"/>
    <w:rsid w:val="00B621AE"/>
    <w:rsid w:val="00B636E1"/>
    <w:rsid w:val="00B641BA"/>
    <w:rsid w:val="00B667AB"/>
    <w:rsid w:val="00B66A6D"/>
    <w:rsid w:val="00B67051"/>
    <w:rsid w:val="00B712C3"/>
    <w:rsid w:val="00B7172D"/>
    <w:rsid w:val="00B75A23"/>
    <w:rsid w:val="00B75F28"/>
    <w:rsid w:val="00B76A0A"/>
    <w:rsid w:val="00B86D93"/>
    <w:rsid w:val="00B871A4"/>
    <w:rsid w:val="00B9163C"/>
    <w:rsid w:val="00B92134"/>
    <w:rsid w:val="00B921BC"/>
    <w:rsid w:val="00B95F55"/>
    <w:rsid w:val="00B96FEB"/>
    <w:rsid w:val="00B97959"/>
    <w:rsid w:val="00BA01D0"/>
    <w:rsid w:val="00BA020E"/>
    <w:rsid w:val="00BA3862"/>
    <w:rsid w:val="00BA3B2A"/>
    <w:rsid w:val="00BA75BF"/>
    <w:rsid w:val="00BA7AAD"/>
    <w:rsid w:val="00BB2357"/>
    <w:rsid w:val="00BB3452"/>
    <w:rsid w:val="00BB39DA"/>
    <w:rsid w:val="00BB4342"/>
    <w:rsid w:val="00BB4533"/>
    <w:rsid w:val="00BB52E6"/>
    <w:rsid w:val="00BB6273"/>
    <w:rsid w:val="00BB7609"/>
    <w:rsid w:val="00BB7CCE"/>
    <w:rsid w:val="00BC401D"/>
    <w:rsid w:val="00BC449F"/>
    <w:rsid w:val="00BC68B3"/>
    <w:rsid w:val="00BD1005"/>
    <w:rsid w:val="00BD1792"/>
    <w:rsid w:val="00BD277E"/>
    <w:rsid w:val="00BD3204"/>
    <w:rsid w:val="00BD3500"/>
    <w:rsid w:val="00BD3959"/>
    <w:rsid w:val="00BD576E"/>
    <w:rsid w:val="00BE0B8C"/>
    <w:rsid w:val="00BE117C"/>
    <w:rsid w:val="00BE242E"/>
    <w:rsid w:val="00BE2A8E"/>
    <w:rsid w:val="00BE37D0"/>
    <w:rsid w:val="00BE3B28"/>
    <w:rsid w:val="00BE6DCA"/>
    <w:rsid w:val="00BE6EF4"/>
    <w:rsid w:val="00BE7F15"/>
    <w:rsid w:val="00BF0551"/>
    <w:rsid w:val="00BF29DC"/>
    <w:rsid w:val="00BF3756"/>
    <w:rsid w:val="00BF3C31"/>
    <w:rsid w:val="00BF3CEE"/>
    <w:rsid w:val="00BF4504"/>
    <w:rsid w:val="00BF6753"/>
    <w:rsid w:val="00BF7AE4"/>
    <w:rsid w:val="00C02056"/>
    <w:rsid w:val="00C021FB"/>
    <w:rsid w:val="00C03198"/>
    <w:rsid w:val="00C0524A"/>
    <w:rsid w:val="00C060AA"/>
    <w:rsid w:val="00C10542"/>
    <w:rsid w:val="00C11FC9"/>
    <w:rsid w:val="00C128B0"/>
    <w:rsid w:val="00C1527E"/>
    <w:rsid w:val="00C15815"/>
    <w:rsid w:val="00C15A36"/>
    <w:rsid w:val="00C16B51"/>
    <w:rsid w:val="00C2075D"/>
    <w:rsid w:val="00C237D6"/>
    <w:rsid w:val="00C243D6"/>
    <w:rsid w:val="00C25EFB"/>
    <w:rsid w:val="00C26173"/>
    <w:rsid w:val="00C26D61"/>
    <w:rsid w:val="00C304BE"/>
    <w:rsid w:val="00C3096D"/>
    <w:rsid w:val="00C333F2"/>
    <w:rsid w:val="00C3557D"/>
    <w:rsid w:val="00C35F5F"/>
    <w:rsid w:val="00C370B6"/>
    <w:rsid w:val="00C374EE"/>
    <w:rsid w:val="00C406D1"/>
    <w:rsid w:val="00C4093D"/>
    <w:rsid w:val="00C41870"/>
    <w:rsid w:val="00C42A36"/>
    <w:rsid w:val="00C42BD0"/>
    <w:rsid w:val="00C42CD5"/>
    <w:rsid w:val="00C43F2E"/>
    <w:rsid w:val="00C4591E"/>
    <w:rsid w:val="00C45F5E"/>
    <w:rsid w:val="00C474CA"/>
    <w:rsid w:val="00C52104"/>
    <w:rsid w:val="00C52672"/>
    <w:rsid w:val="00C5394D"/>
    <w:rsid w:val="00C601C3"/>
    <w:rsid w:val="00C61BA4"/>
    <w:rsid w:val="00C6308D"/>
    <w:rsid w:val="00C63563"/>
    <w:rsid w:val="00C702AC"/>
    <w:rsid w:val="00C70DAF"/>
    <w:rsid w:val="00C713D4"/>
    <w:rsid w:val="00C726BF"/>
    <w:rsid w:val="00C73E3C"/>
    <w:rsid w:val="00C80F72"/>
    <w:rsid w:val="00C814F5"/>
    <w:rsid w:val="00C81A93"/>
    <w:rsid w:val="00C835C6"/>
    <w:rsid w:val="00C855AB"/>
    <w:rsid w:val="00C862ED"/>
    <w:rsid w:val="00C9141A"/>
    <w:rsid w:val="00C91CA1"/>
    <w:rsid w:val="00C92FA0"/>
    <w:rsid w:val="00C932FC"/>
    <w:rsid w:val="00C93568"/>
    <w:rsid w:val="00C93586"/>
    <w:rsid w:val="00C93E0E"/>
    <w:rsid w:val="00C9557D"/>
    <w:rsid w:val="00C965B3"/>
    <w:rsid w:val="00C97BBD"/>
    <w:rsid w:val="00CA14DB"/>
    <w:rsid w:val="00CA1F5D"/>
    <w:rsid w:val="00CA273D"/>
    <w:rsid w:val="00CA2ED2"/>
    <w:rsid w:val="00CA3F46"/>
    <w:rsid w:val="00CA53E3"/>
    <w:rsid w:val="00CA5432"/>
    <w:rsid w:val="00CB268B"/>
    <w:rsid w:val="00CB2A45"/>
    <w:rsid w:val="00CB50A6"/>
    <w:rsid w:val="00CB5C70"/>
    <w:rsid w:val="00CB6126"/>
    <w:rsid w:val="00CB6A0D"/>
    <w:rsid w:val="00CB76F4"/>
    <w:rsid w:val="00CB7F64"/>
    <w:rsid w:val="00CC4DDD"/>
    <w:rsid w:val="00CC5578"/>
    <w:rsid w:val="00CC6D57"/>
    <w:rsid w:val="00CD1738"/>
    <w:rsid w:val="00CD1CD6"/>
    <w:rsid w:val="00CD3657"/>
    <w:rsid w:val="00CD3D42"/>
    <w:rsid w:val="00CD3DFE"/>
    <w:rsid w:val="00CD5381"/>
    <w:rsid w:val="00CD659A"/>
    <w:rsid w:val="00CE34AE"/>
    <w:rsid w:val="00CE43AF"/>
    <w:rsid w:val="00CE7442"/>
    <w:rsid w:val="00CE7CC2"/>
    <w:rsid w:val="00CE7EBE"/>
    <w:rsid w:val="00CF0894"/>
    <w:rsid w:val="00CF3E21"/>
    <w:rsid w:val="00CF40D3"/>
    <w:rsid w:val="00CF7357"/>
    <w:rsid w:val="00CF7B4E"/>
    <w:rsid w:val="00D01748"/>
    <w:rsid w:val="00D06768"/>
    <w:rsid w:val="00D15E99"/>
    <w:rsid w:val="00D15F30"/>
    <w:rsid w:val="00D17D85"/>
    <w:rsid w:val="00D209F7"/>
    <w:rsid w:val="00D20E8D"/>
    <w:rsid w:val="00D210E5"/>
    <w:rsid w:val="00D221BC"/>
    <w:rsid w:val="00D224EB"/>
    <w:rsid w:val="00D22F00"/>
    <w:rsid w:val="00D26A32"/>
    <w:rsid w:val="00D2703B"/>
    <w:rsid w:val="00D27E9C"/>
    <w:rsid w:val="00D31C2F"/>
    <w:rsid w:val="00D33F3F"/>
    <w:rsid w:val="00D36268"/>
    <w:rsid w:val="00D373A1"/>
    <w:rsid w:val="00D405F1"/>
    <w:rsid w:val="00D43A39"/>
    <w:rsid w:val="00D46756"/>
    <w:rsid w:val="00D506B5"/>
    <w:rsid w:val="00D506D9"/>
    <w:rsid w:val="00D51A3A"/>
    <w:rsid w:val="00D529E9"/>
    <w:rsid w:val="00D56E51"/>
    <w:rsid w:val="00D576B1"/>
    <w:rsid w:val="00D60E02"/>
    <w:rsid w:val="00D6283F"/>
    <w:rsid w:val="00D64760"/>
    <w:rsid w:val="00D64B12"/>
    <w:rsid w:val="00D64C41"/>
    <w:rsid w:val="00D660A0"/>
    <w:rsid w:val="00D7007D"/>
    <w:rsid w:val="00D71634"/>
    <w:rsid w:val="00D7211C"/>
    <w:rsid w:val="00D72365"/>
    <w:rsid w:val="00D72E3A"/>
    <w:rsid w:val="00D72F86"/>
    <w:rsid w:val="00D7301E"/>
    <w:rsid w:val="00D736DE"/>
    <w:rsid w:val="00D7387E"/>
    <w:rsid w:val="00D748A1"/>
    <w:rsid w:val="00D75B16"/>
    <w:rsid w:val="00D82092"/>
    <w:rsid w:val="00D8526E"/>
    <w:rsid w:val="00D85FF1"/>
    <w:rsid w:val="00D86A09"/>
    <w:rsid w:val="00D9275B"/>
    <w:rsid w:val="00D92ACF"/>
    <w:rsid w:val="00D935B0"/>
    <w:rsid w:val="00D94E38"/>
    <w:rsid w:val="00D94FEF"/>
    <w:rsid w:val="00D95277"/>
    <w:rsid w:val="00D965EB"/>
    <w:rsid w:val="00D96DB0"/>
    <w:rsid w:val="00DA1105"/>
    <w:rsid w:val="00DA155A"/>
    <w:rsid w:val="00DA1DE4"/>
    <w:rsid w:val="00DA3B4C"/>
    <w:rsid w:val="00DA40DF"/>
    <w:rsid w:val="00DA44A0"/>
    <w:rsid w:val="00DB491F"/>
    <w:rsid w:val="00DB7408"/>
    <w:rsid w:val="00DC0C73"/>
    <w:rsid w:val="00DC1864"/>
    <w:rsid w:val="00DC1D4C"/>
    <w:rsid w:val="00DC2577"/>
    <w:rsid w:val="00DC3D3B"/>
    <w:rsid w:val="00DD01A3"/>
    <w:rsid w:val="00DD7D04"/>
    <w:rsid w:val="00DE01C5"/>
    <w:rsid w:val="00DE0404"/>
    <w:rsid w:val="00DE0D06"/>
    <w:rsid w:val="00DE167B"/>
    <w:rsid w:val="00DE3CBE"/>
    <w:rsid w:val="00DE78E7"/>
    <w:rsid w:val="00DF226F"/>
    <w:rsid w:val="00DF29A6"/>
    <w:rsid w:val="00E0087C"/>
    <w:rsid w:val="00E00BBC"/>
    <w:rsid w:val="00E01CB0"/>
    <w:rsid w:val="00E027E5"/>
    <w:rsid w:val="00E03AF3"/>
    <w:rsid w:val="00E06DC1"/>
    <w:rsid w:val="00E06E88"/>
    <w:rsid w:val="00E07616"/>
    <w:rsid w:val="00E078AE"/>
    <w:rsid w:val="00E133DF"/>
    <w:rsid w:val="00E14679"/>
    <w:rsid w:val="00E156EE"/>
    <w:rsid w:val="00E162BE"/>
    <w:rsid w:val="00E23B92"/>
    <w:rsid w:val="00E27F9B"/>
    <w:rsid w:val="00E320C5"/>
    <w:rsid w:val="00E336C6"/>
    <w:rsid w:val="00E33AB8"/>
    <w:rsid w:val="00E34CAE"/>
    <w:rsid w:val="00E35966"/>
    <w:rsid w:val="00E35D52"/>
    <w:rsid w:val="00E40550"/>
    <w:rsid w:val="00E41FAF"/>
    <w:rsid w:val="00E447DD"/>
    <w:rsid w:val="00E506D9"/>
    <w:rsid w:val="00E5154A"/>
    <w:rsid w:val="00E529C0"/>
    <w:rsid w:val="00E52CFC"/>
    <w:rsid w:val="00E568E2"/>
    <w:rsid w:val="00E575F1"/>
    <w:rsid w:val="00E6006C"/>
    <w:rsid w:val="00E61B29"/>
    <w:rsid w:val="00E61B66"/>
    <w:rsid w:val="00E62A6E"/>
    <w:rsid w:val="00E640D6"/>
    <w:rsid w:val="00E64B50"/>
    <w:rsid w:val="00E64DAF"/>
    <w:rsid w:val="00E6582F"/>
    <w:rsid w:val="00E65D4E"/>
    <w:rsid w:val="00E7020F"/>
    <w:rsid w:val="00E709AF"/>
    <w:rsid w:val="00E70B5E"/>
    <w:rsid w:val="00E712EF"/>
    <w:rsid w:val="00E73310"/>
    <w:rsid w:val="00E73C75"/>
    <w:rsid w:val="00E74535"/>
    <w:rsid w:val="00E75CC2"/>
    <w:rsid w:val="00E80D34"/>
    <w:rsid w:val="00E822CC"/>
    <w:rsid w:val="00E82871"/>
    <w:rsid w:val="00E86D0A"/>
    <w:rsid w:val="00E86F03"/>
    <w:rsid w:val="00E87E55"/>
    <w:rsid w:val="00E90252"/>
    <w:rsid w:val="00E903B4"/>
    <w:rsid w:val="00E9068C"/>
    <w:rsid w:val="00E92998"/>
    <w:rsid w:val="00E95934"/>
    <w:rsid w:val="00E95C37"/>
    <w:rsid w:val="00E975AE"/>
    <w:rsid w:val="00E9795E"/>
    <w:rsid w:val="00EA1DAD"/>
    <w:rsid w:val="00EA3142"/>
    <w:rsid w:val="00EA6EA2"/>
    <w:rsid w:val="00EB2BED"/>
    <w:rsid w:val="00EB2DD4"/>
    <w:rsid w:val="00EB33C3"/>
    <w:rsid w:val="00EB404D"/>
    <w:rsid w:val="00EB4390"/>
    <w:rsid w:val="00EC18BE"/>
    <w:rsid w:val="00EC2E71"/>
    <w:rsid w:val="00EC4AC6"/>
    <w:rsid w:val="00EC5D8A"/>
    <w:rsid w:val="00EC78B8"/>
    <w:rsid w:val="00ED19FA"/>
    <w:rsid w:val="00ED1A47"/>
    <w:rsid w:val="00ED6DCF"/>
    <w:rsid w:val="00ED7D2B"/>
    <w:rsid w:val="00ED7D74"/>
    <w:rsid w:val="00EE0922"/>
    <w:rsid w:val="00EE2C31"/>
    <w:rsid w:val="00EE2F27"/>
    <w:rsid w:val="00EE48DE"/>
    <w:rsid w:val="00EE505A"/>
    <w:rsid w:val="00EE5EE3"/>
    <w:rsid w:val="00EE6B8C"/>
    <w:rsid w:val="00EE7006"/>
    <w:rsid w:val="00EE70B7"/>
    <w:rsid w:val="00EF002B"/>
    <w:rsid w:val="00EF05C5"/>
    <w:rsid w:val="00EF1CE8"/>
    <w:rsid w:val="00EF23E5"/>
    <w:rsid w:val="00EF259E"/>
    <w:rsid w:val="00EF3EEF"/>
    <w:rsid w:val="00EF4068"/>
    <w:rsid w:val="00EF4867"/>
    <w:rsid w:val="00EF4A28"/>
    <w:rsid w:val="00EF4EC9"/>
    <w:rsid w:val="00EF741C"/>
    <w:rsid w:val="00EF7CF1"/>
    <w:rsid w:val="00F00F88"/>
    <w:rsid w:val="00F01259"/>
    <w:rsid w:val="00F01441"/>
    <w:rsid w:val="00F02FD1"/>
    <w:rsid w:val="00F031E6"/>
    <w:rsid w:val="00F04790"/>
    <w:rsid w:val="00F04C67"/>
    <w:rsid w:val="00F071B7"/>
    <w:rsid w:val="00F114AC"/>
    <w:rsid w:val="00F136C3"/>
    <w:rsid w:val="00F14F6D"/>
    <w:rsid w:val="00F16CB9"/>
    <w:rsid w:val="00F26469"/>
    <w:rsid w:val="00F30E12"/>
    <w:rsid w:val="00F31143"/>
    <w:rsid w:val="00F31CAB"/>
    <w:rsid w:val="00F367C9"/>
    <w:rsid w:val="00F41F8E"/>
    <w:rsid w:val="00F435FD"/>
    <w:rsid w:val="00F45011"/>
    <w:rsid w:val="00F46011"/>
    <w:rsid w:val="00F4780B"/>
    <w:rsid w:val="00F50FCC"/>
    <w:rsid w:val="00F5109D"/>
    <w:rsid w:val="00F510CA"/>
    <w:rsid w:val="00F531C5"/>
    <w:rsid w:val="00F53C4F"/>
    <w:rsid w:val="00F53F90"/>
    <w:rsid w:val="00F56A14"/>
    <w:rsid w:val="00F6100E"/>
    <w:rsid w:val="00F6211E"/>
    <w:rsid w:val="00F63083"/>
    <w:rsid w:val="00F63BE3"/>
    <w:rsid w:val="00F64AC6"/>
    <w:rsid w:val="00F65897"/>
    <w:rsid w:val="00F66E47"/>
    <w:rsid w:val="00F67F81"/>
    <w:rsid w:val="00F70620"/>
    <w:rsid w:val="00F73187"/>
    <w:rsid w:val="00F73963"/>
    <w:rsid w:val="00F73CB6"/>
    <w:rsid w:val="00F74AA8"/>
    <w:rsid w:val="00F76C9B"/>
    <w:rsid w:val="00F772CC"/>
    <w:rsid w:val="00F812E2"/>
    <w:rsid w:val="00F81796"/>
    <w:rsid w:val="00F821EA"/>
    <w:rsid w:val="00F8263F"/>
    <w:rsid w:val="00F90056"/>
    <w:rsid w:val="00F9149C"/>
    <w:rsid w:val="00F92B1A"/>
    <w:rsid w:val="00F92B36"/>
    <w:rsid w:val="00F94867"/>
    <w:rsid w:val="00F948DC"/>
    <w:rsid w:val="00F97681"/>
    <w:rsid w:val="00F9776B"/>
    <w:rsid w:val="00F97950"/>
    <w:rsid w:val="00FA0B92"/>
    <w:rsid w:val="00FA0DD9"/>
    <w:rsid w:val="00FA0F51"/>
    <w:rsid w:val="00FA39EA"/>
    <w:rsid w:val="00FA3ACE"/>
    <w:rsid w:val="00FA614E"/>
    <w:rsid w:val="00FA66AB"/>
    <w:rsid w:val="00FA66D0"/>
    <w:rsid w:val="00FA751B"/>
    <w:rsid w:val="00FB13C1"/>
    <w:rsid w:val="00FB147E"/>
    <w:rsid w:val="00FB1DD3"/>
    <w:rsid w:val="00FB4959"/>
    <w:rsid w:val="00FB62DD"/>
    <w:rsid w:val="00FB7A3F"/>
    <w:rsid w:val="00FC2056"/>
    <w:rsid w:val="00FC23C9"/>
    <w:rsid w:val="00FC484F"/>
    <w:rsid w:val="00FC5240"/>
    <w:rsid w:val="00FD04AF"/>
    <w:rsid w:val="00FD085C"/>
    <w:rsid w:val="00FD0FF9"/>
    <w:rsid w:val="00FD147C"/>
    <w:rsid w:val="00FD2655"/>
    <w:rsid w:val="00FD7B87"/>
    <w:rsid w:val="00FE1733"/>
    <w:rsid w:val="00FE31E4"/>
    <w:rsid w:val="00FE358B"/>
    <w:rsid w:val="00FE4032"/>
    <w:rsid w:val="00FE4D51"/>
    <w:rsid w:val="00FE5E9E"/>
    <w:rsid w:val="00FF0029"/>
    <w:rsid w:val="00FF0BB1"/>
    <w:rsid w:val="00FF234B"/>
    <w:rsid w:val="00FF339B"/>
    <w:rsid w:val="00FF5FE0"/>
    <w:rsid w:val="00FF6DA0"/>
    <w:rsid w:val="00FF6F8B"/>
    <w:rsid w:val="00FF77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25A"/>
    <w:rPr>
      <w:sz w:val="24"/>
      <w:szCs w:val="24"/>
    </w:rPr>
  </w:style>
  <w:style w:type="paragraph" w:styleId="Heading1">
    <w:name w:val="heading 1"/>
    <w:basedOn w:val="Normal"/>
    <w:next w:val="Normal"/>
    <w:link w:val="Heading1Char"/>
    <w:uiPriority w:val="9"/>
    <w:qFormat/>
    <w:rsid w:val="00FC2056"/>
    <w:pPr>
      <w:keepNext/>
      <w:keepLines/>
      <w:spacing w:before="480"/>
      <w:outlineLvl w:val="0"/>
    </w:pPr>
    <w:rPr>
      <w:rFonts w:eastAsiaTheme="majorEastAsia" w:cstheme="majorBidi"/>
      <w:b/>
      <w:bCs/>
      <w:szCs w:val="28"/>
      <w:u w:val="single"/>
    </w:rPr>
  </w:style>
  <w:style w:type="paragraph" w:styleId="Heading4">
    <w:name w:val="heading 4"/>
    <w:basedOn w:val="Normal"/>
    <w:next w:val="BodyText"/>
    <w:link w:val="Heading4Char"/>
    <w:qFormat/>
    <w:rsid w:val="00D64B12"/>
    <w:pPr>
      <w:spacing w:after="240"/>
      <w:ind w:left="2040" w:hanging="840"/>
      <w:outlineLvl w:val="3"/>
    </w:pPr>
    <w:rPr>
      <w:b/>
      <w:sz w:val="26"/>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E125A"/>
    <w:pPr>
      <w:tabs>
        <w:tab w:val="center" w:pos="4320"/>
        <w:tab w:val="right" w:pos="8640"/>
      </w:tabs>
    </w:pPr>
  </w:style>
  <w:style w:type="character" w:styleId="PageNumber">
    <w:name w:val="page number"/>
    <w:basedOn w:val="DefaultParagraphFont"/>
    <w:rsid w:val="008E125A"/>
  </w:style>
  <w:style w:type="paragraph" w:customStyle="1" w:styleId="DWTNorm">
    <w:name w:val="DWTNorm"/>
    <w:basedOn w:val="Normal"/>
    <w:rsid w:val="008E125A"/>
    <w:pPr>
      <w:spacing w:after="240"/>
      <w:ind w:firstLine="720"/>
    </w:pPr>
    <w:rPr>
      <w:szCs w:val="20"/>
    </w:rPr>
  </w:style>
  <w:style w:type="paragraph" w:customStyle="1" w:styleId="OutHead1">
    <w:name w:val="OutHead1"/>
    <w:basedOn w:val="Normal"/>
    <w:next w:val="DWTNorm"/>
    <w:rsid w:val="008E125A"/>
    <w:pPr>
      <w:keepNext/>
      <w:numPr>
        <w:numId w:val="1"/>
      </w:numPr>
      <w:spacing w:after="240"/>
      <w:jc w:val="center"/>
      <w:outlineLvl w:val="0"/>
    </w:pPr>
    <w:rPr>
      <w:b/>
      <w:caps/>
      <w:color w:val="000000"/>
      <w:szCs w:val="20"/>
    </w:rPr>
  </w:style>
  <w:style w:type="paragraph" w:customStyle="1" w:styleId="OutHead2">
    <w:name w:val="OutHead2"/>
    <w:basedOn w:val="Normal"/>
    <w:next w:val="DWTNorm"/>
    <w:rsid w:val="008E125A"/>
    <w:pPr>
      <w:keepNext/>
      <w:numPr>
        <w:ilvl w:val="1"/>
        <w:numId w:val="1"/>
      </w:numPr>
      <w:spacing w:after="240"/>
      <w:outlineLvl w:val="1"/>
    </w:pPr>
    <w:rPr>
      <w:b/>
      <w:color w:val="000000"/>
      <w:szCs w:val="20"/>
    </w:rPr>
  </w:style>
  <w:style w:type="paragraph" w:customStyle="1" w:styleId="OutHead3">
    <w:name w:val="OutHead3"/>
    <w:basedOn w:val="Normal"/>
    <w:next w:val="DWTNorm"/>
    <w:rsid w:val="008E125A"/>
    <w:pPr>
      <w:keepNext/>
      <w:numPr>
        <w:ilvl w:val="2"/>
        <w:numId w:val="1"/>
      </w:numPr>
      <w:spacing w:after="240"/>
      <w:outlineLvl w:val="2"/>
    </w:pPr>
    <w:rPr>
      <w:b/>
      <w:color w:val="000000"/>
      <w:szCs w:val="20"/>
    </w:rPr>
  </w:style>
  <w:style w:type="paragraph" w:customStyle="1" w:styleId="OutHead4">
    <w:name w:val="OutHead4"/>
    <w:basedOn w:val="Normal"/>
    <w:next w:val="DWTNorm"/>
    <w:rsid w:val="008E125A"/>
    <w:pPr>
      <w:keepNext/>
      <w:numPr>
        <w:ilvl w:val="3"/>
        <w:numId w:val="1"/>
      </w:numPr>
      <w:spacing w:after="240"/>
      <w:outlineLvl w:val="3"/>
    </w:pPr>
    <w:rPr>
      <w:b/>
      <w:color w:val="000000"/>
      <w:szCs w:val="20"/>
    </w:rPr>
  </w:style>
  <w:style w:type="paragraph" w:customStyle="1" w:styleId="OutHead5">
    <w:name w:val="OutHead5"/>
    <w:basedOn w:val="Normal"/>
    <w:next w:val="DWTNorm"/>
    <w:rsid w:val="008E125A"/>
    <w:pPr>
      <w:keepNext/>
      <w:numPr>
        <w:ilvl w:val="4"/>
        <w:numId w:val="1"/>
      </w:numPr>
      <w:spacing w:after="240"/>
      <w:outlineLvl w:val="4"/>
    </w:pPr>
    <w:rPr>
      <w:b/>
      <w:color w:val="000000"/>
      <w:szCs w:val="20"/>
    </w:rPr>
  </w:style>
  <w:style w:type="paragraph" w:customStyle="1" w:styleId="OutHead6">
    <w:name w:val="OutHead6"/>
    <w:basedOn w:val="Normal"/>
    <w:next w:val="DWTNorm"/>
    <w:rsid w:val="008E125A"/>
    <w:pPr>
      <w:keepNext/>
      <w:numPr>
        <w:ilvl w:val="5"/>
        <w:numId w:val="1"/>
      </w:numPr>
      <w:spacing w:after="240"/>
      <w:outlineLvl w:val="5"/>
    </w:pPr>
    <w:rPr>
      <w:b/>
      <w:color w:val="000000"/>
      <w:szCs w:val="20"/>
    </w:rPr>
  </w:style>
  <w:style w:type="paragraph" w:customStyle="1" w:styleId="OutHead7">
    <w:name w:val="OutHead7"/>
    <w:basedOn w:val="Normal"/>
    <w:next w:val="DWTNorm"/>
    <w:rsid w:val="008E125A"/>
    <w:pPr>
      <w:keepNext/>
      <w:numPr>
        <w:ilvl w:val="6"/>
        <w:numId w:val="1"/>
      </w:numPr>
      <w:spacing w:after="240"/>
      <w:outlineLvl w:val="6"/>
    </w:pPr>
    <w:rPr>
      <w:b/>
      <w:color w:val="000000"/>
      <w:szCs w:val="20"/>
    </w:rPr>
  </w:style>
  <w:style w:type="paragraph" w:customStyle="1" w:styleId="OutHead8">
    <w:name w:val="OutHead8"/>
    <w:basedOn w:val="Normal"/>
    <w:next w:val="DWTNorm"/>
    <w:rsid w:val="008E125A"/>
    <w:pPr>
      <w:keepNext/>
      <w:numPr>
        <w:ilvl w:val="7"/>
        <w:numId w:val="1"/>
      </w:numPr>
      <w:spacing w:after="240"/>
      <w:outlineLvl w:val="7"/>
    </w:pPr>
    <w:rPr>
      <w:b/>
      <w:color w:val="000000"/>
      <w:szCs w:val="20"/>
    </w:rPr>
  </w:style>
  <w:style w:type="character" w:styleId="LineNumber">
    <w:name w:val="line number"/>
    <w:basedOn w:val="DefaultParagraphFont"/>
    <w:rsid w:val="008E125A"/>
  </w:style>
  <w:style w:type="paragraph" w:styleId="FootnoteText">
    <w:name w:val="footnote text"/>
    <w:aliases w:val="Footnote Text Char1 Char,Footnote Text Char2 Char1 Char,Footnote Text Char Char Char Char,Footnote Text Char2 Char Char Char Char,Footnote Text Char1 Char Char Char Char Char,Footnote Text Char2,Footnote Text Char Char,f"/>
    <w:basedOn w:val="Normal"/>
    <w:link w:val="FootnoteTextChar"/>
    <w:uiPriority w:val="99"/>
    <w:qFormat/>
    <w:rsid w:val="0078756D"/>
    <w:rPr>
      <w:sz w:val="20"/>
      <w:szCs w:val="20"/>
    </w:rPr>
  </w:style>
  <w:style w:type="character" w:styleId="FootnoteReference">
    <w:name w:val="footnote reference"/>
    <w:aliases w:val="Style 3,Footnote 1r,Style 13,Style 12,fr,Style 28,(NECG) Footnote Reference,Style 11,Style 9,o,Style 16,Style 15,Style 17,Style 20,o1,fr1,o2,fr2,o3,fr3,Style 8,Style 7,Style 19,Appel note de bas de p,FR,Style 124,callout,FC,Style 6,o4"/>
    <w:basedOn w:val="DefaultParagraphFont"/>
    <w:uiPriority w:val="99"/>
    <w:qFormat/>
    <w:rsid w:val="0078756D"/>
    <w:rPr>
      <w:vertAlign w:val="superscript"/>
    </w:rPr>
  </w:style>
  <w:style w:type="character" w:customStyle="1" w:styleId="FootnoteTextChar">
    <w:name w:val="Footnote Text Char"/>
    <w:aliases w:val="Footnote Text Char1 Char Char1,Footnote Text Char2 Char1 Char Char1,Footnote Text Char Char Char Char Char1,Footnote Text Char2 Char Char Char Char Char1,Footnote Text Char1 Char Char Char Char Char Char1,Footnote Text Char2 Char"/>
    <w:basedOn w:val="DefaultParagraphFont"/>
    <w:link w:val="FootnoteText"/>
    <w:rsid w:val="00B323B3"/>
    <w:rPr>
      <w:lang w:val="en-US" w:eastAsia="en-US" w:bidi="ar-SA"/>
    </w:rPr>
  </w:style>
  <w:style w:type="paragraph" w:styleId="BodyText">
    <w:name w:val="Body Text"/>
    <w:basedOn w:val="Normal"/>
    <w:rsid w:val="0064465E"/>
    <w:pPr>
      <w:spacing w:after="240"/>
      <w:ind w:firstLine="720"/>
    </w:pPr>
  </w:style>
  <w:style w:type="character" w:styleId="CommentReference">
    <w:name w:val="annotation reference"/>
    <w:basedOn w:val="DefaultParagraphFont"/>
    <w:semiHidden/>
    <w:rsid w:val="00671B42"/>
    <w:rPr>
      <w:sz w:val="16"/>
      <w:szCs w:val="16"/>
    </w:rPr>
  </w:style>
  <w:style w:type="paragraph" w:styleId="CommentText">
    <w:name w:val="annotation text"/>
    <w:basedOn w:val="Normal"/>
    <w:semiHidden/>
    <w:rsid w:val="00671B42"/>
    <w:rPr>
      <w:sz w:val="20"/>
      <w:szCs w:val="20"/>
    </w:rPr>
  </w:style>
  <w:style w:type="paragraph" w:styleId="CommentSubject">
    <w:name w:val="annotation subject"/>
    <w:basedOn w:val="CommentText"/>
    <w:next w:val="CommentText"/>
    <w:semiHidden/>
    <w:rsid w:val="00671B42"/>
    <w:rPr>
      <w:b/>
      <w:bCs/>
    </w:rPr>
  </w:style>
  <w:style w:type="paragraph" w:styleId="BalloonText">
    <w:name w:val="Balloon Text"/>
    <w:basedOn w:val="Normal"/>
    <w:semiHidden/>
    <w:rsid w:val="00671B42"/>
    <w:rPr>
      <w:rFonts w:ascii="Tahoma" w:hAnsi="Tahoma" w:cs="Tahoma"/>
      <w:sz w:val="16"/>
      <w:szCs w:val="16"/>
    </w:rPr>
  </w:style>
  <w:style w:type="paragraph" w:styleId="Header">
    <w:name w:val="header"/>
    <w:basedOn w:val="Normal"/>
    <w:rsid w:val="00671B42"/>
    <w:pPr>
      <w:tabs>
        <w:tab w:val="center" w:pos="4320"/>
        <w:tab w:val="right" w:pos="8640"/>
      </w:tabs>
    </w:pPr>
  </w:style>
  <w:style w:type="paragraph" w:styleId="ListParagraph">
    <w:name w:val="List Paragraph"/>
    <w:basedOn w:val="Normal"/>
    <w:uiPriority w:val="34"/>
    <w:qFormat/>
    <w:rsid w:val="00E95C37"/>
    <w:pPr>
      <w:ind w:left="720"/>
      <w:contextualSpacing/>
    </w:pPr>
  </w:style>
  <w:style w:type="paragraph" w:styleId="Revision">
    <w:name w:val="Revision"/>
    <w:hidden/>
    <w:uiPriority w:val="99"/>
    <w:semiHidden/>
    <w:rsid w:val="00F4780B"/>
    <w:rPr>
      <w:sz w:val="24"/>
      <w:szCs w:val="24"/>
    </w:rPr>
  </w:style>
  <w:style w:type="character" w:styleId="Hyperlink">
    <w:name w:val="Hyperlink"/>
    <w:basedOn w:val="DefaultParagraphFont"/>
    <w:uiPriority w:val="99"/>
    <w:unhideWhenUsed/>
    <w:rsid w:val="009D5BF9"/>
    <w:rPr>
      <w:color w:val="0000FF" w:themeColor="hyperlink"/>
      <w:u w:val="single"/>
    </w:rPr>
  </w:style>
  <w:style w:type="character" w:customStyle="1" w:styleId="Heading4Char">
    <w:name w:val="Heading 4 Char"/>
    <w:basedOn w:val="DefaultParagraphFont"/>
    <w:link w:val="Heading4"/>
    <w:rsid w:val="00D64B12"/>
    <w:rPr>
      <w:b/>
      <w:sz w:val="26"/>
      <w:szCs w:val="26"/>
      <w:u w:val="single"/>
    </w:rPr>
  </w:style>
  <w:style w:type="paragraph" w:styleId="Caption">
    <w:name w:val="caption"/>
    <w:basedOn w:val="Normal"/>
    <w:next w:val="Normal"/>
    <w:uiPriority w:val="35"/>
    <w:unhideWhenUsed/>
    <w:qFormat/>
    <w:rsid w:val="002B54BF"/>
    <w:pPr>
      <w:spacing w:after="200"/>
    </w:pPr>
    <w:rPr>
      <w:i/>
      <w:iCs/>
      <w:color w:val="1F497D" w:themeColor="text2"/>
      <w:sz w:val="18"/>
      <w:szCs w:val="18"/>
    </w:rPr>
  </w:style>
  <w:style w:type="character" w:styleId="FollowedHyperlink">
    <w:name w:val="FollowedHyperlink"/>
    <w:basedOn w:val="DefaultParagraphFont"/>
    <w:uiPriority w:val="99"/>
    <w:semiHidden/>
    <w:unhideWhenUsed/>
    <w:rsid w:val="00937E3B"/>
    <w:rPr>
      <w:color w:val="800080" w:themeColor="followedHyperlink"/>
      <w:u w:val="single"/>
    </w:rPr>
  </w:style>
  <w:style w:type="character" w:customStyle="1" w:styleId="sssh">
    <w:name w:val="ss_sh"/>
    <w:basedOn w:val="DefaultParagraphFont"/>
    <w:rsid w:val="00674578"/>
  </w:style>
  <w:style w:type="character" w:customStyle="1" w:styleId="Heading1Char">
    <w:name w:val="Heading 1 Char"/>
    <w:basedOn w:val="DefaultParagraphFont"/>
    <w:link w:val="Heading1"/>
    <w:uiPriority w:val="9"/>
    <w:rsid w:val="00FC2056"/>
    <w:rPr>
      <w:rFonts w:eastAsiaTheme="majorEastAsia" w:cstheme="majorBidi"/>
      <w:b/>
      <w:bCs/>
      <w:sz w:val="24"/>
      <w:szCs w:val="28"/>
      <w:u w:val="single"/>
    </w:rPr>
  </w:style>
  <w:style w:type="paragraph" w:styleId="TOCHeading">
    <w:name w:val="TOC Heading"/>
    <w:basedOn w:val="Heading1"/>
    <w:next w:val="Normal"/>
    <w:uiPriority w:val="39"/>
    <w:semiHidden/>
    <w:unhideWhenUsed/>
    <w:qFormat/>
    <w:rsid w:val="00FC2056"/>
    <w:pPr>
      <w:spacing w:line="276" w:lineRule="auto"/>
      <w:outlineLvl w:val="9"/>
    </w:pPr>
  </w:style>
  <w:style w:type="paragraph" w:styleId="TOC1">
    <w:name w:val="toc 1"/>
    <w:basedOn w:val="Normal"/>
    <w:next w:val="Normal"/>
    <w:autoRedefine/>
    <w:uiPriority w:val="39"/>
    <w:unhideWhenUsed/>
    <w:rsid w:val="00FC2056"/>
    <w:pPr>
      <w:spacing w:after="100"/>
    </w:pPr>
  </w:style>
  <w:style w:type="character" w:customStyle="1" w:styleId="FootnoteTextChar1">
    <w:name w:val="Footnote Text Char1"/>
    <w:aliases w:val="Footnote Text Char Char1,Footnote Text Char1 Char Char,Footnote Text Char2 Char1 Char Char,Footnote Text Char Char Char Char Char,Footnote Text Char2 Char Char Char Char Char,Footnote Text Char1 Char Char Char Char Char Char,f Char"/>
    <w:basedOn w:val="DefaultParagraphFont"/>
    <w:uiPriority w:val="99"/>
    <w:rsid w:val="00B27B7C"/>
    <w:rPr>
      <w:lang w:val="en-US" w:eastAsia="en-US" w:bidi="ar-SA"/>
    </w:rPr>
  </w:style>
  <w:style w:type="paragraph" w:customStyle="1" w:styleId="Answer">
    <w:name w:val="Answer"/>
    <w:basedOn w:val="Normal"/>
    <w:link w:val="AnswerChar"/>
    <w:rsid w:val="00B27B7C"/>
    <w:pPr>
      <w:spacing w:line="480" w:lineRule="atLeast"/>
      <w:ind w:left="547" w:hanging="547"/>
      <w:jc w:val="both"/>
    </w:pPr>
    <w:rPr>
      <w:szCs w:val="20"/>
    </w:rPr>
  </w:style>
  <w:style w:type="character" w:customStyle="1" w:styleId="AnswerChar">
    <w:name w:val="Answer Char"/>
    <w:link w:val="Answer"/>
    <w:rsid w:val="00B27B7C"/>
    <w:rPr>
      <w:sz w:val="24"/>
    </w:rPr>
  </w:style>
  <w:style w:type="table" w:styleId="TableGrid">
    <w:name w:val="Table Grid"/>
    <w:basedOn w:val="TableNormal"/>
    <w:uiPriority w:val="59"/>
    <w:rsid w:val="00506D12"/>
    <w:rPr>
      <w:rFonts w:eastAsiaTheme="minorHAnsi"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975935">
      <w:bodyDiv w:val="1"/>
      <w:marLeft w:val="0"/>
      <w:marRight w:val="0"/>
      <w:marTop w:val="0"/>
      <w:marBottom w:val="0"/>
      <w:divBdr>
        <w:top w:val="none" w:sz="0" w:space="0" w:color="auto"/>
        <w:left w:val="none" w:sz="0" w:space="0" w:color="auto"/>
        <w:bottom w:val="none" w:sz="0" w:space="0" w:color="auto"/>
        <w:right w:val="none" w:sz="0" w:space="0" w:color="auto"/>
      </w:divBdr>
    </w:div>
    <w:div w:id="184682969">
      <w:bodyDiv w:val="1"/>
      <w:marLeft w:val="0"/>
      <w:marRight w:val="0"/>
      <w:marTop w:val="0"/>
      <w:marBottom w:val="0"/>
      <w:divBdr>
        <w:top w:val="none" w:sz="0" w:space="0" w:color="auto"/>
        <w:left w:val="none" w:sz="0" w:space="0" w:color="auto"/>
        <w:bottom w:val="none" w:sz="0" w:space="0" w:color="auto"/>
        <w:right w:val="none" w:sz="0" w:space="0" w:color="auto"/>
      </w:divBdr>
    </w:div>
    <w:div w:id="662659293">
      <w:bodyDiv w:val="1"/>
      <w:marLeft w:val="0"/>
      <w:marRight w:val="0"/>
      <w:marTop w:val="0"/>
      <w:marBottom w:val="0"/>
      <w:divBdr>
        <w:top w:val="none" w:sz="0" w:space="0" w:color="auto"/>
        <w:left w:val="none" w:sz="0" w:space="0" w:color="auto"/>
        <w:bottom w:val="none" w:sz="0" w:space="0" w:color="auto"/>
        <w:right w:val="none" w:sz="0" w:space="0" w:color="auto"/>
      </w:divBdr>
    </w:div>
    <w:div w:id="796290345">
      <w:bodyDiv w:val="1"/>
      <w:marLeft w:val="0"/>
      <w:marRight w:val="0"/>
      <w:marTop w:val="0"/>
      <w:marBottom w:val="0"/>
      <w:divBdr>
        <w:top w:val="none" w:sz="0" w:space="0" w:color="auto"/>
        <w:left w:val="none" w:sz="0" w:space="0" w:color="auto"/>
        <w:bottom w:val="none" w:sz="0" w:space="0" w:color="auto"/>
        <w:right w:val="none" w:sz="0" w:space="0" w:color="auto"/>
      </w:divBdr>
    </w:div>
    <w:div w:id="1051810611">
      <w:bodyDiv w:val="1"/>
      <w:marLeft w:val="0"/>
      <w:marRight w:val="0"/>
      <w:marTop w:val="0"/>
      <w:marBottom w:val="0"/>
      <w:divBdr>
        <w:top w:val="none" w:sz="0" w:space="0" w:color="auto"/>
        <w:left w:val="none" w:sz="0" w:space="0" w:color="auto"/>
        <w:bottom w:val="none" w:sz="0" w:space="0" w:color="auto"/>
        <w:right w:val="none" w:sz="0" w:space="0" w:color="auto"/>
      </w:divBdr>
      <w:divsChild>
        <w:div w:id="199823256">
          <w:marLeft w:val="0"/>
          <w:marRight w:val="0"/>
          <w:marTop w:val="0"/>
          <w:marBottom w:val="0"/>
          <w:divBdr>
            <w:top w:val="none" w:sz="0" w:space="0" w:color="auto"/>
            <w:left w:val="none" w:sz="0" w:space="0" w:color="auto"/>
            <w:bottom w:val="none" w:sz="0" w:space="0" w:color="auto"/>
            <w:right w:val="none" w:sz="0" w:space="0" w:color="auto"/>
          </w:divBdr>
        </w:div>
      </w:divsChild>
    </w:div>
    <w:div w:id="1067265780">
      <w:bodyDiv w:val="1"/>
      <w:marLeft w:val="0"/>
      <w:marRight w:val="0"/>
      <w:marTop w:val="0"/>
      <w:marBottom w:val="0"/>
      <w:divBdr>
        <w:top w:val="none" w:sz="0" w:space="0" w:color="auto"/>
        <w:left w:val="none" w:sz="0" w:space="0" w:color="auto"/>
        <w:bottom w:val="none" w:sz="0" w:space="0" w:color="auto"/>
        <w:right w:val="none" w:sz="0" w:space="0" w:color="auto"/>
      </w:divBdr>
    </w:div>
    <w:div w:id="1565876426">
      <w:bodyDiv w:val="1"/>
      <w:marLeft w:val="0"/>
      <w:marRight w:val="0"/>
      <w:marTop w:val="0"/>
      <w:marBottom w:val="0"/>
      <w:divBdr>
        <w:top w:val="none" w:sz="0" w:space="0" w:color="auto"/>
        <w:left w:val="none" w:sz="0" w:space="0" w:color="auto"/>
        <w:bottom w:val="none" w:sz="0" w:space="0" w:color="auto"/>
        <w:right w:val="none" w:sz="0" w:space="0" w:color="auto"/>
      </w:divBdr>
    </w:div>
    <w:div w:id="198889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image" Target="media/image2.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sec.gov/Archives/edgar/data/794323/000079432316000025/lvlt-123115_10k.htm" TargetMode="External"/><Relationship Id="rId3" Type="http://schemas.openxmlformats.org/officeDocument/2006/relationships/hyperlink" Target="https://www.sec.gov/Archives/edgar/data/794323/000079432316000037/lvlt-063016_10q.htm" TargetMode="External"/><Relationship Id="rId7" Type="http://schemas.openxmlformats.org/officeDocument/2006/relationships/hyperlink" Target="https://www.sec.gov/Archives/edgar/data/18926/000119312516753764/d272595dex993.htm" TargetMode="External"/><Relationship Id="rId12" Type="http://schemas.openxmlformats.org/officeDocument/2006/relationships/hyperlink" Target="https://www.sec.gov/Archives/edgar/data/18926/000001892616000070/ctl2016093010q.htm" TargetMode="External"/><Relationship Id="rId2" Type="http://schemas.openxmlformats.org/officeDocument/2006/relationships/hyperlink" Target="https://www.sec.gov/Archives/edgar/data/18926/000119312516753764/d272595dex992.htm" TargetMode="External"/><Relationship Id="rId1" Type="http://schemas.openxmlformats.org/officeDocument/2006/relationships/hyperlink" Target="https://www.sec.gov/Archives/edgar/data/18926/000119312516753764/d272595dex991.htm" TargetMode="External"/><Relationship Id="rId6" Type="http://schemas.openxmlformats.org/officeDocument/2006/relationships/hyperlink" Target="https://www.sec.gov/Archives/edgar/data/18926/000001892616000070/ctl2016093010q.htm" TargetMode="External"/><Relationship Id="rId11" Type="http://schemas.openxmlformats.org/officeDocument/2006/relationships/hyperlink" Target="https://www.sec.gov/Archives/edgar/data/18926/000119312517011326/d282157ds4a.htm" TargetMode="External"/><Relationship Id="rId5" Type="http://schemas.openxmlformats.org/officeDocument/2006/relationships/hyperlink" Target="https://ecfsapi.fcc.gov/file/1220018093230/CTL-L3%20FCC%20Application%20Supplement%2012-19-16.pdf" TargetMode="External"/><Relationship Id="rId10" Type="http://schemas.openxmlformats.org/officeDocument/2006/relationships/hyperlink" Target="https://www.sec.gov/Archives/edgar/data/18926/000001892616000047/ctl-2015123110k.htm" TargetMode="External"/><Relationship Id="rId4" Type="http://schemas.openxmlformats.org/officeDocument/2006/relationships/hyperlink" Target="https://www.sec.gov/Archives/edgar/data/794323/000079432316000039/lvlt-093016_10q.htm" TargetMode="External"/><Relationship Id="rId9" Type="http://schemas.openxmlformats.org/officeDocument/2006/relationships/hyperlink" Target="https://www.sec.gov/Archives/edgar/data/794323/000079432316000039/lvlt-093016_10q.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CFF17F3D31B184CABF974A4538DC2FE" ma:contentTypeVersion="92" ma:contentTypeDescription="" ma:contentTypeScope="" ma:versionID="5400bd5770142ed961d0b6515d9e71d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Transfer of Property</CaseType>
    <IndustryCode xmlns="dc463f71-b30c-4ab2-9473-d307f9d35888">170</IndustryCode>
    <CaseStatus xmlns="dc463f71-b30c-4ab2-9473-d307f9d35888">Formal</CaseStatus>
    <OpenedDate xmlns="dc463f71-b30c-4ab2-9473-d307f9d35888">2017-01-17T08:00:00+00:00</OpenedDate>
    <Date1 xmlns="dc463f71-b30c-4ab2-9473-d307f9d35888">2017-02-10T08:00:00+00:00</Date1>
    <IsDocumentOrder xmlns="dc463f71-b30c-4ab2-9473-d307f9d35888" xsi:nil="true"/>
    <IsHighlyConfidential xmlns="dc463f71-b30c-4ab2-9473-d307f9d35888">false</IsHighlyConfidential>
    <CaseCompanyNames xmlns="dc463f71-b30c-4ab2-9473-d307f9d35888">Level 3 Communications, LLC;Level 3 Telecom of Washington, LLC;Broadwing Communications, LLC;WilTel Communications, LLC;Global Crossing Local Services, Inc.;Global Crossing Telecommunications, Inc.</CaseCompanyNames>
    <Nickname xmlns="http://schemas.microsoft.com/sharepoint/v3" xsi:nil="true"/>
    <DocketNumber xmlns="dc463f71-b30c-4ab2-9473-d307f9d35888">170042</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D91315EB-1253-44E9-897B-CABA9A255686}">
  <ds:schemaRefs>
    <ds:schemaRef ds:uri="http://schemas.openxmlformats.org/officeDocument/2006/bibliography"/>
  </ds:schemaRefs>
</ds:datastoreItem>
</file>

<file path=customXml/itemProps2.xml><?xml version="1.0" encoding="utf-8"?>
<ds:datastoreItem xmlns:ds="http://schemas.openxmlformats.org/officeDocument/2006/customXml" ds:itemID="{D83E0E56-9F01-436D-8F15-6DC1C1FD5287}"/>
</file>

<file path=customXml/itemProps3.xml><?xml version="1.0" encoding="utf-8"?>
<ds:datastoreItem xmlns:ds="http://schemas.openxmlformats.org/officeDocument/2006/customXml" ds:itemID="{80F08099-B4E7-4350-B10A-490217992201}"/>
</file>

<file path=customXml/itemProps4.xml><?xml version="1.0" encoding="utf-8"?>
<ds:datastoreItem xmlns:ds="http://schemas.openxmlformats.org/officeDocument/2006/customXml" ds:itemID="{40656BCB-E8EB-4086-8C7A-236242EDE366}"/>
</file>

<file path=customXml/itemProps5.xml><?xml version="1.0" encoding="utf-8"?>
<ds:datastoreItem xmlns:ds="http://schemas.openxmlformats.org/officeDocument/2006/customXml" ds:itemID="{F98ACEF2-6241-43FC-B84E-19D0A4183072}"/>
</file>

<file path=docProps/app.xml><?xml version="1.0" encoding="utf-8"?>
<Properties xmlns="http://schemas.openxmlformats.org/officeDocument/2006/extended-properties" xmlns:vt="http://schemas.openxmlformats.org/officeDocument/2006/docPropsVTypes">
  <Template>Normal.dotm</Template>
  <TotalTime>92</TotalTime>
  <Pages>36</Pages>
  <Words>6191</Words>
  <Characters>35615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CenturyTel Financial Draft</dc:creator>
  <cp:lastModifiedBy>CenturyLink Employee</cp:lastModifiedBy>
  <cp:revision>4</cp:revision>
  <cp:lastPrinted>2017-02-10T20:55:00Z</cp:lastPrinted>
  <dcterms:created xsi:type="dcterms:W3CDTF">2017-02-10T18:37:00Z</dcterms:created>
  <dcterms:modified xsi:type="dcterms:W3CDTF">2017-02-10T21:10:00Z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0x0101006E56B4D1795A2E4DB2F0B01679ED314A007CFF17F3D31B184CABF974A4538DC2FE</vt:lpwstr>
  </property>
  <property fmtid="{D5CDD505-2E9C-101B-9397-08002B2CF9AE}" pid="4" name="_docset_NoMedatataSyncRequired">
    <vt:lpwstr>False</vt:lpwstr>
  </property>
  <property fmtid="{D5CDD505-2E9C-101B-9397-08002B2CF9AE}" pid="5" name="IsEFSEC">
    <vt:bool>false</vt:bool>
  </property>
</Properties>
</file>