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D1973" w14:textId="3A565F59" w:rsidR="00045148" w:rsidRPr="00045148" w:rsidRDefault="003E7037" w:rsidP="00B12366">
      <w:pPr>
        <w:pStyle w:val="IRPtitl"/>
        <w:rPr>
          <w:sz w:val="48"/>
          <w:szCs w:val="48"/>
        </w:rPr>
      </w:pPr>
      <w:r>
        <w:rPr>
          <w:sz w:val="48"/>
          <w:szCs w:val="48"/>
        </w:rPr>
        <w:t>DEMAND FORECASTS</w:t>
      </w:r>
      <w:r w:rsidR="00045148" w:rsidRPr="00045148">
        <w:rPr>
          <w:sz w:val="48"/>
          <w:szCs w:val="48"/>
        </w:rPr>
        <w:br/>
      </w:r>
      <w:r w:rsidR="0057131A">
        <w:rPr>
          <w:noProof/>
          <w:color w:val="FFFFFF" w:themeColor="background1"/>
          <w:sz w:val="48"/>
          <w:szCs w:val="48"/>
          <w:lang w:eastAsia="en-US"/>
        </w:rPr>
        <mc:AlternateContent>
          <mc:Choice Requires="wps">
            <w:drawing>
              <wp:anchor distT="0" distB="0" distL="0" distR="182880" simplePos="0" relativeHeight="251661312" behindDoc="0" locked="0" layoutInCell="1" allowOverlap="1" wp14:anchorId="05B4C2C5" wp14:editId="43E4C495">
                <wp:simplePos x="0" y="0"/>
                <wp:positionH relativeFrom="margin">
                  <wp:posOffset>51435</wp:posOffset>
                </wp:positionH>
                <wp:positionV relativeFrom="line">
                  <wp:posOffset>220980</wp:posOffset>
                </wp:positionV>
                <wp:extent cx="2743200" cy="4340860"/>
                <wp:effectExtent l="0" t="0" r="0" b="2540"/>
                <wp:wrapThrough wrapText="right">
                  <wp:wrapPolygon edited="0">
                    <wp:start x="0" y="0"/>
                    <wp:lineTo x="0" y="21486"/>
                    <wp:lineTo x="21400" y="21486"/>
                    <wp:lineTo x="21400"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340860"/>
                        </a:xfrm>
                        <a:prstGeom prst="rect">
                          <a:avLst/>
                        </a:prstGeom>
                        <a:solidFill>
                          <a:srgbClr val="71BB32"/>
                        </a:solidFill>
                        <a:ln>
                          <a:noFill/>
                        </a:ln>
                        <a:extLst/>
                      </wps:spPr>
                      <wps:txbx>
                        <w:txbxContent>
                          <w:p w14:paraId="0C6740D6" w14:textId="77777777" w:rsidR="00CA6E29" w:rsidRPr="00771D35" w:rsidRDefault="00CA6E29" w:rsidP="00601E72">
                            <w:pPr>
                              <w:pStyle w:val="IRPsub1"/>
                              <w:rPr>
                                <w:i w:val="0"/>
                                <w:sz w:val="32"/>
                                <w:szCs w:val="32"/>
                              </w:rPr>
                            </w:pPr>
                            <w:r>
                              <w:rPr>
                                <w:i w:val="0"/>
                                <w:sz w:val="32"/>
                                <w:szCs w:val="32"/>
                              </w:rPr>
                              <w:t>Contents</w:t>
                            </w:r>
                          </w:p>
                          <w:p w14:paraId="702EFE06" w14:textId="77777777" w:rsidR="00CA6E29" w:rsidRDefault="00CA6E29" w:rsidP="00B12366">
                            <w:pPr>
                              <w:pStyle w:val="IRPsub1"/>
                              <w:spacing w:before="80" w:after="80"/>
                              <w:rPr>
                                <w:b/>
                                <w:color w:val="02265C"/>
                              </w:rPr>
                            </w:pPr>
                            <w:r>
                              <w:rPr>
                                <w:b/>
                                <w:color w:val="02265C"/>
                              </w:rPr>
                              <w:t>5-2. OVERVIEW</w:t>
                            </w:r>
                          </w:p>
                          <w:p w14:paraId="55D4136E" w14:textId="77777777" w:rsidR="00CA6E29" w:rsidRDefault="00CA6E29" w:rsidP="00B12366">
                            <w:pPr>
                              <w:pStyle w:val="IRPsub1"/>
                              <w:spacing w:before="80" w:after="80"/>
                              <w:rPr>
                                <w:b/>
                                <w:color w:val="02265C"/>
                              </w:rPr>
                            </w:pPr>
                            <w:r>
                              <w:rPr>
                                <w:b/>
                                <w:color w:val="02265C"/>
                              </w:rPr>
                              <w:t>5-7. METHODOLOGIES</w:t>
                            </w:r>
                          </w:p>
                          <w:p w14:paraId="43FA487D" w14:textId="77777777" w:rsidR="00CA6E29" w:rsidRPr="00771D35" w:rsidRDefault="00CA6E29" w:rsidP="00C12FBA">
                            <w:pPr>
                              <w:pStyle w:val="IRPsub1"/>
                              <w:numPr>
                                <w:ilvl w:val="0"/>
                                <w:numId w:val="2"/>
                              </w:numPr>
                              <w:spacing w:before="80" w:after="80"/>
                              <w:rPr>
                                <w:color w:val="02265C"/>
                              </w:rPr>
                            </w:pPr>
                            <w:r>
                              <w:rPr>
                                <w:color w:val="02265C"/>
                              </w:rPr>
                              <w:t>System-level Methodology</w:t>
                            </w:r>
                          </w:p>
                          <w:p w14:paraId="73BBC1F8" w14:textId="77777777" w:rsidR="00CA6E29" w:rsidRPr="00771D35" w:rsidRDefault="00CA6E29" w:rsidP="00882098">
                            <w:pPr>
                              <w:pStyle w:val="IRPsub1"/>
                              <w:numPr>
                                <w:ilvl w:val="0"/>
                                <w:numId w:val="2"/>
                              </w:numPr>
                              <w:spacing w:before="80" w:after="80"/>
                              <w:rPr>
                                <w:color w:val="02265C"/>
                              </w:rPr>
                            </w:pPr>
                            <w:r>
                              <w:rPr>
                                <w:color w:val="02265C"/>
                              </w:rPr>
                              <w:t>County-level Methodology</w:t>
                            </w:r>
                          </w:p>
                          <w:p w14:paraId="050D29C7" w14:textId="77777777" w:rsidR="00CA6E29" w:rsidRPr="00771D35" w:rsidRDefault="00CA6E29" w:rsidP="00882098">
                            <w:pPr>
                              <w:pStyle w:val="IRPsub1"/>
                              <w:numPr>
                                <w:ilvl w:val="0"/>
                                <w:numId w:val="2"/>
                              </w:numPr>
                              <w:spacing w:before="80" w:after="80"/>
                              <w:rPr>
                                <w:color w:val="02265C"/>
                              </w:rPr>
                            </w:pPr>
                            <w:r>
                              <w:rPr>
                                <w:color w:val="02265C"/>
                              </w:rPr>
                              <w:t>Eastside Area Methodology</w:t>
                            </w:r>
                          </w:p>
                          <w:p w14:paraId="6508734F" w14:textId="77777777" w:rsidR="00CA6E29" w:rsidRDefault="00CA6E29" w:rsidP="00882098">
                            <w:pPr>
                              <w:pStyle w:val="IRPsub1"/>
                              <w:spacing w:before="80" w:after="80"/>
                              <w:rPr>
                                <w:b/>
                                <w:color w:val="02265C"/>
                              </w:rPr>
                            </w:pPr>
                            <w:r>
                              <w:rPr>
                                <w:b/>
                                <w:color w:val="02265C"/>
                              </w:rPr>
                              <w:t>5-12. KEY ASSUMPTIONS</w:t>
                            </w:r>
                          </w:p>
                          <w:p w14:paraId="103C8A80" w14:textId="77777777" w:rsidR="00CA6E29" w:rsidRPr="00771D35" w:rsidRDefault="00CA6E29" w:rsidP="00C12FBA">
                            <w:pPr>
                              <w:pStyle w:val="IRPsub1"/>
                              <w:numPr>
                                <w:ilvl w:val="0"/>
                                <w:numId w:val="2"/>
                              </w:numPr>
                              <w:spacing w:before="80" w:after="80"/>
                              <w:rPr>
                                <w:color w:val="02265C"/>
                              </w:rPr>
                            </w:pPr>
                            <w:r>
                              <w:rPr>
                                <w:color w:val="02265C"/>
                              </w:rPr>
                              <w:t>Economic Growth</w:t>
                            </w:r>
                          </w:p>
                          <w:p w14:paraId="7D99FA15" w14:textId="77777777" w:rsidR="00CA6E29" w:rsidRPr="00771D35" w:rsidRDefault="00CA6E29" w:rsidP="00882098">
                            <w:pPr>
                              <w:pStyle w:val="IRPsub1"/>
                              <w:numPr>
                                <w:ilvl w:val="0"/>
                                <w:numId w:val="2"/>
                              </w:numPr>
                              <w:spacing w:before="80" w:after="80"/>
                              <w:rPr>
                                <w:color w:val="02265C"/>
                              </w:rPr>
                            </w:pPr>
                            <w:r>
                              <w:rPr>
                                <w:color w:val="02265C"/>
                              </w:rPr>
                              <w:t>County-level Outlook</w:t>
                            </w:r>
                          </w:p>
                          <w:p w14:paraId="171BF091" w14:textId="77777777" w:rsidR="00CA6E29" w:rsidRDefault="00CA6E29" w:rsidP="00882098">
                            <w:pPr>
                              <w:pStyle w:val="IRPsub1"/>
                              <w:numPr>
                                <w:ilvl w:val="0"/>
                                <w:numId w:val="2"/>
                              </w:numPr>
                              <w:spacing w:before="80" w:after="80"/>
                              <w:rPr>
                                <w:color w:val="02265C"/>
                              </w:rPr>
                            </w:pPr>
                            <w:r>
                              <w:rPr>
                                <w:color w:val="02265C"/>
                              </w:rPr>
                              <w:t>Eastside Area Outlook</w:t>
                            </w:r>
                          </w:p>
                          <w:p w14:paraId="25E8A4BF" w14:textId="77777777" w:rsidR="00CA6E29" w:rsidRDefault="00CA6E29" w:rsidP="00882098">
                            <w:pPr>
                              <w:pStyle w:val="IRPsub1"/>
                              <w:numPr>
                                <w:ilvl w:val="0"/>
                                <w:numId w:val="2"/>
                              </w:numPr>
                              <w:spacing w:before="80" w:after="80"/>
                              <w:rPr>
                                <w:color w:val="02265C"/>
                              </w:rPr>
                            </w:pPr>
                            <w:r>
                              <w:rPr>
                                <w:color w:val="02265C"/>
                              </w:rPr>
                              <w:t>Energy Prices</w:t>
                            </w:r>
                          </w:p>
                          <w:p w14:paraId="69050475" w14:textId="77777777" w:rsidR="00CA6E29" w:rsidRDefault="00CA6E29" w:rsidP="00882098">
                            <w:pPr>
                              <w:pStyle w:val="IRPsub1"/>
                              <w:numPr>
                                <w:ilvl w:val="0"/>
                                <w:numId w:val="2"/>
                              </w:numPr>
                              <w:spacing w:before="80" w:after="80"/>
                              <w:rPr>
                                <w:color w:val="02265C"/>
                              </w:rPr>
                            </w:pPr>
                            <w:r>
                              <w:rPr>
                                <w:color w:val="02265C"/>
                              </w:rPr>
                              <w:t>Other Assumptions</w:t>
                            </w:r>
                          </w:p>
                          <w:p w14:paraId="0088EAE1" w14:textId="77777777" w:rsidR="00CA6E29" w:rsidRDefault="00CA6E29" w:rsidP="00882098">
                            <w:pPr>
                              <w:pStyle w:val="IRPsub1"/>
                              <w:spacing w:before="80" w:after="80"/>
                              <w:rPr>
                                <w:b/>
                                <w:color w:val="02265C"/>
                              </w:rPr>
                            </w:pPr>
                            <w:r>
                              <w:rPr>
                                <w:b/>
                                <w:color w:val="02265C"/>
                              </w:rPr>
                              <w:t>5-22. ELECTRIC DEMAND FORECAST</w:t>
                            </w:r>
                          </w:p>
                          <w:p w14:paraId="1FA75C35" w14:textId="77777777" w:rsidR="00CA6E29" w:rsidRPr="00771D35" w:rsidRDefault="00CA6E29" w:rsidP="00882098">
                            <w:pPr>
                              <w:pStyle w:val="IRPsub1"/>
                              <w:numPr>
                                <w:ilvl w:val="0"/>
                                <w:numId w:val="2"/>
                              </w:numPr>
                              <w:spacing w:before="80" w:after="80"/>
                              <w:rPr>
                                <w:color w:val="02265C"/>
                              </w:rPr>
                            </w:pPr>
                            <w:r>
                              <w:rPr>
                                <w:color w:val="02265C"/>
                              </w:rPr>
                              <w:t>System-level Highlights</w:t>
                            </w:r>
                          </w:p>
                          <w:p w14:paraId="72892602" w14:textId="77777777" w:rsidR="00CA6E29" w:rsidRPr="00771D35" w:rsidRDefault="00CA6E29" w:rsidP="00882098">
                            <w:pPr>
                              <w:pStyle w:val="IRPsub1"/>
                              <w:numPr>
                                <w:ilvl w:val="0"/>
                                <w:numId w:val="2"/>
                              </w:numPr>
                              <w:spacing w:before="80" w:after="80"/>
                              <w:rPr>
                                <w:color w:val="02265C"/>
                              </w:rPr>
                            </w:pPr>
                            <w:r>
                              <w:rPr>
                                <w:color w:val="02265C"/>
                              </w:rPr>
                              <w:t>County-level Electric Forecasts</w:t>
                            </w:r>
                          </w:p>
                          <w:p w14:paraId="12840E62" w14:textId="77777777" w:rsidR="00CA6E29" w:rsidRPr="00882098" w:rsidRDefault="00CA6E29" w:rsidP="00882098">
                            <w:pPr>
                              <w:pStyle w:val="IRPsub1"/>
                              <w:numPr>
                                <w:ilvl w:val="0"/>
                                <w:numId w:val="2"/>
                              </w:numPr>
                              <w:spacing w:before="80" w:after="80"/>
                              <w:rPr>
                                <w:color w:val="02265C"/>
                              </w:rPr>
                            </w:pPr>
                            <w:r>
                              <w:rPr>
                                <w:color w:val="02265C"/>
                              </w:rPr>
                              <w:t>Eastside Area Electric Forecasts</w:t>
                            </w:r>
                          </w:p>
                          <w:p w14:paraId="6F2873D4" w14:textId="77777777" w:rsidR="00CA6E29" w:rsidRDefault="00CA6E29" w:rsidP="00882098">
                            <w:pPr>
                              <w:pStyle w:val="IRPsub1"/>
                              <w:spacing w:before="80" w:after="80"/>
                              <w:rPr>
                                <w:b/>
                                <w:color w:val="02265C"/>
                              </w:rPr>
                            </w:pPr>
                            <w:r>
                              <w:rPr>
                                <w:b/>
                                <w:color w:val="02265C"/>
                              </w:rPr>
                              <w:t>5-32. GAS DEMAND FORECAST</w:t>
                            </w:r>
                          </w:p>
                          <w:p w14:paraId="7DF08EFD" w14:textId="77777777" w:rsidR="00CA6E29" w:rsidRPr="00771D35" w:rsidRDefault="00CA6E29" w:rsidP="00B12366">
                            <w:pPr>
                              <w:pStyle w:val="IRPsub1"/>
                              <w:spacing w:before="80" w:after="80"/>
                              <w:ind w:firstLine="270"/>
                              <w:rPr>
                                <w:color w:val="02265C"/>
                              </w:rPr>
                            </w:pPr>
                          </w:p>
                          <w:p w14:paraId="10AA6D3C" w14:textId="77777777" w:rsidR="00CA6E29" w:rsidRPr="00D013FE" w:rsidRDefault="00CA6E29" w:rsidP="00601E72">
                            <w:pPr>
                              <w:pStyle w:val="IRPsub1"/>
                            </w:pPr>
                          </w:p>
                          <w:p w14:paraId="752D4ADE" w14:textId="77777777" w:rsidR="00CA6E29" w:rsidRPr="00D013FE" w:rsidRDefault="00CA6E29"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left:0;text-align:left;margin-left:4.05pt;margin-top:17.4pt;width:3in;height:341.8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" fillcolor="#71bb32" stroked="f">
                <v:textbox inset="14.4pt,7.2pt,,7.2pt">
                  <w:txbxContent>
                    <w:p w14:paraId="0C6740D6" w14:textId="77777777" w:rsidR="00CA6E29" w:rsidRPr="00771D35" w:rsidRDefault="00CA6E29" w:rsidP="00601E72">
                      <w:pPr>
                        <w:pStyle w:val="IRPsub1"/>
                        <w:rPr>
                          <w:i w:val="0"/>
                          <w:sz w:val="32"/>
                          <w:szCs w:val="32"/>
                        </w:rPr>
                      </w:pPr>
                      <w:r>
                        <w:rPr>
                          <w:i w:val="0"/>
                          <w:sz w:val="32"/>
                          <w:szCs w:val="32"/>
                        </w:rPr>
                        <w:t>Contents</w:t>
                      </w:r>
                    </w:p>
                    <w:p w14:paraId="702EFE06" w14:textId="77777777" w:rsidR="00CA6E29" w:rsidRDefault="00CA6E29" w:rsidP="00B12366">
                      <w:pPr>
                        <w:pStyle w:val="IRPsub1"/>
                        <w:spacing w:before="80" w:after="80"/>
                        <w:rPr>
                          <w:b/>
                          <w:color w:val="02265C"/>
                        </w:rPr>
                      </w:pPr>
                      <w:r>
                        <w:rPr>
                          <w:b/>
                          <w:color w:val="02265C"/>
                        </w:rPr>
                        <w:t>5-2. OVERVIEW</w:t>
                      </w:r>
                    </w:p>
                    <w:p w14:paraId="55D4136E" w14:textId="77777777" w:rsidR="00CA6E29" w:rsidRDefault="00CA6E29" w:rsidP="00B12366">
                      <w:pPr>
                        <w:pStyle w:val="IRPsub1"/>
                        <w:spacing w:before="80" w:after="80"/>
                        <w:rPr>
                          <w:b/>
                          <w:color w:val="02265C"/>
                        </w:rPr>
                      </w:pPr>
                      <w:r>
                        <w:rPr>
                          <w:b/>
                          <w:color w:val="02265C"/>
                        </w:rPr>
                        <w:t>5-7. METHODOLOGIES</w:t>
                      </w:r>
                    </w:p>
                    <w:p w14:paraId="43FA487D" w14:textId="77777777" w:rsidR="00CA6E29" w:rsidRPr="00771D35" w:rsidRDefault="00CA6E29" w:rsidP="00C12FBA">
                      <w:pPr>
                        <w:pStyle w:val="IRPsub1"/>
                        <w:numPr>
                          <w:ilvl w:val="0"/>
                          <w:numId w:val="2"/>
                        </w:numPr>
                        <w:spacing w:before="80" w:after="80"/>
                        <w:rPr>
                          <w:color w:val="02265C"/>
                        </w:rPr>
                      </w:pPr>
                      <w:r>
                        <w:rPr>
                          <w:color w:val="02265C"/>
                        </w:rPr>
                        <w:t>System-level Methodology</w:t>
                      </w:r>
                    </w:p>
                    <w:p w14:paraId="73BBC1F8" w14:textId="77777777" w:rsidR="00CA6E29" w:rsidRPr="00771D35" w:rsidRDefault="00CA6E29" w:rsidP="00882098">
                      <w:pPr>
                        <w:pStyle w:val="IRPsub1"/>
                        <w:numPr>
                          <w:ilvl w:val="0"/>
                          <w:numId w:val="2"/>
                        </w:numPr>
                        <w:spacing w:before="80" w:after="80"/>
                        <w:rPr>
                          <w:color w:val="02265C"/>
                        </w:rPr>
                      </w:pPr>
                      <w:r>
                        <w:rPr>
                          <w:color w:val="02265C"/>
                        </w:rPr>
                        <w:t>County-level Methodology</w:t>
                      </w:r>
                    </w:p>
                    <w:p w14:paraId="050D29C7" w14:textId="77777777" w:rsidR="00CA6E29" w:rsidRPr="00771D35" w:rsidRDefault="00CA6E29" w:rsidP="00882098">
                      <w:pPr>
                        <w:pStyle w:val="IRPsub1"/>
                        <w:numPr>
                          <w:ilvl w:val="0"/>
                          <w:numId w:val="2"/>
                        </w:numPr>
                        <w:spacing w:before="80" w:after="80"/>
                        <w:rPr>
                          <w:color w:val="02265C"/>
                        </w:rPr>
                      </w:pPr>
                      <w:r>
                        <w:rPr>
                          <w:color w:val="02265C"/>
                        </w:rPr>
                        <w:t>Eastside Area Methodology</w:t>
                      </w:r>
                    </w:p>
                    <w:p w14:paraId="6508734F" w14:textId="77777777" w:rsidR="00CA6E29" w:rsidRDefault="00CA6E29" w:rsidP="00882098">
                      <w:pPr>
                        <w:pStyle w:val="IRPsub1"/>
                        <w:spacing w:before="80" w:after="80"/>
                        <w:rPr>
                          <w:b/>
                          <w:color w:val="02265C"/>
                        </w:rPr>
                      </w:pPr>
                      <w:r>
                        <w:rPr>
                          <w:b/>
                          <w:color w:val="02265C"/>
                        </w:rPr>
                        <w:t>5-12. KEY ASSUMPTIONS</w:t>
                      </w:r>
                    </w:p>
                    <w:p w14:paraId="103C8A80" w14:textId="77777777" w:rsidR="00CA6E29" w:rsidRPr="00771D35" w:rsidRDefault="00CA6E29" w:rsidP="00C12FBA">
                      <w:pPr>
                        <w:pStyle w:val="IRPsub1"/>
                        <w:numPr>
                          <w:ilvl w:val="0"/>
                          <w:numId w:val="2"/>
                        </w:numPr>
                        <w:spacing w:before="80" w:after="80"/>
                        <w:rPr>
                          <w:color w:val="02265C"/>
                        </w:rPr>
                      </w:pPr>
                      <w:r>
                        <w:rPr>
                          <w:color w:val="02265C"/>
                        </w:rPr>
                        <w:t>Economic Growth</w:t>
                      </w:r>
                    </w:p>
                    <w:p w14:paraId="7D99FA15" w14:textId="77777777" w:rsidR="00CA6E29" w:rsidRPr="00771D35" w:rsidRDefault="00CA6E29" w:rsidP="00882098">
                      <w:pPr>
                        <w:pStyle w:val="IRPsub1"/>
                        <w:numPr>
                          <w:ilvl w:val="0"/>
                          <w:numId w:val="2"/>
                        </w:numPr>
                        <w:spacing w:before="80" w:after="80"/>
                        <w:rPr>
                          <w:color w:val="02265C"/>
                        </w:rPr>
                      </w:pPr>
                      <w:r>
                        <w:rPr>
                          <w:color w:val="02265C"/>
                        </w:rPr>
                        <w:t>County-level Outlook</w:t>
                      </w:r>
                    </w:p>
                    <w:p w14:paraId="171BF091" w14:textId="77777777" w:rsidR="00CA6E29" w:rsidRDefault="00CA6E29" w:rsidP="00882098">
                      <w:pPr>
                        <w:pStyle w:val="IRPsub1"/>
                        <w:numPr>
                          <w:ilvl w:val="0"/>
                          <w:numId w:val="2"/>
                        </w:numPr>
                        <w:spacing w:before="80" w:after="80"/>
                        <w:rPr>
                          <w:color w:val="02265C"/>
                        </w:rPr>
                      </w:pPr>
                      <w:r>
                        <w:rPr>
                          <w:color w:val="02265C"/>
                        </w:rPr>
                        <w:t>Eastside Area Outlook</w:t>
                      </w:r>
                    </w:p>
                    <w:p w14:paraId="25E8A4BF" w14:textId="77777777" w:rsidR="00CA6E29" w:rsidRDefault="00CA6E29" w:rsidP="00882098">
                      <w:pPr>
                        <w:pStyle w:val="IRPsub1"/>
                        <w:numPr>
                          <w:ilvl w:val="0"/>
                          <w:numId w:val="2"/>
                        </w:numPr>
                        <w:spacing w:before="80" w:after="80"/>
                        <w:rPr>
                          <w:color w:val="02265C"/>
                        </w:rPr>
                      </w:pPr>
                      <w:r>
                        <w:rPr>
                          <w:color w:val="02265C"/>
                        </w:rPr>
                        <w:t>Energy Prices</w:t>
                      </w:r>
                    </w:p>
                    <w:p w14:paraId="69050475" w14:textId="77777777" w:rsidR="00CA6E29" w:rsidRDefault="00CA6E29" w:rsidP="00882098">
                      <w:pPr>
                        <w:pStyle w:val="IRPsub1"/>
                        <w:numPr>
                          <w:ilvl w:val="0"/>
                          <w:numId w:val="2"/>
                        </w:numPr>
                        <w:spacing w:before="80" w:after="80"/>
                        <w:rPr>
                          <w:color w:val="02265C"/>
                        </w:rPr>
                      </w:pPr>
                      <w:r>
                        <w:rPr>
                          <w:color w:val="02265C"/>
                        </w:rPr>
                        <w:t>Other Assumptions</w:t>
                      </w:r>
                    </w:p>
                    <w:p w14:paraId="0088EAE1" w14:textId="77777777" w:rsidR="00CA6E29" w:rsidRDefault="00CA6E29" w:rsidP="00882098">
                      <w:pPr>
                        <w:pStyle w:val="IRPsub1"/>
                        <w:spacing w:before="80" w:after="80"/>
                        <w:rPr>
                          <w:b/>
                          <w:color w:val="02265C"/>
                        </w:rPr>
                      </w:pPr>
                      <w:r>
                        <w:rPr>
                          <w:b/>
                          <w:color w:val="02265C"/>
                        </w:rPr>
                        <w:t>5-22. ELECTRIC DEMAND FORECAST</w:t>
                      </w:r>
                    </w:p>
                    <w:p w14:paraId="1FA75C35" w14:textId="77777777" w:rsidR="00CA6E29" w:rsidRPr="00771D35" w:rsidRDefault="00CA6E29" w:rsidP="00882098">
                      <w:pPr>
                        <w:pStyle w:val="IRPsub1"/>
                        <w:numPr>
                          <w:ilvl w:val="0"/>
                          <w:numId w:val="2"/>
                        </w:numPr>
                        <w:spacing w:before="80" w:after="80"/>
                        <w:rPr>
                          <w:color w:val="02265C"/>
                        </w:rPr>
                      </w:pPr>
                      <w:r>
                        <w:rPr>
                          <w:color w:val="02265C"/>
                        </w:rPr>
                        <w:t>System-level Highlights</w:t>
                      </w:r>
                    </w:p>
                    <w:p w14:paraId="72892602" w14:textId="77777777" w:rsidR="00CA6E29" w:rsidRPr="00771D35" w:rsidRDefault="00CA6E29" w:rsidP="00882098">
                      <w:pPr>
                        <w:pStyle w:val="IRPsub1"/>
                        <w:numPr>
                          <w:ilvl w:val="0"/>
                          <w:numId w:val="2"/>
                        </w:numPr>
                        <w:spacing w:before="80" w:after="80"/>
                        <w:rPr>
                          <w:color w:val="02265C"/>
                        </w:rPr>
                      </w:pPr>
                      <w:r>
                        <w:rPr>
                          <w:color w:val="02265C"/>
                        </w:rPr>
                        <w:t>County-level Electric Forecasts</w:t>
                      </w:r>
                    </w:p>
                    <w:p w14:paraId="12840E62" w14:textId="77777777" w:rsidR="00CA6E29" w:rsidRPr="00882098" w:rsidRDefault="00CA6E29" w:rsidP="00882098">
                      <w:pPr>
                        <w:pStyle w:val="IRPsub1"/>
                        <w:numPr>
                          <w:ilvl w:val="0"/>
                          <w:numId w:val="2"/>
                        </w:numPr>
                        <w:spacing w:before="80" w:after="80"/>
                        <w:rPr>
                          <w:color w:val="02265C"/>
                        </w:rPr>
                      </w:pPr>
                      <w:r>
                        <w:rPr>
                          <w:color w:val="02265C"/>
                        </w:rPr>
                        <w:t>Eastside Area Electric Forecasts</w:t>
                      </w:r>
                    </w:p>
                    <w:p w14:paraId="6F2873D4" w14:textId="77777777" w:rsidR="00CA6E29" w:rsidRDefault="00CA6E29" w:rsidP="00882098">
                      <w:pPr>
                        <w:pStyle w:val="IRPsub1"/>
                        <w:spacing w:before="80" w:after="80"/>
                        <w:rPr>
                          <w:b/>
                          <w:color w:val="02265C"/>
                        </w:rPr>
                      </w:pPr>
                      <w:r>
                        <w:rPr>
                          <w:b/>
                          <w:color w:val="02265C"/>
                        </w:rPr>
                        <w:t>5-32. GAS DEMAND FORECAST</w:t>
                      </w:r>
                    </w:p>
                    <w:p w14:paraId="7DF08EFD" w14:textId="77777777" w:rsidR="00CA6E29" w:rsidRPr="00771D35" w:rsidRDefault="00CA6E29" w:rsidP="00B12366">
                      <w:pPr>
                        <w:pStyle w:val="IRPsub1"/>
                        <w:spacing w:before="80" w:after="80"/>
                        <w:ind w:firstLine="270"/>
                        <w:rPr>
                          <w:color w:val="02265C"/>
                        </w:rPr>
                      </w:pPr>
                    </w:p>
                    <w:p w14:paraId="10AA6D3C" w14:textId="77777777" w:rsidR="00CA6E29" w:rsidRPr="00D013FE" w:rsidRDefault="00CA6E29" w:rsidP="00601E72">
                      <w:pPr>
                        <w:pStyle w:val="IRPsub1"/>
                      </w:pPr>
                    </w:p>
                    <w:p w14:paraId="752D4ADE" w14:textId="77777777" w:rsidR="00CA6E29" w:rsidRPr="00D013FE" w:rsidRDefault="00CA6E29" w:rsidP="00601E72">
                      <w:pPr>
                        <w:pStyle w:val="IRPsub1"/>
                      </w:pPr>
                    </w:p>
                  </w:txbxContent>
                </v:textbox>
                <w10:wrap type="through" side="right" anchorx="margin" anchory="line"/>
              </v:shape>
            </w:pict>
          </mc:Fallback>
        </mc:AlternateContent>
      </w:r>
    </w:p>
    <w:p w14:paraId="0BB609E0" w14:textId="77777777" w:rsidR="00C12FBA" w:rsidRPr="003E7037" w:rsidRDefault="003E7037" w:rsidP="003E7037">
      <w:pPr>
        <w:pStyle w:val="IRPseriftextbig"/>
      </w:pPr>
      <w:r w:rsidRPr="00067D74">
        <w:t>The</w:t>
      </w:r>
      <w:r>
        <w:t xml:space="preserve"> system-level </w:t>
      </w:r>
      <w:r w:rsidRPr="00067D74">
        <w:t>demand forecast</w:t>
      </w:r>
      <w:r>
        <w:t xml:space="preserve"> that</w:t>
      </w:r>
      <w:r w:rsidRPr="00067D74">
        <w:t xml:space="preserve"> PSE develops for the IRP is an estimate of energy sales, customer counts, and peak demand over a 20-year period. These estimates are designed for use in long-term </w:t>
      </w:r>
      <w:r>
        <w:t>resource planning</w:t>
      </w:r>
      <w:r w:rsidRPr="00067D74">
        <w:t>. The 20-year horizon helps us anticipate</w:t>
      </w:r>
      <w:r>
        <w:t xml:space="preserve"> </w:t>
      </w:r>
      <w:r w:rsidRPr="00067D74">
        <w:t xml:space="preserve">needs so we can </w:t>
      </w:r>
      <w:r>
        <w:t>plan to efficiently meet the needs of our customers</w:t>
      </w:r>
      <w:r w:rsidRPr="00067D74">
        <w:t xml:space="preserve">. </w:t>
      </w:r>
    </w:p>
    <w:p w14:paraId="61A59996" w14:textId="77777777" w:rsidR="00C12FBA" w:rsidRDefault="00C12FBA">
      <w:pPr>
        <w:rPr>
          <w:rFonts w:ascii="Arial" w:hAnsi="Arial"/>
        </w:rPr>
      </w:pPr>
      <w:r>
        <w:br w:type="page"/>
      </w:r>
    </w:p>
    <w:p w14:paraId="4AB5D430" w14:textId="77777777" w:rsidR="00882098" w:rsidRDefault="00882098" w:rsidP="00882098">
      <w:pPr>
        <w:pStyle w:val="IRPsecthead2sans"/>
      </w:pPr>
      <w:r>
        <w:lastRenderedPageBreak/>
        <w:t>OVERVIEW</w:t>
      </w:r>
    </w:p>
    <w:p w14:paraId="3C9A15B9" w14:textId="77777777" w:rsidR="00882098" w:rsidRPr="007F2800" w:rsidRDefault="00882098" w:rsidP="007F2800">
      <w:pPr>
        <w:pStyle w:val="IRPsanstext"/>
      </w:pPr>
    </w:p>
    <w:p w14:paraId="7E401D57" w14:textId="77777777" w:rsidR="00882098" w:rsidRPr="007F2800" w:rsidRDefault="00882098" w:rsidP="007F2800">
      <w:pPr>
        <w:pStyle w:val="IRPsanstext"/>
      </w:pPr>
      <w:r w:rsidRPr="007F2800">
        <w:t>At the system level, growth rates have slowed since the 2013 IRP forecast. Recovery from the latest recession has been slower than expected</w:t>
      </w:r>
      <w:r w:rsidR="00A15361">
        <w:t>, and a</w:t>
      </w:r>
      <w:r w:rsidRPr="007F2800">
        <w:t>s a result, both the nation and the region are experiencing slower population growth, slower GDP growth and slower employment growth than forecast in the 2013 IRP. Within PSE’s service territory, however, demand growth is uneven. Most of the economic growth is concentrated in King County. Other counties are growing, but slowly; except for King County, none has reached its pre-recession growth levels in terms of population or employment.</w:t>
      </w:r>
    </w:p>
    <w:p w14:paraId="7CB28937" w14:textId="77777777" w:rsidR="00882098" w:rsidRPr="007F2800" w:rsidRDefault="00882098" w:rsidP="007F2800">
      <w:pPr>
        <w:pStyle w:val="IRPsanstext"/>
      </w:pPr>
    </w:p>
    <w:p w14:paraId="6846F17F" w14:textId="77777777" w:rsidR="00882098" w:rsidRPr="007F2800" w:rsidRDefault="00882098" w:rsidP="007F2800">
      <w:pPr>
        <w:pStyle w:val="IRPsanstext"/>
      </w:pPr>
      <w:r w:rsidRPr="007F2800">
        <w:t>The 2015 IRP Electric Base Demand Forecast for energy and peak loads is lower than those forecast in the 2013 IRP.</w:t>
      </w:r>
    </w:p>
    <w:p w14:paraId="04AB9259" w14:textId="77777777" w:rsidR="00882098" w:rsidRPr="007F2800" w:rsidRDefault="00882098" w:rsidP="007F2800">
      <w:pPr>
        <w:pStyle w:val="IRPsanstext"/>
      </w:pPr>
    </w:p>
    <w:p w14:paraId="451A0173" w14:textId="77777777" w:rsidR="00882098" w:rsidRPr="007F2800" w:rsidRDefault="00882098" w:rsidP="007F2800">
      <w:pPr>
        <w:pStyle w:val="IRPsanstext"/>
      </w:pPr>
      <w:r w:rsidRPr="007F2800">
        <w:t xml:space="preserve">The 2015 IRP Gas Base Demand Forecast for energy and peak loads is slightly higher early in the forecast period compared to the 2013 IRP, but has similar levels for the second half of the forecast horizon. The near-term higher loads are due to lower natural gas prices causing increased gas consumption by customers. </w:t>
      </w:r>
    </w:p>
    <w:p w14:paraId="11B67D8F" w14:textId="77777777" w:rsidR="00882098" w:rsidRPr="007F2800" w:rsidRDefault="00882098" w:rsidP="007F2800">
      <w:pPr>
        <w:pStyle w:val="IRPsanstext"/>
      </w:pPr>
    </w:p>
    <w:p w14:paraId="20FB9631" w14:textId="77777777" w:rsidR="00882098" w:rsidRPr="007F2800" w:rsidRDefault="00882098" w:rsidP="007F2800">
      <w:pPr>
        <w:pStyle w:val="IRPsanstext"/>
      </w:pPr>
      <w:r w:rsidRPr="007F2800">
        <w:t>King County, which accounts for half or more of the system’s electric and gas sales demand today, is growing rapidly, particularly in an area referred to as the “Eastside Area</w:t>
      </w:r>
      <w:r w:rsidR="00A15361">
        <w:t>.”</w:t>
      </w:r>
      <w:r w:rsidRPr="007F2800">
        <w:t xml:space="preserve">  This geographic region is </w:t>
      </w:r>
      <w:r w:rsidRPr="007F2800">
        <w:rPr>
          <w:rFonts w:cs="Arial"/>
        </w:rPr>
        <w:t>located east of Lake Washington and includes Bellevue (including Bellevue’s central business district), Mercer Island, Newcastle and portions of Kirkland, Redmond, Renton and Issaquah</w:t>
      </w:r>
      <w:r w:rsidRPr="007F2800">
        <w:t xml:space="preserve">. Employment in the Eastside Area is expected to grow about 1.8 percent annually in the next 20 years, according to a forecast prepared by the Puget Sound Regional Council (PSRC). This is over twice the growth rate expected for the system as a whole in an area that already accounts for the largest portion of system load. </w:t>
      </w:r>
    </w:p>
    <w:p w14:paraId="6EBD94F6" w14:textId="77777777" w:rsidR="00882098" w:rsidRPr="007F2800" w:rsidRDefault="00882098" w:rsidP="007F2800">
      <w:pPr>
        <w:pStyle w:val="IRPsanstext"/>
      </w:pPr>
    </w:p>
    <w:p w14:paraId="7A08A649" w14:textId="77777777" w:rsidR="00882098" w:rsidRPr="007F2800" w:rsidRDefault="00882098" w:rsidP="007F2800">
      <w:pPr>
        <w:pStyle w:val="IRPsanstext"/>
      </w:pPr>
      <w:r w:rsidRPr="007F2800">
        <w:t xml:space="preserve">Figures 5-1 to 5-4 show the wide variation in county shares of PSE’s total population, employment, customers and sales for the electric and gas service territories. </w:t>
      </w:r>
    </w:p>
    <w:p w14:paraId="38E047B7" w14:textId="77777777" w:rsidR="00882098" w:rsidRPr="007F2800" w:rsidRDefault="00882098" w:rsidP="007F2800">
      <w:pPr>
        <w:pStyle w:val="IRPsanstext"/>
      </w:pPr>
    </w:p>
    <w:p w14:paraId="0F2C0170" w14:textId="77777777" w:rsidR="00882098" w:rsidRPr="007F2800" w:rsidRDefault="00882098" w:rsidP="007F2800">
      <w:pPr>
        <w:pStyle w:val="IRPsanstext"/>
      </w:pPr>
      <w:r w:rsidRPr="007F2800">
        <w:t>For this IRP, PSE developed both system-level forecasts and county-level forecasts. The system level forecasts are designed for use in long-term resource planning and long-term financial planning. The county-level forecasts provide insight into which parts of the system will be most challenged, and these forecasts are used internally at PSE for local transmission and distribution system planning. The system-level and county-level forecast methodologies and assumptions are explained in the following pages.</w:t>
      </w:r>
    </w:p>
    <w:p w14:paraId="263FE3E1" w14:textId="77777777" w:rsidR="007F2800" w:rsidRDefault="007F2800">
      <w:pPr>
        <w:rPr>
          <w:rFonts w:ascii="Arial" w:hAnsi="Arial"/>
        </w:rPr>
      </w:pPr>
      <w:r>
        <w:br w:type="page"/>
      </w:r>
    </w:p>
    <w:p w14:paraId="72F53736" w14:textId="77777777" w:rsidR="00882098" w:rsidRPr="007F2800" w:rsidRDefault="00882098" w:rsidP="00882098">
      <w:pPr>
        <w:pStyle w:val="IRPsanstext"/>
        <w:rPr>
          <w:b/>
        </w:rPr>
      </w:pPr>
      <w:r w:rsidRPr="00882098">
        <w:rPr>
          <w:b/>
          <w:color w:val="156570"/>
          <w:sz w:val="28"/>
        </w:rPr>
        <w:lastRenderedPageBreak/>
        <w:t>Treatment of Demand-side Resources in IRP Demand Forecasts</w:t>
      </w:r>
      <w:r w:rsidR="007E49E8" w:rsidRPr="00882098">
        <w:rPr>
          <w:b/>
          <w:color w:val="156570"/>
          <w:sz w:val="28"/>
        </w:rPr>
        <w:t>.</w:t>
      </w:r>
      <w:r w:rsidR="007E49E8">
        <w:rPr>
          <w:rFonts w:ascii="Helvetica Neue" w:hAnsi="Helvetica Neue"/>
          <w:b/>
          <w:color w:val="31849B"/>
          <w:sz w:val="28"/>
        </w:rPr>
        <w:t xml:space="preserve"> </w:t>
      </w:r>
      <w:r w:rsidRPr="007F2800">
        <w:t>One of the major tasks of the IRP analysis is to identify the most cost-effective amount of conservation to include in the resource</w:t>
      </w:r>
      <w:r w:rsidR="00A15361">
        <w:t xml:space="preserve"> plan.  To accomplish this, it is</w:t>
      </w:r>
      <w:r w:rsidRPr="007F2800">
        <w:t xml:space="preserve"> necessary to start with demand forecasts that do not already include forward projections of conservation savings. Therefore, the IRP Electric and Gas Demand Forecasts include only DSR measures implemented </w:t>
      </w:r>
      <w:r w:rsidRPr="007F2800">
        <w:rPr>
          <w:b/>
          <w:i/>
        </w:rPr>
        <w:t>before</w:t>
      </w:r>
      <w:r w:rsidRPr="007F2800">
        <w:t xml:space="preserve"> the study period begins in 2016. These charts and tables are labeled “before DSR.”</w:t>
      </w:r>
    </w:p>
    <w:p w14:paraId="4454166B" w14:textId="77777777" w:rsidR="00882098" w:rsidRPr="007F2800" w:rsidRDefault="00882098" w:rsidP="00882098">
      <w:pPr>
        <w:pStyle w:val="IRPsanstext"/>
      </w:pPr>
    </w:p>
    <w:p w14:paraId="68ECCDD3" w14:textId="77777777" w:rsidR="00882098" w:rsidRPr="007F2800" w:rsidRDefault="00882098" w:rsidP="00882098">
      <w:pPr>
        <w:pStyle w:val="IRPsanstext"/>
      </w:pPr>
      <w:r w:rsidRPr="007F2800">
        <w:t>In the IRP analysis, DSR is ultimately accounted for as a reduction in demand. To illustrate this effect, this chapter includes several examples that apply the full amount of DSR identified as cost-effective in the 2013 IRP to</w:t>
      </w:r>
      <w:r w:rsidR="00A22F1C">
        <w:t xml:space="preserve"> the 2015 IRP Demand Forecasts.</w:t>
      </w:r>
      <w:r w:rsidRPr="007F2800">
        <w:t xml:space="preserve"> These charts and tables are labeled “after applying 2013 IRP DSR.” </w:t>
      </w:r>
    </w:p>
    <w:p w14:paraId="5FA11861" w14:textId="77777777" w:rsidR="005924F8" w:rsidRPr="008B5881" w:rsidRDefault="00882098" w:rsidP="008B5881">
      <w:pPr>
        <w:rPr>
          <w:rFonts w:ascii="Arial" w:hAnsi="Arial"/>
        </w:rPr>
      </w:pPr>
      <w:r>
        <w:br w:type="page"/>
      </w:r>
    </w:p>
    <w:p w14:paraId="713EDC0E" w14:textId="77777777" w:rsidR="00882098" w:rsidRPr="007F2800" w:rsidRDefault="00882098" w:rsidP="00E72663">
      <w:pPr>
        <w:pStyle w:val="IRPFigureSub"/>
        <w:rPr>
          <w:rFonts w:ascii="Calibri" w:hAnsi="Calibri" w:hint="eastAsia"/>
          <w:szCs w:val="20"/>
        </w:rPr>
      </w:pPr>
      <w:r w:rsidRPr="007F2800">
        <w:rPr>
          <w:szCs w:val="20"/>
        </w:rPr>
        <w:lastRenderedPageBreak/>
        <w:t xml:space="preserve">Figure 5-1: PSE Electric Service Territory </w:t>
      </w:r>
    </w:p>
    <w:p w14:paraId="138CFC4D" w14:textId="5AE50B0B" w:rsidR="00EC4408" w:rsidRDefault="0057131A" w:rsidP="00EC4408">
      <w:pPr>
        <w:jc w:val="center"/>
        <w:rPr>
          <w:rFonts w:ascii="Arial" w:hAnsi="Arial"/>
        </w:rPr>
      </w:pPr>
      <w:r>
        <w:rPr>
          <w:noProof/>
          <w:lang w:eastAsia="en-US"/>
        </w:rPr>
        <mc:AlternateContent>
          <mc:Choice Requires="wps">
            <w:drawing>
              <wp:anchor distT="0" distB="0" distL="114300" distR="114300" simplePos="0" relativeHeight="251667456" behindDoc="0" locked="0" layoutInCell="1" allowOverlap="1" wp14:anchorId="02A0AB41" wp14:editId="56E644AA">
                <wp:simplePos x="0" y="0"/>
                <wp:positionH relativeFrom="column">
                  <wp:posOffset>3137535</wp:posOffset>
                </wp:positionH>
                <wp:positionV relativeFrom="paragraph">
                  <wp:posOffset>1920240</wp:posOffset>
                </wp:positionV>
                <wp:extent cx="1943100" cy="685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A6DB1D" w14:textId="77777777" w:rsidR="00CA6E29" w:rsidRPr="00EC4408" w:rsidRDefault="00CA6E29" w:rsidP="00EC4408">
                            <w:pPr>
                              <w:rPr>
                                <w:rFonts w:ascii="Arial" w:hAnsi="Arial" w:cs="Arial"/>
                                <w:sz w:val="20"/>
                                <w:szCs w:val="20"/>
                              </w:rPr>
                            </w:pPr>
                            <w:r w:rsidRPr="00EC4408">
                              <w:rPr>
                                <w:rFonts w:ascii="Arial" w:hAnsi="Arial" w:cs="Arial"/>
                                <w:sz w:val="20"/>
                                <w:szCs w:val="20"/>
                              </w:rPr>
                              <w:t>Total Population: 2,630,808</w:t>
                            </w:r>
                          </w:p>
                          <w:p w14:paraId="1C30A055" w14:textId="77777777" w:rsidR="00CA6E29" w:rsidRPr="00EC4408" w:rsidRDefault="00CA6E29" w:rsidP="00EC4408">
                            <w:pPr>
                              <w:rPr>
                                <w:rFonts w:ascii="Arial" w:hAnsi="Arial" w:cs="Arial"/>
                                <w:sz w:val="20"/>
                                <w:szCs w:val="20"/>
                              </w:rPr>
                            </w:pPr>
                            <w:r w:rsidRPr="00EC4408">
                              <w:rPr>
                                <w:rFonts w:ascii="Arial" w:hAnsi="Arial" w:cs="Arial"/>
                                <w:sz w:val="20"/>
                                <w:szCs w:val="20"/>
                              </w:rPr>
                              <w:t>Total Employment: 1,105,778</w:t>
                            </w:r>
                          </w:p>
                          <w:p w14:paraId="1083AA95" w14:textId="77777777" w:rsidR="00CA6E29" w:rsidRPr="00EC4408" w:rsidRDefault="00CA6E29" w:rsidP="00EC4408">
                            <w:pPr>
                              <w:rPr>
                                <w:rFonts w:ascii="Arial" w:hAnsi="Arial" w:cs="Arial"/>
                                <w:sz w:val="20"/>
                                <w:szCs w:val="20"/>
                              </w:rPr>
                            </w:pPr>
                            <w:r w:rsidRPr="00EC4408">
                              <w:rPr>
                                <w:rFonts w:ascii="Arial" w:hAnsi="Arial" w:cs="Arial"/>
                                <w:sz w:val="20"/>
                                <w:szCs w:val="20"/>
                              </w:rPr>
                              <w:t>Total Customers: 1,086,967</w:t>
                            </w:r>
                          </w:p>
                          <w:p w14:paraId="2633E2F8" w14:textId="77777777" w:rsidR="00CA6E29" w:rsidRPr="00EC4408" w:rsidRDefault="00CA6E29" w:rsidP="00EC4408">
                            <w:pPr>
                              <w:rPr>
                                <w:rFonts w:ascii="Arial" w:hAnsi="Arial" w:cs="Arial"/>
                                <w:sz w:val="20"/>
                                <w:szCs w:val="20"/>
                              </w:rPr>
                            </w:pPr>
                            <w:r w:rsidRPr="00EC4408">
                              <w:rPr>
                                <w:rFonts w:ascii="Arial" w:hAnsi="Arial" w:cs="Arial"/>
                                <w:sz w:val="20"/>
                                <w:szCs w:val="20"/>
                              </w:rPr>
                              <w:t xml:space="preserve">Total </w:t>
                            </w:r>
                            <w:proofErr w:type="spellStart"/>
                            <w:r w:rsidRPr="00EC4408">
                              <w:rPr>
                                <w:rFonts w:ascii="Arial" w:hAnsi="Arial" w:cs="Arial"/>
                                <w:sz w:val="20"/>
                                <w:szCs w:val="20"/>
                              </w:rPr>
                              <w:t>MWh</w:t>
                            </w:r>
                            <w:proofErr w:type="spellEnd"/>
                            <w:r w:rsidRPr="00EC4408">
                              <w:rPr>
                                <w:rFonts w:ascii="Arial" w:hAnsi="Arial" w:cs="Arial"/>
                                <w:sz w:val="20"/>
                                <w:szCs w:val="20"/>
                              </w:rPr>
                              <w:t>: 20,966,059</w:t>
                            </w:r>
                          </w:p>
                          <w:p w14:paraId="2F971534" w14:textId="77777777" w:rsidR="00CA6E29" w:rsidRDefault="00CA6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47.05pt;margin-top:151.2pt;width:153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" filled="f" stroked="f">
                <v:path arrowok="t"/>
                <v:textbox>
                  <w:txbxContent>
                    <w:p w14:paraId="00A6DB1D" w14:textId="77777777" w:rsidR="00CA6E29" w:rsidRPr="00EC4408" w:rsidRDefault="00CA6E29" w:rsidP="00EC4408">
                      <w:pPr>
                        <w:rPr>
                          <w:rFonts w:ascii="Arial" w:hAnsi="Arial" w:cs="Arial"/>
                          <w:sz w:val="20"/>
                          <w:szCs w:val="20"/>
                        </w:rPr>
                      </w:pPr>
                      <w:r w:rsidRPr="00EC4408">
                        <w:rPr>
                          <w:rFonts w:ascii="Arial" w:hAnsi="Arial" w:cs="Arial"/>
                          <w:sz w:val="20"/>
                          <w:szCs w:val="20"/>
                        </w:rPr>
                        <w:t>Total Population: 2,630,808</w:t>
                      </w:r>
                    </w:p>
                    <w:p w14:paraId="1C30A055" w14:textId="77777777" w:rsidR="00CA6E29" w:rsidRPr="00EC4408" w:rsidRDefault="00CA6E29" w:rsidP="00EC4408">
                      <w:pPr>
                        <w:rPr>
                          <w:rFonts w:ascii="Arial" w:hAnsi="Arial" w:cs="Arial"/>
                          <w:sz w:val="20"/>
                          <w:szCs w:val="20"/>
                        </w:rPr>
                      </w:pPr>
                      <w:r w:rsidRPr="00EC4408">
                        <w:rPr>
                          <w:rFonts w:ascii="Arial" w:hAnsi="Arial" w:cs="Arial"/>
                          <w:sz w:val="20"/>
                          <w:szCs w:val="20"/>
                        </w:rPr>
                        <w:t>Total Employment: 1,105,778</w:t>
                      </w:r>
                    </w:p>
                    <w:p w14:paraId="1083AA95" w14:textId="77777777" w:rsidR="00CA6E29" w:rsidRPr="00EC4408" w:rsidRDefault="00CA6E29" w:rsidP="00EC4408">
                      <w:pPr>
                        <w:rPr>
                          <w:rFonts w:ascii="Arial" w:hAnsi="Arial" w:cs="Arial"/>
                          <w:sz w:val="20"/>
                          <w:szCs w:val="20"/>
                        </w:rPr>
                      </w:pPr>
                      <w:r w:rsidRPr="00EC4408">
                        <w:rPr>
                          <w:rFonts w:ascii="Arial" w:hAnsi="Arial" w:cs="Arial"/>
                          <w:sz w:val="20"/>
                          <w:szCs w:val="20"/>
                        </w:rPr>
                        <w:t>Total Customers: 1,086,967</w:t>
                      </w:r>
                    </w:p>
                    <w:p w14:paraId="2633E2F8" w14:textId="77777777" w:rsidR="00CA6E29" w:rsidRPr="00EC4408" w:rsidRDefault="00CA6E29" w:rsidP="00EC4408">
                      <w:pPr>
                        <w:rPr>
                          <w:rFonts w:ascii="Arial" w:hAnsi="Arial" w:cs="Arial"/>
                          <w:sz w:val="20"/>
                          <w:szCs w:val="20"/>
                        </w:rPr>
                      </w:pPr>
                      <w:r w:rsidRPr="00EC4408">
                        <w:rPr>
                          <w:rFonts w:ascii="Arial" w:hAnsi="Arial" w:cs="Arial"/>
                          <w:sz w:val="20"/>
                          <w:szCs w:val="20"/>
                        </w:rPr>
                        <w:t xml:space="preserve">Total </w:t>
                      </w:r>
                      <w:proofErr w:type="spellStart"/>
                      <w:r w:rsidRPr="00EC4408">
                        <w:rPr>
                          <w:rFonts w:ascii="Arial" w:hAnsi="Arial" w:cs="Arial"/>
                          <w:sz w:val="20"/>
                          <w:szCs w:val="20"/>
                        </w:rPr>
                        <w:t>MWh</w:t>
                      </w:r>
                      <w:proofErr w:type="spellEnd"/>
                      <w:r w:rsidRPr="00EC4408">
                        <w:rPr>
                          <w:rFonts w:ascii="Arial" w:hAnsi="Arial" w:cs="Arial"/>
                          <w:sz w:val="20"/>
                          <w:szCs w:val="20"/>
                        </w:rPr>
                        <w:t>: 20,966,059</w:t>
                      </w:r>
                    </w:p>
                    <w:p w14:paraId="2F971534" w14:textId="77777777" w:rsidR="00CA6E29" w:rsidRDefault="00CA6E29"/>
                  </w:txbxContent>
                </v:textbox>
              </v:shape>
            </w:pict>
          </mc:Fallback>
        </mc:AlternateContent>
      </w:r>
      <w:r w:rsidR="00EC4408">
        <w:rPr>
          <w:noProof/>
          <w:lang w:eastAsia="en-US"/>
        </w:rPr>
        <w:drawing>
          <wp:inline distT="0" distB="0" distL="0" distR="0" wp14:anchorId="68D68C1E" wp14:editId="09CA3AE3">
            <wp:extent cx="4665345" cy="5740400"/>
            <wp:effectExtent l="0" t="0" r="8255" b="0"/>
            <wp:docPr id="1" name="Picture 1" descr="Macintosh HD:Users:annrhodes:Desktop:PSEelectricsvcarea_c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rhodes:Desktop:PSEelectricsvcarea_ch5.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 b="6147"/>
                    <a:stretch/>
                  </pic:blipFill>
                  <pic:spPr bwMode="auto">
                    <a:xfrm>
                      <a:off x="0" y="0"/>
                      <a:ext cx="4665359" cy="5740417"/>
                    </a:xfrm>
                    <a:prstGeom prst="rect">
                      <a:avLst/>
                    </a:prstGeom>
                    <a:noFill/>
                    <a:ln>
                      <a:noFill/>
                    </a:ln>
                    <a:extLst>
                      <a:ext uri="{53640926-AAD7-44d8-BBD7-CCE9431645EC}">
                        <a14:shadowObscured xmlns:a14="http://schemas.microsoft.com/office/drawing/2010/main"/>
                      </a:ext>
                    </a:extLst>
                  </pic:spPr>
                </pic:pic>
              </a:graphicData>
            </a:graphic>
          </wp:inline>
        </w:drawing>
      </w:r>
    </w:p>
    <w:p w14:paraId="22B7C927" w14:textId="77777777" w:rsidR="009C0BDA" w:rsidRPr="007F2800" w:rsidRDefault="00E72663" w:rsidP="007F2800">
      <w:pPr>
        <w:spacing w:before="120" w:after="120"/>
        <w:jc w:val="center"/>
        <w:rPr>
          <w:rFonts w:ascii="Arial" w:hAnsi="Arial"/>
          <w:i/>
          <w:sz w:val="20"/>
          <w:szCs w:val="20"/>
        </w:rPr>
      </w:pPr>
      <w:r w:rsidRPr="007F2800">
        <w:rPr>
          <w:rFonts w:ascii="Arial" w:hAnsi="Arial"/>
          <w:i/>
          <w:sz w:val="20"/>
          <w:szCs w:val="20"/>
        </w:rPr>
        <w:t>Figure 5-2: Electric Service Area</w:t>
      </w:r>
      <w:r w:rsidR="00A47CC2">
        <w:rPr>
          <w:rFonts w:ascii="Arial" w:hAnsi="Arial"/>
          <w:i/>
          <w:sz w:val="20"/>
          <w:szCs w:val="20"/>
        </w:rPr>
        <w:t>,</w:t>
      </w:r>
      <w:r w:rsidR="007F2800">
        <w:rPr>
          <w:rFonts w:ascii="Arial" w:hAnsi="Arial"/>
          <w:i/>
          <w:sz w:val="20"/>
          <w:szCs w:val="20"/>
        </w:rPr>
        <w:t xml:space="preserve"> </w:t>
      </w:r>
      <w:r w:rsidR="00A47CC2">
        <w:rPr>
          <w:rFonts w:ascii="Arial" w:hAnsi="Arial"/>
          <w:i/>
          <w:sz w:val="20"/>
          <w:szCs w:val="20"/>
        </w:rPr>
        <w:t>Counties and Eastside Area, Percent of PSE T</w:t>
      </w:r>
      <w:r w:rsidRPr="007F2800">
        <w:rPr>
          <w:rFonts w:ascii="Arial" w:hAnsi="Arial"/>
          <w:i/>
          <w:sz w:val="20"/>
          <w:szCs w:val="20"/>
        </w:rPr>
        <w:t>otal, 2013 data</w:t>
      </w:r>
    </w:p>
    <w:tbl>
      <w:tblPr>
        <w:tblW w:w="8570" w:type="dxa"/>
        <w:tblInd w:w="88" w:type="dxa"/>
        <w:tblLayout w:type="fixed"/>
        <w:tblLook w:val="0000" w:firstRow="0" w:lastRow="0" w:firstColumn="0" w:lastColumn="0" w:noHBand="0" w:noVBand="0"/>
      </w:tblPr>
      <w:tblGrid>
        <w:gridCol w:w="1820"/>
        <w:gridCol w:w="1440"/>
        <w:gridCol w:w="1710"/>
        <w:gridCol w:w="1440"/>
        <w:gridCol w:w="2160"/>
      </w:tblGrid>
      <w:tr w:rsidR="00EC4408" w:rsidRPr="000F4E80" w14:paraId="472B7423"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7FAC92F7" w14:textId="77777777" w:rsidR="00EC4408" w:rsidRPr="00EC4408" w:rsidRDefault="00EC4408" w:rsidP="00EC4408">
            <w:pPr>
              <w:jc w:val="center"/>
              <w:rPr>
                <w:rFonts w:ascii="Arial" w:hAnsi="Arial"/>
                <w:b/>
                <w:bCs/>
                <w:color w:val="FFFFFF"/>
                <w:sz w:val="18"/>
                <w:szCs w:val="18"/>
              </w:rPr>
            </w:pPr>
            <w:r w:rsidRPr="00EC4408">
              <w:rPr>
                <w:rFonts w:ascii="Arial" w:hAnsi="Arial"/>
                <w:b/>
                <w:bCs/>
                <w:color w:val="FFFFFF"/>
                <w:sz w:val="18"/>
                <w:szCs w:val="18"/>
              </w:rPr>
              <w:t>County</w:t>
            </w:r>
          </w:p>
        </w:tc>
        <w:tc>
          <w:tcPr>
            <w:tcW w:w="144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1A8EF79B" w14:textId="77777777" w:rsidR="00EC4408" w:rsidRPr="00EC4408" w:rsidRDefault="00EC4408" w:rsidP="00EC4408">
            <w:pPr>
              <w:jc w:val="center"/>
              <w:rPr>
                <w:rFonts w:ascii="Arial" w:hAnsi="Arial"/>
                <w:b/>
                <w:bCs/>
                <w:color w:val="FFFFFF"/>
                <w:sz w:val="18"/>
                <w:szCs w:val="18"/>
              </w:rPr>
            </w:pPr>
            <w:r w:rsidRPr="00EC4408">
              <w:rPr>
                <w:rFonts w:ascii="Arial" w:hAnsi="Arial"/>
                <w:b/>
                <w:bCs/>
                <w:color w:val="FFFFFF"/>
                <w:sz w:val="18"/>
                <w:szCs w:val="18"/>
              </w:rPr>
              <w:t>Population</w:t>
            </w:r>
          </w:p>
        </w:tc>
        <w:tc>
          <w:tcPr>
            <w:tcW w:w="171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79BDC21B" w14:textId="77777777" w:rsidR="00EC4408" w:rsidRPr="00EC4408" w:rsidRDefault="00EC4408" w:rsidP="00EC4408">
            <w:pPr>
              <w:jc w:val="center"/>
              <w:rPr>
                <w:rFonts w:ascii="Arial" w:hAnsi="Arial"/>
                <w:b/>
                <w:bCs/>
                <w:color w:val="FFFFFF"/>
                <w:sz w:val="18"/>
                <w:szCs w:val="18"/>
              </w:rPr>
            </w:pPr>
            <w:r w:rsidRPr="00EC4408">
              <w:rPr>
                <w:rFonts w:ascii="Arial" w:hAnsi="Arial"/>
                <w:b/>
                <w:bCs/>
                <w:color w:val="FFFFFF"/>
                <w:sz w:val="18"/>
                <w:szCs w:val="18"/>
              </w:rPr>
              <w:t>Employment</w:t>
            </w:r>
          </w:p>
        </w:tc>
        <w:tc>
          <w:tcPr>
            <w:tcW w:w="144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7FCC8CFA" w14:textId="77777777" w:rsidR="00EC4408" w:rsidRPr="00EC4408" w:rsidRDefault="00EC4408" w:rsidP="00EC4408">
            <w:pPr>
              <w:jc w:val="center"/>
              <w:rPr>
                <w:rFonts w:ascii="Arial" w:hAnsi="Arial"/>
                <w:b/>
                <w:bCs/>
                <w:color w:val="FFFFFF"/>
                <w:sz w:val="18"/>
                <w:szCs w:val="18"/>
              </w:rPr>
            </w:pPr>
            <w:r w:rsidRPr="00EC4408">
              <w:rPr>
                <w:rFonts w:ascii="Arial" w:hAnsi="Arial"/>
                <w:b/>
                <w:bCs/>
                <w:color w:val="FFFFFF"/>
                <w:sz w:val="18"/>
                <w:szCs w:val="18"/>
              </w:rPr>
              <w:t>Customers</w:t>
            </w:r>
          </w:p>
        </w:tc>
        <w:tc>
          <w:tcPr>
            <w:tcW w:w="216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654946BC" w14:textId="77777777" w:rsidR="00EC4408" w:rsidRPr="00EC4408" w:rsidRDefault="00EC4408" w:rsidP="00EC4408">
            <w:pPr>
              <w:jc w:val="center"/>
              <w:rPr>
                <w:rFonts w:ascii="Arial" w:hAnsi="Arial"/>
                <w:b/>
                <w:bCs/>
                <w:color w:val="FFFFFF"/>
                <w:sz w:val="18"/>
                <w:szCs w:val="18"/>
              </w:rPr>
            </w:pPr>
            <w:r w:rsidRPr="00EC4408">
              <w:rPr>
                <w:rFonts w:ascii="Arial" w:hAnsi="Arial"/>
                <w:b/>
                <w:bCs/>
                <w:color w:val="FFFFFF"/>
                <w:sz w:val="18"/>
                <w:szCs w:val="18"/>
              </w:rPr>
              <w:t>Sales</w:t>
            </w:r>
          </w:p>
        </w:tc>
      </w:tr>
      <w:tr w:rsidR="00EC4408" w:rsidRPr="000F4E80" w14:paraId="279CCFAA"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33462" w14:textId="77777777" w:rsidR="00EC4408" w:rsidRPr="00EC4408" w:rsidRDefault="00EC4408" w:rsidP="00EC4408">
            <w:pPr>
              <w:jc w:val="center"/>
              <w:rPr>
                <w:rFonts w:ascii="Arial" w:hAnsi="Arial"/>
                <w:sz w:val="18"/>
                <w:szCs w:val="18"/>
              </w:rPr>
            </w:pPr>
            <w:r w:rsidRPr="00EC4408">
              <w:rPr>
                <w:rFonts w:ascii="Arial" w:hAnsi="Arial"/>
                <w:sz w:val="18"/>
                <w:szCs w:val="18"/>
              </w:rPr>
              <w:t>King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D935B" w14:textId="77777777" w:rsidR="00EC4408" w:rsidRPr="00EC4408" w:rsidRDefault="00EC4408" w:rsidP="00EC4408">
            <w:pPr>
              <w:jc w:val="center"/>
              <w:rPr>
                <w:rFonts w:ascii="Arial" w:hAnsi="Arial"/>
                <w:sz w:val="18"/>
                <w:szCs w:val="18"/>
              </w:rPr>
            </w:pPr>
            <w:r w:rsidRPr="00EC4408">
              <w:rPr>
                <w:rFonts w:ascii="Arial" w:hAnsi="Arial"/>
                <w:sz w:val="18"/>
                <w:szCs w:val="18"/>
              </w:rPr>
              <w:t>48%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AD84A" w14:textId="77777777" w:rsidR="00EC4408" w:rsidRPr="00EC4408" w:rsidRDefault="00EC4408" w:rsidP="00EC4408">
            <w:pPr>
              <w:jc w:val="center"/>
              <w:rPr>
                <w:rFonts w:ascii="Arial" w:hAnsi="Arial"/>
                <w:sz w:val="18"/>
                <w:szCs w:val="18"/>
              </w:rPr>
            </w:pPr>
            <w:r w:rsidRPr="00EC4408">
              <w:rPr>
                <w:rFonts w:ascii="Arial" w:hAnsi="Arial"/>
                <w:sz w:val="18"/>
                <w:szCs w:val="18"/>
              </w:rPr>
              <w:t>58%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83446" w14:textId="77777777" w:rsidR="00EC4408" w:rsidRPr="00EC4408" w:rsidRDefault="00EC4408" w:rsidP="00EC4408">
            <w:pPr>
              <w:jc w:val="center"/>
              <w:rPr>
                <w:rFonts w:ascii="Arial" w:hAnsi="Arial"/>
                <w:sz w:val="18"/>
                <w:szCs w:val="18"/>
              </w:rPr>
            </w:pPr>
            <w:r w:rsidRPr="00EC4408">
              <w:rPr>
                <w:rFonts w:ascii="Arial" w:hAnsi="Arial"/>
                <w:sz w:val="18"/>
                <w:szCs w:val="18"/>
              </w:rPr>
              <w:t>49%</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A2D67" w14:textId="77777777" w:rsidR="00EC4408" w:rsidRPr="00EC4408" w:rsidRDefault="00EC4408" w:rsidP="00EC4408">
            <w:pPr>
              <w:jc w:val="center"/>
              <w:rPr>
                <w:rFonts w:ascii="Arial" w:hAnsi="Arial"/>
                <w:sz w:val="18"/>
                <w:szCs w:val="18"/>
              </w:rPr>
            </w:pPr>
            <w:r w:rsidRPr="00EC4408">
              <w:rPr>
                <w:rFonts w:ascii="Arial" w:hAnsi="Arial"/>
                <w:sz w:val="18"/>
                <w:szCs w:val="18"/>
              </w:rPr>
              <w:t>52%</w:t>
            </w:r>
          </w:p>
        </w:tc>
      </w:tr>
      <w:tr w:rsidR="00EC4408" w:rsidRPr="000F4E80" w14:paraId="440A0B17"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7815A" w14:textId="77777777" w:rsidR="00EC4408" w:rsidRPr="00EC4408" w:rsidRDefault="00EC4408" w:rsidP="00EC4408">
            <w:pPr>
              <w:jc w:val="center"/>
              <w:rPr>
                <w:rFonts w:ascii="Arial" w:hAnsi="Arial"/>
                <w:sz w:val="18"/>
                <w:szCs w:val="18"/>
              </w:rPr>
            </w:pPr>
            <w:r w:rsidRPr="00EC4408">
              <w:rPr>
                <w:rFonts w:ascii="Arial" w:hAnsi="Arial"/>
                <w:sz w:val="18"/>
                <w:szCs w:val="18"/>
              </w:rPr>
              <w:t>Thurston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A364E" w14:textId="77777777" w:rsidR="00EC4408" w:rsidRPr="00EC4408" w:rsidRDefault="00EC4408" w:rsidP="00EC4408">
            <w:pPr>
              <w:jc w:val="center"/>
              <w:rPr>
                <w:rFonts w:ascii="Arial" w:hAnsi="Arial"/>
                <w:sz w:val="18"/>
                <w:szCs w:val="18"/>
              </w:rPr>
            </w:pPr>
            <w:r w:rsidRPr="00EC4408">
              <w:rPr>
                <w:rFonts w:ascii="Arial" w:hAnsi="Arial"/>
                <w:sz w:val="18"/>
                <w:szCs w:val="18"/>
              </w:rPr>
              <w:t>10%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23BA9" w14:textId="77777777" w:rsidR="00EC4408" w:rsidRPr="00EC4408" w:rsidRDefault="00EC4408" w:rsidP="00EC4408">
            <w:pPr>
              <w:jc w:val="center"/>
              <w:rPr>
                <w:rFonts w:ascii="Arial" w:hAnsi="Arial"/>
                <w:sz w:val="18"/>
                <w:szCs w:val="18"/>
              </w:rPr>
            </w:pPr>
            <w:r w:rsidRPr="00EC4408">
              <w:rPr>
                <w:rFonts w:ascii="Arial" w:hAnsi="Arial"/>
                <w:sz w:val="18"/>
                <w:szCs w:val="18"/>
              </w:rPr>
              <w:t>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77678" w14:textId="77777777" w:rsidR="00EC4408" w:rsidRPr="00EC4408" w:rsidRDefault="00EC4408" w:rsidP="00EC4408">
            <w:pPr>
              <w:jc w:val="center"/>
              <w:rPr>
                <w:rFonts w:ascii="Arial" w:hAnsi="Arial"/>
                <w:sz w:val="18"/>
                <w:szCs w:val="18"/>
              </w:rPr>
            </w:pPr>
            <w:r w:rsidRPr="00EC4408">
              <w:rPr>
                <w:rFonts w:ascii="Arial" w:hAnsi="Arial"/>
                <w:sz w:val="18"/>
                <w:szCs w:val="18"/>
              </w:rPr>
              <w:t>11%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8BCA7" w14:textId="77777777" w:rsidR="00EC4408" w:rsidRPr="00EC4408" w:rsidRDefault="00EC4408" w:rsidP="00EC4408">
            <w:pPr>
              <w:jc w:val="center"/>
              <w:rPr>
                <w:rFonts w:ascii="Arial" w:hAnsi="Arial"/>
                <w:sz w:val="18"/>
                <w:szCs w:val="18"/>
              </w:rPr>
            </w:pPr>
            <w:r w:rsidRPr="00EC4408">
              <w:rPr>
                <w:rFonts w:ascii="Arial" w:hAnsi="Arial"/>
                <w:sz w:val="18"/>
                <w:szCs w:val="18"/>
              </w:rPr>
              <w:t>11%</w:t>
            </w:r>
          </w:p>
        </w:tc>
      </w:tr>
      <w:tr w:rsidR="00EC4408" w:rsidRPr="000F4E80" w14:paraId="5E5E3C0D"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84294" w14:textId="77777777" w:rsidR="00EC4408" w:rsidRPr="00EC4408" w:rsidRDefault="00EC4408" w:rsidP="00EC4408">
            <w:pPr>
              <w:jc w:val="center"/>
              <w:rPr>
                <w:rFonts w:ascii="Arial" w:hAnsi="Arial"/>
                <w:sz w:val="18"/>
                <w:szCs w:val="18"/>
              </w:rPr>
            </w:pPr>
            <w:r w:rsidRPr="00EC4408">
              <w:rPr>
                <w:rFonts w:ascii="Arial" w:hAnsi="Arial"/>
                <w:sz w:val="18"/>
                <w:szCs w:val="18"/>
              </w:rPr>
              <w:t>Pierce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EFDB5" w14:textId="77777777" w:rsidR="00EC4408" w:rsidRPr="00EC4408" w:rsidRDefault="00EC4408" w:rsidP="00EC4408">
            <w:pPr>
              <w:jc w:val="center"/>
              <w:rPr>
                <w:rFonts w:ascii="Arial" w:hAnsi="Arial"/>
                <w:sz w:val="18"/>
                <w:szCs w:val="18"/>
              </w:rPr>
            </w:pPr>
            <w:r w:rsidRPr="00EC4408">
              <w:rPr>
                <w:rFonts w:ascii="Arial" w:hAnsi="Arial"/>
                <w:sz w:val="18"/>
                <w:szCs w:val="18"/>
              </w:rPr>
              <w:t>15%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7EFB5" w14:textId="77777777" w:rsidR="00EC4408" w:rsidRPr="00EC4408" w:rsidRDefault="00EC4408" w:rsidP="00EC4408">
            <w:pPr>
              <w:jc w:val="center"/>
              <w:rPr>
                <w:rFonts w:ascii="Arial" w:hAnsi="Arial"/>
                <w:sz w:val="18"/>
                <w:szCs w:val="18"/>
              </w:rPr>
            </w:pPr>
            <w:r w:rsidRPr="00EC4408">
              <w:rPr>
                <w:rFonts w:ascii="Arial" w:hAnsi="Arial"/>
                <w:sz w:val="18"/>
                <w:szCs w:val="18"/>
              </w:rPr>
              <w:t>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3BC42" w14:textId="77777777" w:rsidR="00EC4408" w:rsidRPr="00EC4408" w:rsidRDefault="00EC4408" w:rsidP="00EC4408">
            <w:pPr>
              <w:jc w:val="center"/>
              <w:rPr>
                <w:rFonts w:ascii="Arial" w:hAnsi="Arial"/>
                <w:sz w:val="18"/>
                <w:szCs w:val="18"/>
              </w:rPr>
            </w:pPr>
            <w:r w:rsidRPr="00EC4408">
              <w:rPr>
                <w:rFonts w:ascii="Arial" w:hAnsi="Arial"/>
                <w:sz w:val="18"/>
                <w:szCs w:val="18"/>
              </w:rPr>
              <w:t>10%</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A1115" w14:textId="77777777" w:rsidR="00EC4408" w:rsidRPr="00EC4408" w:rsidRDefault="00EC4408" w:rsidP="00EC4408">
            <w:pPr>
              <w:jc w:val="center"/>
              <w:rPr>
                <w:rFonts w:ascii="Arial" w:hAnsi="Arial"/>
                <w:sz w:val="18"/>
                <w:szCs w:val="18"/>
              </w:rPr>
            </w:pPr>
            <w:r w:rsidRPr="00EC4408">
              <w:rPr>
                <w:rFonts w:ascii="Arial" w:hAnsi="Arial"/>
                <w:sz w:val="18"/>
                <w:szCs w:val="18"/>
              </w:rPr>
              <w:t>9%</w:t>
            </w:r>
          </w:p>
        </w:tc>
      </w:tr>
      <w:tr w:rsidR="00EC4408" w:rsidRPr="000F4E80" w14:paraId="6AC142FF"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2AE70" w14:textId="77777777" w:rsidR="00EC4408" w:rsidRPr="00EC4408" w:rsidRDefault="00EC4408" w:rsidP="00EC4408">
            <w:pPr>
              <w:jc w:val="center"/>
              <w:rPr>
                <w:rFonts w:ascii="Arial" w:hAnsi="Arial"/>
                <w:sz w:val="18"/>
                <w:szCs w:val="18"/>
              </w:rPr>
            </w:pPr>
            <w:r w:rsidRPr="00EC4408">
              <w:rPr>
                <w:rFonts w:ascii="Arial" w:hAnsi="Arial"/>
                <w:sz w:val="18"/>
                <w:szCs w:val="18"/>
              </w:rPr>
              <w:t>Kitsap</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AF839" w14:textId="77777777" w:rsidR="00EC4408" w:rsidRPr="00EC4408" w:rsidRDefault="00EC4408" w:rsidP="00EC4408">
            <w:pPr>
              <w:jc w:val="center"/>
              <w:rPr>
                <w:rFonts w:ascii="Arial" w:hAnsi="Arial"/>
                <w:sz w:val="18"/>
                <w:szCs w:val="18"/>
              </w:rPr>
            </w:pPr>
            <w:r w:rsidRPr="00EC4408">
              <w:rPr>
                <w:rFonts w:ascii="Arial" w:hAnsi="Arial"/>
                <w:sz w:val="18"/>
                <w:szCs w:val="18"/>
              </w:rPr>
              <w:t>10%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16E03" w14:textId="77777777" w:rsidR="00EC4408" w:rsidRPr="00EC4408" w:rsidRDefault="00EC4408" w:rsidP="00EC4408">
            <w:pPr>
              <w:jc w:val="center"/>
              <w:rPr>
                <w:rFonts w:ascii="Arial" w:hAnsi="Arial"/>
                <w:sz w:val="18"/>
                <w:szCs w:val="18"/>
              </w:rPr>
            </w:pPr>
            <w:r w:rsidRPr="00EC4408">
              <w:rPr>
                <w:rFonts w:ascii="Arial" w:hAnsi="Arial"/>
                <w:sz w:val="18"/>
                <w:szCs w:val="18"/>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631A0" w14:textId="77777777" w:rsidR="00EC4408" w:rsidRPr="00EC4408" w:rsidRDefault="00EC4408" w:rsidP="00EC4408">
            <w:pPr>
              <w:jc w:val="center"/>
              <w:rPr>
                <w:rFonts w:ascii="Arial" w:hAnsi="Arial"/>
                <w:sz w:val="18"/>
                <w:szCs w:val="18"/>
              </w:rPr>
            </w:pPr>
            <w:r w:rsidRPr="00EC4408">
              <w:rPr>
                <w:rFonts w:ascii="Arial" w:hAnsi="Arial"/>
                <w:sz w:val="18"/>
                <w:szCs w:val="18"/>
              </w:rPr>
              <w:t>11%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A7401" w14:textId="77777777" w:rsidR="00EC4408" w:rsidRPr="00EC4408" w:rsidRDefault="00EC4408" w:rsidP="00EC4408">
            <w:pPr>
              <w:jc w:val="center"/>
              <w:rPr>
                <w:rFonts w:ascii="Arial" w:hAnsi="Arial"/>
                <w:sz w:val="18"/>
                <w:szCs w:val="18"/>
              </w:rPr>
            </w:pPr>
            <w:r w:rsidRPr="00EC4408">
              <w:rPr>
                <w:rFonts w:ascii="Arial" w:hAnsi="Arial"/>
                <w:sz w:val="18"/>
                <w:szCs w:val="18"/>
              </w:rPr>
              <w:t>9%</w:t>
            </w:r>
          </w:p>
        </w:tc>
      </w:tr>
      <w:tr w:rsidR="00EC4408" w:rsidRPr="000F4E80" w14:paraId="68EE6797"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42933" w14:textId="77777777" w:rsidR="00EC4408" w:rsidRPr="00EC4408" w:rsidRDefault="00EC4408" w:rsidP="00EC4408">
            <w:pPr>
              <w:jc w:val="center"/>
              <w:rPr>
                <w:rFonts w:ascii="Arial" w:hAnsi="Arial"/>
                <w:sz w:val="18"/>
                <w:szCs w:val="18"/>
              </w:rPr>
            </w:pPr>
            <w:r w:rsidRPr="00EC4408">
              <w:rPr>
                <w:rFonts w:ascii="Arial" w:hAnsi="Arial"/>
                <w:sz w:val="18"/>
                <w:szCs w:val="18"/>
              </w:rPr>
              <w:t>Whatcom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D46F8" w14:textId="77777777" w:rsidR="00EC4408" w:rsidRPr="00EC4408" w:rsidRDefault="00EC4408" w:rsidP="00EC4408">
            <w:pPr>
              <w:jc w:val="center"/>
              <w:rPr>
                <w:rFonts w:ascii="Arial" w:hAnsi="Arial"/>
                <w:sz w:val="18"/>
                <w:szCs w:val="18"/>
              </w:rPr>
            </w:pPr>
            <w:r w:rsidRPr="00EC4408">
              <w:rPr>
                <w:rFonts w:ascii="Arial" w:hAnsi="Arial"/>
                <w:sz w:val="18"/>
                <w:szCs w:val="18"/>
              </w:rPr>
              <w:t>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86FD6" w14:textId="77777777" w:rsidR="00EC4408" w:rsidRPr="00EC4408" w:rsidRDefault="00EC4408" w:rsidP="00EC4408">
            <w:pPr>
              <w:jc w:val="center"/>
              <w:rPr>
                <w:rFonts w:ascii="Arial" w:hAnsi="Arial"/>
                <w:sz w:val="18"/>
                <w:szCs w:val="18"/>
              </w:rPr>
            </w:pPr>
            <w:r w:rsidRPr="00EC4408">
              <w:rPr>
                <w:rFonts w:ascii="Arial" w:hAnsi="Arial"/>
                <w:sz w:val="18"/>
                <w:szCs w:val="18"/>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7331F" w14:textId="77777777" w:rsidR="00EC4408" w:rsidRPr="00EC4408" w:rsidRDefault="00EC4408" w:rsidP="00EC4408">
            <w:pPr>
              <w:jc w:val="center"/>
              <w:rPr>
                <w:rFonts w:ascii="Arial" w:hAnsi="Arial"/>
                <w:sz w:val="18"/>
                <w:szCs w:val="18"/>
              </w:rPr>
            </w:pPr>
            <w:r w:rsidRPr="00EC4408">
              <w:rPr>
                <w:rFonts w:ascii="Arial" w:hAnsi="Arial"/>
                <w:sz w:val="18"/>
                <w:szCs w:val="18"/>
              </w:rPr>
              <w:t>9%</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0DF96" w14:textId="77777777" w:rsidR="00EC4408" w:rsidRPr="00EC4408" w:rsidRDefault="00EC4408" w:rsidP="00EC4408">
            <w:pPr>
              <w:jc w:val="center"/>
              <w:rPr>
                <w:rFonts w:ascii="Arial" w:hAnsi="Arial"/>
                <w:sz w:val="18"/>
                <w:szCs w:val="18"/>
              </w:rPr>
            </w:pPr>
            <w:r w:rsidRPr="00EC4408">
              <w:rPr>
                <w:rFonts w:ascii="Arial" w:hAnsi="Arial"/>
                <w:sz w:val="18"/>
                <w:szCs w:val="18"/>
              </w:rPr>
              <w:t>9%</w:t>
            </w:r>
          </w:p>
        </w:tc>
      </w:tr>
      <w:tr w:rsidR="00EC4408" w:rsidRPr="000F4E80" w14:paraId="23795188"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8F8F4" w14:textId="77777777" w:rsidR="00EC4408" w:rsidRPr="00EC4408" w:rsidRDefault="00EC4408" w:rsidP="00EC4408">
            <w:pPr>
              <w:jc w:val="center"/>
              <w:rPr>
                <w:rFonts w:ascii="Arial" w:hAnsi="Arial"/>
                <w:sz w:val="18"/>
                <w:szCs w:val="18"/>
              </w:rPr>
            </w:pPr>
            <w:r w:rsidRPr="00EC4408">
              <w:rPr>
                <w:rFonts w:ascii="Arial" w:hAnsi="Arial"/>
                <w:sz w:val="18"/>
                <w:szCs w:val="18"/>
              </w:rPr>
              <w:t>Skagit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36E19" w14:textId="77777777" w:rsidR="00EC4408" w:rsidRPr="00EC4408" w:rsidRDefault="00EC4408" w:rsidP="00EC4408">
            <w:pPr>
              <w:jc w:val="center"/>
              <w:rPr>
                <w:rFonts w:ascii="Arial" w:hAnsi="Arial"/>
                <w:sz w:val="18"/>
                <w:szCs w:val="18"/>
              </w:rPr>
            </w:pPr>
            <w:r w:rsidRPr="00EC4408">
              <w:rPr>
                <w:rFonts w:ascii="Arial" w:hAnsi="Arial"/>
                <w:sz w:val="18"/>
                <w:szCs w:val="18"/>
              </w:rPr>
              <w:t>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39D88" w14:textId="77777777" w:rsidR="00EC4408" w:rsidRPr="00EC4408" w:rsidRDefault="00EC4408" w:rsidP="00EC4408">
            <w:pPr>
              <w:jc w:val="center"/>
              <w:rPr>
                <w:rFonts w:ascii="Arial" w:hAnsi="Arial"/>
                <w:sz w:val="18"/>
                <w:szCs w:val="18"/>
              </w:rPr>
            </w:pPr>
            <w:r w:rsidRPr="00EC4408">
              <w:rPr>
                <w:rFonts w:ascii="Arial" w:hAnsi="Arial"/>
                <w:sz w:val="18"/>
                <w:szCs w:val="18"/>
              </w:rPr>
              <w:t>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F4C56" w14:textId="77777777" w:rsidR="00EC4408" w:rsidRPr="00EC4408" w:rsidRDefault="00EC4408" w:rsidP="00EC4408">
            <w:pPr>
              <w:jc w:val="center"/>
              <w:rPr>
                <w:rFonts w:ascii="Arial" w:hAnsi="Arial"/>
                <w:sz w:val="18"/>
                <w:szCs w:val="18"/>
              </w:rPr>
            </w:pPr>
            <w:r w:rsidRPr="00EC4408">
              <w:rPr>
                <w:rFonts w:ascii="Arial" w:hAnsi="Arial"/>
                <w:sz w:val="18"/>
                <w:szCs w:val="18"/>
              </w:rPr>
              <w:t>5%</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06897" w14:textId="77777777" w:rsidR="00EC4408" w:rsidRPr="00EC4408" w:rsidRDefault="00EC4408" w:rsidP="00EC4408">
            <w:pPr>
              <w:jc w:val="center"/>
              <w:rPr>
                <w:rFonts w:ascii="Arial" w:hAnsi="Arial"/>
                <w:sz w:val="18"/>
                <w:szCs w:val="18"/>
              </w:rPr>
            </w:pPr>
            <w:r w:rsidRPr="00EC4408">
              <w:rPr>
                <w:rFonts w:ascii="Arial" w:hAnsi="Arial"/>
                <w:sz w:val="18"/>
                <w:szCs w:val="18"/>
              </w:rPr>
              <w:t>7%</w:t>
            </w:r>
          </w:p>
        </w:tc>
      </w:tr>
      <w:tr w:rsidR="00EC4408" w:rsidRPr="000F4E80" w14:paraId="0E313539"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99EBC" w14:textId="77777777" w:rsidR="00EC4408" w:rsidRPr="00EC4408" w:rsidRDefault="00EC4408" w:rsidP="00EC4408">
            <w:pPr>
              <w:jc w:val="center"/>
              <w:rPr>
                <w:rFonts w:ascii="Arial" w:hAnsi="Arial"/>
                <w:sz w:val="18"/>
                <w:szCs w:val="18"/>
              </w:rPr>
            </w:pPr>
            <w:r w:rsidRPr="00EC4408">
              <w:rPr>
                <w:rFonts w:ascii="Arial" w:hAnsi="Arial"/>
                <w:sz w:val="18"/>
                <w:szCs w:val="18"/>
              </w:rPr>
              <w:t>Island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B3AFC" w14:textId="77777777" w:rsidR="00EC4408" w:rsidRPr="00EC4408" w:rsidRDefault="00EC4408" w:rsidP="00EC4408">
            <w:pPr>
              <w:jc w:val="center"/>
              <w:rPr>
                <w:rFonts w:ascii="Arial" w:hAnsi="Arial"/>
                <w:sz w:val="18"/>
                <w:szCs w:val="18"/>
              </w:rPr>
            </w:pPr>
            <w:r w:rsidRPr="00EC4408">
              <w:rPr>
                <w:rFonts w:ascii="Arial" w:hAnsi="Arial"/>
                <w:sz w:val="18"/>
                <w:szCs w:val="18"/>
              </w:rPr>
              <w:t>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2A13A" w14:textId="77777777" w:rsidR="00EC4408" w:rsidRPr="00EC4408" w:rsidRDefault="00EC4408" w:rsidP="00EC4408">
            <w:pPr>
              <w:jc w:val="center"/>
              <w:rPr>
                <w:rFonts w:ascii="Arial" w:hAnsi="Arial"/>
                <w:sz w:val="18"/>
                <w:szCs w:val="18"/>
              </w:rPr>
            </w:pPr>
            <w:r w:rsidRPr="00EC4408">
              <w:rPr>
                <w:rFonts w:ascii="Arial" w:hAnsi="Arial"/>
                <w:sz w:val="18"/>
                <w:szCs w:val="18"/>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00177" w14:textId="77777777" w:rsidR="00EC4408" w:rsidRPr="00EC4408" w:rsidRDefault="00EC4408" w:rsidP="00EC4408">
            <w:pPr>
              <w:jc w:val="center"/>
              <w:rPr>
                <w:rFonts w:ascii="Arial" w:hAnsi="Arial"/>
                <w:sz w:val="18"/>
                <w:szCs w:val="18"/>
              </w:rPr>
            </w:pPr>
            <w:r w:rsidRPr="00EC4408">
              <w:rPr>
                <w:rFonts w:ascii="Arial" w:hAnsi="Arial"/>
                <w:sz w:val="18"/>
                <w:szCs w:val="18"/>
              </w:rPr>
              <w:t>3%</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51270" w14:textId="77777777" w:rsidR="00EC4408" w:rsidRPr="00EC4408" w:rsidRDefault="00EC4408" w:rsidP="00EC4408">
            <w:pPr>
              <w:jc w:val="center"/>
              <w:rPr>
                <w:rFonts w:ascii="Arial" w:hAnsi="Arial"/>
                <w:sz w:val="18"/>
                <w:szCs w:val="18"/>
              </w:rPr>
            </w:pPr>
            <w:r w:rsidRPr="00EC4408">
              <w:rPr>
                <w:rFonts w:ascii="Arial" w:hAnsi="Arial"/>
                <w:sz w:val="18"/>
                <w:szCs w:val="18"/>
              </w:rPr>
              <w:t>2%</w:t>
            </w:r>
          </w:p>
        </w:tc>
      </w:tr>
      <w:tr w:rsidR="00EC4408" w:rsidRPr="000F4E80" w14:paraId="7E58237E"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379B7" w14:textId="77777777" w:rsidR="00EC4408" w:rsidRPr="009C0BDA" w:rsidRDefault="00EC4408" w:rsidP="00EC4408">
            <w:pPr>
              <w:jc w:val="center"/>
              <w:rPr>
                <w:rFonts w:ascii="Arial" w:hAnsi="Arial"/>
                <w:sz w:val="18"/>
                <w:szCs w:val="18"/>
              </w:rPr>
            </w:pPr>
            <w:r w:rsidRPr="009C0BDA">
              <w:rPr>
                <w:rFonts w:ascii="Arial" w:hAnsi="Arial"/>
                <w:sz w:val="18"/>
                <w:szCs w:val="18"/>
              </w:rPr>
              <w:t>Kittitas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12930" w14:textId="77777777" w:rsidR="00EC4408" w:rsidRPr="009C0BDA" w:rsidRDefault="00EC4408" w:rsidP="00EC4408">
            <w:pPr>
              <w:jc w:val="center"/>
              <w:rPr>
                <w:rFonts w:ascii="Arial" w:hAnsi="Arial"/>
                <w:sz w:val="18"/>
                <w:szCs w:val="18"/>
              </w:rPr>
            </w:pPr>
            <w:r w:rsidRPr="009C0BDA">
              <w:rPr>
                <w:rFonts w:ascii="Arial" w:hAnsi="Arial"/>
                <w:sz w:val="18"/>
                <w:szCs w:val="18"/>
              </w:rPr>
              <w:t>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5E9C3" w14:textId="77777777" w:rsidR="00EC4408" w:rsidRPr="009C0BDA" w:rsidRDefault="00EC4408" w:rsidP="00EC4408">
            <w:pPr>
              <w:jc w:val="center"/>
              <w:rPr>
                <w:rFonts w:ascii="Arial" w:hAnsi="Arial"/>
                <w:sz w:val="18"/>
                <w:szCs w:val="18"/>
              </w:rPr>
            </w:pPr>
            <w:r w:rsidRPr="009C0BDA">
              <w:rPr>
                <w:rFonts w:ascii="Arial" w:hAnsi="Arial"/>
                <w:sz w:val="18"/>
                <w:szCs w:val="18"/>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590B6" w14:textId="77777777" w:rsidR="00EC4408" w:rsidRPr="009C0BDA" w:rsidRDefault="00EC4408" w:rsidP="00EC4408">
            <w:pPr>
              <w:jc w:val="center"/>
              <w:rPr>
                <w:rFonts w:ascii="Arial" w:hAnsi="Arial"/>
                <w:sz w:val="18"/>
                <w:szCs w:val="18"/>
              </w:rPr>
            </w:pPr>
            <w:r w:rsidRPr="009C0BDA">
              <w:rPr>
                <w:rFonts w:ascii="Arial" w:hAnsi="Arial"/>
                <w:sz w:val="18"/>
                <w:szCs w:val="18"/>
              </w:rPr>
              <w:t>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DA321" w14:textId="77777777" w:rsidR="00EC4408" w:rsidRPr="009C0BDA" w:rsidRDefault="00EC4408" w:rsidP="00EC4408">
            <w:pPr>
              <w:jc w:val="center"/>
              <w:rPr>
                <w:rFonts w:ascii="Arial" w:hAnsi="Arial"/>
                <w:sz w:val="18"/>
                <w:szCs w:val="18"/>
              </w:rPr>
            </w:pPr>
            <w:r w:rsidRPr="009C0BDA">
              <w:rPr>
                <w:rFonts w:ascii="Arial" w:hAnsi="Arial"/>
                <w:sz w:val="18"/>
                <w:szCs w:val="18"/>
              </w:rPr>
              <w:t>1%</w:t>
            </w:r>
          </w:p>
        </w:tc>
      </w:tr>
      <w:tr w:rsidR="00EC4408" w:rsidRPr="000F4E80" w14:paraId="5B39EC91"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69861" w14:textId="77777777" w:rsidR="00EC4408" w:rsidRPr="009C0BDA" w:rsidRDefault="00EC4408" w:rsidP="00EC4408">
            <w:pPr>
              <w:jc w:val="center"/>
              <w:rPr>
                <w:rFonts w:ascii="Arial" w:hAnsi="Arial"/>
                <w:sz w:val="18"/>
                <w:szCs w:val="18"/>
              </w:rPr>
            </w:pPr>
            <w:r w:rsidRPr="009C0BDA">
              <w:rPr>
                <w:rFonts w:ascii="Arial" w:hAnsi="Arial"/>
                <w:sz w:val="18"/>
                <w:szCs w:val="18"/>
              </w:rPr>
              <w:t>Eastside Area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0819B" w14:textId="77777777" w:rsidR="00EC4408" w:rsidRPr="009C0BDA" w:rsidRDefault="00EC4408" w:rsidP="00EC4408">
            <w:pPr>
              <w:jc w:val="center"/>
              <w:rPr>
                <w:rFonts w:ascii="Arial" w:hAnsi="Arial"/>
                <w:sz w:val="18"/>
                <w:szCs w:val="18"/>
              </w:rPr>
            </w:pPr>
            <w:r w:rsidRPr="009C0BDA">
              <w:rPr>
                <w:rFonts w:ascii="Arial" w:hAnsi="Arial"/>
                <w:sz w:val="18"/>
                <w:szCs w:val="18"/>
              </w:rPr>
              <w:t>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8CBE8" w14:textId="77777777" w:rsidR="00EC4408" w:rsidRPr="009C0BDA" w:rsidRDefault="00EC4408" w:rsidP="00EC4408">
            <w:pPr>
              <w:jc w:val="center"/>
              <w:rPr>
                <w:rFonts w:ascii="Arial" w:hAnsi="Arial"/>
                <w:sz w:val="18"/>
                <w:szCs w:val="18"/>
              </w:rPr>
            </w:pPr>
            <w:r w:rsidRPr="009C0BDA">
              <w:rPr>
                <w:rFonts w:ascii="Arial" w:hAnsi="Arial"/>
                <w:sz w:val="18"/>
                <w:szCs w:val="18"/>
              </w:rPr>
              <w:t>19%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370C1" w14:textId="77777777" w:rsidR="00EC4408" w:rsidRPr="009C0BDA" w:rsidRDefault="00EC4408" w:rsidP="00EC4408">
            <w:pPr>
              <w:jc w:val="center"/>
              <w:rPr>
                <w:rFonts w:ascii="Arial" w:hAnsi="Arial"/>
                <w:sz w:val="18"/>
                <w:szCs w:val="18"/>
              </w:rPr>
            </w:pPr>
            <w:r w:rsidRPr="009C0BDA">
              <w:rPr>
                <w:rFonts w:ascii="Arial" w:hAnsi="Arial"/>
                <w:sz w:val="18"/>
                <w:szCs w:val="18"/>
              </w:rPr>
              <w:t>10%</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95E0E" w14:textId="77777777" w:rsidR="00EC4408" w:rsidRPr="009C0BDA" w:rsidRDefault="00EC4408" w:rsidP="00EC4408">
            <w:pPr>
              <w:jc w:val="center"/>
              <w:rPr>
                <w:rFonts w:ascii="Arial" w:hAnsi="Arial"/>
                <w:sz w:val="18"/>
                <w:szCs w:val="18"/>
              </w:rPr>
            </w:pPr>
            <w:r w:rsidRPr="009C0BDA">
              <w:rPr>
                <w:rFonts w:ascii="Arial" w:hAnsi="Arial"/>
                <w:sz w:val="18"/>
                <w:szCs w:val="18"/>
              </w:rPr>
              <w:t>14%</w:t>
            </w:r>
          </w:p>
        </w:tc>
      </w:tr>
    </w:tbl>
    <w:p w14:paraId="11D738B0" w14:textId="751CB8BF" w:rsidR="009C0BDA" w:rsidRPr="007F2800" w:rsidRDefault="006246FD" w:rsidP="00E72663">
      <w:pPr>
        <w:pStyle w:val="IRPFigureSub"/>
        <w:rPr>
          <w:szCs w:val="20"/>
        </w:rPr>
      </w:pPr>
      <w:r>
        <w:rPr>
          <w:rFonts w:ascii="Calibri" w:hAnsi="Calibri"/>
          <w:noProof/>
          <w:lang w:eastAsia="en-US"/>
        </w:rPr>
        <w:lastRenderedPageBreak/>
        <w:drawing>
          <wp:anchor distT="0" distB="0" distL="114300" distR="114300" simplePos="0" relativeHeight="251668480" behindDoc="0" locked="0" layoutInCell="1" allowOverlap="1" wp14:anchorId="2E41D4BB" wp14:editId="2E8AE19A">
            <wp:simplePos x="0" y="0"/>
            <wp:positionH relativeFrom="column">
              <wp:posOffset>622300</wp:posOffset>
            </wp:positionH>
            <wp:positionV relativeFrom="paragraph">
              <wp:posOffset>256540</wp:posOffset>
            </wp:positionV>
            <wp:extent cx="4578985" cy="5829300"/>
            <wp:effectExtent l="0" t="0" r="0" b="12700"/>
            <wp:wrapTopAndBottom/>
            <wp:docPr id="4" name="Picture 4" descr="Macintosh HD:Users:annrhodes:Desktop:PSEgassvcarea_c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rhodes:Desktop:PSEgassvcarea_ch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985" cy="5829300"/>
                    </a:xfrm>
                    <a:prstGeom prst="rect">
                      <a:avLst/>
                    </a:prstGeom>
                    <a:noFill/>
                    <a:ln>
                      <a:noFill/>
                    </a:ln>
                  </pic:spPr>
                </pic:pic>
              </a:graphicData>
            </a:graphic>
          </wp:anchor>
        </w:drawing>
      </w:r>
      <w:r w:rsidR="0057131A">
        <w:rPr>
          <w:noProof/>
          <w:lang w:eastAsia="en-US"/>
        </w:rPr>
        <mc:AlternateContent>
          <mc:Choice Requires="wps">
            <w:drawing>
              <wp:anchor distT="0" distB="0" distL="114300" distR="114300" simplePos="0" relativeHeight="251670528" behindDoc="0" locked="0" layoutInCell="1" allowOverlap="1" wp14:anchorId="20FD985B" wp14:editId="2D641F97">
                <wp:simplePos x="0" y="0"/>
                <wp:positionH relativeFrom="column">
                  <wp:posOffset>3137535</wp:posOffset>
                </wp:positionH>
                <wp:positionV relativeFrom="paragraph">
                  <wp:posOffset>2796540</wp:posOffset>
                </wp:positionV>
                <wp:extent cx="1943100" cy="6858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DA5044" w14:textId="77777777" w:rsidR="00CA6E29" w:rsidRPr="009C0BDA" w:rsidRDefault="00CA6E29" w:rsidP="009C0BDA">
                            <w:pPr>
                              <w:rPr>
                                <w:rFonts w:ascii="Arial" w:hAnsi="Arial" w:cs="Arial"/>
                                <w:sz w:val="20"/>
                                <w:szCs w:val="20"/>
                              </w:rPr>
                            </w:pPr>
                            <w:r w:rsidRPr="009C0BDA">
                              <w:rPr>
                                <w:rFonts w:ascii="Arial" w:hAnsi="Arial" w:cs="Arial"/>
                                <w:sz w:val="20"/>
                                <w:szCs w:val="20"/>
                              </w:rPr>
                              <w:t>Total Population: 3,852,855</w:t>
                            </w:r>
                          </w:p>
                          <w:p w14:paraId="734609AE" w14:textId="77777777" w:rsidR="00CA6E29" w:rsidRPr="009C0BDA" w:rsidRDefault="00CA6E29" w:rsidP="009C0BDA">
                            <w:pPr>
                              <w:rPr>
                                <w:rFonts w:ascii="Arial" w:hAnsi="Arial" w:cs="Arial"/>
                                <w:sz w:val="20"/>
                                <w:szCs w:val="20"/>
                              </w:rPr>
                            </w:pPr>
                            <w:r w:rsidRPr="009C0BDA">
                              <w:rPr>
                                <w:rFonts w:ascii="Arial" w:hAnsi="Arial" w:cs="Arial"/>
                                <w:sz w:val="20"/>
                                <w:szCs w:val="20"/>
                              </w:rPr>
                              <w:t>Total Employment: 1,929,644</w:t>
                            </w:r>
                          </w:p>
                          <w:p w14:paraId="60EE5544" w14:textId="77777777" w:rsidR="00CA6E29" w:rsidRPr="009C0BDA" w:rsidRDefault="00CA6E29" w:rsidP="009C0BDA">
                            <w:pPr>
                              <w:rPr>
                                <w:rFonts w:ascii="Arial" w:hAnsi="Arial" w:cs="Arial"/>
                                <w:sz w:val="20"/>
                                <w:szCs w:val="20"/>
                              </w:rPr>
                            </w:pPr>
                            <w:r w:rsidRPr="009C0BDA">
                              <w:rPr>
                                <w:rFonts w:ascii="Arial" w:hAnsi="Arial" w:cs="Arial"/>
                                <w:sz w:val="20"/>
                                <w:szCs w:val="20"/>
                              </w:rPr>
                              <w:t>Total Customers: 779,778</w:t>
                            </w:r>
                          </w:p>
                          <w:p w14:paraId="3249F1B0" w14:textId="77777777" w:rsidR="00CA6E29" w:rsidRPr="009C0BDA" w:rsidRDefault="00CA6E29" w:rsidP="009C0BDA">
                            <w:pPr>
                              <w:rPr>
                                <w:rFonts w:ascii="Arial" w:hAnsi="Arial" w:cs="Arial"/>
                                <w:sz w:val="20"/>
                                <w:szCs w:val="20"/>
                              </w:rPr>
                            </w:pPr>
                            <w:r w:rsidRPr="009C0BDA">
                              <w:rPr>
                                <w:rFonts w:ascii="Arial" w:hAnsi="Arial" w:cs="Arial"/>
                                <w:sz w:val="20"/>
                                <w:szCs w:val="20"/>
                              </w:rPr>
                              <w:t xml:space="preserve">Total Sales: 115,649 </w:t>
                            </w:r>
                            <w:proofErr w:type="spellStart"/>
                            <w:r w:rsidRPr="009C0BDA">
                              <w:rPr>
                                <w:rFonts w:ascii="Arial" w:hAnsi="Arial" w:cs="Arial"/>
                                <w:sz w:val="20"/>
                                <w:szCs w:val="20"/>
                              </w:rPr>
                              <w:t>Mdth</w:t>
                            </w:r>
                            <w:proofErr w:type="spellEnd"/>
                          </w:p>
                          <w:p w14:paraId="59C9BA90" w14:textId="77777777" w:rsidR="00CA6E29" w:rsidRDefault="00CA6E29" w:rsidP="009C0B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247.05pt;margin-top:220.2pt;width:153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" filled="f" stroked="f">
                <v:path arrowok="t"/>
                <v:textbox>
                  <w:txbxContent>
                    <w:p w14:paraId="15DA5044" w14:textId="77777777" w:rsidR="00CA6E29" w:rsidRPr="009C0BDA" w:rsidRDefault="00CA6E29" w:rsidP="009C0BDA">
                      <w:pPr>
                        <w:rPr>
                          <w:rFonts w:ascii="Arial" w:hAnsi="Arial" w:cs="Arial"/>
                          <w:sz w:val="20"/>
                          <w:szCs w:val="20"/>
                        </w:rPr>
                      </w:pPr>
                      <w:r w:rsidRPr="009C0BDA">
                        <w:rPr>
                          <w:rFonts w:ascii="Arial" w:hAnsi="Arial" w:cs="Arial"/>
                          <w:sz w:val="20"/>
                          <w:szCs w:val="20"/>
                        </w:rPr>
                        <w:t>Total Population: 3,852,855</w:t>
                      </w:r>
                    </w:p>
                    <w:p w14:paraId="734609AE" w14:textId="77777777" w:rsidR="00CA6E29" w:rsidRPr="009C0BDA" w:rsidRDefault="00CA6E29" w:rsidP="009C0BDA">
                      <w:pPr>
                        <w:rPr>
                          <w:rFonts w:ascii="Arial" w:hAnsi="Arial" w:cs="Arial"/>
                          <w:sz w:val="20"/>
                          <w:szCs w:val="20"/>
                        </w:rPr>
                      </w:pPr>
                      <w:r w:rsidRPr="009C0BDA">
                        <w:rPr>
                          <w:rFonts w:ascii="Arial" w:hAnsi="Arial" w:cs="Arial"/>
                          <w:sz w:val="20"/>
                          <w:szCs w:val="20"/>
                        </w:rPr>
                        <w:t>Total Employment: 1,929,644</w:t>
                      </w:r>
                    </w:p>
                    <w:p w14:paraId="60EE5544" w14:textId="77777777" w:rsidR="00CA6E29" w:rsidRPr="009C0BDA" w:rsidRDefault="00CA6E29" w:rsidP="009C0BDA">
                      <w:pPr>
                        <w:rPr>
                          <w:rFonts w:ascii="Arial" w:hAnsi="Arial" w:cs="Arial"/>
                          <w:sz w:val="20"/>
                          <w:szCs w:val="20"/>
                        </w:rPr>
                      </w:pPr>
                      <w:r w:rsidRPr="009C0BDA">
                        <w:rPr>
                          <w:rFonts w:ascii="Arial" w:hAnsi="Arial" w:cs="Arial"/>
                          <w:sz w:val="20"/>
                          <w:szCs w:val="20"/>
                        </w:rPr>
                        <w:t>Total Customers: 779,778</w:t>
                      </w:r>
                    </w:p>
                    <w:p w14:paraId="3249F1B0" w14:textId="77777777" w:rsidR="00CA6E29" w:rsidRPr="009C0BDA" w:rsidRDefault="00CA6E29" w:rsidP="009C0BDA">
                      <w:pPr>
                        <w:rPr>
                          <w:rFonts w:ascii="Arial" w:hAnsi="Arial" w:cs="Arial"/>
                          <w:sz w:val="20"/>
                          <w:szCs w:val="20"/>
                        </w:rPr>
                      </w:pPr>
                      <w:r w:rsidRPr="009C0BDA">
                        <w:rPr>
                          <w:rFonts w:ascii="Arial" w:hAnsi="Arial" w:cs="Arial"/>
                          <w:sz w:val="20"/>
                          <w:szCs w:val="20"/>
                        </w:rPr>
                        <w:t xml:space="preserve">Total Sales: 115,649 </w:t>
                      </w:r>
                      <w:proofErr w:type="spellStart"/>
                      <w:r w:rsidRPr="009C0BDA">
                        <w:rPr>
                          <w:rFonts w:ascii="Arial" w:hAnsi="Arial" w:cs="Arial"/>
                          <w:sz w:val="20"/>
                          <w:szCs w:val="20"/>
                        </w:rPr>
                        <w:t>Mdth</w:t>
                      </w:r>
                      <w:proofErr w:type="spellEnd"/>
                    </w:p>
                    <w:p w14:paraId="59C9BA90" w14:textId="77777777" w:rsidR="00CA6E29" w:rsidRDefault="00CA6E29" w:rsidP="009C0BDA"/>
                  </w:txbxContent>
                </v:textbox>
              </v:shape>
            </w:pict>
          </mc:Fallback>
        </mc:AlternateContent>
      </w:r>
      <w:r w:rsidR="007F2800">
        <w:rPr>
          <w:szCs w:val="20"/>
        </w:rPr>
        <w:t>Fi</w:t>
      </w:r>
      <w:r w:rsidR="009C0BDA" w:rsidRPr="007F2800">
        <w:rPr>
          <w:szCs w:val="20"/>
        </w:rPr>
        <w:t>gure 5-</w:t>
      </w:r>
      <w:r w:rsidR="007F2800">
        <w:rPr>
          <w:szCs w:val="20"/>
        </w:rPr>
        <w:t>3</w:t>
      </w:r>
      <w:r w:rsidR="009C0BDA" w:rsidRPr="007F2800">
        <w:rPr>
          <w:szCs w:val="20"/>
        </w:rPr>
        <w:t xml:space="preserve">: PSE Gas Service Territory </w:t>
      </w:r>
    </w:p>
    <w:p w14:paraId="08A66832" w14:textId="77777777" w:rsidR="009C0BDA" w:rsidRPr="007F2800" w:rsidRDefault="009C0BDA" w:rsidP="007F2800">
      <w:pPr>
        <w:pStyle w:val="IRPFigureSub"/>
        <w:spacing w:before="120" w:after="120"/>
        <w:rPr>
          <w:szCs w:val="20"/>
        </w:rPr>
      </w:pPr>
      <w:r w:rsidRPr="007F2800">
        <w:rPr>
          <w:szCs w:val="20"/>
        </w:rPr>
        <w:t>Figure 5-4: Gas Service Territory: County Share as a Percent of PSE total, 2013 data</w:t>
      </w:r>
    </w:p>
    <w:tbl>
      <w:tblPr>
        <w:tblW w:w="8570" w:type="dxa"/>
        <w:tblInd w:w="88" w:type="dxa"/>
        <w:tblLayout w:type="fixed"/>
        <w:tblLook w:val="0000" w:firstRow="0" w:lastRow="0" w:firstColumn="0" w:lastColumn="0" w:noHBand="0" w:noVBand="0"/>
      </w:tblPr>
      <w:tblGrid>
        <w:gridCol w:w="1540"/>
        <w:gridCol w:w="1630"/>
        <w:gridCol w:w="1710"/>
        <w:gridCol w:w="1800"/>
        <w:gridCol w:w="1890"/>
      </w:tblGrid>
      <w:tr w:rsidR="007F2800" w:rsidRPr="000F4E80" w14:paraId="5B8DBF1A"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72F7F8BD" w14:textId="77777777" w:rsidR="007F2800" w:rsidRPr="007F2800" w:rsidRDefault="007F2800" w:rsidP="007F2800">
            <w:pPr>
              <w:jc w:val="center"/>
              <w:rPr>
                <w:rFonts w:ascii="Arial" w:hAnsi="Arial"/>
                <w:b/>
                <w:bCs/>
                <w:color w:val="FFFFFF"/>
                <w:sz w:val="20"/>
                <w:szCs w:val="20"/>
              </w:rPr>
            </w:pPr>
            <w:r w:rsidRPr="007F2800">
              <w:rPr>
                <w:rFonts w:ascii="Arial" w:hAnsi="Arial"/>
                <w:b/>
                <w:bCs/>
                <w:color w:val="FFFFFF"/>
                <w:sz w:val="20"/>
                <w:szCs w:val="20"/>
              </w:rPr>
              <w:t>County</w:t>
            </w:r>
          </w:p>
        </w:tc>
        <w:tc>
          <w:tcPr>
            <w:tcW w:w="163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2E0E5BCE" w14:textId="77777777" w:rsidR="007F2800" w:rsidRPr="007F2800" w:rsidRDefault="007F2800" w:rsidP="007F2800">
            <w:pPr>
              <w:jc w:val="center"/>
              <w:rPr>
                <w:rFonts w:ascii="Arial" w:hAnsi="Arial"/>
                <w:b/>
                <w:bCs/>
                <w:color w:val="FFFFFF"/>
                <w:sz w:val="20"/>
                <w:szCs w:val="20"/>
              </w:rPr>
            </w:pPr>
            <w:r w:rsidRPr="007F2800">
              <w:rPr>
                <w:rFonts w:ascii="Arial" w:hAnsi="Arial"/>
                <w:b/>
                <w:bCs/>
                <w:color w:val="FFFFFF"/>
                <w:sz w:val="20"/>
                <w:szCs w:val="20"/>
              </w:rPr>
              <w:t>Population</w:t>
            </w:r>
          </w:p>
        </w:tc>
        <w:tc>
          <w:tcPr>
            <w:tcW w:w="171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77E4AC19" w14:textId="77777777" w:rsidR="007F2800" w:rsidRPr="007F2800" w:rsidRDefault="007F2800" w:rsidP="007F2800">
            <w:pPr>
              <w:jc w:val="center"/>
              <w:rPr>
                <w:rFonts w:ascii="Arial" w:hAnsi="Arial"/>
                <w:b/>
                <w:bCs/>
                <w:color w:val="FFFFFF"/>
                <w:sz w:val="20"/>
                <w:szCs w:val="20"/>
              </w:rPr>
            </w:pPr>
            <w:r w:rsidRPr="007F2800">
              <w:rPr>
                <w:rFonts w:ascii="Arial" w:hAnsi="Arial"/>
                <w:b/>
                <w:bCs/>
                <w:color w:val="FFFFFF"/>
                <w:sz w:val="20"/>
                <w:szCs w:val="20"/>
              </w:rPr>
              <w:t>Employment</w:t>
            </w:r>
          </w:p>
        </w:tc>
        <w:tc>
          <w:tcPr>
            <w:tcW w:w="180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1AAB391D" w14:textId="77777777" w:rsidR="007F2800" w:rsidRPr="007F2800" w:rsidRDefault="007F2800" w:rsidP="007F2800">
            <w:pPr>
              <w:jc w:val="center"/>
              <w:rPr>
                <w:rFonts w:ascii="Arial" w:hAnsi="Arial"/>
                <w:b/>
                <w:bCs/>
                <w:color w:val="FFFFFF"/>
                <w:sz w:val="20"/>
                <w:szCs w:val="20"/>
              </w:rPr>
            </w:pPr>
            <w:r w:rsidRPr="007F2800">
              <w:rPr>
                <w:rFonts w:ascii="Arial" w:hAnsi="Arial"/>
                <w:b/>
                <w:bCs/>
                <w:color w:val="FFFFFF"/>
                <w:sz w:val="20"/>
                <w:szCs w:val="20"/>
              </w:rPr>
              <w:t>Customers</w:t>
            </w:r>
          </w:p>
        </w:tc>
        <w:tc>
          <w:tcPr>
            <w:tcW w:w="189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35BAD518" w14:textId="77777777" w:rsidR="007F2800" w:rsidRPr="007F2800" w:rsidRDefault="007F2800" w:rsidP="007F2800">
            <w:pPr>
              <w:jc w:val="center"/>
              <w:rPr>
                <w:rFonts w:ascii="Arial" w:hAnsi="Arial"/>
                <w:b/>
                <w:bCs/>
                <w:color w:val="FFFFFF"/>
                <w:sz w:val="20"/>
                <w:szCs w:val="20"/>
              </w:rPr>
            </w:pPr>
            <w:r w:rsidRPr="007F2800">
              <w:rPr>
                <w:rFonts w:ascii="Arial" w:hAnsi="Arial"/>
                <w:b/>
                <w:bCs/>
                <w:color w:val="FFFFFF"/>
                <w:sz w:val="20"/>
                <w:szCs w:val="20"/>
              </w:rPr>
              <w:t>Sales</w:t>
            </w:r>
          </w:p>
        </w:tc>
      </w:tr>
      <w:tr w:rsidR="007F2800" w:rsidRPr="000F4E80" w14:paraId="630440E1"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929ED" w14:textId="77777777" w:rsidR="007F2800" w:rsidRPr="007F2800" w:rsidRDefault="007F2800" w:rsidP="007F2800">
            <w:pPr>
              <w:jc w:val="center"/>
              <w:rPr>
                <w:rFonts w:ascii="Arial" w:hAnsi="Arial"/>
                <w:sz w:val="18"/>
                <w:szCs w:val="18"/>
              </w:rPr>
            </w:pPr>
            <w:r w:rsidRPr="007F2800">
              <w:rPr>
                <w:rFonts w:ascii="Arial" w:hAnsi="Arial"/>
                <w:sz w:val="18"/>
                <w:szCs w:val="18"/>
              </w:rPr>
              <w:t>King</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A4EFF" w14:textId="77777777" w:rsidR="007F2800" w:rsidRPr="007F2800" w:rsidRDefault="007F2800" w:rsidP="007F2800">
            <w:pPr>
              <w:jc w:val="center"/>
              <w:rPr>
                <w:rFonts w:ascii="Arial" w:hAnsi="Arial"/>
                <w:sz w:val="18"/>
                <w:szCs w:val="18"/>
              </w:rPr>
            </w:pPr>
            <w:r w:rsidRPr="007F2800">
              <w:rPr>
                <w:rFonts w:ascii="Arial" w:hAnsi="Arial"/>
                <w:sz w:val="18"/>
                <w:szCs w:val="18"/>
              </w:rPr>
              <w:t>52%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58E09" w14:textId="77777777" w:rsidR="007F2800" w:rsidRPr="007F2800" w:rsidRDefault="007F2800" w:rsidP="007F2800">
            <w:pPr>
              <w:jc w:val="center"/>
              <w:rPr>
                <w:rFonts w:ascii="Arial" w:hAnsi="Arial"/>
                <w:sz w:val="18"/>
                <w:szCs w:val="18"/>
              </w:rPr>
            </w:pPr>
            <w:r w:rsidRPr="007F2800">
              <w:rPr>
                <w:rFonts w:ascii="Arial" w:hAnsi="Arial"/>
                <w:sz w:val="18"/>
                <w:szCs w:val="18"/>
              </w:rPr>
              <w:t>65%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6E3C8" w14:textId="77777777" w:rsidR="007F2800" w:rsidRPr="007F2800" w:rsidRDefault="007F2800" w:rsidP="007F2800">
            <w:pPr>
              <w:jc w:val="center"/>
              <w:rPr>
                <w:rFonts w:ascii="Arial" w:hAnsi="Arial"/>
                <w:sz w:val="18"/>
                <w:szCs w:val="18"/>
              </w:rPr>
            </w:pPr>
            <w:r w:rsidRPr="007F2800">
              <w:rPr>
                <w:rFonts w:ascii="Arial" w:hAnsi="Arial"/>
                <w:sz w:val="18"/>
                <w:szCs w:val="18"/>
              </w:rPr>
              <w:t>57%</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D5AE1" w14:textId="77777777" w:rsidR="007F2800" w:rsidRPr="007F2800" w:rsidRDefault="007F2800" w:rsidP="007F2800">
            <w:pPr>
              <w:jc w:val="center"/>
              <w:rPr>
                <w:rFonts w:ascii="Arial" w:hAnsi="Arial"/>
                <w:sz w:val="18"/>
                <w:szCs w:val="18"/>
              </w:rPr>
            </w:pPr>
            <w:r w:rsidRPr="007F2800">
              <w:rPr>
                <w:rFonts w:ascii="Arial" w:hAnsi="Arial"/>
                <w:sz w:val="18"/>
                <w:szCs w:val="18"/>
              </w:rPr>
              <w:t>57%</w:t>
            </w:r>
          </w:p>
        </w:tc>
      </w:tr>
      <w:tr w:rsidR="007F2800" w:rsidRPr="000F4E80" w14:paraId="0B1EDC24"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9DB18" w14:textId="77777777" w:rsidR="007F2800" w:rsidRPr="007F2800" w:rsidRDefault="007F2800" w:rsidP="007F2800">
            <w:pPr>
              <w:jc w:val="center"/>
              <w:rPr>
                <w:rFonts w:ascii="Arial" w:hAnsi="Arial"/>
                <w:sz w:val="18"/>
                <w:szCs w:val="18"/>
              </w:rPr>
            </w:pPr>
            <w:r w:rsidRPr="007F2800">
              <w:rPr>
                <w:rFonts w:ascii="Arial" w:hAnsi="Arial"/>
                <w:sz w:val="18"/>
                <w:szCs w:val="18"/>
              </w:rPr>
              <w:t>Pierce</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6FC04" w14:textId="77777777" w:rsidR="007F2800" w:rsidRPr="007F2800" w:rsidRDefault="007F2800" w:rsidP="007F2800">
            <w:pPr>
              <w:jc w:val="center"/>
              <w:rPr>
                <w:rFonts w:ascii="Arial" w:hAnsi="Arial"/>
                <w:sz w:val="18"/>
                <w:szCs w:val="18"/>
              </w:rPr>
            </w:pPr>
            <w:r w:rsidRPr="007F2800">
              <w:rPr>
                <w:rFonts w:ascii="Arial" w:hAnsi="Arial"/>
                <w:sz w:val="18"/>
                <w:szCs w:val="18"/>
              </w:rPr>
              <w:t>21%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EE631" w14:textId="77777777" w:rsidR="007F2800" w:rsidRPr="007F2800" w:rsidRDefault="007F2800" w:rsidP="007F2800">
            <w:pPr>
              <w:jc w:val="center"/>
              <w:rPr>
                <w:rFonts w:ascii="Arial" w:hAnsi="Arial"/>
                <w:sz w:val="18"/>
                <w:szCs w:val="18"/>
              </w:rPr>
            </w:pPr>
            <w:r w:rsidRPr="007F2800">
              <w:rPr>
                <w:rFonts w:ascii="Arial" w:hAnsi="Arial"/>
                <w:sz w:val="18"/>
                <w:szCs w:val="18"/>
              </w:rPr>
              <w:t>15%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1BD3E" w14:textId="77777777" w:rsidR="007F2800" w:rsidRPr="007F2800" w:rsidRDefault="007F2800" w:rsidP="007F2800">
            <w:pPr>
              <w:jc w:val="center"/>
              <w:rPr>
                <w:rFonts w:ascii="Arial" w:hAnsi="Arial"/>
                <w:sz w:val="18"/>
                <w:szCs w:val="18"/>
              </w:rPr>
            </w:pPr>
            <w:r w:rsidRPr="007F2800">
              <w:rPr>
                <w:rFonts w:ascii="Arial" w:hAnsi="Arial"/>
                <w:sz w:val="18"/>
                <w:szCs w:val="18"/>
              </w:rPr>
              <w:t>19%</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5CC63" w14:textId="77777777" w:rsidR="007F2800" w:rsidRPr="007F2800" w:rsidRDefault="007F2800" w:rsidP="007F2800">
            <w:pPr>
              <w:jc w:val="center"/>
              <w:rPr>
                <w:rFonts w:ascii="Arial" w:hAnsi="Arial"/>
                <w:sz w:val="18"/>
                <w:szCs w:val="18"/>
              </w:rPr>
            </w:pPr>
            <w:r w:rsidRPr="007F2800">
              <w:rPr>
                <w:rFonts w:ascii="Arial" w:hAnsi="Arial"/>
                <w:sz w:val="18"/>
                <w:szCs w:val="18"/>
              </w:rPr>
              <w:t>22%</w:t>
            </w:r>
          </w:p>
        </w:tc>
      </w:tr>
      <w:tr w:rsidR="007F2800" w:rsidRPr="000F4E80" w14:paraId="6989F3C1"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01364" w14:textId="77777777" w:rsidR="007F2800" w:rsidRPr="007F2800" w:rsidRDefault="007F2800" w:rsidP="007F2800">
            <w:pPr>
              <w:jc w:val="center"/>
              <w:rPr>
                <w:rFonts w:ascii="Arial" w:hAnsi="Arial"/>
                <w:sz w:val="18"/>
                <w:szCs w:val="18"/>
              </w:rPr>
            </w:pPr>
            <w:r w:rsidRPr="007F2800">
              <w:rPr>
                <w:rFonts w:ascii="Arial" w:hAnsi="Arial"/>
                <w:sz w:val="18"/>
                <w:szCs w:val="18"/>
              </w:rPr>
              <w:t>Snohomish</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4B3A7" w14:textId="77777777" w:rsidR="007F2800" w:rsidRPr="007F2800" w:rsidRDefault="007F2800" w:rsidP="007F2800">
            <w:pPr>
              <w:jc w:val="center"/>
              <w:rPr>
                <w:rFonts w:ascii="Arial" w:hAnsi="Arial"/>
                <w:sz w:val="18"/>
                <w:szCs w:val="18"/>
              </w:rPr>
            </w:pPr>
            <w:r w:rsidRPr="007F2800">
              <w:rPr>
                <w:rFonts w:ascii="Arial" w:hAnsi="Arial"/>
                <w:sz w:val="18"/>
                <w:szCs w:val="18"/>
              </w:rPr>
              <w:t>19%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DCB7" w14:textId="77777777" w:rsidR="007F2800" w:rsidRPr="007F2800" w:rsidRDefault="007F2800" w:rsidP="007F2800">
            <w:pPr>
              <w:jc w:val="center"/>
              <w:rPr>
                <w:rFonts w:ascii="Arial" w:hAnsi="Arial"/>
                <w:sz w:val="18"/>
                <w:szCs w:val="18"/>
              </w:rPr>
            </w:pPr>
            <w:r w:rsidRPr="007F2800">
              <w:rPr>
                <w:rFonts w:ascii="Arial" w:hAnsi="Arial"/>
                <w:sz w:val="18"/>
                <w:szCs w:val="18"/>
              </w:rPr>
              <w:t>14%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C4A85" w14:textId="77777777" w:rsidR="007F2800" w:rsidRPr="007F2800" w:rsidRDefault="007F2800" w:rsidP="007F2800">
            <w:pPr>
              <w:jc w:val="center"/>
              <w:rPr>
                <w:rFonts w:ascii="Arial" w:hAnsi="Arial"/>
                <w:sz w:val="18"/>
                <w:szCs w:val="18"/>
              </w:rPr>
            </w:pPr>
            <w:r w:rsidRPr="007F2800">
              <w:rPr>
                <w:rFonts w:ascii="Arial" w:hAnsi="Arial"/>
                <w:sz w:val="18"/>
                <w:szCs w:val="18"/>
              </w:rPr>
              <w:t>17%</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3BBD7" w14:textId="77777777" w:rsidR="007F2800" w:rsidRPr="007F2800" w:rsidRDefault="007F2800" w:rsidP="007F2800">
            <w:pPr>
              <w:jc w:val="center"/>
              <w:rPr>
                <w:rFonts w:ascii="Arial" w:hAnsi="Arial"/>
                <w:sz w:val="18"/>
                <w:szCs w:val="18"/>
              </w:rPr>
            </w:pPr>
            <w:r w:rsidRPr="007F2800">
              <w:rPr>
                <w:rFonts w:ascii="Arial" w:hAnsi="Arial"/>
                <w:sz w:val="18"/>
                <w:szCs w:val="18"/>
              </w:rPr>
              <w:t>15%</w:t>
            </w:r>
          </w:p>
        </w:tc>
      </w:tr>
      <w:tr w:rsidR="007F2800" w:rsidRPr="000F4E80" w14:paraId="55D3F4E5"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92C58" w14:textId="77777777" w:rsidR="007F2800" w:rsidRPr="007F2800" w:rsidRDefault="007F2800" w:rsidP="007F2800">
            <w:pPr>
              <w:jc w:val="center"/>
              <w:rPr>
                <w:rFonts w:ascii="Arial" w:hAnsi="Arial"/>
                <w:sz w:val="18"/>
                <w:szCs w:val="18"/>
              </w:rPr>
            </w:pPr>
            <w:r w:rsidRPr="007F2800">
              <w:rPr>
                <w:rFonts w:ascii="Arial" w:hAnsi="Arial"/>
                <w:sz w:val="18"/>
                <w:szCs w:val="18"/>
              </w:rPr>
              <w:t>Thurston</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72820" w14:textId="77777777" w:rsidR="007F2800" w:rsidRPr="007F2800" w:rsidRDefault="007F2800" w:rsidP="007F2800">
            <w:pPr>
              <w:jc w:val="center"/>
              <w:rPr>
                <w:rFonts w:ascii="Arial" w:hAnsi="Arial"/>
                <w:sz w:val="18"/>
                <w:szCs w:val="18"/>
              </w:rPr>
            </w:pPr>
            <w:r w:rsidRPr="007F2800">
              <w:rPr>
                <w:rFonts w:ascii="Arial" w:hAnsi="Arial"/>
                <w:sz w:val="18"/>
                <w:szCs w:val="18"/>
              </w:rPr>
              <w:t>7%</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B2CB8" w14:textId="77777777" w:rsidR="007F2800" w:rsidRPr="007F2800" w:rsidRDefault="007F2800" w:rsidP="007F2800">
            <w:pPr>
              <w:jc w:val="center"/>
              <w:rPr>
                <w:rFonts w:ascii="Arial" w:hAnsi="Arial"/>
                <w:sz w:val="18"/>
                <w:szCs w:val="18"/>
              </w:rPr>
            </w:pPr>
            <w:r w:rsidRPr="007F2800">
              <w:rPr>
                <w:rFonts w:ascii="Arial" w:hAnsi="Arial"/>
                <w:sz w:val="18"/>
                <w:szCs w:val="18"/>
              </w:rPr>
              <w:t>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F4133" w14:textId="77777777" w:rsidR="007F2800" w:rsidRPr="007F2800" w:rsidRDefault="007F2800" w:rsidP="007F2800">
            <w:pPr>
              <w:jc w:val="center"/>
              <w:rPr>
                <w:rFonts w:ascii="Arial" w:hAnsi="Arial"/>
                <w:sz w:val="18"/>
                <w:szCs w:val="18"/>
              </w:rPr>
            </w:pPr>
            <w:r w:rsidRPr="007F2800">
              <w:rPr>
                <w:rFonts w:ascii="Arial" w:hAnsi="Arial"/>
                <w:sz w:val="18"/>
                <w:szCs w:val="18"/>
              </w:rPr>
              <w:t>6%</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4F767" w14:textId="77777777" w:rsidR="007F2800" w:rsidRPr="007F2800" w:rsidRDefault="007F2800" w:rsidP="007F2800">
            <w:pPr>
              <w:jc w:val="center"/>
              <w:rPr>
                <w:rFonts w:ascii="Arial" w:hAnsi="Arial"/>
                <w:sz w:val="18"/>
                <w:szCs w:val="18"/>
              </w:rPr>
            </w:pPr>
            <w:r w:rsidRPr="007F2800">
              <w:rPr>
                <w:rFonts w:ascii="Arial" w:hAnsi="Arial"/>
                <w:sz w:val="18"/>
                <w:szCs w:val="18"/>
              </w:rPr>
              <w:t>5%</w:t>
            </w:r>
          </w:p>
        </w:tc>
      </w:tr>
      <w:tr w:rsidR="007F2800" w:rsidRPr="000F4E80" w14:paraId="0FA93308"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6E429" w14:textId="77777777" w:rsidR="007F2800" w:rsidRPr="007F2800" w:rsidRDefault="007F2800" w:rsidP="007F2800">
            <w:pPr>
              <w:jc w:val="center"/>
              <w:rPr>
                <w:rFonts w:ascii="Arial" w:hAnsi="Arial"/>
                <w:sz w:val="18"/>
                <w:szCs w:val="18"/>
              </w:rPr>
            </w:pPr>
            <w:r w:rsidRPr="007F2800">
              <w:rPr>
                <w:rFonts w:ascii="Arial" w:hAnsi="Arial"/>
                <w:sz w:val="18"/>
                <w:szCs w:val="18"/>
              </w:rPr>
              <w:t>Lewis</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BD31B"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EA753"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5DFF1"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CCA49"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r>
      <w:tr w:rsidR="007F2800" w:rsidRPr="000F4E80" w14:paraId="4D65EAFA"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76B95" w14:textId="77777777" w:rsidR="007F2800" w:rsidRPr="007F2800" w:rsidRDefault="007F2800" w:rsidP="007F2800">
            <w:pPr>
              <w:jc w:val="center"/>
              <w:rPr>
                <w:rFonts w:ascii="Arial" w:hAnsi="Arial"/>
                <w:sz w:val="18"/>
                <w:szCs w:val="18"/>
              </w:rPr>
            </w:pPr>
            <w:r w:rsidRPr="007F2800">
              <w:rPr>
                <w:rFonts w:ascii="Arial" w:hAnsi="Arial"/>
                <w:sz w:val="18"/>
                <w:szCs w:val="18"/>
              </w:rPr>
              <w:t>Kittitas</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71D61"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EDB71"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569A6" w14:textId="77777777" w:rsidR="007F2800" w:rsidRPr="007F2800" w:rsidRDefault="007F2800" w:rsidP="007F2800">
            <w:pPr>
              <w:jc w:val="center"/>
              <w:rPr>
                <w:rFonts w:ascii="Arial" w:hAnsi="Arial"/>
                <w:sz w:val="18"/>
                <w:szCs w:val="18"/>
              </w:rPr>
            </w:pPr>
            <w:r w:rsidRPr="007F2800">
              <w:rPr>
                <w:rFonts w:ascii="Arial" w:hAnsi="Arial"/>
                <w:sz w:val="18"/>
                <w:szCs w:val="18"/>
              </w:rPr>
              <w:t>&lt;1%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2D8D9" w14:textId="77777777" w:rsidR="007F2800" w:rsidRPr="007F2800" w:rsidRDefault="007F2800" w:rsidP="007F2800">
            <w:pPr>
              <w:jc w:val="center"/>
              <w:rPr>
                <w:rFonts w:ascii="Arial" w:hAnsi="Arial"/>
                <w:sz w:val="18"/>
                <w:szCs w:val="18"/>
              </w:rPr>
            </w:pPr>
            <w:r w:rsidRPr="007F2800">
              <w:rPr>
                <w:rFonts w:ascii="Arial" w:hAnsi="Arial"/>
                <w:sz w:val="18"/>
                <w:szCs w:val="18"/>
              </w:rPr>
              <w:t>&lt;1%</w:t>
            </w:r>
          </w:p>
        </w:tc>
      </w:tr>
    </w:tbl>
    <w:p w14:paraId="59F4531C" w14:textId="77777777" w:rsidR="009C0BDA" w:rsidRDefault="009C0BDA">
      <w:pPr>
        <w:rPr>
          <w:rFonts w:ascii="Arial" w:hAnsi="Arial"/>
        </w:rPr>
      </w:pPr>
    </w:p>
    <w:p w14:paraId="0D252E4B" w14:textId="77777777" w:rsidR="009C0BDA" w:rsidRDefault="009C0BDA">
      <w:pPr>
        <w:rPr>
          <w:rFonts w:ascii="Arial" w:hAnsi="Arial"/>
        </w:rPr>
      </w:pPr>
      <w:r>
        <w:br w:type="page"/>
      </w:r>
    </w:p>
    <w:p w14:paraId="199BC21F" w14:textId="77777777" w:rsidR="000F320C" w:rsidRDefault="00906A0A" w:rsidP="000F320C">
      <w:pPr>
        <w:pStyle w:val="IRPFigureSub"/>
      </w:pPr>
      <w:r>
        <w:rPr>
          <w:noProof/>
          <w:lang w:eastAsia="en-US"/>
        </w:rPr>
        <w:lastRenderedPageBreak/>
        <w:drawing>
          <wp:anchor distT="0" distB="0" distL="114300" distR="114300" simplePos="0" relativeHeight="251671552" behindDoc="0" locked="0" layoutInCell="1" allowOverlap="1" wp14:anchorId="3BCA9282" wp14:editId="65634896">
            <wp:simplePos x="0" y="0"/>
            <wp:positionH relativeFrom="column">
              <wp:posOffset>394335</wp:posOffset>
            </wp:positionH>
            <wp:positionV relativeFrom="paragraph">
              <wp:posOffset>256540</wp:posOffset>
            </wp:positionV>
            <wp:extent cx="4810760" cy="6970395"/>
            <wp:effectExtent l="0" t="0" r="0" b="0"/>
            <wp:wrapTopAndBottom/>
            <wp:docPr id="7" name="Picture 7" descr="Macintosh HD:Users:annrhodes:Desktop:PSEeastsideelec_c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rhodes:Desktop:PSEeastsideelec_ch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62" r="2051" b="974"/>
                    <a:stretch/>
                  </pic:blipFill>
                  <pic:spPr bwMode="auto">
                    <a:xfrm>
                      <a:off x="0" y="0"/>
                      <a:ext cx="4810760" cy="6970395"/>
                    </a:xfrm>
                    <a:prstGeom prst="rect">
                      <a:avLst/>
                    </a:prstGeom>
                    <a:noFill/>
                    <a:ln>
                      <a:noFill/>
                    </a:ln>
                    <a:extLst>
                      <a:ext uri="{53640926-AAD7-44d8-BBD7-CCE9431645EC}">
                        <a14:shadowObscured xmlns:a14="http://schemas.microsoft.com/office/drawing/2010/main"/>
                      </a:ext>
                    </a:extLst>
                  </pic:spPr>
                </pic:pic>
              </a:graphicData>
            </a:graphic>
          </wp:anchor>
        </w:drawing>
      </w:r>
      <w:r w:rsidR="000F320C">
        <w:t>Figure 5-5</w:t>
      </w:r>
      <w:r w:rsidR="000F320C" w:rsidRPr="00A17F34">
        <w:t>: Eastside Area Electric System</w:t>
      </w:r>
      <w:r w:rsidR="000F320C">
        <w:t xml:space="preserve"> </w:t>
      </w:r>
    </w:p>
    <w:p w14:paraId="0772D5E3" w14:textId="77777777" w:rsidR="000F320C" w:rsidRDefault="000F320C" w:rsidP="000F320C">
      <w:pPr>
        <w:pStyle w:val="IRPFigureSub"/>
      </w:pPr>
    </w:p>
    <w:p w14:paraId="5B8428E6" w14:textId="77777777" w:rsidR="000F320C" w:rsidRDefault="000F320C">
      <w:pPr>
        <w:rPr>
          <w:rFonts w:ascii="Arial" w:hAnsi="Arial"/>
          <w:i/>
          <w:szCs w:val="22"/>
        </w:rPr>
      </w:pPr>
      <w:r>
        <w:br w:type="page"/>
      </w:r>
    </w:p>
    <w:p w14:paraId="485B29CF" w14:textId="77777777" w:rsidR="005B05E2" w:rsidRPr="005B05E2" w:rsidRDefault="005B05E2" w:rsidP="005B05E2">
      <w:pPr>
        <w:pStyle w:val="IRPsecthead2sans"/>
        <w:rPr>
          <w:rStyle w:val="IRPsanstextChar1"/>
          <w:rFonts w:cs="Times New Roman"/>
          <w:b w:val="0"/>
          <w:color w:val="auto"/>
        </w:rPr>
      </w:pPr>
      <w:r w:rsidRPr="005B05E2">
        <w:lastRenderedPageBreak/>
        <w:t>METHODOLOGIES</w:t>
      </w:r>
      <w:r w:rsidRPr="005B05E2">
        <w:rPr>
          <w:rStyle w:val="IRPsanstextChar1"/>
          <w:sz w:val="32"/>
          <w:szCs w:val="32"/>
        </w:rPr>
        <w:t xml:space="preserve"> </w:t>
      </w:r>
    </w:p>
    <w:p w14:paraId="6C5FBBA5" w14:textId="77777777" w:rsidR="005B05E2" w:rsidRPr="0011494D" w:rsidRDefault="005B05E2" w:rsidP="005B05E2">
      <w:pPr>
        <w:pStyle w:val="IRPsecthead2sans"/>
        <w:rPr>
          <w:rStyle w:val="IRPsanstextChar1"/>
        </w:rPr>
      </w:pPr>
    </w:p>
    <w:p w14:paraId="2FAE93CA" w14:textId="77777777" w:rsidR="005B05E2" w:rsidRPr="004E39A6" w:rsidRDefault="005B05E2" w:rsidP="005B05E2">
      <w:pPr>
        <w:spacing w:line="320" w:lineRule="exact"/>
        <w:rPr>
          <w:rStyle w:val="IRPsanstextChar1"/>
          <w:rFonts w:cs="Arial"/>
          <w:b/>
          <w:color w:val="006C71"/>
        </w:rPr>
      </w:pPr>
      <w:r w:rsidRPr="004E39A6">
        <w:rPr>
          <w:rStyle w:val="IRPsanstextChar1"/>
          <w:szCs w:val="40"/>
        </w:rPr>
        <w:t xml:space="preserve">The methodology used to develop the system-level forecast is described first, followed by the methodology used for county-level forecasts. Finally, the methodology for developing the Eastside Area forecast is described.  </w:t>
      </w:r>
    </w:p>
    <w:p w14:paraId="5768871F" w14:textId="77777777" w:rsidR="005B05E2" w:rsidRPr="005B05E2" w:rsidRDefault="005B05E2" w:rsidP="005B05E2">
      <w:pPr>
        <w:spacing w:line="320" w:lineRule="exact"/>
        <w:rPr>
          <w:rStyle w:val="IRPsanstextChar1"/>
        </w:rPr>
      </w:pPr>
    </w:p>
    <w:p w14:paraId="601488D3" w14:textId="77777777" w:rsidR="005B05E2" w:rsidRPr="005B05E2" w:rsidRDefault="005B05E2" w:rsidP="005B05E2">
      <w:pPr>
        <w:spacing w:line="320" w:lineRule="exact"/>
        <w:rPr>
          <w:rStyle w:val="IRPsanstextChar1"/>
        </w:rPr>
      </w:pPr>
      <w:r w:rsidRPr="005B05E2">
        <w:rPr>
          <w:rStyle w:val="IRPsanstextChar1"/>
          <w:sz w:val="32"/>
          <w:szCs w:val="32"/>
        </w:rPr>
        <w:t>System-level Methodology</w:t>
      </w:r>
    </w:p>
    <w:p w14:paraId="0ED1FB52" w14:textId="77777777" w:rsidR="005B05E2" w:rsidRPr="005B05E2" w:rsidRDefault="005B05E2" w:rsidP="005B05E2">
      <w:pPr>
        <w:pStyle w:val="IRPsanstext"/>
      </w:pPr>
    </w:p>
    <w:p w14:paraId="28A32526" w14:textId="77777777" w:rsidR="005B05E2" w:rsidRDefault="005B05E2" w:rsidP="005B05E2">
      <w:pPr>
        <w:pStyle w:val="IRPsanstext"/>
      </w:pPr>
      <w:r w:rsidRPr="005B05E2">
        <w:t>PSE’s regional economic and demographic model uses both national and regional data to produce a forecast of total employment, types of employment, unemployment, personal income, population, households, consumer price index (CPI) and building permits for both the PSE electric and gas service territories. The regional economic and demographic data are built up from county-level or MSA (metropolitan statistical area)-level information from various sources. The load-forecasting process is illustrated in Figure 5-6, and the input data sources are listed in Figure 5-7.</w:t>
      </w:r>
    </w:p>
    <w:p w14:paraId="15D4EAAA" w14:textId="77777777" w:rsidR="005B05E2" w:rsidRDefault="005B05E2" w:rsidP="005B05E2">
      <w:pPr>
        <w:pStyle w:val="IRPsanstext"/>
      </w:pPr>
    </w:p>
    <w:p w14:paraId="243B36A7" w14:textId="77777777" w:rsidR="005B05E2" w:rsidRDefault="00A22F1C" w:rsidP="005B05E2">
      <w:pPr>
        <w:pStyle w:val="IRPFigureSub"/>
      </w:pPr>
      <w:r>
        <w:rPr>
          <w:noProof/>
          <w:lang w:eastAsia="en-US"/>
        </w:rPr>
        <w:drawing>
          <wp:anchor distT="0" distB="0" distL="114300" distR="114300" simplePos="0" relativeHeight="251698176" behindDoc="0" locked="0" layoutInCell="1" allowOverlap="1" wp14:anchorId="2CE487A6" wp14:editId="5634A706">
            <wp:simplePos x="0" y="0"/>
            <wp:positionH relativeFrom="column">
              <wp:posOffset>-66675</wp:posOffset>
            </wp:positionH>
            <wp:positionV relativeFrom="paragraph">
              <wp:posOffset>248285</wp:posOffset>
            </wp:positionV>
            <wp:extent cx="5486400" cy="2474595"/>
            <wp:effectExtent l="0" t="0" r="0" b="190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8716"/>
                    <a:stretch/>
                  </pic:blipFill>
                  <pic:spPr bwMode="auto">
                    <a:xfrm>
                      <a:off x="0" y="0"/>
                      <a:ext cx="5486400" cy="2474595"/>
                    </a:xfrm>
                    <a:prstGeom prst="rect">
                      <a:avLst/>
                    </a:prstGeom>
                    <a:noFill/>
                    <a:ln>
                      <a:noFill/>
                    </a:ln>
                    <a:extLst>
                      <a:ext uri="{53640926-AAD7-44d8-BBD7-CCE9431645EC}">
                        <a14:shadowObscured xmlns:a14="http://schemas.microsoft.com/office/drawing/2010/main"/>
                      </a:ext>
                    </a:extLst>
                  </pic:spPr>
                </pic:pic>
              </a:graphicData>
            </a:graphic>
          </wp:anchor>
        </w:drawing>
      </w:r>
      <w:r w:rsidR="005B05E2" w:rsidRPr="0004105D">
        <w:t xml:space="preserve">Figure </w:t>
      </w:r>
      <w:r w:rsidR="005B05E2">
        <w:t xml:space="preserve">5-6: </w:t>
      </w:r>
      <w:r w:rsidR="005B05E2" w:rsidRPr="00FE4633">
        <w:t>PSE Load Forecasting Process</w:t>
      </w:r>
    </w:p>
    <w:p w14:paraId="0EAC75AB" w14:textId="77777777" w:rsidR="005B05E2" w:rsidRPr="0066680B" w:rsidRDefault="005B05E2" w:rsidP="005B05E2">
      <w:pPr>
        <w:pStyle w:val="IRPsanstext"/>
      </w:pPr>
    </w:p>
    <w:p w14:paraId="4D330BD8" w14:textId="7038FA26" w:rsidR="005B05E2" w:rsidRPr="00185152" w:rsidRDefault="005B05E2" w:rsidP="00185152">
      <w:pPr>
        <w:rPr>
          <w:rFonts w:ascii="Arial" w:hAnsi="Arial"/>
          <w:sz w:val="20"/>
          <w:szCs w:val="20"/>
        </w:rPr>
      </w:pPr>
      <w:r>
        <w:br w:type="page"/>
      </w:r>
    </w:p>
    <w:p w14:paraId="3A5A4C37" w14:textId="77777777" w:rsidR="005B05E2" w:rsidRDefault="005B05E2" w:rsidP="00E52BCA">
      <w:pPr>
        <w:pStyle w:val="IRPFigureSub"/>
        <w:spacing w:after="120"/>
      </w:pPr>
      <w:r w:rsidRPr="006554AB">
        <w:lastRenderedPageBreak/>
        <w:t xml:space="preserve">Figure </w:t>
      </w:r>
      <w:r>
        <w:t xml:space="preserve">5-7: </w:t>
      </w:r>
      <w:r w:rsidRPr="006554AB">
        <w:t xml:space="preserve">Sources for U.S. and Regional Economic and Demographic </w:t>
      </w:r>
      <w:r>
        <w:t xml:space="preserve">Data </w:t>
      </w:r>
    </w:p>
    <w:tbl>
      <w:tblPr>
        <w:tblW w:w="8565" w:type="dxa"/>
        <w:tblInd w:w="93" w:type="dxa"/>
        <w:tblLayout w:type="fixed"/>
        <w:tblLook w:val="04A0" w:firstRow="1" w:lastRow="0" w:firstColumn="1" w:lastColumn="0" w:noHBand="0" w:noVBand="1"/>
      </w:tblPr>
      <w:tblGrid>
        <w:gridCol w:w="3885"/>
        <w:gridCol w:w="4680"/>
      </w:tblGrid>
      <w:tr w:rsidR="005B05E2" w:rsidRPr="00AC3DB2" w14:paraId="576E70B7" w14:textId="77777777">
        <w:trPr>
          <w:trHeight w:val="510"/>
        </w:trPr>
        <w:tc>
          <w:tcPr>
            <w:tcW w:w="38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352A9F4A" w14:textId="77777777" w:rsidR="005B05E2" w:rsidRPr="006246FD" w:rsidRDefault="00E52BCA" w:rsidP="00E52BCA">
            <w:pPr>
              <w:spacing w:before="40" w:after="40"/>
              <w:jc w:val="center"/>
              <w:rPr>
                <w:rFonts w:ascii="Arial" w:eastAsia="Times New Roman" w:hAnsi="Arial" w:cs="Arial"/>
                <w:b/>
                <w:bCs/>
                <w:color w:val="FFFFFF" w:themeColor="background1"/>
                <w:sz w:val="20"/>
                <w:szCs w:val="20"/>
                <w:lang w:eastAsia="en-US"/>
              </w:rPr>
            </w:pPr>
            <w:r w:rsidRPr="006246FD">
              <w:rPr>
                <w:rFonts w:ascii="Arial" w:eastAsia="Times New Roman" w:hAnsi="Arial" w:cs="Arial"/>
                <w:b/>
                <w:bCs/>
                <w:color w:val="FFFFFF" w:themeColor="background1"/>
                <w:sz w:val="20"/>
                <w:szCs w:val="20"/>
                <w:lang w:eastAsia="en-US"/>
              </w:rPr>
              <w:t xml:space="preserve">DATA USED IN ECONOMIC AND </w:t>
            </w:r>
            <w:r w:rsidR="005B05E2" w:rsidRPr="006246FD">
              <w:rPr>
                <w:rFonts w:ascii="Arial" w:eastAsia="Times New Roman" w:hAnsi="Arial" w:cs="Arial"/>
                <w:b/>
                <w:bCs/>
                <w:color w:val="FFFFFF" w:themeColor="background1"/>
                <w:sz w:val="20"/>
                <w:szCs w:val="20"/>
                <w:lang w:eastAsia="en-US"/>
              </w:rPr>
              <w:t>D</w:t>
            </w:r>
            <w:r w:rsidRPr="006246FD">
              <w:rPr>
                <w:rFonts w:ascii="Arial" w:eastAsia="Times New Roman" w:hAnsi="Arial" w:cs="Arial"/>
                <w:b/>
                <w:bCs/>
                <w:color w:val="FFFFFF" w:themeColor="background1"/>
                <w:sz w:val="20"/>
                <w:szCs w:val="20"/>
                <w:lang w:eastAsia="en-US"/>
              </w:rPr>
              <w:t>EMOGRAPHIC MODEL</w:t>
            </w:r>
            <w:r w:rsidR="005B05E2" w:rsidRPr="006246FD">
              <w:rPr>
                <w:rFonts w:ascii="Arial" w:eastAsia="Times New Roman" w:hAnsi="Arial" w:cs="Arial"/>
                <w:b/>
                <w:bCs/>
                <w:color w:val="FFFFFF" w:themeColor="background1"/>
                <w:sz w:val="20"/>
                <w:szCs w:val="20"/>
                <w:lang w:eastAsia="en-US"/>
              </w:rPr>
              <w:t xml:space="preserve"> </w:t>
            </w:r>
          </w:p>
        </w:tc>
        <w:tc>
          <w:tcPr>
            <w:tcW w:w="46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3F2DB466" w14:textId="77777777" w:rsidR="005B05E2" w:rsidRPr="006246FD" w:rsidRDefault="005B05E2" w:rsidP="005B05E2">
            <w:pPr>
              <w:jc w:val="center"/>
              <w:rPr>
                <w:rFonts w:ascii="Arial" w:eastAsia="Times New Roman" w:hAnsi="Arial" w:cs="Arial"/>
                <w:b/>
                <w:bCs/>
                <w:color w:val="FFFFFF" w:themeColor="background1"/>
                <w:sz w:val="20"/>
                <w:szCs w:val="20"/>
                <w:lang w:eastAsia="en-US"/>
              </w:rPr>
            </w:pPr>
          </w:p>
        </w:tc>
      </w:tr>
      <w:tr w:rsidR="005B05E2" w:rsidRPr="00AC3DB2" w14:paraId="7F3B0A0D" w14:textId="77777777">
        <w:trPr>
          <w:trHeight w:val="255"/>
        </w:trPr>
        <w:tc>
          <w:tcPr>
            <w:tcW w:w="3885" w:type="dxa"/>
            <w:tcBorders>
              <w:top w:val="nil"/>
              <w:left w:val="single" w:sz="4" w:space="0" w:color="auto"/>
              <w:bottom w:val="single" w:sz="4" w:space="0" w:color="auto"/>
              <w:right w:val="nil"/>
            </w:tcBorders>
            <w:shd w:val="clear" w:color="000000" w:fill="12555F"/>
            <w:noWrap/>
            <w:vAlign w:val="bottom"/>
          </w:tcPr>
          <w:p w14:paraId="42E6F725" w14:textId="77777777" w:rsidR="005B05E2" w:rsidRPr="00A17256" w:rsidRDefault="005B05E2" w:rsidP="005B05E2">
            <w:pPr>
              <w:jc w:val="center"/>
              <w:rPr>
                <w:rFonts w:ascii="Arial" w:eastAsia="Times New Roman" w:hAnsi="Arial" w:cs="Arial"/>
                <w:b/>
                <w:bCs/>
                <w:color w:val="FFFFFF"/>
                <w:sz w:val="20"/>
                <w:szCs w:val="20"/>
                <w:lang w:eastAsia="en-US"/>
              </w:rPr>
            </w:pPr>
            <w:r>
              <w:rPr>
                <w:rFonts w:ascii="Arial" w:eastAsia="Times New Roman" w:hAnsi="Arial" w:cs="Arial"/>
                <w:b/>
                <w:bCs/>
                <w:color w:val="FFFFFF"/>
                <w:sz w:val="20"/>
                <w:szCs w:val="20"/>
                <w:lang w:eastAsia="en-US"/>
              </w:rPr>
              <w:t>County-level D</w:t>
            </w:r>
            <w:r w:rsidRPr="00A17256">
              <w:rPr>
                <w:rFonts w:ascii="Arial" w:eastAsia="Times New Roman" w:hAnsi="Arial" w:cs="Arial"/>
                <w:b/>
                <w:bCs/>
                <w:color w:val="FFFFFF"/>
                <w:sz w:val="20"/>
                <w:szCs w:val="20"/>
                <w:lang w:eastAsia="en-US"/>
              </w:rPr>
              <w:t>ata</w:t>
            </w:r>
          </w:p>
        </w:tc>
        <w:tc>
          <w:tcPr>
            <w:tcW w:w="4680" w:type="dxa"/>
            <w:tcBorders>
              <w:top w:val="nil"/>
              <w:left w:val="nil"/>
              <w:bottom w:val="single" w:sz="4" w:space="0" w:color="auto"/>
              <w:right w:val="single" w:sz="4" w:space="0" w:color="auto"/>
            </w:tcBorders>
            <w:shd w:val="clear" w:color="000000" w:fill="12555F"/>
            <w:noWrap/>
            <w:vAlign w:val="bottom"/>
          </w:tcPr>
          <w:p w14:paraId="31A4180A" w14:textId="77777777" w:rsidR="005B05E2" w:rsidRPr="00E444C0" w:rsidRDefault="005B05E2" w:rsidP="005B05E2">
            <w:pPr>
              <w:jc w:val="center"/>
              <w:rPr>
                <w:rFonts w:ascii="Arial" w:eastAsia="Times New Roman" w:hAnsi="Arial" w:cs="Arial"/>
                <w:color w:val="FFFFFF"/>
                <w:sz w:val="20"/>
                <w:szCs w:val="20"/>
                <w:lang w:eastAsia="en-US"/>
              </w:rPr>
            </w:pPr>
            <w:r w:rsidRPr="00E444C0">
              <w:rPr>
                <w:rFonts w:ascii="Arial" w:eastAsia="Times New Roman" w:hAnsi="Arial" w:cs="Arial"/>
                <w:b/>
                <w:bCs/>
                <w:color w:val="FFFFFF"/>
                <w:sz w:val="20"/>
                <w:szCs w:val="20"/>
                <w:lang w:eastAsia="en-US"/>
              </w:rPr>
              <w:t>Source</w:t>
            </w:r>
          </w:p>
        </w:tc>
      </w:tr>
      <w:tr w:rsidR="005B05E2" w:rsidRPr="00AC3DB2" w14:paraId="654861D7" w14:textId="77777777">
        <w:trPr>
          <w:trHeight w:val="510"/>
        </w:trPr>
        <w:tc>
          <w:tcPr>
            <w:tcW w:w="3885" w:type="dxa"/>
            <w:tcBorders>
              <w:top w:val="nil"/>
              <w:left w:val="single" w:sz="4" w:space="0" w:color="auto"/>
              <w:bottom w:val="nil"/>
              <w:right w:val="single" w:sz="4" w:space="0" w:color="auto"/>
            </w:tcBorders>
            <w:shd w:val="clear" w:color="auto" w:fill="auto"/>
            <w:vAlign w:val="bottom"/>
          </w:tcPr>
          <w:p w14:paraId="16FD8D6F" w14:textId="77777777" w:rsidR="00A47CC2" w:rsidRDefault="00A47CC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Labor f</w:t>
            </w:r>
            <w:r w:rsidR="005B05E2" w:rsidRPr="00AC3DB2">
              <w:rPr>
                <w:rFonts w:ascii="Arial" w:eastAsia="Times New Roman" w:hAnsi="Arial" w:cs="Arial"/>
                <w:color w:val="474C55"/>
                <w:sz w:val="20"/>
                <w:szCs w:val="20"/>
                <w:lang w:eastAsia="en-US"/>
              </w:rPr>
              <w:t>orce,</w:t>
            </w:r>
            <w:r>
              <w:rPr>
                <w:rFonts w:ascii="Arial" w:eastAsia="Times New Roman" w:hAnsi="Arial" w:cs="Arial"/>
                <w:color w:val="474C55"/>
                <w:sz w:val="20"/>
                <w:szCs w:val="20"/>
                <w:lang w:eastAsia="en-US"/>
              </w:rPr>
              <w:t xml:space="preserve"> employment,</w:t>
            </w:r>
          </w:p>
          <w:p w14:paraId="1827A6C8" w14:textId="77777777" w:rsidR="005B05E2" w:rsidRPr="00AC3DB2" w:rsidRDefault="00A47CC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 xml:space="preserve"> unemployment r</w:t>
            </w:r>
            <w:r w:rsidR="005B05E2" w:rsidRPr="00AC3DB2">
              <w:rPr>
                <w:rFonts w:ascii="Arial" w:eastAsia="Times New Roman" w:hAnsi="Arial" w:cs="Arial"/>
                <w:color w:val="474C55"/>
                <w:sz w:val="20"/>
                <w:szCs w:val="20"/>
                <w:lang w:eastAsia="en-US"/>
              </w:rPr>
              <w:t>ate</w:t>
            </w:r>
          </w:p>
        </w:tc>
        <w:tc>
          <w:tcPr>
            <w:tcW w:w="4680" w:type="dxa"/>
            <w:tcBorders>
              <w:top w:val="nil"/>
              <w:left w:val="nil"/>
              <w:bottom w:val="single" w:sz="4" w:space="0" w:color="auto"/>
              <w:right w:val="single" w:sz="4" w:space="0" w:color="auto"/>
            </w:tcBorders>
            <w:shd w:val="clear" w:color="auto" w:fill="auto"/>
            <w:vAlign w:val="center"/>
          </w:tcPr>
          <w:p w14:paraId="4435F6C3"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US Bureau of Labor Statistics (BLS)          www.bls.gov</w:t>
            </w:r>
          </w:p>
        </w:tc>
      </w:tr>
      <w:tr w:rsidR="005B05E2" w:rsidRPr="00AC3DB2" w14:paraId="1227BBB2" w14:textId="77777777">
        <w:trPr>
          <w:trHeight w:val="1020"/>
        </w:trPr>
        <w:tc>
          <w:tcPr>
            <w:tcW w:w="3885" w:type="dxa"/>
            <w:tcBorders>
              <w:top w:val="single" w:sz="4" w:space="0" w:color="auto"/>
              <w:left w:val="single" w:sz="4" w:space="0" w:color="auto"/>
              <w:bottom w:val="single" w:sz="4" w:space="0" w:color="auto"/>
              <w:right w:val="single" w:sz="4" w:space="0" w:color="auto"/>
            </w:tcBorders>
            <w:shd w:val="clear" w:color="auto" w:fill="auto"/>
            <w:vAlign w:val="center"/>
          </w:tcPr>
          <w:p w14:paraId="24DE6E7E" w14:textId="77777777" w:rsidR="005B05E2" w:rsidRDefault="00A47CC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Total non-farm e</w:t>
            </w:r>
            <w:r w:rsidR="005B05E2" w:rsidRPr="00AC3DB2">
              <w:rPr>
                <w:rFonts w:ascii="Arial" w:eastAsia="Times New Roman" w:hAnsi="Arial" w:cs="Arial"/>
                <w:color w:val="474C55"/>
                <w:sz w:val="20"/>
                <w:szCs w:val="20"/>
                <w:lang w:eastAsia="en-US"/>
              </w:rPr>
              <w:t>mployment</w:t>
            </w:r>
            <w:r w:rsidR="005B05E2">
              <w:rPr>
                <w:rFonts w:ascii="Arial" w:eastAsia="Times New Roman" w:hAnsi="Arial" w:cs="Arial"/>
                <w:color w:val="474C55"/>
                <w:sz w:val="20"/>
                <w:szCs w:val="20"/>
                <w:lang w:eastAsia="en-US"/>
              </w:rPr>
              <w:t>,</w:t>
            </w:r>
          </w:p>
          <w:p w14:paraId="04419525"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and breakdowns by type of employment</w:t>
            </w:r>
          </w:p>
        </w:tc>
        <w:tc>
          <w:tcPr>
            <w:tcW w:w="4680" w:type="dxa"/>
            <w:tcBorders>
              <w:top w:val="nil"/>
              <w:left w:val="nil"/>
              <w:bottom w:val="nil"/>
              <w:right w:val="single" w:sz="4" w:space="0" w:color="auto"/>
            </w:tcBorders>
            <w:shd w:val="clear" w:color="auto" w:fill="auto"/>
            <w:vAlign w:val="center"/>
          </w:tcPr>
          <w:p w14:paraId="630356D9"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WA State Employment Security Department, using data from Quarterly Census of Employment and Wages  fortress.wa.gov/home</w:t>
            </w:r>
          </w:p>
        </w:tc>
      </w:tr>
      <w:tr w:rsidR="005B05E2" w:rsidRPr="00AC3DB2" w14:paraId="2A875EE8"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19584E9E"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Personal income</w:t>
            </w:r>
          </w:p>
        </w:tc>
        <w:tc>
          <w:tcPr>
            <w:tcW w:w="46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BCCCAA7"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US Bureau of Economic</w:t>
            </w:r>
            <w:r>
              <w:rPr>
                <w:rFonts w:ascii="Arial" w:eastAsia="Times New Roman" w:hAnsi="Arial" w:cs="Arial"/>
                <w:color w:val="474C55"/>
                <w:sz w:val="20"/>
                <w:szCs w:val="20"/>
                <w:lang w:eastAsia="en-US"/>
              </w:rPr>
              <w:t xml:space="preserve"> Analysis (BEA)              </w:t>
            </w:r>
            <w:r w:rsidRPr="00AC3DB2">
              <w:rPr>
                <w:rFonts w:ascii="Arial" w:eastAsia="Times New Roman" w:hAnsi="Arial" w:cs="Arial"/>
                <w:color w:val="474C55"/>
                <w:sz w:val="20"/>
                <w:szCs w:val="20"/>
                <w:lang w:eastAsia="en-US"/>
              </w:rPr>
              <w:t xml:space="preserve">                                www.bea.gov</w:t>
            </w:r>
          </w:p>
        </w:tc>
      </w:tr>
      <w:tr w:rsidR="005B05E2" w:rsidRPr="00AC3DB2" w14:paraId="7E74A8C4"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2650B609"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Wages and salaries</w:t>
            </w:r>
          </w:p>
        </w:tc>
        <w:tc>
          <w:tcPr>
            <w:tcW w:w="4680" w:type="dxa"/>
            <w:vMerge/>
            <w:tcBorders>
              <w:top w:val="single" w:sz="4" w:space="0" w:color="auto"/>
              <w:left w:val="single" w:sz="4" w:space="0" w:color="auto"/>
              <w:bottom w:val="single" w:sz="4" w:space="0" w:color="000000"/>
              <w:right w:val="single" w:sz="4" w:space="0" w:color="auto"/>
            </w:tcBorders>
            <w:vAlign w:val="center"/>
          </w:tcPr>
          <w:p w14:paraId="01644340" w14:textId="77777777" w:rsidR="005B05E2" w:rsidRPr="00AC3DB2" w:rsidRDefault="005B05E2" w:rsidP="005B05E2">
            <w:pPr>
              <w:jc w:val="center"/>
              <w:rPr>
                <w:rFonts w:ascii="Arial" w:eastAsia="Times New Roman" w:hAnsi="Arial" w:cs="Arial"/>
                <w:color w:val="474C55"/>
                <w:sz w:val="20"/>
                <w:szCs w:val="20"/>
                <w:lang w:eastAsia="en-US"/>
              </w:rPr>
            </w:pPr>
          </w:p>
        </w:tc>
      </w:tr>
      <w:tr w:rsidR="005B05E2" w:rsidRPr="00AC3DB2" w14:paraId="28DBD361"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5C7B6216"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Population</w:t>
            </w:r>
          </w:p>
        </w:tc>
        <w:tc>
          <w:tcPr>
            <w:tcW w:w="4680" w:type="dxa"/>
            <w:vMerge/>
            <w:tcBorders>
              <w:top w:val="single" w:sz="4" w:space="0" w:color="auto"/>
              <w:left w:val="single" w:sz="4" w:space="0" w:color="auto"/>
              <w:bottom w:val="single" w:sz="4" w:space="0" w:color="000000"/>
              <w:right w:val="single" w:sz="4" w:space="0" w:color="auto"/>
            </w:tcBorders>
            <w:vAlign w:val="center"/>
          </w:tcPr>
          <w:p w14:paraId="046EC72E" w14:textId="77777777" w:rsidR="005B05E2" w:rsidRPr="00AC3DB2" w:rsidRDefault="005B05E2" w:rsidP="005B05E2">
            <w:pPr>
              <w:jc w:val="center"/>
              <w:rPr>
                <w:rFonts w:ascii="Arial" w:eastAsia="Times New Roman" w:hAnsi="Arial" w:cs="Arial"/>
                <w:color w:val="474C55"/>
                <w:sz w:val="20"/>
                <w:szCs w:val="20"/>
                <w:lang w:eastAsia="en-US"/>
              </w:rPr>
            </w:pPr>
          </w:p>
        </w:tc>
      </w:tr>
      <w:tr w:rsidR="005B05E2" w:rsidRPr="00AC3DB2" w14:paraId="34A010C1" w14:textId="77777777">
        <w:trPr>
          <w:trHeight w:val="510"/>
        </w:trPr>
        <w:tc>
          <w:tcPr>
            <w:tcW w:w="3885" w:type="dxa"/>
            <w:tcBorders>
              <w:top w:val="nil"/>
              <w:left w:val="single" w:sz="4" w:space="0" w:color="auto"/>
              <w:bottom w:val="single" w:sz="4" w:space="0" w:color="auto"/>
              <w:right w:val="single" w:sz="4" w:space="0" w:color="auto"/>
            </w:tcBorders>
            <w:shd w:val="clear" w:color="auto" w:fill="auto"/>
            <w:vAlign w:val="bottom"/>
          </w:tcPr>
          <w:p w14:paraId="1448F566" w14:textId="77777777" w:rsidR="005B05E2" w:rsidRPr="00AC3DB2" w:rsidRDefault="005B05E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Households, single- and m</w:t>
            </w:r>
            <w:r w:rsidRPr="00AC3DB2">
              <w:rPr>
                <w:rFonts w:ascii="Arial" w:eastAsia="Times New Roman" w:hAnsi="Arial" w:cs="Arial"/>
                <w:color w:val="474C55"/>
                <w:sz w:val="20"/>
                <w:szCs w:val="20"/>
                <w:lang w:eastAsia="en-US"/>
              </w:rPr>
              <w:t>ulti-family</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tcPr>
          <w:p w14:paraId="4DFB16A2"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US Census                                    censtats.census.gov</w:t>
            </w:r>
          </w:p>
        </w:tc>
      </w:tr>
      <w:tr w:rsidR="005B05E2" w:rsidRPr="00AC3DB2" w14:paraId="27B8D76B" w14:textId="77777777">
        <w:trPr>
          <w:trHeight w:val="510"/>
        </w:trPr>
        <w:tc>
          <w:tcPr>
            <w:tcW w:w="3885" w:type="dxa"/>
            <w:tcBorders>
              <w:top w:val="nil"/>
              <w:left w:val="single" w:sz="4" w:space="0" w:color="auto"/>
              <w:bottom w:val="single" w:sz="4" w:space="0" w:color="auto"/>
              <w:right w:val="single" w:sz="4" w:space="0" w:color="auto"/>
            </w:tcBorders>
            <w:shd w:val="clear" w:color="auto" w:fill="auto"/>
            <w:vAlign w:val="bottom"/>
          </w:tcPr>
          <w:p w14:paraId="7BAF9606" w14:textId="77777777" w:rsidR="005B05E2" w:rsidRPr="00AC3DB2" w:rsidRDefault="005B05E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Household size, single- and multi-</w:t>
            </w:r>
            <w:r w:rsidRPr="00AC3DB2">
              <w:rPr>
                <w:rFonts w:ascii="Arial" w:eastAsia="Times New Roman" w:hAnsi="Arial" w:cs="Arial"/>
                <w:color w:val="474C55"/>
                <w:sz w:val="20"/>
                <w:szCs w:val="20"/>
                <w:lang w:eastAsia="en-US"/>
              </w:rPr>
              <w:t>family</w:t>
            </w:r>
          </w:p>
        </w:tc>
        <w:tc>
          <w:tcPr>
            <w:tcW w:w="4680" w:type="dxa"/>
            <w:vMerge/>
            <w:tcBorders>
              <w:top w:val="nil"/>
              <w:left w:val="single" w:sz="4" w:space="0" w:color="auto"/>
              <w:bottom w:val="single" w:sz="4" w:space="0" w:color="000000"/>
              <w:right w:val="single" w:sz="4" w:space="0" w:color="auto"/>
            </w:tcBorders>
            <w:vAlign w:val="center"/>
          </w:tcPr>
          <w:p w14:paraId="1A1B6330" w14:textId="77777777" w:rsidR="005B05E2" w:rsidRPr="00AC3DB2" w:rsidRDefault="005B05E2" w:rsidP="005B05E2">
            <w:pPr>
              <w:jc w:val="center"/>
              <w:rPr>
                <w:rFonts w:ascii="Arial" w:eastAsia="Times New Roman" w:hAnsi="Arial" w:cs="Arial"/>
                <w:color w:val="474C55"/>
                <w:sz w:val="20"/>
                <w:szCs w:val="20"/>
                <w:lang w:eastAsia="en-US"/>
              </w:rPr>
            </w:pPr>
          </w:p>
        </w:tc>
      </w:tr>
      <w:tr w:rsidR="005B05E2" w:rsidRPr="00AC3DB2" w14:paraId="7C938B13" w14:textId="77777777">
        <w:trPr>
          <w:trHeight w:val="765"/>
        </w:trPr>
        <w:tc>
          <w:tcPr>
            <w:tcW w:w="3885" w:type="dxa"/>
            <w:tcBorders>
              <w:top w:val="nil"/>
              <w:left w:val="single" w:sz="4" w:space="0" w:color="auto"/>
              <w:bottom w:val="nil"/>
              <w:right w:val="single" w:sz="4" w:space="0" w:color="auto"/>
            </w:tcBorders>
            <w:shd w:val="clear" w:color="auto" w:fill="auto"/>
            <w:vAlign w:val="bottom"/>
          </w:tcPr>
          <w:p w14:paraId="792CF970" w14:textId="77777777" w:rsidR="005B05E2" w:rsidRPr="00AC3DB2" w:rsidRDefault="005B05E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Housing permits, single- and multi-</w:t>
            </w:r>
            <w:r w:rsidRPr="00AC3DB2">
              <w:rPr>
                <w:rFonts w:ascii="Arial" w:eastAsia="Times New Roman" w:hAnsi="Arial" w:cs="Arial"/>
                <w:color w:val="474C55"/>
                <w:sz w:val="20"/>
                <w:szCs w:val="20"/>
                <w:lang w:eastAsia="en-US"/>
              </w:rPr>
              <w:t>family</w:t>
            </w:r>
          </w:p>
        </w:tc>
        <w:tc>
          <w:tcPr>
            <w:tcW w:w="4680" w:type="dxa"/>
            <w:tcBorders>
              <w:top w:val="nil"/>
              <w:left w:val="single" w:sz="4" w:space="0" w:color="auto"/>
              <w:bottom w:val="nil"/>
              <w:right w:val="single" w:sz="4" w:space="0" w:color="auto"/>
            </w:tcBorders>
            <w:shd w:val="clear" w:color="auto" w:fill="auto"/>
            <w:vAlign w:val="bottom"/>
          </w:tcPr>
          <w:p w14:paraId="4D6A2829"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Building Industry Association of Washington (BIAW)                   www.biaw.com</w:t>
            </w:r>
          </w:p>
        </w:tc>
      </w:tr>
      <w:tr w:rsidR="005B05E2" w:rsidRPr="00AC3DB2" w14:paraId="228FE909" w14:textId="77777777">
        <w:trPr>
          <w:trHeight w:val="510"/>
        </w:trPr>
        <w:tc>
          <w:tcPr>
            <w:tcW w:w="3885" w:type="dxa"/>
            <w:tcBorders>
              <w:top w:val="single" w:sz="4" w:space="0" w:color="auto"/>
              <w:left w:val="single" w:sz="4" w:space="0" w:color="auto"/>
              <w:bottom w:val="single" w:sz="4" w:space="0" w:color="auto"/>
              <w:right w:val="single" w:sz="4" w:space="0" w:color="auto"/>
            </w:tcBorders>
            <w:shd w:val="clear" w:color="auto" w:fill="auto"/>
            <w:vAlign w:val="bottom"/>
          </w:tcPr>
          <w:p w14:paraId="434B6478"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Aerospace Employment</w:t>
            </w:r>
          </w:p>
        </w:tc>
        <w:tc>
          <w:tcPr>
            <w:tcW w:w="4680" w:type="dxa"/>
            <w:tcBorders>
              <w:top w:val="single" w:sz="4" w:space="0" w:color="auto"/>
              <w:left w:val="nil"/>
              <w:bottom w:val="single" w:sz="4" w:space="0" w:color="auto"/>
              <w:right w:val="single" w:sz="4" w:space="0" w:color="auto"/>
            </w:tcBorders>
            <w:shd w:val="clear" w:color="auto" w:fill="auto"/>
            <w:vAlign w:val="bottom"/>
          </w:tcPr>
          <w:p w14:paraId="3E5A2024"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Puget Sound Economic Forecaster                     www.economicforecaster.com</w:t>
            </w:r>
          </w:p>
        </w:tc>
      </w:tr>
      <w:tr w:rsidR="005B05E2" w:rsidRPr="00AC3DB2" w14:paraId="66137990" w14:textId="77777777">
        <w:trPr>
          <w:trHeight w:val="255"/>
        </w:trPr>
        <w:tc>
          <w:tcPr>
            <w:tcW w:w="3885" w:type="dxa"/>
            <w:tcBorders>
              <w:top w:val="nil"/>
              <w:left w:val="single" w:sz="4" w:space="0" w:color="auto"/>
              <w:bottom w:val="single" w:sz="4" w:space="0" w:color="auto"/>
              <w:right w:val="nil"/>
            </w:tcBorders>
            <w:shd w:val="clear" w:color="000000" w:fill="12555F"/>
            <w:vAlign w:val="bottom"/>
          </w:tcPr>
          <w:p w14:paraId="05EBBD96" w14:textId="77777777" w:rsidR="005B05E2" w:rsidRPr="00A17256" w:rsidRDefault="005B05E2" w:rsidP="005B05E2">
            <w:pPr>
              <w:jc w:val="center"/>
              <w:rPr>
                <w:rFonts w:ascii="Arial" w:eastAsia="Times New Roman" w:hAnsi="Arial" w:cs="Arial"/>
                <w:b/>
                <w:bCs/>
                <w:color w:val="FFFFFF"/>
                <w:sz w:val="20"/>
                <w:szCs w:val="20"/>
                <w:lang w:eastAsia="en-US"/>
              </w:rPr>
            </w:pPr>
            <w:r w:rsidRPr="00A17256">
              <w:rPr>
                <w:rFonts w:ascii="Arial" w:eastAsia="Times New Roman" w:hAnsi="Arial" w:cs="Arial"/>
                <w:b/>
                <w:bCs/>
                <w:color w:val="FFFFFF"/>
                <w:sz w:val="20"/>
                <w:szCs w:val="20"/>
                <w:lang w:eastAsia="en-US"/>
              </w:rPr>
              <w:t>US-</w:t>
            </w:r>
            <w:r>
              <w:rPr>
                <w:rFonts w:ascii="Arial" w:eastAsia="Times New Roman" w:hAnsi="Arial" w:cs="Arial"/>
                <w:b/>
                <w:bCs/>
                <w:color w:val="FFFFFF"/>
                <w:sz w:val="20"/>
                <w:szCs w:val="20"/>
                <w:lang w:eastAsia="en-US"/>
              </w:rPr>
              <w:t>level D</w:t>
            </w:r>
            <w:r w:rsidRPr="00A17256">
              <w:rPr>
                <w:rFonts w:ascii="Arial" w:eastAsia="Times New Roman" w:hAnsi="Arial" w:cs="Arial"/>
                <w:b/>
                <w:bCs/>
                <w:color w:val="FFFFFF"/>
                <w:sz w:val="20"/>
                <w:szCs w:val="20"/>
                <w:lang w:eastAsia="en-US"/>
              </w:rPr>
              <w:t>ata</w:t>
            </w:r>
          </w:p>
        </w:tc>
        <w:tc>
          <w:tcPr>
            <w:tcW w:w="4680" w:type="dxa"/>
            <w:tcBorders>
              <w:top w:val="nil"/>
              <w:left w:val="nil"/>
              <w:bottom w:val="single" w:sz="4" w:space="0" w:color="auto"/>
              <w:right w:val="single" w:sz="4" w:space="0" w:color="auto"/>
            </w:tcBorders>
            <w:shd w:val="clear" w:color="000000" w:fill="12555F"/>
            <w:vAlign w:val="bottom"/>
          </w:tcPr>
          <w:p w14:paraId="3FD4E9A0" w14:textId="77777777" w:rsidR="005B05E2" w:rsidRPr="00AC3DB2" w:rsidRDefault="005B05E2" w:rsidP="005B05E2">
            <w:pPr>
              <w:jc w:val="center"/>
              <w:rPr>
                <w:rFonts w:ascii="Arial" w:eastAsia="Times New Roman" w:hAnsi="Arial" w:cs="Arial"/>
                <w:color w:val="474C55"/>
                <w:sz w:val="20"/>
                <w:szCs w:val="20"/>
                <w:lang w:eastAsia="en-US"/>
              </w:rPr>
            </w:pPr>
            <w:r w:rsidRPr="00E444C0">
              <w:rPr>
                <w:rFonts w:ascii="Arial" w:eastAsia="Times New Roman" w:hAnsi="Arial" w:cs="Arial"/>
                <w:b/>
                <w:bCs/>
                <w:color w:val="FFFFFF"/>
                <w:sz w:val="20"/>
                <w:szCs w:val="20"/>
                <w:lang w:eastAsia="en-US"/>
              </w:rPr>
              <w:t>Source</w:t>
            </w:r>
          </w:p>
        </w:tc>
      </w:tr>
      <w:tr w:rsidR="005B05E2" w:rsidRPr="00AC3DB2" w14:paraId="6D07120B"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142B6C5F"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GDP</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tcPr>
          <w:p w14:paraId="60E930EE"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Moody's Analytics                       www.economy.com</w:t>
            </w:r>
          </w:p>
        </w:tc>
      </w:tr>
      <w:tr w:rsidR="005B05E2" w:rsidRPr="00AC3DB2" w14:paraId="7AFE6978"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434C2C4D"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Industrial Production Index</w:t>
            </w:r>
          </w:p>
        </w:tc>
        <w:tc>
          <w:tcPr>
            <w:tcW w:w="4680" w:type="dxa"/>
            <w:vMerge/>
            <w:tcBorders>
              <w:top w:val="nil"/>
              <w:left w:val="single" w:sz="4" w:space="0" w:color="auto"/>
              <w:bottom w:val="single" w:sz="4" w:space="0" w:color="000000"/>
              <w:right w:val="single" w:sz="4" w:space="0" w:color="auto"/>
            </w:tcBorders>
            <w:vAlign w:val="center"/>
          </w:tcPr>
          <w:p w14:paraId="5C4C6CFF"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25D22853"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0D2123F2"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Employment</w:t>
            </w:r>
          </w:p>
        </w:tc>
        <w:tc>
          <w:tcPr>
            <w:tcW w:w="4680" w:type="dxa"/>
            <w:vMerge/>
            <w:tcBorders>
              <w:top w:val="nil"/>
              <w:left w:val="single" w:sz="4" w:space="0" w:color="auto"/>
              <w:bottom w:val="single" w:sz="4" w:space="0" w:color="000000"/>
              <w:right w:val="single" w:sz="4" w:space="0" w:color="auto"/>
            </w:tcBorders>
            <w:vAlign w:val="center"/>
          </w:tcPr>
          <w:p w14:paraId="4B6CBE6D"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572CF34D"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0A61D1FF" w14:textId="77777777" w:rsidR="005B05E2" w:rsidRPr="00AC3DB2" w:rsidRDefault="00A47CC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Unemployment r</w:t>
            </w:r>
            <w:r w:rsidR="005B05E2" w:rsidRPr="00AC3DB2">
              <w:rPr>
                <w:rFonts w:ascii="Arial" w:eastAsia="Times New Roman" w:hAnsi="Arial" w:cs="Arial"/>
                <w:color w:val="474C55"/>
                <w:sz w:val="20"/>
                <w:szCs w:val="20"/>
                <w:lang w:eastAsia="en-US"/>
              </w:rPr>
              <w:t>ate</w:t>
            </w:r>
          </w:p>
        </w:tc>
        <w:tc>
          <w:tcPr>
            <w:tcW w:w="4680" w:type="dxa"/>
            <w:vMerge/>
            <w:tcBorders>
              <w:top w:val="nil"/>
              <w:left w:val="single" w:sz="4" w:space="0" w:color="auto"/>
              <w:bottom w:val="single" w:sz="4" w:space="0" w:color="000000"/>
              <w:right w:val="single" w:sz="4" w:space="0" w:color="auto"/>
            </w:tcBorders>
            <w:vAlign w:val="center"/>
          </w:tcPr>
          <w:p w14:paraId="65C1CEF1"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08C5E53B"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727EC58F"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Personal income</w:t>
            </w:r>
          </w:p>
        </w:tc>
        <w:tc>
          <w:tcPr>
            <w:tcW w:w="4680" w:type="dxa"/>
            <w:vMerge/>
            <w:tcBorders>
              <w:top w:val="nil"/>
              <w:left w:val="single" w:sz="4" w:space="0" w:color="auto"/>
              <w:bottom w:val="single" w:sz="4" w:space="0" w:color="000000"/>
              <w:right w:val="single" w:sz="4" w:space="0" w:color="auto"/>
            </w:tcBorders>
            <w:vAlign w:val="center"/>
          </w:tcPr>
          <w:p w14:paraId="046DF112"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4558755F"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2AF7C9EC"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Wages and salary disbursements</w:t>
            </w:r>
          </w:p>
        </w:tc>
        <w:tc>
          <w:tcPr>
            <w:tcW w:w="4680" w:type="dxa"/>
            <w:vMerge/>
            <w:tcBorders>
              <w:top w:val="nil"/>
              <w:left w:val="single" w:sz="4" w:space="0" w:color="auto"/>
              <w:bottom w:val="single" w:sz="4" w:space="0" w:color="000000"/>
              <w:right w:val="single" w:sz="4" w:space="0" w:color="auto"/>
            </w:tcBorders>
            <w:vAlign w:val="center"/>
          </w:tcPr>
          <w:p w14:paraId="7F0A3321"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56C4E75D"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6D9B8511"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Consumer Price Index (CPI)</w:t>
            </w:r>
          </w:p>
        </w:tc>
        <w:tc>
          <w:tcPr>
            <w:tcW w:w="4680" w:type="dxa"/>
            <w:vMerge/>
            <w:tcBorders>
              <w:top w:val="nil"/>
              <w:left w:val="single" w:sz="4" w:space="0" w:color="auto"/>
              <w:bottom w:val="single" w:sz="4" w:space="0" w:color="000000"/>
              <w:right w:val="single" w:sz="4" w:space="0" w:color="auto"/>
            </w:tcBorders>
            <w:vAlign w:val="center"/>
          </w:tcPr>
          <w:p w14:paraId="024CC8ED"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5B4C7EDB"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5AECCEA0"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Housing starts</w:t>
            </w:r>
          </w:p>
        </w:tc>
        <w:tc>
          <w:tcPr>
            <w:tcW w:w="4680" w:type="dxa"/>
            <w:vMerge/>
            <w:tcBorders>
              <w:top w:val="nil"/>
              <w:left w:val="single" w:sz="4" w:space="0" w:color="auto"/>
              <w:bottom w:val="single" w:sz="4" w:space="0" w:color="000000"/>
              <w:right w:val="single" w:sz="4" w:space="0" w:color="auto"/>
            </w:tcBorders>
            <w:vAlign w:val="center"/>
          </w:tcPr>
          <w:p w14:paraId="49BFB9EC"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5963A3F2"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20AB7585"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Population</w:t>
            </w:r>
          </w:p>
        </w:tc>
        <w:tc>
          <w:tcPr>
            <w:tcW w:w="4680" w:type="dxa"/>
            <w:vMerge/>
            <w:tcBorders>
              <w:top w:val="nil"/>
              <w:left w:val="single" w:sz="4" w:space="0" w:color="auto"/>
              <w:bottom w:val="single" w:sz="4" w:space="0" w:color="000000"/>
              <w:right w:val="single" w:sz="4" w:space="0" w:color="auto"/>
            </w:tcBorders>
            <w:vAlign w:val="center"/>
          </w:tcPr>
          <w:p w14:paraId="6CC8409C"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0AA7384B"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5E955DBE"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Conventional mortgage rate</w:t>
            </w:r>
          </w:p>
        </w:tc>
        <w:tc>
          <w:tcPr>
            <w:tcW w:w="4680" w:type="dxa"/>
            <w:vMerge/>
            <w:tcBorders>
              <w:top w:val="nil"/>
              <w:left w:val="single" w:sz="4" w:space="0" w:color="auto"/>
              <w:bottom w:val="single" w:sz="4" w:space="0" w:color="000000"/>
              <w:right w:val="single" w:sz="4" w:space="0" w:color="auto"/>
            </w:tcBorders>
            <w:vAlign w:val="center"/>
          </w:tcPr>
          <w:p w14:paraId="233A3245"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23F68475"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4C2743B4" w14:textId="77777777" w:rsidR="005B05E2" w:rsidRPr="00AC3DB2" w:rsidRDefault="005B05E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T-bill rate, 3 months</w:t>
            </w:r>
          </w:p>
        </w:tc>
        <w:tc>
          <w:tcPr>
            <w:tcW w:w="4680" w:type="dxa"/>
            <w:vMerge/>
            <w:tcBorders>
              <w:top w:val="nil"/>
              <w:left w:val="single" w:sz="4" w:space="0" w:color="auto"/>
              <w:bottom w:val="single" w:sz="4" w:space="0" w:color="000000"/>
              <w:right w:val="single" w:sz="4" w:space="0" w:color="auto"/>
            </w:tcBorders>
            <w:vAlign w:val="center"/>
          </w:tcPr>
          <w:p w14:paraId="195D1B8C" w14:textId="77777777" w:rsidR="005B05E2" w:rsidRPr="00AC3DB2" w:rsidRDefault="005B05E2" w:rsidP="001D4E32">
            <w:pPr>
              <w:rPr>
                <w:rFonts w:ascii="Arial" w:eastAsia="Times New Roman" w:hAnsi="Arial" w:cs="Arial"/>
                <w:color w:val="474C55"/>
                <w:sz w:val="20"/>
                <w:szCs w:val="20"/>
                <w:lang w:eastAsia="en-US"/>
              </w:rPr>
            </w:pPr>
          </w:p>
        </w:tc>
      </w:tr>
    </w:tbl>
    <w:p w14:paraId="434431A1" w14:textId="77777777" w:rsidR="005B05E2" w:rsidRDefault="005B05E2" w:rsidP="005B05E2">
      <w:pPr>
        <w:pStyle w:val="IRPFigureSub"/>
      </w:pPr>
    </w:p>
    <w:p w14:paraId="2B1CA18B" w14:textId="54E18727" w:rsidR="001D4E32" w:rsidRPr="00185152" w:rsidRDefault="005B05E2" w:rsidP="00185152">
      <w:pPr>
        <w:rPr>
          <w:rFonts w:ascii="Arial" w:hAnsi="Arial"/>
          <w:i/>
          <w:sz w:val="20"/>
          <w:szCs w:val="22"/>
        </w:rPr>
      </w:pPr>
      <w:r>
        <w:br w:type="page"/>
      </w:r>
    </w:p>
    <w:p w14:paraId="046E27F8" w14:textId="77777777" w:rsidR="005B05E2" w:rsidRPr="00A17256" w:rsidRDefault="005B05E2" w:rsidP="005B05E2">
      <w:pPr>
        <w:pStyle w:val="IRPsanstext"/>
      </w:pPr>
      <w:r w:rsidRPr="00A17256">
        <w:lastRenderedPageBreak/>
        <w:t xml:space="preserve">A wide variety of electricity and natural gas uses are assumed as inputs. </w:t>
      </w:r>
    </w:p>
    <w:p w14:paraId="10FFF9BD" w14:textId="77777777" w:rsidR="005B05E2" w:rsidRPr="00A17256" w:rsidRDefault="005B05E2" w:rsidP="005B05E2">
      <w:pPr>
        <w:pStyle w:val="IRPsanstext"/>
      </w:pPr>
    </w:p>
    <w:p w14:paraId="471C7451" w14:textId="77777777" w:rsidR="005B05E2" w:rsidRPr="00A17256" w:rsidRDefault="005B05E2" w:rsidP="00A47CC2">
      <w:pPr>
        <w:pStyle w:val="IRPsanstext"/>
        <w:numPr>
          <w:ilvl w:val="0"/>
          <w:numId w:val="29"/>
        </w:numPr>
      </w:pPr>
      <w:r w:rsidRPr="00A17256">
        <w:t xml:space="preserve">For residential customers, typical energy uses include space heating, water heating, lighting, cooking, refrigeration, dish washing, laundry washing, televisions, computers and various other plug loads. </w:t>
      </w:r>
    </w:p>
    <w:p w14:paraId="29A72B28" w14:textId="77777777" w:rsidR="005B05E2" w:rsidRPr="00A17256" w:rsidRDefault="005B05E2" w:rsidP="00A47CC2">
      <w:pPr>
        <w:pStyle w:val="IRPsanstext"/>
        <w:numPr>
          <w:ilvl w:val="0"/>
          <w:numId w:val="29"/>
        </w:numPr>
        <w:rPr>
          <w:color w:val="0000FF"/>
          <w:sz w:val="18"/>
        </w:rPr>
      </w:pPr>
      <w:r w:rsidRPr="00A17256">
        <w:t xml:space="preserve">Commercial and industrial customers use energy for production processes; space heating, ventilation and air conditioning (HVAC); lighting; computers; and other office equipment. </w:t>
      </w:r>
    </w:p>
    <w:p w14:paraId="0D2F6E4F" w14:textId="77777777" w:rsidR="005B05E2" w:rsidRPr="00A17256" w:rsidRDefault="005B05E2" w:rsidP="005B05E2">
      <w:pPr>
        <w:pStyle w:val="IRPsanstext"/>
        <w:rPr>
          <w:highlight w:val="cyan"/>
        </w:rPr>
      </w:pPr>
    </w:p>
    <w:p w14:paraId="6FA778D4" w14:textId="77777777" w:rsidR="005B05E2" w:rsidRDefault="005B05E2" w:rsidP="005B05E2">
      <w:pPr>
        <w:pStyle w:val="IRPsanstext"/>
      </w:pPr>
      <w:r w:rsidRPr="00A17256">
        <w:t>To forecast energy sales and customer counts, customers are divided into classes and service levels that use energy for similar purposes and at comparable retail rates. The different classes are modeled separately using variables specific to their usage patterns.</w:t>
      </w:r>
    </w:p>
    <w:p w14:paraId="06D35CB2" w14:textId="47876503" w:rsidR="005B05E2" w:rsidRPr="00A17256" w:rsidRDefault="0057131A" w:rsidP="005B05E2">
      <w:pPr>
        <w:pStyle w:val="IRPsanstext"/>
      </w:pPr>
      <w:r>
        <w:rPr>
          <w:noProof/>
          <w:lang w:val="en-US" w:eastAsia="en-US"/>
        </w:rPr>
        <mc:AlternateContent>
          <mc:Choice Requires="wps">
            <w:drawing>
              <wp:anchor distT="0" distB="0" distL="114300" distR="114300" simplePos="0" relativeHeight="251666432" behindDoc="0" locked="0" layoutInCell="1" allowOverlap="0" wp14:anchorId="3CF8621A" wp14:editId="799796F6">
                <wp:simplePos x="0" y="0"/>
                <wp:positionH relativeFrom="column">
                  <wp:posOffset>3390900</wp:posOffset>
                </wp:positionH>
                <wp:positionV relativeFrom="paragraph">
                  <wp:posOffset>171450</wp:posOffset>
                </wp:positionV>
                <wp:extent cx="2257425" cy="2161540"/>
                <wp:effectExtent l="0" t="0" r="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161540"/>
                        </a:xfrm>
                        <a:prstGeom prst="rect">
                          <a:avLst/>
                        </a:prstGeom>
                        <a:noFill/>
                        <a:ln w="6350">
                          <a:noFill/>
                          <a:miter lim="800000"/>
                          <a:headEnd/>
                          <a:tailEnd/>
                        </a:ln>
                      </wps:spPr>
                      <wps:txbx>
                        <w:txbxContent>
                          <w:p w14:paraId="47A61DF1" w14:textId="77777777" w:rsidR="00CA6E29" w:rsidRPr="002F77B4" w:rsidRDefault="00CA6E29" w:rsidP="007E49E8">
                            <w:pPr>
                              <w:spacing w:line="276" w:lineRule="auto"/>
                              <w:ind w:left="90"/>
                              <w:rPr>
                                <w:rFonts w:ascii="Palatino" w:hAnsi="Palatino"/>
                                <w:b/>
                                <w:i/>
                                <w:color w:val="156583"/>
                                <w:sz w:val="22"/>
                                <w:szCs w:val="22"/>
                              </w:rPr>
                            </w:pPr>
                            <w:r>
                              <w:rPr>
                                <w:rFonts w:ascii="Palatino" w:hAnsi="Palatino"/>
                                <w:b/>
                                <w:i/>
                                <w:color w:val="156583"/>
                                <w:sz w:val="22"/>
                                <w:szCs w:val="22"/>
                              </w:rPr>
                              <w:t>Transport Customers</w:t>
                            </w:r>
                          </w:p>
                          <w:p w14:paraId="4AD78470" w14:textId="77777777" w:rsidR="00CA6E29" w:rsidRPr="002F77B4" w:rsidRDefault="00CA6E29" w:rsidP="007E49E8">
                            <w:pPr>
                              <w:spacing w:line="276" w:lineRule="auto"/>
                              <w:ind w:left="90"/>
                              <w:rPr>
                                <w:rFonts w:ascii="Palatino" w:hAnsi="Palatino"/>
                                <w:b/>
                                <w:i/>
                                <w:color w:val="156583"/>
                                <w:sz w:val="22"/>
                                <w:szCs w:val="22"/>
                              </w:rPr>
                            </w:pPr>
                          </w:p>
                          <w:p w14:paraId="49008704" w14:textId="77777777" w:rsidR="00A22F1C" w:rsidRDefault="00CA6E29" w:rsidP="00255AA2">
                            <w:pPr>
                              <w:pStyle w:val="IRPseriftextbig"/>
                              <w:tabs>
                                <w:tab w:val="left" w:pos="90"/>
                              </w:tabs>
                              <w:spacing w:line="276" w:lineRule="auto"/>
                              <w:ind w:left="90"/>
                              <w:rPr>
                                <w:i w:val="0"/>
                                <w:color w:val="156583"/>
                                <w:sz w:val="22"/>
                                <w:szCs w:val="22"/>
                              </w:rPr>
                            </w:pPr>
                            <w:r>
                              <w:rPr>
                                <w:i w:val="0"/>
                                <w:color w:val="156583"/>
                                <w:sz w:val="22"/>
                                <w:szCs w:val="22"/>
                              </w:rPr>
                              <w:t xml:space="preserve">“Transport” in the natural </w:t>
                            </w:r>
                          </w:p>
                          <w:p w14:paraId="3448857C"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gas</w:t>
                            </w:r>
                            <w:proofErr w:type="gramEnd"/>
                            <w:r>
                              <w:rPr>
                                <w:i w:val="0"/>
                                <w:color w:val="156583"/>
                                <w:sz w:val="22"/>
                                <w:szCs w:val="22"/>
                              </w:rPr>
                              <w:t xml:space="preserve"> industry has historically referred to customers that acquire their own natural </w:t>
                            </w:r>
                          </w:p>
                          <w:p w14:paraId="5D35C880"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gas</w:t>
                            </w:r>
                            <w:proofErr w:type="gramEnd"/>
                            <w:r>
                              <w:rPr>
                                <w:i w:val="0"/>
                                <w:color w:val="156583"/>
                                <w:sz w:val="22"/>
                                <w:szCs w:val="22"/>
                              </w:rPr>
                              <w:t xml:space="preserve"> from third-party suppliers and rely </w:t>
                            </w:r>
                            <w:r w:rsidR="0097655F">
                              <w:rPr>
                                <w:i w:val="0"/>
                                <w:color w:val="156583"/>
                                <w:sz w:val="22"/>
                                <w:szCs w:val="22"/>
                              </w:rPr>
                              <w:t xml:space="preserve">on </w:t>
                            </w:r>
                            <w:r>
                              <w:rPr>
                                <w:i w:val="0"/>
                                <w:color w:val="156583"/>
                                <w:sz w:val="22"/>
                                <w:szCs w:val="22"/>
                              </w:rPr>
                              <w:t xml:space="preserve">the gas utility for distribution service. It does </w:t>
                            </w:r>
                          </w:p>
                          <w:p w14:paraId="7359CA43"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not</w:t>
                            </w:r>
                            <w:proofErr w:type="gramEnd"/>
                            <w:r>
                              <w:rPr>
                                <w:i w:val="0"/>
                                <w:color w:val="156583"/>
                                <w:sz w:val="22"/>
                                <w:szCs w:val="22"/>
                              </w:rPr>
                              <w:t xml:space="preserve"> refer to natural gas fuel </w:t>
                            </w:r>
                          </w:p>
                          <w:p w14:paraId="56B15E88" w14:textId="77777777" w:rsidR="00CA6E29" w:rsidRPr="002F77B4"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for</w:t>
                            </w:r>
                            <w:proofErr w:type="gramEnd"/>
                            <w:r>
                              <w:rPr>
                                <w:i w:val="0"/>
                                <w:color w:val="156583"/>
                                <w:sz w:val="22"/>
                                <w:szCs w:val="22"/>
                              </w:rPr>
                              <w:t xml:space="preserve"> vehicles.</w:t>
                            </w:r>
                          </w:p>
                          <w:p w14:paraId="6D845A59" w14:textId="77777777" w:rsidR="00CA6E29" w:rsidRDefault="00CA6E29" w:rsidP="007E49E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67pt;margin-top:13.5pt;width:177.75pt;height:17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" o:allowoverlap="f" filled="f" stroked="f" strokeweight=".5pt">
                <v:textbox inset=",7.2pt,,7.2pt">
                  <w:txbxContent>
                    <w:p w14:paraId="47A61DF1" w14:textId="77777777" w:rsidR="00CA6E29" w:rsidRPr="002F77B4" w:rsidRDefault="00CA6E29" w:rsidP="007E49E8">
                      <w:pPr>
                        <w:spacing w:line="276" w:lineRule="auto"/>
                        <w:ind w:left="90"/>
                        <w:rPr>
                          <w:rFonts w:ascii="Palatino" w:hAnsi="Palatino"/>
                          <w:b/>
                          <w:i/>
                          <w:color w:val="156583"/>
                          <w:sz w:val="22"/>
                          <w:szCs w:val="22"/>
                        </w:rPr>
                      </w:pPr>
                      <w:r>
                        <w:rPr>
                          <w:rFonts w:ascii="Palatino" w:hAnsi="Palatino"/>
                          <w:b/>
                          <w:i/>
                          <w:color w:val="156583"/>
                          <w:sz w:val="22"/>
                          <w:szCs w:val="22"/>
                        </w:rPr>
                        <w:t>Transport Customers</w:t>
                      </w:r>
                    </w:p>
                    <w:p w14:paraId="4AD78470" w14:textId="77777777" w:rsidR="00CA6E29" w:rsidRPr="002F77B4" w:rsidRDefault="00CA6E29" w:rsidP="007E49E8">
                      <w:pPr>
                        <w:spacing w:line="276" w:lineRule="auto"/>
                        <w:ind w:left="90"/>
                        <w:rPr>
                          <w:rFonts w:ascii="Palatino" w:hAnsi="Palatino"/>
                          <w:b/>
                          <w:i/>
                          <w:color w:val="156583"/>
                          <w:sz w:val="22"/>
                          <w:szCs w:val="22"/>
                        </w:rPr>
                      </w:pPr>
                    </w:p>
                    <w:p w14:paraId="49008704" w14:textId="77777777" w:rsidR="00A22F1C" w:rsidRDefault="00CA6E29" w:rsidP="00255AA2">
                      <w:pPr>
                        <w:pStyle w:val="IRPseriftextbig"/>
                        <w:tabs>
                          <w:tab w:val="left" w:pos="90"/>
                        </w:tabs>
                        <w:spacing w:line="276" w:lineRule="auto"/>
                        <w:ind w:left="90"/>
                        <w:rPr>
                          <w:i w:val="0"/>
                          <w:color w:val="156583"/>
                          <w:sz w:val="22"/>
                          <w:szCs w:val="22"/>
                        </w:rPr>
                      </w:pPr>
                      <w:r>
                        <w:rPr>
                          <w:i w:val="0"/>
                          <w:color w:val="156583"/>
                          <w:sz w:val="22"/>
                          <w:szCs w:val="22"/>
                        </w:rPr>
                        <w:t xml:space="preserve">“Transport” in the natural </w:t>
                      </w:r>
                    </w:p>
                    <w:p w14:paraId="3448857C"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gas</w:t>
                      </w:r>
                      <w:proofErr w:type="gramEnd"/>
                      <w:r>
                        <w:rPr>
                          <w:i w:val="0"/>
                          <w:color w:val="156583"/>
                          <w:sz w:val="22"/>
                          <w:szCs w:val="22"/>
                        </w:rPr>
                        <w:t xml:space="preserve"> industry has historically referred to customers that acquire their own natural </w:t>
                      </w:r>
                    </w:p>
                    <w:p w14:paraId="5D35C880"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gas</w:t>
                      </w:r>
                      <w:proofErr w:type="gramEnd"/>
                      <w:r>
                        <w:rPr>
                          <w:i w:val="0"/>
                          <w:color w:val="156583"/>
                          <w:sz w:val="22"/>
                          <w:szCs w:val="22"/>
                        </w:rPr>
                        <w:t xml:space="preserve"> from third-party suppliers and rely </w:t>
                      </w:r>
                      <w:r w:rsidR="0097655F">
                        <w:rPr>
                          <w:i w:val="0"/>
                          <w:color w:val="156583"/>
                          <w:sz w:val="22"/>
                          <w:szCs w:val="22"/>
                        </w:rPr>
                        <w:t xml:space="preserve">on </w:t>
                      </w:r>
                      <w:r>
                        <w:rPr>
                          <w:i w:val="0"/>
                          <w:color w:val="156583"/>
                          <w:sz w:val="22"/>
                          <w:szCs w:val="22"/>
                        </w:rPr>
                        <w:t xml:space="preserve">the gas utility for distribution service. It does </w:t>
                      </w:r>
                    </w:p>
                    <w:p w14:paraId="7359CA43"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not</w:t>
                      </w:r>
                      <w:proofErr w:type="gramEnd"/>
                      <w:r>
                        <w:rPr>
                          <w:i w:val="0"/>
                          <w:color w:val="156583"/>
                          <w:sz w:val="22"/>
                          <w:szCs w:val="22"/>
                        </w:rPr>
                        <w:t xml:space="preserve"> refer to natural gas fuel </w:t>
                      </w:r>
                    </w:p>
                    <w:p w14:paraId="56B15E88" w14:textId="77777777" w:rsidR="00CA6E29" w:rsidRPr="002F77B4"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for</w:t>
                      </w:r>
                      <w:proofErr w:type="gramEnd"/>
                      <w:r>
                        <w:rPr>
                          <w:i w:val="0"/>
                          <w:color w:val="156583"/>
                          <w:sz w:val="22"/>
                          <w:szCs w:val="22"/>
                        </w:rPr>
                        <w:t xml:space="preserve"> vehicles.</w:t>
                      </w:r>
                    </w:p>
                    <w:p w14:paraId="6D845A59" w14:textId="77777777" w:rsidR="00CA6E29" w:rsidRDefault="00CA6E29" w:rsidP="007E49E8"/>
                  </w:txbxContent>
                </v:textbox>
                <w10:wrap type="square"/>
              </v:shape>
            </w:pict>
          </mc:Fallback>
        </mc:AlternateContent>
      </w:r>
    </w:p>
    <w:p w14:paraId="7597DFEB" w14:textId="77777777" w:rsidR="005B05E2" w:rsidRPr="00A17256" w:rsidRDefault="005B05E2" w:rsidP="005B05E2">
      <w:pPr>
        <w:pStyle w:val="IRPsanstext"/>
        <w:numPr>
          <w:ilvl w:val="0"/>
          <w:numId w:val="14"/>
        </w:numPr>
      </w:pPr>
      <w:r w:rsidRPr="00A17256">
        <w:t>Electric customer classes include residential, commercial, industrial, streetlights, resale and transport or customers under schedule 449 purchasing their power from other suppliers.</w:t>
      </w:r>
    </w:p>
    <w:p w14:paraId="5E76309B" w14:textId="77777777" w:rsidR="005B05E2" w:rsidRPr="00A17256" w:rsidRDefault="005B05E2" w:rsidP="005B05E2">
      <w:pPr>
        <w:pStyle w:val="IRPsanstext"/>
        <w:numPr>
          <w:ilvl w:val="0"/>
          <w:numId w:val="14"/>
        </w:numPr>
      </w:pPr>
      <w:r w:rsidRPr="00A17256">
        <w:t>Gas customer classes include firm (residential, commercial, industrial, commercial large volume</w:t>
      </w:r>
      <w:r w:rsidR="00462850">
        <w:rPr>
          <w:lang w:val="en-US"/>
        </w:rPr>
        <w:t xml:space="preserve"> and</w:t>
      </w:r>
      <w:r w:rsidRPr="00A17256">
        <w:t xml:space="preserve"> industrial large volume), interruptible (commercial and industrial), and transport (commercial firm, commercial interruptible, industrial firm and industrial interruptible</w:t>
      </w:r>
      <w:r w:rsidRPr="00A17256">
        <w:rPr>
          <w:caps/>
        </w:rPr>
        <w:t>).</w:t>
      </w:r>
    </w:p>
    <w:p w14:paraId="77339C6C" w14:textId="77777777" w:rsidR="005B05E2" w:rsidRPr="00A17256" w:rsidRDefault="005B05E2" w:rsidP="005B05E2">
      <w:pPr>
        <w:pStyle w:val="IRPsanstext"/>
      </w:pPr>
    </w:p>
    <w:p w14:paraId="1204CD94" w14:textId="77777777" w:rsidR="005B05E2" w:rsidRPr="00E444C0" w:rsidRDefault="005B05E2" w:rsidP="005B05E2">
      <w:pPr>
        <w:pStyle w:val="IRPsanstext"/>
      </w:pPr>
      <w:r w:rsidRPr="00E444C0">
        <w:t xml:space="preserve">Regression equations are used to forecast the number of customers by class as well as the use per customer (UPC) by class. These are multiplied together to arrive at the billed sales forecast. The main drivers of these equations include population or households, housing permits, unemployment rates, retail rates, personal income, weather, total employment and manufacturing employment. Weather inputs are based on temperature readings from Sea-Tac Airport. </w:t>
      </w:r>
    </w:p>
    <w:p w14:paraId="5D4F616F" w14:textId="77777777" w:rsidR="005B05E2" w:rsidRPr="00E444C0" w:rsidRDefault="005B05E2" w:rsidP="005B05E2">
      <w:pPr>
        <w:pStyle w:val="IRPsanstext"/>
      </w:pPr>
    </w:p>
    <w:p w14:paraId="4959C1C8" w14:textId="77777777" w:rsidR="005B05E2" w:rsidRPr="00E444C0" w:rsidRDefault="005B05E2" w:rsidP="005B05E2">
      <w:pPr>
        <w:pStyle w:val="IRPsanstext"/>
      </w:pPr>
      <w:r w:rsidRPr="00E444C0">
        <w:t>For detailed technical descriptions of the econometric methodologies used to forecast billed energy sales and customer counts, peak loads for electricity and natural gas, hourly distribution of electric loads and forecast uncertainty, see Appendix E</w:t>
      </w:r>
      <w:r w:rsidR="00A15361">
        <w:t>, Demand Forecasting Models</w:t>
      </w:r>
      <w:r w:rsidRPr="00E444C0">
        <w:t xml:space="preserve">. </w:t>
      </w:r>
    </w:p>
    <w:p w14:paraId="136BE30F" w14:textId="77777777" w:rsidR="00906A0A" w:rsidRPr="005B05E2" w:rsidRDefault="00906A0A" w:rsidP="005B05E2">
      <w:pPr>
        <w:pStyle w:val="IRPFigureSub"/>
      </w:pPr>
      <w:r w:rsidRPr="005B05E2">
        <w:br w:type="page"/>
      </w:r>
    </w:p>
    <w:p w14:paraId="6E7CB0BC" w14:textId="77777777" w:rsidR="001D4E32" w:rsidRPr="00E444C0" w:rsidRDefault="001D4E32" w:rsidP="000811E5">
      <w:pPr>
        <w:pStyle w:val="IRPsanstext"/>
      </w:pPr>
      <w:r w:rsidRPr="000811E5">
        <w:rPr>
          <w:b/>
          <w:color w:val="156570"/>
          <w:sz w:val="28"/>
        </w:rPr>
        <w:lastRenderedPageBreak/>
        <w:t>System-level High and Low Scenarios.</w:t>
      </w:r>
      <w:r w:rsidRPr="00E444C0">
        <w:rPr>
          <w:color w:val="3366FF"/>
          <w:sz w:val="28"/>
        </w:rPr>
        <w:t xml:space="preserve"> </w:t>
      </w:r>
      <w:r w:rsidRPr="00E444C0">
        <w:t>Once the base demand forecast scenario is set, PSE develops high and low growth scenarios by performing 250 stochastic simulations for PSE’s economic and demographic model. These simulations use the standard errors for key regional variables such as population, employment and income. The economic assumptions for the low and high scenarios represent the 5th and 95th percentile of the simulations, respectively. More detailed discussion of the stochastic simulations is presented in Appendix E</w:t>
      </w:r>
      <w:r w:rsidR="005D1EED">
        <w:t>, Demand Forecasting Models</w:t>
      </w:r>
      <w:r w:rsidRPr="00E444C0">
        <w:t>.</w:t>
      </w:r>
    </w:p>
    <w:p w14:paraId="40951F6C" w14:textId="77777777" w:rsidR="001D4E32" w:rsidRPr="00E444C0" w:rsidRDefault="001D4E32" w:rsidP="000811E5">
      <w:pPr>
        <w:pStyle w:val="IRPsanstext"/>
        <w:rPr>
          <w:highlight w:val="cyan"/>
        </w:rPr>
      </w:pPr>
    </w:p>
    <w:p w14:paraId="33E34747" w14:textId="77777777" w:rsidR="001D4E32" w:rsidRDefault="001D4E32" w:rsidP="000811E5">
      <w:pPr>
        <w:pStyle w:val="IRPsanstext"/>
        <w:spacing w:before="120"/>
        <w:rPr>
          <w:rFonts w:cs="Arial"/>
          <w:sz w:val="32"/>
          <w:szCs w:val="32"/>
        </w:rPr>
      </w:pPr>
      <w:r w:rsidRPr="00B6617A">
        <w:rPr>
          <w:rFonts w:cs="Arial"/>
          <w:sz w:val="32"/>
          <w:szCs w:val="32"/>
        </w:rPr>
        <w:t>County</w:t>
      </w:r>
      <w:r>
        <w:rPr>
          <w:rFonts w:cs="Arial"/>
          <w:sz w:val="32"/>
          <w:szCs w:val="32"/>
        </w:rPr>
        <w:t>-level Methodology</w:t>
      </w:r>
    </w:p>
    <w:p w14:paraId="31324EDA" w14:textId="77777777" w:rsidR="001D4E32" w:rsidRPr="006F50F1" w:rsidRDefault="001D4E32" w:rsidP="000811E5">
      <w:pPr>
        <w:pStyle w:val="IRPsanstext"/>
        <w:rPr>
          <w:rFonts w:cs="Arial"/>
        </w:rPr>
      </w:pPr>
    </w:p>
    <w:p w14:paraId="7207D5C9" w14:textId="77777777" w:rsidR="001D4E32" w:rsidRDefault="001D4E32" w:rsidP="000811E5">
      <w:pPr>
        <w:pStyle w:val="IRPsanstext"/>
        <w:rPr>
          <w:rFonts w:cs="Arial"/>
        </w:rPr>
      </w:pPr>
      <w:r>
        <w:rPr>
          <w:rFonts w:cs="Arial"/>
        </w:rPr>
        <w:t>T</w:t>
      </w:r>
      <w:r w:rsidRPr="00B6617A">
        <w:rPr>
          <w:rFonts w:cs="Arial"/>
        </w:rPr>
        <w:t xml:space="preserve">he same regional economic and demographic inputs </w:t>
      </w:r>
      <w:r>
        <w:rPr>
          <w:rFonts w:cs="Arial"/>
        </w:rPr>
        <w:t xml:space="preserve">are used for the electric county-level load forecast models </w:t>
      </w:r>
      <w:r w:rsidRPr="00B6617A">
        <w:rPr>
          <w:rFonts w:cs="Arial"/>
        </w:rPr>
        <w:t>as the system</w:t>
      </w:r>
      <w:r>
        <w:rPr>
          <w:rFonts w:cs="Arial"/>
        </w:rPr>
        <w:t>-level</w:t>
      </w:r>
      <w:r w:rsidRPr="00B6617A">
        <w:rPr>
          <w:rFonts w:cs="Arial"/>
        </w:rPr>
        <w:t xml:space="preserve"> model</w:t>
      </w:r>
      <w:r>
        <w:rPr>
          <w:rFonts w:cs="Arial"/>
        </w:rPr>
        <w:t xml:space="preserve">; these are disaggregated into the different counties to ensure consistency with the system-level inputs. </w:t>
      </w:r>
    </w:p>
    <w:p w14:paraId="31A182FF" w14:textId="77777777" w:rsidR="001D4E32" w:rsidRDefault="001D4E32" w:rsidP="000811E5">
      <w:pPr>
        <w:pStyle w:val="IRPsanstext"/>
        <w:rPr>
          <w:rFonts w:cs="Arial"/>
        </w:rPr>
      </w:pPr>
    </w:p>
    <w:p w14:paraId="1C2B3799" w14:textId="77777777" w:rsidR="001D4E32" w:rsidRDefault="001D4E32" w:rsidP="000811E5">
      <w:pPr>
        <w:pStyle w:val="IRPsanstext"/>
        <w:rPr>
          <w:rFonts w:cs="Arial"/>
        </w:rPr>
      </w:pPr>
      <w:r>
        <w:rPr>
          <w:rFonts w:cs="Arial"/>
        </w:rPr>
        <w:t xml:space="preserve">As in the </w:t>
      </w:r>
      <w:r w:rsidRPr="00B6617A">
        <w:rPr>
          <w:rFonts w:cs="Arial"/>
        </w:rPr>
        <w:t>system</w:t>
      </w:r>
      <w:r>
        <w:rPr>
          <w:rFonts w:cs="Arial"/>
        </w:rPr>
        <w:t>-</w:t>
      </w:r>
      <w:r w:rsidRPr="00B6617A">
        <w:rPr>
          <w:rFonts w:cs="Arial"/>
        </w:rPr>
        <w:t>level</w:t>
      </w:r>
      <w:r>
        <w:rPr>
          <w:rFonts w:cs="Arial"/>
        </w:rPr>
        <w:t xml:space="preserve"> approach, the customer count forecast for each class within each county is modeled as an econometric equation. However, the use per customer equation</w:t>
      </w:r>
      <w:r w:rsidRPr="00B6617A">
        <w:rPr>
          <w:rFonts w:cs="Arial"/>
        </w:rPr>
        <w:t xml:space="preserve"> </w:t>
      </w:r>
      <w:r>
        <w:rPr>
          <w:rFonts w:cs="Arial"/>
        </w:rPr>
        <w:t xml:space="preserve">for each class is scaled to the county level using actual weather-normalized use per customer by county. </w:t>
      </w:r>
    </w:p>
    <w:p w14:paraId="41009C95" w14:textId="77777777" w:rsidR="001D4E32" w:rsidRDefault="001D4E32" w:rsidP="000811E5">
      <w:pPr>
        <w:pStyle w:val="IRPsanstext"/>
        <w:rPr>
          <w:rFonts w:cs="Arial"/>
        </w:rPr>
      </w:pPr>
    </w:p>
    <w:p w14:paraId="4F83DC37" w14:textId="77777777" w:rsidR="001D4E32" w:rsidRDefault="001D4E32" w:rsidP="000811E5">
      <w:pPr>
        <w:pStyle w:val="IRPsanstext"/>
        <w:rPr>
          <w:rFonts w:cs="Arial"/>
        </w:rPr>
      </w:pPr>
      <w:r>
        <w:rPr>
          <w:rFonts w:cs="Arial"/>
        </w:rPr>
        <w:t>Electric peak loads by county were forecast using an approach similar to the system-level approach, given system coincident actual peaks at the county level using substation data.</w:t>
      </w:r>
      <w:r w:rsidRPr="00B6617A">
        <w:rPr>
          <w:rFonts w:cs="Arial"/>
        </w:rPr>
        <w:t xml:space="preserve"> The individual county forecasts </w:t>
      </w:r>
      <w:r>
        <w:rPr>
          <w:rFonts w:cs="Arial"/>
        </w:rPr>
        <w:t>were</w:t>
      </w:r>
      <w:r w:rsidRPr="00B6617A">
        <w:rPr>
          <w:rFonts w:cs="Arial"/>
        </w:rPr>
        <w:t xml:space="preserve"> then </w:t>
      </w:r>
      <w:r>
        <w:rPr>
          <w:rFonts w:cs="Arial"/>
        </w:rPr>
        <w:t>subject to adding up restrictions</w:t>
      </w:r>
      <w:r w:rsidRPr="00B6617A">
        <w:rPr>
          <w:rFonts w:cs="Arial"/>
        </w:rPr>
        <w:t xml:space="preserve"> so </w:t>
      </w:r>
      <w:r>
        <w:rPr>
          <w:rFonts w:cs="Arial"/>
        </w:rPr>
        <w:t xml:space="preserve">the sum of the county forecasts equals the system-level forecast. </w:t>
      </w:r>
    </w:p>
    <w:p w14:paraId="10A40CE4" w14:textId="77777777" w:rsidR="001D4E32" w:rsidRDefault="001D4E32" w:rsidP="000811E5">
      <w:pPr>
        <w:pStyle w:val="IRPsanstext"/>
        <w:rPr>
          <w:rFonts w:cs="Arial"/>
        </w:rPr>
      </w:pPr>
    </w:p>
    <w:p w14:paraId="008F3151" w14:textId="77777777" w:rsidR="001D4E32" w:rsidRPr="00B6617A" w:rsidRDefault="001D4E32" w:rsidP="000811E5">
      <w:pPr>
        <w:pStyle w:val="IRPsanstext"/>
        <w:rPr>
          <w:rFonts w:cs="Arial"/>
        </w:rPr>
      </w:pPr>
      <w:r>
        <w:rPr>
          <w:rFonts w:cs="Arial"/>
        </w:rPr>
        <w:t xml:space="preserve">PSE did not produce a peak gas forecast at the county level because of the dearth of actual gas peak day data by county. </w:t>
      </w:r>
    </w:p>
    <w:p w14:paraId="1063A388" w14:textId="77777777" w:rsidR="000811E5" w:rsidRDefault="000811E5">
      <w:pPr>
        <w:rPr>
          <w:rFonts w:ascii="Arial" w:hAnsi="Arial" w:cs="Arial"/>
          <w:sz w:val="20"/>
          <w:szCs w:val="20"/>
        </w:rPr>
      </w:pPr>
      <w:r>
        <w:rPr>
          <w:rFonts w:cs="Arial"/>
        </w:rPr>
        <w:br w:type="page"/>
      </w:r>
    </w:p>
    <w:p w14:paraId="690AC24A" w14:textId="77777777" w:rsidR="001D4E32" w:rsidRPr="0046643C" w:rsidRDefault="001D4E32" w:rsidP="000811E5">
      <w:pPr>
        <w:pStyle w:val="IRPsanstext"/>
        <w:rPr>
          <w:rFonts w:cs="Arial"/>
          <w:sz w:val="32"/>
          <w:szCs w:val="32"/>
        </w:rPr>
      </w:pPr>
      <w:r w:rsidRPr="0046643C">
        <w:rPr>
          <w:rFonts w:cs="Arial"/>
          <w:sz w:val="32"/>
          <w:szCs w:val="32"/>
        </w:rPr>
        <w:lastRenderedPageBreak/>
        <w:t>Eastside Area</w:t>
      </w:r>
      <w:r>
        <w:rPr>
          <w:rFonts w:cs="Arial"/>
          <w:sz w:val="32"/>
          <w:szCs w:val="32"/>
        </w:rPr>
        <w:t xml:space="preserve"> Methodology</w:t>
      </w:r>
    </w:p>
    <w:p w14:paraId="5CCC9235" w14:textId="77777777" w:rsidR="001D4E32" w:rsidRPr="0046643C" w:rsidRDefault="001D4E32" w:rsidP="000811E5">
      <w:pPr>
        <w:pStyle w:val="IRPsanstext"/>
        <w:rPr>
          <w:rFonts w:cs="Arial"/>
        </w:rPr>
      </w:pPr>
    </w:p>
    <w:p w14:paraId="2F11E8BA" w14:textId="77777777" w:rsidR="001D4E32" w:rsidRDefault="001D4E32" w:rsidP="000811E5">
      <w:pPr>
        <w:pStyle w:val="IRPsanstext"/>
        <w:rPr>
          <w:rFonts w:cs="Arial"/>
        </w:rPr>
      </w:pPr>
      <w:r>
        <w:rPr>
          <w:rFonts w:cs="Arial"/>
        </w:rPr>
        <w:t>Because data required for PSE’s economic and demographic models is not available on a sub-county level, different data sources were used for the Eastside Area. This information was broken out by census tract and/or collected directly from PSE’s billing system and substations that serve the area. Sources included the following:</w:t>
      </w:r>
    </w:p>
    <w:p w14:paraId="5D19E981" w14:textId="77777777" w:rsidR="001D4E32" w:rsidRDefault="001D4E32" w:rsidP="000811E5">
      <w:pPr>
        <w:pStyle w:val="IRPsanstext"/>
        <w:rPr>
          <w:rFonts w:cs="Arial"/>
        </w:rPr>
      </w:pPr>
    </w:p>
    <w:p w14:paraId="461FF412" w14:textId="77777777" w:rsidR="001D4E32" w:rsidRDefault="001D4E32" w:rsidP="000811E5">
      <w:pPr>
        <w:pStyle w:val="IRPsanstext"/>
        <w:numPr>
          <w:ilvl w:val="0"/>
          <w:numId w:val="16"/>
        </w:numPr>
        <w:rPr>
          <w:rFonts w:cs="Arial"/>
        </w:rPr>
      </w:pPr>
      <w:r>
        <w:rPr>
          <w:rFonts w:cs="Arial"/>
        </w:rPr>
        <w:t>Historical data and employment forecasts from the PSRC, by census tract,</w:t>
      </w:r>
    </w:p>
    <w:p w14:paraId="52E33A31" w14:textId="77777777" w:rsidR="001D4E32" w:rsidRDefault="001D4E32" w:rsidP="000811E5">
      <w:pPr>
        <w:pStyle w:val="IRPsanstext"/>
        <w:numPr>
          <w:ilvl w:val="0"/>
          <w:numId w:val="16"/>
        </w:numPr>
        <w:rPr>
          <w:rFonts w:cs="Arial"/>
        </w:rPr>
      </w:pPr>
      <w:r>
        <w:rPr>
          <w:rFonts w:cs="Arial"/>
        </w:rPr>
        <w:t xml:space="preserve">Historical population data from the Washington State Office of Financial Management (WA OFM) and population growth forecasts from PSRC, also by census tract,  </w:t>
      </w:r>
    </w:p>
    <w:p w14:paraId="723C59F7" w14:textId="77777777" w:rsidR="001D4E32" w:rsidRDefault="001D4E32" w:rsidP="000811E5">
      <w:pPr>
        <w:pStyle w:val="IRPsanstext"/>
        <w:numPr>
          <w:ilvl w:val="0"/>
          <w:numId w:val="16"/>
        </w:numPr>
        <w:rPr>
          <w:rFonts w:cs="Arial"/>
        </w:rPr>
      </w:pPr>
      <w:r>
        <w:rPr>
          <w:rFonts w:cs="Arial"/>
        </w:rPr>
        <w:t>Actual customer counts and billed sales by customer class collected from PSE’s billing system, and</w:t>
      </w:r>
    </w:p>
    <w:p w14:paraId="105455B7" w14:textId="77777777" w:rsidR="001D4E32" w:rsidRDefault="001D4E32" w:rsidP="000811E5">
      <w:pPr>
        <w:pStyle w:val="IRPsanstext"/>
        <w:numPr>
          <w:ilvl w:val="0"/>
          <w:numId w:val="16"/>
        </w:numPr>
        <w:rPr>
          <w:rFonts w:cs="Arial"/>
        </w:rPr>
      </w:pPr>
      <w:r>
        <w:rPr>
          <w:rFonts w:cs="Arial"/>
        </w:rPr>
        <w:t>System coincident peaks collected from the substations serving this area.</w:t>
      </w:r>
    </w:p>
    <w:p w14:paraId="0E69000F" w14:textId="77777777" w:rsidR="000811E5" w:rsidRDefault="000811E5">
      <w:pPr>
        <w:rPr>
          <w:rFonts w:ascii="Arial" w:hAnsi="Arial" w:cs="Arial"/>
          <w:sz w:val="32"/>
          <w:szCs w:val="32"/>
        </w:rPr>
      </w:pPr>
      <w:r>
        <w:rPr>
          <w:rFonts w:cs="Arial"/>
          <w:sz w:val="32"/>
          <w:szCs w:val="32"/>
        </w:rPr>
        <w:br w:type="page"/>
      </w:r>
    </w:p>
    <w:p w14:paraId="0079378E" w14:textId="77777777" w:rsidR="000811E5" w:rsidRPr="0097006D" w:rsidRDefault="000811E5" w:rsidP="000811E5">
      <w:pPr>
        <w:pStyle w:val="IRPsecthead2sans"/>
      </w:pPr>
      <w:r w:rsidRPr="0097006D">
        <w:lastRenderedPageBreak/>
        <w:t xml:space="preserve">KEY ASSUMPTIONS </w:t>
      </w:r>
    </w:p>
    <w:p w14:paraId="4554E607" w14:textId="77777777" w:rsidR="000811E5" w:rsidRDefault="000811E5" w:rsidP="000811E5">
      <w:pPr>
        <w:pStyle w:val="IRPsanstext"/>
        <w:rPr>
          <w:highlight w:val="cyan"/>
        </w:rPr>
      </w:pPr>
    </w:p>
    <w:p w14:paraId="65097129" w14:textId="77777777" w:rsidR="000811E5" w:rsidRPr="00E40891" w:rsidRDefault="000811E5" w:rsidP="000811E5">
      <w:pPr>
        <w:pStyle w:val="IRPsanstext"/>
      </w:pPr>
      <w:r w:rsidRPr="00E40891">
        <w:t xml:space="preserve">To develop PSE’s demand forecasts, assumptions </w:t>
      </w:r>
      <w:r>
        <w:t xml:space="preserve">must be made </w:t>
      </w:r>
      <w:r w:rsidRPr="00E40891">
        <w:t>about economic</w:t>
      </w:r>
      <w:r>
        <w:t xml:space="preserve"> growth, energy prices, weather</w:t>
      </w:r>
      <w:r w:rsidRPr="00E40891">
        <w:t xml:space="preserve"> and loss factors</w:t>
      </w:r>
      <w:r>
        <w:t>,</w:t>
      </w:r>
      <w:r w:rsidRPr="00E40891">
        <w:t xml:space="preserve"> including cer</w:t>
      </w:r>
      <w:r>
        <w:t>tain system-specific conditions</w:t>
      </w:r>
      <w:r w:rsidRPr="00E40891">
        <w:t xml:space="preserve">. These and other assumptions are described below.  </w:t>
      </w:r>
    </w:p>
    <w:p w14:paraId="3647164D" w14:textId="77777777" w:rsidR="000811E5" w:rsidRPr="00163294" w:rsidRDefault="000811E5" w:rsidP="000811E5">
      <w:pPr>
        <w:pStyle w:val="IRPsanstext"/>
      </w:pPr>
    </w:p>
    <w:p w14:paraId="602F4ABB" w14:textId="77777777" w:rsidR="000811E5" w:rsidRPr="00114168" w:rsidRDefault="000811E5" w:rsidP="000811E5">
      <w:pPr>
        <w:pStyle w:val="IRPsecthead1serif"/>
      </w:pPr>
      <w:r>
        <w:t>Economic G</w:t>
      </w:r>
      <w:r w:rsidRPr="00114168">
        <w:t xml:space="preserve">rowth </w:t>
      </w:r>
    </w:p>
    <w:p w14:paraId="1152E212" w14:textId="77777777" w:rsidR="000811E5" w:rsidRPr="00114168" w:rsidRDefault="000811E5" w:rsidP="000811E5">
      <w:pPr>
        <w:pStyle w:val="IRPsanstext"/>
      </w:pPr>
    </w:p>
    <w:p w14:paraId="33B782DD" w14:textId="77777777" w:rsidR="000811E5" w:rsidRDefault="000811E5" w:rsidP="000811E5">
      <w:pPr>
        <w:pStyle w:val="IRPsanstext"/>
      </w:pPr>
      <w:r>
        <w:t xml:space="preserve">Economic activity has a significant effect on energy demand. Overall, recovery from the effects of the latest recession has been slower than expected. As a result, both the nation and the region are experiencing slower population growth, slower GDP growth and slower employment growth than forecast when the 2013 IRP was prepared. In PSE’s service territory, economic growth is uneven. King County, and in particular the Eastside Area, is growing much faster than the rest of the electric service territory. Both building permits and employment growth in that area far exceed other parts of the service territory. </w:t>
      </w:r>
    </w:p>
    <w:p w14:paraId="22242636" w14:textId="77777777" w:rsidR="000811E5" w:rsidRDefault="000811E5" w:rsidP="000811E5">
      <w:pPr>
        <w:pStyle w:val="IRPsanstext"/>
      </w:pPr>
    </w:p>
    <w:p w14:paraId="5FDABBDC" w14:textId="77777777" w:rsidR="000811E5" w:rsidRDefault="000811E5" w:rsidP="000811E5">
      <w:pPr>
        <w:pStyle w:val="IRPsanstext"/>
      </w:pPr>
      <w:r w:rsidRPr="000811E5">
        <w:rPr>
          <w:b/>
          <w:color w:val="156570"/>
          <w:sz w:val="28"/>
        </w:rPr>
        <w:t>National Economic Outlook.</w:t>
      </w:r>
      <w:r w:rsidRPr="00114168">
        <w:rPr>
          <w:color w:val="156570"/>
        </w:rPr>
        <w:t xml:space="preserve"> </w:t>
      </w:r>
      <w:r w:rsidRPr="000D4615">
        <w:t>Because the Puget Sound region is a major commercial and manufacturing center with strong links to the national econo</w:t>
      </w:r>
      <w:r>
        <w:t>my, PSE’s system-level forecast</w:t>
      </w:r>
      <w:r w:rsidRPr="000D4615">
        <w:t xml:space="preserve"> begins with assumptions about what is happening in the broader U.S. economy. We rely on Moody’s Analytics U.S. Macroeconomic Forecast, a long-term forecast of the U.S. economy, for both economic and population growth rates. The June 2014 forecast was used for this IRP.</w:t>
      </w:r>
      <w:r>
        <w:t xml:space="preserve"> </w:t>
      </w:r>
    </w:p>
    <w:p w14:paraId="6565C362" w14:textId="77777777" w:rsidR="000811E5" w:rsidRDefault="000811E5" w:rsidP="000811E5">
      <w:pPr>
        <w:pStyle w:val="IRPsanstext"/>
      </w:pPr>
    </w:p>
    <w:p w14:paraId="0C0565FD" w14:textId="77777777" w:rsidR="000811E5" w:rsidRDefault="000811E5" w:rsidP="000811E5">
      <w:pPr>
        <w:pStyle w:val="IRPsanstext"/>
      </w:pPr>
      <w:r>
        <w:t>Moody’s forecast calls for:</w:t>
      </w:r>
    </w:p>
    <w:p w14:paraId="46265727" w14:textId="77777777" w:rsidR="000811E5" w:rsidRPr="000D4615" w:rsidRDefault="000811E5" w:rsidP="000811E5">
      <w:pPr>
        <w:pStyle w:val="IRPsanstext"/>
      </w:pPr>
    </w:p>
    <w:p w14:paraId="47EA4E81" w14:textId="77777777" w:rsidR="000811E5" w:rsidRPr="000D4615" w:rsidRDefault="000811E5" w:rsidP="00A47CC2">
      <w:pPr>
        <w:pStyle w:val="IRPsanstext"/>
        <w:numPr>
          <w:ilvl w:val="0"/>
          <w:numId w:val="30"/>
        </w:numPr>
      </w:pPr>
      <w:r w:rsidRPr="000D4615">
        <w:t xml:space="preserve">U.S. GDP </w:t>
      </w:r>
      <w:r>
        <w:t>growth to reach nearly 4 percent in 2015,</w:t>
      </w:r>
      <w:r w:rsidRPr="000D4615">
        <w:t xml:space="preserve"> a year slower than the Moody’s forecast used in the 2013 IRP. </w:t>
      </w:r>
    </w:p>
    <w:p w14:paraId="02D294D1" w14:textId="77777777" w:rsidR="000811E5" w:rsidRDefault="000811E5" w:rsidP="00A47CC2">
      <w:pPr>
        <w:pStyle w:val="IRPsanstext"/>
        <w:numPr>
          <w:ilvl w:val="0"/>
          <w:numId w:val="30"/>
        </w:numPr>
      </w:pPr>
      <w:r>
        <w:t>Average</w:t>
      </w:r>
      <w:r w:rsidRPr="000D4615">
        <w:t xml:space="preserve"> population growth </w:t>
      </w:r>
      <w:r>
        <w:t xml:space="preserve">of 0.78 percent per year for 2014-2033, down </w:t>
      </w:r>
      <w:r w:rsidRPr="000D4615">
        <w:t>from 0.9</w:t>
      </w:r>
      <w:r>
        <w:t>2 percent</w:t>
      </w:r>
      <w:r w:rsidRPr="000D4615">
        <w:t xml:space="preserve"> </w:t>
      </w:r>
      <w:r>
        <w:t xml:space="preserve">forecast in </w:t>
      </w:r>
      <w:r w:rsidRPr="001D53CE">
        <w:t>the 2013 IRP</w:t>
      </w:r>
      <w:r>
        <w:t xml:space="preserve"> (2014-2033)</w:t>
      </w:r>
      <w:r w:rsidRPr="000D4615">
        <w:t xml:space="preserve">. </w:t>
      </w:r>
    </w:p>
    <w:p w14:paraId="63A3C341" w14:textId="77777777" w:rsidR="000811E5" w:rsidRPr="00105EC4" w:rsidRDefault="000811E5" w:rsidP="000811E5">
      <w:pPr>
        <w:pStyle w:val="IRPsanstext"/>
      </w:pPr>
    </w:p>
    <w:p w14:paraId="1C8690B3" w14:textId="77777777" w:rsidR="000811E5" w:rsidRDefault="000811E5" w:rsidP="000811E5">
      <w:pPr>
        <w:pStyle w:val="IRPsanstext"/>
      </w:pPr>
      <w:r w:rsidRPr="000D4615">
        <w:t xml:space="preserve">Slower population growth is attributed to lower </w:t>
      </w:r>
      <w:r w:rsidRPr="001D53CE">
        <w:t xml:space="preserve">birth rates </w:t>
      </w:r>
      <w:r w:rsidRPr="000D4615">
        <w:t xml:space="preserve">and lower international migration. </w:t>
      </w:r>
    </w:p>
    <w:p w14:paraId="7169E5B6" w14:textId="77777777" w:rsidR="000811E5" w:rsidRPr="000D4615" w:rsidRDefault="000811E5" w:rsidP="000811E5">
      <w:pPr>
        <w:pStyle w:val="IRPsanstext"/>
      </w:pPr>
    </w:p>
    <w:p w14:paraId="069E6A49" w14:textId="77777777" w:rsidR="000811E5" w:rsidRPr="00163294" w:rsidRDefault="000811E5" w:rsidP="000811E5">
      <w:pPr>
        <w:pStyle w:val="IRPsanstext"/>
      </w:pPr>
      <w:r>
        <w:t>Economic growth could slow further</w:t>
      </w:r>
      <w:r w:rsidRPr="00163294">
        <w:t xml:space="preserve"> if the Federal Reserve becomes aggressive in its interest rate setting</w:t>
      </w:r>
      <w:r>
        <w:t>;</w:t>
      </w:r>
      <w:r w:rsidRPr="00163294">
        <w:t xml:space="preserve"> if Europe’s economic problems continue to persist</w:t>
      </w:r>
      <w:r>
        <w:t>,</w:t>
      </w:r>
      <w:r w:rsidRPr="00163294">
        <w:t xml:space="preserve"> especially </w:t>
      </w:r>
      <w:r>
        <w:t>combined with the Russia</w:t>
      </w:r>
      <w:r w:rsidRPr="00163294">
        <w:t>-Ukraine conflict</w:t>
      </w:r>
      <w:r>
        <w:t>;</w:t>
      </w:r>
      <w:r w:rsidRPr="00163294">
        <w:t xml:space="preserve"> and if China</w:t>
      </w:r>
      <w:r>
        <w:t>’s economy experiences a slowdown amid</w:t>
      </w:r>
      <w:r w:rsidRPr="00163294">
        <w:t xml:space="preserve"> increasing tensions with its neighbors. </w:t>
      </w:r>
      <w:r>
        <w:t>However, many believe</w:t>
      </w:r>
      <w:r w:rsidRPr="00163294">
        <w:t xml:space="preserve"> that the U</w:t>
      </w:r>
      <w:r>
        <w:t>.</w:t>
      </w:r>
      <w:r w:rsidRPr="00163294">
        <w:t>S</w:t>
      </w:r>
      <w:r>
        <w:t>.</w:t>
      </w:r>
      <w:r w:rsidRPr="00163294">
        <w:t xml:space="preserve"> economy will be able to withstand these threats and continue </w:t>
      </w:r>
      <w:r>
        <w:t>to</w:t>
      </w:r>
      <w:r w:rsidRPr="00163294">
        <w:t xml:space="preserve"> recover</w:t>
      </w:r>
      <w:r>
        <w:t xml:space="preserve"> from the recent recession</w:t>
      </w:r>
      <w:r w:rsidRPr="00163294">
        <w:t>.</w:t>
      </w:r>
    </w:p>
    <w:p w14:paraId="06602D0B" w14:textId="77777777" w:rsidR="000811E5" w:rsidRDefault="000811E5">
      <w:pPr>
        <w:rPr>
          <w:rFonts w:ascii="Arial" w:hAnsi="Arial"/>
          <w:sz w:val="20"/>
          <w:szCs w:val="20"/>
        </w:rPr>
      </w:pPr>
      <w:r>
        <w:br w:type="page"/>
      </w:r>
    </w:p>
    <w:p w14:paraId="257B86D0" w14:textId="77777777" w:rsidR="000811E5" w:rsidRPr="000D4615" w:rsidRDefault="000811E5" w:rsidP="000811E5">
      <w:pPr>
        <w:pStyle w:val="IRPsanstext"/>
      </w:pPr>
      <w:r w:rsidRPr="000811E5">
        <w:rPr>
          <w:b/>
          <w:color w:val="156570"/>
          <w:sz w:val="28"/>
          <w:szCs w:val="28"/>
        </w:rPr>
        <w:lastRenderedPageBreak/>
        <w:t>Regional Economic Outlook.</w:t>
      </w:r>
      <w:r w:rsidRPr="00B32F6D">
        <w:rPr>
          <w:color w:val="156570"/>
        </w:rPr>
        <w:t xml:space="preserve"> </w:t>
      </w:r>
      <w:r w:rsidRPr="000811E5">
        <w:t>PSE prepares regional economic and demographic forecasts using econometric models whose primary input is a macroeconomic forecast of the United States plus historical economic data for the counties in PSE’s service area.</w:t>
      </w:r>
      <w:r w:rsidRPr="000D4615">
        <w:t xml:space="preserve"> </w:t>
      </w:r>
    </w:p>
    <w:p w14:paraId="0EEFA4A5" w14:textId="77777777" w:rsidR="000811E5" w:rsidRDefault="000811E5" w:rsidP="000811E5">
      <w:pPr>
        <w:pStyle w:val="IRPsanstext"/>
      </w:pPr>
    </w:p>
    <w:p w14:paraId="1A8C0192" w14:textId="77777777" w:rsidR="000811E5" w:rsidRPr="000811E5" w:rsidRDefault="000811E5" w:rsidP="000811E5">
      <w:pPr>
        <w:pStyle w:val="IRPsanstext"/>
      </w:pPr>
      <w:r w:rsidRPr="000811E5">
        <w:rPr>
          <w:b/>
          <w:color w:val="156570"/>
          <w:sz w:val="28"/>
          <w:szCs w:val="28"/>
        </w:rPr>
        <w:t>Electric Base Demand Scenario Outlook.</w:t>
      </w:r>
      <w:r>
        <w:t xml:space="preserve"> </w:t>
      </w:r>
      <w:r w:rsidRPr="000811E5">
        <w:t xml:space="preserve">The following assumptions are modeled in the 2015 IRP Base Electric Demand Forecast scenario. </w:t>
      </w:r>
    </w:p>
    <w:p w14:paraId="0824F74A" w14:textId="77777777" w:rsidR="000811E5" w:rsidRDefault="000811E5" w:rsidP="000811E5">
      <w:pPr>
        <w:pStyle w:val="IRPsanstext"/>
      </w:pPr>
    </w:p>
    <w:p w14:paraId="0D2F7CAC" w14:textId="77777777" w:rsidR="000811E5" w:rsidRPr="00CE1B72" w:rsidRDefault="000811E5" w:rsidP="00A47CC2">
      <w:pPr>
        <w:pStyle w:val="IRPsanstext"/>
        <w:numPr>
          <w:ilvl w:val="0"/>
          <w:numId w:val="31"/>
        </w:numPr>
      </w:pPr>
      <w:r>
        <w:t>E</w:t>
      </w:r>
      <w:r w:rsidRPr="00B32F6D">
        <w:t xml:space="preserve">mployment is expected to grow at </w:t>
      </w:r>
      <w:r w:rsidRPr="00BE1C8A">
        <w:t xml:space="preserve">an </w:t>
      </w:r>
      <w:r>
        <w:t xml:space="preserve">average </w:t>
      </w:r>
      <w:r w:rsidRPr="00BE1C8A">
        <w:t xml:space="preserve">annual rate </w:t>
      </w:r>
      <w:r>
        <w:t xml:space="preserve">(aarg) </w:t>
      </w:r>
      <w:r w:rsidRPr="00BE1C8A">
        <w:t xml:space="preserve">of </w:t>
      </w:r>
      <w:r w:rsidRPr="00DA041F">
        <w:t>0.</w:t>
      </w:r>
      <w:r>
        <w:t>7</w:t>
      </w:r>
      <w:r w:rsidRPr="00EE3130">
        <w:t xml:space="preserve"> percent</w:t>
      </w:r>
      <w:r w:rsidRPr="00BE1C8A">
        <w:t xml:space="preserve"> </w:t>
      </w:r>
      <w:r>
        <w:t>between 2016 and 2035</w:t>
      </w:r>
      <w:r w:rsidRPr="00B32F6D">
        <w:t xml:space="preserve">, </w:t>
      </w:r>
      <w:r w:rsidRPr="00134BD2">
        <w:t xml:space="preserve">compared to the </w:t>
      </w:r>
      <w:r>
        <w:t xml:space="preserve">forecasted annual growth rate in the 2013 IRP of </w:t>
      </w:r>
      <w:r w:rsidRPr="00134BD2">
        <w:t xml:space="preserve"> </w:t>
      </w:r>
      <w:r w:rsidRPr="001A05F7">
        <w:t xml:space="preserve">1.4 percent. </w:t>
      </w:r>
    </w:p>
    <w:p w14:paraId="71CE7B18" w14:textId="77777777" w:rsidR="000811E5" w:rsidRDefault="000811E5" w:rsidP="00A47CC2">
      <w:pPr>
        <w:pStyle w:val="IRPsanstext"/>
        <w:numPr>
          <w:ilvl w:val="0"/>
          <w:numId w:val="31"/>
        </w:numPr>
      </w:pPr>
      <w:r w:rsidRPr="00AE3F3D">
        <w:t xml:space="preserve">Manufacturing employment is expected to decline </w:t>
      </w:r>
      <w:r w:rsidRPr="00CD46F9">
        <w:t>annually by 0.</w:t>
      </w:r>
      <w:r w:rsidRPr="00DA041F">
        <w:t xml:space="preserve">4 </w:t>
      </w:r>
      <w:r w:rsidRPr="00CD46F9">
        <w:t>percent</w:t>
      </w:r>
      <w:r w:rsidRPr="00AE3F3D">
        <w:t xml:space="preserve"> </w:t>
      </w:r>
      <w:r>
        <w:t xml:space="preserve">on average </w:t>
      </w:r>
      <w:r w:rsidRPr="00AE3F3D">
        <w:t>between 201</w:t>
      </w:r>
      <w:r>
        <w:t>6</w:t>
      </w:r>
      <w:r w:rsidRPr="00AE3F3D">
        <w:t xml:space="preserve"> and 203</w:t>
      </w:r>
      <w:r>
        <w:t xml:space="preserve">5, continuing a long trend, </w:t>
      </w:r>
      <w:r w:rsidRPr="00AE3F3D">
        <w:t xml:space="preserve">due to </w:t>
      </w:r>
      <w:r>
        <w:t xml:space="preserve">capital investments that create </w:t>
      </w:r>
      <w:r w:rsidRPr="00AE3F3D">
        <w:t>inc</w:t>
      </w:r>
      <w:r>
        <w:t>reases in productivity</w:t>
      </w:r>
      <w:r w:rsidRPr="00AE3F3D">
        <w:t>.</w:t>
      </w:r>
      <w:r>
        <w:t xml:space="preserve"> </w:t>
      </w:r>
    </w:p>
    <w:p w14:paraId="195532CB" w14:textId="77777777" w:rsidR="000811E5" w:rsidRDefault="000811E5" w:rsidP="00A47CC2">
      <w:pPr>
        <w:pStyle w:val="IRPsanstext"/>
        <w:numPr>
          <w:ilvl w:val="0"/>
          <w:numId w:val="31"/>
        </w:numPr>
      </w:pPr>
      <w:r>
        <w:t>L</w:t>
      </w:r>
      <w:r w:rsidRPr="00A30375">
        <w:t xml:space="preserve">ocal employers </w:t>
      </w:r>
      <w:r>
        <w:t xml:space="preserve">are expected to </w:t>
      </w:r>
      <w:r w:rsidRPr="00A30375">
        <w:t xml:space="preserve">create </w:t>
      </w:r>
      <w:r w:rsidRPr="00CD46F9">
        <w:t>about 297,000 jobs</w:t>
      </w:r>
      <w:r w:rsidRPr="00A30375">
        <w:t xml:space="preserve"> between 201</w:t>
      </w:r>
      <w:r>
        <w:t>6</w:t>
      </w:r>
      <w:r w:rsidRPr="00A30375">
        <w:t xml:space="preserve"> and 203</w:t>
      </w:r>
      <w:r>
        <w:t>5 as compared to more than 596,000 jobs in the 2013 IRP (2012 to 2033).</w:t>
      </w:r>
    </w:p>
    <w:p w14:paraId="748A5EF3" w14:textId="77777777" w:rsidR="000811E5" w:rsidRDefault="000811E5" w:rsidP="00A47CC2">
      <w:pPr>
        <w:pStyle w:val="IRPsanstext"/>
        <w:numPr>
          <w:ilvl w:val="0"/>
          <w:numId w:val="31"/>
        </w:numPr>
      </w:pPr>
      <w:r>
        <w:t>A</w:t>
      </w:r>
      <w:r w:rsidRPr="00A30375">
        <w:t xml:space="preserve">n inflow of more than </w:t>
      </w:r>
      <w:r w:rsidRPr="00CD46F9">
        <w:t>775,000</w:t>
      </w:r>
      <w:r w:rsidRPr="00A30375">
        <w:t xml:space="preserve"> new residents </w:t>
      </w:r>
      <w:r>
        <w:t xml:space="preserve">between 2016 and 2035 </w:t>
      </w:r>
      <w:r w:rsidRPr="00A30375">
        <w:t>will increase PSE’s electric service territory</w:t>
      </w:r>
      <w:r>
        <w:t xml:space="preserve"> population</w:t>
      </w:r>
      <w:r w:rsidRPr="00A30375">
        <w:t xml:space="preserve"> </w:t>
      </w:r>
      <w:r w:rsidRPr="00CD46F9">
        <w:t>to almost 4.</w:t>
      </w:r>
      <w:r w:rsidRPr="00DA041F">
        <w:t>8</w:t>
      </w:r>
      <w:r w:rsidRPr="00CD46F9">
        <w:t xml:space="preserve"> million</w:t>
      </w:r>
      <w:r w:rsidRPr="00DA041F">
        <w:t xml:space="preserve"> by 203</w:t>
      </w:r>
      <w:r w:rsidRPr="001A05F7">
        <w:t>5</w:t>
      </w:r>
      <w:r>
        <w:t xml:space="preserve">. This is lower than the 2013 IRP forecast </w:t>
      </w:r>
      <w:r w:rsidRPr="00CE1B72">
        <w:t>of</w:t>
      </w:r>
      <w:r>
        <w:t xml:space="preserve"> a little over 1 million new residents  between 2012 and 2033.   </w:t>
      </w:r>
    </w:p>
    <w:p w14:paraId="7B697BDF" w14:textId="77777777" w:rsidR="000811E5" w:rsidRPr="00D105A5" w:rsidRDefault="000811E5" w:rsidP="000811E5">
      <w:pPr>
        <w:pStyle w:val="IRPsanstext"/>
      </w:pPr>
    </w:p>
    <w:p w14:paraId="18C213EC" w14:textId="77777777" w:rsidR="000811E5" w:rsidRDefault="000811E5" w:rsidP="000811E5">
      <w:pPr>
        <w:pStyle w:val="IRPsanstext"/>
      </w:pPr>
      <w:r>
        <w:t>As explained above,</w:t>
      </w:r>
      <w:r w:rsidRPr="00134BD2">
        <w:t xml:space="preserve"> the slightly slower long-term growth in employment </w:t>
      </w:r>
      <w:r>
        <w:t>is attributed to</w:t>
      </w:r>
      <w:r w:rsidRPr="00134BD2">
        <w:t xml:space="preserve"> the slower than expected recovery from the effects of the latest recession</w:t>
      </w:r>
      <w:r>
        <w:t xml:space="preserve"> and lower population growth expected by the U.S. Census Bureau</w:t>
      </w:r>
      <w:r w:rsidRPr="00134BD2">
        <w:t xml:space="preserve">. </w:t>
      </w:r>
    </w:p>
    <w:p w14:paraId="68830C97" w14:textId="77777777" w:rsidR="000811E5" w:rsidRDefault="000811E5" w:rsidP="000811E5">
      <w:pPr>
        <w:pStyle w:val="IRPsanstext"/>
      </w:pPr>
    </w:p>
    <w:p w14:paraId="0686DE1E" w14:textId="77777777" w:rsidR="000811E5" w:rsidRDefault="000811E5" w:rsidP="000811E5">
      <w:pPr>
        <w:pStyle w:val="IRPsanstext"/>
      </w:pPr>
      <w:r>
        <w:t>In the region, l</w:t>
      </w:r>
      <w:r w:rsidRPr="00DB473E">
        <w:t xml:space="preserve">ong-term </w:t>
      </w:r>
      <w:r>
        <w:t xml:space="preserve">growth </w:t>
      </w:r>
      <w:r w:rsidRPr="00DB473E">
        <w:t>is driven by a divers</w:t>
      </w:r>
      <w:r>
        <w:t>e</w:t>
      </w:r>
      <w:r w:rsidRPr="00DB473E">
        <w:t xml:space="preserve"> group of employers </w:t>
      </w:r>
      <w:r>
        <w:t>that includes</w:t>
      </w:r>
      <w:r w:rsidRPr="00DB473E">
        <w:t xml:space="preserve"> Microsoft, </w:t>
      </w:r>
      <w:r>
        <w:t>Amazon, Costco, REI, Boeing</w:t>
      </w:r>
      <w:r w:rsidRPr="00DB473E">
        <w:t xml:space="preserve"> </w:t>
      </w:r>
      <w:r>
        <w:t>and Starbucks among others.</w:t>
      </w:r>
      <w:r w:rsidRPr="00DB473E">
        <w:t xml:space="preserve"> Boein</w:t>
      </w:r>
      <w:r>
        <w:t>g</w:t>
      </w:r>
      <w:r w:rsidRPr="00DB473E">
        <w:t xml:space="preserve">’s strong historical employment growth </w:t>
      </w:r>
      <w:r>
        <w:t>is</w:t>
      </w:r>
      <w:r w:rsidRPr="00DB473E">
        <w:t xml:space="preserve"> not neces</w:t>
      </w:r>
      <w:r>
        <w:t xml:space="preserve">sarily expected to continue, due to outsourcing and an increase in the number of planes assembled in other states.  </w:t>
      </w:r>
    </w:p>
    <w:p w14:paraId="7F03CF87" w14:textId="77777777" w:rsidR="000811E5" w:rsidRDefault="000811E5">
      <w:pPr>
        <w:rPr>
          <w:rFonts w:ascii="Arial" w:hAnsi="Arial"/>
          <w:sz w:val="20"/>
          <w:szCs w:val="20"/>
        </w:rPr>
      </w:pPr>
      <w:r>
        <w:br w:type="page"/>
      </w:r>
    </w:p>
    <w:p w14:paraId="61C38126" w14:textId="77777777" w:rsidR="000811E5" w:rsidRPr="000F57D1" w:rsidRDefault="000811E5" w:rsidP="000811E5">
      <w:pPr>
        <w:pStyle w:val="IRPsanstext"/>
      </w:pPr>
      <w:r w:rsidRPr="000811E5">
        <w:rPr>
          <w:b/>
          <w:color w:val="156570"/>
          <w:sz w:val="28"/>
          <w:szCs w:val="28"/>
        </w:rPr>
        <w:lastRenderedPageBreak/>
        <w:t>Electric High and Low Scenario Outlooks.</w:t>
      </w:r>
      <w:r w:rsidRPr="0097006D">
        <w:rPr>
          <w:sz w:val="28"/>
          <w:szCs w:val="28"/>
        </w:rPr>
        <w:t xml:space="preserve"> </w:t>
      </w:r>
      <w:r>
        <w:t xml:space="preserve">For the Low Electric Demand Forecast scenario, population grows by 0.8 percent annually from 2016 to 2035. </w:t>
      </w:r>
      <w:r w:rsidRPr="00421ED2">
        <w:t xml:space="preserve">Employment grows 0.1 </w:t>
      </w:r>
      <w:r>
        <w:t xml:space="preserve">percent annually from 2016 to 2035. </w:t>
      </w:r>
    </w:p>
    <w:p w14:paraId="243E7D8D" w14:textId="77777777" w:rsidR="000811E5" w:rsidRDefault="000811E5" w:rsidP="000811E5">
      <w:pPr>
        <w:pStyle w:val="IRPsanstext"/>
      </w:pPr>
    </w:p>
    <w:p w14:paraId="0C634F89" w14:textId="77777777" w:rsidR="000811E5" w:rsidRDefault="000811E5" w:rsidP="000811E5">
      <w:pPr>
        <w:pStyle w:val="IRPsanstext"/>
      </w:pPr>
      <w:r w:rsidRPr="00421ED2">
        <w:t xml:space="preserve">For the High </w:t>
      </w:r>
      <w:r>
        <w:t xml:space="preserve">Electric </w:t>
      </w:r>
      <w:r w:rsidRPr="00421ED2">
        <w:t>Demand Forecast scenario, population grows by 1.1</w:t>
      </w:r>
      <w:r>
        <w:t xml:space="preserve"> percent</w:t>
      </w:r>
      <w:r w:rsidRPr="00421ED2">
        <w:t xml:space="preserve"> annually from 2016 to 203</w:t>
      </w:r>
      <w:r>
        <w:t>5</w:t>
      </w:r>
      <w:r w:rsidRPr="00421ED2">
        <w:t>, and employ</w:t>
      </w:r>
      <w:r>
        <w:t>me</w:t>
      </w:r>
      <w:r w:rsidRPr="00421ED2">
        <w:t xml:space="preserve">nt grows by 1.3 percent </w:t>
      </w:r>
      <w:r>
        <w:t xml:space="preserve">per year </w:t>
      </w:r>
      <w:r w:rsidRPr="00421ED2">
        <w:t>during that period.</w:t>
      </w:r>
      <w:r>
        <w:t xml:space="preserve"> </w:t>
      </w:r>
    </w:p>
    <w:p w14:paraId="58EEEEEB" w14:textId="77777777" w:rsidR="000811E5" w:rsidRDefault="000811E5" w:rsidP="000811E5">
      <w:pPr>
        <w:pStyle w:val="IRPsanstext"/>
      </w:pPr>
    </w:p>
    <w:p w14:paraId="61509765" w14:textId="77777777" w:rsidR="000811E5" w:rsidRDefault="000811E5" w:rsidP="000811E5">
      <w:pPr>
        <w:pStyle w:val="IRPsanstext"/>
      </w:pPr>
      <w:r>
        <w:t xml:space="preserve">The Base, High and Low population and employment forecasts for PSE’s electric service area are compared in Figures 5-8 and 5-9.  </w:t>
      </w:r>
    </w:p>
    <w:p w14:paraId="6BCCD85A" w14:textId="77777777" w:rsidR="000811E5" w:rsidRDefault="000811E5" w:rsidP="000811E5">
      <w:pPr>
        <w:pStyle w:val="IRPsanstext"/>
      </w:pPr>
    </w:p>
    <w:p w14:paraId="2C94ECA8" w14:textId="77777777" w:rsidR="000811E5" w:rsidRPr="00D903A2" w:rsidRDefault="000811E5" w:rsidP="000811E5">
      <w:pPr>
        <w:pStyle w:val="IRPFigureSub"/>
        <w:spacing w:after="120"/>
      </w:pPr>
      <w:r>
        <w:t>Figure 5-8:</w:t>
      </w:r>
      <w:r w:rsidRPr="00D903A2">
        <w:t xml:space="preserve"> </w:t>
      </w:r>
      <w:r>
        <w:t xml:space="preserve">Population Growth, </w:t>
      </w:r>
      <w:r w:rsidRPr="00D903A2">
        <w:t>Electric Service</w:t>
      </w:r>
      <w:r>
        <w:t xml:space="preserve"> Area</w:t>
      </w:r>
    </w:p>
    <w:tbl>
      <w:tblPr>
        <w:tblW w:w="8835" w:type="dxa"/>
        <w:tblInd w:w="93" w:type="dxa"/>
        <w:tblLayout w:type="fixed"/>
        <w:tblLook w:val="04A0" w:firstRow="1" w:lastRow="0" w:firstColumn="1" w:lastColumn="0" w:noHBand="0" w:noVBand="1"/>
      </w:tblPr>
      <w:tblGrid>
        <w:gridCol w:w="2355"/>
        <w:gridCol w:w="990"/>
        <w:gridCol w:w="1080"/>
        <w:gridCol w:w="1080"/>
        <w:gridCol w:w="990"/>
        <w:gridCol w:w="990"/>
        <w:gridCol w:w="1350"/>
      </w:tblGrid>
      <w:tr w:rsidR="000811E5" w:rsidRPr="004A232B" w14:paraId="22F2035C" w14:textId="77777777">
        <w:trPr>
          <w:trHeight w:val="300"/>
        </w:trPr>
        <w:tc>
          <w:tcPr>
            <w:tcW w:w="883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6847BB86" w14:textId="77777777" w:rsidR="000811E5" w:rsidRPr="006246FD" w:rsidRDefault="000811E5" w:rsidP="00615718">
            <w:pPr>
              <w:spacing w:after="40"/>
              <w:jc w:val="center"/>
              <w:rPr>
                <w:rFonts w:ascii="Arial Narrow" w:eastAsia="Times New Roman" w:hAnsi="Arial Narrow"/>
                <w:b/>
                <w:caps/>
                <w:color w:val="FFFFFF" w:themeColor="background1"/>
                <w:sz w:val="22"/>
                <w:szCs w:val="22"/>
                <w:lang w:eastAsia="en-US"/>
              </w:rPr>
            </w:pPr>
            <w:r w:rsidRPr="006246FD">
              <w:rPr>
                <w:rFonts w:ascii="Arial" w:eastAsia="Times New Roman" w:hAnsi="Arial"/>
                <w:b/>
                <w:caps/>
                <w:color w:val="FFFFFF" w:themeColor="background1"/>
                <w:sz w:val="20"/>
                <w:szCs w:val="22"/>
                <w:lang w:eastAsia="en-US"/>
              </w:rPr>
              <w:t>Population Growth, Electric Service Area  (1,000</w:t>
            </w:r>
            <w:r w:rsidRPr="006246FD">
              <w:rPr>
                <w:rFonts w:ascii="Arial" w:eastAsia="Times New Roman" w:hAnsi="Arial"/>
                <w:b/>
                <w:color w:val="FFFFFF" w:themeColor="background1"/>
                <w:sz w:val="20"/>
                <w:szCs w:val="22"/>
                <w:lang w:eastAsia="en-US"/>
              </w:rPr>
              <w:t>s</w:t>
            </w:r>
            <w:r w:rsidRPr="006246FD">
              <w:rPr>
                <w:rFonts w:ascii="Arial Narrow" w:eastAsia="Times New Roman" w:hAnsi="Arial Narrow"/>
                <w:b/>
                <w:caps/>
                <w:color w:val="FFFFFF" w:themeColor="background1"/>
                <w:sz w:val="22"/>
                <w:szCs w:val="22"/>
                <w:lang w:eastAsia="en-US"/>
              </w:rPr>
              <w:t>)</w:t>
            </w:r>
          </w:p>
        </w:tc>
      </w:tr>
      <w:tr w:rsidR="000811E5" w:rsidRPr="004A232B" w14:paraId="4D616CBD" w14:textId="77777777">
        <w:trPr>
          <w:trHeight w:val="818"/>
        </w:trPr>
        <w:tc>
          <w:tcPr>
            <w:tcW w:w="2355" w:type="dxa"/>
            <w:tcBorders>
              <w:top w:val="nil"/>
              <w:left w:val="single" w:sz="4" w:space="0" w:color="auto"/>
              <w:bottom w:val="single" w:sz="4" w:space="0" w:color="auto"/>
              <w:right w:val="single" w:sz="4" w:space="0" w:color="auto"/>
            </w:tcBorders>
            <w:shd w:val="clear" w:color="auto" w:fill="156570"/>
            <w:noWrap/>
            <w:vAlign w:val="center"/>
          </w:tcPr>
          <w:p w14:paraId="3977A7AE"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Scenario</w:t>
            </w:r>
          </w:p>
        </w:tc>
        <w:tc>
          <w:tcPr>
            <w:tcW w:w="990" w:type="dxa"/>
            <w:tcBorders>
              <w:top w:val="nil"/>
              <w:left w:val="nil"/>
              <w:bottom w:val="single" w:sz="4" w:space="0" w:color="auto"/>
              <w:right w:val="single" w:sz="4" w:space="0" w:color="auto"/>
            </w:tcBorders>
            <w:shd w:val="clear" w:color="auto" w:fill="156570"/>
            <w:noWrap/>
            <w:vAlign w:val="center"/>
          </w:tcPr>
          <w:p w14:paraId="3E688E16"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2016</w:t>
            </w:r>
          </w:p>
        </w:tc>
        <w:tc>
          <w:tcPr>
            <w:tcW w:w="1080" w:type="dxa"/>
            <w:tcBorders>
              <w:top w:val="nil"/>
              <w:left w:val="nil"/>
              <w:bottom w:val="single" w:sz="4" w:space="0" w:color="auto"/>
              <w:right w:val="single" w:sz="4" w:space="0" w:color="auto"/>
            </w:tcBorders>
            <w:shd w:val="clear" w:color="auto" w:fill="156570"/>
            <w:noWrap/>
            <w:vAlign w:val="center"/>
          </w:tcPr>
          <w:p w14:paraId="4C1FAD98"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2020</w:t>
            </w:r>
          </w:p>
        </w:tc>
        <w:tc>
          <w:tcPr>
            <w:tcW w:w="1080" w:type="dxa"/>
            <w:tcBorders>
              <w:top w:val="nil"/>
              <w:left w:val="nil"/>
              <w:bottom w:val="single" w:sz="4" w:space="0" w:color="auto"/>
              <w:right w:val="single" w:sz="4" w:space="0" w:color="auto"/>
            </w:tcBorders>
            <w:shd w:val="clear" w:color="auto" w:fill="156570"/>
            <w:noWrap/>
            <w:vAlign w:val="center"/>
          </w:tcPr>
          <w:p w14:paraId="7653849F"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2025</w:t>
            </w:r>
          </w:p>
        </w:tc>
        <w:tc>
          <w:tcPr>
            <w:tcW w:w="990" w:type="dxa"/>
            <w:tcBorders>
              <w:top w:val="nil"/>
              <w:left w:val="nil"/>
              <w:bottom w:val="single" w:sz="4" w:space="0" w:color="auto"/>
              <w:right w:val="single" w:sz="4" w:space="0" w:color="auto"/>
            </w:tcBorders>
            <w:shd w:val="clear" w:color="auto" w:fill="156570"/>
            <w:noWrap/>
            <w:vAlign w:val="center"/>
          </w:tcPr>
          <w:p w14:paraId="7D13B0E2"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7775C84E"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2035</w:t>
            </w:r>
          </w:p>
        </w:tc>
        <w:tc>
          <w:tcPr>
            <w:tcW w:w="1350" w:type="dxa"/>
            <w:tcBorders>
              <w:top w:val="nil"/>
              <w:left w:val="nil"/>
              <w:bottom w:val="single" w:sz="4" w:space="0" w:color="auto"/>
              <w:right w:val="single" w:sz="4" w:space="0" w:color="auto"/>
            </w:tcBorders>
            <w:shd w:val="clear" w:color="auto" w:fill="156570"/>
            <w:vAlign w:val="center"/>
          </w:tcPr>
          <w:p w14:paraId="7C92626D"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AARG</w:t>
            </w:r>
          </w:p>
          <w:p w14:paraId="16D6E6D0"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2016-2035</w:t>
            </w:r>
          </w:p>
        </w:tc>
      </w:tr>
      <w:tr w:rsidR="000811E5" w:rsidRPr="004A232B" w14:paraId="7785F10F"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2D956AD3"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2015 IRP</w:t>
            </w:r>
          </w:p>
          <w:p w14:paraId="582FE42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Base Demand Forecast</w:t>
            </w:r>
          </w:p>
        </w:tc>
        <w:tc>
          <w:tcPr>
            <w:tcW w:w="990" w:type="dxa"/>
            <w:tcBorders>
              <w:top w:val="nil"/>
              <w:left w:val="nil"/>
              <w:bottom w:val="single" w:sz="4" w:space="0" w:color="auto"/>
              <w:right w:val="single" w:sz="4" w:space="0" w:color="auto"/>
            </w:tcBorders>
            <w:shd w:val="clear" w:color="auto" w:fill="auto"/>
            <w:noWrap/>
            <w:vAlign w:val="center"/>
          </w:tcPr>
          <w:p w14:paraId="4050EBF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3,998</w:t>
            </w:r>
          </w:p>
        </w:tc>
        <w:tc>
          <w:tcPr>
            <w:tcW w:w="1080" w:type="dxa"/>
            <w:tcBorders>
              <w:top w:val="nil"/>
              <w:left w:val="nil"/>
              <w:bottom w:val="single" w:sz="4" w:space="0" w:color="auto"/>
              <w:right w:val="single" w:sz="4" w:space="0" w:color="auto"/>
            </w:tcBorders>
            <w:shd w:val="clear" w:color="auto" w:fill="auto"/>
            <w:noWrap/>
            <w:vAlign w:val="center"/>
          </w:tcPr>
          <w:p w14:paraId="7B79FC62"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4,176</w:t>
            </w:r>
          </w:p>
        </w:tc>
        <w:tc>
          <w:tcPr>
            <w:tcW w:w="1080" w:type="dxa"/>
            <w:tcBorders>
              <w:top w:val="nil"/>
              <w:left w:val="nil"/>
              <w:bottom w:val="single" w:sz="4" w:space="0" w:color="auto"/>
              <w:right w:val="single" w:sz="4" w:space="0" w:color="auto"/>
            </w:tcBorders>
            <w:shd w:val="clear" w:color="auto" w:fill="auto"/>
            <w:noWrap/>
            <w:vAlign w:val="center"/>
          </w:tcPr>
          <w:p w14:paraId="11D433A4"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4,393</w:t>
            </w:r>
          </w:p>
        </w:tc>
        <w:tc>
          <w:tcPr>
            <w:tcW w:w="990" w:type="dxa"/>
            <w:tcBorders>
              <w:top w:val="nil"/>
              <w:left w:val="nil"/>
              <w:bottom w:val="single" w:sz="4" w:space="0" w:color="auto"/>
              <w:right w:val="single" w:sz="4" w:space="0" w:color="auto"/>
            </w:tcBorders>
            <w:shd w:val="clear" w:color="auto" w:fill="auto"/>
            <w:noWrap/>
            <w:vAlign w:val="center"/>
          </w:tcPr>
          <w:p w14:paraId="14CDCDC2"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4,587</w:t>
            </w:r>
          </w:p>
        </w:tc>
        <w:tc>
          <w:tcPr>
            <w:tcW w:w="990" w:type="dxa"/>
            <w:tcBorders>
              <w:top w:val="nil"/>
              <w:left w:val="nil"/>
              <w:bottom w:val="single" w:sz="4" w:space="0" w:color="auto"/>
              <w:right w:val="single" w:sz="4" w:space="0" w:color="auto"/>
            </w:tcBorders>
            <w:shd w:val="clear" w:color="auto" w:fill="auto"/>
            <w:noWrap/>
            <w:vAlign w:val="center"/>
          </w:tcPr>
          <w:p w14:paraId="365B4147"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4,774</w:t>
            </w:r>
          </w:p>
        </w:tc>
        <w:tc>
          <w:tcPr>
            <w:tcW w:w="1350" w:type="dxa"/>
            <w:tcBorders>
              <w:top w:val="nil"/>
              <w:left w:val="nil"/>
              <w:bottom w:val="single" w:sz="4" w:space="0" w:color="auto"/>
              <w:right w:val="single" w:sz="4" w:space="0" w:color="auto"/>
            </w:tcBorders>
            <w:shd w:val="clear" w:color="auto" w:fill="auto"/>
            <w:noWrap/>
            <w:vAlign w:val="center"/>
          </w:tcPr>
          <w:p w14:paraId="65E4044D"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0.9%</w:t>
            </w:r>
          </w:p>
        </w:tc>
      </w:tr>
      <w:tr w:rsidR="000811E5" w:rsidRPr="004A232B" w14:paraId="73F42560" w14:textId="77777777">
        <w:trPr>
          <w:trHeight w:val="620"/>
        </w:trPr>
        <w:tc>
          <w:tcPr>
            <w:tcW w:w="2355" w:type="dxa"/>
            <w:tcBorders>
              <w:top w:val="nil"/>
              <w:left w:val="single" w:sz="4" w:space="0" w:color="auto"/>
              <w:bottom w:val="single" w:sz="4" w:space="0" w:color="auto"/>
              <w:right w:val="single" w:sz="4" w:space="0" w:color="auto"/>
            </w:tcBorders>
            <w:shd w:val="clear" w:color="auto" w:fill="auto"/>
            <w:vAlign w:val="center"/>
          </w:tcPr>
          <w:p w14:paraId="687DCCA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2015 IRP</w:t>
            </w:r>
          </w:p>
          <w:p w14:paraId="3D20F46A"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High Demand Forecast</w:t>
            </w:r>
          </w:p>
        </w:tc>
        <w:tc>
          <w:tcPr>
            <w:tcW w:w="990" w:type="dxa"/>
            <w:tcBorders>
              <w:top w:val="nil"/>
              <w:left w:val="nil"/>
              <w:bottom w:val="single" w:sz="4" w:space="0" w:color="auto"/>
              <w:right w:val="single" w:sz="4" w:space="0" w:color="auto"/>
            </w:tcBorders>
            <w:shd w:val="clear" w:color="auto" w:fill="auto"/>
            <w:noWrap/>
            <w:vAlign w:val="center"/>
          </w:tcPr>
          <w:p w14:paraId="344D66DE"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4,027</w:t>
            </w:r>
          </w:p>
        </w:tc>
        <w:tc>
          <w:tcPr>
            <w:tcW w:w="1080" w:type="dxa"/>
            <w:tcBorders>
              <w:top w:val="nil"/>
              <w:left w:val="nil"/>
              <w:bottom w:val="single" w:sz="4" w:space="0" w:color="auto"/>
              <w:right w:val="single" w:sz="4" w:space="0" w:color="auto"/>
            </w:tcBorders>
            <w:shd w:val="clear" w:color="auto" w:fill="auto"/>
            <w:noWrap/>
            <w:vAlign w:val="center"/>
          </w:tcPr>
          <w:p w14:paraId="18701CC1"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4,232</w:t>
            </w:r>
          </w:p>
        </w:tc>
        <w:tc>
          <w:tcPr>
            <w:tcW w:w="1080" w:type="dxa"/>
            <w:tcBorders>
              <w:top w:val="nil"/>
              <w:left w:val="nil"/>
              <w:bottom w:val="single" w:sz="4" w:space="0" w:color="auto"/>
              <w:right w:val="single" w:sz="4" w:space="0" w:color="auto"/>
            </w:tcBorders>
            <w:shd w:val="clear" w:color="auto" w:fill="auto"/>
            <w:noWrap/>
            <w:vAlign w:val="center"/>
          </w:tcPr>
          <w:p w14:paraId="200BE43E"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4,476</w:t>
            </w:r>
          </w:p>
        </w:tc>
        <w:tc>
          <w:tcPr>
            <w:tcW w:w="990" w:type="dxa"/>
            <w:tcBorders>
              <w:top w:val="nil"/>
              <w:left w:val="nil"/>
              <w:bottom w:val="single" w:sz="4" w:space="0" w:color="auto"/>
              <w:right w:val="single" w:sz="4" w:space="0" w:color="auto"/>
            </w:tcBorders>
            <w:shd w:val="clear" w:color="auto" w:fill="auto"/>
            <w:noWrap/>
            <w:vAlign w:val="center"/>
          </w:tcPr>
          <w:p w14:paraId="033FE6F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4,692</w:t>
            </w:r>
          </w:p>
        </w:tc>
        <w:tc>
          <w:tcPr>
            <w:tcW w:w="990" w:type="dxa"/>
            <w:tcBorders>
              <w:top w:val="nil"/>
              <w:left w:val="nil"/>
              <w:bottom w:val="single" w:sz="4" w:space="0" w:color="auto"/>
              <w:right w:val="single" w:sz="4" w:space="0" w:color="auto"/>
            </w:tcBorders>
            <w:shd w:val="clear" w:color="auto" w:fill="auto"/>
            <w:noWrap/>
            <w:vAlign w:val="center"/>
          </w:tcPr>
          <w:p w14:paraId="458CF77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4,926</w:t>
            </w:r>
          </w:p>
        </w:tc>
        <w:tc>
          <w:tcPr>
            <w:tcW w:w="1350" w:type="dxa"/>
            <w:tcBorders>
              <w:top w:val="nil"/>
              <w:left w:val="nil"/>
              <w:bottom w:val="single" w:sz="4" w:space="0" w:color="auto"/>
              <w:right w:val="single" w:sz="4" w:space="0" w:color="auto"/>
            </w:tcBorders>
            <w:shd w:val="clear" w:color="auto" w:fill="auto"/>
            <w:noWrap/>
            <w:vAlign w:val="center"/>
          </w:tcPr>
          <w:p w14:paraId="4BFE4043"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1.1%</w:t>
            </w:r>
          </w:p>
        </w:tc>
      </w:tr>
      <w:tr w:rsidR="000811E5" w:rsidRPr="004A232B" w14:paraId="7F3A30E4" w14:textId="77777777">
        <w:trPr>
          <w:trHeight w:val="701"/>
        </w:trPr>
        <w:tc>
          <w:tcPr>
            <w:tcW w:w="2355" w:type="dxa"/>
            <w:tcBorders>
              <w:top w:val="nil"/>
              <w:left w:val="single" w:sz="4" w:space="0" w:color="auto"/>
              <w:bottom w:val="single" w:sz="4" w:space="0" w:color="auto"/>
              <w:right w:val="single" w:sz="4" w:space="0" w:color="auto"/>
            </w:tcBorders>
            <w:shd w:val="clear" w:color="auto" w:fill="auto"/>
            <w:vAlign w:val="center"/>
          </w:tcPr>
          <w:p w14:paraId="784AC84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2015 IRP</w:t>
            </w:r>
          </w:p>
          <w:p w14:paraId="67F38964"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Low Demand Forecast</w:t>
            </w:r>
          </w:p>
        </w:tc>
        <w:tc>
          <w:tcPr>
            <w:tcW w:w="990" w:type="dxa"/>
            <w:tcBorders>
              <w:top w:val="nil"/>
              <w:left w:val="nil"/>
              <w:bottom w:val="single" w:sz="4" w:space="0" w:color="auto"/>
              <w:right w:val="single" w:sz="4" w:space="0" w:color="auto"/>
            </w:tcBorders>
            <w:shd w:val="clear" w:color="auto" w:fill="auto"/>
            <w:noWrap/>
            <w:vAlign w:val="center"/>
          </w:tcPr>
          <w:p w14:paraId="04EAA390"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3,970</w:t>
            </w:r>
          </w:p>
        </w:tc>
        <w:tc>
          <w:tcPr>
            <w:tcW w:w="1080" w:type="dxa"/>
            <w:tcBorders>
              <w:top w:val="nil"/>
              <w:left w:val="nil"/>
              <w:bottom w:val="single" w:sz="4" w:space="0" w:color="auto"/>
              <w:right w:val="single" w:sz="4" w:space="0" w:color="auto"/>
            </w:tcBorders>
            <w:shd w:val="clear" w:color="auto" w:fill="auto"/>
            <w:noWrap/>
            <w:vAlign w:val="center"/>
          </w:tcPr>
          <w:p w14:paraId="389183C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4,119</w:t>
            </w:r>
          </w:p>
        </w:tc>
        <w:tc>
          <w:tcPr>
            <w:tcW w:w="1080" w:type="dxa"/>
            <w:tcBorders>
              <w:top w:val="nil"/>
              <w:left w:val="nil"/>
              <w:bottom w:val="single" w:sz="4" w:space="0" w:color="auto"/>
              <w:right w:val="single" w:sz="4" w:space="0" w:color="auto"/>
            </w:tcBorders>
            <w:shd w:val="clear" w:color="auto" w:fill="auto"/>
            <w:noWrap/>
            <w:vAlign w:val="center"/>
          </w:tcPr>
          <w:p w14:paraId="417A7464"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4,308</w:t>
            </w:r>
          </w:p>
        </w:tc>
        <w:tc>
          <w:tcPr>
            <w:tcW w:w="990" w:type="dxa"/>
            <w:tcBorders>
              <w:top w:val="nil"/>
              <w:left w:val="nil"/>
              <w:bottom w:val="single" w:sz="4" w:space="0" w:color="auto"/>
              <w:right w:val="single" w:sz="4" w:space="0" w:color="auto"/>
            </w:tcBorders>
            <w:shd w:val="clear" w:color="auto" w:fill="auto"/>
            <w:noWrap/>
            <w:vAlign w:val="center"/>
          </w:tcPr>
          <w:p w14:paraId="11CFF227"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4,477</w:t>
            </w:r>
          </w:p>
        </w:tc>
        <w:tc>
          <w:tcPr>
            <w:tcW w:w="990" w:type="dxa"/>
            <w:tcBorders>
              <w:top w:val="nil"/>
              <w:left w:val="nil"/>
              <w:bottom w:val="single" w:sz="4" w:space="0" w:color="auto"/>
              <w:right w:val="single" w:sz="4" w:space="0" w:color="auto"/>
            </w:tcBorders>
            <w:shd w:val="clear" w:color="auto" w:fill="auto"/>
            <w:noWrap/>
            <w:vAlign w:val="center"/>
          </w:tcPr>
          <w:p w14:paraId="71898321"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4,645</w:t>
            </w:r>
          </w:p>
        </w:tc>
        <w:tc>
          <w:tcPr>
            <w:tcW w:w="1350" w:type="dxa"/>
            <w:tcBorders>
              <w:top w:val="nil"/>
              <w:left w:val="nil"/>
              <w:bottom w:val="single" w:sz="4" w:space="0" w:color="auto"/>
              <w:right w:val="single" w:sz="4" w:space="0" w:color="auto"/>
            </w:tcBorders>
            <w:shd w:val="clear" w:color="auto" w:fill="auto"/>
            <w:noWrap/>
            <w:vAlign w:val="center"/>
          </w:tcPr>
          <w:p w14:paraId="4378755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0.8%</w:t>
            </w:r>
          </w:p>
        </w:tc>
      </w:tr>
    </w:tbl>
    <w:p w14:paraId="7672940F" w14:textId="77777777" w:rsidR="000811E5" w:rsidRDefault="000811E5" w:rsidP="000811E5">
      <w:pPr>
        <w:pStyle w:val="IRPsanstext"/>
      </w:pPr>
    </w:p>
    <w:p w14:paraId="24A6FFC2" w14:textId="77777777" w:rsidR="000811E5" w:rsidRDefault="000811E5" w:rsidP="000811E5">
      <w:pPr>
        <w:pStyle w:val="IRPFigureSub"/>
        <w:spacing w:after="120"/>
      </w:pPr>
      <w:r>
        <w:t xml:space="preserve">Figure 5-9: Employment Growth, </w:t>
      </w:r>
      <w:r w:rsidRPr="00BA709F">
        <w:t xml:space="preserve">Electric Service Area </w:t>
      </w:r>
    </w:p>
    <w:tbl>
      <w:tblPr>
        <w:tblW w:w="8881" w:type="dxa"/>
        <w:tblInd w:w="93" w:type="dxa"/>
        <w:tblLook w:val="04A0" w:firstRow="1" w:lastRow="0" w:firstColumn="1" w:lastColumn="0" w:noHBand="0" w:noVBand="1"/>
      </w:tblPr>
      <w:tblGrid>
        <w:gridCol w:w="2355"/>
        <w:gridCol w:w="990"/>
        <w:gridCol w:w="1080"/>
        <w:gridCol w:w="1080"/>
        <w:gridCol w:w="990"/>
        <w:gridCol w:w="990"/>
        <w:gridCol w:w="1396"/>
      </w:tblGrid>
      <w:tr w:rsidR="000811E5" w:rsidRPr="004A232B" w14:paraId="00F7138E" w14:textId="77777777">
        <w:trPr>
          <w:trHeight w:val="300"/>
        </w:trPr>
        <w:tc>
          <w:tcPr>
            <w:tcW w:w="8881"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35AE7624" w14:textId="77777777" w:rsidR="000811E5" w:rsidRPr="006246FD" w:rsidRDefault="000811E5" w:rsidP="00615718">
            <w:pPr>
              <w:spacing w:after="40"/>
              <w:jc w:val="center"/>
              <w:rPr>
                <w:rFonts w:ascii="Arial" w:eastAsia="Times New Roman" w:hAnsi="Arial"/>
                <w:b/>
                <w:caps/>
                <w:color w:val="FFFFFF" w:themeColor="background1"/>
                <w:sz w:val="20"/>
                <w:szCs w:val="22"/>
                <w:lang w:eastAsia="en-US"/>
              </w:rPr>
            </w:pPr>
            <w:r w:rsidRPr="006246FD">
              <w:rPr>
                <w:rFonts w:ascii="Arial" w:eastAsia="Times New Roman" w:hAnsi="Arial"/>
                <w:b/>
                <w:caps/>
                <w:color w:val="FFFFFF" w:themeColor="background1"/>
                <w:sz w:val="20"/>
                <w:szCs w:val="22"/>
                <w:lang w:eastAsia="en-US"/>
              </w:rPr>
              <w:t>Employment Growth, Electric Service Area  (1,000</w:t>
            </w:r>
            <w:r w:rsidRPr="006246FD">
              <w:rPr>
                <w:rFonts w:ascii="Arial" w:eastAsia="Times New Roman" w:hAnsi="Arial"/>
                <w:b/>
                <w:color w:val="FFFFFF" w:themeColor="background1"/>
                <w:sz w:val="20"/>
                <w:szCs w:val="22"/>
                <w:lang w:eastAsia="en-US"/>
              </w:rPr>
              <w:t>s</w:t>
            </w:r>
            <w:r w:rsidRPr="006246FD">
              <w:rPr>
                <w:rFonts w:ascii="Arial" w:eastAsia="Times New Roman" w:hAnsi="Arial"/>
                <w:b/>
                <w:caps/>
                <w:color w:val="FFFFFF" w:themeColor="background1"/>
                <w:sz w:val="20"/>
                <w:szCs w:val="22"/>
                <w:lang w:eastAsia="en-US"/>
              </w:rPr>
              <w:t>)</w:t>
            </w:r>
          </w:p>
        </w:tc>
      </w:tr>
      <w:tr w:rsidR="000811E5" w:rsidRPr="00D903A2" w14:paraId="101D7D29" w14:textId="77777777">
        <w:trPr>
          <w:trHeight w:val="600"/>
        </w:trPr>
        <w:tc>
          <w:tcPr>
            <w:tcW w:w="2355" w:type="dxa"/>
            <w:tcBorders>
              <w:top w:val="nil"/>
              <w:left w:val="single" w:sz="4" w:space="0" w:color="auto"/>
              <w:bottom w:val="single" w:sz="4" w:space="0" w:color="auto"/>
              <w:right w:val="single" w:sz="4" w:space="0" w:color="auto"/>
            </w:tcBorders>
            <w:shd w:val="clear" w:color="auto" w:fill="156570"/>
            <w:noWrap/>
            <w:vAlign w:val="center"/>
          </w:tcPr>
          <w:p w14:paraId="21B5E536"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Scenario</w:t>
            </w:r>
          </w:p>
        </w:tc>
        <w:tc>
          <w:tcPr>
            <w:tcW w:w="990" w:type="dxa"/>
            <w:tcBorders>
              <w:top w:val="nil"/>
              <w:left w:val="nil"/>
              <w:bottom w:val="single" w:sz="4" w:space="0" w:color="auto"/>
              <w:right w:val="single" w:sz="4" w:space="0" w:color="auto"/>
            </w:tcBorders>
            <w:shd w:val="clear" w:color="auto" w:fill="156570"/>
            <w:noWrap/>
            <w:vAlign w:val="center"/>
          </w:tcPr>
          <w:p w14:paraId="5A270C0D"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2016</w:t>
            </w:r>
          </w:p>
        </w:tc>
        <w:tc>
          <w:tcPr>
            <w:tcW w:w="1080" w:type="dxa"/>
            <w:tcBorders>
              <w:top w:val="nil"/>
              <w:left w:val="nil"/>
              <w:bottom w:val="single" w:sz="4" w:space="0" w:color="auto"/>
              <w:right w:val="single" w:sz="4" w:space="0" w:color="auto"/>
            </w:tcBorders>
            <w:shd w:val="clear" w:color="auto" w:fill="156570"/>
            <w:noWrap/>
            <w:vAlign w:val="center"/>
          </w:tcPr>
          <w:p w14:paraId="27064659"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2020</w:t>
            </w:r>
          </w:p>
        </w:tc>
        <w:tc>
          <w:tcPr>
            <w:tcW w:w="1080" w:type="dxa"/>
            <w:tcBorders>
              <w:top w:val="nil"/>
              <w:left w:val="nil"/>
              <w:bottom w:val="single" w:sz="4" w:space="0" w:color="auto"/>
              <w:right w:val="single" w:sz="4" w:space="0" w:color="auto"/>
            </w:tcBorders>
            <w:shd w:val="clear" w:color="auto" w:fill="156570"/>
            <w:noWrap/>
            <w:vAlign w:val="center"/>
          </w:tcPr>
          <w:p w14:paraId="36C58A9E"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2025</w:t>
            </w:r>
          </w:p>
        </w:tc>
        <w:tc>
          <w:tcPr>
            <w:tcW w:w="990" w:type="dxa"/>
            <w:tcBorders>
              <w:top w:val="nil"/>
              <w:left w:val="nil"/>
              <w:bottom w:val="single" w:sz="4" w:space="0" w:color="auto"/>
              <w:right w:val="single" w:sz="4" w:space="0" w:color="auto"/>
            </w:tcBorders>
            <w:shd w:val="clear" w:color="auto" w:fill="156570"/>
            <w:noWrap/>
            <w:vAlign w:val="center"/>
          </w:tcPr>
          <w:p w14:paraId="53639169"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2DCE43F6"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2035</w:t>
            </w:r>
          </w:p>
        </w:tc>
        <w:tc>
          <w:tcPr>
            <w:tcW w:w="1396" w:type="dxa"/>
            <w:tcBorders>
              <w:top w:val="nil"/>
              <w:left w:val="nil"/>
              <w:bottom w:val="single" w:sz="4" w:space="0" w:color="auto"/>
              <w:right w:val="single" w:sz="4" w:space="0" w:color="auto"/>
            </w:tcBorders>
            <w:shd w:val="clear" w:color="auto" w:fill="156570"/>
            <w:vAlign w:val="center"/>
          </w:tcPr>
          <w:p w14:paraId="5D11ED89" w14:textId="77777777" w:rsidR="000811E5" w:rsidRPr="000811E5" w:rsidRDefault="000811E5" w:rsidP="000811E5">
            <w:pPr>
              <w:jc w:val="center"/>
              <w:rPr>
                <w:rFonts w:ascii="Arial" w:eastAsia="Times New Roman" w:hAnsi="Arial"/>
                <w:b/>
                <w:color w:val="FFFFFF" w:themeColor="background1"/>
                <w:sz w:val="20"/>
                <w:szCs w:val="22"/>
                <w:lang w:eastAsia="en-US"/>
              </w:rPr>
            </w:pPr>
            <w:r w:rsidRPr="000811E5">
              <w:rPr>
                <w:rFonts w:ascii="Arial" w:eastAsia="Times New Roman" w:hAnsi="Arial"/>
                <w:b/>
                <w:color w:val="FFFFFF" w:themeColor="background1"/>
                <w:sz w:val="20"/>
                <w:szCs w:val="22"/>
                <w:lang w:eastAsia="en-US"/>
              </w:rPr>
              <w:t xml:space="preserve">AARG </w:t>
            </w:r>
          </w:p>
          <w:p w14:paraId="13D29151" w14:textId="77777777" w:rsidR="000811E5" w:rsidRPr="000811E5" w:rsidRDefault="000811E5" w:rsidP="000811E5">
            <w:pPr>
              <w:jc w:val="center"/>
              <w:rPr>
                <w:rFonts w:ascii="Arial" w:eastAsia="Times New Roman" w:hAnsi="Arial"/>
                <w:b/>
                <w:color w:val="156570"/>
                <w:sz w:val="20"/>
                <w:szCs w:val="22"/>
                <w:lang w:eastAsia="en-US"/>
              </w:rPr>
            </w:pPr>
            <w:r w:rsidRPr="000811E5">
              <w:rPr>
                <w:rFonts w:ascii="Arial" w:eastAsia="Times New Roman" w:hAnsi="Arial"/>
                <w:b/>
                <w:color w:val="FFFFFF" w:themeColor="background1"/>
                <w:sz w:val="20"/>
                <w:szCs w:val="22"/>
                <w:lang w:eastAsia="en-US"/>
              </w:rPr>
              <w:t>2016-2035</w:t>
            </w:r>
          </w:p>
        </w:tc>
      </w:tr>
      <w:tr w:rsidR="000811E5" w:rsidRPr="00D903A2" w14:paraId="162AE7A5"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5657523A"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6EFA6E1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Base Demand Forecast</w:t>
            </w:r>
          </w:p>
        </w:tc>
        <w:tc>
          <w:tcPr>
            <w:tcW w:w="990" w:type="dxa"/>
            <w:tcBorders>
              <w:top w:val="nil"/>
              <w:left w:val="nil"/>
              <w:bottom w:val="single" w:sz="4" w:space="0" w:color="auto"/>
              <w:right w:val="single" w:sz="4" w:space="0" w:color="auto"/>
            </w:tcBorders>
            <w:shd w:val="clear" w:color="auto" w:fill="auto"/>
            <w:noWrap/>
            <w:vAlign w:val="center"/>
          </w:tcPr>
          <w:p w14:paraId="185E14DE"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2,021</w:t>
            </w:r>
          </w:p>
        </w:tc>
        <w:tc>
          <w:tcPr>
            <w:tcW w:w="1080" w:type="dxa"/>
            <w:tcBorders>
              <w:top w:val="nil"/>
              <w:left w:val="nil"/>
              <w:bottom w:val="single" w:sz="4" w:space="0" w:color="auto"/>
              <w:right w:val="single" w:sz="4" w:space="0" w:color="auto"/>
            </w:tcBorders>
            <w:shd w:val="clear" w:color="auto" w:fill="auto"/>
            <w:noWrap/>
            <w:vAlign w:val="center"/>
          </w:tcPr>
          <w:p w14:paraId="6C53383A"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2,093</w:t>
            </w:r>
          </w:p>
        </w:tc>
        <w:tc>
          <w:tcPr>
            <w:tcW w:w="1080" w:type="dxa"/>
            <w:tcBorders>
              <w:top w:val="nil"/>
              <w:left w:val="nil"/>
              <w:bottom w:val="single" w:sz="4" w:space="0" w:color="auto"/>
              <w:right w:val="single" w:sz="4" w:space="0" w:color="auto"/>
            </w:tcBorders>
            <w:shd w:val="clear" w:color="auto" w:fill="auto"/>
            <w:noWrap/>
            <w:vAlign w:val="center"/>
          </w:tcPr>
          <w:p w14:paraId="4FA0F00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2,163</w:t>
            </w:r>
          </w:p>
        </w:tc>
        <w:tc>
          <w:tcPr>
            <w:tcW w:w="990" w:type="dxa"/>
            <w:tcBorders>
              <w:top w:val="nil"/>
              <w:left w:val="nil"/>
              <w:bottom w:val="single" w:sz="4" w:space="0" w:color="auto"/>
              <w:right w:val="single" w:sz="4" w:space="0" w:color="auto"/>
            </w:tcBorders>
            <w:shd w:val="clear" w:color="auto" w:fill="auto"/>
            <w:noWrap/>
            <w:vAlign w:val="center"/>
          </w:tcPr>
          <w:p w14:paraId="6C24DFD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2,233</w:t>
            </w:r>
          </w:p>
        </w:tc>
        <w:tc>
          <w:tcPr>
            <w:tcW w:w="990" w:type="dxa"/>
            <w:tcBorders>
              <w:top w:val="nil"/>
              <w:left w:val="nil"/>
              <w:bottom w:val="single" w:sz="4" w:space="0" w:color="auto"/>
              <w:right w:val="single" w:sz="4" w:space="0" w:color="auto"/>
            </w:tcBorders>
            <w:shd w:val="clear" w:color="auto" w:fill="auto"/>
            <w:noWrap/>
            <w:vAlign w:val="center"/>
          </w:tcPr>
          <w:p w14:paraId="5DABDD6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2,318</w:t>
            </w:r>
          </w:p>
        </w:tc>
        <w:tc>
          <w:tcPr>
            <w:tcW w:w="1396" w:type="dxa"/>
            <w:tcBorders>
              <w:top w:val="nil"/>
              <w:left w:val="nil"/>
              <w:bottom w:val="single" w:sz="4" w:space="0" w:color="auto"/>
              <w:right w:val="single" w:sz="4" w:space="0" w:color="auto"/>
            </w:tcBorders>
            <w:shd w:val="clear" w:color="auto" w:fill="auto"/>
            <w:noWrap/>
            <w:vAlign w:val="center"/>
          </w:tcPr>
          <w:p w14:paraId="255A5991"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0.7%</w:t>
            </w:r>
          </w:p>
        </w:tc>
      </w:tr>
      <w:tr w:rsidR="000811E5" w:rsidRPr="00D903A2" w14:paraId="53540539"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070561DD"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7488023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High Demand Forecast</w:t>
            </w:r>
          </w:p>
        </w:tc>
        <w:tc>
          <w:tcPr>
            <w:tcW w:w="990" w:type="dxa"/>
            <w:tcBorders>
              <w:top w:val="nil"/>
              <w:left w:val="nil"/>
              <w:bottom w:val="single" w:sz="4" w:space="0" w:color="auto"/>
              <w:right w:val="single" w:sz="4" w:space="0" w:color="auto"/>
            </w:tcBorders>
            <w:shd w:val="clear" w:color="auto" w:fill="auto"/>
            <w:noWrap/>
            <w:vAlign w:val="center"/>
          </w:tcPr>
          <w:p w14:paraId="20CB161D"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2,111</w:t>
            </w:r>
          </w:p>
        </w:tc>
        <w:tc>
          <w:tcPr>
            <w:tcW w:w="1080" w:type="dxa"/>
            <w:tcBorders>
              <w:top w:val="nil"/>
              <w:left w:val="nil"/>
              <w:bottom w:val="single" w:sz="4" w:space="0" w:color="auto"/>
              <w:right w:val="single" w:sz="4" w:space="0" w:color="auto"/>
            </w:tcBorders>
            <w:shd w:val="clear" w:color="auto" w:fill="auto"/>
            <w:noWrap/>
            <w:vAlign w:val="center"/>
          </w:tcPr>
          <w:p w14:paraId="2A1C0751"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2,260</w:t>
            </w:r>
          </w:p>
        </w:tc>
        <w:tc>
          <w:tcPr>
            <w:tcW w:w="1080" w:type="dxa"/>
            <w:tcBorders>
              <w:top w:val="nil"/>
              <w:left w:val="nil"/>
              <w:bottom w:val="single" w:sz="4" w:space="0" w:color="auto"/>
              <w:right w:val="single" w:sz="4" w:space="0" w:color="auto"/>
            </w:tcBorders>
            <w:shd w:val="clear" w:color="auto" w:fill="auto"/>
            <w:noWrap/>
            <w:vAlign w:val="center"/>
          </w:tcPr>
          <w:p w14:paraId="10516B6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2,403</w:t>
            </w:r>
          </w:p>
        </w:tc>
        <w:tc>
          <w:tcPr>
            <w:tcW w:w="990" w:type="dxa"/>
            <w:tcBorders>
              <w:top w:val="nil"/>
              <w:left w:val="nil"/>
              <w:bottom w:val="single" w:sz="4" w:space="0" w:color="auto"/>
              <w:right w:val="single" w:sz="4" w:space="0" w:color="auto"/>
            </w:tcBorders>
            <w:shd w:val="clear" w:color="auto" w:fill="auto"/>
            <w:noWrap/>
            <w:vAlign w:val="center"/>
          </w:tcPr>
          <w:p w14:paraId="1E92BC2B"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2,529</w:t>
            </w:r>
          </w:p>
        </w:tc>
        <w:tc>
          <w:tcPr>
            <w:tcW w:w="990" w:type="dxa"/>
            <w:tcBorders>
              <w:top w:val="nil"/>
              <w:left w:val="nil"/>
              <w:bottom w:val="single" w:sz="4" w:space="0" w:color="auto"/>
              <w:right w:val="single" w:sz="4" w:space="0" w:color="auto"/>
            </w:tcBorders>
            <w:shd w:val="clear" w:color="auto" w:fill="auto"/>
            <w:noWrap/>
            <w:vAlign w:val="center"/>
          </w:tcPr>
          <w:p w14:paraId="7E497E5B"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2,703</w:t>
            </w:r>
          </w:p>
        </w:tc>
        <w:tc>
          <w:tcPr>
            <w:tcW w:w="1396" w:type="dxa"/>
            <w:tcBorders>
              <w:top w:val="nil"/>
              <w:left w:val="nil"/>
              <w:bottom w:val="single" w:sz="4" w:space="0" w:color="auto"/>
              <w:right w:val="single" w:sz="4" w:space="0" w:color="auto"/>
            </w:tcBorders>
            <w:shd w:val="clear" w:color="auto" w:fill="auto"/>
            <w:noWrap/>
            <w:vAlign w:val="center"/>
          </w:tcPr>
          <w:p w14:paraId="648166D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1.3%</w:t>
            </w:r>
          </w:p>
        </w:tc>
      </w:tr>
      <w:tr w:rsidR="000811E5" w:rsidRPr="00D903A2" w14:paraId="0816E388"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59594CD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51E6054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Low Demand Forecast</w:t>
            </w:r>
          </w:p>
        </w:tc>
        <w:tc>
          <w:tcPr>
            <w:tcW w:w="990" w:type="dxa"/>
            <w:tcBorders>
              <w:top w:val="nil"/>
              <w:left w:val="nil"/>
              <w:bottom w:val="single" w:sz="4" w:space="0" w:color="auto"/>
              <w:right w:val="single" w:sz="4" w:space="0" w:color="auto"/>
            </w:tcBorders>
            <w:shd w:val="clear" w:color="auto" w:fill="auto"/>
            <w:noWrap/>
            <w:vAlign w:val="center"/>
          </w:tcPr>
          <w:p w14:paraId="006697C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1,934</w:t>
            </w:r>
          </w:p>
        </w:tc>
        <w:tc>
          <w:tcPr>
            <w:tcW w:w="1080" w:type="dxa"/>
            <w:tcBorders>
              <w:top w:val="nil"/>
              <w:left w:val="nil"/>
              <w:bottom w:val="single" w:sz="4" w:space="0" w:color="auto"/>
              <w:right w:val="single" w:sz="4" w:space="0" w:color="auto"/>
            </w:tcBorders>
            <w:shd w:val="clear" w:color="auto" w:fill="auto"/>
            <w:noWrap/>
            <w:vAlign w:val="center"/>
          </w:tcPr>
          <w:p w14:paraId="7ADA1664"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1,934</w:t>
            </w:r>
          </w:p>
        </w:tc>
        <w:tc>
          <w:tcPr>
            <w:tcW w:w="1080" w:type="dxa"/>
            <w:tcBorders>
              <w:top w:val="nil"/>
              <w:left w:val="nil"/>
              <w:bottom w:val="single" w:sz="4" w:space="0" w:color="auto"/>
              <w:right w:val="single" w:sz="4" w:space="0" w:color="auto"/>
            </w:tcBorders>
            <w:shd w:val="clear" w:color="auto" w:fill="auto"/>
            <w:noWrap/>
            <w:vAlign w:val="center"/>
          </w:tcPr>
          <w:p w14:paraId="1B99FDC2"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1,942</w:t>
            </w:r>
          </w:p>
        </w:tc>
        <w:tc>
          <w:tcPr>
            <w:tcW w:w="990" w:type="dxa"/>
            <w:tcBorders>
              <w:top w:val="nil"/>
              <w:left w:val="nil"/>
              <w:bottom w:val="single" w:sz="4" w:space="0" w:color="auto"/>
              <w:right w:val="single" w:sz="4" w:space="0" w:color="auto"/>
            </w:tcBorders>
            <w:shd w:val="clear" w:color="auto" w:fill="auto"/>
            <w:noWrap/>
            <w:vAlign w:val="center"/>
          </w:tcPr>
          <w:p w14:paraId="7DA8ADE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1,967</w:t>
            </w:r>
          </w:p>
        </w:tc>
        <w:tc>
          <w:tcPr>
            <w:tcW w:w="990" w:type="dxa"/>
            <w:tcBorders>
              <w:top w:val="nil"/>
              <w:left w:val="nil"/>
              <w:bottom w:val="single" w:sz="4" w:space="0" w:color="auto"/>
              <w:right w:val="single" w:sz="4" w:space="0" w:color="auto"/>
            </w:tcBorders>
            <w:shd w:val="clear" w:color="auto" w:fill="auto"/>
            <w:noWrap/>
            <w:vAlign w:val="center"/>
          </w:tcPr>
          <w:p w14:paraId="4B245A1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1,968</w:t>
            </w:r>
          </w:p>
        </w:tc>
        <w:tc>
          <w:tcPr>
            <w:tcW w:w="1396" w:type="dxa"/>
            <w:tcBorders>
              <w:top w:val="nil"/>
              <w:left w:val="nil"/>
              <w:bottom w:val="single" w:sz="4" w:space="0" w:color="auto"/>
              <w:right w:val="single" w:sz="4" w:space="0" w:color="auto"/>
            </w:tcBorders>
            <w:shd w:val="clear" w:color="auto" w:fill="auto"/>
            <w:noWrap/>
            <w:vAlign w:val="center"/>
          </w:tcPr>
          <w:p w14:paraId="4CA243FB"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0.1%</w:t>
            </w:r>
          </w:p>
        </w:tc>
      </w:tr>
    </w:tbl>
    <w:p w14:paraId="712388BB" w14:textId="77777777" w:rsidR="000811E5" w:rsidRDefault="000811E5" w:rsidP="000811E5">
      <w:pPr>
        <w:pStyle w:val="IRPsanstext"/>
      </w:pPr>
    </w:p>
    <w:p w14:paraId="7B417434" w14:textId="77777777" w:rsidR="000811E5" w:rsidRDefault="000811E5">
      <w:pPr>
        <w:rPr>
          <w:rFonts w:ascii="Arial" w:hAnsi="Arial"/>
          <w:sz w:val="20"/>
          <w:szCs w:val="20"/>
        </w:rPr>
      </w:pPr>
      <w:r>
        <w:br w:type="page"/>
      </w:r>
    </w:p>
    <w:p w14:paraId="29E85E93" w14:textId="77777777" w:rsidR="000811E5" w:rsidRDefault="000811E5" w:rsidP="000811E5">
      <w:pPr>
        <w:pStyle w:val="IRPsanstext"/>
      </w:pPr>
      <w:r w:rsidRPr="000811E5">
        <w:rPr>
          <w:b/>
          <w:color w:val="156570"/>
          <w:sz w:val="28"/>
          <w:szCs w:val="28"/>
        </w:rPr>
        <w:lastRenderedPageBreak/>
        <w:t>Gas Scenario Outlooks: Base, High and Low.</w:t>
      </w:r>
      <w:r w:rsidRPr="007414D4">
        <w:rPr>
          <w:color w:val="156570"/>
          <w:sz w:val="28"/>
          <w:szCs w:val="28"/>
        </w:rPr>
        <w:t xml:space="preserve"> </w:t>
      </w:r>
      <w:r>
        <w:t xml:space="preserve">In the Base Gas Demand Forecast scenario, population grows by 1.2 percent annually from 4.1 million people in 2016 to almost 5.2 million people by 2035. Employment is expected to grow by 1.4 percent annually from 2016 to 2035.  </w:t>
      </w:r>
    </w:p>
    <w:p w14:paraId="5280FA94" w14:textId="77777777" w:rsidR="000811E5" w:rsidRDefault="000811E5" w:rsidP="000811E5">
      <w:pPr>
        <w:pStyle w:val="IRPsanstext"/>
      </w:pPr>
    </w:p>
    <w:p w14:paraId="3919DD0D" w14:textId="77777777" w:rsidR="000811E5" w:rsidRDefault="000811E5" w:rsidP="000811E5">
      <w:pPr>
        <w:pStyle w:val="IRPsanstext"/>
        <w:rPr>
          <w:color w:val="3366FF"/>
        </w:rPr>
      </w:pPr>
      <w:r>
        <w:t>F</w:t>
      </w:r>
      <w:r w:rsidRPr="001A05F7">
        <w:t>or the Low Gas Demand Forecast</w:t>
      </w:r>
      <w:r>
        <w:t xml:space="preserve"> scenario, population grows by 1.0 percent annually from 2016 to 2035</w:t>
      </w:r>
      <w:r>
        <w:rPr>
          <w:color w:val="3366FF"/>
        </w:rPr>
        <w:t xml:space="preserve">. </w:t>
      </w:r>
      <w:r w:rsidRPr="00421ED2">
        <w:t>Employment grows 0.</w:t>
      </w:r>
      <w:r>
        <w:t>7</w:t>
      </w:r>
      <w:r w:rsidRPr="00421ED2">
        <w:t xml:space="preserve"> </w:t>
      </w:r>
      <w:r>
        <w:t>percent annually from 2016 to 2035</w:t>
      </w:r>
      <w:r>
        <w:rPr>
          <w:color w:val="3366FF"/>
        </w:rPr>
        <w:t>.</w:t>
      </w:r>
      <w:r>
        <w:rPr>
          <w:color w:val="3366FF"/>
        </w:rPr>
        <w:br/>
      </w:r>
    </w:p>
    <w:p w14:paraId="30421B08" w14:textId="77777777" w:rsidR="000811E5" w:rsidRPr="00CE1B72" w:rsidRDefault="000811E5" w:rsidP="000811E5">
      <w:pPr>
        <w:pStyle w:val="IRPsanstext"/>
      </w:pPr>
      <w:r w:rsidRPr="00421ED2">
        <w:t xml:space="preserve">For the High </w:t>
      </w:r>
      <w:r>
        <w:t xml:space="preserve">Gas </w:t>
      </w:r>
      <w:r w:rsidRPr="00421ED2">
        <w:t>Demand Forecast sc</w:t>
      </w:r>
      <w:r>
        <w:t>enario, population grows by 1.3 percent</w:t>
      </w:r>
      <w:r w:rsidRPr="00421ED2">
        <w:t xml:space="preserve"> annually from 2016 to 203</w:t>
      </w:r>
      <w:r>
        <w:t>5</w:t>
      </w:r>
      <w:r w:rsidRPr="00421ED2">
        <w:t>, and employ</w:t>
      </w:r>
      <w:r>
        <w:t>me</w:t>
      </w:r>
      <w:r w:rsidRPr="00421ED2">
        <w:t xml:space="preserve">nt grows by </w:t>
      </w:r>
      <w:r>
        <w:t>2.0</w:t>
      </w:r>
      <w:r w:rsidRPr="00421ED2">
        <w:t xml:space="preserve"> percent </w:t>
      </w:r>
      <w:r>
        <w:t xml:space="preserve">per year </w:t>
      </w:r>
      <w:r w:rsidRPr="00421ED2">
        <w:t>during that period.</w:t>
      </w:r>
    </w:p>
    <w:p w14:paraId="7313DD8A" w14:textId="77777777" w:rsidR="000811E5" w:rsidRDefault="000811E5" w:rsidP="000811E5">
      <w:pPr>
        <w:pStyle w:val="IRPsanstext"/>
      </w:pPr>
    </w:p>
    <w:p w14:paraId="5C26FCF4" w14:textId="77777777" w:rsidR="000811E5" w:rsidRDefault="000811E5" w:rsidP="000811E5">
      <w:pPr>
        <w:pStyle w:val="IRPsanstext"/>
      </w:pPr>
      <w:r>
        <w:t xml:space="preserve">The Base, High and Low population and employment forecasts for PSE’s gas sales service area are compared in Figures 5-10 and 5-11.  </w:t>
      </w:r>
    </w:p>
    <w:p w14:paraId="5EC3065D" w14:textId="77777777" w:rsidR="000811E5" w:rsidRDefault="000811E5" w:rsidP="000811E5">
      <w:pPr>
        <w:pStyle w:val="IRPsanstext"/>
      </w:pPr>
    </w:p>
    <w:p w14:paraId="7AD802EF" w14:textId="77777777" w:rsidR="000811E5" w:rsidRDefault="000811E5" w:rsidP="000811E5">
      <w:pPr>
        <w:pStyle w:val="IRPFigureSub"/>
        <w:spacing w:after="120"/>
      </w:pPr>
      <w:r>
        <w:t xml:space="preserve">Figure 5-10: </w:t>
      </w:r>
      <w:r w:rsidRPr="00BA709F">
        <w:t xml:space="preserve">Population </w:t>
      </w:r>
      <w:r>
        <w:t xml:space="preserve">Growth, </w:t>
      </w:r>
      <w:r w:rsidRPr="00BA709F">
        <w:t xml:space="preserve">Gas Service Area </w:t>
      </w:r>
    </w:p>
    <w:tbl>
      <w:tblPr>
        <w:tblW w:w="8835" w:type="dxa"/>
        <w:tblInd w:w="93" w:type="dxa"/>
        <w:tblLook w:val="04A0" w:firstRow="1" w:lastRow="0" w:firstColumn="1" w:lastColumn="0" w:noHBand="0" w:noVBand="1"/>
      </w:tblPr>
      <w:tblGrid>
        <w:gridCol w:w="2355"/>
        <w:gridCol w:w="990"/>
        <w:gridCol w:w="1080"/>
        <w:gridCol w:w="1080"/>
        <w:gridCol w:w="990"/>
        <w:gridCol w:w="990"/>
        <w:gridCol w:w="1350"/>
      </w:tblGrid>
      <w:tr w:rsidR="000811E5" w:rsidRPr="000560FC" w14:paraId="271F8F11" w14:textId="77777777">
        <w:trPr>
          <w:trHeight w:val="300"/>
        </w:trPr>
        <w:tc>
          <w:tcPr>
            <w:tcW w:w="883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4BF59345" w14:textId="77777777" w:rsidR="000811E5" w:rsidRPr="006246FD" w:rsidRDefault="000811E5" w:rsidP="00615718">
            <w:pPr>
              <w:spacing w:after="40"/>
              <w:jc w:val="center"/>
              <w:rPr>
                <w:rFonts w:ascii="Arial" w:eastAsia="Times New Roman" w:hAnsi="Arial"/>
                <w:b/>
                <w:caps/>
                <w:color w:val="FFFFFF" w:themeColor="background1"/>
                <w:sz w:val="20"/>
                <w:szCs w:val="22"/>
                <w:lang w:eastAsia="en-US"/>
              </w:rPr>
            </w:pPr>
            <w:r w:rsidRPr="006246FD">
              <w:rPr>
                <w:rFonts w:ascii="Arial" w:eastAsia="Times New Roman" w:hAnsi="Arial"/>
                <w:b/>
                <w:caps/>
                <w:color w:val="FFFFFF" w:themeColor="background1"/>
                <w:sz w:val="20"/>
                <w:szCs w:val="22"/>
                <w:lang w:eastAsia="en-US"/>
              </w:rPr>
              <w:t>Population Growth, Gas Service Area  (1,000</w:t>
            </w:r>
            <w:r w:rsidRPr="006246FD">
              <w:rPr>
                <w:rFonts w:ascii="Arial" w:eastAsia="Times New Roman" w:hAnsi="Arial"/>
                <w:b/>
                <w:color w:val="FFFFFF" w:themeColor="background1"/>
                <w:sz w:val="20"/>
                <w:szCs w:val="22"/>
                <w:lang w:eastAsia="en-US"/>
              </w:rPr>
              <w:t>s</w:t>
            </w:r>
            <w:r w:rsidRPr="006246FD">
              <w:rPr>
                <w:rFonts w:ascii="Arial" w:eastAsia="Times New Roman" w:hAnsi="Arial"/>
                <w:b/>
                <w:caps/>
                <w:color w:val="FFFFFF" w:themeColor="background1"/>
                <w:sz w:val="20"/>
                <w:szCs w:val="22"/>
                <w:lang w:eastAsia="en-US"/>
              </w:rPr>
              <w:t>)</w:t>
            </w:r>
          </w:p>
        </w:tc>
      </w:tr>
      <w:tr w:rsidR="000811E5" w:rsidRPr="000560FC" w14:paraId="540BD8A4" w14:textId="77777777">
        <w:trPr>
          <w:trHeight w:val="737"/>
        </w:trPr>
        <w:tc>
          <w:tcPr>
            <w:tcW w:w="2355" w:type="dxa"/>
            <w:tcBorders>
              <w:top w:val="nil"/>
              <w:left w:val="single" w:sz="4" w:space="0" w:color="auto"/>
              <w:bottom w:val="single" w:sz="4" w:space="0" w:color="auto"/>
              <w:right w:val="single" w:sz="4" w:space="0" w:color="auto"/>
            </w:tcBorders>
            <w:shd w:val="clear" w:color="auto" w:fill="156570"/>
            <w:noWrap/>
            <w:vAlign w:val="center"/>
          </w:tcPr>
          <w:p w14:paraId="00C04038"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Scenario</w:t>
            </w:r>
          </w:p>
        </w:tc>
        <w:tc>
          <w:tcPr>
            <w:tcW w:w="990" w:type="dxa"/>
            <w:tcBorders>
              <w:top w:val="nil"/>
              <w:left w:val="nil"/>
              <w:bottom w:val="single" w:sz="4" w:space="0" w:color="auto"/>
              <w:right w:val="single" w:sz="4" w:space="0" w:color="auto"/>
            </w:tcBorders>
            <w:shd w:val="clear" w:color="auto" w:fill="156570"/>
            <w:noWrap/>
            <w:vAlign w:val="center"/>
          </w:tcPr>
          <w:p w14:paraId="6A6C4AEE"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2016</w:t>
            </w:r>
          </w:p>
        </w:tc>
        <w:tc>
          <w:tcPr>
            <w:tcW w:w="1080" w:type="dxa"/>
            <w:tcBorders>
              <w:top w:val="nil"/>
              <w:left w:val="nil"/>
              <w:bottom w:val="single" w:sz="4" w:space="0" w:color="auto"/>
              <w:right w:val="single" w:sz="4" w:space="0" w:color="auto"/>
            </w:tcBorders>
            <w:shd w:val="clear" w:color="auto" w:fill="156570"/>
            <w:noWrap/>
            <w:vAlign w:val="center"/>
          </w:tcPr>
          <w:p w14:paraId="57837B34"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2020</w:t>
            </w:r>
          </w:p>
        </w:tc>
        <w:tc>
          <w:tcPr>
            <w:tcW w:w="1080" w:type="dxa"/>
            <w:tcBorders>
              <w:top w:val="nil"/>
              <w:left w:val="nil"/>
              <w:bottom w:val="nil"/>
              <w:right w:val="single" w:sz="4" w:space="0" w:color="auto"/>
            </w:tcBorders>
            <w:shd w:val="clear" w:color="auto" w:fill="156570"/>
            <w:noWrap/>
            <w:vAlign w:val="center"/>
          </w:tcPr>
          <w:p w14:paraId="6A1A7106"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2025</w:t>
            </w:r>
          </w:p>
        </w:tc>
        <w:tc>
          <w:tcPr>
            <w:tcW w:w="990" w:type="dxa"/>
            <w:tcBorders>
              <w:top w:val="nil"/>
              <w:left w:val="nil"/>
              <w:bottom w:val="nil"/>
              <w:right w:val="single" w:sz="4" w:space="0" w:color="auto"/>
            </w:tcBorders>
            <w:shd w:val="clear" w:color="auto" w:fill="156570"/>
            <w:noWrap/>
            <w:vAlign w:val="center"/>
          </w:tcPr>
          <w:p w14:paraId="136EEC0B"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216214F3"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2035</w:t>
            </w:r>
          </w:p>
        </w:tc>
        <w:tc>
          <w:tcPr>
            <w:tcW w:w="1350" w:type="dxa"/>
            <w:tcBorders>
              <w:top w:val="nil"/>
              <w:left w:val="nil"/>
              <w:bottom w:val="single" w:sz="4" w:space="0" w:color="auto"/>
              <w:right w:val="single" w:sz="4" w:space="0" w:color="auto"/>
            </w:tcBorders>
            <w:shd w:val="clear" w:color="auto" w:fill="156570"/>
            <w:vAlign w:val="center"/>
          </w:tcPr>
          <w:p w14:paraId="4ACA7589"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AARG 2016-2035</w:t>
            </w:r>
          </w:p>
        </w:tc>
      </w:tr>
      <w:tr w:rsidR="000811E5" w:rsidRPr="000560FC" w14:paraId="49A80C6A"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6582FD8B"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6D45A1E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Base Demand Forecast</w:t>
            </w:r>
          </w:p>
        </w:tc>
        <w:tc>
          <w:tcPr>
            <w:tcW w:w="990" w:type="dxa"/>
            <w:tcBorders>
              <w:top w:val="nil"/>
              <w:left w:val="nil"/>
              <w:bottom w:val="single" w:sz="4" w:space="0" w:color="auto"/>
              <w:right w:val="single" w:sz="4" w:space="0" w:color="auto"/>
            </w:tcBorders>
            <w:shd w:val="clear" w:color="auto" w:fill="auto"/>
            <w:noWrap/>
            <w:vAlign w:val="center"/>
          </w:tcPr>
          <w:p w14:paraId="2360DDAE"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4,146</w:t>
            </w:r>
          </w:p>
        </w:tc>
        <w:tc>
          <w:tcPr>
            <w:tcW w:w="1080" w:type="dxa"/>
            <w:tcBorders>
              <w:top w:val="nil"/>
              <w:left w:val="nil"/>
              <w:bottom w:val="single" w:sz="4" w:space="0" w:color="auto"/>
              <w:right w:val="single" w:sz="4" w:space="0" w:color="auto"/>
            </w:tcBorders>
            <w:shd w:val="clear" w:color="auto" w:fill="auto"/>
            <w:noWrap/>
            <w:vAlign w:val="center"/>
          </w:tcPr>
          <w:p w14:paraId="5625300E"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4,364</w:t>
            </w:r>
          </w:p>
        </w:tc>
        <w:tc>
          <w:tcPr>
            <w:tcW w:w="1080" w:type="dxa"/>
            <w:tcBorders>
              <w:top w:val="single" w:sz="4" w:space="0" w:color="auto"/>
              <w:left w:val="nil"/>
              <w:bottom w:val="nil"/>
              <w:right w:val="single" w:sz="4" w:space="0" w:color="auto"/>
            </w:tcBorders>
            <w:shd w:val="clear" w:color="auto" w:fill="auto"/>
            <w:noWrap/>
            <w:vAlign w:val="center"/>
          </w:tcPr>
          <w:p w14:paraId="6BB16CBD"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4,640</w:t>
            </w:r>
          </w:p>
        </w:tc>
        <w:tc>
          <w:tcPr>
            <w:tcW w:w="990" w:type="dxa"/>
            <w:tcBorders>
              <w:top w:val="single" w:sz="4" w:space="0" w:color="auto"/>
              <w:left w:val="nil"/>
              <w:bottom w:val="nil"/>
              <w:right w:val="single" w:sz="4" w:space="0" w:color="auto"/>
            </w:tcBorders>
            <w:shd w:val="clear" w:color="auto" w:fill="auto"/>
            <w:noWrap/>
            <w:vAlign w:val="center"/>
          </w:tcPr>
          <w:p w14:paraId="10A57ED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4,900</w:t>
            </w:r>
          </w:p>
        </w:tc>
        <w:tc>
          <w:tcPr>
            <w:tcW w:w="990" w:type="dxa"/>
            <w:tcBorders>
              <w:top w:val="nil"/>
              <w:left w:val="nil"/>
              <w:bottom w:val="single" w:sz="4" w:space="0" w:color="auto"/>
              <w:right w:val="single" w:sz="4" w:space="0" w:color="auto"/>
            </w:tcBorders>
            <w:shd w:val="clear" w:color="auto" w:fill="auto"/>
            <w:noWrap/>
            <w:vAlign w:val="center"/>
          </w:tcPr>
          <w:p w14:paraId="37FF61B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5,161</w:t>
            </w:r>
          </w:p>
        </w:tc>
        <w:tc>
          <w:tcPr>
            <w:tcW w:w="1350" w:type="dxa"/>
            <w:tcBorders>
              <w:top w:val="nil"/>
              <w:left w:val="nil"/>
              <w:bottom w:val="single" w:sz="4" w:space="0" w:color="auto"/>
              <w:right w:val="single" w:sz="4" w:space="0" w:color="auto"/>
            </w:tcBorders>
            <w:shd w:val="clear" w:color="auto" w:fill="auto"/>
            <w:noWrap/>
            <w:vAlign w:val="center"/>
          </w:tcPr>
          <w:p w14:paraId="5B543CA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1.2%</w:t>
            </w:r>
          </w:p>
        </w:tc>
      </w:tr>
      <w:tr w:rsidR="000811E5" w:rsidRPr="000560FC" w14:paraId="29C58A92"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4EF1235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13E66CF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High Demand Forecast</w:t>
            </w:r>
          </w:p>
        </w:tc>
        <w:tc>
          <w:tcPr>
            <w:tcW w:w="990" w:type="dxa"/>
            <w:tcBorders>
              <w:top w:val="nil"/>
              <w:left w:val="nil"/>
              <w:bottom w:val="single" w:sz="4" w:space="0" w:color="auto"/>
              <w:right w:val="single" w:sz="4" w:space="0" w:color="auto"/>
            </w:tcBorders>
            <w:shd w:val="clear" w:color="auto" w:fill="auto"/>
            <w:noWrap/>
            <w:vAlign w:val="center"/>
          </w:tcPr>
          <w:p w14:paraId="09F02DA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4,173</w:t>
            </w:r>
          </w:p>
        </w:tc>
        <w:tc>
          <w:tcPr>
            <w:tcW w:w="1080" w:type="dxa"/>
            <w:tcBorders>
              <w:top w:val="nil"/>
              <w:left w:val="nil"/>
              <w:bottom w:val="single" w:sz="4" w:space="0" w:color="auto"/>
              <w:right w:val="single" w:sz="4" w:space="0" w:color="auto"/>
            </w:tcBorders>
            <w:shd w:val="clear" w:color="auto" w:fill="auto"/>
            <w:noWrap/>
            <w:vAlign w:val="center"/>
          </w:tcPr>
          <w:p w14:paraId="5E154B2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4,428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1F0A99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4,734</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8A746A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5,026</w:t>
            </w:r>
          </w:p>
        </w:tc>
        <w:tc>
          <w:tcPr>
            <w:tcW w:w="990" w:type="dxa"/>
            <w:tcBorders>
              <w:top w:val="nil"/>
              <w:left w:val="nil"/>
              <w:bottom w:val="single" w:sz="4" w:space="0" w:color="auto"/>
              <w:right w:val="single" w:sz="4" w:space="0" w:color="auto"/>
            </w:tcBorders>
            <w:shd w:val="clear" w:color="auto" w:fill="auto"/>
            <w:noWrap/>
            <w:vAlign w:val="center"/>
          </w:tcPr>
          <w:p w14:paraId="044E0FB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5,346</w:t>
            </w:r>
          </w:p>
        </w:tc>
        <w:tc>
          <w:tcPr>
            <w:tcW w:w="1350" w:type="dxa"/>
            <w:tcBorders>
              <w:top w:val="nil"/>
              <w:left w:val="nil"/>
              <w:bottom w:val="single" w:sz="4" w:space="0" w:color="auto"/>
              <w:right w:val="single" w:sz="4" w:space="0" w:color="auto"/>
            </w:tcBorders>
            <w:shd w:val="clear" w:color="auto" w:fill="auto"/>
            <w:noWrap/>
            <w:vAlign w:val="center"/>
          </w:tcPr>
          <w:p w14:paraId="41BDCF4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1.3%</w:t>
            </w:r>
          </w:p>
        </w:tc>
      </w:tr>
      <w:tr w:rsidR="000811E5" w:rsidRPr="000560FC" w14:paraId="6ED20244"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1A61CA3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3497B59D"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Low Demand Forecast</w:t>
            </w:r>
          </w:p>
        </w:tc>
        <w:tc>
          <w:tcPr>
            <w:tcW w:w="990" w:type="dxa"/>
            <w:tcBorders>
              <w:top w:val="nil"/>
              <w:left w:val="nil"/>
              <w:bottom w:val="single" w:sz="4" w:space="0" w:color="auto"/>
              <w:right w:val="single" w:sz="4" w:space="0" w:color="auto"/>
            </w:tcBorders>
            <w:shd w:val="clear" w:color="auto" w:fill="auto"/>
            <w:noWrap/>
            <w:vAlign w:val="center"/>
          </w:tcPr>
          <w:p w14:paraId="3B1F17C2"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4,117</w:t>
            </w:r>
          </w:p>
        </w:tc>
        <w:tc>
          <w:tcPr>
            <w:tcW w:w="1080" w:type="dxa"/>
            <w:tcBorders>
              <w:top w:val="nil"/>
              <w:left w:val="nil"/>
              <w:bottom w:val="single" w:sz="4" w:space="0" w:color="auto"/>
              <w:right w:val="single" w:sz="4" w:space="0" w:color="auto"/>
            </w:tcBorders>
            <w:shd w:val="clear" w:color="auto" w:fill="auto"/>
            <w:noWrap/>
            <w:vAlign w:val="center"/>
          </w:tcPr>
          <w:p w14:paraId="32DF5182"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4,300</w:t>
            </w:r>
          </w:p>
        </w:tc>
        <w:tc>
          <w:tcPr>
            <w:tcW w:w="1080" w:type="dxa"/>
            <w:tcBorders>
              <w:top w:val="nil"/>
              <w:left w:val="nil"/>
              <w:bottom w:val="single" w:sz="4" w:space="0" w:color="auto"/>
              <w:right w:val="single" w:sz="4" w:space="0" w:color="auto"/>
            </w:tcBorders>
            <w:shd w:val="clear" w:color="auto" w:fill="auto"/>
            <w:noWrap/>
            <w:vAlign w:val="center"/>
          </w:tcPr>
          <w:p w14:paraId="3C46AE83"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4,543</w:t>
            </w:r>
          </w:p>
        </w:tc>
        <w:tc>
          <w:tcPr>
            <w:tcW w:w="990" w:type="dxa"/>
            <w:tcBorders>
              <w:top w:val="nil"/>
              <w:left w:val="nil"/>
              <w:bottom w:val="single" w:sz="4" w:space="0" w:color="auto"/>
              <w:right w:val="single" w:sz="4" w:space="0" w:color="auto"/>
            </w:tcBorders>
            <w:shd w:val="clear" w:color="auto" w:fill="auto"/>
            <w:noWrap/>
            <w:vAlign w:val="center"/>
          </w:tcPr>
          <w:p w14:paraId="7EA1999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4,772</w:t>
            </w:r>
          </w:p>
        </w:tc>
        <w:tc>
          <w:tcPr>
            <w:tcW w:w="990" w:type="dxa"/>
            <w:tcBorders>
              <w:top w:val="nil"/>
              <w:left w:val="nil"/>
              <w:bottom w:val="single" w:sz="4" w:space="0" w:color="auto"/>
              <w:right w:val="single" w:sz="4" w:space="0" w:color="auto"/>
            </w:tcBorders>
            <w:shd w:val="clear" w:color="auto" w:fill="auto"/>
            <w:noWrap/>
            <w:vAlign w:val="center"/>
          </w:tcPr>
          <w:p w14:paraId="188E83C3"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4,999</w:t>
            </w:r>
          </w:p>
        </w:tc>
        <w:tc>
          <w:tcPr>
            <w:tcW w:w="1350" w:type="dxa"/>
            <w:tcBorders>
              <w:top w:val="nil"/>
              <w:left w:val="nil"/>
              <w:bottom w:val="single" w:sz="4" w:space="0" w:color="auto"/>
              <w:right w:val="single" w:sz="4" w:space="0" w:color="auto"/>
            </w:tcBorders>
            <w:shd w:val="clear" w:color="auto" w:fill="auto"/>
            <w:noWrap/>
            <w:vAlign w:val="center"/>
          </w:tcPr>
          <w:p w14:paraId="2E618903"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1.0%</w:t>
            </w:r>
          </w:p>
        </w:tc>
      </w:tr>
    </w:tbl>
    <w:p w14:paraId="09ADE42A" w14:textId="77777777" w:rsidR="000811E5" w:rsidRDefault="000811E5" w:rsidP="000811E5">
      <w:pPr>
        <w:pStyle w:val="IRPsanstext"/>
      </w:pPr>
    </w:p>
    <w:p w14:paraId="6F16E3AA" w14:textId="77777777" w:rsidR="000811E5" w:rsidRDefault="000811E5" w:rsidP="000811E5">
      <w:pPr>
        <w:pStyle w:val="IRPFigureSub"/>
        <w:spacing w:after="120"/>
      </w:pPr>
      <w:r>
        <w:t xml:space="preserve">Figure 5-11: </w:t>
      </w:r>
      <w:r w:rsidRPr="00BA709F">
        <w:t xml:space="preserve">Employment </w:t>
      </w:r>
      <w:r>
        <w:t xml:space="preserve">Growth, </w:t>
      </w:r>
      <w:r w:rsidRPr="00BA709F">
        <w:t xml:space="preserve">Gas Service Area </w:t>
      </w:r>
    </w:p>
    <w:tbl>
      <w:tblPr>
        <w:tblW w:w="8835" w:type="dxa"/>
        <w:tblInd w:w="93" w:type="dxa"/>
        <w:tblLook w:val="04A0" w:firstRow="1" w:lastRow="0" w:firstColumn="1" w:lastColumn="0" w:noHBand="0" w:noVBand="1"/>
      </w:tblPr>
      <w:tblGrid>
        <w:gridCol w:w="2355"/>
        <w:gridCol w:w="990"/>
        <w:gridCol w:w="1080"/>
        <w:gridCol w:w="1080"/>
        <w:gridCol w:w="990"/>
        <w:gridCol w:w="990"/>
        <w:gridCol w:w="1350"/>
      </w:tblGrid>
      <w:tr w:rsidR="000811E5" w:rsidRPr="000560FC" w14:paraId="28C249C6" w14:textId="77777777">
        <w:trPr>
          <w:trHeight w:val="300"/>
        </w:trPr>
        <w:tc>
          <w:tcPr>
            <w:tcW w:w="883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5C28EABD" w14:textId="77777777" w:rsidR="000811E5" w:rsidRPr="006246FD" w:rsidRDefault="000811E5" w:rsidP="00615718">
            <w:pPr>
              <w:spacing w:after="40"/>
              <w:jc w:val="center"/>
              <w:rPr>
                <w:rFonts w:ascii="Arial" w:eastAsia="Times New Roman" w:hAnsi="Arial"/>
                <w:b/>
                <w:color w:val="FFFFFF" w:themeColor="background1"/>
                <w:sz w:val="20"/>
                <w:szCs w:val="22"/>
                <w:lang w:eastAsia="en-US"/>
              </w:rPr>
            </w:pPr>
            <w:r w:rsidRPr="006246FD">
              <w:rPr>
                <w:rFonts w:ascii="Arial" w:eastAsia="Times New Roman" w:hAnsi="Arial"/>
                <w:b/>
                <w:caps/>
                <w:color w:val="FFFFFF" w:themeColor="background1"/>
                <w:sz w:val="20"/>
                <w:szCs w:val="22"/>
                <w:lang w:eastAsia="en-US"/>
              </w:rPr>
              <w:t>Employment</w:t>
            </w:r>
            <w:r w:rsidRPr="006246FD">
              <w:rPr>
                <w:rFonts w:ascii="Arial" w:eastAsia="Times New Roman" w:hAnsi="Arial"/>
                <w:b/>
                <w:color w:val="FFFFFF" w:themeColor="background1"/>
                <w:sz w:val="20"/>
                <w:szCs w:val="22"/>
                <w:lang w:eastAsia="en-US"/>
              </w:rPr>
              <w:t xml:space="preserve"> GROWTH, </w:t>
            </w:r>
            <w:r w:rsidRPr="006246FD">
              <w:rPr>
                <w:rFonts w:ascii="Arial" w:eastAsia="Times New Roman" w:hAnsi="Arial"/>
                <w:b/>
                <w:caps/>
                <w:color w:val="FFFFFF" w:themeColor="background1"/>
                <w:sz w:val="20"/>
                <w:szCs w:val="22"/>
                <w:lang w:eastAsia="en-US"/>
              </w:rPr>
              <w:t xml:space="preserve">Gas Service Area </w:t>
            </w:r>
            <w:r w:rsidRPr="006246FD">
              <w:rPr>
                <w:rFonts w:ascii="Arial" w:eastAsia="Times New Roman" w:hAnsi="Arial"/>
                <w:b/>
                <w:color w:val="FFFFFF" w:themeColor="background1"/>
                <w:sz w:val="20"/>
                <w:szCs w:val="22"/>
                <w:lang w:eastAsia="en-US"/>
              </w:rPr>
              <w:t>(1,000s)</w:t>
            </w:r>
          </w:p>
        </w:tc>
      </w:tr>
      <w:tr w:rsidR="000811E5" w:rsidRPr="000560FC" w14:paraId="3C91C63A" w14:textId="77777777">
        <w:trPr>
          <w:trHeight w:val="647"/>
        </w:trPr>
        <w:tc>
          <w:tcPr>
            <w:tcW w:w="2355" w:type="dxa"/>
            <w:tcBorders>
              <w:top w:val="nil"/>
              <w:left w:val="single" w:sz="4" w:space="0" w:color="auto"/>
              <w:bottom w:val="single" w:sz="4" w:space="0" w:color="auto"/>
              <w:right w:val="single" w:sz="4" w:space="0" w:color="auto"/>
            </w:tcBorders>
            <w:shd w:val="clear" w:color="auto" w:fill="156570"/>
            <w:noWrap/>
            <w:vAlign w:val="center"/>
          </w:tcPr>
          <w:p w14:paraId="40950719"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Scenario</w:t>
            </w:r>
          </w:p>
        </w:tc>
        <w:tc>
          <w:tcPr>
            <w:tcW w:w="990" w:type="dxa"/>
            <w:tcBorders>
              <w:top w:val="nil"/>
              <w:left w:val="nil"/>
              <w:bottom w:val="single" w:sz="4" w:space="0" w:color="auto"/>
              <w:right w:val="single" w:sz="4" w:space="0" w:color="auto"/>
            </w:tcBorders>
            <w:shd w:val="clear" w:color="auto" w:fill="156570"/>
            <w:noWrap/>
            <w:vAlign w:val="center"/>
          </w:tcPr>
          <w:p w14:paraId="303E1F94"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2016</w:t>
            </w:r>
          </w:p>
        </w:tc>
        <w:tc>
          <w:tcPr>
            <w:tcW w:w="1080" w:type="dxa"/>
            <w:tcBorders>
              <w:top w:val="nil"/>
              <w:left w:val="nil"/>
              <w:bottom w:val="single" w:sz="4" w:space="0" w:color="auto"/>
              <w:right w:val="single" w:sz="4" w:space="0" w:color="auto"/>
            </w:tcBorders>
            <w:shd w:val="clear" w:color="auto" w:fill="156570"/>
            <w:noWrap/>
            <w:vAlign w:val="center"/>
          </w:tcPr>
          <w:p w14:paraId="5A4E2DE8"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2020</w:t>
            </w:r>
          </w:p>
        </w:tc>
        <w:tc>
          <w:tcPr>
            <w:tcW w:w="1080" w:type="dxa"/>
            <w:tcBorders>
              <w:top w:val="nil"/>
              <w:left w:val="nil"/>
              <w:bottom w:val="single" w:sz="4" w:space="0" w:color="auto"/>
              <w:right w:val="single" w:sz="4" w:space="0" w:color="auto"/>
            </w:tcBorders>
            <w:shd w:val="clear" w:color="auto" w:fill="156570"/>
            <w:noWrap/>
            <w:vAlign w:val="center"/>
          </w:tcPr>
          <w:p w14:paraId="0443FF84"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2025</w:t>
            </w:r>
          </w:p>
        </w:tc>
        <w:tc>
          <w:tcPr>
            <w:tcW w:w="990" w:type="dxa"/>
            <w:tcBorders>
              <w:top w:val="nil"/>
              <w:left w:val="nil"/>
              <w:bottom w:val="single" w:sz="4" w:space="0" w:color="auto"/>
              <w:right w:val="single" w:sz="4" w:space="0" w:color="auto"/>
            </w:tcBorders>
            <w:shd w:val="clear" w:color="auto" w:fill="156570"/>
            <w:noWrap/>
            <w:vAlign w:val="center"/>
          </w:tcPr>
          <w:p w14:paraId="3FAE2373"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1692CAF9"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2035</w:t>
            </w:r>
          </w:p>
        </w:tc>
        <w:tc>
          <w:tcPr>
            <w:tcW w:w="1350" w:type="dxa"/>
            <w:tcBorders>
              <w:top w:val="nil"/>
              <w:left w:val="nil"/>
              <w:bottom w:val="single" w:sz="4" w:space="0" w:color="auto"/>
              <w:right w:val="single" w:sz="4" w:space="0" w:color="auto"/>
            </w:tcBorders>
            <w:shd w:val="clear" w:color="auto" w:fill="156570"/>
            <w:vAlign w:val="center"/>
          </w:tcPr>
          <w:p w14:paraId="18815DEB"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 xml:space="preserve">AARG </w:t>
            </w:r>
          </w:p>
          <w:p w14:paraId="35FCC156"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2016-2035</w:t>
            </w:r>
          </w:p>
        </w:tc>
      </w:tr>
      <w:tr w:rsidR="000811E5" w:rsidRPr="000560FC" w14:paraId="57F29EF2" w14:textId="77777777">
        <w:trPr>
          <w:trHeight w:val="674"/>
        </w:trPr>
        <w:tc>
          <w:tcPr>
            <w:tcW w:w="2355" w:type="dxa"/>
            <w:tcBorders>
              <w:top w:val="nil"/>
              <w:left w:val="single" w:sz="4" w:space="0" w:color="auto"/>
              <w:bottom w:val="single" w:sz="4" w:space="0" w:color="auto"/>
              <w:right w:val="single" w:sz="4" w:space="0" w:color="auto"/>
            </w:tcBorders>
            <w:shd w:val="clear" w:color="auto" w:fill="auto"/>
            <w:vAlign w:val="center"/>
          </w:tcPr>
          <w:p w14:paraId="3F6E6B93"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 xml:space="preserve">2015 IRP </w:t>
            </w:r>
          </w:p>
          <w:p w14:paraId="0A21AB57"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Base Demand Forecast</w:t>
            </w:r>
          </w:p>
        </w:tc>
        <w:tc>
          <w:tcPr>
            <w:tcW w:w="990" w:type="dxa"/>
            <w:tcBorders>
              <w:top w:val="nil"/>
              <w:left w:val="nil"/>
              <w:bottom w:val="single" w:sz="4" w:space="0" w:color="auto"/>
              <w:right w:val="single" w:sz="4" w:space="0" w:color="auto"/>
            </w:tcBorders>
            <w:shd w:val="clear" w:color="auto" w:fill="auto"/>
            <w:noWrap/>
            <w:vAlign w:val="center"/>
          </w:tcPr>
          <w:p w14:paraId="48B6E047"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2,107</w:t>
            </w:r>
          </w:p>
        </w:tc>
        <w:tc>
          <w:tcPr>
            <w:tcW w:w="1080" w:type="dxa"/>
            <w:tcBorders>
              <w:top w:val="nil"/>
              <w:left w:val="nil"/>
              <w:bottom w:val="single" w:sz="4" w:space="0" w:color="auto"/>
              <w:right w:val="single" w:sz="4" w:space="0" w:color="auto"/>
            </w:tcBorders>
            <w:shd w:val="clear" w:color="auto" w:fill="auto"/>
            <w:noWrap/>
            <w:vAlign w:val="center"/>
          </w:tcPr>
          <w:p w14:paraId="2AC6DC0F"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2,241</w:t>
            </w:r>
          </w:p>
        </w:tc>
        <w:tc>
          <w:tcPr>
            <w:tcW w:w="1080" w:type="dxa"/>
            <w:tcBorders>
              <w:top w:val="nil"/>
              <w:left w:val="nil"/>
              <w:bottom w:val="single" w:sz="4" w:space="0" w:color="auto"/>
              <w:right w:val="single" w:sz="4" w:space="0" w:color="auto"/>
            </w:tcBorders>
            <w:shd w:val="clear" w:color="auto" w:fill="auto"/>
            <w:noWrap/>
            <w:vAlign w:val="center"/>
          </w:tcPr>
          <w:p w14:paraId="29F5043E"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2,393</w:t>
            </w:r>
          </w:p>
        </w:tc>
        <w:tc>
          <w:tcPr>
            <w:tcW w:w="990" w:type="dxa"/>
            <w:tcBorders>
              <w:top w:val="nil"/>
              <w:left w:val="nil"/>
              <w:bottom w:val="single" w:sz="4" w:space="0" w:color="auto"/>
              <w:right w:val="single" w:sz="4" w:space="0" w:color="auto"/>
            </w:tcBorders>
            <w:shd w:val="clear" w:color="auto" w:fill="auto"/>
            <w:noWrap/>
            <w:vAlign w:val="center"/>
          </w:tcPr>
          <w:p w14:paraId="37B07B5E"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2,548</w:t>
            </w:r>
          </w:p>
        </w:tc>
        <w:tc>
          <w:tcPr>
            <w:tcW w:w="990" w:type="dxa"/>
            <w:tcBorders>
              <w:top w:val="nil"/>
              <w:left w:val="nil"/>
              <w:bottom w:val="single" w:sz="4" w:space="0" w:color="auto"/>
              <w:right w:val="single" w:sz="4" w:space="0" w:color="auto"/>
            </w:tcBorders>
            <w:shd w:val="clear" w:color="auto" w:fill="auto"/>
            <w:noWrap/>
            <w:vAlign w:val="center"/>
          </w:tcPr>
          <w:p w14:paraId="08798B83"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2,724</w:t>
            </w:r>
          </w:p>
        </w:tc>
        <w:tc>
          <w:tcPr>
            <w:tcW w:w="1350" w:type="dxa"/>
            <w:tcBorders>
              <w:top w:val="nil"/>
              <w:left w:val="nil"/>
              <w:bottom w:val="single" w:sz="4" w:space="0" w:color="auto"/>
              <w:right w:val="single" w:sz="4" w:space="0" w:color="auto"/>
            </w:tcBorders>
            <w:shd w:val="clear" w:color="auto" w:fill="auto"/>
            <w:noWrap/>
            <w:vAlign w:val="center"/>
          </w:tcPr>
          <w:p w14:paraId="39E9C335"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1.4%</w:t>
            </w:r>
          </w:p>
        </w:tc>
      </w:tr>
      <w:tr w:rsidR="000811E5" w:rsidRPr="000560FC" w14:paraId="2ECE2E6E" w14:textId="77777777">
        <w:trPr>
          <w:trHeight w:val="611"/>
        </w:trPr>
        <w:tc>
          <w:tcPr>
            <w:tcW w:w="2355" w:type="dxa"/>
            <w:tcBorders>
              <w:top w:val="nil"/>
              <w:left w:val="single" w:sz="4" w:space="0" w:color="auto"/>
              <w:bottom w:val="single" w:sz="4" w:space="0" w:color="auto"/>
              <w:right w:val="single" w:sz="4" w:space="0" w:color="auto"/>
            </w:tcBorders>
            <w:shd w:val="clear" w:color="auto" w:fill="auto"/>
            <w:vAlign w:val="center"/>
          </w:tcPr>
          <w:p w14:paraId="11C889D3"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 xml:space="preserve">2015 IRP </w:t>
            </w:r>
          </w:p>
          <w:p w14:paraId="555C2A4F"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High Demand Forecast</w:t>
            </w:r>
          </w:p>
        </w:tc>
        <w:tc>
          <w:tcPr>
            <w:tcW w:w="990" w:type="dxa"/>
            <w:tcBorders>
              <w:top w:val="nil"/>
              <w:left w:val="nil"/>
              <w:bottom w:val="single" w:sz="4" w:space="0" w:color="auto"/>
              <w:right w:val="single" w:sz="4" w:space="0" w:color="auto"/>
            </w:tcBorders>
            <w:shd w:val="clear" w:color="auto" w:fill="auto"/>
            <w:noWrap/>
            <w:vAlign w:val="center"/>
          </w:tcPr>
          <w:p w14:paraId="4BCFFD8D"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2,201</w:t>
            </w:r>
          </w:p>
        </w:tc>
        <w:tc>
          <w:tcPr>
            <w:tcW w:w="1080" w:type="dxa"/>
            <w:tcBorders>
              <w:top w:val="nil"/>
              <w:left w:val="nil"/>
              <w:bottom w:val="single" w:sz="4" w:space="0" w:color="auto"/>
              <w:right w:val="single" w:sz="4" w:space="0" w:color="auto"/>
            </w:tcBorders>
            <w:shd w:val="clear" w:color="auto" w:fill="auto"/>
            <w:noWrap/>
            <w:vAlign w:val="center"/>
          </w:tcPr>
          <w:p w14:paraId="053EF6CC"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2,417</w:t>
            </w:r>
          </w:p>
        </w:tc>
        <w:tc>
          <w:tcPr>
            <w:tcW w:w="1080" w:type="dxa"/>
            <w:tcBorders>
              <w:top w:val="nil"/>
              <w:left w:val="nil"/>
              <w:bottom w:val="single" w:sz="4" w:space="0" w:color="auto"/>
              <w:right w:val="single" w:sz="4" w:space="0" w:color="auto"/>
            </w:tcBorders>
            <w:shd w:val="clear" w:color="auto" w:fill="auto"/>
            <w:noWrap/>
            <w:vAlign w:val="center"/>
          </w:tcPr>
          <w:p w14:paraId="5B8EAB27"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2,645</w:t>
            </w:r>
          </w:p>
        </w:tc>
        <w:tc>
          <w:tcPr>
            <w:tcW w:w="990" w:type="dxa"/>
            <w:tcBorders>
              <w:top w:val="nil"/>
              <w:left w:val="nil"/>
              <w:bottom w:val="single" w:sz="4" w:space="0" w:color="auto"/>
              <w:right w:val="single" w:sz="4" w:space="0" w:color="auto"/>
            </w:tcBorders>
            <w:shd w:val="clear" w:color="auto" w:fill="auto"/>
            <w:noWrap/>
            <w:vAlign w:val="center"/>
          </w:tcPr>
          <w:p w14:paraId="0B48D61B"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2,874</w:t>
            </w:r>
          </w:p>
        </w:tc>
        <w:tc>
          <w:tcPr>
            <w:tcW w:w="990" w:type="dxa"/>
            <w:tcBorders>
              <w:top w:val="nil"/>
              <w:left w:val="nil"/>
              <w:bottom w:val="single" w:sz="4" w:space="0" w:color="auto"/>
              <w:right w:val="single" w:sz="4" w:space="0" w:color="auto"/>
            </w:tcBorders>
            <w:shd w:val="clear" w:color="auto" w:fill="auto"/>
            <w:noWrap/>
            <w:vAlign w:val="center"/>
          </w:tcPr>
          <w:p w14:paraId="044A829C"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3,209</w:t>
            </w:r>
          </w:p>
        </w:tc>
        <w:tc>
          <w:tcPr>
            <w:tcW w:w="1350" w:type="dxa"/>
            <w:tcBorders>
              <w:top w:val="nil"/>
              <w:left w:val="nil"/>
              <w:bottom w:val="single" w:sz="4" w:space="0" w:color="auto"/>
              <w:right w:val="single" w:sz="4" w:space="0" w:color="auto"/>
            </w:tcBorders>
            <w:shd w:val="clear" w:color="auto" w:fill="auto"/>
            <w:noWrap/>
            <w:vAlign w:val="center"/>
          </w:tcPr>
          <w:p w14:paraId="39814203"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2.0%</w:t>
            </w:r>
          </w:p>
        </w:tc>
      </w:tr>
      <w:tr w:rsidR="000811E5" w:rsidRPr="000560FC" w14:paraId="305D13DD" w14:textId="77777777">
        <w:trPr>
          <w:trHeight w:val="629"/>
        </w:trPr>
        <w:tc>
          <w:tcPr>
            <w:tcW w:w="2355" w:type="dxa"/>
            <w:tcBorders>
              <w:top w:val="nil"/>
              <w:left w:val="single" w:sz="4" w:space="0" w:color="auto"/>
              <w:bottom w:val="single" w:sz="4" w:space="0" w:color="auto"/>
              <w:right w:val="single" w:sz="4" w:space="0" w:color="auto"/>
            </w:tcBorders>
            <w:shd w:val="clear" w:color="auto" w:fill="auto"/>
            <w:vAlign w:val="center"/>
          </w:tcPr>
          <w:p w14:paraId="36D7F46C"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2015 IRP</w:t>
            </w:r>
          </w:p>
          <w:p w14:paraId="15C8B17F"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Low Demand Forecast</w:t>
            </w:r>
          </w:p>
        </w:tc>
        <w:tc>
          <w:tcPr>
            <w:tcW w:w="990" w:type="dxa"/>
            <w:tcBorders>
              <w:top w:val="nil"/>
              <w:left w:val="nil"/>
              <w:bottom w:val="single" w:sz="4" w:space="0" w:color="auto"/>
              <w:right w:val="single" w:sz="4" w:space="0" w:color="auto"/>
            </w:tcBorders>
            <w:shd w:val="clear" w:color="auto" w:fill="auto"/>
            <w:noWrap/>
            <w:vAlign w:val="center"/>
          </w:tcPr>
          <w:p w14:paraId="4F4E1BF1"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2,011</w:t>
            </w:r>
          </w:p>
        </w:tc>
        <w:tc>
          <w:tcPr>
            <w:tcW w:w="1080" w:type="dxa"/>
            <w:tcBorders>
              <w:top w:val="nil"/>
              <w:left w:val="nil"/>
              <w:bottom w:val="single" w:sz="4" w:space="0" w:color="auto"/>
              <w:right w:val="single" w:sz="4" w:space="0" w:color="auto"/>
            </w:tcBorders>
            <w:shd w:val="clear" w:color="auto" w:fill="auto"/>
            <w:noWrap/>
            <w:vAlign w:val="center"/>
          </w:tcPr>
          <w:p w14:paraId="0292DF58"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2,067</w:t>
            </w:r>
          </w:p>
        </w:tc>
        <w:tc>
          <w:tcPr>
            <w:tcW w:w="1080" w:type="dxa"/>
            <w:tcBorders>
              <w:top w:val="nil"/>
              <w:left w:val="nil"/>
              <w:bottom w:val="single" w:sz="4" w:space="0" w:color="auto"/>
              <w:right w:val="single" w:sz="4" w:space="0" w:color="auto"/>
            </w:tcBorders>
            <w:shd w:val="clear" w:color="auto" w:fill="auto"/>
            <w:noWrap/>
            <w:vAlign w:val="center"/>
          </w:tcPr>
          <w:p w14:paraId="578EF0EF"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2,150</w:t>
            </w:r>
          </w:p>
        </w:tc>
        <w:tc>
          <w:tcPr>
            <w:tcW w:w="990" w:type="dxa"/>
            <w:tcBorders>
              <w:top w:val="nil"/>
              <w:left w:val="nil"/>
              <w:bottom w:val="single" w:sz="4" w:space="0" w:color="auto"/>
              <w:right w:val="single" w:sz="4" w:space="0" w:color="auto"/>
            </w:tcBorders>
            <w:shd w:val="clear" w:color="auto" w:fill="auto"/>
            <w:noWrap/>
            <w:vAlign w:val="center"/>
          </w:tcPr>
          <w:p w14:paraId="21BDE2FC"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2,249</w:t>
            </w:r>
          </w:p>
        </w:tc>
        <w:tc>
          <w:tcPr>
            <w:tcW w:w="990" w:type="dxa"/>
            <w:tcBorders>
              <w:top w:val="nil"/>
              <w:left w:val="nil"/>
              <w:bottom w:val="single" w:sz="4" w:space="0" w:color="auto"/>
              <w:right w:val="single" w:sz="4" w:space="0" w:color="auto"/>
            </w:tcBorders>
            <w:shd w:val="clear" w:color="auto" w:fill="auto"/>
            <w:noWrap/>
            <w:vAlign w:val="center"/>
          </w:tcPr>
          <w:p w14:paraId="0CB9A615"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2,306</w:t>
            </w:r>
          </w:p>
        </w:tc>
        <w:tc>
          <w:tcPr>
            <w:tcW w:w="1350" w:type="dxa"/>
            <w:tcBorders>
              <w:top w:val="nil"/>
              <w:left w:val="nil"/>
              <w:bottom w:val="single" w:sz="4" w:space="0" w:color="auto"/>
              <w:right w:val="single" w:sz="4" w:space="0" w:color="auto"/>
            </w:tcBorders>
            <w:shd w:val="clear" w:color="auto" w:fill="auto"/>
            <w:noWrap/>
            <w:vAlign w:val="center"/>
          </w:tcPr>
          <w:p w14:paraId="49252083"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0.7%</w:t>
            </w:r>
          </w:p>
        </w:tc>
      </w:tr>
    </w:tbl>
    <w:p w14:paraId="7DCFC9B1" w14:textId="77777777" w:rsidR="00CA1290" w:rsidRDefault="00CA1290" w:rsidP="000811E5">
      <w:pPr>
        <w:pStyle w:val="IRPsanstext"/>
      </w:pPr>
    </w:p>
    <w:p w14:paraId="27798549" w14:textId="77777777" w:rsidR="00CA1290" w:rsidRDefault="00CA1290">
      <w:pPr>
        <w:rPr>
          <w:rFonts w:ascii="Arial" w:hAnsi="Arial"/>
          <w:sz w:val="20"/>
          <w:szCs w:val="20"/>
        </w:rPr>
      </w:pPr>
      <w:r>
        <w:br w:type="page"/>
      </w:r>
    </w:p>
    <w:p w14:paraId="69ABFD3B" w14:textId="77777777" w:rsidR="000811E5" w:rsidRPr="008B3F7D" w:rsidRDefault="000811E5" w:rsidP="00CA1290">
      <w:pPr>
        <w:pStyle w:val="IRPsecthead1serif"/>
      </w:pPr>
      <w:r w:rsidRPr="008B3F7D">
        <w:lastRenderedPageBreak/>
        <w:t xml:space="preserve">County-level Outlook </w:t>
      </w:r>
    </w:p>
    <w:p w14:paraId="061EBC72" w14:textId="77777777" w:rsidR="000811E5" w:rsidRDefault="000811E5" w:rsidP="000811E5">
      <w:pPr>
        <w:pStyle w:val="IRPsanstext"/>
      </w:pPr>
    </w:p>
    <w:p w14:paraId="64300621" w14:textId="77777777" w:rsidR="000811E5" w:rsidRDefault="000811E5" w:rsidP="000811E5">
      <w:pPr>
        <w:pStyle w:val="IRPsanstext"/>
      </w:pPr>
      <w:r w:rsidRPr="00F46B43">
        <w:t>The charts below</w:t>
      </w:r>
      <w:r>
        <w:rPr>
          <w:sz w:val="28"/>
        </w:rPr>
        <w:t xml:space="preserve"> </w:t>
      </w:r>
      <w:r>
        <w:t>show the wide variation in economic activity among the counties in PSE’s electric and gas sales service territories. Most of the economic growth is concentrated in King County, as can be seen by the growth in the number of building permits filed in the last five years and by the county’s strong job growth. Other counties are growing, but more</w:t>
      </w:r>
      <w:r w:rsidRPr="00AE6D16">
        <w:t xml:space="preserve"> </w:t>
      </w:r>
      <w:r>
        <w:t>slowly; except for King County, none has reached its pre-recession growth levels. County-level forecasts extend only to 2031.</w:t>
      </w:r>
    </w:p>
    <w:p w14:paraId="2167F9FB" w14:textId="77777777" w:rsidR="000811E5" w:rsidRDefault="000811E5" w:rsidP="000811E5">
      <w:pPr>
        <w:pStyle w:val="IRPsanstext"/>
      </w:pPr>
    </w:p>
    <w:p w14:paraId="2CEDCB6E" w14:textId="77777777" w:rsidR="000811E5" w:rsidRPr="008B3F7D" w:rsidRDefault="000811E5" w:rsidP="00CA1290">
      <w:pPr>
        <w:pStyle w:val="IRPsecthead1serif"/>
      </w:pPr>
      <w:r w:rsidRPr="008B3F7D">
        <w:t xml:space="preserve">Eastside Area Outlook </w:t>
      </w:r>
    </w:p>
    <w:p w14:paraId="39A20C1C" w14:textId="77777777" w:rsidR="000811E5" w:rsidRDefault="000811E5" w:rsidP="000811E5">
      <w:pPr>
        <w:pStyle w:val="IRPsanstext"/>
      </w:pPr>
    </w:p>
    <w:p w14:paraId="18B75D26" w14:textId="77777777" w:rsidR="000811E5" w:rsidRDefault="000811E5" w:rsidP="000811E5">
      <w:pPr>
        <w:pStyle w:val="IRPsanstext"/>
      </w:pPr>
      <w:r w:rsidRPr="00B52B2E">
        <w:rPr>
          <w:rFonts w:cs="Arial"/>
        </w:rPr>
        <w:t>In PSE’s service territory,</w:t>
      </w:r>
      <w:r w:rsidRPr="00B52B2E">
        <w:rPr>
          <w:sz w:val="28"/>
        </w:rPr>
        <w:t xml:space="preserve"> </w:t>
      </w:r>
      <w:r w:rsidRPr="00A704A5">
        <w:t>growth</w:t>
      </w:r>
      <w:r>
        <w:t xml:space="preserve"> is strongest in the Eastside Area, especially in the central business district of Bellevue. Using census tract data, PSRC created 10-, 20-, and 30-year forecasts of population and employment for the area. According to this forecast, employment in the Eastside Area is expected to grow by about 1.7 percent annually in the next 20 years, with slightly higher growth before 2020 due to the recovery from the recession. </w:t>
      </w:r>
      <w:r w:rsidRPr="000F57D1">
        <w:t>This is</w:t>
      </w:r>
      <w:r>
        <w:t xml:space="preserve"> over</w:t>
      </w:r>
      <w:r w:rsidRPr="000F57D1">
        <w:t xml:space="preserve"> twice the growth rate expected for the system as a whole.</w:t>
      </w:r>
      <w:r>
        <w:t xml:space="preserve"> Population is forecast to grow by 0.9 percent annually in the next 20 years, again with a slightly faster growth before 2020 due to the recovery from the most recent recession. </w:t>
      </w:r>
    </w:p>
    <w:p w14:paraId="4D7D3F83" w14:textId="77777777" w:rsidR="000811E5" w:rsidRPr="007A7733" w:rsidRDefault="000811E5" w:rsidP="000811E5">
      <w:pPr>
        <w:pStyle w:val="IRPsanstext"/>
      </w:pPr>
    </w:p>
    <w:p w14:paraId="58FA7415" w14:textId="77777777" w:rsidR="000811E5" w:rsidRDefault="00CA1290" w:rsidP="00CA1290">
      <w:pPr>
        <w:pStyle w:val="IRPFigureSub"/>
        <w:spacing w:after="120"/>
      </w:pPr>
      <w:r>
        <w:rPr>
          <w:noProof/>
          <w:lang w:eastAsia="en-US"/>
        </w:rPr>
        <w:drawing>
          <wp:anchor distT="0" distB="0" distL="114300" distR="114300" simplePos="0" relativeHeight="251673600" behindDoc="0" locked="0" layoutInCell="1" allowOverlap="1" wp14:anchorId="1FD85FE1" wp14:editId="4AE30BCF">
            <wp:simplePos x="0" y="0"/>
            <wp:positionH relativeFrom="column">
              <wp:posOffset>51435</wp:posOffset>
            </wp:positionH>
            <wp:positionV relativeFrom="paragraph">
              <wp:posOffset>386080</wp:posOffset>
            </wp:positionV>
            <wp:extent cx="5133975" cy="3180080"/>
            <wp:effectExtent l="0" t="0" r="0" b="0"/>
            <wp:wrapTopAndBottom/>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3975" cy="3180080"/>
                    </a:xfrm>
                    <a:prstGeom prst="rect">
                      <a:avLst/>
                    </a:prstGeom>
                    <a:noFill/>
                    <a:ln>
                      <a:noFill/>
                    </a:ln>
                  </pic:spPr>
                </pic:pic>
              </a:graphicData>
            </a:graphic>
          </wp:anchor>
        </w:drawing>
      </w:r>
      <w:r w:rsidRPr="00BA709F">
        <w:t>Figure</w:t>
      </w:r>
      <w:r>
        <w:t xml:space="preserve"> 5-12: </w:t>
      </w:r>
      <w:r w:rsidRPr="00BA709F">
        <w:t>Resident</w:t>
      </w:r>
      <w:r>
        <w:t>ial Building Permits by County, 2000-2014</w:t>
      </w:r>
    </w:p>
    <w:p w14:paraId="1B442E43" w14:textId="77777777" w:rsidR="00CA1290" w:rsidRDefault="00CA1290" w:rsidP="00CA1290">
      <w:pPr>
        <w:pStyle w:val="IRPsanstext"/>
      </w:pPr>
    </w:p>
    <w:p w14:paraId="21AF71A5" w14:textId="77777777" w:rsidR="00CA1290" w:rsidRDefault="00CA1290" w:rsidP="00CA1290">
      <w:pPr>
        <w:pStyle w:val="IRPFigureSub"/>
      </w:pPr>
      <w:r>
        <w:rPr>
          <w:noProof/>
          <w:lang w:eastAsia="en-US"/>
        </w:rPr>
        <w:lastRenderedPageBreak/>
        <w:drawing>
          <wp:anchor distT="0" distB="0" distL="114300" distR="114300" simplePos="0" relativeHeight="251674624" behindDoc="0" locked="0" layoutInCell="1" allowOverlap="1" wp14:anchorId="0348F293" wp14:editId="208E93DF">
            <wp:simplePos x="0" y="0"/>
            <wp:positionH relativeFrom="column">
              <wp:posOffset>280035</wp:posOffset>
            </wp:positionH>
            <wp:positionV relativeFrom="paragraph">
              <wp:posOffset>370840</wp:posOffset>
            </wp:positionV>
            <wp:extent cx="4979035" cy="3511550"/>
            <wp:effectExtent l="0" t="0" r="0" b="0"/>
            <wp:wrapTopAndBottom/>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9035" cy="3511550"/>
                    </a:xfrm>
                    <a:prstGeom prst="rect">
                      <a:avLst/>
                    </a:prstGeom>
                    <a:noFill/>
                  </pic:spPr>
                </pic:pic>
              </a:graphicData>
            </a:graphic>
          </wp:anchor>
        </w:drawing>
      </w:r>
      <w:r>
        <w:t xml:space="preserve">Figure 5-13: </w:t>
      </w:r>
      <w:r w:rsidRPr="00BA709F">
        <w:t xml:space="preserve">Population by County, </w:t>
      </w:r>
      <w:r>
        <w:t xml:space="preserve">Electric Service Territory Counties, </w:t>
      </w:r>
      <w:r w:rsidRPr="00B52B2E">
        <w:t>1990-2031</w:t>
      </w:r>
      <w:r w:rsidRPr="00BA709F">
        <w:t xml:space="preserve"> </w:t>
      </w:r>
    </w:p>
    <w:p w14:paraId="62A78E59" w14:textId="77777777" w:rsidR="00CA1290" w:rsidRDefault="00CA1290" w:rsidP="00CA1290">
      <w:pPr>
        <w:pStyle w:val="IRPsanstext"/>
      </w:pPr>
    </w:p>
    <w:p w14:paraId="510CCA24" w14:textId="77777777" w:rsidR="00CA1290" w:rsidRDefault="00CA1290" w:rsidP="00CA1290">
      <w:pPr>
        <w:pStyle w:val="IRPFigureSub"/>
      </w:pPr>
      <w:r>
        <w:t>Figure 5-14: Employment</w:t>
      </w:r>
      <w:r w:rsidRPr="00B061AB">
        <w:t xml:space="preserve"> by County, </w:t>
      </w:r>
      <w:r>
        <w:t>Electric Service Territory Counties, 1990-2031</w:t>
      </w:r>
      <w:r>
        <w:rPr>
          <w:noProof/>
          <w:lang w:eastAsia="en-US"/>
        </w:rPr>
        <w:drawing>
          <wp:anchor distT="0" distB="0" distL="114300" distR="114300" simplePos="0" relativeHeight="251675648" behindDoc="0" locked="0" layoutInCell="1" allowOverlap="1" wp14:anchorId="18CB9AC6" wp14:editId="55FD505B">
            <wp:simplePos x="0" y="0"/>
            <wp:positionH relativeFrom="column">
              <wp:posOffset>280035</wp:posOffset>
            </wp:positionH>
            <wp:positionV relativeFrom="paragraph">
              <wp:posOffset>311150</wp:posOffset>
            </wp:positionV>
            <wp:extent cx="4955540" cy="3486785"/>
            <wp:effectExtent l="0" t="0" r="0" b="0"/>
            <wp:wrapTopAndBottom/>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5540" cy="3486785"/>
                    </a:xfrm>
                    <a:prstGeom prst="rect">
                      <a:avLst/>
                    </a:prstGeom>
                    <a:noFill/>
                  </pic:spPr>
                </pic:pic>
              </a:graphicData>
            </a:graphic>
          </wp:anchor>
        </w:drawing>
      </w:r>
    </w:p>
    <w:p w14:paraId="72928DA0" w14:textId="77777777" w:rsidR="00CA1290" w:rsidRDefault="00CA1290" w:rsidP="00CA1290">
      <w:pPr>
        <w:pStyle w:val="IRPFigureSub"/>
      </w:pPr>
      <w:r>
        <w:rPr>
          <w:noProof/>
          <w:lang w:eastAsia="en-US"/>
        </w:rPr>
        <w:lastRenderedPageBreak/>
        <w:drawing>
          <wp:anchor distT="0" distB="0" distL="114300" distR="114300" simplePos="0" relativeHeight="251676672" behindDoc="0" locked="0" layoutInCell="1" allowOverlap="1" wp14:anchorId="72009643" wp14:editId="1B917510">
            <wp:simplePos x="0" y="0"/>
            <wp:positionH relativeFrom="column">
              <wp:posOffset>394335</wp:posOffset>
            </wp:positionH>
            <wp:positionV relativeFrom="paragraph">
              <wp:posOffset>370840</wp:posOffset>
            </wp:positionV>
            <wp:extent cx="4667885" cy="3284220"/>
            <wp:effectExtent l="0" t="0" r="5715" b="0"/>
            <wp:wrapTopAndBottom/>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885" cy="3284220"/>
                    </a:xfrm>
                    <a:prstGeom prst="rect">
                      <a:avLst/>
                    </a:prstGeom>
                    <a:noFill/>
                  </pic:spPr>
                </pic:pic>
              </a:graphicData>
            </a:graphic>
          </wp:anchor>
        </w:drawing>
      </w:r>
      <w:r>
        <w:t xml:space="preserve">Figure 5-15: </w:t>
      </w:r>
      <w:r w:rsidRPr="00B061AB">
        <w:t xml:space="preserve">Population, </w:t>
      </w:r>
      <w:r>
        <w:t>Gas</w:t>
      </w:r>
      <w:r w:rsidRPr="00B061AB">
        <w:t xml:space="preserve"> Service Territory</w:t>
      </w:r>
      <w:r>
        <w:t xml:space="preserve"> Counties, 1990-2031</w:t>
      </w:r>
      <w:r w:rsidRPr="00B061AB">
        <w:t xml:space="preserve"> </w:t>
      </w:r>
    </w:p>
    <w:p w14:paraId="7B50155A" w14:textId="77777777" w:rsidR="00CA1290" w:rsidRDefault="00CA1290" w:rsidP="00CA1290">
      <w:pPr>
        <w:pStyle w:val="IRPFigureSub"/>
      </w:pPr>
    </w:p>
    <w:p w14:paraId="4A5022FE" w14:textId="77777777" w:rsidR="00CA1290" w:rsidRDefault="00CA1290" w:rsidP="00CA1290">
      <w:pPr>
        <w:pStyle w:val="IRPFigureSub"/>
      </w:pPr>
      <w:r>
        <w:rPr>
          <w:noProof/>
          <w:lang w:eastAsia="en-US"/>
        </w:rPr>
        <w:drawing>
          <wp:anchor distT="0" distB="0" distL="114300" distR="114300" simplePos="0" relativeHeight="251677696" behindDoc="0" locked="0" layoutInCell="1" allowOverlap="1" wp14:anchorId="3644AFDE" wp14:editId="041BB550">
            <wp:simplePos x="0" y="0"/>
            <wp:positionH relativeFrom="column">
              <wp:posOffset>394335</wp:posOffset>
            </wp:positionH>
            <wp:positionV relativeFrom="paragraph">
              <wp:posOffset>344170</wp:posOffset>
            </wp:positionV>
            <wp:extent cx="4625975" cy="3255010"/>
            <wp:effectExtent l="0" t="0" r="0" b="0"/>
            <wp:wrapTopAndBottom/>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5975" cy="3255010"/>
                    </a:xfrm>
                    <a:prstGeom prst="rect">
                      <a:avLst/>
                    </a:prstGeom>
                    <a:noFill/>
                  </pic:spPr>
                </pic:pic>
              </a:graphicData>
            </a:graphic>
          </wp:anchor>
        </w:drawing>
      </w:r>
      <w:r>
        <w:t>Figure 5-16: Employment</w:t>
      </w:r>
      <w:r w:rsidRPr="00B061AB">
        <w:t>,</w:t>
      </w:r>
      <w:r>
        <w:t xml:space="preserve"> Gas Service Territory Counties, 1990-2031</w:t>
      </w:r>
      <w:r w:rsidRPr="00B061AB">
        <w:t xml:space="preserve"> </w:t>
      </w:r>
    </w:p>
    <w:p w14:paraId="7F5B4981" w14:textId="77777777" w:rsidR="00CA1290" w:rsidRDefault="00CA1290" w:rsidP="00CA1290">
      <w:pPr>
        <w:pStyle w:val="IRPsanstext"/>
      </w:pPr>
    </w:p>
    <w:p w14:paraId="6C1FD4E5" w14:textId="77777777" w:rsidR="00CA1290" w:rsidRDefault="00CA1290">
      <w:pPr>
        <w:rPr>
          <w:rFonts w:ascii="Arial" w:hAnsi="Arial"/>
          <w:sz w:val="20"/>
          <w:szCs w:val="20"/>
        </w:rPr>
      </w:pPr>
      <w:r>
        <w:br w:type="page"/>
      </w:r>
    </w:p>
    <w:p w14:paraId="0D8F8696" w14:textId="77777777" w:rsidR="00CA1290" w:rsidRPr="00CA1290" w:rsidRDefault="00CA1290" w:rsidP="00CA1290">
      <w:pPr>
        <w:pStyle w:val="IRPsecthead1serif"/>
      </w:pPr>
      <w:r w:rsidRPr="00CA1290">
        <w:lastRenderedPageBreak/>
        <w:t xml:space="preserve">Energy Prices </w:t>
      </w:r>
    </w:p>
    <w:p w14:paraId="562ADB98" w14:textId="77777777" w:rsidR="00CA1290" w:rsidRPr="00CA1290" w:rsidRDefault="00CA1290" w:rsidP="00CA1290">
      <w:pPr>
        <w:pStyle w:val="IRPsanstext"/>
      </w:pPr>
    </w:p>
    <w:p w14:paraId="45372B6A" w14:textId="77777777" w:rsidR="00CA1290" w:rsidRDefault="00CA1290" w:rsidP="00CA1290">
      <w:pPr>
        <w:pStyle w:val="IRPsanstext"/>
      </w:pPr>
      <w:r w:rsidRPr="00CA1290">
        <w:t>Retail energy prices – what customers pay for energy – are included as explanatory variables in the demand forecast models, because in the long run, they affect the customer’s choice of the efficiency level of newly acquired appliances, their frequency and level of use and the type of energy source used to power them. The energy price forecasts draw on information obtained from internal and external sources.</w:t>
      </w:r>
    </w:p>
    <w:p w14:paraId="70894923" w14:textId="77777777" w:rsidR="00CA1290" w:rsidRPr="00CA1290" w:rsidRDefault="00CA1290" w:rsidP="00CA1290">
      <w:pPr>
        <w:pStyle w:val="IRPsanstext"/>
      </w:pPr>
    </w:p>
    <w:p w14:paraId="5DC7B66E" w14:textId="77777777" w:rsidR="00CA1290" w:rsidRPr="00CA1290" w:rsidRDefault="00CA1290" w:rsidP="00CA1290">
      <w:pPr>
        <w:pStyle w:val="IRPsanstext"/>
      </w:pPr>
      <w:r w:rsidRPr="00CA1290">
        <w:rPr>
          <w:b/>
          <w:color w:val="156570"/>
          <w:sz w:val="28"/>
          <w:szCs w:val="28"/>
        </w:rPr>
        <w:t>Electric Retail Prices.</w:t>
      </w:r>
      <w:r w:rsidRPr="00CA1290">
        <w:rPr>
          <w:color w:val="156570"/>
        </w:rPr>
        <w:t xml:space="preserve">  </w:t>
      </w:r>
      <w:r w:rsidRPr="00CA1290">
        <w:t xml:space="preserve">PSE projects that between 2016 and 2033, nominal retail electric rates will grow at an average annual rate of between 1.1 and 1.3 percent, depending on the customer class.  Assuming an inflation rate of 2.5 percent per year, this means real electric retail rates are expected to decline by 1.2 to 1.4 percent. This is much lower than the 3.1 percent rate increase modeled in the 2013 IRP. </w:t>
      </w:r>
    </w:p>
    <w:p w14:paraId="51AE7765" w14:textId="77777777" w:rsidR="00CA1290" w:rsidRDefault="00CA1290" w:rsidP="00CA1290">
      <w:pPr>
        <w:pStyle w:val="IRPsanstext"/>
      </w:pPr>
    </w:p>
    <w:p w14:paraId="2D274AF0" w14:textId="77777777" w:rsidR="00CA1290" w:rsidRDefault="00CA1290" w:rsidP="00CA1290">
      <w:pPr>
        <w:pStyle w:val="IRPsanstext"/>
      </w:pPr>
      <w:r w:rsidRPr="00CA1290">
        <w:t xml:space="preserve">In the near term, the retail price forecast assumes rate increases resulting from PSE’s general  and power-cost-only rate cases. Long-term retail rates were derived from PSE’s internal financial model, which showed lower power cost levels compared to the 2013 IRP, hence the lower growth rate assumed here.   </w:t>
      </w:r>
    </w:p>
    <w:p w14:paraId="5772AC95" w14:textId="77777777" w:rsidR="00CA1290" w:rsidRPr="00CA1290" w:rsidRDefault="00CA1290" w:rsidP="00CA1290">
      <w:pPr>
        <w:pStyle w:val="IRPsanstext"/>
        <w:rPr>
          <w:highlight w:val="cyan"/>
        </w:rPr>
      </w:pPr>
    </w:p>
    <w:p w14:paraId="6553B056" w14:textId="77777777" w:rsidR="00CA1290" w:rsidRDefault="00CA1290" w:rsidP="00CA1290">
      <w:pPr>
        <w:pStyle w:val="IRPsanstext"/>
      </w:pPr>
      <w:r w:rsidRPr="00CA1290">
        <w:rPr>
          <w:b/>
          <w:color w:val="156570"/>
          <w:sz w:val="28"/>
          <w:szCs w:val="28"/>
        </w:rPr>
        <w:t>Gas Retail Prices.</w:t>
      </w:r>
      <w:r w:rsidRPr="00CA1290">
        <w:t xml:space="preserve">  PSE expects nominal retail gas rates to rise between 2.9 percent and 3.4 percent per year, depending on the class, between 2016 and 2033. This is slightly more than the long-term inflation rate. However, gas price levels are lower in this forecast compared to the forecast in the 2013 IRP for all classes except the transport classes. </w:t>
      </w:r>
    </w:p>
    <w:p w14:paraId="56A0B5C6" w14:textId="77777777" w:rsidR="0032311E" w:rsidRPr="0032311E" w:rsidRDefault="0032311E" w:rsidP="00CA1290">
      <w:pPr>
        <w:pStyle w:val="IRPsanstext"/>
      </w:pPr>
    </w:p>
    <w:p w14:paraId="6E6A414C" w14:textId="77777777" w:rsidR="00CA1290" w:rsidRPr="00CA1290" w:rsidRDefault="00CA1290" w:rsidP="00CA1290">
      <w:pPr>
        <w:pStyle w:val="IRPsanstext"/>
      </w:pPr>
      <w:r w:rsidRPr="00CA1290">
        <w:t xml:space="preserve">Two components make up gas retail rates: the cost of gas and the cost of distribution, known as the distribution margin.  The near-term forecast of gas rates includes PSE’s purchased gas adjustment and general rate case considerations. Forecast gas costs reflect Kiodex gas prices for the 2015 to 2019 period as of July 24, 2014 and inflation projections beyond. The distribution margin is based on PSE’s projection for the near term and inflation projections for the longer term. </w:t>
      </w:r>
    </w:p>
    <w:p w14:paraId="7D57EEAD" w14:textId="77777777" w:rsidR="00CA1290" w:rsidRDefault="00CA1290">
      <w:pPr>
        <w:rPr>
          <w:rFonts w:ascii="Arial" w:hAnsi="Arial"/>
          <w:sz w:val="20"/>
          <w:szCs w:val="20"/>
        </w:rPr>
      </w:pPr>
      <w:r>
        <w:br w:type="page"/>
      </w:r>
    </w:p>
    <w:p w14:paraId="25298698" w14:textId="77777777" w:rsidR="00CA1290" w:rsidRPr="00CA1290" w:rsidRDefault="00CA1290" w:rsidP="00CA1290">
      <w:pPr>
        <w:pStyle w:val="IRPsecthead1serif"/>
      </w:pPr>
      <w:r w:rsidRPr="00CA1290">
        <w:lastRenderedPageBreak/>
        <w:t>Other Assumptions</w:t>
      </w:r>
    </w:p>
    <w:p w14:paraId="451D385B" w14:textId="77777777" w:rsidR="00CA1290" w:rsidRPr="00CA1290" w:rsidRDefault="00CA1290" w:rsidP="00CA1290">
      <w:pPr>
        <w:pStyle w:val="IRPsanstext"/>
      </w:pPr>
    </w:p>
    <w:p w14:paraId="0D07CB4F" w14:textId="77777777" w:rsidR="00CA1290" w:rsidRDefault="00CA1290" w:rsidP="00CA1290">
      <w:pPr>
        <w:pStyle w:val="IRPsanstext"/>
      </w:pPr>
      <w:r w:rsidRPr="00CA1290">
        <w:rPr>
          <w:b/>
          <w:color w:val="156570"/>
          <w:sz w:val="28"/>
          <w:szCs w:val="28"/>
        </w:rPr>
        <w:t>Weather.</w:t>
      </w:r>
      <w:r w:rsidRPr="00CA1290">
        <w:rPr>
          <w:color w:val="156570"/>
        </w:rPr>
        <w:t xml:space="preserve"> </w:t>
      </w:r>
      <w:r w:rsidRPr="00CA1290">
        <w:t xml:space="preserve">The billed sales forecast is based on normal weather, defined as the average monthly weather recorded at NOAA’s Sea-Tac Airport station over the 30 years ending in 2013.  While the climate may change during the 20-year planning horizon, reliable forecasts for these changes are not yet available. Future IRPs will incorporate new climate information as it becomes available.  </w:t>
      </w:r>
    </w:p>
    <w:p w14:paraId="7F0F5DC7" w14:textId="77777777" w:rsidR="00CA1290" w:rsidRPr="00CA1290" w:rsidRDefault="00CA1290" w:rsidP="00CA1290">
      <w:pPr>
        <w:pStyle w:val="IRPsanstext"/>
      </w:pPr>
    </w:p>
    <w:p w14:paraId="0B8D9175" w14:textId="77777777" w:rsidR="00CA1290" w:rsidRDefault="00CA1290" w:rsidP="00CA1290">
      <w:pPr>
        <w:pStyle w:val="IRPsanstext"/>
      </w:pPr>
      <w:r w:rsidRPr="00022AE1">
        <w:rPr>
          <w:b/>
          <w:color w:val="156570"/>
          <w:sz w:val="28"/>
          <w:szCs w:val="28"/>
        </w:rPr>
        <w:t>Loss Factors.</w:t>
      </w:r>
      <w:r w:rsidRPr="00CA1290">
        <w:rPr>
          <w:color w:val="3366FF"/>
        </w:rPr>
        <w:t xml:space="preserve"> </w:t>
      </w:r>
      <w:r w:rsidR="00022AE1">
        <w:rPr>
          <w:color w:val="3366FF"/>
        </w:rPr>
        <w:t xml:space="preserve"> </w:t>
      </w:r>
      <w:r w:rsidRPr="00CA1290">
        <w:t>The electric loss factor remains at 6.9 percent, and the gas loss factor remains at 0.8 percent.</w:t>
      </w:r>
    </w:p>
    <w:p w14:paraId="5111FA36" w14:textId="77777777" w:rsidR="00022AE1" w:rsidRPr="00CA1290" w:rsidRDefault="00022AE1" w:rsidP="00CA1290">
      <w:pPr>
        <w:pStyle w:val="IRPsanstext"/>
      </w:pPr>
    </w:p>
    <w:p w14:paraId="39B8D91C" w14:textId="77777777" w:rsidR="00CA1290" w:rsidRPr="00CA1290" w:rsidRDefault="00CA1290" w:rsidP="00CA1290">
      <w:pPr>
        <w:pStyle w:val="IRPsanstext"/>
      </w:pPr>
      <w:r w:rsidRPr="00022AE1">
        <w:rPr>
          <w:b/>
          <w:color w:val="156570"/>
          <w:sz w:val="28"/>
          <w:szCs w:val="28"/>
        </w:rPr>
        <w:t>Block Load Additions from Major Accounts.</w:t>
      </w:r>
      <w:r w:rsidRPr="00CA1290">
        <w:t xml:space="preserve">  Beyond typical economic change, the demand forecast also takes into account known major load additions and deletions, using information from PSE’s system planners. These adjustments add 128 MW to demand over the next 7 years for the system as a whole. The majority of these additions come from King County. </w:t>
      </w:r>
    </w:p>
    <w:p w14:paraId="036DEBCE" w14:textId="77777777" w:rsidR="00022AE1" w:rsidRDefault="00022AE1" w:rsidP="00CA1290">
      <w:pPr>
        <w:pStyle w:val="IRPsanstext"/>
      </w:pPr>
    </w:p>
    <w:p w14:paraId="2AFBEF24" w14:textId="77777777" w:rsidR="00CA1290" w:rsidRDefault="00CA1290" w:rsidP="00CA1290">
      <w:pPr>
        <w:pStyle w:val="IRPsanstext"/>
      </w:pPr>
      <w:r w:rsidRPr="00CA1290">
        <w:t>King County is expected to add:</w:t>
      </w:r>
    </w:p>
    <w:p w14:paraId="1E11FF7D" w14:textId="77777777" w:rsidR="00022AE1" w:rsidRPr="00CA1290" w:rsidRDefault="00022AE1" w:rsidP="00CA1290">
      <w:pPr>
        <w:pStyle w:val="IRPsanstext"/>
      </w:pPr>
    </w:p>
    <w:p w14:paraId="338315DC" w14:textId="77777777" w:rsidR="00CA1290" w:rsidRPr="00CA1290" w:rsidRDefault="00CA1290" w:rsidP="00022AE1">
      <w:pPr>
        <w:pStyle w:val="IRPsanstext"/>
        <w:numPr>
          <w:ilvl w:val="0"/>
          <w:numId w:val="21"/>
        </w:numPr>
      </w:pPr>
      <w:r w:rsidRPr="00CA1290">
        <w:t>77 MW of load additions between 2014 and 2017</w:t>
      </w:r>
    </w:p>
    <w:p w14:paraId="46EA5C48" w14:textId="77777777" w:rsidR="00CA1290" w:rsidRDefault="00CA1290" w:rsidP="00022AE1">
      <w:pPr>
        <w:pStyle w:val="IRPsanstext"/>
        <w:numPr>
          <w:ilvl w:val="0"/>
          <w:numId w:val="21"/>
        </w:numPr>
      </w:pPr>
      <w:r w:rsidRPr="00CA1290">
        <w:t xml:space="preserve">45 MW between 2018 and 2020  </w:t>
      </w:r>
    </w:p>
    <w:p w14:paraId="27E31B50" w14:textId="77777777" w:rsidR="00022AE1" w:rsidRPr="00CA1290" w:rsidRDefault="00022AE1" w:rsidP="00022AE1">
      <w:pPr>
        <w:pStyle w:val="IRPsanstext"/>
        <w:ind w:left="720"/>
      </w:pPr>
    </w:p>
    <w:p w14:paraId="4E9B87C8" w14:textId="77777777" w:rsidR="00CA1290" w:rsidRDefault="00CA1290" w:rsidP="00CA1290">
      <w:pPr>
        <w:pStyle w:val="IRPsanstext"/>
      </w:pPr>
      <w:r w:rsidRPr="00CA1290">
        <w:t>The Eastside Area is expected to add</w:t>
      </w:r>
      <w:r w:rsidR="00022AE1">
        <w:t>:</w:t>
      </w:r>
    </w:p>
    <w:p w14:paraId="3FB4D494" w14:textId="77777777" w:rsidR="00022AE1" w:rsidRPr="00CA1290" w:rsidRDefault="00022AE1" w:rsidP="00CA1290">
      <w:pPr>
        <w:pStyle w:val="IRPsanstext"/>
      </w:pPr>
    </w:p>
    <w:p w14:paraId="174C1233" w14:textId="77777777" w:rsidR="00CA1290" w:rsidRPr="00CA1290" w:rsidRDefault="00CA1290" w:rsidP="00022AE1">
      <w:pPr>
        <w:pStyle w:val="IRPsanstext"/>
        <w:numPr>
          <w:ilvl w:val="0"/>
          <w:numId w:val="22"/>
        </w:numPr>
      </w:pPr>
      <w:r w:rsidRPr="00CA1290">
        <w:t>42 MW of load additions from 2014 to 2017</w:t>
      </w:r>
    </w:p>
    <w:p w14:paraId="5C62FF99" w14:textId="77777777" w:rsidR="00CA1290" w:rsidRDefault="00CA1290" w:rsidP="00022AE1">
      <w:pPr>
        <w:pStyle w:val="IRPsanstext"/>
        <w:numPr>
          <w:ilvl w:val="0"/>
          <w:numId w:val="22"/>
        </w:numPr>
      </w:pPr>
      <w:r w:rsidRPr="00CA1290">
        <w:t xml:space="preserve">39 MW from 2018 to 2020  </w:t>
      </w:r>
    </w:p>
    <w:p w14:paraId="5CF47EF3" w14:textId="77777777" w:rsidR="00022AE1" w:rsidRPr="00CA1290" w:rsidRDefault="00022AE1" w:rsidP="00022AE1">
      <w:pPr>
        <w:pStyle w:val="IRPsanstext"/>
        <w:ind w:left="720"/>
      </w:pPr>
    </w:p>
    <w:p w14:paraId="2AB71F79" w14:textId="77777777" w:rsidR="00CA1290" w:rsidRPr="00CA1290" w:rsidRDefault="00CA1290" w:rsidP="00CA1290">
      <w:pPr>
        <w:pStyle w:val="IRPsanstext"/>
      </w:pPr>
      <w:r w:rsidRPr="00CA1290">
        <w:t>Block load additions are ramped into the forecast and then ramped out of the forecast, as the native load growth</w:t>
      </w:r>
      <w:r w:rsidR="00022AE1">
        <w:t xml:space="preserve"> accounts for these additions. </w:t>
      </w:r>
      <w:r w:rsidRPr="00CA1290">
        <w:t>This avoids double counting block load additions.</w:t>
      </w:r>
    </w:p>
    <w:p w14:paraId="4E3F2DB6" w14:textId="77777777" w:rsidR="00022AE1" w:rsidRDefault="00022AE1">
      <w:pPr>
        <w:rPr>
          <w:rFonts w:ascii="Arial" w:hAnsi="Arial"/>
          <w:sz w:val="20"/>
          <w:szCs w:val="20"/>
          <w:lang w:eastAsia="en-US"/>
        </w:rPr>
      </w:pPr>
      <w:r>
        <w:rPr>
          <w:lang w:eastAsia="en-US"/>
        </w:rPr>
        <w:br w:type="page"/>
      </w:r>
    </w:p>
    <w:p w14:paraId="165727FA" w14:textId="77777777" w:rsidR="00CA1290" w:rsidRPr="00CA1290" w:rsidRDefault="00CA1290" w:rsidP="00CA1290">
      <w:pPr>
        <w:pStyle w:val="IRPsanstext"/>
        <w:rPr>
          <w:lang w:eastAsia="en-US"/>
        </w:rPr>
      </w:pPr>
      <w:r w:rsidRPr="00CA1290">
        <w:rPr>
          <w:lang w:eastAsia="en-US"/>
        </w:rPr>
        <w:lastRenderedPageBreak/>
        <w:t>The electric forecast also includes the following load additions and deletions.</w:t>
      </w:r>
    </w:p>
    <w:p w14:paraId="28A5675B" w14:textId="77777777" w:rsidR="00CA1290" w:rsidRPr="00CA1290" w:rsidRDefault="00CA1290" w:rsidP="00CA1290">
      <w:pPr>
        <w:pStyle w:val="IRPsanstext"/>
        <w:rPr>
          <w:lang w:eastAsia="en-US"/>
        </w:rPr>
      </w:pPr>
    </w:p>
    <w:p w14:paraId="6C7AD71C" w14:textId="77777777" w:rsidR="00CA1290" w:rsidRPr="00CA1290" w:rsidRDefault="00CA1290" w:rsidP="00022AE1">
      <w:pPr>
        <w:pStyle w:val="IRPsanstext"/>
        <w:numPr>
          <w:ilvl w:val="0"/>
          <w:numId w:val="23"/>
        </w:numPr>
        <w:rPr>
          <w:lang w:eastAsia="en-US"/>
        </w:rPr>
      </w:pPr>
      <w:r w:rsidRPr="00CA1290">
        <w:rPr>
          <w:lang w:eastAsia="en-US"/>
        </w:rPr>
        <w:t xml:space="preserve">Approximately 9 MWs for horticultural lighting, mostly located in Thurston, Whatcom and Skagit counties </w:t>
      </w:r>
    </w:p>
    <w:p w14:paraId="3F9B5132" w14:textId="77777777" w:rsidR="00CA1290" w:rsidRPr="00CA1290" w:rsidRDefault="00CA1290" w:rsidP="00022AE1">
      <w:pPr>
        <w:pStyle w:val="IRPsanstext"/>
        <w:numPr>
          <w:ilvl w:val="0"/>
          <w:numId w:val="23"/>
        </w:numPr>
        <w:rPr>
          <w:lang w:eastAsia="en-US"/>
        </w:rPr>
      </w:pPr>
      <w:r w:rsidRPr="00CA1290">
        <w:rPr>
          <w:lang w:eastAsia="en-US"/>
        </w:rPr>
        <w:t xml:space="preserve">Jefferson County has been deleted; it left PSE’s electric service territory in April 2013.  </w:t>
      </w:r>
    </w:p>
    <w:p w14:paraId="4486C71A" w14:textId="77777777" w:rsidR="00CA1290" w:rsidRPr="00CA1290" w:rsidRDefault="00CA1290" w:rsidP="00CA1290">
      <w:pPr>
        <w:pStyle w:val="IRPsanstext"/>
        <w:rPr>
          <w:lang w:eastAsia="en-US"/>
        </w:rPr>
      </w:pPr>
    </w:p>
    <w:p w14:paraId="0191056B" w14:textId="77777777" w:rsidR="00CA1290" w:rsidRPr="00CA1290" w:rsidRDefault="00CA1290" w:rsidP="00CA1290">
      <w:pPr>
        <w:pStyle w:val="IRPsanstext"/>
        <w:rPr>
          <w:lang w:eastAsia="en-US"/>
        </w:rPr>
      </w:pPr>
      <w:r w:rsidRPr="00CA1290">
        <w:rPr>
          <w:lang w:eastAsia="en-US"/>
        </w:rPr>
        <w:t>The gas forecast includes the following block load additions.</w:t>
      </w:r>
    </w:p>
    <w:p w14:paraId="33898C99" w14:textId="77777777" w:rsidR="00CA1290" w:rsidRPr="00CA1290" w:rsidRDefault="00CA1290" w:rsidP="00CA1290">
      <w:pPr>
        <w:pStyle w:val="IRPsanstext"/>
        <w:rPr>
          <w:lang w:eastAsia="en-US"/>
        </w:rPr>
      </w:pPr>
    </w:p>
    <w:p w14:paraId="3EE3A24C" w14:textId="77777777" w:rsidR="00CA1290" w:rsidRPr="00CA1290" w:rsidRDefault="00CA1290" w:rsidP="00022AE1">
      <w:pPr>
        <w:pStyle w:val="IRPsanstext"/>
        <w:numPr>
          <w:ilvl w:val="0"/>
          <w:numId w:val="24"/>
        </w:numPr>
        <w:rPr>
          <w:lang w:eastAsia="en-US"/>
        </w:rPr>
      </w:pPr>
      <w:r w:rsidRPr="00CA1290">
        <w:rPr>
          <w:lang w:eastAsia="en-US"/>
        </w:rPr>
        <w:t xml:space="preserve">6.4 Mdth per day is added for 2 large transport customers.  </w:t>
      </w:r>
    </w:p>
    <w:p w14:paraId="3DD62559" w14:textId="77777777" w:rsidR="00CA1290" w:rsidRPr="00CA1290" w:rsidRDefault="00CA1290" w:rsidP="00022AE1">
      <w:pPr>
        <w:pStyle w:val="IRPsanstext"/>
        <w:numPr>
          <w:ilvl w:val="0"/>
          <w:numId w:val="24"/>
        </w:numPr>
        <w:rPr>
          <w:lang w:eastAsia="en-US"/>
        </w:rPr>
      </w:pPr>
      <w:r w:rsidRPr="00CA1290">
        <w:rPr>
          <w:lang w:eastAsia="en-US"/>
        </w:rPr>
        <w:t xml:space="preserve">The City of Buckley joined PSE’s gas service territory in July 2014. (The city added 1,189 residential customers and 187 commercial customers in 2012; residential customers are expected to grow at an annual rate of 1.5 percent, and commercial customers are expected to grow at an annual rate of 0.5 percent.)  </w:t>
      </w:r>
    </w:p>
    <w:p w14:paraId="5B63A07F" w14:textId="77777777" w:rsidR="00CA1290" w:rsidRPr="00CA1290" w:rsidRDefault="00CA1290" w:rsidP="00CA1290">
      <w:pPr>
        <w:pStyle w:val="IRPsanstext"/>
        <w:rPr>
          <w:lang w:eastAsia="en-US"/>
        </w:rPr>
      </w:pPr>
    </w:p>
    <w:p w14:paraId="181107D3" w14:textId="77777777" w:rsidR="00CA1290" w:rsidRPr="00CA1290" w:rsidRDefault="00CA1290" w:rsidP="00CA1290">
      <w:pPr>
        <w:pStyle w:val="IRPsanstext"/>
        <w:rPr>
          <w:lang w:eastAsia="en-US"/>
        </w:rPr>
      </w:pPr>
      <w:r w:rsidRPr="00022AE1">
        <w:rPr>
          <w:b/>
          <w:color w:val="156570"/>
          <w:sz w:val="28"/>
          <w:szCs w:val="28"/>
          <w:lang w:eastAsia="en-US"/>
        </w:rPr>
        <w:t>Compressed Natural Gas Vehicles.</w:t>
      </w:r>
      <w:r w:rsidRPr="00CA1290">
        <w:rPr>
          <w:color w:val="3366FF"/>
          <w:lang w:eastAsia="en-US"/>
        </w:rPr>
        <w:t xml:space="preserve">  </w:t>
      </w:r>
      <w:r w:rsidRPr="00CA1290">
        <w:rPr>
          <w:lang w:eastAsia="en-US"/>
        </w:rPr>
        <w:t xml:space="preserve">Compressed natural gas (CNG) vehicles were added to the 2015 IRP Gas Base Demand Forecast. CNG vehicles include marine vessels, buses, light-duty vehicles, medium-duty vehicles and heavy-duty vehicles. In 2015, this adds 50.9 Mdth to the forecast. This load is expected to grow at an average annual rate of 5.9 percent, based on the Annual Energy Outlook 2014 published by the U.S. Department of Energy.  </w:t>
      </w:r>
    </w:p>
    <w:p w14:paraId="6065DB67" w14:textId="77777777" w:rsidR="00CA1290" w:rsidRPr="00CA1290" w:rsidRDefault="00CA1290" w:rsidP="00CA1290">
      <w:pPr>
        <w:pStyle w:val="IRPsanstext"/>
        <w:rPr>
          <w:lang w:eastAsia="en-US"/>
        </w:rPr>
      </w:pPr>
    </w:p>
    <w:p w14:paraId="3E9EEFA3" w14:textId="77777777" w:rsidR="00CA1290" w:rsidRPr="00CA1290" w:rsidRDefault="00CA1290" w:rsidP="00CA1290">
      <w:pPr>
        <w:pStyle w:val="IRPsanstext"/>
        <w:rPr>
          <w:lang w:eastAsia="en-US"/>
        </w:rPr>
      </w:pPr>
      <w:r w:rsidRPr="00022AE1">
        <w:rPr>
          <w:b/>
          <w:color w:val="156570"/>
          <w:sz w:val="28"/>
          <w:szCs w:val="28"/>
          <w:lang w:eastAsia="en-US"/>
        </w:rPr>
        <w:t>Distributed Generation/Electric Vehicles.</w:t>
      </w:r>
      <w:r w:rsidRPr="00CA1290">
        <w:rPr>
          <w:color w:val="156570"/>
          <w:lang w:eastAsia="en-US"/>
        </w:rPr>
        <w:t xml:space="preserve">  </w:t>
      </w:r>
      <w:r w:rsidRPr="00CA1290">
        <w:rPr>
          <w:lang w:eastAsia="en-US"/>
        </w:rPr>
        <w:t xml:space="preserve">Distributed generation, including customer-level generation via solar panels, was not included in the load forecast; this energy production is captured in the IRP scenario modeling process.  Analysis of electric vehicle loads in the 2011 IRP indicated that their impact on demand was insignificant, so electric vehicles are also not included in this demand forecast. </w:t>
      </w:r>
    </w:p>
    <w:p w14:paraId="725C054C" w14:textId="77777777" w:rsidR="00CA1290" w:rsidRPr="00CA1290" w:rsidRDefault="00CA1290" w:rsidP="00CA1290">
      <w:pPr>
        <w:pStyle w:val="IRPsanstext"/>
        <w:rPr>
          <w:lang w:eastAsia="en-US"/>
        </w:rPr>
      </w:pPr>
    </w:p>
    <w:p w14:paraId="4F442095" w14:textId="77777777" w:rsidR="00CA1290" w:rsidRPr="00CA1290" w:rsidRDefault="00CA1290" w:rsidP="00CA1290">
      <w:pPr>
        <w:pStyle w:val="IRPsanstext"/>
        <w:rPr>
          <w:lang w:eastAsia="en-US"/>
        </w:rPr>
      </w:pPr>
      <w:r w:rsidRPr="00022AE1">
        <w:rPr>
          <w:b/>
          <w:color w:val="156570"/>
          <w:sz w:val="28"/>
          <w:szCs w:val="28"/>
          <w:lang w:eastAsia="en-US"/>
        </w:rPr>
        <w:t>Interruptible Loads.</w:t>
      </w:r>
      <w:r w:rsidRPr="00CA1290">
        <w:rPr>
          <w:color w:val="156570"/>
          <w:lang w:eastAsia="en-US"/>
        </w:rPr>
        <w:t xml:space="preserve">  </w:t>
      </w:r>
      <w:r w:rsidRPr="00CA1290">
        <w:rPr>
          <w:lang w:eastAsia="en-US"/>
        </w:rPr>
        <w:t>PSE has 165 electric interruptible customers; 5 of these are commercial and industrial customers and 160 are schools. The school contracts limit the time of day when energy can be curtailed. The other customers represent 7 MW of coincident peak load.  Since this 7</w:t>
      </w:r>
      <w:r w:rsidR="0032311E">
        <w:rPr>
          <w:lang w:val="en-US" w:eastAsia="en-US"/>
        </w:rPr>
        <w:t xml:space="preserve"> </w:t>
      </w:r>
      <w:r w:rsidRPr="00CA1290">
        <w:rPr>
          <w:lang w:eastAsia="en-US"/>
        </w:rPr>
        <w:t>MW is so small compared to PSE’s peak load, it was included in the firm load forecast; however, it has been accounted for in PSE’s resource adequacy model. For a number of gas customers, all or part of their volume is interruptible volume. The curtailment of interruptible gas volumes was included when forecasting peak gas loads.</w:t>
      </w:r>
    </w:p>
    <w:p w14:paraId="03A2C43B" w14:textId="77777777" w:rsidR="00766C30" w:rsidRDefault="00766C30">
      <w:pPr>
        <w:rPr>
          <w:rFonts w:ascii="Arial" w:hAnsi="Arial"/>
          <w:sz w:val="20"/>
          <w:szCs w:val="20"/>
          <w:lang w:eastAsia="en-US"/>
        </w:rPr>
      </w:pPr>
      <w:r>
        <w:rPr>
          <w:lang w:eastAsia="en-US"/>
        </w:rPr>
        <w:br w:type="page"/>
      </w:r>
    </w:p>
    <w:p w14:paraId="66FE96CE" w14:textId="77777777" w:rsidR="00766C30" w:rsidRPr="00766C30" w:rsidRDefault="00766C30" w:rsidP="00766C30">
      <w:pPr>
        <w:pStyle w:val="IRPsecthead2sans"/>
      </w:pPr>
      <w:r w:rsidRPr="00766C30">
        <w:lastRenderedPageBreak/>
        <w:t>ELECTRIC DEMAND FORECAST</w:t>
      </w:r>
    </w:p>
    <w:p w14:paraId="4FEC4715" w14:textId="77777777" w:rsidR="00766C30" w:rsidRPr="006C0682" w:rsidRDefault="00766C30" w:rsidP="00766C30">
      <w:pPr>
        <w:pStyle w:val="IRPsanstext"/>
        <w:rPr>
          <w:highlight w:val="cyan"/>
        </w:rPr>
      </w:pPr>
    </w:p>
    <w:p w14:paraId="366FE033" w14:textId="77777777" w:rsidR="00766C30" w:rsidRDefault="00766C30" w:rsidP="00766C30">
      <w:pPr>
        <w:pStyle w:val="IRPsanstext"/>
      </w:pPr>
      <w:r>
        <w:t xml:space="preserve">Highlights of the system-level base, high and low demand forecasts PSE developed for the electric service area are presented below. County-level winter peak forecasts follow, plus a forecast for the Eastside Area, the most rapidly growing part of the service territory. </w:t>
      </w:r>
    </w:p>
    <w:p w14:paraId="7CF8C9C2" w14:textId="77777777" w:rsidR="00766C30" w:rsidRDefault="00766C30" w:rsidP="00766C30">
      <w:pPr>
        <w:pStyle w:val="IRPsanstext"/>
      </w:pPr>
    </w:p>
    <w:p w14:paraId="6F611162" w14:textId="77777777" w:rsidR="00766C30" w:rsidRDefault="00766C30" w:rsidP="00766C30">
      <w:pPr>
        <w:pStyle w:val="IRPsanstext"/>
        <w:rPr>
          <w:rFonts w:cs="Arial"/>
        </w:rPr>
      </w:pPr>
      <w:r>
        <w:t xml:space="preserve">Demand-side resources (DSR), primarily energy efficiency measures, are treated differently at the system-level than they are at the county and sub-county level. At the system level, only DSR measures implemented through </w:t>
      </w:r>
      <w:r w:rsidRPr="006C5AEB">
        <w:rPr>
          <w:rFonts w:cs="Arial"/>
        </w:rPr>
        <w:t xml:space="preserve">December 2015 are included, since the system-level demand forecast itself helps to determine the most cost-effective amount of conservation to include in the portfolio. County forecasts do not perform the same function, so those forecasts apply the full amount of DSR projected in the 2013 IRP, plus an additional 5 percent from 2016 to 2035 to account for the 2013 general </w:t>
      </w:r>
      <w:r>
        <w:rPr>
          <w:rFonts w:cs="Arial"/>
        </w:rPr>
        <w:t>r</w:t>
      </w:r>
      <w:r w:rsidRPr="006C5AEB">
        <w:rPr>
          <w:rFonts w:cs="Arial"/>
        </w:rPr>
        <w:t xml:space="preserve">ate </w:t>
      </w:r>
      <w:r>
        <w:rPr>
          <w:rFonts w:cs="Arial"/>
        </w:rPr>
        <w:t>ca</w:t>
      </w:r>
      <w:r w:rsidRPr="006C5AEB">
        <w:rPr>
          <w:rFonts w:cs="Arial"/>
        </w:rPr>
        <w:t xml:space="preserve">se Global Settlement. </w:t>
      </w:r>
      <w:r w:rsidRPr="00AE6D16">
        <w:rPr>
          <w:rFonts w:cs="Arial"/>
        </w:rPr>
        <w:t>The 2013 Global Settlement that approved decoupling mechanisms requires PSE to acquire an additional 5 percent of energy efficiency over and above t</w:t>
      </w:r>
      <w:r>
        <w:rPr>
          <w:rFonts w:cs="Arial"/>
        </w:rPr>
        <w:t>he biennial target set for the c</w:t>
      </w:r>
      <w:r w:rsidRPr="00AE6D16">
        <w:rPr>
          <w:rFonts w:cs="Arial"/>
        </w:rPr>
        <w:t>ompany to comply with RCW 19.285.</w:t>
      </w:r>
    </w:p>
    <w:p w14:paraId="79E4CAD1" w14:textId="77777777" w:rsidR="00AE6946" w:rsidRPr="00AE6D16" w:rsidRDefault="00AE6946" w:rsidP="00766C30">
      <w:pPr>
        <w:pStyle w:val="IRPsanstext"/>
        <w:rPr>
          <w:rFonts w:cs="Arial"/>
        </w:rPr>
      </w:pPr>
    </w:p>
    <w:p w14:paraId="5945BB9F" w14:textId="77777777" w:rsidR="00766C30" w:rsidRDefault="00766C30" w:rsidP="00AE6946">
      <w:pPr>
        <w:pStyle w:val="IRPsecthead1serif"/>
      </w:pPr>
      <w:r w:rsidRPr="000F6962">
        <w:t>System-level Highlights</w:t>
      </w:r>
    </w:p>
    <w:p w14:paraId="633B9ACD" w14:textId="77777777" w:rsidR="00AE6946" w:rsidRPr="000F6962" w:rsidRDefault="00AE6946" w:rsidP="00766C30">
      <w:pPr>
        <w:pStyle w:val="IRPsanstext"/>
      </w:pPr>
    </w:p>
    <w:p w14:paraId="00AE94BA" w14:textId="77777777" w:rsidR="00766C30" w:rsidRDefault="00766C30" w:rsidP="00766C30">
      <w:pPr>
        <w:pStyle w:val="IRPsanstext"/>
      </w:pPr>
      <w:r w:rsidRPr="00AE6946">
        <w:rPr>
          <w:b/>
          <w:color w:val="156570"/>
          <w:sz w:val="28"/>
        </w:rPr>
        <w:t>Electric Load Growth.</w:t>
      </w:r>
      <w:r>
        <w:t xml:space="preserve"> </w:t>
      </w:r>
      <w:r w:rsidR="00AE6946">
        <w:t xml:space="preserve"> </w:t>
      </w:r>
      <w:r w:rsidRPr="00D360BC">
        <w:t xml:space="preserve">In the </w:t>
      </w:r>
      <w:r>
        <w:t xml:space="preserve">2015 </w:t>
      </w:r>
      <w:r w:rsidR="00C02EDD">
        <w:t xml:space="preserve">IRP </w:t>
      </w:r>
      <w:r w:rsidRPr="00D360BC">
        <w:t xml:space="preserve">Base Demand Forecast, total load </w:t>
      </w:r>
      <w:r>
        <w:t xml:space="preserve">is expected to grow at a rate of 1.8 percent annually from 2016 to 2025 and 1.5 percent annually from 2025 to 2035, for an average annual growth rate of 1.7 percent over the 20-year study period. Total load is expected to grow from 2,629 aMW in 2016 to 3,598 aMW in 2035. The rate is faster in the early years due to the continued economic recovery. </w:t>
      </w:r>
    </w:p>
    <w:p w14:paraId="448C4669" w14:textId="77777777" w:rsidR="00766C30" w:rsidRDefault="00766C30" w:rsidP="00766C30">
      <w:pPr>
        <w:pStyle w:val="IRPsanstext"/>
      </w:pPr>
    </w:p>
    <w:p w14:paraId="547615BE" w14:textId="77777777" w:rsidR="00766C30" w:rsidRPr="00575C3A" w:rsidRDefault="00766C30" w:rsidP="00766C30">
      <w:pPr>
        <w:pStyle w:val="IRPsanstext"/>
      </w:pPr>
      <w:r>
        <w:t xml:space="preserve">Residential and commercial loads are driving this growth; they represent 47 percent and 41 percent of load in 2016, respectively. On the residential side, use per customer is relatively flat, so growth in this category is being driven by the increase in the number of customers. On the commercial side, both use per customer and </w:t>
      </w:r>
      <w:r w:rsidRPr="00575C3A">
        <w:t>rising customer counts are driving growth.</w:t>
      </w:r>
    </w:p>
    <w:p w14:paraId="512CF908" w14:textId="77777777" w:rsidR="00766C30" w:rsidRPr="00575C3A" w:rsidRDefault="00766C30" w:rsidP="00766C30">
      <w:pPr>
        <w:pStyle w:val="IRPsanstext"/>
      </w:pPr>
    </w:p>
    <w:p w14:paraId="455A8E09" w14:textId="77777777" w:rsidR="00766C30" w:rsidRDefault="00766C30" w:rsidP="00766C30">
      <w:pPr>
        <w:pStyle w:val="IRPsanstext"/>
      </w:pPr>
      <w:r>
        <w:t xml:space="preserve">The 2015 IRP High Demand Forecast projects an average annual growth rate of 2.2 percent; the Low Demand Forecast projects 1.1 percent.  </w:t>
      </w:r>
    </w:p>
    <w:p w14:paraId="494B44E8" w14:textId="737D8807" w:rsidR="00AE6946" w:rsidRDefault="00AE6946" w:rsidP="00AE6946">
      <w:pPr>
        <w:pStyle w:val="IRPFigureSub"/>
      </w:pPr>
      <w:r>
        <w:br w:type="column"/>
      </w:r>
      <w:r>
        <w:rPr>
          <w:noProof/>
          <w:lang w:eastAsia="en-US"/>
        </w:rPr>
        <w:lastRenderedPageBreak/>
        <w:drawing>
          <wp:anchor distT="0" distB="0" distL="114300" distR="114300" simplePos="0" relativeHeight="251678720" behindDoc="0" locked="0" layoutInCell="1" allowOverlap="1" wp14:anchorId="3607737D" wp14:editId="56E64971">
            <wp:simplePos x="0" y="0"/>
            <wp:positionH relativeFrom="column">
              <wp:posOffset>280035</wp:posOffset>
            </wp:positionH>
            <wp:positionV relativeFrom="paragraph">
              <wp:posOffset>485140</wp:posOffset>
            </wp:positionV>
            <wp:extent cx="4826635" cy="3667125"/>
            <wp:effectExtent l="0" t="0" r="0" b="0"/>
            <wp:wrapTopAndBottom/>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6635" cy="3667125"/>
                    </a:xfrm>
                    <a:prstGeom prst="rect">
                      <a:avLst/>
                    </a:prstGeom>
                    <a:noFill/>
                  </pic:spPr>
                </pic:pic>
              </a:graphicData>
            </a:graphic>
          </wp:anchor>
        </w:drawing>
      </w:r>
      <w:r w:rsidRPr="00A34A10">
        <w:t xml:space="preserve">Figure </w:t>
      </w:r>
      <w:r>
        <w:t>5</w:t>
      </w:r>
      <w:r w:rsidRPr="00A34A10">
        <w:t>-</w:t>
      </w:r>
      <w:r>
        <w:t xml:space="preserve">17: </w:t>
      </w:r>
      <w:r w:rsidRPr="00145B93">
        <w:t xml:space="preserve">Electric </w:t>
      </w:r>
      <w:r>
        <w:t>Demand Forecast before DSR</w:t>
      </w:r>
    </w:p>
    <w:p w14:paraId="679F5D95" w14:textId="77777777" w:rsidR="00AE6946" w:rsidRPr="00FE2A08" w:rsidRDefault="00AE6946" w:rsidP="00AE6946">
      <w:pPr>
        <w:pStyle w:val="IRPFigureSub"/>
      </w:pPr>
      <w:r w:rsidRPr="00145B93">
        <w:t xml:space="preserve"> </w:t>
      </w:r>
      <w:r>
        <w:t>Base, High and Low</w:t>
      </w:r>
      <w:r w:rsidRPr="00145B93">
        <w:t xml:space="preserve"> Scenarios</w:t>
      </w:r>
      <w:r>
        <w:t xml:space="preserve"> </w:t>
      </w:r>
      <w:r w:rsidRPr="00145B93">
        <w:t>(</w:t>
      </w:r>
      <w:proofErr w:type="spellStart"/>
      <w:r>
        <w:t>aMW</w:t>
      </w:r>
      <w:proofErr w:type="spellEnd"/>
      <w:r>
        <w:t>)</w:t>
      </w:r>
    </w:p>
    <w:p w14:paraId="67D60D25" w14:textId="77777777" w:rsidR="00AE6946" w:rsidRDefault="00AE6946" w:rsidP="00766C30">
      <w:pPr>
        <w:pStyle w:val="IRPFigureSub"/>
        <w:spacing w:after="120"/>
        <w:jc w:val="left"/>
      </w:pPr>
    </w:p>
    <w:p w14:paraId="19C3337D" w14:textId="77777777" w:rsidR="00A47CC2" w:rsidRDefault="00AE6946" w:rsidP="00A47CC2">
      <w:pPr>
        <w:pStyle w:val="IRPFigureSub"/>
      </w:pPr>
      <w:r w:rsidRPr="003C3895">
        <w:t xml:space="preserve">Figure </w:t>
      </w:r>
      <w:r>
        <w:t>5</w:t>
      </w:r>
      <w:r w:rsidRPr="003C3895">
        <w:t>-</w:t>
      </w:r>
      <w:r>
        <w:t xml:space="preserve">18: </w:t>
      </w:r>
      <w:r w:rsidRPr="003C3895">
        <w:t xml:space="preserve">Electric </w:t>
      </w:r>
      <w:r>
        <w:t>Demand</w:t>
      </w:r>
      <w:r w:rsidRPr="003C3895">
        <w:t xml:space="preserve"> Forecast</w:t>
      </w:r>
      <w:r>
        <w:t xml:space="preserve"> before DSR</w:t>
      </w:r>
      <w:r w:rsidRPr="003C3895">
        <w:t xml:space="preserve"> </w:t>
      </w:r>
      <w:r>
        <w:t xml:space="preserve">(Table) </w:t>
      </w:r>
    </w:p>
    <w:p w14:paraId="709AFD3A" w14:textId="77777777" w:rsidR="00AE6946" w:rsidRPr="00A47CC2" w:rsidRDefault="00AE6946" w:rsidP="00F0569E">
      <w:pPr>
        <w:pStyle w:val="IRPFigureSub"/>
        <w:spacing w:after="120"/>
        <w:rPr>
          <w:rFonts w:ascii="Arial Italic" w:hAnsi="Arial Italic"/>
          <w:sz w:val="8"/>
        </w:rPr>
      </w:pPr>
      <w:r>
        <w:t xml:space="preserve">Base, High and Low </w:t>
      </w:r>
      <w:r w:rsidRPr="003C3895">
        <w:t>Scenarios</w:t>
      </w:r>
      <w:r>
        <w:t xml:space="preserve"> </w:t>
      </w:r>
    </w:p>
    <w:tbl>
      <w:tblPr>
        <w:tblW w:w="7965" w:type="dxa"/>
        <w:jc w:val="center"/>
        <w:tblInd w:w="103" w:type="dxa"/>
        <w:tblLayout w:type="fixed"/>
        <w:tblLook w:val="04A0" w:firstRow="1" w:lastRow="0" w:firstColumn="1" w:lastColumn="0" w:noHBand="0" w:noVBand="1"/>
      </w:tblPr>
      <w:tblGrid>
        <w:gridCol w:w="1620"/>
        <w:gridCol w:w="900"/>
        <w:gridCol w:w="1170"/>
        <w:gridCol w:w="990"/>
        <w:gridCol w:w="1000"/>
        <w:gridCol w:w="980"/>
        <w:gridCol w:w="1305"/>
      </w:tblGrid>
      <w:tr w:rsidR="00AE6946" w:rsidRPr="00D775A1" w14:paraId="4159BC64" w14:textId="77777777">
        <w:trPr>
          <w:trHeight w:val="300"/>
          <w:jc w:val="center"/>
        </w:trPr>
        <w:tc>
          <w:tcPr>
            <w:tcW w:w="796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04F18A77" w14:textId="77777777" w:rsidR="00AE6946" w:rsidRPr="006246FD" w:rsidRDefault="00615718" w:rsidP="00615718">
            <w:pPr>
              <w:spacing w:before="120" w:after="120"/>
              <w:jc w:val="center"/>
              <w:rPr>
                <w:rFonts w:ascii="Arial" w:eastAsia="Times New Roman" w:hAnsi="Arial"/>
                <w:b/>
                <w:color w:val="FFFFFF" w:themeColor="background1"/>
                <w:sz w:val="20"/>
                <w:szCs w:val="22"/>
              </w:rPr>
            </w:pPr>
            <w:r w:rsidRPr="006246FD">
              <w:rPr>
                <w:rFonts w:ascii="Arial" w:eastAsia="Times New Roman" w:hAnsi="Arial"/>
                <w:b/>
                <w:color w:val="FFFFFF" w:themeColor="background1"/>
                <w:sz w:val="20"/>
                <w:szCs w:val="22"/>
              </w:rPr>
              <w:t>ELECTRIC DEMAND FORECAST SCENARIOS</w:t>
            </w:r>
            <w:r w:rsidR="00AE6946" w:rsidRPr="006246FD">
              <w:rPr>
                <w:rFonts w:ascii="Arial" w:eastAsia="Times New Roman" w:hAnsi="Arial"/>
                <w:b/>
                <w:color w:val="FFFFFF" w:themeColor="background1"/>
                <w:sz w:val="20"/>
                <w:szCs w:val="22"/>
              </w:rPr>
              <w:t xml:space="preserve"> (</w:t>
            </w:r>
            <w:proofErr w:type="spellStart"/>
            <w:r w:rsidR="00AE6946" w:rsidRPr="006246FD">
              <w:rPr>
                <w:rFonts w:ascii="Arial" w:eastAsia="Times New Roman" w:hAnsi="Arial"/>
                <w:b/>
                <w:color w:val="FFFFFF" w:themeColor="background1"/>
                <w:sz w:val="20"/>
                <w:szCs w:val="22"/>
              </w:rPr>
              <w:t>aMW</w:t>
            </w:r>
            <w:proofErr w:type="spellEnd"/>
            <w:r w:rsidR="00AE6946" w:rsidRPr="006246FD">
              <w:rPr>
                <w:rFonts w:ascii="Arial" w:eastAsia="Times New Roman" w:hAnsi="Arial"/>
                <w:b/>
                <w:color w:val="FFFFFF" w:themeColor="background1"/>
                <w:sz w:val="20"/>
                <w:szCs w:val="22"/>
              </w:rPr>
              <w:t>)</w:t>
            </w:r>
          </w:p>
        </w:tc>
      </w:tr>
      <w:tr w:rsidR="00AE6946" w:rsidRPr="00D775A1" w14:paraId="7BB01124" w14:textId="77777777">
        <w:trPr>
          <w:trHeight w:val="600"/>
          <w:jc w:val="center"/>
        </w:trPr>
        <w:tc>
          <w:tcPr>
            <w:tcW w:w="1620" w:type="dxa"/>
            <w:tcBorders>
              <w:top w:val="nil"/>
              <w:left w:val="single" w:sz="4" w:space="0" w:color="auto"/>
              <w:bottom w:val="single" w:sz="4" w:space="0" w:color="auto"/>
              <w:right w:val="single" w:sz="4" w:space="0" w:color="auto"/>
            </w:tcBorders>
            <w:shd w:val="clear" w:color="auto" w:fill="156570"/>
            <w:noWrap/>
            <w:vAlign w:val="center"/>
          </w:tcPr>
          <w:p w14:paraId="2A9D14E8" w14:textId="77777777" w:rsidR="00AE6946" w:rsidRPr="00615718" w:rsidRDefault="00AE6946" w:rsidP="00BC31F5">
            <w:pPr>
              <w:jc w:val="center"/>
              <w:rPr>
                <w:rFonts w:ascii="Arial" w:eastAsia="Times New Roman" w:hAnsi="Arial"/>
                <w:b/>
                <w:color w:val="FFFFFF" w:themeColor="background1"/>
                <w:sz w:val="18"/>
                <w:szCs w:val="22"/>
              </w:rPr>
            </w:pPr>
            <w:r w:rsidRPr="00615718">
              <w:rPr>
                <w:rFonts w:ascii="Arial" w:eastAsia="Times New Roman" w:hAnsi="Arial"/>
                <w:b/>
                <w:color w:val="FFFFFF" w:themeColor="background1"/>
                <w:sz w:val="18"/>
                <w:szCs w:val="22"/>
              </w:rPr>
              <w:t>Scenario</w:t>
            </w:r>
          </w:p>
        </w:tc>
        <w:tc>
          <w:tcPr>
            <w:tcW w:w="900" w:type="dxa"/>
            <w:tcBorders>
              <w:top w:val="nil"/>
              <w:left w:val="nil"/>
              <w:bottom w:val="single" w:sz="4" w:space="0" w:color="auto"/>
              <w:right w:val="single" w:sz="4" w:space="0" w:color="auto"/>
            </w:tcBorders>
            <w:shd w:val="clear" w:color="auto" w:fill="156570"/>
            <w:noWrap/>
            <w:vAlign w:val="center"/>
          </w:tcPr>
          <w:p w14:paraId="6737D42E"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2016</w:t>
            </w:r>
          </w:p>
        </w:tc>
        <w:tc>
          <w:tcPr>
            <w:tcW w:w="1170" w:type="dxa"/>
            <w:tcBorders>
              <w:top w:val="nil"/>
              <w:left w:val="nil"/>
              <w:bottom w:val="single" w:sz="4" w:space="0" w:color="auto"/>
              <w:right w:val="single" w:sz="4" w:space="0" w:color="auto"/>
            </w:tcBorders>
            <w:shd w:val="clear" w:color="auto" w:fill="156570"/>
            <w:noWrap/>
            <w:vAlign w:val="center"/>
          </w:tcPr>
          <w:p w14:paraId="63D3E8FC"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2020</w:t>
            </w:r>
          </w:p>
        </w:tc>
        <w:tc>
          <w:tcPr>
            <w:tcW w:w="990" w:type="dxa"/>
            <w:tcBorders>
              <w:top w:val="nil"/>
              <w:left w:val="nil"/>
              <w:bottom w:val="single" w:sz="4" w:space="0" w:color="auto"/>
              <w:right w:val="single" w:sz="4" w:space="0" w:color="auto"/>
            </w:tcBorders>
            <w:shd w:val="clear" w:color="auto" w:fill="156570"/>
            <w:noWrap/>
            <w:vAlign w:val="center"/>
          </w:tcPr>
          <w:p w14:paraId="539E0A8D"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2025</w:t>
            </w:r>
          </w:p>
        </w:tc>
        <w:tc>
          <w:tcPr>
            <w:tcW w:w="1000" w:type="dxa"/>
            <w:tcBorders>
              <w:top w:val="nil"/>
              <w:left w:val="nil"/>
              <w:bottom w:val="single" w:sz="4" w:space="0" w:color="auto"/>
              <w:right w:val="single" w:sz="4" w:space="0" w:color="auto"/>
            </w:tcBorders>
            <w:shd w:val="clear" w:color="auto" w:fill="156570"/>
            <w:noWrap/>
            <w:vAlign w:val="center"/>
          </w:tcPr>
          <w:p w14:paraId="7107987D"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2030</w:t>
            </w:r>
          </w:p>
        </w:tc>
        <w:tc>
          <w:tcPr>
            <w:tcW w:w="980" w:type="dxa"/>
            <w:tcBorders>
              <w:top w:val="nil"/>
              <w:left w:val="nil"/>
              <w:bottom w:val="single" w:sz="4" w:space="0" w:color="auto"/>
              <w:right w:val="single" w:sz="4" w:space="0" w:color="auto"/>
            </w:tcBorders>
            <w:shd w:val="clear" w:color="auto" w:fill="156570"/>
            <w:noWrap/>
            <w:vAlign w:val="center"/>
          </w:tcPr>
          <w:p w14:paraId="4B71E85F"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2035</w:t>
            </w:r>
          </w:p>
        </w:tc>
        <w:tc>
          <w:tcPr>
            <w:tcW w:w="1305" w:type="dxa"/>
            <w:tcBorders>
              <w:top w:val="nil"/>
              <w:left w:val="nil"/>
              <w:bottom w:val="single" w:sz="4" w:space="0" w:color="auto"/>
              <w:right w:val="single" w:sz="4" w:space="0" w:color="auto"/>
            </w:tcBorders>
            <w:shd w:val="clear" w:color="auto" w:fill="156570"/>
            <w:vAlign w:val="center"/>
          </w:tcPr>
          <w:p w14:paraId="6BEC732E"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 xml:space="preserve">AARG </w:t>
            </w:r>
          </w:p>
          <w:p w14:paraId="690B906A"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2016-2035</w:t>
            </w:r>
          </w:p>
        </w:tc>
      </w:tr>
      <w:tr w:rsidR="00AE6946" w:rsidRPr="00D775A1" w14:paraId="5A7C0996" w14:textId="77777777">
        <w:trPr>
          <w:trHeight w:val="900"/>
          <w:jc w:val="center"/>
        </w:trPr>
        <w:tc>
          <w:tcPr>
            <w:tcW w:w="1620" w:type="dxa"/>
            <w:tcBorders>
              <w:top w:val="nil"/>
              <w:left w:val="single" w:sz="4" w:space="0" w:color="auto"/>
              <w:bottom w:val="single" w:sz="4" w:space="0" w:color="auto"/>
              <w:right w:val="single" w:sz="4" w:space="0" w:color="auto"/>
            </w:tcBorders>
            <w:shd w:val="clear" w:color="auto" w:fill="auto"/>
            <w:vAlign w:val="center"/>
          </w:tcPr>
          <w:p w14:paraId="2C8E7BBB"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2015 IRP</w:t>
            </w:r>
          </w:p>
          <w:p w14:paraId="712D6CE7"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Base Demand Forecast</w:t>
            </w:r>
          </w:p>
        </w:tc>
        <w:tc>
          <w:tcPr>
            <w:tcW w:w="900" w:type="dxa"/>
            <w:tcBorders>
              <w:top w:val="nil"/>
              <w:left w:val="nil"/>
              <w:bottom w:val="single" w:sz="4" w:space="0" w:color="auto"/>
              <w:right w:val="single" w:sz="4" w:space="0" w:color="auto"/>
            </w:tcBorders>
            <w:shd w:val="clear" w:color="auto" w:fill="auto"/>
            <w:noWrap/>
            <w:vAlign w:val="center"/>
          </w:tcPr>
          <w:p w14:paraId="76B7CE0E"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2,629</w:t>
            </w:r>
          </w:p>
        </w:tc>
        <w:tc>
          <w:tcPr>
            <w:tcW w:w="1170" w:type="dxa"/>
            <w:tcBorders>
              <w:top w:val="nil"/>
              <w:left w:val="nil"/>
              <w:bottom w:val="single" w:sz="4" w:space="0" w:color="auto"/>
              <w:right w:val="single" w:sz="4" w:space="0" w:color="auto"/>
            </w:tcBorders>
            <w:shd w:val="clear" w:color="auto" w:fill="auto"/>
            <w:noWrap/>
            <w:vAlign w:val="center"/>
          </w:tcPr>
          <w:p w14:paraId="0468DDE9"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2,850</w:t>
            </w:r>
          </w:p>
        </w:tc>
        <w:tc>
          <w:tcPr>
            <w:tcW w:w="990" w:type="dxa"/>
            <w:tcBorders>
              <w:top w:val="nil"/>
              <w:left w:val="nil"/>
              <w:bottom w:val="single" w:sz="4" w:space="0" w:color="auto"/>
              <w:right w:val="single" w:sz="4" w:space="0" w:color="auto"/>
            </w:tcBorders>
            <w:shd w:val="clear" w:color="auto" w:fill="auto"/>
            <w:noWrap/>
            <w:vAlign w:val="center"/>
          </w:tcPr>
          <w:p w14:paraId="4615D9A2"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3,088</w:t>
            </w:r>
          </w:p>
        </w:tc>
        <w:tc>
          <w:tcPr>
            <w:tcW w:w="1000" w:type="dxa"/>
            <w:tcBorders>
              <w:top w:val="nil"/>
              <w:left w:val="nil"/>
              <w:bottom w:val="single" w:sz="4" w:space="0" w:color="auto"/>
              <w:right w:val="single" w:sz="4" w:space="0" w:color="auto"/>
            </w:tcBorders>
            <w:shd w:val="clear" w:color="auto" w:fill="auto"/>
            <w:noWrap/>
            <w:vAlign w:val="center"/>
          </w:tcPr>
          <w:p w14:paraId="4F4AF936"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3,345</w:t>
            </w:r>
          </w:p>
        </w:tc>
        <w:tc>
          <w:tcPr>
            <w:tcW w:w="980" w:type="dxa"/>
            <w:tcBorders>
              <w:top w:val="nil"/>
              <w:left w:val="nil"/>
              <w:bottom w:val="single" w:sz="4" w:space="0" w:color="auto"/>
              <w:right w:val="single" w:sz="4" w:space="0" w:color="auto"/>
            </w:tcBorders>
            <w:shd w:val="clear" w:color="auto" w:fill="auto"/>
            <w:noWrap/>
            <w:vAlign w:val="center"/>
          </w:tcPr>
          <w:p w14:paraId="0A4772E6"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3,598</w:t>
            </w:r>
          </w:p>
        </w:tc>
        <w:tc>
          <w:tcPr>
            <w:tcW w:w="1305" w:type="dxa"/>
            <w:tcBorders>
              <w:top w:val="nil"/>
              <w:left w:val="nil"/>
              <w:bottom w:val="single" w:sz="4" w:space="0" w:color="auto"/>
              <w:right w:val="single" w:sz="4" w:space="0" w:color="auto"/>
            </w:tcBorders>
            <w:shd w:val="clear" w:color="auto" w:fill="auto"/>
            <w:noWrap/>
            <w:vAlign w:val="center"/>
          </w:tcPr>
          <w:p w14:paraId="720F92B4"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1.7%</w:t>
            </w:r>
          </w:p>
        </w:tc>
      </w:tr>
      <w:tr w:rsidR="00AE6946" w:rsidRPr="00D775A1" w14:paraId="00AF88EF" w14:textId="77777777">
        <w:trPr>
          <w:trHeight w:val="900"/>
          <w:jc w:val="center"/>
        </w:trPr>
        <w:tc>
          <w:tcPr>
            <w:tcW w:w="1620" w:type="dxa"/>
            <w:tcBorders>
              <w:top w:val="nil"/>
              <w:left w:val="single" w:sz="4" w:space="0" w:color="auto"/>
              <w:bottom w:val="single" w:sz="4" w:space="0" w:color="auto"/>
              <w:right w:val="single" w:sz="4" w:space="0" w:color="auto"/>
            </w:tcBorders>
            <w:shd w:val="clear" w:color="auto" w:fill="auto"/>
            <w:vAlign w:val="center"/>
          </w:tcPr>
          <w:p w14:paraId="6388A59E"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2015 IRP</w:t>
            </w:r>
          </w:p>
          <w:p w14:paraId="0C468E58"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High Demand Forecast</w:t>
            </w:r>
          </w:p>
        </w:tc>
        <w:tc>
          <w:tcPr>
            <w:tcW w:w="900" w:type="dxa"/>
            <w:tcBorders>
              <w:top w:val="nil"/>
              <w:left w:val="nil"/>
              <w:bottom w:val="single" w:sz="4" w:space="0" w:color="auto"/>
              <w:right w:val="single" w:sz="4" w:space="0" w:color="auto"/>
            </w:tcBorders>
            <w:shd w:val="clear" w:color="auto" w:fill="auto"/>
            <w:noWrap/>
            <w:vAlign w:val="center"/>
          </w:tcPr>
          <w:p w14:paraId="09CF87AF"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2,776</w:t>
            </w:r>
          </w:p>
        </w:tc>
        <w:tc>
          <w:tcPr>
            <w:tcW w:w="1170" w:type="dxa"/>
            <w:tcBorders>
              <w:top w:val="nil"/>
              <w:left w:val="nil"/>
              <w:bottom w:val="single" w:sz="4" w:space="0" w:color="auto"/>
              <w:right w:val="single" w:sz="4" w:space="0" w:color="auto"/>
            </w:tcBorders>
            <w:shd w:val="clear" w:color="auto" w:fill="auto"/>
            <w:noWrap/>
            <w:vAlign w:val="center"/>
          </w:tcPr>
          <w:p w14:paraId="79950383"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3,044</w:t>
            </w:r>
          </w:p>
        </w:tc>
        <w:tc>
          <w:tcPr>
            <w:tcW w:w="990" w:type="dxa"/>
            <w:tcBorders>
              <w:top w:val="nil"/>
              <w:left w:val="nil"/>
              <w:bottom w:val="single" w:sz="4" w:space="0" w:color="auto"/>
              <w:right w:val="single" w:sz="4" w:space="0" w:color="auto"/>
            </w:tcBorders>
            <w:shd w:val="clear" w:color="auto" w:fill="auto"/>
            <w:noWrap/>
            <w:vAlign w:val="center"/>
          </w:tcPr>
          <w:p w14:paraId="64B4A89B"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3,357</w:t>
            </w:r>
          </w:p>
        </w:tc>
        <w:tc>
          <w:tcPr>
            <w:tcW w:w="1000" w:type="dxa"/>
            <w:tcBorders>
              <w:top w:val="nil"/>
              <w:left w:val="nil"/>
              <w:bottom w:val="single" w:sz="4" w:space="0" w:color="auto"/>
              <w:right w:val="single" w:sz="4" w:space="0" w:color="auto"/>
            </w:tcBorders>
            <w:shd w:val="clear" w:color="auto" w:fill="auto"/>
            <w:noWrap/>
            <w:vAlign w:val="center"/>
          </w:tcPr>
          <w:p w14:paraId="01B5316E"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3,685</w:t>
            </w:r>
          </w:p>
        </w:tc>
        <w:tc>
          <w:tcPr>
            <w:tcW w:w="980" w:type="dxa"/>
            <w:tcBorders>
              <w:top w:val="nil"/>
              <w:left w:val="nil"/>
              <w:bottom w:val="single" w:sz="4" w:space="0" w:color="auto"/>
              <w:right w:val="single" w:sz="4" w:space="0" w:color="auto"/>
            </w:tcBorders>
            <w:shd w:val="clear" w:color="auto" w:fill="auto"/>
            <w:noWrap/>
            <w:vAlign w:val="center"/>
          </w:tcPr>
          <w:p w14:paraId="1F360AC0"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4,176</w:t>
            </w:r>
          </w:p>
        </w:tc>
        <w:tc>
          <w:tcPr>
            <w:tcW w:w="1305" w:type="dxa"/>
            <w:tcBorders>
              <w:top w:val="nil"/>
              <w:left w:val="nil"/>
              <w:bottom w:val="single" w:sz="4" w:space="0" w:color="auto"/>
              <w:right w:val="single" w:sz="4" w:space="0" w:color="auto"/>
            </w:tcBorders>
            <w:shd w:val="clear" w:color="auto" w:fill="auto"/>
            <w:noWrap/>
            <w:vAlign w:val="center"/>
          </w:tcPr>
          <w:p w14:paraId="77472DA8"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2.2%</w:t>
            </w:r>
          </w:p>
        </w:tc>
      </w:tr>
      <w:tr w:rsidR="00AE6946" w:rsidRPr="00D775A1" w14:paraId="2A104848" w14:textId="77777777">
        <w:trPr>
          <w:trHeight w:val="900"/>
          <w:jc w:val="center"/>
        </w:trPr>
        <w:tc>
          <w:tcPr>
            <w:tcW w:w="1620" w:type="dxa"/>
            <w:tcBorders>
              <w:top w:val="nil"/>
              <w:left w:val="single" w:sz="4" w:space="0" w:color="auto"/>
              <w:bottom w:val="single" w:sz="4" w:space="0" w:color="auto"/>
              <w:right w:val="single" w:sz="4" w:space="0" w:color="auto"/>
            </w:tcBorders>
            <w:shd w:val="clear" w:color="auto" w:fill="auto"/>
            <w:vAlign w:val="center"/>
          </w:tcPr>
          <w:p w14:paraId="6924F8E3"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2015 IRP</w:t>
            </w:r>
          </w:p>
          <w:p w14:paraId="4A6D01EB"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Low Demand Forecast</w:t>
            </w:r>
          </w:p>
        </w:tc>
        <w:tc>
          <w:tcPr>
            <w:tcW w:w="900" w:type="dxa"/>
            <w:tcBorders>
              <w:top w:val="nil"/>
              <w:left w:val="nil"/>
              <w:bottom w:val="single" w:sz="4" w:space="0" w:color="auto"/>
              <w:right w:val="single" w:sz="4" w:space="0" w:color="auto"/>
            </w:tcBorders>
            <w:shd w:val="clear" w:color="auto" w:fill="auto"/>
            <w:noWrap/>
            <w:vAlign w:val="center"/>
          </w:tcPr>
          <w:p w14:paraId="52EF776D"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2,505</w:t>
            </w:r>
          </w:p>
        </w:tc>
        <w:tc>
          <w:tcPr>
            <w:tcW w:w="1170" w:type="dxa"/>
            <w:tcBorders>
              <w:top w:val="nil"/>
              <w:left w:val="nil"/>
              <w:bottom w:val="single" w:sz="4" w:space="0" w:color="auto"/>
              <w:right w:val="single" w:sz="4" w:space="0" w:color="auto"/>
            </w:tcBorders>
            <w:shd w:val="clear" w:color="auto" w:fill="auto"/>
            <w:noWrap/>
            <w:vAlign w:val="center"/>
          </w:tcPr>
          <w:p w14:paraId="47C56F62"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2,682</w:t>
            </w:r>
          </w:p>
        </w:tc>
        <w:tc>
          <w:tcPr>
            <w:tcW w:w="990" w:type="dxa"/>
            <w:tcBorders>
              <w:top w:val="nil"/>
              <w:left w:val="nil"/>
              <w:bottom w:val="single" w:sz="4" w:space="0" w:color="auto"/>
              <w:right w:val="single" w:sz="4" w:space="0" w:color="auto"/>
            </w:tcBorders>
            <w:shd w:val="clear" w:color="auto" w:fill="auto"/>
            <w:noWrap/>
            <w:vAlign w:val="center"/>
          </w:tcPr>
          <w:p w14:paraId="7C4ED3D2"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2,869</w:t>
            </w:r>
          </w:p>
        </w:tc>
        <w:tc>
          <w:tcPr>
            <w:tcW w:w="1000" w:type="dxa"/>
            <w:tcBorders>
              <w:top w:val="nil"/>
              <w:left w:val="nil"/>
              <w:bottom w:val="single" w:sz="4" w:space="0" w:color="auto"/>
              <w:right w:val="single" w:sz="4" w:space="0" w:color="auto"/>
            </w:tcBorders>
            <w:shd w:val="clear" w:color="auto" w:fill="auto"/>
            <w:noWrap/>
            <w:vAlign w:val="center"/>
          </w:tcPr>
          <w:p w14:paraId="77211B98"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3,050</w:t>
            </w:r>
          </w:p>
        </w:tc>
        <w:tc>
          <w:tcPr>
            <w:tcW w:w="980" w:type="dxa"/>
            <w:tcBorders>
              <w:top w:val="nil"/>
              <w:left w:val="nil"/>
              <w:bottom w:val="single" w:sz="4" w:space="0" w:color="auto"/>
              <w:right w:val="single" w:sz="4" w:space="0" w:color="auto"/>
            </w:tcBorders>
            <w:shd w:val="clear" w:color="auto" w:fill="auto"/>
            <w:noWrap/>
            <w:vAlign w:val="center"/>
          </w:tcPr>
          <w:p w14:paraId="4C2C7D3F"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3,108</w:t>
            </w:r>
          </w:p>
        </w:tc>
        <w:tc>
          <w:tcPr>
            <w:tcW w:w="1305" w:type="dxa"/>
            <w:tcBorders>
              <w:top w:val="nil"/>
              <w:left w:val="nil"/>
              <w:bottom w:val="single" w:sz="4" w:space="0" w:color="auto"/>
              <w:right w:val="single" w:sz="4" w:space="0" w:color="auto"/>
            </w:tcBorders>
            <w:shd w:val="clear" w:color="auto" w:fill="auto"/>
            <w:noWrap/>
            <w:vAlign w:val="center"/>
          </w:tcPr>
          <w:p w14:paraId="61CDAA6F"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1.1%</w:t>
            </w:r>
          </w:p>
        </w:tc>
      </w:tr>
    </w:tbl>
    <w:p w14:paraId="4DB1B178" w14:textId="77777777" w:rsidR="00AE6946" w:rsidRDefault="00AE6946" w:rsidP="00766C30">
      <w:pPr>
        <w:pStyle w:val="IRPFigureSub"/>
        <w:spacing w:after="120"/>
        <w:jc w:val="left"/>
      </w:pPr>
    </w:p>
    <w:p w14:paraId="34F23517" w14:textId="77777777" w:rsidR="00AE6946" w:rsidRDefault="00AE6946">
      <w:pPr>
        <w:rPr>
          <w:rFonts w:ascii="Arial" w:hAnsi="Arial"/>
          <w:i/>
          <w:sz w:val="20"/>
          <w:szCs w:val="22"/>
        </w:rPr>
      </w:pPr>
      <w:r>
        <w:br w:type="page"/>
      </w:r>
    </w:p>
    <w:p w14:paraId="49AB87CD" w14:textId="77777777" w:rsidR="00AE6946" w:rsidRDefault="00AE6946" w:rsidP="00AE6946">
      <w:pPr>
        <w:pStyle w:val="IRPsanstext"/>
      </w:pPr>
      <w:r w:rsidRPr="00AE6946">
        <w:rPr>
          <w:b/>
          <w:color w:val="156570"/>
          <w:sz w:val="28"/>
        </w:rPr>
        <w:lastRenderedPageBreak/>
        <w:t>Electric Peak Demand.</w:t>
      </w:r>
      <w:r>
        <w:rPr>
          <w:sz w:val="28"/>
        </w:rPr>
        <w:t xml:space="preserve"> </w:t>
      </w:r>
      <w:r>
        <w:t xml:space="preserve"> The normal electric peak hour load is modeled using 23 degrees Fahrenheit. The 2015 IRP Base Demand Forecast shows an average annual peak load growth of 1.6 percent and an increase in peak load from 4,929 MW to 6,649 MW between 2016 and 2035. Demand grows faster in the first part of the forecast period due to the continued economic recovery (at 1.7 percent from 2016 to 2025 compared to 1.5 percent thereafter).  </w:t>
      </w:r>
    </w:p>
    <w:p w14:paraId="5485A242" w14:textId="77777777" w:rsidR="00AE6946" w:rsidRDefault="00AE6946" w:rsidP="00AE6946">
      <w:pPr>
        <w:pStyle w:val="IRPsanstext"/>
        <w:rPr>
          <w:sz w:val="28"/>
        </w:rPr>
      </w:pPr>
      <w:r w:rsidRPr="006126BE">
        <w:t>The 2015 IRP Electric Base Demand Forecast is lower than the 2013 IRP Base Demand Forecast</w:t>
      </w:r>
      <w:r>
        <w:t xml:space="preserve"> due primarily to </w:t>
      </w:r>
      <w:r w:rsidRPr="006126BE">
        <w:t xml:space="preserve">the lower population forecast </w:t>
      </w:r>
      <w:r>
        <w:t>which led</w:t>
      </w:r>
      <w:r w:rsidRPr="006126BE">
        <w:t xml:space="preserve"> to a lower customer forecast.  </w:t>
      </w:r>
    </w:p>
    <w:p w14:paraId="25AE8F33" w14:textId="77777777" w:rsidR="00AE6946" w:rsidRPr="004E7296" w:rsidRDefault="00AE6946" w:rsidP="00AE6946">
      <w:pPr>
        <w:pStyle w:val="IRPsanstext"/>
      </w:pPr>
    </w:p>
    <w:p w14:paraId="34B86D79" w14:textId="77777777" w:rsidR="00AE6946" w:rsidRDefault="00AE6946" w:rsidP="00AE6946">
      <w:pPr>
        <w:pStyle w:val="IRPsanstext"/>
      </w:pPr>
      <w:r>
        <w:t xml:space="preserve">The 2015 IRP High Demand Forecast shows an average annual peak load growth of 2.0 percent, and the Low Demand Forecast shows a 1.2 percent annual growth rate. </w:t>
      </w:r>
    </w:p>
    <w:p w14:paraId="224C7B8C" w14:textId="77777777" w:rsidR="00AE6946" w:rsidRDefault="00AE6946" w:rsidP="00AE6946">
      <w:pPr>
        <w:pStyle w:val="IRPsanstext"/>
      </w:pPr>
    </w:p>
    <w:p w14:paraId="6B2C735D" w14:textId="77777777" w:rsidR="00BC31F5" w:rsidRPr="00145B93" w:rsidRDefault="00BC31F5" w:rsidP="00BC31F5">
      <w:pPr>
        <w:pStyle w:val="IRPFigureSub"/>
        <w:spacing w:after="120"/>
      </w:pPr>
      <w:r w:rsidRPr="00145B93">
        <w:t xml:space="preserve">Figure </w:t>
      </w:r>
      <w:r>
        <w:t xml:space="preserve">5-19: </w:t>
      </w:r>
      <w:r w:rsidRPr="00145B93">
        <w:t xml:space="preserve">Electric Peak </w:t>
      </w:r>
      <w:r>
        <w:t>Demand</w:t>
      </w:r>
      <w:r w:rsidRPr="00145B93">
        <w:t xml:space="preserve"> </w:t>
      </w:r>
      <w:r>
        <w:t xml:space="preserve">Forecast before DSR </w:t>
      </w:r>
      <w:r>
        <w:br/>
        <w:t>Base, High and Low Scenarios,</w:t>
      </w:r>
      <w:r w:rsidRPr="00145B93">
        <w:t xml:space="preserve"> Hour</w:t>
      </w:r>
      <w:r>
        <w:t>ly Annual Peak (23 Degrees, MW)</w:t>
      </w:r>
      <w:r w:rsidRPr="00145B93">
        <w:t xml:space="preserve"> </w:t>
      </w:r>
    </w:p>
    <w:p w14:paraId="235297E5" w14:textId="77777777" w:rsidR="00BC31F5" w:rsidRPr="00E9202E" w:rsidRDefault="00BC31F5" w:rsidP="00BC31F5">
      <w:pPr>
        <w:pStyle w:val="irpsubsanstext16"/>
        <w:rPr>
          <w:highlight w:val="cyan"/>
        </w:rPr>
      </w:pPr>
      <w:r>
        <w:rPr>
          <w:noProof/>
        </w:rPr>
        <w:drawing>
          <wp:inline distT="0" distB="0" distL="0" distR="0" wp14:anchorId="5B9C5562" wp14:editId="17846892">
            <wp:extent cx="5532755" cy="4013277"/>
            <wp:effectExtent l="0" t="0" r="444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2755" cy="4013277"/>
                    </a:xfrm>
                    <a:prstGeom prst="rect">
                      <a:avLst/>
                    </a:prstGeom>
                    <a:noFill/>
                    <a:ln>
                      <a:noFill/>
                    </a:ln>
                  </pic:spPr>
                </pic:pic>
              </a:graphicData>
            </a:graphic>
          </wp:inline>
        </w:drawing>
      </w:r>
    </w:p>
    <w:p w14:paraId="3299EF41" w14:textId="77777777" w:rsidR="00BC31F5" w:rsidRDefault="00BC31F5">
      <w:pPr>
        <w:rPr>
          <w:rFonts w:ascii="Arial" w:hAnsi="Arial"/>
          <w:i/>
          <w:sz w:val="20"/>
          <w:szCs w:val="22"/>
        </w:rPr>
      </w:pPr>
      <w:r>
        <w:br w:type="page"/>
      </w:r>
    </w:p>
    <w:p w14:paraId="567C59E4" w14:textId="72864400" w:rsidR="00BC31F5" w:rsidRDefault="00BC31F5" w:rsidP="00BC31F5">
      <w:pPr>
        <w:pStyle w:val="IRPFigureSub"/>
        <w:spacing w:after="120"/>
      </w:pPr>
      <w:r w:rsidRPr="003C3895">
        <w:lastRenderedPageBreak/>
        <w:t xml:space="preserve">Figure </w:t>
      </w:r>
      <w:r>
        <w:t>5</w:t>
      </w:r>
      <w:r w:rsidRPr="003C3895">
        <w:t>-</w:t>
      </w:r>
      <w:r>
        <w:t xml:space="preserve">20: </w:t>
      </w:r>
      <w:r w:rsidRPr="003C3895">
        <w:t xml:space="preserve">Electric </w:t>
      </w:r>
      <w:r>
        <w:t>Peak Dem</w:t>
      </w:r>
      <w:r w:rsidR="00615718">
        <w:t>and Forecast before DSR</w:t>
      </w:r>
      <w:r w:rsidR="00AD7BF0">
        <w:t xml:space="preserve"> (Table)</w:t>
      </w:r>
      <w:r w:rsidR="00615718">
        <w:br/>
      </w:r>
      <w:r>
        <w:t xml:space="preserve">Base, High and Low Scenarios, </w:t>
      </w:r>
      <w:r w:rsidRPr="00145B93">
        <w:t>Hourl</w:t>
      </w:r>
      <w:r>
        <w:t>y Annual Peak (23 Degrees, MW)</w:t>
      </w:r>
      <w:r w:rsidRPr="001808AF">
        <w:t xml:space="preserve"> </w:t>
      </w:r>
    </w:p>
    <w:tbl>
      <w:tblPr>
        <w:tblW w:w="7974" w:type="dxa"/>
        <w:jc w:val="center"/>
        <w:tblInd w:w="-50" w:type="dxa"/>
        <w:tblLook w:val="04A0" w:firstRow="1" w:lastRow="0" w:firstColumn="1" w:lastColumn="0" w:noHBand="0" w:noVBand="1"/>
      </w:tblPr>
      <w:tblGrid>
        <w:gridCol w:w="2001"/>
        <w:gridCol w:w="990"/>
        <w:gridCol w:w="767"/>
        <w:gridCol w:w="990"/>
        <w:gridCol w:w="900"/>
        <w:gridCol w:w="839"/>
        <w:gridCol w:w="1487"/>
      </w:tblGrid>
      <w:tr w:rsidR="00BC31F5" w:rsidRPr="00D775A1" w14:paraId="15DE5C1E" w14:textId="77777777">
        <w:trPr>
          <w:trHeight w:val="300"/>
          <w:jc w:val="center"/>
        </w:trPr>
        <w:tc>
          <w:tcPr>
            <w:tcW w:w="7974"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7B917264" w14:textId="77777777" w:rsidR="00BC31F5" w:rsidRPr="006246FD" w:rsidRDefault="00BC31F5" w:rsidP="00615718">
            <w:pPr>
              <w:spacing w:before="120" w:after="120"/>
              <w:jc w:val="center"/>
              <w:rPr>
                <w:rFonts w:ascii="Arial" w:eastAsia="Times New Roman" w:hAnsi="Arial"/>
                <w:b/>
                <w:color w:val="FFFFFF" w:themeColor="background1"/>
                <w:sz w:val="20"/>
                <w:szCs w:val="22"/>
              </w:rPr>
            </w:pPr>
            <w:r w:rsidRPr="006246FD">
              <w:rPr>
                <w:rFonts w:ascii="Arial" w:eastAsia="Times New Roman" w:hAnsi="Arial"/>
                <w:b/>
                <w:color w:val="FFFFFF" w:themeColor="background1"/>
                <w:sz w:val="20"/>
                <w:szCs w:val="22"/>
              </w:rPr>
              <w:t>E</w:t>
            </w:r>
            <w:r w:rsidR="00615718" w:rsidRPr="006246FD">
              <w:rPr>
                <w:rFonts w:ascii="Arial" w:eastAsia="Times New Roman" w:hAnsi="Arial"/>
                <w:b/>
                <w:color w:val="FFFFFF" w:themeColor="background1"/>
                <w:sz w:val="20"/>
                <w:szCs w:val="22"/>
              </w:rPr>
              <w:t>LECTRIC PEAK DEMAND FORECAST</w:t>
            </w:r>
            <w:r w:rsidRPr="006246FD">
              <w:rPr>
                <w:rFonts w:ascii="Arial" w:eastAsia="Times New Roman" w:hAnsi="Arial"/>
                <w:b/>
                <w:color w:val="FFFFFF" w:themeColor="background1"/>
                <w:sz w:val="20"/>
                <w:szCs w:val="22"/>
              </w:rPr>
              <w:t xml:space="preserve"> </w:t>
            </w:r>
            <w:r w:rsidR="00615718" w:rsidRPr="006246FD">
              <w:rPr>
                <w:rFonts w:ascii="Arial" w:eastAsia="Times New Roman" w:hAnsi="Arial"/>
                <w:b/>
                <w:color w:val="FFFFFF" w:themeColor="background1"/>
                <w:sz w:val="20"/>
                <w:szCs w:val="22"/>
              </w:rPr>
              <w:t>SCENARIOS</w:t>
            </w:r>
            <w:r w:rsidRPr="006246FD">
              <w:rPr>
                <w:rFonts w:ascii="Arial" w:eastAsia="Times New Roman" w:hAnsi="Arial"/>
                <w:b/>
                <w:color w:val="FFFFFF" w:themeColor="background1"/>
                <w:sz w:val="20"/>
                <w:szCs w:val="22"/>
              </w:rPr>
              <w:t xml:space="preserve"> (MW)</w:t>
            </w:r>
          </w:p>
        </w:tc>
      </w:tr>
      <w:tr w:rsidR="00BC31F5" w:rsidRPr="00D775A1" w14:paraId="3EE4116D" w14:textId="77777777">
        <w:trPr>
          <w:trHeight w:val="600"/>
          <w:jc w:val="center"/>
        </w:trPr>
        <w:tc>
          <w:tcPr>
            <w:tcW w:w="2001" w:type="dxa"/>
            <w:tcBorders>
              <w:top w:val="nil"/>
              <w:left w:val="single" w:sz="4" w:space="0" w:color="auto"/>
              <w:bottom w:val="single" w:sz="4" w:space="0" w:color="auto"/>
              <w:right w:val="single" w:sz="4" w:space="0" w:color="auto"/>
            </w:tcBorders>
            <w:shd w:val="clear" w:color="auto" w:fill="156570"/>
            <w:noWrap/>
            <w:vAlign w:val="center"/>
          </w:tcPr>
          <w:p w14:paraId="0E80B30F" w14:textId="77777777" w:rsidR="00BC31F5" w:rsidRPr="00615718" w:rsidRDefault="00BC31F5" w:rsidP="00307C88">
            <w:pPr>
              <w:jc w:val="center"/>
              <w:rPr>
                <w:rFonts w:ascii="Arial" w:eastAsia="Times New Roman" w:hAnsi="Arial"/>
                <w:b/>
                <w:color w:val="FFFFFF" w:themeColor="background1"/>
                <w:sz w:val="20"/>
                <w:szCs w:val="22"/>
              </w:rPr>
            </w:pPr>
            <w:r w:rsidRPr="00615718">
              <w:rPr>
                <w:rFonts w:ascii="Arial" w:eastAsia="Times New Roman" w:hAnsi="Arial"/>
                <w:b/>
                <w:color w:val="FFFFFF" w:themeColor="background1"/>
                <w:sz w:val="20"/>
                <w:szCs w:val="22"/>
              </w:rPr>
              <w:t>Scenario</w:t>
            </w:r>
          </w:p>
        </w:tc>
        <w:tc>
          <w:tcPr>
            <w:tcW w:w="990" w:type="dxa"/>
            <w:tcBorders>
              <w:top w:val="nil"/>
              <w:left w:val="nil"/>
              <w:bottom w:val="single" w:sz="4" w:space="0" w:color="auto"/>
              <w:right w:val="single" w:sz="4" w:space="0" w:color="auto"/>
            </w:tcBorders>
            <w:shd w:val="clear" w:color="auto" w:fill="156570"/>
            <w:noWrap/>
            <w:vAlign w:val="center"/>
          </w:tcPr>
          <w:p w14:paraId="7A61F6DA"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2016</w:t>
            </w:r>
          </w:p>
        </w:tc>
        <w:tc>
          <w:tcPr>
            <w:tcW w:w="767" w:type="dxa"/>
            <w:tcBorders>
              <w:top w:val="nil"/>
              <w:left w:val="nil"/>
              <w:bottom w:val="single" w:sz="4" w:space="0" w:color="auto"/>
              <w:right w:val="single" w:sz="4" w:space="0" w:color="auto"/>
            </w:tcBorders>
            <w:shd w:val="clear" w:color="auto" w:fill="156570"/>
            <w:noWrap/>
            <w:vAlign w:val="center"/>
          </w:tcPr>
          <w:p w14:paraId="1B47F013"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2020</w:t>
            </w:r>
          </w:p>
        </w:tc>
        <w:tc>
          <w:tcPr>
            <w:tcW w:w="990" w:type="dxa"/>
            <w:tcBorders>
              <w:top w:val="nil"/>
              <w:left w:val="nil"/>
              <w:bottom w:val="single" w:sz="4" w:space="0" w:color="auto"/>
              <w:right w:val="single" w:sz="4" w:space="0" w:color="auto"/>
            </w:tcBorders>
            <w:shd w:val="clear" w:color="auto" w:fill="156570"/>
            <w:noWrap/>
            <w:vAlign w:val="center"/>
          </w:tcPr>
          <w:p w14:paraId="31D1CB84"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2025</w:t>
            </w:r>
          </w:p>
        </w:tc>
        <w:tc>
          <w:tcPr>
            <w:tcW w:w="900" w:type="dxa"/>
            <w:tcBorders>
              <w:top w:val="nil"/>
              <w:left w:val="nil"/>
              <w:bottom w:val="single" w:sz="4" w:space="0" w:color="auto"/>
              <w:right w:val="single" w:sz="4" w:space="0" w:color="auto"/>
            </w:tcBorders>
            <w:shd w:val="clear" w:color="auto" w:fill="156570"/>
            <w:noWrap/>
            <w:vAlign w:val="center"/>
          </w:tcPr>
          <w:p w14:paraId="58794CC9"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2030</w:t>
            </w:r>
          </w:p>
        </w:tc>
        <w:tc>
          <w:tcPr>
            <w:tcW w:w="839" w:type="dxa"/>
            <w:tcBorders>
              <w:top w:val="nil"/>
              <w:left w:val="nil"/>
              <w:bottom w:val="single" w:sz="4" w:space="0" w:color="auto"/>
              <w:right w:val="single" w:sz="4" w:space="0" w:color="auto"/>
            </w:tcBorders>
            <w:shd w:val="clear" w:color="auto" w:fill="156570"/>
            <w:noWrap/>
            <w:vAlign w:val="center"/>
          </w:tcPr>
          <w:p w14:paraId="40839FF3"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2035</w:t>
            </w:r>
          </w:p>
        </w:tc>
        <w:tc>
          <w:tcPr>
            <w:tcW w:w="1487" w:type="dxa"/>
            <w:tcBorders>
              <w:top w:val="nil"/>
              <w:left w:val="nil"/>
              <w:bottom w:val="single" w:sz="4" w:space="0" w:color="auto"/>
              <w:right w:val="single" w:sz="4" w:space="0" w:color="auto"/>
            </w:tcBorders>
            <w:shd w:val="clear" w:color="auto" w:fill="156570"/>
            <w:vAlign w:val="center"/>
          </w:tcPr>
          <w:p w14:paraId="149BFA75"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AARG (2016-2035)</w:t>
            </w:r>
          </w:p>
        </w:tc>
      </w:tr>
      <w:tr w:rsidR="00BC31F5" w:rsidRPr="00D775A1" w14:paraId="0937A1FC" w14:textId="77777777">
        <w:trPr>
          <w:trHeight w:val="900"/>
          <w:jc w:val="center"/>
        </w:trPr>
        <w:tc>
          <w:tcPr>
            <w:tcW w:w="2001" w:type="dxa"/>
            <w:tcBorders>
              <w:top w:val="nil"/>
              <w:left w:val="single" w:sz="4" w:space="0" w:color="auto"/>
              <w:bottom w:val="single" w:sz="4" w:space="0" w:color="auto"/>
              <w:right w:val="single" w:sz="4" w:space="0" w:color="auto"/>
            </w:tcBorders>
            <w:shd w:val="clear" w:color="auto" w:fill="auto"/>
            <w:vAlign w:val="center"/>
          </w:tcPr>
          <w:p w14:paraId="4E7D61E8" w14:textId="77777777" w:rsidR="00BC31F5" w:rsidRPr="00BC31F5" w:rsidRDefault="00BC31F5" w:rsidP="00307C88">
            <w:pPr>
              <w:jc w:val="center"/>
              <w:rPr>
                <w:rFonts w:ascii="Arial" w:eastAsia="Times New Roman" w:hAnsi="Arial"/>
                <w:b/>
                <w:color w:val="156570"/>
                <w:sz w:val="20"/>
                <w:szCs w:val="22"/>
              </w:rPr>
            </w:pPr>
            <w:r w:rsidRPr="00BC31F5">
              <w:rPr>
                <w:rFonts w:ascii="Arial" w:eastAsia="Times New Roman" w:hAnsi="Arial"/>
                <w:b/>
                <w:color w:val="156570"/>
                <w:sz w:val="20"/>
                <w:szCs w:val="22"/>
              </w:rPr>
              <w:t>2015 IRP Base Demand Forecast</w:t>
            </w:r>
          </w:p>
        </w:tc>
        <w:tc>
          <w:tcPr>
            <w:tcW w:w="990" w:type="dxa"/>
            <w:tcBorders>
              <w:top w:val="nil"/>
              <w:left w:val="nil"/>
              <w:bottom w:val="single" w:sz="4" w:space="0" w:color="auto"/>
              <w:right w:val="single" w:sz="4" w:space="0" w:color="auto"/>
            </w:tcBorders>
            <w:shd w:val="clear" w:color="auto" w:fill="auto"/>
            <w:noWrap/>
            <w:vAlign w:val="center"/>
          </w:tcPr>
          <w:p w14:paraId="3B21DCEB"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4,929</w:t>
            </w:r>
          </w:p>
        </w:tc>
        <w:tc>
          <w:tcPr>
            <w:tcW w:w="767" w:type="dxa"/>
            <w:tcBorders>
              <w:top w:val="nil"/>
              <w:left w:val="nil"/>
              <w:bottom w:val="single" w:sz="4" w:space="0" w:color="auto"/>
              <w:right w:val="single" w:sz="4" w:space="0" w:color="auto"/>
            </w:tcBorders>
            <w:shd w:val="clear" w:color="auto" w:fill="auto"/>
            <w:noWrap/>
            <w:vAlign w:val="center"/>
          </w:tcPr>
          <w:p w14:paraId="1D2502D5"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5,294</w:t>
            </w:r>
          </w:p>
        </w:tc>
        <w:tc>
          <w:tcPr>
            <w:tcW w:w="990" w:type="dxa"/>
            <w:tcBorders>
              <w:top w:val="nil"/>
              <w:left w:val="nil"/>
              <w:bottom w:val="single" w:sz="4" w:space="0" w:color="auto"/>
              <w:right w:val="single" w:sz="4" w:space="0" w:color="auto"/>
            </w:tcBorders>
            <w:shd w:val="clear" w:color="auto" w:fill="auto"/>
            <w:noWrap/>
            <w:vAlign w:val="center"/>
          </w:tcPr>
          <w:p w14:paraId="2FEA6897"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5,726</w:t>
            </w:r>
          </w:p>
        </w:tc>
        <w:tc>
          <w:tcPr>
            <w:tcW w:w="900" w:type="dxa"/>
            <w:tcBorders>
              <w:top w:val="nil"/>
              <w:left w:val="nil"/>
              <w:bottom w:val="single" w:sz="4" w:space="0" w:color="auto"/>
              <w:right w:val="single" w:sz="4" w:space="0" w:color="auto"/>
            </w:tcBorders>
            <w:shd w:val="clear" w:color="auto" w:fill="auto"/>
            <w:noWrap/>
            <w:vAlign w:val="center"/>
          </w:tcPr>
          <w:p w14:paraId="4EBB4012"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6,180</w:t>
            </w:r>
          </w:p>
        </w:tc>
        <w:tc>
          <w:tcPr>
            <w:tcW w:w="839" w:type="dxa"/>
            <w:tcBorders>
              <w:top w:val="nil"/>
              <w:left w:val="nil"/>
              <w:bottom w:val="single" w:sz="4" w:space="0" w:color="auto"/>
              <w:right w:val="single" w:sz="4" w:space="0" w:color="auto"/>
            </w:tcBorders>
            <w:shd w:val="clear" w:color="auto" w:fill="auto"/>
            <w:noWrap/>
            <w:vAlign w:val="center"/>
          </w:tcPr>
          <w:p w14:paraId="0095DCDE"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6,649</w:t>
            </w:r>
          </w:p>
        </w:tc>
        <w:tc>
          <w:tcPr>
            <w:tcW w:w="1487" w:type="dxa"/>
            <w:tcBorders>
              <w:top w:val="nil"/>
              <w:left w:val="nil"/>
              <w:bottom w:val="single" w:sz="4" w:space="0" w:color="auto"/>
              <w:right w:val="single" w:sz="4" w:space="0" w:color="auto"/>
            </w:tcBorders>
            <w:shd w:val="clear" w:color="auto" w:fill="auto"/>
            <w:noWrap/>
            <w:vAlign w:val="center"/>
          </w:tcPr>
          <w:p w14:paraId="1046DA76"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1.6%</w:t>
            </w:r>
          </w:p>
        </w:tc>
      </w:tr>
      <w:tr w:rsidR="00BC31F5" w:rsidRPr="00D775A1" w14:paraId="46382C9E" w14:textId="77777777">
        <w:trPr>
          <w:trHeight w:val="900"/>
          <w:jc w:val="center"/>
        </w:trPr>
        <w:tc>
          <w:tcPr>
            <w:tcW w:w="2001" w:type="dxa"/>
            <w:tcBorders>
              <w:top w:val="nil"/>
              <w:left w:val="single" w:sz="4" w:space="0" w:color="auto"/>
              <w:bottom w:val="single" w:sz="4" w:space="0" w:color="auto"/>
              <w:right w:val="single" w:sz="4" w:space="0" w:color="auto"/>
            </w:tcBorders>
            <w:shd w:val="clear" w:color="auto" w:fill="auto"/>
            <w:vAlign w:val="center"/>
          </w:tcPr>
          <w:p w14:paraId="364DF99B" w14:textId="77777777" w:rsidR="00BC31F5" w:rsidRPr="00BC31F5" w:rsidRDefault="00BC31F5" w:rsidP="00307C88">
            <w:pPr>
              <w:jc w:val="center"/>
              <w:rPr>
                <w:rFonts w:ascii="Arial" w:eastAsia="Times New Roman" w:hAnsi="Arial"/>
                <w:b/>
                <w:color w:val="156570"/>
                <w:sz w:val="20"/>
                <w:szCs w:val="22"/>
              </w:rPr>
            </w:pPr>
            <w:r w:rsidRPr="00BC31F5">
              <w:rPr>
                <w:rFonts w:ascii="Arial" w:eastAsia="Times New Roman" w:hAnsi="Arial"/>
                <w:b/>
                <w:color w:val="156570"/>
                <w:sz w:val="20"/>
                <w:szCs w:val="22"/>
              </w:rPr>
              <w:t xml:space="preserve">2015 IRP </w:t>
            </w:r>
          </w:p>
          <w:p w14:paraId="686D8237" w14:textId="77777777" w:rsidR="00BC31F5" w:rsidRPr="00BC31F5" w:rsidRDefault="00BC31F5" w:rsidP="00307C88">
            <w:pPr>
              <w:jc w:val="center"/>
              <w:rPr>
                <w:rFonts w:ascii="Arial" w:eastAsia="Times New Roman" w:hAnsi="Arial"/>
                <w:b/>
                <w:color w:val="156570"/>
                <w:sz w:val="20"/>
                <w:szCs w:val="22"/>
              </w:rPr>
            </w:pPr>
            <w:r w:rsidRPr="00BC31F5">
              <w:rPr>
                <w:rFonts w:ascii="Arial" w:eastAsia="Times New Roman" w:hAnsi="Arial"/>
                <w:b/>
                <w:color w:val="156570"/>
                <w:sz w:val="20"/>
                <w:szCs w:val="22"/>
              </w:rPr>
              <w:t>High Demand Forecast</w:t>
            </w:r>
          </w:p>
        </w:tc>
        <w:tc>
          <w:tcPr>
            <w:tcW w:w="990" w:type="dxa"/>
            <w:tcBorders>
              <w:top w:val="nil"/>
              <w:left w:val="nil"/>
              <w:bottom w:val="single" w:sz="4" w:space="0" w:color="auto"/>
              <w:right w:val="single" w:sz="4" w:space="0" w:color="auto"/>
            </w:tcBorders>
            <w:shd w:val="clear" w:color="auto" w:fill="auto"/>
            <w:noWrap/>
            <w:vAlign w:val="center"/>
          </w:tcPr>
          <w:p w14:paraId="4C29647A"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5,187</w:t>
            </w:r>
          </w:p>
        </w:tc>
        <w:tc>
          <w:tcPr>
            <w:tcW w:w="767" w:type="dxa"/>
            <w:tcBorders>
              <w:top w:val="nil"/>
              <w:left w:val="nil"/>
              <w:bottom w:val="single" w:sz="4" w:space="0" w:color="auto"/>
              <w:right w:val="single" w:sz="4" w:space="0" w:color="auto"/>
            </w:tcBorders>
            <w:shd w:val="clear" w:color="auto" w:fill="auto"/>
            <w:noWrap/>
            <w:vAlign w:val="center"/>
          </w:tcPr>
          <w:p w14:paraId="6B0076C2"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5,608</w:t>
            </w:r>
          </w:p>
        </w:tc>
        <w:tc>
          <w:tcPr>
            <w:tcW w:w="990" w:type="dxa"/>
            <w:tcBorders>
              <w:top w:val="nil"/>
              <w:left w:val="nil"/>
              <w:bottom w:val="single" w:sz="4" w:space="0" w:color="auto"/>
              <w:right w:val="single" w:sz="4" w:space="0" w:color="auto"/>
            </w:tcBorders>
            <w:shd w:val="clear" w:color="auto" w:fill="auto"/>
            <w:noWrap/>
            <w:vAlign w:val="center"/>
          </w:tcPr>
          <w:p w14:paraId="0BD8D389"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6,200</w:t>
            </w:r>
          </w:p>
        </w:tc>
        <w:tc>
          <w:tcPr>
            <w:tcW w:w="900" w:type="dxa"/>
            <w:tcBorders>
              <w:top w:val="nil"/>
              <w:left w:val="nil"/>
              <w:bottom w:val="single" w:sz="4" w:space="0" w:color="auto"/>
              <w:right w:val="single" w:sz="4" w:space="0" w:color="auto"/>
            </w:tcBorders>
            <w:shd w:val="clear" w:color="auto" w:fill="auto"/>
            <w:noWrap/>
            <w:vAlign w:val="center"/>
          </w:tcPr>
          <w:p w14:paraId="1837E758"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6,734</w:t>
            </w:r>
          </w:p>
        </w:tc>
        <w:tc>
          <w:tcPr>
            <w:tcW w:w="839" w:type="dxa"/>
            <w:tcBorders>
              <w:top w:val="nil"/>
              <w:left w:val="nil"/>
              <w:bottom w:val="single" w:sz="4" w:space="0" w:color="auto"/>
              <w:right w:val="single" w:sz="4" w:space="0" w:color="auto"/>
            </w:tcBorders>
            <w:shd w:val="clear" w:color="auto" w:fill="auto"/>
            <w:noWrap/>
            <w:vAlign w:val="center"/>
          </w:tcPr>
          <w:p w14:paraId="33B2D3C4"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7,544</w:t>
            </w:r>
          </w:p>
        </w:tc>
        <w:tc>
          <w:tcPr>
            <w:tcW w:w="1487" w:type="dxa"/>
            <w:tcBorders>
              <w:top w:val="nil"/>
              <w:left w:val="nil"/>
              <w:bottom w:val="single" w:sz="4" w:space="0" w:color="auto"/>
              <w:right w:val="single" w:sz="4" w:space="0" w:color="auto"/>
            </w:tcBorders>
            <w:shd w:val="clear" w:color="auto" w:fill="auto"/>
            <w:noWrap/>
            <w:vAlign w:val="center"/>
          </w:tcPr>
          <w:p w14:paraId="6E72D3E7"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2.0%</w:t>
            </w:r>
          </w:p>
        </w:tc>
      </w:tr>
      <w:tr w:rsidR="00BC31F5" w:rsidRPr="00D775A1" w14:paraId="3F9ECDAA" w14:textId="77777777">
        <w:trPr>
          <w:trHeight w:val="900"/>
          <w:jc w:val="center"/>
        </w:trPr>
        <w:tc>
          <w:tcPr>
            <w:tcW w:w="2001" w:type="dxa"/>
            <w:tcBorders>
              <w:top w:val="nil"/>
              <w:left w:val="single" w:sz="4" w:space="0" w:color="auto"/>
              <w:bottom w:val="single" w:sz="4" w:space="0" w:color="auto"/>
              <w:right w:val="single" w:sz="4" w:space="0" w:color="auto"/>
            </w:tcBorders>
            <w:shd w:val="clear" w:color="auto" w:fill="auto"/>
            <w:vAlign w:val="center"/>
          </w:tcPr>
          <w:p w14:paraId="74149238" w14:textId="77777777" w:rsidR="00BC31F5" w:rsidRPr="00BC31F5" w:rsidRDefault="00BC31F5" w:rsidP="00307C88">
            <w:pPr>
              <w:jc w:val="center"/>
              <w:rPr>
                <w:rFonts w:ascii="Arial" w:eastAsia="Times New Roman" w:hAnsi="Arial"/>
                <w:b/>
                <w:color w:val="156570"/>
                <w:sz w:val="20"/>
                <w:szCs w:val="22"/>
              </w:rPr>
            </w:pPr>
            <w:r w:rsidRPr="00BC31F5">
              <w:rPr>
                <w:rFonts w:ascii="Arial" w:eastAsia="Times New Roman" w:hAnsi="Arial"/>
                <w:b/>
                <w:color w:val="156570"/>
                <w:sz w:val="20"/>
                <w:szCs w:val="22"/>
              </w:rPr>
              <w:t xml:space="preserve">2015 IRP </w:t>
            </w:r>
          </w:p>
          <w:p w14:paraId="543A72F7" w14:textId="77777777" w:rsidR="00BC31F5" w:rsidRPr="00BC31F5" w:rsidRDefault="00BC31F5" w:rsidP="00307C88">
            <w:pPr>
              <w:jc w:val="center"/>
              <w:rPr>
                <w:rFonts w:ascii="Arial" w:eastAsia="Times New Roman" w:hAnsi="Arial"/>
                <w:b/>
                <w:color w:val="156570"/>
                <w:sz w:val="20"/>
                <w:szCs w:val="22"/>
              </w:rPr>
            </w:pPr>
            <w:r w:rsidRPr="00BC31F5">
              <w:rPr>
                <w:rFonts w:ascii="Arial" w:eastAsia="Times New Roman" w:hAnsi="Arial"/>
                <w:b/>
                <w:color w:val="156570"/>
                <w:sz w:val="20"/>
                <w:szCs w:val="22"/>
              </w:rPr>
              <w:t>Low Demand Forecast</w:t>
            </w:r>
          </w:p>
        </w:tc>
        <w:tc>
          <w:tcPr>
            <w:tcW w:w="990" w:type="dxa"/>
            <w:tcBorders>
              <w:top w:val="nil"/>
              <w:left w:val="nil"/>
              <w:bottom w:val="single" w:sz="4" w:space="0" w:color="auto"/>
              <w:right w:val="single" w:sz="4" w:space="0" w:color="auto"/>
            </w:tcBorders>
            <w:shd w:val="clear" w:color="auto" w:fill="auto"/>
            <w:noWrap/>
            <w:vAlign w:val="center"/>
          </w:tcPr>
          <w:p w14:paraId="61595B0D"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4,701</w:t>
            </w:r>
          </w:p>
        </w:tc>
        <w:tc>
          <w:tcPr>
            <w:tcW w:w="767" w:type="dxa"/>
            <w:tcBorders>
              <w:top w:val="nil"/>
              <w:left w:val="nil"/>
              <w:bottom w:val="single" w:sz="4" w:space="0" w:color="auto"/>
              <w:right w:val="single" w:sz="4" w:space="0" w:color="auto"/>
            </w:tcBorders>
            <w:shd w:val="clear" w:color="auto" w:fill="auto"/>
            <w:noWrap/>
            <w:vAlign w:val="center"/>
          </w:tcPr>
          <w:p w14:paraId="3C06DC16"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5,013</w:t>
            </w:r>
          </w:p>
        </w:tc>
        <w:tc>
          <w:tcPr>
            <w:tcW w:w="990" w:type="dxa"/>
            <w:tcBorders>
              <w:top w:val="nil"/>
              <w:left w:val="nil"/>
              <w:bottom w:val="single" w:sz="4" w:space="0" w:color="auto"/>
              <w:right w:val="single" w:sz="4" w:space="0" w:color="auto"/>
            </w:tcBorders>
            <w:shd w:val="clear" w:color="auto" w:fill="auto"/>
            <w:noWrap/>
            <w:vAlign w:val="center"/>
          </w:tcPr>
          <w:p w14:paraId="6E361414"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5,340</w:t>
            </w:r>
          </w:p>
        </w:tc>
        <w:tc>
          <w:tcPr>
            <w:tcW w:w="900" w:type="dxa"/>
            <w:tcBorders>
              <w:top w:val="nil"/>
              <w:left w:val="nil"/>
              <w:bottom w:val="single" w:sz="4" w:space="0" w:color="auto"/>
              <w:right w:val="single" w:sz="4" w:space="0" w:color="auto"/>
            </w:tcBorders>
            <w:shd w:val="clear" w:color="auto" w:fill="auto"/>
            <w:noWrap/>
            <w:vAlign w:val="center"/>
          </w:tcPr>
          <w:p w14:paraId="2BAD262C"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5,693</w:t>
            </w:r>
          </w:p>
        </w:tc>
        <w:tc>
          <w:tcPr>
            <w:tcW w:w="839" w:type="dxa"/>
            <w:tcBorders>
              <w:top w:val="nil"/>
              <w:left w:val="nil"/>
              <w:bottom w:val="single" w:sz="4" w:space="0" w:color="auto"/>
              <w:right w:val="single" w:sz="4" w:space="0" w:color="auto"/>
            </w:tcBorders>
            <w:shd w:val="clear" w:color="auto" w:fill="auto"/>
            <w:noWrap/>
            <w:vAlign w:val="center"/>
          </w:tcPr>
          <w:p w14:paraId="2C9E36D5"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5,887</w:t>
            </w:r>
          </w:p>
        </w:tc>
        <w:tc>
          <w:tcPr>
            <w:tcW w:w="1487" w:type="dxa"/>
            <w:tcBorders>
              <w:top w:val="nil"/>
              <w:left w:val="nil"/>
              <w:bottom w:val="single" w:sz="4" w:space="0" w:color="auto"/>
              <w:right w:val="single" w:sz="4" w:space="0" w:color="auto"/>
            </w:tcBorders>
            <w:shd w:val="clear" w:color="auto" w:fill="auto"/>
            <w:noWrap/>
            <w:vAlign w:val="center"/>
          </w:tcPr>
          <w:p w14:paraId="4CAA62D8"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1.2%</w:t>
            </w:r>
          </w:p>
        </w:tc>
      </w:tr>
    </w:tbl>
    <w:p w14:paraId="4A44BA64" w14:textId="77777777" w:rsidR="00BC31F5" w:rsidRDefault="00BC31F5" w:rsidP="00BC31F5">
      <w:pPr>
        <w:pStyle w:val="IRPsanstext"/>
      </w:pPr>
    </w:p>
    <w:p w14:paraId="49AF5AAE" w14:textId="77777777" w:rsidR="00307C88" w:rsidRDefault="00307C88" w:rsidP="00307C88">
      <w:pPr>
        <w:pStyle w:val="IRPFigureSub"/>
        <w:rPr>
          <w:noProof/>
          <w:lang w:eastAsia="en-US"/>
        </w:rPr>
      </w:pPr>
      <w:r>
        <w:rPr>
          <w:noProof/>
          <w:lang w:eastAsia="en-US"/>
        </w:rPr>
        <w:drawing>
          <wp:anchor distT="0" distB="0" distL="114300" distR="114300" simplePos="0" relativeHeight="251680768" behindDoc="0" locked="0" layoutInCell="1" allowOverlap="1" wp14:anchorId="4DAC65F5" wp14:editId="69D03554">
            <wp:simplePos x="0" y="0"/>
            <wp:positionH relativeFrom="column">
              <wp:posOffset>165735</wp:posOffset>
            </wp:positionH>
            <wp:positionV relativeFrom="paragraph">
              <wp:posOffset>681990</wp:posOffset>
            </wp:positionV>
            <wp:extent cx="5170805" cy="3429000"/>
            <wp:effectExtent l="0" t="0" r="0" b="0"/>
            <wp:wrapTopAndBottom/>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0805" cy="3429000"/>
                    </a:xfrm>
                    <a:prstGeom prst="rect">
                      <a:avLst/>
                    </a:prstGeom>
                    <a:noFill/>
                  </pic:spPr>
                </pic:pic>
              </a:graphicData>
            </a:graphic>
          </wp:anchor>
        </w:drawing>
      </w:r>
      <w:r w:rsidR="00155762" w:rsidRPr="00703534">
        <w:t>Figure 5-</w:t>
      </w:r>
      <w:r w:rsidR="00155762">
        <w:t>21</w:t>
      </w:r>
      <w:r w:rsidR="00155762" w:rsidRPr="00703534">
        <w:t>: Electric Peak Demand Forecast before DSR</w:t>
      </w:r>
      <w:r w:rsidR="00155762">
        <w:t xml:space="preserve"> </w:t>
      </w:r>
      <w:r w:rsidR="00155762">
        <w:br/>
      </w:r>
      <w:r w:rsidR="00155762" w:rsidRPr="00703534">
        <w:t>2015 IRP Base Scenario versus 2013 IRP Base Scenario</w:t>
      </w:r>
      <w:r w:rsidR="00155762">
        <w:t xml:space="preserve"> </w:t>
      </w:r>
      <w:r w:rsidR="00155762">
        <w:br/>
      </w:r>
      <w:r w:rsidR="00155762" w:rsidRPr="00703534">
        <w:t>Hourly Annual Peak (23 D</w:t>
      </w:r>
      <w:r>
        <w:t>egrees, MW)</w:t>
      </w:r>
      <w:r>
        <w:rPr>
          <w:noProof/>
          <w:lang w:eastAsia="en-US"/>
        </w:rPr>
        <w:t xml:space="preserve"> </w:t>
      </w:r>
    </w:p>
    <w:p w14:paraId="6736A292" w14:textId="77777777" w:rsidR="00307C88" w:rsidRDefault="00307C88">
      <w:pPr>
        <w:rPr>
          <w:rFonts w:ascii="Arial" w:hAnsi="Arial"/>
          <w:i/>
          <w:noProof/>
          <w:sz w:val="20"/>
          <w:szCs w:val="22"/>
          <w:lang w:eastAsia="en-US"/>
        </w:rPr>
      </w:pPr>
      <w:r>
        <w:rPr>
          <w:noProof/>
          <w:lang w:eastAsia="en-US"/>
        </w:rPr>
        <w:br w:type="page"/>
      </w:r>
    </w:p>
    <w:p w14:paraId="5DC477F1" w14:textId="77777777" w:rsidR="00307C88" w:rsidRDefault="00307C88" w:rsidP="00307C88">
      <w:pPr>
        <w:pStyle w:val="IRPsanstext"/>
      </w:pPr>
      <w:r w:rsidRPr="00307C88">
        <w:rPr>
          <w:b/>
          <w:color w:val="156570"/>
          <w:sz w:val="28"/>
          <w:szCs w:val="28"/>
        </w:rPr>
        <w:lastRenderedPageBreak/>
        <w:t>System-level Impacts of Conservation.</w:t>
      </w:r>
      <w:r>
        <w:rPr>
          <w:szCs w:val="32"/>
        </w:rPr>
        <w:t xml:space="preserve"> </w:t>
      </w:r>
      <w:r>
        <w:t xml:space="preserve">The system-level demand forecasts shown above apply only the energy efficiency measures targeted for 2014 and 2015, because those forecasts serve as the starting point for identifying the most cost-effective amount of demand-side resources for the portfolio from 2016 to the end of the forecast. </w:t>
      </w:r>
    </w:p>
    <w:p w14:paraId="553A3862" w14:textId="77777777" w:rsidR="00307C88" w:rsidRDefault="00307C88" w:rsidP="00307C88">
      <w:pPr>
        <w:pStyle w:val="IRPsanstext"/>
      </w:pPr>
    </w:p>
    <w:p w14:paraId="3591EDA8" w14:textId="77777777" w:rsidR="00307C88" w:rsidRDefault="00307C88" w:rsidP="00307C88">
      <w:pPr>
        <w:pStyle w:val="IRPsanstext"/>
      </w:pPr>
      <w:r>
        <w:t xml:space="preserve">However, we also examine the effects of conservation on the system load and peak forecasts over the 20-year planning horizon. This forecast is used internally at PSE for financial planning and for transmission and distribution system planning. We apply the demand-side resources from the 2013 IRP to the Base scenario load and peak forecasts for 2016 to 2035. To account for the 2013 general rate case Global Settlement, an additional 5 percent of conservation was also applied for that period. The result is illustrated in Figures 5-21 and 5-22, below. </w:t>
      </w:r>
    </w:p>
    <w:p w14:paraId="3A5708A5" w14:textId="77777777" w:rsidR="00307C88" w:rsidRDefault="00307C88" w:rsidP="00307C88">
      <w:pPr>
        <w:pStyle w:val="IRPsanstext"/>
      </w:pPr>
    </w:p>
    <w:p w14:paraId="37F367C7" w14:textId="77777777" w:rsidR="00307C88" w:rsidRDefault="00307C88" w:rsidP="00307C88">
      <w:pPr>
        <w:pStyle w:val="IRPsanstext"/>
      </w:pPr>
      <w:r w:rsidRPr="00A15361">
        <w:rPr>
          <w:b/>
          <w:caps/>
        </w:rPr>
        <w:t>DSR Impact on Load:</w:t>
      </w:r>
      <w:r>
        <w:t xml:space="preserve"> When 2013 IRP DSR is applied to the </w:t>
      </w:r>
      <w:r w:rsidRPr="00201B7A">
        <w:t>load forecast:</w:t>
      </w:r>
    </w:p>
    <w:p w14:paraId="0FE0FBDD" w14:textId="77777777" w:rsidR="00307C88" w:rsidRDefault="00307C88" w:rsidP="00307C88">
      <w:pPr>
        <w:pStyle w:val="IRPsanstext"/>
      </w:pPr>
    </w:p>
    <w:p w14:paraId="452AF419" w14:textId="77777777" w:rsidR="00307C88" w:rsidRDefault="00307C88" w:rsidP="00A47CC2">
      <w:pPr>
        <w:pStyle w:val="IRPsanstext"/>
        <w:numPr>
          <w:ilvl w:val="0"/>
          <w:numId w:val="32"/>
        </w:numPr>
      </w:pPr>
      <w:r>
        <w:t xml:space="preserve">Total system demand is 2,606 aMW in 2016 increasing to 3,022 aMW in 2035. </w:t>
      </w:r>
    </w:p>
    <w:p w14:paraId="1BE3405F" w14:textId="77777777" w:rsidR="00307C88" w:rsidRDefault="00307C88" w:rsidP="00A47CC2">
      <w:pPr>
        <w:pStyle w:val="IRPsanstext"/>
        <w:numPr>
          <w:ilvl w:val="0"/>
          <w:numId w:val="32"/>
        </w:numPr>
      </w:pPr>
      <w:r>
        <w:t xml:space="preserve">Average annual growth is 0.2 percent from 2016 to 2025 and 1.3 percent from 2025 to 2035. Load grows more slowly in the first half of the forecast because that is when the majority of the demand-side measures are expected to be implemented. </w:t>
      </w:r>
    </w:p>
    <w:p w14:paraId="78293574" w14:textId="77777777" w:rsidR="00307C88" w:rsidRDefault="00307C88" w:rsidP="00307C88">
      <w:pPr>
        <w:pStyle w:val="IRPsanstext"/>
      </w:pPr>
    </w:p>
    <w:p w14:paraId="5FF4A524" w14:textId="77777777" w:rsidR="00307C88" w:rsidRDefault="00307C88" w:rsidP="00307C88">
      <w:pPr>
        <w:pStyle w:val="IRPsanstext"/>
      </w:pPr>
      <w:r w:rsidRPr="00A15361">
        <w:rPr>
          <w:b/>
          <w:caps/>
        </w:rPr>
        <w:t>DSR Impact on Peak:</w:t>
      </w:r>
      <w:r w:rsidRPr="00703534">
        <w:rPr>
          <w:b/>
        </w:rPr>
        <w:t xml:space="preserve"> </w:t>
      </w:r>
      <w:r>
        <w:t>When the 2013 IRP DSR is applied to the peak forecast:</w:t>
      </w:r>
    </w:p>
    <w:p w14:paraId="4770359D" w14:textId="77777777" w:rsidR="00307C88" w:rsidRDefault="00307C88" w:rsidP="00307C88">
      <w:pPr>
        <w:pStyle w:val="IRPsanstext"/>
      </w:pPr>
    </w:p>
    <w:p w14:paraId="36C59237" w14:textId="77777777" w:rsidR="00307C88" w:rsidRDefault="00307C88" w:rsidP="00A47CC2">
      <w:pPr>
        <w:pStyle w:val="IRPsanstext"/>
        <w:numPr>
          <w:ilvl w:val="0"/>
          <w:numId w:val="33"/>
        </w:numPr>
      </w:pPr>
      <w:r>
        <w:t xml:space="preserve">The system peak is 4,844 MW in 2016 increasing to 5,719 MW in 2035. </w:t>
      </w:r>
    </w:p>
    <w:p w14:paraId="54871B13" w14:textId="77777777" w:rsidR="00307C88" w:rsidRPr="00365FD4" w:rsidRDefault="00307C88" w:rsidP="00A47CC2">
      <w:pPr>
        <w:pStyle w:val="IRPsanstext"/>
        <w:numPr>
          <w:ilvl w:val="0"/>
          <w:numId w:val="33"/>
        </w:numPr>
      </w:pPr>
      <w:r>
        <w:t xml:space="preserve">Average annual growth is 0.4 percent per year from 2016 to 2025 and 1.3 percent from 2025 to 2035. Again, peak load grows more slowly in the first 10 years when DSR is more heavily concentrated. </w:t>
      </w:r>
    </w:p>
    <w:p w14:paraId="5E269299" w14:textId="77777777" w:rsidR="00307C88" w:rsidRDefault="00307C88" w:rsidP="00307C88">
      <w:pPr>
        <w:pStyle w:val="IRPsanstext"/>
      </w:pPr>
    </w:p>
    <w:p w14:paraId="08D2EA9A" w14:textId="77777777" w:rsidR="00307C88" w:rsidRPr="00365FD4" w:rsidRDefault="00307C88" w:rsidP="00307C88">
      <w:pPr>
        <w:pStyle w:val="IRPsanstext"/>
      </w:pPr>
      <w:r>
        <w:t xml:space="preserve">The 2015 IRP DSR </w:t>
      </w:r>
      <w:r w:rsidRPr="00201B7A">
        <w:t>is higher than the 2013 IRP DSR.  Therefore we would expect the Electric Base Demand Forecast with 2015 IRP DSR to be lower than</w:t>
      </w:r>
      <w:r>
        <w:t xml:space="preserve"> what is shown in Figure 5-22 and Figure 5-23.</w:t>
      </w:r>
    </w:p>
    <w:p w14:paraId="1E7EC275" w14:textId="77777777" w:rsidR="00307C88" w:rsidRDefault="00307C88">
      <w:pPr>
        <w:rPr>
          <w:rFonts w:ascii="Arial" w:hAnsi="Arial" w:cs="Arial"/>
          <w:i/>
          <w:sz w:val="20"/>
        </w:rPr>
      </w:pPr>
      <w:r>
        <w:rPr>
          <w:rFonts w:ascii="Arial" w:hAnsi="Arial" w:cs="Arial"/>
          <w:sz w:val="20"/>
        </w:rPr>
        <w:br w:type="page"/>
      </w:r>
    </w:p>
    <w:p w14:paraId="3614F6D7" w14:textId="77777777" w:rsidR="00307C88" w:rsidRPr="00703534" w:rsidRDefault="00307C88" w:rsidP="00307C88">
      <w:pPr>
        <w:pStyle w:val="IRPseriftext"/>
        <w:ind w:left="0"/>
        <w:jc w:val="center"/>
        <w:rPr>
          <w:rFonts w:ascii="Arial" w:eastAsia="Times New Roman" w:hAnsi="Arial" w:cs="Arial"/>
          <w:color w:val="000000"/>
          <w:sz w:val="20"/>
        </w:rPr>
      </w:pPr>
      <w:r>
        <w:rPr>
          <w:rFonts w:ascii="Arial" w:hAnsi="Arial" w:cs="Arial"/>
          <w:sz w:val="20"/>
        </w:rPr>
        <w:lastRenderedPageBreak/>
        <w:t xml:space="preserve">Figure 5-22: 2015 IRP </w:t>
      </w:r>
      <w:r w:rsidRPr="00703534">
        <w:rPr>
          <w:rFonts w:ascii="Arial" w:eastAsia="Times New Roman" w:hAnsi="Arial" w:cs="Arial"/>
          <w:color w:val="000000"/>
          <w:sz w:val="20"/>
        </w:rPr>
        <w:t>Elec</w:t>
      </w:r>
      <w:r w:rsidR="004B5C59">
        <w:rPr>
          <w:rFonts w:ascii="Arial" w:eastAsia="Times New Roman" w:hAnsi="Arial" w:cs="Arial"/>
          <w:color w:val="000000"/>
          <w:sz w:val="20"/>
        </w:rPr>
        <w:t>tric Base Demand Forecast (</w:t>
      </w:r>
      <w:proofErr w:type="spellStart"/>
      <w:r w:rsidR="004B5C59">
        <w:rPr>
          <w:rFonts w:ascii="Arial" w:eastAsia="Times New Roman" w:hAnsi="Arial" w:cs="Arial"/>
          <w:color w:val="000000"/>
          <w:sz w:val="20"/>
        </w:rPr>
        <w:t>aMW</w:t>
      </w:r>
      <w:proofErr w:type="spellEnd"/>
      <w:r w:rsidR="004B5C59">
        <w:rPr>
          <w:rFonts w:ascii="Arial" w:eastAsia="Times New Roman" w:hAnsi="Arial" w:cs="Arial"/>
          <w:color w:val="000000"/>
          <w:sz w:val="20"/>
        </w:rPr>
        <w:t>),</w:t>
      </w:r>
      <w:r w:rsidRPr="00703534">
        <w:rPr>
          <w:rFonts w:ascii="Arial" w:eastAsia="Times New Roman" w:hAnsi="Arial" w:cs="Arial"/>
          <w:color w:val="000000"/>
          <w:sz w:val="20"/>
        </w:rPr>
        <w:t xml:space="preserve"> </w:t>
      </w:r>
    </w:p>
    <w:p w14:paraId="5D4E67DA" w14:textId="77777777" w:rsidR="00307C88" w:rsidRPr="00703534" w:rsidRDefault="00307C88" w:rsidP="00307C88">
      <w:pPr>
        <w:pStyle w:val="IRPseriftext"/>
        <w:ind w:left="0"/>
        <w:jc w:val="center"/>
        <w:rPr>
          <w:rFonts w:ascii="Arial" w:hAnsi="Arial" w:cs="Arial"/>
          <w:sz w:val="20"/>
        </w:rPr>
      </w:pPr>
      <w:r>
        <w:rPr>
          <w:rFonts w:eastAsia="Times New Roman" w:cs="Arial"/>
          <w:i w:val="0"/>
          <w:noProof/>
          <w:color w:val="000000"/>
          <w:lang w:eastAsia="en-US"/>
        </w:rPr>
        <w:drawing>
          <wp:anchor distT="0" distB="0" distL="114300" distR="114300" simplePos="0" relativeHeight="251681792" behindDoc="0" locked="0" layoutInCell="1" allowOverlap="1" wp14:anchorId="739AC2BC" wp14:editId="132DA3BB">
            <wp:simplePos x="0" y="0"/>
            <wp:positionH relativeFrom="column">
              <wp:posOffset>381000</wp:posOffset>
            </wp:positionH>
            <wp:positionV relativeFrom="paragraph">
              <wp:posOffset>281940</wp:posOffset>
            </wp:positionV>
            <wp:extent cx="4799965" cy="3314700"/>
            <wp:effectExtent l="0" t="0" r="635" b="12700"/>
            <wp:wrapTopAndBottom/>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9965" cy="3314700"/>
                    </a:xfrm>
                    <a:prstGeom prst="rect">
                      <a:avLst/>
                    </a:prstGeom>
                    <a:noFill/>
                  </pic:spPr>
                </pic:pic>
              </a:graphicData>
            </a:graphic>
          </wp:anchor>
        </w:drawing>
      </w:r>
      <w:proofErr w:type="gramStart"/>
      <w:r w:rsidR="004B5C59">
        <w:rPr>
          <w:rFonts w:ascii="Arial" w:eastAsia="Times New Roman" w:hAnsi="Arial" w:cs="Arial"/>
          <w:color w:val="000000"/>
          <w:sz w:val="20"/>
        </w:rPr>
        <w:t>before</w:t>
      </w:r>
      <w:proofErr w:type="gramEnd"/>
      <w:r w:rsidR="004B5C59">
        <w:rPr>
          <w:rFonts w:ascii="Arial" w:eastAsia="Times New Roman" w:hAnsi="Arial" w:cs="Arial"/>
          <w:color w:val="000000"/>
          <w:sz w:val="20"/>
        </w:rPr>
        <w:t xml:space="preserve"> DSR and after a</w:t>
      </w:r>
      <w:r w:rsidRPr="00703534">
        <w:rPr>
          <w:rFonts w:ascii="Arial" w:eastAsia="Times New Roman" w:hAnsi="Arial" w:cs="Arial"/>
          <w:color w:val="000000"/>
          <w:sz w:val="20"/>
        </w:rPr>
        <w:t>pplying 2013 IRP DSR</w:t>
      </w:r>
    </w:p>
    <w:p w14:paraId="23F2F68E" w14:textId="77777777" w:rsidR="00307C88" w:rsidRDefault="00307C88" w:rsidP="00307C88">
      <w:pPr>
        <w:pStyle w:val="IRPFigureSub"/>
      </w:pPr>
    </w:p>
    <w:p w14:paraId="3AE96FB1" w14:textId="77777777" w:rsidR="00307C88" w:rsidRDefault="00307C88" w:rsidP="00307C88">
      <w:pPr>
        <w:pStyle w:val="IRPseriftext"/>
        <w:ind w:left="0"/>
        <w:jc w:val="center"/>
        <w:rPr>
          <w:rFonts w:ascii="Arial" w:hAnsi="Arial" w:cs="Arial"/>
          <w:sz w:val="20"/>
        </w:rPr>
      </w:pPr>
      <w:r>
        <w:rPr>
          <w:rFonts w:ascii="Arial" w:hAnsi="Arial" w:cs="Arial"/>
          <w:sz w:val="20"/>
        </w:rPr>
        <w:t xml:space="preserve">Figure 5-23: </w:t>
      </w:r>
      <w:r w:rsidRPr="000539B1">
        <w:rPr>
          <w:rFonts w:ascii="Arial" w:hAnsi="Arial" w:cs="Arial"/>
          <w:sz w:val="20"/>
        </w:rPr>
        <w:t>Electric Peak</w:t>
      </w:r>
      <w:r>
        <w:rPr>
          <w:rFonts w:ascii="Arial" w:hAnsi="Arial" w:cs="Arial"/>
          <w:sz w:val="20"/>
        </w:rPr>
        <w:t xml:space="preserve"> Base Demand Forecast</w:t>
      </w:r>
      <w:r w:rsidR="004B5C59">
        <w:rPr>
          <w:rFonts w:ascii="Arial" w:hAnsi="Arial" w:cs="Arial"/>
          <w:sz w:val="20"/>
        </w:rPr>
        <w:t xml:space="preserve"> (MW),</w:t>
      </w:r>
      <w:r w:rsidRPr="000539B1">
        <w:rPr>
          <w:rFonts w:ascii="Arial" w:hAnsi="Arial" w:cs="Arial"/>
          <w:sz w:val="20"/>
        </w:rPr>
        <w:t xml:space="preserve"> </w:t>
      </w:r>
    </w:p>
    <w:p w14:paraId="286EA56E" w14:textId="77777777" w:rsidR="00307C88" w:rsidRDefault="00307C88" w:rsidP="00307C88">
      <w:pPr>
        <w:pStyle w:val="IRPseriftext"/>
        <w:ind w:left="0"/>
        <w:jc w:val="center"/>
        <w:rPr>
          <w:rFonts w:ascii="Arial" w:hAnsi="Arial"/>
          <w:i w:val="0"/>
          <w:sz w:val="20"/>
          <w:szCs w:val="22"/>
        </w:rPr>
      </w:pPr>
      <w:r>
        <w:rPr>
          <w:noProof/>
          <w:lang w:eastAsia="en-US"/>
        </w:rPr>
        <w:drawing>
          <wp:anchor distT="0" distB="0" distL="114300" distR="114300" simplePos="0" relativeHeight="251682816" behindDoc="0" locked="0" layoutInCell="1" allowOverlap="1" wp14:anchorId="58EEF31B" wp14:editId="61F13929">
            <wp:simplePos x="0" y="0"/>
            <wp:positionH relativeFrom="column">
              <wp:posOffset>394335</wp:posOffset>
            </wp:positionH>
            <wp:positionV relativeFrom="paragraph">
              <wp:posOffset>266700</wp:posOffset>
            </wp:positionV>
            <wp:extent cx="4784725" cy="3304540"/>
            <wp:effectExtent l="0" t="0" r="0" b="0"/>
            <wp:wrapTopAndBottom/>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4725" cy="3304540"/>
                    </a:xfrm>
                    <a:prstGeom prst="rect">
                      <a:avLst/>
                    </a:prstGeom>
                    <a:noFill/>
                  </pic:spPr>
                </pic:pic>
              </a:graphicData>
            </a:graphic>
          </wp:anchor>
        </w:drawing>
      </w:r>
      <w:proofErr w:type="gramStart"/>
      <w:r>
        <w:rPr>
          <w:rFonts w:ascii="Arial" w:hAnsi="Arial" w:cs="Arial"/>
          <w:sz w:val="20"/>
        </w:rPr>
        <w:t>before</w:t>
      </w:r>
      <w:proofErr w:type="gramEnd"/>
      <w:r>
        <w:rPr>
          <w:rFonts w:ascii="Arial" w:hAnsi="Arial" w:cs="Arial"/>
          <w:sz w:val="20"/>
        </w:rPr>
        <w:t xml:space="preserve"> DSR</w:t>
      </w:r>
      <w:r w:rsidRPr="000539B1">
        <w:rPr>
          <w:rFonts w:ascii="Arial" w:hAnsi="Arial" w:cs="Arial"/>
          <w:sz w:val="20"/>
        </w:rPr>
        <w:t xml:space="preserve"> and </w:t>
      </w:r>
      <w:r w:rsidR="004B5C59">
        <w:rPr>
          <w:rFonts w:ascii="Arial" w:hAnsi="Arial" w:cs="Arial"/>
          <w:sz w:val="20"/>
        </w:rPr>
        <w:t>after a</w:t>
      </w:r>
      <w:r>
        <w:rPr>
          <w:rFonts w:ascii="Arial" w:hAnsi="Arial" w:cs="Arial"/>
          <w:sz w:val="20"/>
        </w:rPr>
        <w:t>pplying</w:t>
      </w:r>
      <w:r w:rsidRPr="000539B1">
        <w:rPr>
          <w:rFonts w:ascii="Arial" w:hAnsi="Arial" w:cs="Arial"/>
          <w:sz w:val="20"/>
        </w:rPr>
        <w:t xml:space="preserve"> 2013 IRP DSR</w:t>
      </w:r>
    </w:p>
    <w:p w14:paraId="37CD356B" w14:textId="77777777" w:rsidR="00307C88" w:rsidRDefault="00307C88">
      <w:pPr>
        <w:rPr>
          <w:rFonts w:ascii="Arial" w:hAnsi="Arial"/>
          <w:i/>
          <w:sz w:val="20"/>
          <w:szCs w:val="22"/>
        </w:rPr>
      </w:pPr>
      <w:r>
        <w:br w:type="page"/>
      </w:r>
    </w:p>
    <w:p w14:paraId="17698633" w14:textId="77777777" w:rsidR="00307C88" w:rsidRPr="00365FD4" w:rsidRDefault="00307C88" w:rsidP="00307C88">
      <w:pPr>
        <w:pStyle w:val="IRPsanstext"/>
      </w:pPr>
      <w:r w:rsidRPr="00615718">
        <w:rPr>
          <w:b/>
          <w:color w:val="156570"/>
          <w:sz w:val="28"/>
        </w:rPr>
        <w:lastRenderedPageBreak/>
        <w:t>Electric Customer Counts.</w:t>
      </w:r>
      <w:r>
        <w:t xml:space="preserve"> System-</w:t>
      </w:r>
      <w:r w:rsidRPr="00B75462">
        <w:t>level customer counts</w:t>
      </w:r>
      <w:r>
        <w:t xml:space="preserve"> are expected to grow by 1.5 percent per year on average, from 1.1 million customers in 2016 to 1.5 million customers in 2035. This growth rate is slightly lower than the 2013 IRP Base Demand Forecast growth rate of 1.7 percent, due to the lowered population forecast. Also, continuing weakness in the housing market recovery in recent years led to a lower starting point in the 2016 customer forecast for this IRP compared to the 2013 IRP forecast. </w:t>
      </w:r>
    </w:p>
    <w:p w14:paraId="464E1690" w14:textId="77777777" w:rsidR="00307C88" w:rsidRDefault="00307C88" w:rsidP="00307C88">
      <w:pPr>
        <w:pStyle w:val="IRPsanstext"/>
      </w:pPr>
    </w:p>
    <w:p w14:paraId="3CC46974" w14:textId="77777777" w:rsidR="00307C88" w:rsidRDefault="00307C88" w:rsidP="00307C88">
      <w:pPr>
        <w:pStyle w:val="IRPsanstext"/>
      </w:pPr>
      <w:r>
        <w:t xml:space="preserve">Residential customers are driving the customer count increase; they represent 88 percent of the PSE’s electric customers in 2016. The next largest group, commercial customers, is expected to grow at an annual rate of 1.4 percent from 2016 to 2035. Industrial customer counts are expected to decline, following a historical trend. These trends are expected to continue as the economy in PSE’s service territory grows more commercial and less industrial.  </w:t>
      </w:r>
    </w:p>
    <w:p w14:paraId="560E6A7F" w14:textId="77777777" w:rsidR="00307C88" w:rsidRDefault="00307C88" w:rsidP="00307C88">
      <w:pPr>
        <w:pStyle w:val="IRPsanstext"/>
      </w:pPr>
    </w:p>
    <w:p w14:paraId="02185E6F" w14:textId="77777777" w:rsidR="00307C88" w:rsidRDefault="00307C88" w:rsidP="006766F4">
      <w:pPr>
        <w:pStyle w:val="IRPFigureSub"/>
        <w:spacing w:after="120"/>
      </w:pPr>
      <w:r w:rsidRPr="003C3895">
        <w:t xml:space="preserve">Figure </w:t>
      </w:r>
      <w:r>
        <w:t xml:space="preserve">5-24: </w:t>
      </w:r>
      <w:r w:rsidRPr="00C85E13">
        <w:t xml:space="preserve">December Electric Customer Counts by Class, </w:t>
      </w:r>
      <w:r>
        <w:t xml:space="preserve">2015 IRP </w:t>
      </w:r>
      <w:r w:rsidRPr="00C85E13">
        <w:t>Base Demand Forecast</w:t>
      </w:r>
    </w:p>
    <w:tbl>
      <w:tblPr>
        <w:tblW w:w="8825" w:type="dxa"/>
        <w:tblInd w:w="103" w:type="dxa"/>
        <w:tblLayout w:type="fixed"/>
        <w:tblLook w:val="04A0" w:firstRow="1" w:lastRow="0" w:firstColumn="1" w:lastColumn="0" w:noHBand="0" w:noVBand="1"/>
      </w:tblPr>
      <w:tblGrid>
        <w:gridCol w:w="1355"/>
        <w:gridCol w:w="1260"/>
        <w:gridCol w:w="1260"/>
        <w:gridCol w:w="1170"/>
        <w:gridCol w:w="1170"/>
        <w:gridCol w:w="1170"/>
        <w:gridCol w:w="1440"/>
      </w:tblGrid>
      <w:tr w:rsidR="00307C88" w:rsidRPr="00D775A1" w14:paraId="15F60242" w14:textId="77777777">
        <w:trPr>
          <w:trHeight w:val="300"/>
        </w:trPr>
        <w:tc>
          <w:tcPr>
            <w:tcW w:w="8825" w:type="dxa"/>
            <w:gridSpan w:val="7"/>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BEB890F" w14:textId="77777777" w:rsidR="00307C88" w:rsidRPr="005C4660" w:rsidRDefault="00307C88" w:rsidP="00307C88">
            <w:pPr>
              <w:pStyle w:val="IRPsanstext"/>
              <w:jc w:val="center"/>
              <w:rPr>
                <w:rFonts w:eastAsia="Times New Roman"/>
                <w:b/>
                <w:caps/>
                <w:color w:val="FFFFFF" w:themeColor="background1"/>
                <w:szCs w:val="22"/>
              </w:rPr>
            </w:pPr>
            <w:r w:rsidRPr="005C4660">
              <w:rPr>
                <w:rFonts w:eastAsia="Times New Roman"/>
                <w:b/>
                <w:caps/>
                <w:color w:val="FFFFFF" w:themeColor="background1"/>
                <w:szCs w:val="22"/>
              </w:rPr>
              <w:t>December ELECTRIC Customer Counts by Class, Base Demand Forecast</w:t>
            </w:r>
          </w:p>
        </w:tc>
      </w:tr>
      <w:tr w:rsidR="00307C88" w:rsidRPr="00D775A1" w14:paraId="229E75AE" w14:textId="77777777">
        <w:trPr>
          <w:trHeight w:val="555"/>
        </w:trPr>
        <w:tc>
          <w:tcPr>
            <w:tcW w:w="1355" w:type="dxa"/>
            <w:tcBorders>
              <w:top w:val="nil"/>
              <w:left w:val="single" w:sz="4" w:space="0" w:color="auto"/>
              <w:bottom w:val="single" w:sz="4" w:space="0" w:color="auto"/>
              <w:right w:val="single" w:sz="4" w:space="0" w:color="auto"/>
            </w:tcBorders>
            <w:shd w:val="clear" w:color="auto" w:fill="156570"/>
            <w:noWrap/>
            <w:vAlign w:val="center"/>
          </w:tcPr>
          <w:p w14:paraId="19C1677C" w14:textId="77777777" w:rsidR="00307C88" w:rsidRPr="00A47CC2" w:rsidRDefault="00A47CC2"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Class</w:t>
            </w:r>
          </w:p>
        </w:tc>
        <w:tc>
          <w:tcPr>
            <w:tcW w:w="1260" w:type="dxa"/>
            <w:tcBorders>
              <w:top w:val="nil"/>
              <w:left w:val="nil"/>
              <w:bottom w:val="single" w:sz="4" w:space="0" w:color="auto"/>
              <w:right w:val="single" w:sz="4" w:space="0" w:color="auto"/>
            </w:tcBorders>
            <w:shd w:val="clear" w:color="auto" w:fill="156570"/>
            <w:noWrap/>
            <w:vAlign w:val="center"/>
          </w:tcPr>
          <w:p w14:paraId="2BABBACB"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2016</w:t>
            </w:r>
          </w:p>
        </w:tc>
        <w:tc>
          <w:tcPr>
            <w:tcW w:w="1260" w:type="dxa"/>
            <w:tcBorders>
              <w:top w:val="nil"/>
              <w:left w:val="nil"/>
              <w:bottom w:val="single" w:sz="4" w:space="0" w:color="auto"/>
              <w:right w:val="single" w:sz="4" w:space="0" w:color="auto"/>
            </w:tcBorders>
            <w:shd w:val="clear" w:color="auto" w:fill="156570"/>
            <w:noWrap/>
            <w:vAlign w:val="center"/>
          </w:tcPr>
          <w:p w14:paraId="7629C0CE"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2020</w:t>
            </w:r>
          </w:p>
        </w:tc>
        <w:tc>
          <w:tcPr>
            <w:tcW w:w="1170" w:type="dxa"/>
            <w:tcBorders>
              <w:top w:val="nil"/>
              <w:left w:val="nil"/>
              <w:bottom w:val="single" w:sz="4" w:space="0" w:color="auto"/>
              <w:right w:val="single" w:sz="4" w:space="0" w:color="auto"/>
            </w:tcBorders>
            <w:shd w:val="clear" w:color="auto" w:fill="156570"/>
            <w:noWrap/>
            <w:vAlign w:val="center"/>
          </w:tcPr>
          <w:p w14:paraId="3AD68E7B"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2025</w:t>
            </w:r>
          </w:p>
        </w:tc>
        <w:tc>
          <w:tcPr>
            <w:tcW w:w="1170" w:type="dxa"/>
            <w:tcBorders>
              <w:top w:val="nil"/>
              <w:left w:val="nil"/>
              <w:bottom w:val="single" w:sz="4" w:space="0" w:color="auto"/>
              <w:right w:val="single" w:sz="4" w:space="0" w:color="auto"/>
            </w:tcBorders>
            <w:shd w:val="clear" w:color="auto" w:fill="156570"/>
            <w:noWrap/>
            <w:vAlign w:val="center"/>
          </w:tcPr>
          <w:p w14:paraId="5424D109"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2030</w:t>
            </w:r>
          </w:p>
        </w:tc>
        <w:tc>
          <w:tcPr>
            <w:tcW w:w="1170" w:type="dxa"/>
            <w:tcBorders>
              <w:top w:val="nil"/>
              <w:left w:val="nil"/>
              <w:bottom w:val="single" w:sz="4" w:space="0" w:color="auto"/>
              <w:right w:val="single" w:sz="4" w:space="0" w:color="auto"/>
            </w:tcBorders>
            <w:shd w:val="clear" w:color="auto" w:fill="156570"/>
            <w:noWrap/>
            <w:vAlign w:val="center"/>
          </w:tcPr>
          <w:p w14:paraId="237423A2"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2035</w:t>
            </w:r>
          </w:p>
        </w:tc>
        <w:tc>
          <w:tcPr>
            <w:tcW w:w="1440" w:type="dxa"/>
            <w:tcBorders>
              <w:top w:val="nil"/>
              <w:left w:val="nil"/>
              <w:bottom w:val="single" w:sz="4" w:space="0" w:color="auto"/>
              <w:right w:val="single" w:sz="4" w:space="0" w:color="auto"/>
            </w:tcBorders>
            <w:shd w:val="clear" w:color="auto" w:fill="156570"/>
            <w:vAlign w:val="center"/>
          </w:tcPr>
          <w:p w14:paraId="3987BDC4"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AARG</w:t>
            </w:r>
          </w:p>
          <w:p w14:paraId="2787DFB9"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2016-2035</w:t>
            </w:r>
          </w:p>
        </w:tc>
      </w:tr>
      <w:tr w:rsidR="00307C88" w:rsidRPr="00D775A1" w14:paraId="03C97950"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341553E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Total</w:t>
            </w:r>
          </w:p>
        </w:tc>
        <w:tc>
          <w:tcPr>
            <w:tcW w:w="1260" w:type="dxa"/>
            <w:tcBorders>
              <w:top w:val="nil"/>
              <w:left w:val="nil"/>
              <w:bottom w:val="single" w:sz="4" w:space="0" w:color="auto"/>
              <w:right w:val="single" w:sz="4" w:space="0" w:color="auto"/>
            </w:tcBorders>
            <w:shd w:val="clear" w:color="auto" w:fill="auto"/>
            <w:noWrap/>
            <w:vAlign w:val="center"/>
          </w:tcPr>
          <w:p w14:paraId="3140878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1,132,928</w:t>
            </w:r>
          </w:p>
        </w:tc>
        <w:tc>
          <w:tcPr>
            <w:tcW w:w="1260" w:type="dxa"/>
            <w:tcBorders>
              <w:top w:val="nil"/>
              <w:left w:val="nil"/>
              <w:bottom w:val="single" w:sz="4" w:space="0" w:color="auto"/>
              <w:right w:val="single" w:sz="4" w:space="0" w:color="auto"/>
            </w:tcBorders>
            <w:shd w:val="clear" w:color="auto" w:fill="auto"/>
            <w:noWrap/>
            <w:vAlign w:val="center"/>
          </w:tcPr>
          <w:p w14:paraId="139C323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1,205,903</w:t>
            </w:r>
          </w:p>
        </w:tc>
        <w:tc>
          <w:tcPr>
            <w:tcW w:w="1170" w:type="dxa"/>
            <w:tcBorders>
              <w:top w:val="nil"/>
              <w:left w:val="nil"/>
              <w:bottom w:val="single" w:sz="4" w:space="0" w:color="auto"/>
              <w:right w:val="single" w:sz="4" w:space="0" w:color="auto"/>
            </w:tcBorders>
            <w:shd w:val="clear" w:color="auto" w:fill="auto"/>
            <w:noWrap/>
            <w:vAlign w:val="center"/>
          </w:tcPr>
          <w:p w14:paraId="6A40331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1,307,161</w:t>
            </w:r>
          </w:p>
        </w:tc>
        <w:tc>
          <w:tcPr>
            <w:tcW w:w="1170" w:type="dxa"/>
            <w:tcBorders>
              <w:top w:val="nil"/>
              <w:left w:val="nil"/>
              <w:bottom w:val="single" w:sz="4" w:space="0" w:color="auto"/>
              <w:right w:val="single" w:sz="4" w:space="0" w:color="auto"/>
            </w:tcBorders>
            <w:shd w:val="clear" w:color="auto" w:fill="auto"/>
            <w:noWrap/>
            <w:vAlign w:val="center"/>
          </w:tcPr>
          <w:p w14:paraId="3BF4C68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1,409,007</w:t>
            </w:r>
          </w:p>
        </w:tc>
        <w:tc>
          <w:tcPr>
            <w:tcW w:w="1170" w:type="dxa"/>
            <w:tcBorders>
              <w:top w:val="nil"/>
              <w:left w:val="nil"/>
              <w:bottom w:val="single" w:sz="4" w:space="0" w:color="auto"/>
              <w:right w:val="single" w:sz="4" w:space="0" w:color="auto"/>
            </w:tcBorders>
            <w:shd w:val="clear" w:color="auto" w:fill="auto"/>
            <w:noWrap/>
            <w:vAlign w:val="center"/>
          </w:tcPr>
          <w:p w14:paraId="38712CB1"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1,507,494</w:t>
            </w:r>
          </w:p>
        </w:tc>
        <w:tc>
          <w:tcPr>
            <w:tcW w:w="1440" w:type="dxa"/>
            <w:tcBorders>
              <w:top w:val="nil"/>
              <w:left w:val="nil"/>
              <w:bottom w:val="single" w:sz="4" w:space="0" w:color="auto"/>
              <w:right w:val="single" w:sz="4" w:space="0" w:color="auto"/>
            </w:tcBorders>
            <w:shd w:val="clear" w:color="auto" w:fill="auto"/>
            <w:noWrap/>
            <w:vAlign w:val="center"/>
          </w:tcPr>
          <w:p w14:paraId="68CC619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w:t>
            </w:r>
            <w:r>
              <w:rPr>
                <w:rFonts w:eastAsia="Times New Roman"/>
                <w:color w:val="000000"/>
                <w:szCs w:val="22"/>
              </w:rPr>
              <w:t>5</w:t>
            </w:r>
            <w:r w:rsidRPr="00D775A1">
              <w:rPr>
                <w:rFonts w:eastAsia="Times New Roman"/>
                <w:color w:val="000000"/>
                <w:szCs w:val="22"/>
              </w:rPr>
              <w:t>%</w:t>
            </w:r>
          </w:p>
        </w:tc>
      </w:tr>
      <w:tr w:rsidR="00307C88" w:rsidRPr="00D775A1" w14:paraId="7ED600F5"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633FAB2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Residential</w:t>
            </w:r>
          </w:p>
        </w:tc>
        <w:tc>
          <w:tcPr>
            <w:tcW w:w="1260" w:type="dxa"/>
            <w:tcBorders>
              <w:top w:val="nil"/>
              <w:left w:val="nil"/>
              <w:bottom w:val="single" w:sz="4" w:space="0" w:color="auto"/>
              <w:right w:val="single" w:sz="4" w:space="0" w:color="auto"/>
            </w:tcBorders>
            <w:shd w:val="clear" w:color="auto" w:fill="auto"/>
            <w:noWrap/>
            <w:vAlign w:val="center"/>
          </w:tcPr>
          <w:p w14:paraId="1C96071C"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996,090</w:t>
            </w:r>
          </w:p>
        </w:tc>
        <w:tc>
          <w:tcPr>
            <w:tcW w:w="1260" w:type="dxa"/>
            <w:tcBorders>
              <w:top w:val="nil"/>
              <w:left w:val="nil"/>
              <w:bottom w:val="single" w:sz="4" w:space="0" w:color="auto"/>
              <w:right w:val="single" w:sz="4" w:space="0" w:color="auto"/>
            </w:tcBorders>
            <w:shd w:val="clear" w:color="auto" w:fill="auto"/>
            <w:noWrap/>
            <w:vAlign w:val="center"/>
          </w:tcPr>
          <w:p w14:paraId="429B6E0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1,060,975</w:t>
            </w:r>
          </w:p>
        </w:tc>
        <w:tc>
          <w:tcPr>
            <w:tcW w:w="1170" w:type="dxa"/>
            <w:tcBorders>
              <w:top w:val="nil"/>
              <w:left w:val="nil"/>
              <w:bottom w:val="single" w:sz="4" w:space="0" w:color="auto"/>
              <w:right w:val="single" w:sz="4" w:space="0" w:color="auto"/>
            </w:tcBorders>
            <w:shd w:val="clear" w:color="auto" w:fill="auto"/>
            <w:noWrap/>
            <w:vAlign w:val="center"/>
          </w:tcPr>
          <w:p w14:paraId="5FD8C680"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1,152,211</w:t>
            </w:r>
          </w:p>
        </w:tc>
        <w:tc>
          <w:tcPr>
            <w:tcW w:w="1170" w:type="dxa"/>
            <w:tcBorders>
              <w:top w:val="nil"/>
              <w:left w:val="nil"/>
              <w:bottom w:val="single" w:sz="4" w:space="0" w:color="auto"/>
              <w:right w:val="single" w:sz="4" w:space="0" w:color="auto"/>
            </w:tcBorders>
            <w:shd w:val="clear" w:color="auto" w:fill="auto"/>
            <w:noWrap/>
            <w:vAlign w:val="center"/>
          </w:tcPr>
          <w:p w14:paraId="1A44130A"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1,243,344</w:t>
            </w:r>
          </w:p>
        </w:tc>
        <w:tc>
          <w:tcPr>
            <w:tcW w:w="1170" w:type="dxa"/>
            <w:tcBorders>
              <w:top w:val="nil"/>
              <w:left w:val="nil"/>
              <w:bottom w:val="single" w:sz="4" w:space="0" w:color="auto"/>
              <w:right w:val="single" w:sz="4" w:space="0" w:color="auto"/>
            </w:tcBorders>
            <w:shd w:val="clear" w:color="auto" w:fill="auto"/>
            <w:noWrap/>
            <w:vAlign w:val="center"/>
          </w:tcPr>
          <w:p w14:paraId="409B27BF"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1,330,000</w:t>
            </w:r>
          </w:p>
        </w:tc>
        <w:tc>
          <w:tcPr>
            <w:tcW w:w="1440" w:type="dxa"/>
            <w:tcBorders>
              <w:top w:val="nil"/>
              <w:left w:val="nil"/>
              <w:bottom w:val="single" w:sz="4" w:space="0" w:color="auto"/>
              <w:right w:val="single" w:sz="4" w:space="0" w:color="auto"/>
            </w:tcBorders>
            <w:shd w:val="clear" w:color="auto" w:fill="auto"/>
            <w:noWrap/>
            <w:vAlign w:val="center"/>
          </w:tcPr>
          <w:p w14:paraId="1B509E4F"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1.5%</w:t>
            </w:r>
          </w:p>
        </w:tc>
      </w:tr>
      <w:tr w:rsidR="00307C88" w:rsidRPr="00D775A1" w14:paraId="3E5B7606"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72EFA30C"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Commercial</w:t>
            </w:r>
          </w:p>
        </w:tc>
        <w:tc>
          <w:tcPr>
            <w:tcW w:w="1260" w:type="dxa"/>
            <w:tcBorders>
              <w:top w:val="nil"/>
              <w:left w:val="nil"/>
              <w:bottom w:val="single" w:sz="4" w:space="0" w:color="auto"/>
              <w:right w:val="single" w:sz="4" w:space="0" w:color="auto"/>
            </w:tcBorders>
            <w:shd w:val="clear" w:color="auto" w:fill="auto"/>
            <w:noWrap/>
            <w:vAlign w:val="center"/>
          </w:tcPr>
          <w:p w14:paraId="6E4F00DD"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126,580</w:t>
            </w:r>
          </w:p>
        </w:tc>
        <w:tc>
          <w:tcPr>
            <w:tcW w:w="1260" w:type="dxa"/>
            <w:tcBorders>
              <w:top w:val="nil"/>
              <w:left w:val="nil"/>
              <w:bottom w:val="single" w:sz="4" w:space="0" w:color="auto"/>
              <w:right w:val="single" w:sz="4" w:space="0" w:color="auto"/>
            </w:tcBorders>
            <w:shd w:val="clear" w:color="auto" w:fill="auto"/>
            <w:noWrap/>
            <w:vAlign w:val="center"/>
          </w:tcPr>
          <w:p w14:paraId="67E101B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134,116</w:t>
            </w:r>
          </w:p>
        </w:tc>
        <w:tc>
          <w:tcPr>
            <w:tcW w:w="1170" w:type="dxa"/>
            <w:tcBorders>
              <w:top w:val="nil"/>
              <w:left w:val="nil"/>
              <w:bottom w:val="single" w:sz="4" w:space="0" w:color="auto"/>
              <w:right w:val="single" w:sz="4" w:space="0" w:color="auto"/>
            </w:tcBorders>
            <w:shd w:val="clear" w:color="auto" w:fill="auto"/>
            <w:noWrap/>
            <w:vAlign w:val="center"/>
          </w:tcPr>
          <w:p w14:paraId="3E0BA4D2"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143,527</w:t>
            </w:r>
          </w:p>
        </w:tc>
        <w:tc>
          <w:tcPr>
            <w:tcW w:w="1170" w:type="dxa"/>
            <w:tcBorders>
              <w:top w:val="nil"/>
              <w:left w:val="nil"/>
              <w:bottom w:val="single" w:sz="4" w:space="0" w:color="auto"/>
              <w:right w:val="single" w:sz="4" w:space="0" w:color="auto"/>
            </w:tcBorders>
            <w:shd w:val="clear" w:color="auto" w:fill="auto"/>
            <w:noWrap/>
            <w:vAlign w:val="center"/>
          </w:tcPr>
          <w:p w14:paraId="5FBECFDF"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153,569</w:t>
            </w:r>
          </w:p>
        </w:tc>
        <w:tc>
          <w:tcPr>
            <w:tcW w:w="1170" w:type="dxa"/>
            <w:tcBorders>
              <w:top w:val="nil"/>
              <w:left w:val="nil"/>
              <w:bottom w:val="single" w:sz="4" w:space="0" w:color="auto"/>
              <w:right w:val="single" w:sz="4" w:space="0" w:color="auto"/>
            </w:tcBorders>
            <w:shd w:val="clear" w:color="auto" w:fill="auto"/>
            <w:noWrap/>
            <w:vAlign w:val="center"/>
          </w:tcPr>
          <w:p w14:paraId="36399812"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164,560</w:t>
            </w:r>
          </w:p>
        </w:tc>
        <w:tc>
          <w:tcPr>
            <w:tcW w:w="1440" w:type="dxa"/>
            <w:tcBorders>
              <w:top w:val="nil"/>
              <w:left w:val="nil"/>
              <w:bottom w:val="single" w:sz="4" w:space="0" w:color="auto"/>
              <w:right w:val="single" w:sz="4" w:space="0" w:color="auto"/>
            </w:tcBorders>
            <w:shd w:val="clear" w:color="auto" w:fill="auto"/>
            <w:noWrap/>
            <w:vAlign w:val="center"/>
          </w:tcPr>
          <w:p w14:paraId="5A8BC041"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w:t>
            </w:r>
          </w:p>
        </w:tc>
      </w:tr>
      <w:tr w:rsidR="00307C88" w:rsidRPr="00D775A1" w14:paraId="7EABC1C3"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55CB9A0C"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Industrial</w:t>
            </w:r>
          </w:p>
        </w:tc>
        <w:tc>
          <w:tcPr>
            <w:tcW w:w="1260" w:type="dxa"/>
            <w:tcBorders>
              <w:top w:val="nil"/>
              <w:left w:val="nil"/>
              <w:bottom w:val="single" w:sz="4" w:space="0" w:color="auto"/>
              <w:right w:val="single" w:sz="4" w:space="0" w:color="auto"/>
            </w:tcBorders>
            <w:shd w:val="clear" w:color="auto" w:fill="auto"/>
            <w:noWrap/>
            <w:vAlign w:val="center"/>
          </w:tcPr>
          <w:p w14:paraId="7EE19E5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3,387</w:t>
            </w:r>
          </w:p>
        </w:tc>
        <w:tc>
          <w:tcPr>
            <w:tcW w:w="1260" w:type="dxa"/>
            <w:tcBorders>
              <w:top w:val="nil"/>
              <w:left w:val="nil"/>
              <w:bottom w:val="single" w:sz="4" w:space="0" w:color="auto"/>
              <w:right w:val="single" w:sz="4" w:space="0" w:color="auto"/>
            </w:tcBorders>
            <w:shd w:val="clear" w:color="auto" w:fill="auto"/>
            <w:noWrap/>
            <w:vAlign w:val="center"/>
          </w:tcPr>
          <w:p w14:paraId="3084639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3,304</w:t>
            </w:r>
          </w:p>
        </w:tc>
        <w:tc>
          <w:tcPr>
            <w:tcW w:w="1170" w:type="dxa"/>
            <w:tcBorders>
              <w:top w:val="nil"/>
              <w:left w:val="nil"/>
              <w:bottom w:val="single" w:sz="4" w:space="0" w:color="auto"/>
              <w:right w:val="single" w:sz="4" w:space="0" w:color="auto"/>
            </w:tcBorders>
            <w:shd w:val="clear" w:color="auto" w:fill="auto"/>
            <w:noWrap/>
            <w:vAlign w:val="center"/>
          </w:tcPr>
          <w:p w14:paraId="61ED9EF3"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3,201</w:t>
            </w:r>
          </w:p>
        </w:tc>
        <w:tc>
          <w:tcPr>
            <w:tcW w:w="1170" w:type="dxa"/>
            <w:tcBorders>
              <w:top w:val="nil"/>
              <w:left w:val="nil"/>
              <w:bottom w:val="single" w:sz="4" w:space="0" w:color="auto"/>
              <w:right w:val="single" w:sz="4" w:space="0" w:color="auto"/>
            </w:tcBorders>
            <w:shd w:val="clear" w:color="auto" w:fill="auto"/>
            <w:noWrap/>
            <w:vAlign w:val="center"/>
          </w:tcPr>
          <w:p w14:paraId="73F7BD3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3,101</w:t>
            </w:r>
          </w:p>
        </w:tc>
        <w:tc>
          <w:tcPr>
            <w:tcW w:w="1170" w:type="dxa"/>
            <w:tcBorders>
              <w:top w:val="nil"/>
              <w:left w:val="nil"/>
              <w:bottom w:val="single" w:sz="4" w:space="0" w:color="auto"/>
              <w:right w:val="single" w:sz="4" w:space="0" w:color="auto"/>
            </w:tcBorders>
            <w:shd w:val="clear" w:color="auto" w:fill="auto"/>
            <w:noWrap/>
            <w:vAlign w:val="center"/>
          </w:tcPr>
          <w:p w14:paraId="0223119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3,004</w:t>
            </w:r>
          </w:p>
        </w:tc>
        <w:tc>
          <w:tcPr>
            <w:tcW w:w="1440" w:type="dxa"/>
            <w:tcBorders>
              <w:top w:val="nil"/>
              <w:left w:val="nil"/>
              <w:bottom w:val="single" w:sz="4" w:space="0" w:color="auto"/>
              <w:right w:val="single" w:sz="4" w:space="0" w:color="auto"/>
            </w:tcBorders>
            <w:shd w:val="clear" w:color="auto" w:fill="auto"/>
            <w:noWrap/>
            <w:vAlign w:val="center"/>
          </w:tcPr>
          <w:p w14:paraId="1666BEA0"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-0.6%</w:t>
            </w:r>
          </w:p>
        </w:tc>
      </w:tr>
      <w:tr w:rsidR="00307C88" w:rsidRPr="00D775A1" w14:paraId="11E7DE82"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1E354B2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Other</w:t>
            </w:r>
          </w:p>
        </w:tc>
        <w:tc>
          <w:tcPr>
            <w:tcW w:w="1260" w:type="dxa"/>
            <w:tcBorders>
              <w:top w:val="nil"/>
              <w:left w:val="nil"/>
              <w:bottom w:val="single" w:sz="4" w:space="0" w:color="auto"/>
              <w:right w:val="single" w:sz="4" w:space="0" w:color="auto"/>
            </w:tcBorders>
            <w:shd w:val="clear" w:color="auto" w:fill="auto"/>
            <w:noWrap/>
            <w:vAlign w:val="center"/>
          </w:tcPr>
          <w:p w14:paraId="7D91E891"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6,871</w:t>
            </w:r>
          </w:p>
        </w:tc>
        <w:tc>
          <w:tcPr>
            <w:tcW w:w="1260" w:type="dxa"/>
            <w:tcBorders>
              <w:top w:val="nil"/>
              <w:left w:val="nil"/>
              <w:bottom w:val="single" w:sz="4" w:space="0" w:color="auto"/>
              <w:right w:val="single" w:sz="4" w:space="0" w:color="auto"/>
            </w:tcBorders>
            <w:shd w:val="clear" w:color="auto" w:fill="auto"/>
            <w:noWrap/>
            <w:vAlign w:val="center"/>
          </w:tcPr>
          <w:p w14:paraId="6194001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7,508</w:t>
            </w:r>
          </w:p>
        </w:tc>
        <w:tc>
          <w:tcPr>
            <w:tcW w:w="1170" w:type="dxa"/>
            <w:tcBorders>
              <w:top w:val="nil"/>
              <w:left w:val="nil"/>
              <w:bottom w:val="single" w:sz="4" w:space="0" w:color="auto"/>
              <w:right w:val="single" w:sz="4" w:space="0" w:color="auto"/>
            </w:tcBorders>
            <w:shd w:val="clear" w:color="auto" w:fill="auto"/>
            <w:noWrap/>
            <w:vAlign w:val="center"/>
          </w:tcPr>
          <w:p w14:paraId="05D4E85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8,222</w:t>
            </w:r>
          </w:p>
        </w:tc>
        <w:tc>
          <w:tcPr>
            <w:tcW w:w="1170" w:type="dxa"/>
            <w:tcBorders>
              <w:top w:val="nil"/>
              <w:left w:val="nil"/>
              <w:bottom w:val="single" w:sz="4" w:space="0" w:color="auto"/>
              <w:right w:val="single" w:sz="4" w:space="0" w:color="auto"/>
            </w:tcBorders>
            <w:shd w:val="clear" w:color="auto" w:fill="auto"/>
            <w:noWrap/>
            <w:vAlign w:val="center"/>
          </w:tcPr>
          <w:p w14:paraId="53E25E52"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8,993</w:t>
            </w:r>
          </w:p>
        </w:tc>
        <w:tc>
          <w:tcPr>
            <w:tcW w:w="1170" w:type="dxa"/>
            <w:tcBorders>
              <w:top w:val="nil"/>
              <w:left w:val="nil"/>
              <w:bottom w:val="single" w:sz="4" w:space="0" w:color="auto"/>
              <w:right w:val="single" w:sz="4" w:space="0" w:color="auto"/>
            </w:tcBorders>
            <w:shd w:val="clear" w:color="auto" w:fill="auto"/>
            <w:noWrap/>
            <w:vAlign w:val="center"/>
          </w:tcPr>
          <w:p w14:paraId="2E494E4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9,929</w:t>
            </w:r>
          </w:p>
        </w:tc>
        <w:tc>
          <w:tcPr>
            <w:tcW w:w="1440" w:type="dxa"/>
            <w:tcBorders>
              <w:top w:val="nil"/>
              <w:left w:val="nil"/>
              <w:bottom w:val="single" w:sz="4" w:space="0" w:color="auto"/>
              <w:right w:val="single" w:sz="4" w:space="0" w:color="auto"/>
            </w:tcBorders>
            <w:shd w:val="clear" w:color="auto" w:fill="auto"/>
            <w:noWrap/>
            <w:vAlign w:val="center"/>
          </w:tcPr>
          <w:p w14:paraId="4D4CAF24"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2.0%</w:t>
            </w:r>
          </w:p>
        </w:tc>
      </w:tr>
    </w:tbl>
    <w:p w14:paraId="074FE052" w14:textId="77777777" w:rsidR="00307C88" w:rsidRPr="008D13EA" w:rsidRDefault="00307C88" w:rsidP="00307C88">
      <w:pPr>
        <w:pStyle w:val="IRPsanstext"/>
      </w:pPr>
    </w:p>
    <w:p w14:paraId="1E5D5B05" w14:textId="77777777" w:rsidR="00307C88" w:rsidRDefault="00307C88" w:rsidP="006766F4">
      <w:pPr>
        <w:pStyle w:val="IRPFigureSub"/>
        <w:spacing w:after="120"/>
      </w:pPr>
      <w:r w:rsidRPr="003C3895">
        <w:t xml:space="preserve">Figure </w:t>
      </w:r>
      <w:r>
        <w:t xml:space="preserve">5-25: </w:t>
      </w:r>
      <w:r w:rsidRPr="003C3895">
        <w:t xml:space="preserve">Electric </w:t>
      </w:r>
      <w:r>
        <w:t>Demand</w:t>
      </w:r>
      <w:r w:rsidRPr="003C3895">
        <w:t xml:space="preserve"> by Class</w:t>
      </w:r>
      <w:r>
        <w:t>,</w:t>
      </w:r>
      <w:r w:rsidRPr="003C3895">
        <w:t xml:space="preserve"> </w:t>
      </w:r>
      <w:r>
        <w:t xml:space="preserve">2015 IRP </w:t>
      </w:r>
      <w:r w:rsidRPr="003C3895">
        <w:t>Base Demand Forecast</w:t>
      </w:r>
      <w:r>
        <w:t xml:space="preserve"> before DSR   </w:t>
      </w:r>
      <w:r w:rsidRPr="003C3895">
        <w:t xml:space="preserve"> </w:t>
      </w:r>
    </w:p>
    <w:tbl>
      <w:tblPr>
        <w:tblW w:w="8825" w:type="dxa"/>
        <w:tblInd w:w="103" w:type="dxa"/>
        <w:tblLook w:val="04A0" w:firstRow="1" w:lastRow="0" w:firstColumn="1" w:lastColumn="0" w:noHBand="0" w:noVBand="1"/>
      </w:tblPr>
      <w:tblGrid>
        <w:gridCol w:w="1355"/>
        <w:gridCol w:w="1260"/>
        <w:gridCol w:w="1260"/>
        <w:gridCol w:w="1170"/>
        <w:gridCol w:w="1170"/>
        <w:gridCol w:w="1170"/>
        <w:gridCol w:w="1440"/>
      </w:tblGrid>
      <w:tr w:rsidR="00307C88" w:rsidRPr="00D775A1" w14:paraId="1879928C" w14:textId="77777777">
        <w:trPr>
          <w:trHeight w:val="300"/>
        </w:trPr>
        <w:tc>
          <w:tcPr>
            <w:tcW w:w="882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tcPr>
          <w:p w14:paraId="7E798F40" w14:textId="77777777" w:rsidR="00307C88" w:rsidRPr="005C4660" w:rsidRDefault="00307C88" w:rsidP="00307C88">
            <w:pPr>
              <w:pStyle w:val="IRPsanstext"/>
              <w:jc w:val="center"/>
              <w:rPr>
                <w:rFonts w:eastAsia="Times New Roman"/>
                <w:b/>
                <w:caps/>
                <w:color w:val="FFFFFF" w:themeColor="background1"/>
                <w:szCs w:val="22"/>
              </w:rPr>
            </w:pPr>
            <w:r w:rsidRPr="005C4660">
              <w:rPr>
                <w:rFonts w:eastAsia="Times New Roman"/>
                <w:b/>
                <w:caps/>
                <w:color w:val="FFFFFF" w:themeColor="background1"/>
                <w:szCs w:val="22"/>
              </w:rPr>
              <w:t>Electric Load by class, Base Demand Forecast (</w:t>
            </w:r>
            <w:r w:rsidRPr="005C4660">
              <w:rPr>
                <w:rFonts w:eastAsia="Times New Roman"/>
                <w:b/>
                <w:color w:val="FFFFFF" w:themeColor="background1"/>
                <w:szCs w:val="22"/>
              </w:rPr>
              <w:t>aMW</w:t>
            </w:r>
            <w:r w:rsidRPr="005C4660">
              <w:rPr>
                <w:rFonts w:eastAsia="Times New Roman"/>
                <w:b/>
                <w:caps/>
                <w:color w:val="FFFFFF" w:themeColor="background1"/>
                <w:szCs w:val="22"/>
              </w:rPr>
              <w:t>)</w:t>
            </w:r>
          </w:p>
        </w:tc>
      </w:tr>
      <w:tr w:rsidR="00307C88" w:rsidRPr="00D775A1" w14:paraId="1FE15678" w14:textId="77777777">
        <w:trPr>
          <w:trHeight w:val="570"/>
        </w:trPr>
        <w:tc>
          <w:tcPr>
            <w:tcW w:w="1355" w:type="dxa"/>
            <w:tcBorders>
              <w:top w:val="nil"/>
              <w:left w:val="single" w:sz="4" w:space="0" w:color="auto"/>
              <w:bottom w:val="single" w:sz="4" w:space="0" w:color="auto"/>
              <w:right w:val="single" w:sz="4" w:space="0" w:color="auto"/>
            </w:tcBorders>
            <w:shd w:val="clear" w:color="auto" w:fill="156570"/>
            <w:noWrap/>
            <w:vAlign w:val="center"/>
          </w:tcPr>
          <w:p w14:paraId="0AF7C7EC" w14:textId="77777777" w:rsidR="00307C88" w:rsidRPr="00A47CC2" w:rsidRDefault="00A47CC2" w:rsidP="00307C88">
            <w:pPr>
              <w:pStyle w:val="IRPsanstext"/>
              <w:jc w:val="center"/>
              <w:rPr>
                <w:rFonts w:ascii="Arial Narrow" w:eastAsia="Times New Roman" w:hAnsi="Arial Narrow"/>
                <w:b/>
                <w:color w:val="FFFFFF" w:themeColor="background1"/>
                <w:sz w:val="22"/>
                <w:szCs w:val="22"/>
              </w:rPr>
            </w:pPr>
            <w:r w:rsidRPr="00A47CC2">
              <w:rPr>
                <w:rFonts w:ascii="Arial Narrow" w:eastAsia="Times New Roman" w:hAnsi="Arial Narrow"/>
                <w:b/>
                <w:color w:val="FFFFFF" w:themeColor="background1"/>
                <w:sz w:val="22"/>
                <w:szCs w:val="22"/>
              </w:rPr>
              <w:t>Class</w:t>
            </w:r>
          </w:p>
        </w:tc>
        <w:tc>
          <w:tcPr>
            <w:tcW w:w="1260" w:type="dxa"/>
            <w:tcBorders>
              <w:top w:val="nil"/>
              <w:left w:val="nil"/>
              <w:bottom w:val="single" w:sz="4" w:space="0" w:color="auto"/>
              <w:right w:val="single" w:sz="4" w:space="0" w:color="auto"/>
            </w:tcBorders>
            <w:shd w:val="clear" w:color="auto" w:fill="156570"/>
            <w:noWrap/>
            <w:vAlign w:val="center"/>
          </w:tcPr>
          <w:p w14:paraId="5EBD7203"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2016</w:t>
            </w:r>
          </w:p>
        </w:tc>
        <w:tc>
          <w:tcPr>
            <w:tcW w:w="1260" w:type="dxa"/>
            <w:tcBorders>
              <w:top w:val="nil"/>
              <w:left w:val="nil"/>
              <w:bottom w:val="single" w:sz="4" w:space="0" w:color="auto"/>
              <w:right w:val="single" w:sz="4" w:space="0" w:color="auto"/>
            </w:tcBorders>
            <w:shd w:val="clear" w:color="auto" w:fill="156570"/>
            <w:noWrap/>
            <w:vAlign w:val="center"/>
          </w:tcPr>
          <w:p w14:paraId="24CBCFA8"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2020</w:t>
            </w:r>
          </w:p>
        </w:tc>
        <w:tc>
          <w:tcPr>
            <w:tcW w:w="1170" w:type="dxa"/>
            <w:tcBorders>
              <w:top w:val="nil"/>
              <w:left w:val="nil"/>
              <w:bottom w:val="single" w:sz="4" w:space="0" w:color="auto"/>
              <w:right w:val="single" w:sz="4" w:space="0" w:color="auto"/>
            </w:tcBorders>
            <w:shd w:val="clear" w:color="auto" w:fill="006C71"/>
            <w:noWrap/>
            <w:vAlign w:val="center"/>
          </w:tcPr>
          <w:p w14:paraId="39EA2F75"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2025</w:t>
            </w:r>
          </w:p>
        </w:tc>
        <w:tc>
          <w:tcPr>
            <w:tcW w:w="1170" w:type="dxa"/>
            <w:tcBorders>
              <w:top w:val="nil"/>
              <w:left w:val="nil"/>
              <w:bottom w:val="single" w:sz="4" w:space="0" w:color="auto"/>
              <w:right w:val="single" w:sz="4" w:space="0" w:color="auto"/>
            </w:tcBorders>
            <w:shd w:val="clear" w:color="auto" w:fill="006C71"/>
            <w:noWrap/>
            <w:vAlign w:val="center"/>
          </w:tcPr>
          <w:p w14:paraId="682B63A8" w14:textId="77777777" w:rsidR="00307C88" w:rsidRPr="005C4660" w:rsidRDefault="00307C88" w:rsidP="00307C88">
            <w:pPr>
              <w:pStyle w:val="IRPsanstext"/>
              <w:jc w:val="center"/>
              <w:rPr>
                <w:rFonts w:eastAsia="Times New Roman"/>
                <w:b/>
                <w:color w:val="FFFFFF" w:themeColor="background1"/>
                <w:szCs w:val="22"/>
              </w:rPr>
            </w:pPr>
            <w:r w:rsidRPr="005C4660">
              <w:rPr>
                <w:rFonts w:eastAsia="Times New Roman"/>
                <w:b/>
                <w:color w:val="FFFFFF" w:themeColor="background1"/>
                <w:szCs w:val="22"/>
              </w:rPr>
              <w:t>2030</w:t>
            </w:r>
          </w:p>
        </w:tc>
        <w:tc>
          <w:tcPr>
            <w:tcW w:w="1170" w:type="dxa"/>
            <w:tcBorders>
              <w:top w:val="nil"/>
              <w:left w:val="nil"/>
              <w:bottom w:val="single" w:sz="4" w:space="0" w:color="auto"/>
              <w:right w:val="single" w:sz="4" w:space="0" w:color="auto"/>
            </w:tcBorders>
            <w:shd w:val="clear" w:color="auto" w:fill="006C71"/>
            <w:noWrap/>
            <w:vAlign w:val="center"/>
          </w:tcPr>
          <w:p w14:paraId="639B2129"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2035</w:t>
            </w:r>
          </w:p>
        </w:tc>
        <w:tc>
          <w:tcPr>
            <w:tcW w:w="1440" w:type="dxa"/>
            <w:tcBorders>
              <w:top w:val="nil"/>
              <w:left w:val="nil"/>
              <w:bottom w:val="single" w:sz="4" w:space="0" w:color="auto"/>
              <w:right w:val="single" w:sz="4" w:space="0" w:color="auto"/>
            </w:tcBorders>
            <w:shd w:val="clear" w:color="auto" w:fill="156570"/>
            <w:vAlign w:val="center"/>
          </w:tcPr>
          <w:p w14:paraId="515408C5"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 xml:space="preserve">AARG </w:t>
            </w:r>
            <w:r w:rsidRPr="00A47CC2">
              <w:rPr>
                <w:rFonts w:eastAsia="Times New Roman"/>
                <w:b/>
                <w:color w:val="FFFFFF" w:themeColor="background1"/>
                <w:szCs w:val="22"/>
              </w:rPr>
              <w:br/>
              <w:t>2016-2035</w:t>
            </w:r>
          </w:p>
        </w:tc>
      </w:tr>
      <w:tr w:rsidR="00307C88" w:rsidRPr="00D775A1" w14:paraId="1B10DA46"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22BEF87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Total</w:t>
            </w:r>
          </w:p>
        </w:tc>
        <w:tc>
          <w:tcPr>
            <w:tcW w:w="1260" w:type="dxa"/>
            <w:tcBorders>
              <w:top w:val="nil"/>
              <w:left w:val="nil"/>
              <w:bottom w:val="single" w:sz="4" w:space="0" w:color="auto"/>
              <w:right w:val="single" w:sz="4" w:space="0" w:color="auto"/>
            </w:tcBorders>
            <w:shd w:val="clear" w:color="auto" w:fill="auto"/>
            <w:noWrap/>
            <w:vAlign w:val="center"/>
          </w:tcPr>
          <w:p w14:paraId="134E898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2,629</w:t>
            </w:r>
          </w:p>
        </w:tc>
        <w:tc>
          <w:tcPr>
            <w:tcW w:w="1260" w:type="dxa"/>
            <w:tcBorders>
              <w:top w:val="nil"/>
              <w:left w:val="nil"/>
              <w:bottom w:val="single" w:sz="4" w:space="0" w:color="auto"/>
              <w:right w:val="single" w:sz="4" w:space="0" w:color="auto"/>
            </w:tcBorders>
            <w:shd w:val="clear" w:color="auto" w:fill="auto"/>
            <w:noWrap/>
            <w:vAlign w:val="center"/>
          </w:tcPr>
          <w:p w14:paraId="46FFD963"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2,850</w:t>
            </w:r>
          </w:p>
        </w:tc>
        <w:tc>
          <w:tcPr>
            <w:tcW w:w="1170" w:type="dxa"/>
            <w:tcBorders>
              <w:top w:val="nil"/>
              <w:left w:val="nil"/>
              <w:bottom w:val="single" w:sz="4" w:space="0" w:color="auto"/>
              <w:right w:val="single" w:sz="4" w:space="0" w:color="auto"/>
            </w:tcBorders>
            <w:shd w:val="clear" w:color="auto" w:fill="auto"/>
            <w:noWrap/>
            <w:vAlign w:val="center"/>
          </w:tcPr>
          <w:p w14:paraId="60438BC5"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3,088</w:t>
            </w:r>
          </w:p>
        </w:tc>
        <w:tc>
          <w:tcPr>
            <w:tcW w:w="1170" w:type="dxa"/>
            <w:tcBorders>
              <w:top w:val="nil"/>
              <w:left w:val="nil"/>
              <w:bottom w:val="single" w:sz="4" w:space="0" w:color="auto"/>
              <w:right w:val="single" w:sz="4" w:space="0" w:color="auto"/>
            </w:tcBorders>
            <w:shd w:val="clear" w:color="auto" w:fill="auto"/>
            <w:noWrap/>
            <w:vAlign w:val="center"/>
          </w:tcPr>
          <w:p w14:paraId="1A55F87C"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3,345</w:t>
            </w:r>
          </w:p>
        </w:tc>
        <w:tc>
          <w:tcPr>
            <w:tcW w:w="1170" w:type="dxa"/>
            <w:tcBorders>
              <w:top w:val="nil"/>
              <w:left w:val="nil"/>
              <w:bottom w:val="single" w:sz="4" w:space="0" w:color="auto"/>
              <w:right w:val="single" w:sz="4" w:space="0" w:color="auto"/>
            </w:tcBorders>
            <w:shd w:val="clear" w:color="auto" w:fill="auto"/>
            <w:noWrap/>
            <w:vAlign w:val="center"/>
          </w:tcPr>
          <w:p w14:paraId="6F2A6072"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3,598</w:t>
            </w:r>
          </w:p>
        </w:tc>
        <w:tc>
          <w:tcPr>
            <w:tcW w:w="1440" w:type="dxa"/>
            <w:tcBorders>
              <w:top w:val="nil"/>
              <w:left w:val="nil"/>
              <w:bottom w:val="single" w:sz="4" w:space="0" w:color="auto"/>
              <w:right w:val="single" w:sz="4" w:space="0" w:color="auto"/>
            </w:tcBorders>
            <w:shd w:val="clear" w:color="auto" w:fill="auto"/>
            <w:noWrap/>
            <w:vAlign w:val="center"/>
          </w:tcPr>
          <w:p w14:paraId="47C2E67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1.7%</w:t>
            </w:r>
          </w:p>
        </w:tc>
      </w:tr>
      <w:tr w:rsidR="00307C88" w:rsidRPr="00D775A1" w14:paraId="700A4D62"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70925DE2"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Residential</w:t>
            </w:r>
          </w:p>
        </w:tc>
        <w:tc>
          <w:tcPr>
            <w:tcW w:w="1260" w:type="dxa"/>
            <w:tcBorders>
              <w:top w:val="nil"/>
              <w:left w:val="nil"/>
              <w:bottom w:val="single" w:sz="4" w:space="0" w:color="auto"/>
              <w:right w:val="single" w:sz="4" w:space="0" w:color="auto"/>
            </w:tcBorders>
            <w:shd w:val="clear" w:color="auto" w:fill="auto"/>
            <w:noWrap/>
            <w:vAlign w:val="center"/>
          </w:tcPr>
          <w:p w14:paraId="3A28989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1,224</w:t>
            </w:r>
          </w:p>
        </w:tc>
        <w:tc>
          <w:tcPr>
            <w:tcW w:w="1260" w:type="dxa"/>
            <w:tcBorders>
              <w:top w:val="nil"/>
              <w:left w:val="nil"/>
              <w:bottom w:val="single" w:sz="4" w:space="0" w:color="auto"/>
              <w:right w:val="single" w:sz="4" w:space="0" w:color="auto"/>
            </w:tcBorders>
            <w:shd w:val="clear" w:color="auto" w:fill="auto"/>
            <w:noWrap/>
            <w:vAlign w:val="center"/>
          </w:tcPr>
          <w:p w14:paraId="4273C66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1,319</w:t>
            </w:r>
          </w:p>
        </w:tc>
        <w:tc>
          <w:tcPr>
            <w:tcW w:w="1170" w:type="dxa"/>
            <w:tcBorders>
              <w:top w:val="nil"/>
              <w:left w:val="nil"/>
              <w:bottom w:val="single" w:sz="4" w:space="0" w:color="auto"/>
              <w:right w:val="single" w:sz="4" w:space="0" w:color="auto"/>
            </w:tcBorders>
            <w:shd w:val="clear" w:color="auto" w:fill="auto"/>
            <w:noWrap/>
            <w:vAlign w:val="center"/>
          </w:tcPr>
          <w:p w14:paraId="6E904C6A"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1,439</w:t>
            </w:r>
          </w:p>
        </w:tc>
        <w:tc>
          <w:tcPr>
            <w:tcW w:w="1170" w:type="dxa"/>
            <w:tcBorders>
              <w:top w:val="nil"/>
              <w:left w:val="nil"/>
              <w:bottom w:val="single" w:sz="4" w:space="0" w:color="auto"/>
              <w:right w:val="single" w:sz="4" w:space="0" w:color="auto"/>
            </w:tcBorders>
            <w:shd w:val="clear" w:color="auto" w:fill="auto"/>
            <w:noWrap/>
            <w:vAlign w:val="center"/>
          </w:tcPr>
          <w:p w14:paraId="30D0724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1,559</w:t>
            </w:r>
          </w:p>
        </w:tc>
        <w:tc>
          <w:tcPr>
            <w:tcW w:w="1170" w:type="dxa"/>
            <w:tcBorders>
              <w:top w:val="nil"/>
              <w:left w:val="nil"/>
              <w:bottom w:val="single" w:sz="4" w:space="0" w:color="auto"/>
              <w:right w:val="single" w:sz="4" w:space="0" w:color="auto"/>
            </w:tcBorders>
            <w:shd w:val="clear" w:color="auto" w:fill="auto"/>
            <w:noWrap/>
            <w:vAlign w:val="center"/>
          </w:tcPr>
          <w:p w14:paraId="47BCB355"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1,664</w:t>
            </w:r>
          </w:p>
        </w:tc>
        <w:tc>
          <w:tcPr>
            <w:tcW w:w="1440" w:type="dxa"/>
            <w:tcBorders>
              <w:top w:val="nil"/>
              <w:left w:val="nil"/>
              <w:bottom w:val="single" w:sz="4" w:space="0" w:color="auto"/>
              <w:right w:val="single" w:sz="4" w:space="0" w:color="auto"/>
            </w:tcBorders>
            <w:shd w:val="clear" w:color="auto" w:fill="auto"/>
            <w:noWrap/>
            <w:vAlign w:val="center"/>
          </w:tcPr>
          <w:p w14:paraId="2D389DC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1.6%</w:t>
            </w:r>
          </w:p>
        </w:tc>
      </w:tr>
      <w:tr w:rsidR="00307C88" w:rsidRPr="00D775A1" w14:paraId="0355E44F"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5647A43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Commercial</w:t>
            </w:r>
          </w:p>
        </w:tc>
        <w:tc>
          <w:tcPr>
            <w:tcW w:w="1260" w:type="dxa"/>
            <w:tcBorders>
              <w:top w:val="nil"/>
              <w:left w:val="nil"/>
              <w:bottom w:val="single" w:sz="4" w:space="0" w:color="auto"/>
              <w:right w:val="single" w:sz="4" w:space="0" w:color="auto"/>
            </w:tcBorders>
            <w:shd w:val="clear" w:color="auto" w:fill="auto"/>
            <w:noWrap/>
            <w:vAlign w:val="center"/>
          </w:tcPr>
          <w:p w14:paraId="1574608D"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1,071</w:t>
            </w:r>
          </w:p>
        </w:tc>
        <w:tc>
          <w:tcPr>
            <w:tcW w:w="1260" w:type="dxa"/>
            <w:tcBorders>
              <w:top w:val="nil"/>
              <w:left w:val="nil"/>
              <w:bottom w:val="single" w:sz="4" w:space="0" w:color="auto"/>
              <w:right w:val="single" w:sz="4" w:space="0" w:color="auto"/>
            </w:tcBorders>
            <w:shd w:val="clear" w:color="auto" w:fill="auto"/>
            <w:noWrap/>
            <w:vAlign w:val="center"/>
          </w:tcPr>
          <w:p w14:paraId="2CA8B10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1,190</w:t>
            </w:r>
          </w:p>
        </w:tc>
        <w:tc>
          <w:tcPr>
            <w:tcW w:w="1170" w:type="dxa"/>
            <w:tcBorders>
              <w:top w:val="nil"/>
              <w:left w:val="nil"/>
              <w:bottom w:val="single" w:sz="4" w:space="0" w:color="auto"/>
              <w:right w:val="single" w:sz="4" w:space="0" w:color="auto"/>
            </w:tcBorders>
            <w:shd w:val="clear" w:color="auto" w:fill="auto"/>
            <w:noWrap/>
            <w:vAlign w:val="center"/>
          </w:tcPr>
          <w:p w14:paraId="5E9C2F0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1,297</w:t>
            </w:r>
          </w:p>
        </w:tc>
        <w:tc>
          <w:tcPr>
            <w:tcW w:w="1170" w:type="dxa"/>
            <w:tcBorders>
              <w:top w:val="nil"/>
              <w:left w:val="nil"/>
              <w:bottom w:val="single" w:sz="4" w:space="0" w:color="auto"/>
              <w:right w:val="single" w:sz="4" w:space="0" w:color="auto"/>
            </w:tcBorders>
            <w:shd w:val="clear" w:color="auto" w:fill="auto"/>
            <w:noWrap/>
            <w:vAlign w:val="center"/>
          </w:tcPr>
          <w:p w14:paraId="28C54FC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1,420</w:t>
            </w:r>
          </w:p>
        </w:tc>
        <w:tc>
          <w:tcPr>
            <w:tcW w:w="1170" w:type="dxa"/>
            <w:tcBorders>
              <w:top w:val="nil"/>
              <w:left w:val="nil"/>
              <w:bottom w:val="single" w:sz="4" w:space="0" w:color="auto"/>
              <w:right w:val="single" w:sz="4" w:space="0" w:color="auto"/>
            </w:tcBorders>
            <w:shd w:val="clear" w:color="auto" w:fill="auto"/>
            <w:noWrap/>
            <w:vAlign w:val="center"/>
          </w:tcPr>
          <w:p w14:paraId="3492412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1,556</w:t>
            </w:r>
          </w:p>
        </w:tc>
        <w:tc>
          <w:tcPr>
            <w:tcW w:w="1440" w:type="dxa"/>
            <w:tcBorders>
              <w:top w:val="nil"/>
              <w:left w:val="nil"/>
              <w:bottom w:val="single" w:sz="4" w:space="0" w:color="auto"/>
              <w:right w:val="single" w:sz="4" w:space="0" w:color="auto"/>
            </w:tcBorders>
            <w:shd w:val="clear" w:color="auto" w:fill="auto"/>
            <w:noWrap/>
            <w:vAlign w:val="center"/>
          </w:tcPr>
          <w:p w14:paraId="69DAA0C0"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2.0%</w:t>
            </w:r>
          </w:p>
        </w:tc>
      </w:tr>
      <w:tr w:rsidR="00307C88" w:rsidRPr="00D775A1" w14:paraId="66EE8353"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1124562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Industrial</w:t>
            </w:r>
          </w:p>
        </w:tc>
        <w:tc>
          <w:tcPr>
            <w:tcW w:w="1260" w:type="dxa"/>
            <w:tcBorders>
              <w:top w:val="nil"/>
              <w:left w:val="nil"/>
              <w:bottom w:val="single" w:sz="4" w:space="0" w:color="auto"/>
              <w:right w:val="single" w:sz="4" w:space="0" w:color="auto"/>
            </w:tcBorders>
            <w:shd w:val="clear" w:color="auto" w:fill="auto"/>
            <w:noWrap/>
            <w:vAlign w:val="center"/>
          </w:tcPr>
          <w:p w14:paraId="3A0A23DC"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142</w:t>
            </w:r>
          </w:p>
        </w:tc>
        <w:tc>
          <w:tcPr>
            <w:tcW w:w="1260" w:type="dxa"/>
            <w:tcBorders>
              <w:top w:val="nil"/>
              <w:left w:val="nil"/>
              <w:bottom w:val="single" w:sz="4" w:space="0" w:color="auto"/>
              <w:right w:val="single" w:sz="4" w:space="0" w:color="auto"/>
            </w:tcBorders>
            <w:shd w:val="clear" w:color="auto" w:fill="auto"/>
            <w:noWrap/>
            <w:vAlign w:val="center"/>
          </w:tcPr>
          <w:p w14:paraId="320E74E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133</w:t>
            </w:r>
          </w:p>
        </w:tc>
        <w:tc>
          <w:tcPr>
            <w:tcW w:w="1170" w:type="dxa"/>
            <w:tcBorders>
              <w:top w:val="nil"/>
              <w:left w:val="nil"/>
              <w:bottom w:val="single" w:sz="4" w:space="0" w:color="auto"/>
              <w:right w:val="single" w:sz="4" w:space="0" w:color="auto"/>
            </w:tcBorders>
            <w:shd w:val="clear" w:color="auto" w:fill="auto"/>
            <w:noWrap/>
            <w:vAlign w:val="center"/>
          </w:tcPr>
          <w:p w14:paraId="6FA7B4C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128</w:t>
            </w:r>
          </w:p>
        </w:tc>
        <w:tc>
          <w:tcPr>
            <w:tcW w:w="1170" w:type="dxa"/>
            <w:tcBorders>
              <w:top w:val="nil"/>
              <w:left w:val="nil"/>
              <w:bottom w:val="single" w:sz="4" w:space="0" w:color="auto"/>
              <w:right w:val="single" w:sz="4" w:space="0" w:color="auto"/>
            </w:tcBorders>
            <w:shd w:val="clear" w:color="auto" w:fill="auto"/>
            <w:noWrap/>
            <w:vAlign w:val="center"/>
          </w:tcPr>
          <w:p w14:paraId="0FCF47F5"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123</w:t>
            </w:r>
          </w:p>
        </w:tc>
        <w:tc>
          <w:tcPr>
            <w:tcW w:w="1170" w:type="dxa"/>
            <w:tcBorders>
              <w:top w:val="nil"/>
              <w:left w:val="nil"/>
              <w:bottom w:val="single" w:sz="4" w:space="0" w:color="auto"/>
              <w:right w:val="single" w:sz="4" w:space="0" w:color="auto"/>
            </w:tcBorders>
            <w:shd w:val="clear" w:color="auto" w:fill="auto"/>
            <w:noWrap/>
            <w:vAlign w:val="center"/>
          </w:tcPr>
          <w:p w14:paraId="1E0839A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118</w:t>
            </w:r>
          </w:p>
        </w:tc>
        <w:tc>
          <w:tcPr>
            <w:tcW w:w="1440" w:type="dxa"/>
            <w:tcBorders>
              <w:top w:val="nil"/>
              <w:left w:val="nil"/>
              <w:bottom w:val="single" w:sz="4" w:space="0" w:color="auto"/>
              <w:right w:val="single" w:sz="4" w:space="0" w:color="auto"/>
            </w:tcBorders>
            <w:shd w:val="clear" w:color="auto" w:fill="auto"/>
            <w:noWrap/>
            <w:vAlign w:val="center"/>
          </w:tcPr>
          <w:p w14:paraId="3C997A1D"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-1.0%</w:t>
            </w:r>
          </w:p>
        </w:tc>
      </w:tr>
      <w:tr w:rsidR="00307C88" w:rsidRPr="00D775A1" w14:paraId="3A0873A1"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6730EA5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Other</w:t>
            </w:r>
          </w:p>
        </w:tc>
        <w:tc>
          <w:tcPr>
            <w:tcW w:w="1260" w:type="dxa"/>
            <w:tcBorders>
              <w:top w:val="nil"/>
              <w:left w:val="nil"/>
              <w:bottom w:val="single" w:sz="4" w:space="0" w:color="auto"/>
              <w:right w:val="single" w:sz="4" w:space="0" w:color="auto"/>
            </w:tcBorders>
            <w:shd w:val="clear" w:color="auto" w:fill="auto"/>
            <w:noWrap/>
            <w:vAlign w:val="center"/>
          </w:tcPr>
          <w:p w14:paraId="5A9B91C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w:t>
            </w:r>
          </w:p>
        </w:tc>
        <w:tc>
          <w:tcPr>
            <w:tcW w:w="1260" w:type="dxa"/>
            <w:tcBorders>
              <w:top w:val="nil"/>
              <w:left w:val="nil"/>
              <w:bottom w:val="single" w:sz="4" w:space="0" w:color="auto"/>
              <w:right w:val="single" w:sz="4" w:space="0" w:color="auto"/>
            </w:tcBorders>
            <w:shd w:val="clear" w:color="auto" w:fill="auto"/>
            <w:noWrap/>
            <w:vAlign w:val="center"/>
          </w:tcPr>
          <w:p w14:paraId="1D346EA4"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w:t>
            </w:r>
          </w:p>
        </w:tc>
        <w:tc>
          <w:tcPr>
            <w:tcW w:w="1170" w:type="dxa"/>
            <w:tcBorders>
              <w:top w:val="nil"/>
              <w:left w:val="nil"/>
              <w:bottom w:val="single" w:sz="4" w:space="0" w:color="auto"/>
              <w:right w:val="single" w:sz="4" w:space="0" w:color="auto"/>
            </w:tcBorders>
            <w:shd w:val="clear" w:color="auto" w:fill="auto"/>
            <w:noWrap/>
            <w:vAlign w:val="center"/>
          </w:tcPr>
          <w:p w14:paraId="7F8539E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w:t>
            </w:r>
          </w:p>
        </w:tc>
        <w:tc>
          <w:tcPr>
            <w:tcW w:w="1170" w:type="dxa"/>
            <w:tcBorders>
              <w:top w:val="nil"/>
              <w:left w:val="nil"/>
              <w:bottom w:val="single" w:sz="4" w:space="0" w:color="auto"/>
              <w:right w:val="single" w:sz="4" w:space="0" w:color="auto"/>
            </w:tcBorders>
            <w:shd w:val="clear" w:color="auto" w:fill="auto"/>
            <w:noWrap/>
            <w:vAlign w:val="center"/>
          </w:tcPr>
          <w:p w14:paraId="350B5931"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w:t>
            </w:r>
          </w:p>
        </w:tc>
        <w:tc>
          <w:tcPr>
            <w:tcW w:w="1170" w:type="dxa"/>
            <w:tcBorders>
              <w:top w:val="nil"/>
              <w:left w:val="nil"/>
              <w:bottom w:val="single" w:sz="4" w:space="0" w:color="auto"/>
              <w:right w:val="single" w:sz="4" w:space="0" w:color="auto"/>
            </w:tcBorders>
            <w:shd w:val="clear" w:color="auto" w:fill="auto"/>
            <w:noWrap/>
            <w:vAlign w:val="center"/>
          </w:tcPr>
          <w:p w14:paraId="0F69737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w:t>
            </w:r>
          </w:p>
        </w:tc>
        <w:tc>
          <w:tcPr>
            <w:tcW w:w="1440" w:type="dxa"/>
            <w:tcBorders>
              <w:top w:val="nil"/>
              <w:left w:val="nil"/>
              <w:bottom w:val="single" w:sz="4" w:space="0" w:color="auto"/>
              <w:right w:val="single" w:sz="4" w:space="0" w:color="auto"/>
            </w:tcBorders>
            <w:shd w:val="clear" w:color="auto" w:fill="auto"/>
            <w:noWrap/>
            <w:vAlign w:val="center"/>
          </w:tcPr>
          <w:p w14:paraId="5B7F345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0.4%</w:t>
            </w:r>
          </w:p>
        </w:tc>
      </w:tr>
      <w:tr w:rsidR="00307C88" w:rsidRPr="00D775A1" w14:paraId="0A6CDB55"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7148C8E4"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Losses</w:t>
            </w:r>
          </w:p>
        </w:tc>
        <w:tc>
          <w:tcPr>
            <w:tcW w:w="1260" w:type="dxa"/>
            <w:tcBorders>
              <w:top w:val="nil"/>
              <w:left w:val="nil"/>
              <w:bottom w:val="single" w:sz="4" w:space="0" w:color="auto"/>
              <w:right w:val="single" w:sz="4" w:space="0" w:color="auto"/>
            </w:tcBorders>
            <w:shd w:val="clear" w:color="auto" w:fill="auto"/>
            <w:noWrap/>
            <w:vAlign w:val="center"/>
          </w:tcPr>
          <w:p w14:paraId="104FD821"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181</w:t>
            </w:r>
          </w:p>
        </w:tc>
        <w:tc>
          <w:tcPr>
            <w:tcW w:w="1260" w:type="dxa"/>
            <w:tcBorders>
              <w:top w:val="nil"/>
              <w:left w:val="nil"/>
              <w:bottom w:val="single" w:sz="4" w:space="0" w:color="auto"/>
              <w:right w:val="single" w:sz="4" w:space="0" w:color="auto"/>
            </w:tcBorders>
            <w:shd w:val="clear" w:color="auto" w:fill="auto"/>
            <w:noWrap/>
            <w:vAlign w:val="center"/>
          </w:tcPr>
          <w:p w14:paraId="622322D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197</w:t>
            </w:r>
          </w:p>
        </w:tc>
        <w:tc>
          <w:tcPr>
            <w:tcW w:w="1170" w:type="dxa"/>
            <w:tcBorders>
              <w:top w:val="nil"/>
              <w:left w:val="nil"/>
              <w:bottom w:val="single" w:sz="4" w:space="0" w:color="auto"/>
              <w:right w:val="single" w:sz="4" w:space="0" w:color="auto"/>
            </w:tcBorders>
            <w:shd w:val="clear" w:color="auto" w:fill="auto"/>
            <w:noWrap/>
            <w:vAlign w:val="center"/>
          </w:tcPr>
          <w:p w14:paraId="78FD269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213</w:t>
            </w:r>
          </w:p>
        </w:tc>
        <w:tc>
          <w:tcPr>
            <w:tcW w:w="1170" w:type="dxa"/>
            <w:tcBorders>
              <w:top w:val="nil"/>
              <w:left w:val="nil"/>
              <w:bottom w:val="single" w:sz="4" w:space="0" w:color="auto"/>
              <w:right w:val="single" w:sz="4" w:space="0" w:color="auto"/>
            </w:tcBorders>
            <w:shd w:val="clear" w:color="auto" w:fill="auto"/>
            <w:noWrap/>
            <w:vAlign w:val="center"/>
          </w:tcPr>
          <w:p w14:paraId="22BE5270"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231</w:t>
            </w:r>
          </w:p>
        </w:tc>
        <w:tc>
          <w:tcPr>
            <w:tcW w:w="1170" w:type="dxa"/>
            <w:tcBorders>
              <w:top w:val="nil"/>
              <w:left w:val="nil"/>
              <w:bottom w:val="single" w:sz="4" w:space="0" w:color="auto"/>
              <w:right w:val="single" w:sz="4" w:space="0" w:color="auto"/>
            </w:tcBorders>
            <w:shd w:val="clear" w:color="auto" w:fill="auto"/>
            <w:noWrap/>
            <w:vAlign w:val="center"/>
          </w:tcPr>
          <w:p w14:paraId="7A6D559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248</w:t>
            </w:r>
          </w:p>
        </w:tc>
        <w:tc>
          <w:tcPr>
            <w:tcW w:w="1440" w:type="dxa"/>
            <w:tcBorders>
              <w:top w:val="nil"/>
              <w:left w:val="nil"/>
              <w:bottom w:val="single" w:sz="4" w:space="0" w:color="auto"/>
              <w:right w:val="single" w:sz="4" w:space="0" w:color="auto"/>
            </w:tcBorders>
            <w:shd w:val="clear" w:color="auto" w:fill="auto"/>
            <w:noWrap/>
            <w:vAlign w:val="center"/>
          </w:tcPr>
          <w:p w14:paraId="4F79B04A"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1.7%</w:t>
            </w:r>
          </w:p>
        </w:tc>
      </w:tr>
    </w:tbl>
    <w:p w14:paraId="0D26F432" w14:textId="77777777" w:rsidR="00307C88" w:rsidRDefault="00307C88" w:rsidP="00307C88">
      <w:pPr>
        <w:pStyle w:val="IRPsanstext"/>
      </w:pPr>
    </w:p>
    <w:p w14:paraId="2A72CB00" w14:textId="77777777" w:rsidR="00E51DDB" w:rsidRDefault="00E51DDB">
      <w:pPr>
        <w:rPr>
          <w:rFonts w:ascii="Arial" w:hAnsi="Arial"/>
          <w:i/>
          <w:sz w:val="20"/>
          <w:szCs w:val="22"/>
        </w:rPr>
      </w:pPr>
      <w:r>
        <w:rPr>
          <w:i/>
          <w:szCs w:val="22"/>
        </w:rPr>
        <w:br w:type="page"/>
      </w:r>
    </w:p>
    <w:p w14:paraId="6005A22A" w14:textId="77777777" w:rsidR="00816B3B" w:rsidRDefault="00816B3B" w:rsidP="00816B3B">
      <w:pPr>
        <w:pStyle w:val="IRPsanstext"/>
      </w:pPr>
      <w:r w:rsidRPr="00816B3B">
        <w:rPr>
          <w:b/>
          <w:color w:val="156570"/>
          <w:sz w:val="28"/>
        </w:rPr>
        <w:lastRenderedPageBreak/>
        <w:t>Electric Use per Customer.</w:t>
      </w:r>
      <w:r>
        <w:t xml:space="preserve">  Residential use per customer is expected to be flat in the future, absent the impacts of demand-side resources. Multifamily housing growth and the increasing use of natural gas for space and water heating will tend to reduce electric use per customer, but this should be balanced by growth in plug loads and declining or flat real electric rates. As the economy recovers from the recession, commercial use per customer is expected to rise slowly due to higher employment levels and lower vacancy rates in the near term.</w:t>
      </w:r>
    </w:p>
    <w:p w14:paraId="532B0B02" w14:textId="77777777" w:rsidR="00816B3B" w:rsidRDefault="00816B3B" w:rsidP="00816B3B">
      <w:pPr>
        <w:pStyle w:val="IRPsanstext"/>
      </w:pPr>
    </w:p>
    <w:p w14:paraId="35523F31" w14:textId="77777777" w:rsidR="00816B3B" w:rsidRPr="003C3895" w:rsidRDefault="00816B3B" w:rsidP="00816B3B">
      <w:pPr>
        <w:pStyle w:val="IRPFigureSub"/>
        <w:spacing w:after="120"/>
      </w:pPr>
      <w:r w:rsidRPr="003C3895">
        <w:t xml:space="preserve">Figure </w:t>
      </w:r>
      <w:r>
        <w:t xml:space="preserve">5-26: </w:t>
      </w:r>
      <w:r w:rsidRPr="003C3895">
        <w:t>Ele</w:t>
      </w:r>
      <w:r>
        <w:t>ctric Use per Customer</w:t>
      </w:r>
      <w:r w:rsidRPr="003C3895">
        <w:t xml:space="preserve"> </w:t>
      </w:r>
      <w:r>
        <w:t xml:space="preserve">2015 IRP </w:t>
      </w:r>
      <w:r w:rsidRPr="003C3895">
        <w:t>Base Demand Forecast</w:t>
      </w:r>
      <w:r>
        <w:t xml:space="preserve"> before DSR</w:t>
      </w:r>
    </w:p>
    <w:tbl>
      <w:tblPr>
        <w:tblW w:w="8825" w:type="dxa"/>
        <w:tblInd w:w="103" w:type="dxa"/>
        <w:tblLook w:val="04A0" w:firstRow="1" w:lastRow="0" w:firstColumn="1" w:lastColumn="0" w:noHBand="0" w:noVBand="1"/>
      </w:tblPr>
      <w:tblGrid>
        <w:gridCol w:w="1355"/>
        <w:gridCol w:w="1260"/>
        <w:gridCol w:w="1260"/>
        <w:gridCol w:w="1170"/>
        <w:gridCol w:w="1170"/>
        <w:gridCol w:w="1170"/>
        <w:gridCol w:w="1440"/>
      </w:tblGrid>
      <w:tr w:rsidR="00816B3B" w:rsidRPr="00713242" w14:paraId="07508F55" w14:textId="77777777">
        <w:trPr>
          <w:trHeight w:val="300"/>
        </w:trPr>
        <w:tc>
          <w:tcPr>
            <w:tcW w:w="882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tcPr>
          <w:p w14:paraId="2F4F111F" w14:textId="77777777" w:rsidR="00816B3B" w:rsidRPr="005C4660" w:rsidRDefault="00816B3B" w:rsidP="00816B3B">
            <w:pPr>
              <w:pStyle w:val="IRPsanstext"/>
              <w:jc w:val="center"/>
              <w:rPr>
                <w:rFonts w:eastAsia="Times New Roman"/>
                <w:b/>
                <w:caps/>
                <w:color w:val="FFFFFF" w:themeColor="background1"/>
              </w:rPr>
            </w:pPr>
            <w:r w:rsidRPr="005C4660">
              <w:rPr>
                <w:rFonts w:eastAsia="Times New Roman"/>
                <w:b/>
                <w:caps/>
                <w:color w:val="FFFFFF" w:themeColor="background1"/>
              </w:rPr>
              <w:t xml:space="preserve">ELECTRIC Use Per Customer, Base Demand Forecast </w:t>
            </w:r>
            <w:r w:rsidRPr="005C4660">
              <w:rPr>
                <w:rFonts w:eastAsia="Times New Roman"/>
                <w:b/>
                <w:color w:val="FFFFFF" w:themeColor="background1"/>
              </w:rPr>
              <w:t>(MWh)</w:t>
            </w:r>
          </w:p>
        </w:tc>
      </w:tr>
      <w:tr w:rsidR="00816B3B" w:rsidRPr="00713242" w14:paraId="08AE3E6A" w14:textId="77777777">
        <w:trPr>
          <w:trHeight w:val="600"/>
        </w:trPr>
        <w:tc>
          <w:tcPr>
            <w:tcW w:w="1355" w:type="dxa"/>
            <w:tcBorders>
              <w:top w:val="nil"/>
              <w:left w:val="single" w:sz="4" w:space="0" w:color="auto"/>
              <w:bottom w:val="single" w:sz="4" w:space="0" w:color="auto"/>
              <w:right w:val="single" w:sz="4" w:space="0" w:color="auto"/>
            </w:tcBorders>
            <w:shd w:val="clear" w:color="auto" w:fill="156570"/>
            <w:noWrap/>
            <w:vAlign w:val="center"/>
          </w:tcPr>
          <w:p w14:paraId="389764C7" w14:textId="77777777" w:rsidR="00816B3B" w:rsidRPr="00A47CC2" w:rsidRDefault="00A47CC2" w:rsidP="00A47CC2">
            <w:pPr>
              <w:pStyle w:val="IRPsanstext"/>
              <w:jc w:val="center"/>
              <w:rPr>
                <w:rFonts w:eastAsia="Times New Roman"/>
                <w:b/>
                <w:color w:val="FFFFFF" w:themeColor="background1"/>
              </w:rPr>
            </w:pPr>
            <w:r w:rsidRPr="00A47CC2">
              <w:rPr>
                <w:rFonts w:eastAsia="Times New Roman"/>
                <w:b/>
                <w:color w:val="FFFFFF" w:themeColor="background1"/>
              </w:rPr>
              <w:t>Type</w:t>
            </w:r>
          </w:p>
        </w:tc>
        <w:tc>
          <w:tcPr>
            <w:tcW w:w="1260" w:type="dxa"/>
            <w:tcBorders>
              <w:top w:val="nil"/>
              <w:left w:val="nil"/>
              <w:bottom w:val="single" w:sz="4" w:space="0" w:color="auto"/>
              <w:right w:val="single" w:sz="4" w:space="0" w:color="auto"/>
            </w:tcBorders>
            <w:shd w:val="clear" w:color="auto" w:fill="156570"/>
            <w:noWrap/>
            <w:vAlign w:val="center"/>
          </w:tcPr>
          <w:p w14:paraId="23020946"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2016</w:t>
            </w:r>
          </w:p>
        </w:tc>
        <w:tc>
          <w:tcPr>
            <w:tcW w:w="1260" w:type="dxa"/>
            <w:tcBorders>
              <w:top w:val="nil"/>
              <w:left w:val="nil"/>
              <w:bottom w:val="single" w:sz="4" w:space="0" w:color="auto"/>
              <w:right w:val="single" w:sz="4" w:space="0" w:color="auto"/>
            </w:tcBorders>
            <w:shd w:val="clear" w:color="auto" w:fill="156570"/>
            <w:noWrap/>
            <w:vAlign w:val="center"/>
          </w:tcPr>
          <w:p w14:paraId="202A9A3F"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2020</w:t>
            </w:r>
          </w:p>
        </w:tc>
        <w:tc>
          <w:tcPr>
            <w:tcW w:w="1170" w:type="dxa"/>
            <w:tcBorders>
              <w:top w:val="nil"/>
              <w:left w:val="nil"/>
              <w:bottom w:val="single" w:sz="4" w:space="0" w:color="auto"/>
              <w:right w:val="single" w:sz="4" w:space="0" w:color="auto"/>
            </w:tcBorders>
            <w:shd w:val="clear" w:color="auto" w:fill="156570"/>
            <w:noWrap/>
            <w:vAlign w:val="center"/>
          </w:tcPr>
          <w:p w14:paraId="1D6C383C"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2025</w:t>
            </w:r>
          </w:p>
        </w:tc>
        <w:tc>
          <w:tcPr>
            <w:tcW w:w="1170" w:type="dxa"/>
            <w:tcBorders>
              <w:top w:val="nil"/>
              <w:left w:val="nil"/>
              <w:bottom w:val="single" w:sz="4" w:space="0" w:color="auto"/>
              <w:right w:val="single" w:sz="4" w:space="0" w:color="auto"/>
            </w:tcBorders>
            <w:shd w:val="clear" w:color="auto" w:fill="156570"/>
            <w:noWrap/>
            <w:vAlign w:val="center"/>
          </w:tcPr>
          <w:p w14:paraId="5BB60500"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2030</w:t>
            </w:r>
          </w:p>
        </w:tc>
        <w:tc>
          <w:tcPr>
            <w:tcW w:w="1170" w:type="dxa"/>
            <w:tcBorders>
              <w:top w:val="nil"/>
              <w:left w:val="nil"/>
              <w:bottom w:val="single" w:sz="4" w:space="0" w:color="auto"/>
              <w:right w:val="single" w:sz="4" w:space="0" w:color="auto"/>
            </w:tcBorders>
            <w:shd w:val="clear" w:color="auto" w:fill="156570"/>
            <w:noWrap/>
            <w:vAlign w:val="center"/>
          </w:tcPr>
          <w:p w14:paraId="70EABB78"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2035</w:t>
            </w:r>
          </w:p>
        </w:tc>
        <w:tc>
          <w:tcPr>
            <w:tcW w:w="1440" w:type="dxa"/>
            <w:tcBorders>
              <w:top w:val="nil"/>
              <w:left w:val="nil"/>
              <w:bottom w:val="single" w:sz="4" w:space="0" w:color="auto"/>
              <w:right w:val="single" w:sz="4" w:space="0" w:color="auto"/>
            </w:tcBorders>
            <w:shd w:val="clear" w:color="auto" w:fill="156570"/>
            <w:vAlign w:val="center"/>
          </w:tcPr>
          <w:p w14:paraId="7826EF10"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 xml:space="preserve">AARG </w:t>
            </w:r>
            <w:r w:rsidRPr="00A47CC2">
              <w:rPr>
                <w:rFonts w:eastAsia="Times New Roman"/>
                <w:b/>
                <w:color w:val="FFFFFF" w:themeColor="background1"/>
              </w:rPr>
              <w:br/>
              <w:t>2016-2035</w:t>
            </w:r>
          </w:p>
        </w:tc>
      </w:tr>
      <w:tr w:rsidR="00816B3B" w:rsidRPr="00713242" w14:paraId="574C59C5"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1F9D16E4"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Residential</w:t>
            </w:r>
          </w:p>
        </w:tc>
        <w:tc>
          <w:tcPr>
            <w:tcW w:w="1260" w:type="dxa"/>
            <w:tcBorders>
              <w:top w:val="nil"/>
              <w:left w:val="nil"/>
              <w:bottom w:val="single" w:sz="4" w:space="0" w:color="auto"/>
              <w:right w:val="single" w:sz="4" w:space="0" w:color="auto"/>
            </w:tcBorders>
            <w:shd w:val="clear" w:color="auto" w:fill="auto"/>
            <w:noWrap/>
            <w:vAlign w:val="center"/>
          </w:tcPr>
          <w:p w14:paraId="6883ED03"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10.9</w:t>
            </w:r>
          </w:p>
        </w:tc>
        <w:tc>
          <w:tcPr>
            <w:tcW w:w="1260" w:type="dxa"/>
            <w:tcBorders>
              <w:top w:val="nil"/>
              <w:left w:val="nil"/>
              <w:bottom w:val="single" w:sz="4" w:space="0" w:color="auto"/>
              <w:right w:val="single" w:sz="4" w:space="0" w:color="auto"/>
            </w:tcBorders>
            <w:shd w:val="clear" w:color="auto" w:fill="auto"/>
            <w:noWrap/>
            <w:vAlign w:val="center"/>
          </w:tcPr>
          <w:p w14:paraId="2828712B"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11.0</w:t>
            </w:r>
          </w:p>
        </w:tc>
        <w:tc>
          <w:tcPr>
            <w:tcW w:w="1170" w:type="dxa"/>
            <w:tcBorders>
              <w:top w:val="nil"/>
              <w:left w:val="nil"/>
              <w:bottom w:val="single" w:sz="4" w:space="0" w:color="auto"/>
              <w:right w:val="single" w:sz="4" w:space="0" w:color="auto"/>
            </w:tcBorders>
            <w:shd w:val="clear" w:color="auto" w:fill="auto"/>
            <w:noWrap/>
            <w:vAlign w:val="center"/>
          </w:tcPr>
          <w:p w14:paraId="328A59BC"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11.0</w:t>
            </w:r>
          </w:p>
        </w:tc>
        <w:tc>
          <w:tcPr>
            <w:tcW w:w="1170" w:type="dxa"/>
            <w:tcBorders>
              <w:top w:val="nil"/>
              <w:left w:val="nil"/>
              <w:bottom w:val="single" w:sz="4" w:space="0" w:color="auto"/>
              <w:right w:val="single" w:sz="4" w:space="0" w:color="auto"/>
            </w:tcBorders>
            <w:shd w:val="clear" w:color="auto" w:fill="auto"/>
            <w:noWrap/>
            <w:vAlign w:val="center"/>
          </w:tcPr>
          <w:p w14:paraId="00A15658"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11.1</w:t>
            </w:r>
          </w:p>
        </w:tc>
        <w:tc>
          <w:tcPr>
            <w:tcW w:w="1170" w:type="dxa"/>
            <w:tcBorders>
              <w:top w:val="nil"/>
              <w:left w:val="nil"/>
              <w:bottom w:val="single" w:sz="4" w:space="0" w:color="auto"/>
              <w:right w:val="single" w:sz="4" w:space="0" w:color="auto"/>
            </w:tcBorders>
            <w:shd w:val="clear" w:color="auto" w:fill="auto"/>
            <w:noWrap/>
            <w:vAlign w:val="center"/>
          </w:tcPr>
          <w:p w14:paraId="487A27AA"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11.0</w:t>
            </w:r>
          </w:p>
        </w:tc>
        <w:tc>
          <w:tcPr>
            <w:tcW w:w="1440" w:type="dxa"/>
            <w:tcBorders>
              <w:top w:val="nil"/>
              <w:left w:val="nil"/>
              <w:bottom w:val="single" w:sz="4" w:space="0" w:color="auto"/>
              <w:right w:val="single" w:sz="4" w:space="0" w:color="auto"/>
            </w:tcBorders>
            <w:shd w:val="clear" w:color="auto" w:fill="auto"/>
            <w:noWrap/>
            <w:vAlign w:val="center"/>
          </w:tcPr>
          <w:p w14:paraId="1150795B"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0.07%</w:t>
            </w:r>
          </w:p>
        </w:tc>
      </w:tr>
      <w:tr w:rsidR="00816B3B" w:rsidRPr="00713242" w14:paraId="23556B53"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271CBFDF"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Commercial</w:t>
            </w:r>
          </w:p>
        </w:tc>
        <w:tc>
          <w:tcPr>
            <w:tcW w:w="1260" w:type="dxa"/>
            <w:tcBorders>
              <w:top w:val="nil"/>
              <w:left w:val="nil"/>
              <w:bottom w:val="single" w:sz="4" w:space="0" w:color="auto"/>
              <w:right w:val="single" w:sz="4" w:space="0" w:color="auto"/>
            </w:tcBorders>
            <w:shd w:val="clear" w:color="auto" w:fill="auto"/>
            <w:noWrap/>
            <w:vAlign w:val="center"/>
          </w:tcPr>
          <w:p w14:paraId="14F997AB"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74.7</w:t>
            </w:r>
          </w:p>
        </w:tc>
        <w:tc>
          <w:tcPr>
            <w:tcW w:w="1260" w:type="dxa"/>
            <w:tcBorders>
              <w:top w:val="nil"/>
              <w:left w:val="nil"/>
              <w:bottom w:val="single" w:sz="4" w:space="0" w:color="auto"/>
              <w:right w:val="single" w:sz="4" w:space="0" w:color="auto"/>
            </w:tcBorders>
            <w:shd w:val="clear" w:color="auto" w:fill="auto"/>
            <w:noWrap/>
            <w:vAlign w:val="center"/>
          </w:tcPr>
          <w:p w14:paraId="463C43CD"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78.3</w:t>
            </w:r>
          </w:p>
        </w:tc>
        <w:tc>
          <w:tcPr>
            <w:tcW w:w="1170" w:type="dxa"/>
            <w:tcBorders>
              <w:top w:val="nil"/>
              <w:left w:val="nil"/>
              <w:bottom w:val="single" w:sz="4" w:space="0" w:color="auto"/>
              <w:right w:val="single" w:sz="4" w:space="0" w:color="auto"/>
            </w:tcBorders>
            <w:shd w:val="clear" w:color="auto" w:fill="auto"/>
            <w:noWrap/>
            <w:vAlign w:val="center"/>
          </w:tcPr>
          <w:p w14:paraId="1101F0A8"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79.6</w:t>
            </w:r>
          </w:p>
        </w:tc>
        <w:tc>
          <w:tcPr>
            <w:tcW w:w="1170" w:type="dxa"/>
            <w:tcBorders>
              <w:top w:val="nil"/>
              <w:left w:val="nil"/>
              <w:bottom w:val="single" w:sz="4" w:space="0" w:color="auto"/>
              <w:right w:val="single" w:sz="4" w:space="0" w:color="auto"/>
            </w:tcBorders>
            <w:shd w:val="clear" w:color="auto" w:fill="auto"/>
            <w:noWrap/>
            <w:vAlign w:val="center"/>
          </w:tcPr>
          <w:p w14:paraId="127A2710"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81.4</w:t>
            </w:r>
          </w:p>
        </w:tc>
        <w:tc>
          <w:tcPr>
            <w:tcW w:w="1170" w:type="dxa"/>
            <w:tcBorders>
              <w:top w:val="nil"/>
              <w:left w:val="nil"/>
              <w:bottom w:val="single" w:sz="4" w:space="0" w:color="auto"/>
              <w:right w:val="single" w:sz="4" w:space="0" w:color="auto"/>
            </w:tcBorders>
            <w:shd w:val="clear" w:color="auto" w:fill="auto"/>
            <w:noWrap/>
            <w:vAlign w:val="center"/>
          </w:tcPr>
          <w:p w14:paraId="733955F8"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83.3</w:t>
            </w:r>
          </w:p>
        </w:tc>
        <w:tc>
          <w:tcPr>
            <w:tcW w:w="1440" w:type="dxa"/>
            <w:tcBorders>
              <w:top w:val="nil"/>
              <w:left w:val="nil"/>
              <w:bottom w:val="single" w:sz="4" w:space="0" w:color="auto"/>
              <w:right w:val="single" w:sz="4" w:space="0" w:color="auto"/>
            </w:tcBorders>
            <w:shd w:val="clear" w:color="auto" w:fill="auto"/>
            <w:noWrap/>
            <w:vAlign w:val="center"/>
          </w:tcPr>
          <w:p w14:paraId="79A3FE08"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0.57%</w:t>
            </w:r>
          </w:p>
        </w:tc>
      </w:tr>
      <w:tr w:rsidR="00816B3B" w:rsidRPr="00713242" w14:paraId="7A487B0B"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1F0310B8"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Industrial</w:t>
            </w:r>
          </w:p>
        </w:tc>
        <w:tc>
          <w:tcPr>
            <w:tcW w:w="1260" w:type="dxa"/>
            <w:tcBorders>
              <w:top w:val="nil"/>
              <w:left w:val="nil"/>
              <w:bottom w:val="single" w:sz="4" w:space="0" w:color="auto"/>
              <w:right w:val="single" w:sz="4" w:space="0" w:color="auto"/>
            </w:tcBorders>
            <w:shd w:val="clear" w:color="auto" w:fill="auto"/>
            <w:noWrap/>
            <w:vAlign w:val="center"/>
          </w:tcPr>
          <w:p w14:paraId="53A513D9"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367</w:t>
            </w:r>
          </w:p>
        </w:tc>
        <w:tc>
          <w:tcPr>
            <w:tcW w:w="1260" w:type="dxa"/>
            <w:tcBorders>
              <w:top w:val="nil"/>
              <w:left w:val="nil"/>
              <w:bottom w:val="single" w:sz="4" w:space="0" w:color="auto"/>
              <w:right w:val="single" w:sz="4" w:space="0" w:color="auto"/>
            </w:tcBorders>
            <w:shd w:val="clear" w:color="auto" w:fill="auto"/>
            <w:noWrap/>
            <w:vAlign w:val="center"/>
          </w:tcPr>
          <w:p w14:paraId="7EF73DBA"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352</w:t>
            </w:r>
          </w:p>
        </w:tc>
        <w:tc>
          <w:tcPr>
            <w:tcW w:w="1170" w:type="dxa"/>
            <w:tcBorders>
              <w:top w:val="nil"/>
              <w:left w:val="nil"/>
              <w:bottom w:val="single" w:sz="4" w:space="0" w:color="auto"/>
              <w:right w:val="single" w:sz="4" w:space="0" w:color="auto"/>
            </w:tcBorders>
            <w:shd w:val="clear" w:color="auto" w:fill="auto"/>
            <w:noWrap/>
            <w:vAlign w:val="center"/>
          </w:tcPr>
          <w:p w14:paraId="6E07F6DD"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349</w:t>
            </w:r>
          </w:p>
        </w:tc>
        <w:tc>
          <w:tcPr>
            <w:tcW w:w="1170" w:type="dxa"/>
            <w:tcBorders>
              <w:top w:val="nil"/>
              <w:left w:val="nil"/>
              <w:bottom w:val="single" w:sz="4" w:space="0" w:color="auto"/>
              <w:right w:val="single" w:sz="4" w:space="0" w:color="auto"/>
            </w:tcBorders>
            <w:shd w:val="clear" w:color="auto" w:fill="auto"/>
            <w:noWrap/>
            <w:vAlign w:val="center"/>
          </w:tcPr>
          <w:p w14:paraId="42966483"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347</w:t>
            </w:r>
          </w:p>
        </w:tc>
        <w:tc>
          <w:tcPr>
            <w:tcW w:w="1170" w:type="dxa"/>
            <w:tcBorders>
              <w:top w:val="nil"/>
              <w:left w:val="nil"/>
              <w:bottom w:val="single" w:sz="4" w:space="0" w:color="auto"/>
              <w:right w:val="single" w:sz="4" w:space="0" w:color="auto"/>
            </w:tcBorders>
            <w:shd w:val="clear" w:color="auto" w:fill="auto"/>
            <w:noWrap/>
            <w:vAlign w:val="center"/>
          </w:tcPr>
          <w:p w14:paraId="1E9AC28B"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343</w:t>
            </w:r>
          </w:p>
        </w:tc>
        <w:tc>
          <w:tcPr>
            <w:tcW w:w="1440" w:type="dxa"/>
            <w:tcBorders>
              <w:top w:val="nil"/>
              <w:left w:val="nil"/>
              <w:bottom w:val="single" w:sz="4" w:space="0" w:color="auto"/>
              <w:right w:val="single" w:sz="4" w:space="0" w:color="auto"/>
            </w:tcBorders>
            <w:shd w:val="clear" w:color="auto" w:fill="auto"/>
            <w:noWrap/>
            <w:vAlign w:val="center"/>
          </w:tcPr>
          <w:p w14:paraId="322616E1"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-0.34%</w:t>
            </w:r>
          </w:p>
        </w:tc>
      </w:tr>
    </w:tbl>
    <w:p w14:paraId="49A555DF" w14:textId="77777777" w:rsidR="00816B3B" w:rsidRPr="00713242" w:rsidRDefault="00816B3B" w:rsidP="00816B3B">
      <w:pPr>
        <w:pStyle w:val="IRPsanstext"/>
      </w:pPr>
    </w:p>
    <w:p w14:paraId="66DC3609" w14:textId="77777777" w:rsidR="00816B3B" w:rsidRPr="00816B3B" w:rsidRDefault="00816B3B" w:rsidP="00816B3B">
      <w:pPr>
        <w:rPr>
          <w:rFonts w:ascii="Arial" w:hAnsi="Arial"/>
          <w:sz w:val="20"/>
          <w:szCs w:val="20"/>
        </w:rPr>
      </w:pPr>
    </w:p>
    <w:p w14:paraId="2911D1EF" w14:textId="77777777" w:rsidR="00816B3B" w:rsidRPr="008C6AE3" w:rsidRDefault="00816B3B" w:rsidP="00816B3B">
      <w:pPr>
        <w:pStyle w:val="IRPsecthead1serif"/>
      </w:pPr>
      <w:r w:rsidRPr="008C6AE3">
        <w:t xml:space="preserve">County-level Electric Forecasts  </w:t>
      </w:r>
    </w:p>
    <w:p w14:paraId="2BAF8F6C" w14:textId="77777777" w:rsidR="00816B3B" w:rsidRDefault="00816B3B" w:rsidP="00816B3B">
      <w:pPr>
        <w:pStyle w:val="IRPsanstext"/>
      </w:pPr>
    </w:p>
    <w:p w14:paraId="091DF4A9" w14:textId="77777777" w:rsidR="00816B3B" w:rsidRDefault="00816B3B" w:rsidP="00816B3B">
      <w:pPr>
        <w:pStyle w:val="IRPsanstext"/>
      </w:pPr>
      <w:r>
        <w:t xml:space="preserve">All of the county-level and sub-county-level forecasts shown below include the impacts of the </w:t>
      </w:r>
      <w:r w:rsidRPr="00201B7A">
        <w:t>2013 IRP demand</w:t>
      </w:r>
      <w:r>
        <w:t>-side resources. County-level forecasts extend only to 2031.</w:t>
      </w:r>
    </w:p>
    <w:p w14:paraId="5D3FA360" w14:textId="77777777" w:rsidR="00816B3B" w:rsidRDefault="00816B3B" w:rsidP="00816B3B">
      <w:pPr>
        <w:pStyle w:val="IRPsanstext"/>
      </w:pPr>
    </w:p>
    <w:p w14:paraId="6D6B8B9D" w14:textId="77777777" w:rsidR="00816B3B" w:rsidRDefault="00816B3B" w:rsidP="00816B3B">
      <w:pPr>
        <w:pStyle w:val="IRPsanstext"/>
      </w:pPr>
      <w:r>
        <w:t xml:space="preserve">King County is the most rapidly growing part of PSE’s service territory. In 2014, it accounted </w:t>
      </w:r>
      <w:r w:rsidRPr="00A046E0">
        <w:t xml:space="preserve">for about 50 percent of </w:t>
      </w:r>
      <w:r>
        <w:t>PSE’s</w:t>
      </w:r>
      <w:r w:rsidRPr="00A046E0">
        <w:t xml:space="preserve"> </w:t>
      </w:r>
      <w:r>
        <w:t>normal electric peak load. Between 2016 and 2031, it is expected to add 176,000 customers and experience an average customer growth rate of 1.9 percent per year. It</w:t>
      </w:r>
      <w:r w:rsidRPr="00A046E0">
        <w:t xml:space="preserve"> is </w:t>
      </w:r>
      <w:r>
        <w:t xml:space="preserve">also </w:t>
      </w:r>
      <w:r w:rsidRPr="00A046E0">
        <w:t xml:space="preserve">expected to account for </w:t>
      </w:r>
      <w:r>
        <w:t>64</w:t>
      </w:r>
      <w:r w:rsidRPr="00A046E0">
        <w:t xml:space="preserve"> percent of </w:t>
      </w:r>
      <w:r>
        <w:t xml:space="preserve">PSE’s </w:t>
      </w:r>
      <w:r w:rsidRPr="00A046E0">
        <w:t xml:space="preserve">future </w:t>
      </w:r>
      <w:r>
        <w:t xml:space="preserve">electric </w:t>
      </w:r>
      <w:r w:rsidRPr="00B05A26">
        <w:t>peak</w:t>
      </w:r>
      <w:r>
        <w:t xml:space="preserve"> load growth, with the addition of 386 MW between 2016 and 2031. </w:t>
      </w:r>
    </w:p>
    <w:p w14:paraId="51D7FBE6" w14:textId="77777777" w:rsidR="00816B3B" w:rsidRDefault="00816B3B" w:rsidP="00816B3B">
      <w:pPr>
        <w:pStyle w:val="IRPsanstext"/>
      </w:pPr>
    </w:p>
    <w:p w14:paraId="65E775C0" w14:textId="77777777" w:rsidR="00816B3B" w:rsidRDefault="00816B3B" w:rsidP="00816B3B">
      <w:pPr>
        <w:pStyle w:val="IRPsanstext"/>
      </w:pPr>
      <w:r>
        <w:t xml:space="preserve">Average annual customer growth rates for the other counties are as follows: </w:t>
      </w:r>
    </w:p>
    <w:p w14:paraId="7B9D46B9" w14:textId="77777777" w:rsidR="00816B3B" w:rsidRDefault="00816B3B" w:rsidP="00816B3B">
      <w:pPr>
        <w:pStyle w:val="IRPsanstext"/>
      </w:pPr>
    </w:p>
    <w:p w14:paraId="5BAF30B3" w14:textId="77777777" w:rsidR="00816B3B" w:rsidRDefault="00816B3B" w:rsidP="00816B3B">
      <w:pPr>
        <w:pStyle w:val="IRPsanstext"/>
        <w:numPr>
          <w:ilvl w:val="0"/>
          <w:numId w:val="25"/>
        </w:numPr>
      </w:pPr>
      <w:r>
        <w:t>Thurston County</w:t>
      </w:r>
      <w:r w:rsidR="009557D5">
        <w:rPr>
          <w:lang w:val="en-US"/>
        </w:rPr>
        <w:t>:</w:t>
      </w:r>
      <w:r>
        <w:t xml:space="preserve"> 1.4 percent </w:t>
      </w:r>
    </w:p>
    <w:p w14:paraId="6AEC28DA" w14:textId="77777777" w:rsidR="00816B3B" w:rsidRDefault="00816B3B" w:rsidP="00816B3B">
      <w:pPr>
        <w:pStyle w:val="IRPsanstext"/>
        <w:numPr>
          <w:ilvl w:val="0"/>
          <w:numId w:val="25"/>
        </w:numPr>
      </w:pPr>
      <w:r>
        <w:t>Pierce County</w:t>
      </w:r>
      <w:r w:rsidR="009557D5">
        <w:rPr>
          <w:lang w:val="en-US"/>
        </w:rPr>
        <w:t>:</w:t>
      </w:r>
      <w:r>
        <w:t xml:space="preserve"> 1.3 percent</w:t>
      </w:r>
    </w:p>
    <w:p w14:paraId="00E82DA2" w14:textId="77777777" w:rsidR="00A47CC2" w:rsidRDefault="00816B3B" w:rsidP="00816B3B">
      <w:pPr>
        <w:pStyle w:val="IRPsanstext"/>
        <w:numPr>
          <w:ilvl w:val="0"/>
          <w:numId w:val="25"/>
        </w:numPr>
      </w:pPr>
      <w:r>
        <w:t xml:space="preserve">Whatcom, Skagit, Island and Kitsap Counties range from 0.8 to 1.2 percent per year on average. </w:t>
      </w:r>
    </w:p>
    <w:p w14:paraId="662B4BD5" w14:textId="77777777" w:rsidR="00816B3B" w:rsidRDefault="00816B3B" w:rsidP="00816B3B">
      <w:pPr>
        <w:pStyle w:val="IRPsanstext"/>
        <w:numPr>
          <w:ilvl w:val="0"/>
          <w:numId w:val="25"/>
        </w:numPr>
      </w:pPr>
      <w:r>
        <w:t>The county with the fewest PSE customers, Kittitas, is expected to grow from 13,800 to 22,300 customers between 2016 and 2031.</w:t>
      </w:r>
      <w:r>
        <w:rPr>
          <w:color w:val="3366FF"/>
        </w:rPr>
        <w:t xml:space="preserve"> </w:t>
      </w:r>
    </w:p>
    <w:p w14:paraId="26091C20" w14:textId="77777777" w:rsidR="00816B3B" w:rsidRDefault="00816B3B">
      <w:pPr>
        <w:rPr>
          <w:rFonts w:ascii="Arial" w:hAnsi="Arial"/>
          <w:sz w:val="20"/>
          <w:szCs w:val="20"/>
          <w:highlight w:val="yellow"/>
        </w:rPr>
      </w:pPr>
      <w:r>
        <w:rPr>
          <w:highlight w:val="yellow"/>
        </w:rPr>
        <w:br w:type="page"/>
      </w:r>
    </w:p>
    <w:p w14:paraId="0443F42E" w14:textId="77777777" w:rsidR="00816B3B" w:rsidRDefault="00816B3B" w:rsidP="00816B3B">
      <w:pPr>
        <w:pStyle w:val="IRPsanstext"/>
      </w:pPr>
      <w:r w:rsidRPr="00A046E0">
        <w:lastRenderedPageBreak/>
        <w:t xml:space="preserve">In </w:t>
      </w:r>
      <w:r>
        <w:t xml:space="preserve">terms of peak load growth: </w:t>
      </w:r>
    </w:p>
    <w:p w14:paraId="3DFB4AA6" w14:textId="77777777" w:rsidR="00816B3B" w:rsidRDefault="00816B3B" w:rsidP="00816B3B">
      <w:pPr>
        <w:pStyle w:val="IRPsanstext"/>
      </w:pPr>
    </w:p>
    <w:p w14:paraId="6C6B9626" w14:textId="77777777" w:rsidR="00816B3B" w:rsidRDefault="00816B3B" w:rsidP="00816B3B">
      <w:pPr>
        <w:pStyle w:val="IRPsanstext"/>
        <w:numPr>
          <w:ilvl w:val="0"/>
          <w:numId w:val="26"/>
        </w:numPr>
      </w:pPr>
      <w:r>
        <w:t xml:space="preserve">Thurston, Pierce and Whatcom Counties are expected to grow between 0.6 and 0.7 percent annually between 2016 and 2031. </w:t>
      </w:r>
    </w:p>
    <w:p w14:paraId="766C1375" w14:textId="77777777" w:rsidR="00816B3B" w:rsidRDefault="00816B3B" w:rsidP="00816B3B">
      <w:pPr>
        <w:pStyle w:val="IRPsanstext"/>
        <w:numPr>
          <w:ilvl w:val="0"/>
          <w:numId w:val="26"/>
        </w:numPr>
      </w:pPr>
      <w:r>
        <w:t xml:space="preserve">Kitsap and Island Counties are expected to grow 0.4 percent and 0.3 percent annually, respectively. </w:t>
      </w:r>
    </w:p>
    <w:p w14:paraId="2B335FD3" w14:textId="77777777" w:rsidR="00816B3B" w:rsidRPr="00C568F2" w:rsidRDefault="00816B3B" w:rsidP="00816B3B">
      <w:pPr>
        <w:pStyle w:val="IRPsanstext"/>
        <w:numPr>
          <w:ilvl w:val="0"/>
          <w:numId w:val="26"/>
        </w:numPr>
      </w:pPr>
      <w:r>
        <w:t xml:space="preserve">Kittitas County is expected to grow at 2.6 percent but will only account for 5 percent of the peak load growth from 2016 to 2031.     </w:t>
      </w:r>
    </w:p>
    <w:p w14:paraId="6CEFDFEA" w14:textId="77777777" w:rsidR="00816B3B" w:rsidRPr="00816B3B" w:rsidRDefault="00816B3B" w:rsidP="00816B3B">
      <w:pPr>
        <w:rPr>
          <w:rFonts w:ascii="Arial" w:hAnsi="Arial"/>
          <w:sz w:val="20"/>
          <w:szCs w:val="20"/>
        </w:rPr>
      </w:pPr>
    </w:p>
    <w:p w14:paraId="496E1209" w14:textId="77777777" w:rsidR="00816B3B" w:rsidRPr="008C6AE3" w:rsidRDefault="00816B3B" w:rsidP="00816B3B">
      <w:pPr>
        <w:pStyle w:val="IRPFigureSub"/>
        <w:spacing w:after="120"/>
      </w:pPr>
      <w:r w:rsidRPr="00010345">
        <w:t>Figure</w:t>
      </w:r>
      <w:r>
        <w:t xml:space="preserve"> 5-27: </w:t>
      </w:r>
      <w:r w:rsidRPr="007A7733">
        <w:t xml:space="preserve">Electric </w:t>
      </w:r>
      <w:r>
        <w:t>Peak Forecasts by County (MW)</w:t>
      </w:r>
      <w:r w:rsidRPr="00010345">
        <w:t xml:space="preserve">, </w:t>
      </w:r>
      <w:r>
        <w:t>after applying</w:t>
      </w:r>
      <w:r w:rsidRPr="00010345">
        <w:t xml:space="preserve"> 2013 IRP DSR</w:t>
      </w:r>
    </w:p>
    <w:p w14:paraId="1EB6D131" w14:textId="77777777" w:rsidR="00816B3B" w:rsidRDefault="00816B3B" w:rsidP="00816B3B">
      <w:pPr>
        <w:pStyle w:val="IRPsanstext"/>
      </w:pPr>
      <w:r>
        <w:rPr>
          <w:noProof/>
          <w:lang w:eastAsia="en-US"/>
        </w:rPr>
        <w:drawing>
          <wp:anchor distT="0" distB="0" distL="114300" distR="114300" simplePos="0" relativeHeight="251683840" behindDoc="0" locked="0" layoutInCell="1" allowOverlap="1" wp14:anchorId="7E2AB860" wp14:editId="47F03CF3">
            <wp:simplePos x="0" y="0"/>
            <wp:positionH relativeFrom="column">
              <wp:posOffset>165735</wp:posOffset>
            </wp:positionH>
            <wp:positionV relativeFrom="paragraph">
              <wp:posOffset>91440</wp:posOffset>
            </wp:positionV>
            <wp:extent cx="5035550" cy="3415030"/>
            <wp:effectExtent l="0" t="0" r="0" b="0"/>
            <wp:wrapTopAndBottom/>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3415030"/>
                    </a:xfrm>
                    <a:prstGeom prst="rect">
                      <a:avLst/>
                    </a:prstGeom>
                    <a:noFill/>
                  </pic:spPr>
                </pic:pic>
              </a:graphicData>
            </a:graphic>
          </wp:anchor>
        </w:drawing>
      </w:r>
    </w:p>
    <w:p w14:paraId="66840A2F" w14:textId="77777777" w:rsidR="00816B3B" w:rsidRDefault="00816B3B">
      <w:pPr>
        <w:rPr>
          <w:rFonts w:ascii="Arial" w:hAnsi="Arial"/>
          <w:sz w:val="20"/>
          <w:szCs w:val="20"/>
        </w:rPr>
      </w:pPr>
      <w:r>
        <w:br w:type="page"/>
      </w:r>
    </w:p>
    <w:p w14:paraId="5574C37D" w14:textId="77777777" w:rsidR="00816B3B" w:rsidRPr="008C6AE3" w:rsidRDefault="00816B3B" w:rsidP="00816B3B">
      <w:pPr>
        <w:pStyle w:val="IRPsecthead1serif"/>
      </w:pPr>
      <w:r w:rsidRPr="008C6AE3">
        <w:lastRenderedPageBreak/>
        <w:t xml:space="preserve">Eastside Area Electric Forecast  </w:t>
      </w:r>
    </w:p>
    <w:p w14:paraId="7B7C6D72" w14:textId="77777777" w:rsidR="00816B3B" w:rsidRDefault="00816B3B" w:rsidP="00816B3B">
      <w:pPr>
        <w:pStyle w:val="IRPsanstext"/>
      </w:pPr>
    </w:p>
    <w:p w14:paraId="6F7FA2DA" w14:textId="77777777" w:rsidR="00A22F1C" w:rsidRDefault="00816B3B" w:rsidP="00816B3B">
      <w:pPr>
        <w:pStyle w:val="IRPsanstext"/>
      </w:pPr>
      <w:r>
        <w:t xml:space="preserve">PSE updated its Eastside Area peak demand forecast using recent information and external </w:t>
      </w:r>
    </w:p>
    <w:p w14:paraId="0E976987" w14:textId="77777777" w:rsidR="00A22F1C" w:rsidRDefault="00816B3B" w:rsidP="00816B3B">
      <w:pPr>
        <w:pStyle w:val="IRPsanstext"/>
      </w:pPr>
      <w:r>
        <w:t xml:space="preserve">input forecasts to better understand the diversity of loads in the PSE electric service territory as well as to better understand when the Energize Eastside project is needed. </w:t>
      </w:r>
      <w:r w:rsidR="00387BBF">
        <w:t xml:space="preserve">Figure 5-28 illustrates the forecast </w:t>
      </w:r>
      <w:r w:rsidR="00C04D24">
        <w:t xml:space="preserve">normal </w:t>
      </w:r>
      <w:r w:rsidR="00387BBF">
        <w:t>peak load growth in the Eastside Area</w:t>
      </w:r>
      <w:r w:rsidR="00C04D24">
        <w:t xml:space="preserve"> before DSR and after DSR, along with an extreme peak load forecast after DSR. Figure 5-29 shows th</w:t>
      </w:r>
      <w:r w:rsidR="00A15361">
        <w:t xml:space="preserve">e growth rate before DSR is </w:t>
      </w:r>
    </w:p>
    <w:p w14:paraId="61B81BE9" w14:textId="77777777" w:rsidR="00660D84" w:rsidRDefault="00A15361" w:rsidP="00816B3B">
      <w:pPr>
        <w:pStyle w:val="IRPsanstext"/>
      </w:pPr>
      <w:r>
        <w:t xml:space="preserve">3.1 percent – </w:t>
      </w:r>
      <w:r w:rsidR="00C04D24">
        <w:t xml:space="preserve">nearly twice </w:t>
      </w:r>
      <w:r w:rsidR="009557D5">
        <w:rPr>
          <w:lang w:val="en-US"/>
        </w:rPr>
        <w:t xml:space="preserve">the </w:t>
      </w:r>
      <w:r>
        <w:t>1.6 percent</w:t>
      </w:r>
      <w:r w:rsidR="00C04D24">
        <w:t xml:space="preserve"> growth rate of the system-level forecast before DSR, shown in Figure 5-20.  </w:t>
      </w:r>
    </w:p>
    <w:p w14:paraId="6F139880" w14:textId="77777777" w:rsidR="00816B3B" w:rsidRPr="00FA53E9" w:rsidRDefault="00816B3B" w:rsidP="00816B3B">
      <w:pPr>
        <w:pStyle w:val="IRPsanstext"/>
      </w:pPr>
    </w:p>
    <w:p w14:paraId="5DCE650D" w14:textId="77777777" w:rsidR="00816B3B" w:rsidRPr="008C6AE3" w:rsidRDefault="00816B3B" w:rsidP="00816B3B">
      <w:pPr>
        <w:pStyle w:val="IRPFigureSub"/>
      </w:pPr>
      <w:r>
        <w:t>Figure 5-28</w:t>
      </w:r>
      <w:r w:rsidRPr="008C6AE3">
        <w:t>: Eastside Area, Electric Winter Peak Forecast</w:t>
      </w:r>
      <w:r w:rsidR="00C04D24">
        <w:t>s</w:t>
      </w:r>
      <w:r w:rsidRPr="008C6AE3">
        <w:t xml:space="preserve"> (MW)</w:t>
      </w:r>
    </w:p>
    <w:p w14:paraId="52079BFB" w14:textId="77777777" w:rsidR="00816B3B" w:rsidRDefault="00474A60" w:rsidP="00816B3B">
      <w:pPr>
        <w:pStyle w:val="IRPsanstext"/>
      </w:pPr>
      <w:r>
        <w:rPr>
          <w:noProof/>
          <w:szCs w:val="22"/>
          <w:lang w:eastAsia="en-US"/>
        </w:rPr>
        <w:drawing>
          <wp:anchor distT="0" distB="0" distL="114300" distR="114300" simplePos="0" relativeHeight="251697152" behindDoc="0" locked="0" layoutInCell="1" allowOverlap="1" wp14:anchorId="665F1CB4" wp14:editId="69DD0AD7">
            <wp:simplePos x="0" y="0"/>
            <wp:positionH relativeFrom="column">
              <wp:posOffset>609600</wp:posOffset>
            </wp:positionH>
            <wp:positionV relativeFrom="paragraph">
              <wp:posOffset>174625</wp:posOffset>
            </wp:positionV>
            <wp:extent cx="4610735" cy="295275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0735" cy="2952750"/>
                    </a:xfrm>
                    <a:prstGeom prst="rect">
                      <a:avLst/>
                    </a:prstGeom>
                    <a:noFill/>
                  </pic:spPr>
                </pic:pic>
              </a:graphicData>
            </a:graphic>
          </wp:anchor>
        </w:drawing>
      </w:r>
    </w:p>
    <w:p w14:paraId="08F7DA7B" w14:textId="77777777" w:rsidR="00816B3B" w:rsidRDefault="00816B3B" w:rsidP="00615718">
      <w:pPr>
        <w:pStyle w:val="IRPFigureSub"/>
        <w:spacing w:after="120"/>
      </w:pPr>
      <w:r>
        <w:t xml:space="preserve">Figure 5-29: </w:t>
      </w:r>
      <w:r w:rsidRPr="00AF0512">
        <w:t>Eastside Area</w:t>
      </w:r>
      <w:r>
        <w:t>,</w:t>
      </w:r>
      <w:r w:rsidRPr="00AF0512">
        <w:t xml:space="preserve"> </w:t>
      </w:r>
      <w:r>
        <w:t xml:space="preserve">Electric </w:t>
      </w:r>
      <w:r w:rsidRPr="00AF0512">
        <w:t>Normal Winter Peak</w:t>
      </w:r>
      <w:r>
        <w:t xml:space="preserve"> Growth</w:t>
      </w:r>
      <w:r w:rsidRPr="00AF0512">
        <w:t xml:space="preserve"> Forecast</w:t>
      </w:r>
      <w:r>
        <w:t xml:space="preserve"> (Table)</w:t>
      </w:r>
      <w:r w:rsidRPr="00AF0512">
        <w:t xml:space="preserve"> </w:t>
      </w:r>
    </w:p>
    <w:tbl>
      <w:tblPr>
        <w:tblW w:w="7624" w:type="dxa"/>
        <w:jc w:val="center"/>
        <w:tblInd w:w="-167" w:type="dxa"/>
        <w:tblLook w:val="04A0" w:firstRow="1" w:lastRow="0" w:firstColumn="1" w:lastColumn="0" w:noHBand="0" w:noVBand="1"/>
      </w:tblPr>
      <w:tblGrid>
        <w:gridCol w:w="2658"/>
        <w:gridCol w:w="1415"/>
        <w:gridCol w:w="1006"/>
        <w:gridCol w:w="1390"/>
        <w:gridCol w:w="1155"/>
      </w:tblGrid>
      <w:tr w:rsidR="00816B3B" w:rsidRPr="00713242" w14:paraId="088F0F56" w14:textId="77777777">
        <w:trPr>
          <w:trHeight w:val="300"/>
          <w:jc w:val="center"/>
        </w:trPr>
        <w:tc>
          <w:tcPr>
            <w:tcW w:w="2658" w:type="dxa"/>
            <w:tcBorders>
              <w:top w:val="single" w:sz="4" w:space="0" w:color="auto"/>
              <w:left w:val="single" w:sz="4" w:space="0" w:color="auto"/>
              <w:bottom w:val="nil"/>
              <w:right w:val="nil"/>
            </w:tcBorders>
            <w:shd w:val="clear" w:color="auto" w:fill="7F7F7F" w:themeFill="text1" w:themeFillTint="80"/>
            <w:noWrap/>
            <w:vAlign w:val="bottom"/>
          </w:tcPr>
          <w:p w14:paraId="2785628C" w14:textId="77777777" w:rsidR="00816B3B" w:rsidRPr="005C4660" w:rsidRDefault="00816B3B" w:rsidP="00816B3B">
            <w:pPr>
              <w:pStyle w:val="IRPsanstext"/>
              <w:rPr>
                <w:rFonts w:eastAsia="Times New Roman"/>
                <w:bCs/>
                <w:color w:val="FFFFFF" w:themeColor="background1"/>
              </w:rPr>
            </w:pPr>
            <w:r w:rsidRPr="005C4660">
              <w:rPr>
                <w:rFonts w:eastAsia="Times New Roman"/>
                <w:bCs/>
                <w:color w:val="FFFFFF" w:themeColor="background1"/>
              </w:rPr>
              <w:t> </w:t>
            </w:r>
          </w:p>
        </w:tc>
        <w:tc>
          <w:tcPr>
            <w:tcW w:w="2421" w:type="dxa"/>
            <w:gridSpan w:val="2"/>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432261BC" w14:textId="77777777" w:rsidR="00816B3B" w:rsidRPr="005C4660" w:rsidRDefault="00816B3B" w:rsidP="00615718">
            <w:pPr>
              <w:pStyle w:val="IRPsanstext"/>
              <w:jc w:val="center"/>
              <w:rPr>
                <w:rFonts w:eastAsia="Times New Roman"/>
                <w:b/>
                <w:bCs/>
                <w:color w:val="FFFFFF" w:themeColor="background1"/>
              </w:rPr>
            </w:pPr>
            <w:r w:rsidRPr="005C4660">
              <w:rPr>
                <w:rFonts w:eastAsia="Times New Roman"/>
                <w:b/>
                <w:bCs/>
                <w:color w:val="FFFFFF" w:themeColor="background1"/>
              </w:rPr>
              <w:t>2014-2024</w:t>
            </w:r>
          </w:p>
        </w:tc>
        <w:tc>
          <w:tcPr>
            <w:tcW w:w="2545" w:type="dxa"/>
            <w:gridSpan w:val="2"/>
            <w:tcBorders>
              <w:top w:val="single" w:sz="4" w:space="0" w:color="auto"/>
              <w:left w:val="nil"/>
              <w:bottom w:val="single" w:sz="4" w:space="0" w:color="auto"/>
              <w:right w:val="single" w:sz="4" w:space="0" w:color="000000"/>
            </w:tcBorders>
            <w:shd w:val="clear" w:color="auto" w:fill="7F7F7F" w:themeFill="text1" w:themeFillTint="80"/>
            <w:noWrap/>
            <w:vAlign w:val="bottom"/>
          </w:tcPr>
          <w:p w14:paraId="190C5113" w14:textId="77777777" w:rsidR="00816B3B" w:rsidRPr="005C4660" w:rsidRDefault="00816B3B" w:rsidP="00615718">
            <w:pPr>
              <w:pStyle w:val="IRPsanstext"/>
              <w:jc w:val="center"/>
              <w:rPr>
                <w:rFonts w:eastAsia="Times New Roman"/>
                <w:b/>
                <w:bCs/>
                <w:color w:val="FFFFFF" w:themeColor="background1"/>
              </w:rPr>
            </w:pPr>
            <w:r w:rsidRPr="005C4660">
              <w:rPr>
                <w:rFonts w:eastAsia="Times New Roman"/>
                <w:b/>
                <w:bCs/>
                <w:color w:val="FFFFFF" w:themeColor="background1"/>
              </w:rPr>
              <w:t>2014-2031</w:t>
            </w:r>
          </w:p>
        </w:tc>
      </w:tr>
      <w:tr w:rsidR="00816B3B" w:rsidRPr="00713242" w14:paraId="6D25C061" w14:textId="77777777">
        <w:trPr>
          <w:trHeight w:val="300"/>
          <w:jc w:val="center"/>
        </w:trPr>
        <w:tc>
          <w:tcPr>
            <w:tcW w:w="2658" w:type="dxa"/>
            <w:tcBorders>
              <w:top w:val="nil"/>
              <w:left w:val="single" w:sz="4" w:space="0" w:color="auto"/>
              <w:bottom w:val="single" w:sz="4" w:space="0" w:color="auto"/>
              <w:right w:val="nil"/>
            </w:tcBorders>
            <w:shd w:val="clear" w:color="auto" w:fill="156570"/>
            <w:noWrap/>
            <w:vAlign w:val="center"/>
          </w:tcPr>
          <w:p w14:paraId="734C0A04" w14:textId="77777777" w:rsidR="00816B3B" w:rsidRPr="00713242" w:rsidRDefault="00816B3B" w:rsidP="00A47CC2">
            <w:pPr>
              <w:pStyle w:val="IRPsanstext"/>
              <w:jc w:val="center"/>
              <w:rPr>
                <w:rFonts w:eastAsia="Times New Roman"/>
                <w:b/>
                <w:bCs/>
                <w:color w:val="FFFFFF" w:themeColor="background1"/>
              </w:rPr>
            </w:pPr>
            <w:r w:rsidRPr="00713242">
              <w:rPr>
                <w:rFonts w:eastAsia="Times New Roman"/>
                <w:b/>
                <w:bCs/>
                <w:color w:val="FFFFFF" w:themeColor="background1"/>
              </w:rPr>
              <w:t>SCENARIOS</w:t>
            </w:r>
          </w:p>
        </w:tc>
        <w:tc>
          <w:tcPr>
            <w:tcW w:w="1415" w:type="dxa"/>
            <w:tcBorders>
              <w:top w:val="nil"/>
              <w:left w:val="single" w:sz="4" w:space="0" w:color="auto"/>
              <w:bottom w:val="single" w:sz="4" w:space="0" w:color="auto"/>
              <w:right w:val="single" w:sz="4" w:space="0" w:color="auto"/>
            </w:tcBorders>
            <w:shd w:val="clear" w:color="auto" w:fill="156570"/>
            <w:noWrap/>
            <w:vAlign w:val="bottom"/>
          </w:tcPr>
          <w:p w14:paraId="47292900" w14:textId="77777777" w:rsidR="00816B3B" w:rsidRPr="00713242" w:rsidRDefault="00816B3B" w:rsidP="00615718">
            <w:pPr>
              <w:pStyle w:val="IRPsanstext"/>
              <w:jc w:val="center"/>
              <w:rPr>
                <w:rFonts w:eastAsia="Times New Roman"/>
                <w:b/>
                <w:bCs/>
                <w:color w:val="FFFFFF" w:themeColor="background1"/>
              </w:rPr>
            </w:pPr>
            <w:r w:rsidRPr="00713242">
              <w:rPr>
                <w:rFonts w:eastAsia="Times New Roman"/>
                <w:b/>
                <w:bCs/>
                <w:color w:val="FFFFFF" w:themeColor="background1"/>
              </w:rPr>
              <w:t>Average Annual Rate of Growth</w:t>
            </w:r>
          </w:p>
        </w:tc>
        <w:tc>
          <w:tcPr>
            <w:tcW w:w="1006" w:type="dxa"/>
            <w:tcBorders>
              <w:top w:val="nil"/>
              <w:left w:val="nil"/>
              <w:bottom w:val="single" w:sz="4" w:space="0" w:color="auto"/>
              <w:right w:val="single" w:sz="4" w:space="0" w:color="auto"/>
            </w:tcBorders>
            <w:shd w:val="clear" w:color="auto" w:fill="156570"/>
            <w:noWrap/>
            <w:vAlign w:val="bottom"/>
          </w:tcPr>
          <w:p w14:paraId="1116AE0F" w14:textId="77777777" w:rsidR="00816B3B" w:rsidRPr="00713242" w:rsidRDefault="00816B3B" w:rsidP="00615718">
            <w:pPr>
              <w:pStyle w:val="IRPsanstext"/>
              <w:jc w:val="center"/>
              <w:rPr>
                <w:rFonts w:eastAsia="Times New Roman"/>
                <w:b/>
                <w:bCs/>
                <w:color w:val="FFFFFF" w:themeColor="background1"/>
              </w:rPr>
            </w:pPr>
            <w:r w:rsidRPr="00713242">
              <w:rPr>
                <w:rFonts w:eastAsia="Times New Roman"/>
                <w:b/>
                <w:bCs/>
                <w:color w:val="FFFFFF" w:themeColor="background1"/>
              </w:rPr>
              <w:t>Demand Change</w:t>
            </w:r>
          </w:p>
        </w:tc>
        <w:tc>
          <w:tcPr>
            <w:tcW w:w="1390" w:type="dxa"/>
            <w:tcBorders>
              <w:top w:val="nil"/>
              <w:left w:val="nil"/>
              <w:bottom w:val="single" w:sz="4" w:space="0" w:color="auto"/>
              <w:right w:val="single" w:sz="4" w:space="0" w:color="auto"/>
            </w:tcBorders>
            <w:shd w:val="clear" w:color="auto" w:fill="156570"/>
            <w:noWrap/>
            <w:vAlign w:val="bottom"/>
          </w:tcPr>
          <w:p w14:paraId="2E202CBF" w14:textId="77777777" w:rsidR="00816B3B" w:rsidRPr="00713242" w:rsidRDefault="00816B3B" w:rsidP="00615718">
            <w:pPr>
              <w:pStyle w:val="IRPsanstext"/>
              <w:jc w:val="center"/>
              <w:rPr>
                <w:rFonts w:eastAsia="Times New Roman"/>
                <w:b/>
                <w:bCs/>
                <w:color w:val="FFFFFF" w:themeColor="background1"/>
              </w:rPr>
            </w:pPr>
            <w:r w:rsidRPr="00713242">
              <w:rPr>
                <w:rFonts w:eastAsia="Times New Roman"/>
                <w:b/>
                <w:bCs/>
                <w:color w:val="FFFFFF" w:themeColor="background1"/>
              </w:rPr>
              <w:t>Average Annual Rate of Growth</w:t>
            </w:r>
          </w:p>
        </w:tc>
        <w:tc>
          <w:tcPr>
            <w:tcW w:w="1155" w:type="dxa"/>
            <w:tcBorders>
              <w:top w:val="nil"/>
              <w:left w:val="nil"/>
              <w:bottom w:val="single" w:sz="4" w:space="0" w:color="auto"/>
              <w:right w:val="single" w:sz="4" w:space="0" w:color="auto"/>
            </w:tcBorders>
            <w:shd w:val="clear" w:color="auto" w:fill="156570"/>
            <w:noWrap/>
            <w:vAlign w:val="bottom"/>
          </w:tcPr>
          <w:p w14:paraId="2361772D" w14:textId="77777777" w:rsidR="00816B3B" w:rsidRPr="00713242" w:rsidRDefault="00816B3B" w:rsidP="00615718">
            <w:pPr>
              <w:pStyle w:val="IRPsanstext"/>
              <w:jc w:val="center"/>
              <w:rPr>
                <w:rFonts w:eastAsia="Times New Roman"/>
                <w:b/>
                <w:bCs/>
                <w:color w:val="FFFFFF" w:themeColor="background1"/>
              </w:rPr>
            </w:pPr>
            <w:r w:rsidRPr="00713242">
              <w:rPr>
                <w:rFonts w:eastAsia="Times New Roman"/>
                <w:b/>
                <w:bCs/>
                <w:color w:val="FFFFFF" w:themeColor="background1"/>
              </w:rPr>
              <w:t>Demand Change</w:t>
            </w:r>
          </w:p>
        </w:tc>
      </w:tr>
      <w:tr w:rsidR="00816B3B" w:rsidRPr="00713242" w14:paraId="61541888" w14:textId="77777777">
        <w:trPr>
          <w:trHeight w:val="300"/>
          <w:jc w:val="center"/>
        </w:trPr>
        <w:tc>
          <w:tcPr>
            <w:tcW w:w="2658" w:type="dxa"/>
            <w:tcBorders>
              <w:top w:val="nil"/>
              <w:left w:val="single" w:sz="4" w:space="0" w:color="auto"/>
              <w:bottom w:val="nil"/>
              <w:right w:val="nil"/>
            </w:tcBorders>
            <w:shd w:val="clear" w:color="auto" w:fill="FFFFFF" w:themeFill="background1"/>
            <w:noWrap/>
            <w:vAlign w:val="bottom"/>
          </w:tcPr>
          <w:p w14:paraId="5C522A92" w14:textId="77777777" w:rsidR="00816B3B" w:rsidRPr="00713242" w:rsidRDefault="00816B3B" w:rsidP="00816B3B">
            <w:pPr>
              <w:pStyle w:val="IRPsanstext"/>
              <w:rPr>
                <w:rFonts w:eastAsia="Times New Roman"/>
                <w:bCs/>
                <w:color w:val="000000" w:themeColor="text1"/>
              </w:rPr>
            </w:pPr>
            <w:r w:rsidRPr="00713242">
              <w:rPr>
                <w:rFonts w:eastAsia="Times New Roman"/>
                <w:bCs/>
                <w:color w:val="000000" w:themeColor="text1"/>
              </w:rPr>
              <w:t>Base After DSR</w:t>
            </w:r>
          </w:p>
        </w:tc>
        <w:tc>
          <w:tcPr>
            <w:tcW w:w="1415" w:type="dxa"/>
            <w:tcBorders>
              <w:top w:val="nil"/>
              <w:left w:val="single" w:sz="4" w:space="0" w:color="auto"/>
              <w:bottom w:val="nil"/>
              <w:right w:val="single" w:sz="4" w:space="0" w:color="auto"/>
            </w:tcBorders>
            <w:shd w:val="clear" w:color="auto" w:fill="auto"/>
            <w:noWrap/>
            <w:vAlign w:val="bottom"/>
          </w:tcPr>
          <w:p w14:paraId="5737FB14"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2.4%</w:t>
            </w:r>
          </w:p>
        </w:tc>
        <w:tc>
          <w:tcPr>
            <w:tcW w:w="1006" w:type="dxa"/>
            <w:tcBorders>
              <w:top w:val="nil"/>
              <w:left w:val="nil"/>
              <w:bottom w:val="nil"/>
              <w:right w:val="single" w:sz="4" w:space="0" w:color="auto"/>
            </w:tcBorders>
            <w:shd w:val="clear" w:color="auto" w:fill="auto"/>
            <w:noWrap/>
            <w:vAlign w:val="bottom"/>
          </w:tcPr>
          <w:p w14:paraId="19A81884"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164</w:t>
            </w:r>
          </w:p>
        </w:tc>
        <w:tc>
          <w:tcPr>
            <w:tcW w:w="1390" w:type="dxa"/>
            <w:tcBorders>
              <w:top w:val="nil"/>
              <w:left w:val="nil"/>
              <w:bottom w:val="nil"/>
              <w:right w:val="single" w:sz="4" w:space="0" w:color="auto"/>
            </w:tcBorders>
            <w:shd w:val="clear" w:color="auto" w:fill="auto"/>
            <w:noWrap/>
            <w:vAlign w:val="bottom"/>
          </w:tcPr>
          <w:p w14:paraId="60C14928"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2.5%</w:t>
            </w:r>
          </w:p>
        </w:tc>
        <w:tc>
          <w:tcPr>
            <w:tcW w:w="1155" w:type="dxa"/>
            <w:tcBorders>
              <w:top w:val="nil"/>
              <w:left w:val="nil"/>
              <w:bottom w:val="nil"/>
              <w:right w:val="single" w:sz="4" w:space="0" w:color="auto"/>
            </w:tcBorders>
            <w:shd w:val="clear" w:color="auto" w:fill="auto"/>
            <w:noWrap/>
            <w:vAlign w:val="bottom"/>
          </w:tcPr>
          <w:p w14:paraId="72206F20"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320</w:t>
            </w:r>
          </w:p>
        </w:tc>
      </w:tr>
      <w:tr w:rsidR="00816B3B" w:rsidRPr="00713242" w14:paraId="666A2149" w14:textId="77777777">
        <w:trPr>
          <w:trHeight w:val="300"/>
          <w:jc w:val="center"/>
        </w:trPr>
        <w:tc>
          <w:tcPr>
            <w:tcW w:w="2658" w:type="dxa"/>
            <w:tcBorders>
              <w:top w:val="nil"/>
              <w:left w:val="single" w:sz="4" w:space="0" w:color="auto"/>
              <w:bottom w:val="nil"/>
              <w:right w:val="nil"/>
            </w:tcBorders>
            <w:shd w:val="clear" w:color="auto" w:fill="FFFFFF" w:themeFill="background1"/>
            <w:noWrap/>
            <w:vAlign w:val="bottom"/>
          </w:tcPr>
          <w:p w14:paraId="723E079F" w14:textId="77777777" w:rsidR="00816B3B" w:rsidRPr="00713242" w:rsidRDefault="00816B3B" w:rsidP="00816B3B">
            <w:pPr>
              <w:pStyle w:val="IRPsanstext"/>
              <w:rPr>
                <w:rFonts w:eastAsia="Times New Roman"/>
                <w:bCs/>
                <w:color w:val="000000" w:themeColor="text1"/>
              </w:rPr>
            </w:pPr>
            <w:r w:rsidRPr="00713242">
              <w:rPr>
                <w:rFonts w:eastAsia="Times New Roman"/>
                <w:bCs/>
                <w:color w:val="000000" w:themeColor="text1"/>
              </w:rPr>
              <w:t>Base (no DSR)</w:t>
            </w:r>
          </w:p>
        </w:tc>
        <w:tc>
          <w:tcPr>
            <w:tcW w:w="1415" w:type="dxa"/>
            <w:tcBorders>
              <w:top w:val="nil"/>
              <w:left w:val="single" w:sz="4" w:space="0" w:color="auto"/>
              <w:bottom w:val="nil"/>
              <w:right w:val="single" w:sz="4" w:space="0" w:color="auto"/>
            </w:tcBorders>
            <w:shd w:val="clear" w:color="auto" w:fill="auto"/>
            <w:noWrap/>
            <w:vAlign w:val="bottom"/>
          </w:tcPr>
          <w:p w14:paraId="50B76662"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3.4%</w:t>
            </w:r>
          </w:p>
        </w:tc>
        <w:tc>
          <w:tcPr>
            <w:tcW w:w="1006" w:type="dxa"/>
            <w:tcBorders>
              <w:top w:val="nil"/>
              <w:left w:val="nil"/>
              <w:bottom w:val="nil"/>
              <w:right w:val="nil"/>
            </w:tcBorders>
            <w:shd w:val="clear" w:color="auto" w:fill="auto"/>
            <w:noWrap/>
            <w:vAlign w:val="bottom"/>
          </w:tcPr>
          <w:p w14:paraId="26DF8EC0"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256</w:t>
            </w:r>
          </w:p>
        </w:tc>
        <w:tc>
          <w:tcPr>
            <w:tcW w:w="1390" w:type="dxa"/>
            <w:tcBorders>
              <w:top w:val="nil"/>
              <w:left w:val="single" w:sz="4" w:space="0" w:color="auto"/>
              <w:bottom w:val="nil"/>
              <w:right w:val="single" w:sz="4" w:space="0" w:color="auto"/>
            </w:tcBorders>
            <w:shd w:val="clear" w:color="auto" w:fill="auto"/>
            <w:noWrap/>
            <w:vAlign w:val="bottom"/>
          </w:tcPr>
          <w:p w14:paraId="69742AB9"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3.1%</w:t>
            </w:r>
          </w:p>
        </w:tc>
        <w:tc>
          <w:tcPr>
            <w:tcW w:w="1155" w:type="dxa"/>
            <w:tcBorders>
              <w:top w:val="nil"/>
              <w:left w:val="nil"/>
              <w:bottom w:val="nil"/>
              <w:right w:val="single" w:sz="4" w:space="0" w:color="auto"/>
            </w:tcBorders>
            <w:shd w:val="clear" w:color="auto" w:fill="auto"/>
            <w:noWrap/>
            <w:vAlign w:val="bottom"/>
          </w:tcPr>
          <w:p w14:paraId="2897E648"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435</w:t>
            </w:r>
          </w:p>
        </w:tc>
      </w:tr>
      <w:tr w:rsidR="00816B3B" w:rsidRPr="00713242" w14:paraId="6B38B7B4" w14:textId="77777777">
        <w:trPr>
          <w:trHeight w:val="300"/>
          <w:jc w:val="center"/>
        </w:trPr>
        <w:tc>
          <w:tcPr>
            <w:tcW w:w="2658" w:type="dxa"/>
            <w:tcBorders>
              <w:top w:val="nil"/>
              <w:left w:val="single" w:sz="4" w:space="0" w:color="auto"/>
              <w:bottom w:val="single" w:sz="4" w:space="0" w:color="auto"/>
              <w:right w:val="nil"/>
            </w:tcBorders>
            <w:shd w:val="clear" w:color="auto" w:fill="FFFFFF" w:themeFill="background1"/>
            <w:noWrap/>
            <w:vAlign w:val="bottom"/>
          </w:tcPr>
          <w:p w14:paraId="108BD227" w14:textId="77777777" w:rsidR="00816B3B" w:rsidRPr="00713242" w:rsidRDefault="00816B3B" w:rsidP="00816B3B">
            <w:pPr>
              <w:pStyle w:val="IRPsanstext"/>
              <w:rPr>
                <w:rFonts w:eastAsia="Times New Roman"/>
                <w:bCs/>
                <w:color w:val="000000" w:themeColor="text1"/>
              </w:rPr>
            </w:pPr>
            <w:r w:rsidRPr="00713242">
              <w:rPr>
                <w:rFonts w:eastAsia="Times New Roman"/>
                <w:bCs/>
                <w:color w:val="000000" w:themeColor="text1"/>
              </w:rPr>
              <w:t>Base (extreme peak)</w:t>
            </w:r>
          </w:p>
        </w:tc>
        <w:tc>
          <w:tcPr>
            <w:tcW w:w="1415" w:type="dxa"/>
            <w:tcBorders>
              <w:top w:val="nil"/>
              <w:left w:val="single" w:sz="4" w:space="0" w:color="auto"/>
              <w:bottom w:val="single" w:sz="4" w:space="0" w:color="auto"/>
              <w:right w:val="single" w:sz="4" w:space="0" w:color="auto"/>
            </w:tcBorders>
            <w:shd w:val="clear" w:color="auto" w:fill="auto"/>
            <w:noWrap/>
            <w:vAlign w:val="bottom"/>
          </w:tcPr>
          <w:p w14:paraId="5F09D378"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2.3%</w:t>
            </w:r>
          </w:p>
        </w:tc>
        <w:tc>
          <w:tcPr>
            <w:tcW w:w="1006" w:type="dxa"/>
            <w:tcBorders>
              <w:top w:val="nil"/>
              <w:left w:val="nil"/>
              <w:bottom w:val="single" w:sz="4" w:space="0" w:color="auto"/>
              <w:right w:val="single" w:sz="4" w:space="0" w:color="auto"/>
            </w:tcBorders>
            <w:shd w:val="clear" w:color="auto" w:fill="auto"/>
            <w:noWrap/>
            <w:vAlign w:val="bottom"/>
          </w:tcPr>
          <w:p w14:paraId="1702905E"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166</w:t>
            </w:r>
          </w:p>
        </w:tc>
        <w:tc>
          <w:tcPr>
            <w:tcW w:w="1390" w:type="dxa"/>
            <w:tcBorders>
              <w:top w:val="nil"/>
              <w:left w:val="nil"/>
              <w:bottom w:val="single" w:sz="4" w:space="0" w:color="auto"/>
              <w:right w:val="single" w:sz="4" w:space="0" w:color="auto"/>
            </w:tcBorders>
            <w:shd w:val="clear" w:color="auto" w:fill="auto"/>
            <w:noWrap/>
            <w:vAlign w:val="bottom"/>
          </w:tcPr>
          <w:p w14:paraId="58691D98"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2.4%</w:t>
            </w:r>
          </w:p>
        </w:tc>
        <w:tc>
          <w:tcPr>
            <w:tcW w:w="1155" w:type="dxa"/>
            <w:tcBorders>
              <w:top w:val="nil"/>
              <w:left w:val="nil"/>
              <w:bottom w:val="single" w:sz="4" w:space="0" w:color="auto"/>
              <w:right w:val="single" w:sz="4" w:space="0" w:color="auto"/>
            </w:tcBorders>
            <w:shd w:val="clear" w:color="auto" w:fill="auto"/>
            <w:noWrap/>
            <w:vAlign w:val="bottom"/>
          </w:tcPr>
          <w:p w14:paraId="53A139F1"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327</w:t>
            </w:r>
          </w:p>
        </w:tc>
      </w:tr>
    </w:tbl>
    <w:p w14:paraId="79EC5678" w14:textId="77777777" w:rsidR="00816B3B" w:rsidRDefault="00816B3B" w:rsidP="00816B3B">
      <w:pPr>
        <w:pStyle w:val="IRPsanstext"/>
      </w:pPr>
    </w:p>
    <w:p w14:paraId="7ABE30F4" w14:textId="77777777" w:rsidR="004D0808" w:rsidRDefault="004D0808">
      <w:pPr>
        <w:rPr>
          <w:rFonts w:ascii="Arial" w:hAnsi="Arial"/>
          <w:sz w:val="20"/>
          <w:szCs w:val="20"/>
        </w:rPr>
      </w:pPr>
      <w:r>
        <w:br w:type="page"/>
      </w:r>
    </w:p>
    <w:p w14:paraId="6C9D9AE4" w14:textId="77777777" w:rsidR="004D0808" w:rsidRPr="00E8205F" w:rsidRDefault="004D0808" w:rsidP="004D0808">
      <w:pPr>
        <w:pStyle w:val="IRPsecthead2sans"/>
      </w:pPr>
      <w:r w:rsidRPr="00E8205F">
        <w:lastRenderedPageBreak/>
        <w:t>GAS DEMAND FORECAST</w:t>
      </w:r>
    </w:p>
    <w:p w14:paraId="754C0E7E" w14:textId="77777777" w:rsidR="004D0808" w:rsidRDefault="004D0808" w:rsidP="004D0808">
      <w:pPr>
        <w:pStyle w:val="IRPsanstext"/>
      </w:pPr>
    </w:p>
    <w:p w14:paraId="01D4E6BF" w14:textId="77777777" w:rsidR="004D0808" w:rsidRPr="00E8205F" w:rsidRDefault="004D0808" w:rsidP="004D0808">
      <w:pPr>
        <w:pStyle w:val="IRPsanstext"/>
      </w:pPr>
      <w:r w:rsidRPr="00E8205F">
        <w:t>Highlights of the system-level base, high and low demand forecasts developed for PSE’s gas sales service are presented below.</w:t>
      </w:r>
      <w:r w:rsidRPr="00E8205F">
        <w:rPr>
          <w:color w:val="FF0000"/>
        </w:rPr>
        <w:t xml:space="preserve"> </w:t>
      </w:r>
      <w:r w:rsidRPr="00E8205F">
        <w:t xml:space="preserve">The gas demand forecasts include only demand-side resources implemented through December 2015, since the demand forecast itself helps to determine the most cost-effective level of DSR to include in the portfolio. </w:t>
      </w:r>
    </w:p>
    <w:p w14:paraId="5FA4E14F" w14:textId="77777777" w:rsidR="004D0808" w:rsidRPr="004D0808" w:rsidRDefault="004D0808" w:rsidP="004D0808">
      <w:pPr>
        <w:pStyle w:val="IRPsanstext"/>
        <w:rPr>
          <w:color w:val="156570"/>
        </w:rPr>
      </w:pPr>
    </w:p>
    <w:p w14:paraId="53648F2F" w14:textId="77777777" w:rsidR="004D0808" w:rsidRDefault="004D0808" w:rsidP="004D0808">
      <w:pPr>
        <w:pStyle w:val="IRPsanstext"/>
      </w:pPr>
      <w:r w:rsidRPr="004D0808">
        <w:rPr>
          <w:b/>
          <w:color w:val="156570"/>
          <w:sz w:val="28"/>
        </w:rPr>
        <w:t>Gas Load Growth.</w:t>
      </w:r>
      <w:r w:rsidRPr="00D41E3C">
        <w:rPr>
          <w:color w:val="31849B"/>
          <w:sz w:val="28"/>
        </w:rPr>
        <w:t xml:space="preserve"> </w:t>
      </w:r>
      <w:r w:rsidRPr="007A7733">
        <w:t xml:space="preserve">The 2015 IRP Gas Base Demand Forecast is a forecast of </w:t>
      </w:r>
      <w:r>
        <w:t>both</w:t>
      </w:r>
      <w:r w:rsidRPr="007A7733">
        <w:t xml:space="preserve"> firm and interruptible loads</w:t>
      </w:r>
      <w:r>
        <w:t>,</w:t>
      </w:r>
      <w:r w:rsidRPr="007A7733">
        <w:t xml:space="preserve"> because this is the volume </w:t>
      </w:r>
      <w:r>
        <w:t xml:space="preserve">of natural gas </w:t>
      </w:r>
      <w:r w:rsidRPr="007A7733">
        <w:t>that PSE is responsible for securing and delivering to customer</w:t>
      </w:r>
      <w:r>
        <w:t>s.</w:t>
      </w:r>
      <w:r w:rsidRPr="007A7733">
        <w:t xml:space="preserve"> </w:t>
      </w:r>
      <w:r>
        <w:t xml:space="preserve">For distribution planning, however, transport loads must be included in total load; transport customers purchase their own natural gas, but contract with PSE for delivery. </w:t>
      </w:r>
    </w:p>
    <w:p w14:paraId="53D5D5BD" w14:textId="77777777" w:rsidR="004D0808" w:rsidRDefault="004D0808" w:rsidP="004D0808">
      <w:pPr>
        <w:pStyle w:val="IRPsanstext"/>
      </w:pPr>
    </w:p>
    <w:p w14:paraId="4D75A16E" w14:textId="77777777" w:rsidR="004D0808" w:rsidRPr="000248FA" w:rsidRDefault="004D0808" w:rsidP="004D0808">
      <w:pPr>
        <w:pStyle w:val="IRPsanstext"/>
      </w:pPr>
      <w:r>
        <w:t>In t</w:t>
      </w:r>
      <w:r w:rsidRPr="00D360BC">
        <w:t xml:space="preserve">he </w:t>
      </w:r>
      <w:r>
        <w:t xml:space="preserve">2015 </w:t>
      </w:r>
      <w:r w:rsidR="00C02EDD">
        <w:t xml:space="preserve">IRP </w:t>
      </w:r>
      <w:r>
        <w:t xml:space="preserve">Base Demand Forecast, load is projected to grow 1.7 percent per year on average from 2016 to 2035; this would increase load from around 99,000 Mdth in 2016 to 137,000 Mdth in 2035. This rate of load growth is slightly lower than the 2013 </w:t>
      </w:r>
      <w:r w:rsidR="00C02EDD">
        <w:t xml:space="preserve">IRP </w:t>
      </w:r>
      <w:r>
        <w:t>Base Demand Forecast, which had an annual growth rate of 1.8 percent (2014 to 2033).</w:t>
      </w:r>
    </w:p>
    <w:p w14:paraId="34BED6C6" w14:textId="77777777" w:rsidR="004D0808" w:rsidRDefault="004D0808" w:rsidP="004D0808">
      <w:pPr>
        <w:pStyle w:val="IRPsanstext"/>
      </w:pPr>
    </w:p>
    <w:p w14:paraId="18422D4B" w14:textId="77777777" w:rsidR="004D0808" w:rsidRDefault="004D0808" w:rsidP="004D0808">
      <w:pPr>
        <w:pStyle w:val="IRPsanstext"/>
      </w:pPr>
      <w:r>
        <w:t xml:space="preserve">The 2015 IRP High Gas Demand Forecast projects an average annual growth of 2.1 percent; the Low Demand Forecast projects a growth rate of 1.4 percent per year. </w:t>
      </w:r>
    </w:p>
    <w:p w14:paraId="3DD05509" w14:textId="77777777" w:rsidR="0068280F" w:rsidRDefault="0068280F">
      <w:pPr>
        <w:rPr>
          <w:rFonts w:ascii="Arial" w:hAnsi="Arial"/>
          <w:sz w:val="20"/>
          <w:szCs w:val="20"/>
        </w:rPr>
      </w:pPr>
      <w:r>
        <w:br w:type="page"/>
      </w:r>
    </w:p>
    <w:p w14:paraId="4E5B799E" w14:textId="77777777" w:rsidR="004D0808" w:rsidRDefault="004D0808" w:rsidP="004D0808">
      <w:pPr>
        <w:pStyle w:val="IRPFigureSub"/>
      </w:pPr>
      <w:r w:rsidRPr="006A34F0">
        <w:lastRenderedPageBreak/>
        <w:t xml:space="preserve">Figure </w:t>
      </w:r>
      <w:r>
        <w:t>5</w:t>
      </w:r>
      <w:r w:rsidRPr="006A34F0">
        <w:t>-</w:t>
      </w:r>
      <w:r>
        <w:t xml:space="preserve">30: </w:t>
      </w:r>
      <w:r w:rsidRPr="006A34F0">
        <w:t xml:space="preserve">Gas </w:t>
      </w:r>
      <w:r>
        <w:t>Demand</w:t>
      </w:r>
      <w:r w:rsidRPr="006A34F0">
        <w:t xml:space="preserve"> Forecast</w:t>
      </w:r>
      <w:r>
        <w:t xml:space="preserve"> before DSR  </w:t>
      </w:r>
    </w:p>
    <w:p w14:paraId="265582D5" w14:textId="77777777" w:rsidR="004D0808" w:rsidRDefault="0068280F" w:rsidP="0068280F">
      <w:pPr>
        <w:pStyle w:val="IRPFigureSub"/>
      </w:pPr>
      <w:r>
        <w:rPr>
          <w:noProof/>
          <w:lang w:eastAsia="en-US"/>
        </w:rPr>
        <w:drawing>
          <wp:anchor distT="0" distB="0" distL="114300" distR="114300" simplePos="0" relativeHeight="251685888" behindDoc="0" locked="0" layoutInCell="1" allowOverlap="1" wp14:anchorId="5FF5D80F" wp14:editId="756E9E3F">
            <wp:simplePos x="0" y="0"/>
            <wp:positionH relativeFrom="column">
              <wp:posOffset>65405</wp:posOffset>
            </wp:positionH>
            <wp:positionV relativeFrom="paragraph">
              <wp:posOffset>280670</wp:posOffset>
            </wp:positionV>
            <wp:extent cx="5281295" cy="3924935"/>
            <wp:effectExtent l="0" t="0" r="1905" b="12065"/>
            <wp:wrapTopAndBottom/>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1295" cy="3924935"/>
                    </a:xfrm>
                    <a:prstGeom prst="rect">
                      <a:avLst/>
                    </a:prstGeom>
                    <a:noFill/>
                  </pic:spPr>
                </pic:pic>
              </a:graphicData>
            </a:graphic>
          </wp:anchor>
        </w:drawing>
      </w:r>
      <w:r w:rsidR="004D0808">
        <w:t>Base, High and Low</w:t>
      </w:r>
      <w:r w:rsidR="004D0808" w:rsidRPr="006A34F0">
        <w:t xml:space="preserve"> Scenarios,</w:t>
      </w:r>
      <w:r w:rsidR="004D0808">
        <w:t xml:space="preserve"> without Transport</w:t>
      </w:r>
      <w:r w:rsidR="004D0808" w:rsidRPr="006A34F0">
        <w:t xml:space="preserve"> </w:t>
      </w:r>
      <w:r w:rsidR="004D0808">
        <w:t xml:space="preserve">Load </w:t>
      </w:r>
      <w:r w:rsidR="004D0808" w:rsidRPr="006A34F0">
        <w:t>(</w:t>
      </w:r>
      <w:proofErr w:type="spellStart"/>
      <w:r w:rsidR="004D0808" w:rsidRPr="009F45E6">
        <w:t>Mdth</w:t>
      </w:r>
      <w:proofErr w:type="spellEnd"/>
      <w:r w:rsidR="004D0808">
        <w:t>)</w:t>
      </w:r>
    </w:p>
    <w:p w14:paraId="3988F674" w14:textId="77777777" w:rsidR="004D0808" w:rsidRPr="00C239B5" w:rsidRDefault="004D0808" w:rsidP="004D0808">
      <w:pPr>
        <w:pStyle w:val="IRPFigureSub"/>
      </w:pPr>
    </w:p>
    <w:p w14:paraId="56638825" w14:textId="77777777" w:rsidR="0068280F" w:rsidRPr="00615718" w:rsidRDefault="0068280F" w:rsidP="00615718">
      <w:pPr>
        <w:pStyle w:val="IRPFigureSub"/>
        <w:spacing w:after="120"/>
      </w:pPr>
      <w:r w:rsidRPr="008B1471">
        <w:t xml:space="preserve">Figure </w:t>
      </w:r>
      <w:r>
        <w:t>5</w:t>
      </w:r>
      <w:r w:rsidRPr="00947285">
        <w:t>-</w:t>
      </w:r>
      <w:r>
        <w:t xml:space="preserve">31: </w:t>
      </w:r>
      <w:r w:rsidRPr="00947285">
        <w:t xml:space="preserve">Gas </w:t>
      </w:r>
      <w:r>
        <w:t>Demand</w:t>
      </w:r>
      <w:r w:rsidRPr="00947285">
        <w:t xml:space="preserve"> </w:t>
      </w:r>
      <w:r>
        <w:t xml:space="preserve">Forecast before DSR (Table) </w:t>
      </w:r>
      <w:r w:rsidR="00615718">
        <w:br/>
      </w:r>
      <w:r>
        <w:t xml:space="preserve">Base, High and Low Scenarios without Transport Load </w:t>
      </w:r>
      <w:r w:rsidRPr="00850058">
        <w:t>(</w:t>
      </w:r>
      <w:proofErr w:type="spellStart"/>
      <w:r w:rsidRPr="00850058">
        <w:t>Mdth</w:t>
      </w:r>
      <w:proofErr w:type="spellEnd"/>
      <w:r w:rsidRPr="00850058">
        <w:t xml:space="preserve">) </w:t>
      </w:r>
    </w:p>
    <w:tbl>
      <w:tblPr>
        <w:tblW w:w="8460" w:type="dxa"/>
        <w:tblInd w:w="198" w:type="dxa"/>
        <w:tblLayout w:type="fixed"/>
        <w:tblLook w:val="04A0" w:firstRow="1" w:lastRow="0" w:firstColumn="1" w:lastColumn="0" w:noHBand="0" w:noVBand="1"/>
      </w:tblPr>
      <w:tblGrid>
        <w:gridCol w:w="1800"/>
        <w:gridCol w:w="1080"/>
        <w:gridCol w:w="1080"/>
        <w:gridCol w:w="990"/>
        <w:gridCol w:w="1170"/>
        <w:gridCol w:w="990"/>
        <w:gridCol w:w="1350"/>
      </w:tblGrid>
      <w:tr w:rsidR="0068280F" w:rsidRPr="00713242" w14:paraId="76854FF8" w14:textId="77777777">
        <w:trPr>
          <w:trHeight w:val="300"/>
        </w:trPr>
        <w:tc>
          <w:tcPr>
            <w:tcW w:w="8460"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436AE2A3" w14:textId="77777777" w:rsidR="0068280F" w:rsidRPr="005C4660" w:rsidRDefault="0068280F" w:rsidP="00713242">
            <w:pPr>
              <w:jc w:val="center"/>
              <w:rPr>
                <w:rFonts w:ascii="Arial" w:eastAsia="Times New Roman" w:hAnsi="Arial"/>
                <w:b/>
                <w:bCs/>
                <w:color w:val="FFFFFF" w:themeColor="background1"/>
                <w:sz w:val="20"/>
                <w:szCs w:val="20"/>
                <w:lang w:eastAsia="en-US"/>
              </w:rPr>
            </w:pPr>
            <w:r w:rsidRPr="005C4660">
              <w:rPr>
                <w:rFonts w:ascii="Arial" w:eastAsia="Times New Roman" w:hAnsi="Arial"/>
                <w:b/>
                <w:bCs/>
                <w:color w:val="FFFFFF" w:themeColor="background1"/>
                <w:sz w:val="20"/>
                <w:szCs w:val="20"/>
                <w:lang w:eastAsia="en-US"/>
              </w:rPr>
              <w:t>GAS LOAD FORECAST SCENARIOS (</w:t>
            </w:r>
            <w:proofErr w:type="spellStart"/>
            <w:r w:rsidRPr="005C4660">
              <w:rPr>
                <w:rFonts w:ascii="Arial" w:eastAsia="Times New Roman" w:hAnsi="Arial"/>
                <w:b/>
                <w:bCs/>
                <w:color w:val="FFFFFF" w:themeColor="background1"/>
                <w:sz w:val="20"/>
                <w:szCs w:val="20"/>
                <w:lang w:eastAsia="en-US"/>
              </w:rPr>
              <w:t>Mdth</w:t>
            </w:r>
            <w:proofErr w:type="spellEnd"/>
            <w:r w:rsidRPr="005C4660">
              <w:rPr>
                <w:rFonts w:ascii="Arial" w:eastAsia="Times New Roman" w:hAnsi="Arial"/>
                <w:b/>
                <w:bCs/>
                <w:color w:val="FFFFFF" w:themeColor="background1"/>
                <w:sz w:val="20"/>
                <w:szCs w:val="20"/>
                <w:lang w:eastAsia="en-US"/>
              </w:rPr>
              <w:t>), WITHOUT TRANSPORT</w:t>
            </w:r>
          </w:p>
        </w:tc>
      </w:tr>
      <w:tr w:rsidR="0068280F" w:rsidRPr="00713242" w14:paraId="6BC8216D" w14:textId="77777777">
        <w:trPr>
          <w:trHeight w:val="675"/>
        </w:trPr>
        <w:tc>
          <w:tcPr>
            <w:tcW w:w="1800" w:type="dxa"/>
            <w:tcBorders>
              <w:top w:val="nil"/>
              <w:left w:val="single" w:sz="4" w:space="0" w:color="auto"/>
              <w:bottom w:val="single" w:sz="4" w:space="0" w:color="auto"/>
              <w:right w:val="single" w:sz="4" w:space="0" w:color="auto"/>
            </w:tcBorders>
            <w:shd w:val="clear" w:color="auto" w:fill="156570"/>
            <w:noWrap/>
            <w:vAlign w:val="center"/>
          </w:tcPr>
          <w:p w14:paraId="7359C53E"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Scenario</w:t>
            </w:r>
          </w:p>
        </w:tc>
        <w:tc>
          <w:tcPr>
            <w:tcW w:w="1080" w:type="dxa"/>
            <w:tcBorders>
              <w:top w:val="nil"/>
              <w:left w:val="nil"/>
              <w:bottom w:val="single" w:sz="4" w:space="0" w:color="auto"/>
              <w:right w:val="single" w:sz="4" w:space="0" w:color="auto"/>
            </w:tcBorders>
            <w:shd w:val="clear" w:color="auto" w:fill="156570"/>
            <w:noWrap/>
            <w:vAlign w:val="center"/>
          </w:tcPr>
          <w:p w14:paraId="55F0C7F2"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2016</w:t>
            </w:r>
          </w:p>
        </w:tc>
        <w:tc>
          <w:tcPr>
            <w:tcW w:w="1080" w:type="dxa"/>
            <w:tcBorders>
              <w:top w:val="nil"/>
              <w:left w:val="nil"/>
              <w:bottom w:val="single" w:sz="4" w:space="0" w:color="auto"/>
              <w:right w:val="single" w:sz="4" w:space="0" w:color="auto"/>
            </w:tcBorders>
            <w:shd w:val="clear" w:color="auto" w:fill="156570"/>
            <w:noWrap/>
            <w:vAlign w:val="center"/>
          </w:tcPr>
          <w:p w14:paraId="11336276"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2020</w:t>
            </w:r>
          </w:p>
        </w:tc>
        <w:tc>
          <w:tcPr>
            <w:tcW w:w="990" w:type="dxa"/>
            <w:tcBorders>
              <w:top w:val="nil"/>
              <w:left w:val="nil"/>
              <w:bottom w:val="single" w:sz="4" w:space="0" w:color="auto"/>
              <w:right w:val="single" w:sz="4" w:space="0" w:color="auto"/>
            </w:tcBorders>
            <w:shd w:val="clear" w:color="auto" w:fill="156570"/>
            <w:noWrap/>
            <w:vAlign w:val="center"/>
          </w:tcPr>
          <w:p w14:paraId="7B5510A5"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2025</w:t>
            </w:r>
          </w:p>
        </w:tc>
        <w:tc>
          <w:tcPr>
            <w:tcW w:w="1170" w:type="dxa"/>
            <w:tcBorders>
              <w:top w:val="nil"/>
              <w:left w:val="nil"/>
              <w:bottom w:val="single" w:sz="4" w:space="0" w:color="auto"/>
              <w:right w:val="single" w:sz="4" w:space="0" w:color="auto"/>
            </w:tcBorders>
            <w:shd w:val="clear" w:color="auto" w:fill="156570"/>
            <w:noWrap/>
            <w:vAlign w:val="center"/>
          </w:tcPr>
          <w:p w14:paraId="096C8A99"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240DBE6A"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2035</w:t>
            </w:r>
          </w:p>
        </w:tc>
        <w:tc>
          <w:tcPr>
            <w:tcW w:w="1350" w:type="dxa"/>
            <w:tcBorders>
              <w:top w:val="nil"/>
              <w:left w:val="nil"/>
              <w:bottom w:val="single" w:sz="4" w:space="0" w:color="auto"/>
              <w:right w:val="single" w:sz="4" w:space="0" w:color="auto"/>
            </w:tcBorders>
            <w:shd w:val="clear" w:color="auto" w:fill="156570"/>
            <w:vAlign w:val="center"/>
          </w:tcPr>
          <w:p w14:paraId="3E4EB024"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 xml:space="preserve">AARG </w:t>
            </w:r>
            <w:r w:rsidRPr="008B5F11">
              <w:rPr>
                <w:rFonts w:ascii="Arial" w:eastAsia="Times New Roman" w:hAnsi="Arial"/>
                <w:b/>
                <w:color w:val="FFFFFF" w:themeColor="background1"/>
                <w:sz w:val="20"/>
                <w:szCs w:val="20"/>
                <w:lang w:eastAsia="en-US"/>
              </w:rPr>
              <w:br/>
              <w:t>2016-2035</w:t>
            </w:r>
          </w:p>
        </w:tc>
      </w:tr>
      <w:tr w:rsidR="0068280F" w:rsidRPr="00713242" w14:paraId="0077BDD4" w14:textId="77777777">
        <w:trPr>
          <w:trHeight w:val="885"/>
        </w:trPr>
        <w:tc>
          <w:tcPr>
            <w:tcW w:w="1800" w:type="dxa"/>
            <w:tcBorders>
              <w:top w:val="nil"/>
              <w:left w:val="single" w:sz="4" w:space="0" w:color="auto"/>
              <w:bottom w:val="single" w:sz="4" w:space="0" w:color="auto"/>
              <w:right w:val="single" w:sz="4" w:space="0" w:color="auto"/>
            </w:tcBorders>
            <w:shd w:val="clear" w:color="auto" w:fill="auto"/>
            <w:vAlign w:val="center"/>
          </w:tcPr>
          <w:p w14:paraId="77B75652" w14:textId="77777777" w:rsidR="0068280F" w:rsidRPr="00713242" w:rsidRDefault="0068280F" w:rsidP="008B5F11">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 xml:space="preserve">2015 IRP </w:t>
            </w:r>
            <w:r w:rsidR="008B5F11">
              <w:rPr>
                <w:rFonts w:ascii="Arial" w:eastAsia="Times New Roman" w:hAnsi="Arial"/>
                <w:color w:val="474C55"/>
                <w:sz w:val="20"/>
                <w:szCs w:val="20"/>
                <w:lang w:eastAsia="en-US"/>
              </w:rPr>
              <w:t xml:space="preserve">     </w:t>
            </w:r>
            <w:r w:rsidRPr="00713242">
              <w:rPr>
                <w:rFonts w:ascii="Arial" w:eastAsia="Times New Roman" w:hAnsi="Arial"/>
                <w:color w:val="474C55"/>
                <w:sz w:val="20"/>
                <w:szCs w:val="20"/>
                <w:lang w:eastAsia="en-US"/>
              </w:rPr>
              <w:t>Base Demand Forecast</w:t>
            </w:r>
          </w:p>
        </w:tc>
        <w:tc>
          <w:tcPr>
            <w:tcW w:w="1080" w:type="dxa"/>
            <w:tcBorders>
              <w:top w:val="nil"/>
              <w:left w:val="nil"/>
              <w:bottom w:val="single" w:sz="4" w:space="0" w:color="auto"/>
              <w:right w:val="single" w:sz="4" w:space="0" w:color="auto"/>
            </w:tcBorders>
            <w:shd w:val="clear" w:color="auto" w:fill="auto"/>
            <w:noWrap/>
            <w:vAlign w:val="center"/>
          </w:tcPr>
          <w:p w14:paraId="4F776E37"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99,232</w:t>
            </w:r>
          </w:p>
        </w:tc>
        <w:tc>
          <w:tcPr>
            <w:tcW w:w="1080" w:type="dxa"/>
            <w:tcBorders>
              <w:top w:val="nil"/>
              <w:left w:val="nil"/>
              <w:bottom w:val="single" w:sz="4" w:space="0" w:color="auto"/>
              <w:right w:val="single" w:sz="4" w:space="0" w:color="auto"/>
            </w:tcBorders>
            <w:shd w:val="clear" w:color="auto" w:fill="auto"/>
            <w:noWrap/>
            <w:vAlign w:val="center"/>
          </w:tcPr>
          <w:p w14:paraId="33CC1982"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106,171</w:t>
            </w:r>
          </w:p>
        </w:tc>
        <w:tc>
          <w:tcPr>
            <w:tcW w:w="990" w:type="dxa"/>
            <w:tcBorders>
              <w:top w:val="nil"/>
              <w:left w:val="nil"/>
              <w:bottom w:val="single" w:sz="4" w:space="0" w:color="auto"/>
              <w:right w:val="single" w:sz="4" w:space="0" w:color="auto"/>
            </w:tcBorders>
            <w:shd w:val="clear" w:color="auto" w:fill="auto"/>
            <w:noWrap/>
            <w:vAlign w:val="center"/>
          </w:tcPr>
          <w:p w14:paraId="37FB6EC9"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114,010</w:t>
            </w:r>
          </w:p>
        </w:tc>
        <w:tc>
          <w:tcPr>
            <w:tcW w:w="1170" w:type="dxa"/>
            <w:tcBorders>
              <w:top w:val="nil"/>
              <w:left w:val="nil"/>
              <w:bottom w:val="single" w:sz="4" w:space="0" w:color="auto"/>
              <w:right w:val="single" w:sz="4" w:space="0" w:color="auto"/>
            </w:tcBorders>
            <w:shd w:val="clear" w:color="auto" w:fill="auto"/>
            <w:noWrap/>
            <w:vAlign w:val="center"/>
          </w:tcPr>
          <w:p w14:paraId="43D5F7B3"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124,200</w:t>
            </w:r>
          </w:p>
        </w:tc>
        <w:tc>
          <w:tcPr>
            <w:tcW w:w="990" w:type="dxa"/>
            <w:tcBorders>
              <w:top w:val="nil"/>
              <w:left w:val="nil"/>
              <w:bottom w:val="single" w:sz="4" w:space="0" w:color="auto"/>
              <w:right w:val="single" w:sz="4" w:space="0" w:color="auto"/>
            </w:tcBorders>
            <w:shd w:val="clear" w:color="auto" w:fill="auto"/>
            <w:noWrap/>
            <w:vAlign w:val="center"/>
          </w:tcPr>
          <w:p w14:paraId="028C7056"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137,126</w:t>
            </w:r>
          </w:p>
        </w:tc>
        <w:tc>
          <w:tcPr>
            <w:tcW w:w="1350" w:type="dxa"/>
            <w:tcBorders>
              <w:top w:val="nil"/>
              <w:left w:val="nil"/>
              <w:bottom w:val="single" w:sz="4" w:space="0" w:color="auto"/>
              <w:right w:val="single" w:sz="4" w:space="0" w:color="auto"/>
            </w:tcBorders>
            <w:shd w:val="clear" w:color="auto" w:fill="auto"/>
            <w:noWrap/>
            <w:vAlign w:val="center"/>
          </w:tcPr>
          <w:p w14:paraId="60BE52B4"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1.7%</w:t>
            </w:r>
          </w:p>
        </w:tc>
      </w:tr>
      <w:tr w:rsidR="0068280F" w:rsidRPr="00713242" w14:paraId="2A284289" w14:textId="77777777">
        <w:trPr>
          <w:trHeight w:val="900"/>
        </w:trPr>
        <w:tc>
          <w:tcPr>
            <w:tcW w:w="1800" w:type="dxa"/>
            <w:tcBorders>
              <w:top w:val="nil"/>
              <w:left w:val="single" w:sz="4" w:space="0" w:color="auto"/>
              <w:bottom w:val="single" w:sz="4" w:space="0" w:color="auto"/>
              <w:right w:val="single" w:sz="4" w:space="0" w:color="auto"/>
            </w:tcBorders>
            <w:shd w:val="clear" w:color="auto" w:fill="auto"/>
            <w:vAlign w:val="center"/>
          </w:tcPr>
          <w:p w14:paraId="0CBA30DB"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 xml:space="preserve">2015 IRP </w:t>
            </w:r>
            <w:r w:rsidR="008B5F11">
              <w:rPr>
                <w:rFonts w:ascii="Arial" w:eastAsia="Times New Roman" w:hAnsi="Arial"/>
                <w:color w:val="474C55"/>
                <w:sz w:val="20"/>
                <w:szCs w:val="20"/>
                <w:lang w:eastAsia="en-US"/>
              </w:rPr>
              <w:t xml:space="preserve">      </w:t>
            </w:r>
            <w:r w:rsidRPr="00713242">
              <w:rPr>
                <w:rFonts w:ascii="Arial" w:eastAsia="Times New Roman" w:hAnsi="Arial"/>
                <w:color w:val="474C55"/>
                <w:sz w:val="20"/>
                <w:szCs w:val="20"/>
                <w:lang w:eastAsia="en-US"/>
              </w:rPr>
              <w:t>High Demand Forecast</w:t>
            </w:r>
          </w:p>
        </w:tc>
        <w:tc>
          <w:tcPr>
            <w:tcW w:w="1080" w:type="dxa"/>
            <w:tcBorders>
              <w:top w:val="nil"/>
              <w:left w:val="nil"/>
              <w:bottom w:val="single" w:sz="4" w:space="0" w:color="auto"/>
              <w:right w:val="single" w:sz="4" w:space="0" w:color="auto"/>
            </w:tcBorders>
            <w:shd w:val="clear" w:color="auto" w:fill="auto"/>
            <w:noWrap/>
            <w:vAlign w:val="center"/>
          </w:tcPr>
          <w:p w14:paraId="5DF0F5EF"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104,603</w:t>
            </w:r>
          </w:p>
        </w:tc>
        <w:tc>
          <w:tcPr>
            <w:tcW w:w="1080" w:type="dxa"/>
            <w:tcBorders>
              <w:top w:val="nil"/>
              <w:left w:val="nil"/>
              <w:bottom w:val="single" w:sz="4" w:space="0" w:color="auto"/>
              <w:right w:val="single" w:sz="4" w:space="0" w:color="auto"/>
            </w:tcBorders>
            <w:shd w:val="clear" w:color="auto" w:fill="auto"/>
            <w:noWrap/>
            <w:vAlign w:val="center"/>
          </w:tcPr>
          <w:p w14:paraId="0017B5E5"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111,745</w:t>
            </w:r>
          </w:p>
        </w:tc>
        <w:tc>
          <w:tcPr>
            <w:tcW w:w="990" w:type="dxa"/>
            <w:tcBorders>
              <w:top w:val="nil"/>
              <w:left w:val="nil"/>
              <w:bottom w:val="single" w:sz="4" w:space="0" w:color="auto"/>
              <w:right w:val="single" w:sz="4" w:space="0" w:color="auto"/>
            </w:tcBorders>
            <w:shd w:val="clear" w:color="auto" w:fill="auto"/>
            <w:noWrap/>
            <w:vAlign w:val="center"/>
          </w:tcPr>
          <w:p w14:paraId="28A9C8BE"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122,075</w:t>
            </w:r>
          </w:p>
        </w:tc>
        <w:tc>
          <w:tcPr>
            <w:tcW w:w="1170" w:type="dxa"/>
            <w:tcBorders>
              <w:top w:val="nil"/>
              <w:left w:val="nil"/>
              <w:bottom w:val="single" w:sz="4" w:space="0" w:color="auto"/>
              <w:right w:val="single" w:sz="4" w:space="0" w:color="auto"/>
            </w:tcBorders>
            <w:shd w:val="clear" w:color="auto" w:fill="auto"/>
            <w:noWrap/>
            <w:vAlign w:val="center"/>
          </w:tcPr>
          <w:p w14:paraId="1486DD7F"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134,536</w:t>
            </w:r>
          </w:p>
        </w:tc>
        <w:tc>
          <w:tcPr>
            <w:tcW w:w="990" w:type="dxa"/>
            <w:tcBorders>
              <w:top w:val="nil"/>
              <w:left w:val="nil"/>
              <w:bottom w:val="single" w:sz="4" w:space="0" w:color="auto"/>
              <w:right w:val="single" w:sz="4" w:space="0" w:color="auto"/>
            </w:tcBorders>
            <w:shd w:val="clear" w:color="auto" w:fill="auto"/>
            <w:noWrap/>
            <w:vAlign w:val="center"/>
          </w:tcPr>
          <w:p w14:paraId="14EC024B"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154,183</w:t>
            </w:r>
          </w:p>
        </w:tc>
        <w:tc>
          <w:tcPr>
            <w:tcW w:w="1350" w:type="dxa"/>
            <w:tcBorders>
              <w:top w:val="nil"/>
              <w:left w:val="nil"/>
              <w:bottom w:val="single" w:sz="4" w:space="0" w:color="auto"/>
              <w:right w:val="single" w:sz="4" w:space="0" w:color="auto"/>
            </w:tcBorders>
            <w:shd w:val="clear" w:color="auto" w:fill="auto"/>
            <w:noWrap/>
            <w:vAlign w:val="center"/>
          </w:tcPr>
          <w:p w14:paraId="3D20B0B7"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2.1%</w:t>
            </w:r>
          </w:p>
        </w:tc>
      </w:tr>
      <w:tr w:rsidR="0068280F" w:rsidRPr="00713242" w14:paraId="39734669" w14:textId="77777777">
        <w:trPr>
          <w:trHeight w:val="900"/>
        </w:trPr>
        <w:tc>
          <w:tcPr>
            <w:tcW w:w="1800" w:type="dxa"/>
            <w:tcBorders>
              <w:top w:val="nil"/>
              <w:left w:val="single" w:sz="4" w:space="0" w:color="auto"/>
              <w:bottom w:val="single" w:sz="4" w:space="0" w:color="auto"/>
              <w:right w:val="single" w:sz="4" w:space="0" w:color="auto"/>
            </w:tcBorders>
            <w:shd w:val="clear" w:color="auto" w:fill="auto"/>
            <w:vAlign w:val="center"/>
          </w:tcPr>
          <w:p w14:paraId="658D4461"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 xml:space="preserve">2015 IRP </w:t>
            </w:r>
            <w:r w:rsidR="008B5F11">
              <w:rPr>
                <w:rFonts w:ascii="Arial" w:eastAsia="Times New Roman" w:hAnsi="Arial"/>
                <w:color w:val="474C55"/>
                <w:sz w:val="20"/>
                <w:szCs w:val="20"/>
                <w:lang w:eastAsia="en-US"/>
              </w:rPr>
              <w:t xml:space="preserve">      </w:t>
            </w:r>
            <w:r w:rsidRPr="00713242">
              <w:rPr>
                <w:rFonts w:ascii="Arial" w:eastAsia="Times New Roman" w:hAnsi="Arial"/>
                <w:color w:val="474C55"/>
                <w:sz w:val="20"/>
                <w:szCs w:val="20"/>
                <w:lang w:eastAsia="en-US"/>
              </w:rPr>
              <w:t>Low Demand Forecast</w:t>
            </w:r>
          </w:p>
        </w:tc>
        <w:tc>
          <w:tcPr>
            <w:tcW w:w="1080" w:type="dxa"/>
            <w:tcBorders>
              <w:top w:val="nil"/>
              <w:left w:val="nil"/>
              <w:bottom w:val="single" w:sz="4" w:space="0" w:color="auto"/>
              <w:right w:val="single" w:sz="4" w:space="0" w:color="auto"/>
            </w:tcBorders>
            <w:shd w:val="clear" w:color="auto" w:fill="auto"/>
            <w:noWrap/>
            <w:vAlign w:val="center"/>
          </w:tcPr>
          <w:p w14:paraId="7785296F"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94,803</w:t>
            </w:r>
          </w:p>
        </w:tc>
        <w:tc>
          <w:tcPr>
            <w:tcW w:w="1080" w:type="dxa"/>
            <w:tcBorders>
              <w:top w:val="nil"/>
              <w:left w:val="nil"/>
              <w:bottom w:val="single" w:sz="4" w:space="0" w:color="auto"/>
              <w:right w:val="single" w:sz="4" w:space="0" w:color="auto"/>
            </w:tcBorders>
            <w:shd w:val="clear" w:color="auto" w:fill="auto"/>
            <w:noWrap/>
            <w:vAlign w:val="center"/>
          </w:tcPr>
          <w:p w14:paraId="4A936C41"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101,057</w:t>
            </w:r>
          </w:p>
        </w:tc>
        <w:tc>
          <w:tcPr>
            <w:tcW w:w="990" w:type="dxa"/>
            <w:tcBorders>
              <w:top w:val="nil"/>
              <w:left w:val="nil"/>
              <w:bottom w:val="single" w:sz="4" w:space="0" w:color="auto"/>
              <w:right w:val="single" w:sz="4" w:space="0" w:color="auto"/>
            </w:tcBorders>
            <w:shd w:val="clear" w:color="auto" w:fill="auto"/>
            <w:noWrap/>
            <w:vAlign w:val="center"/>
          </w:tcPr>
          <w:p w14:paraId="14ACC6DE"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106,884</w:t>
            </w:r>
          </w:p>
        </w:tc>
        <w:tc>
          <w:tcPr>
            <w:tcW w:w="1170" w:type="dxa"/>
            <w:tcBorders>
              <w:top w:val="nil"/>
              <w:left w:val="nil"/>
              <w:bottom w:val="single" w:sz="4" w:space="0" w:color="auto"/>
              <w:right w:val="single" w:sz="4" w:space="0" w:color="auto"/>
            </w:tcBorders>
            <w:shd w:val="clear" w:color="auto" w:fill="auto"/>
            <w:noWrap/>
            <w:vAlign w:val="center"/>
          </w:tcPr>
          <w:p w14:paraId="4355F08A"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115,163</w:t>
            </w:r>
          </w:p>
        </w:tc>
        <w:tc>
          <w:tcPr>
            <w:tcW w:w="990" w:type="dxa"/>
            <w:tcBorders>
              <w:top w:val="nil"/>
              <w:left w:val="nil"/>
              <w:bottom w:val="single" w:sz="4" w:space="0" w:color="auto"/>
              <w:right w:val="single" w:sz="4" w:space="0" w:color="auto"/>
            </w:tcBorders>
            <w:shd w:val="clear" w:color="auto" w:fill="auto"/>
            <w:noWrap/>
            <w:vAlign w:val="center"/>
          </w:tcPr>
          <w:p w14:paraId="52F9B952"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123,459</w:t>
            </w:r>
          </w:p>
        </w:tc>
        <w:tc>
          <w:tcPr>
            <w:tcW w:w="1350" w:type="dxa"/>
            <w:tcBorders>
              <w:top w:val="nil"/>
              <w:left w:val="nil"/>
              <w:bottom w:val="single" w:sz="4" w:space="0" w:color="auto"/>
              <w:right w:val="single" w:sz="4" w:space="0" w:color="auto"/>
            </w:tcBorders>
            <w:shd w:val="clear" w:color="auto" w:fill="auto"/>
            <w:noWrap/>
            <w:vAlign w:val="center"/>
          </w:tcPr>
          <w:p w14:paraId="51475ACD"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1.4%</w:t>
            </w:r>
          </w:p>
        </w:tc>
      </w:tr>
    </w:tbl>
    <w:p w14:paraId="1660FF1E" w14:textId="77777777" w:rsidR="004D0808" w:rsidRPr="00713242" w:rsidRDefault="004D0808" w:rsidP="00713242">
      <w:pPr>
        <w:pStyle w:val="IRPfiguresub0"/>
        <w:spacing w:before="100" w:afterAutospacing="0"/>
        <w:jc w:val="center"/>
        <w:rPr>
          <w:noProof/>
          <w:szCs w:val="20"/>
        </w:rPr>
      </w:pPr>
    </w:p>
    <w:p w14:paraId="2227D4A1" w14:textId="77777777" w:rsidR="004D0808" w:rsidRDefault="004D0808" w:rsidP="004D0808">
      <w:pPr>
        <w:pStyle w:val="IRPFigureSub"/>
      </w:pPr>
    </w:p>
    <w:p w14:paraId="5382D257" w14:textId="77777777" w:rsidR="0068280F" w:rsidRDefault="0068280F" w:rsidP="0068280F">
      <w:pPr>
        <w:pStyle w:val="IRPsanstext"/>
        <w:rPr>
          <w:lang w:eastAsia="en-US"/>
        </w:rPr>
      </w:pPr>
      <w:r w:rsidRPr="0068280F">
        <w:rPr>
          <w:b/>
          <w:color w:val="156570"/>
          <w:sz w:val="28"/>
        </w:rPr>
        <w:lastRenderedPageBreak/>
        <w:t>Gas Peak Demand.</w:t>
      </w:r>
      <w:r>
        <w:rPr>
          <w:sz w:val="28"/>
        </w:rPr>
        <w:t xml:space="preserve"> </w:t>
      </w:r>
      <w:r>
        <w:t>The gas design peak day is modeled at 13 degrees Fahrenheit average temperature for the day, and</w:t>
      </w:r>
      <w:r w:rsidRPr="007A7733">
        <w:t xml:space="preserve"> </w:t>
      </w:r>
      <w:r>
        <w:rPr>
          <w:lang w:eastAsia="en-US"/>
        </w:rPr>
        <w:t>t</w:t>
      </w:r>
      <w:r w:rsidRPr="007A7733">
        <w:rPr>
          <w:lang w:eastAsia="en-US"/>
        </w:rPr>
        <w:t xml:space="preserve">he curtailment of interruptible gas volumes was included when forecasting peak gas loads.  </w:t>
      </w:r>
    </w:p>
    <w:p w14:paraId="5CCC4485" w14:textId="77777777" w:rsidR="0068280F" w:rsidRDefault="0068280F" w:rsidP="0068280F">
      <w:pPr>
        <w:pStyle w:val="IRPsanstext"/>
        <w:rPr>
          <w:lang w:eastAsia="en-US"/>
        </w:rPr>
      </w:pPr>
    </w:p>
    <w:p w14:paraId="236D9841" w14:textId="77777777" w:rsidR="0068280F" w:rsidRDefault="0068280F" w:rsidP="0068280F">
      <w:pPr>
        <w:pStyle w:val="IRPsanstext"/>
      </w:pPr>
      <w:r w:rsidRPr="007A7733">
        <w:t>For</w:t>
      </w:r>
      <w:r>
        <w:t xml:space="preserve"> peak gas demand, the 2015 IRP Base Demand Forecast projects an average increase of 1.8 percent per year for the next 20 years; peak demand would rise from 1,008 Mdth in 2016 to 1,427 Mdth in 2035. The High Demand Forecast projects a 2.1 percent annual growth rate, and the Low Demand Forecast projects 1.6 percent.  The 2015 </w:t>
      </w:r>
      <w:r w:rsidR="009164D2">
        <w:t xml:space="preserve">IRP </w:t>
      </w:r>
      <w:r>
        <w:t xml:space="preserve">Base Demand growth rate is slightly lower than the 2013 </w:t>
      </w:r>
      <w:r w:rsidR="00C02EDD">
        <w:t xml:space="preserve">IRP </w:t>
      </w:r>
      <w:r>
        <w:t>Base Demand growth rate of 2.0 percent (2014 to 2033), mainly due to the lower customer forecast; however, it starts out higher than the previous forecast because lower retail gas rates have caused an increase in use per customer at the beginning of the study period. Over time, the two forecasts come back together because of the slower customer growth</w:t>
      </w:r>
      <w:r w:rsidR="00803D7C">
        <w:rPr>
          <w:lang w:val="en-US"/>
        </w:rPr>
        <w:t xml:space="preserve"> in the 2015 IRP Base Demand </w:t>
      </w:r>
      <w:r w:rsidR="00A15361">
        <w:rPr>
          <w:lang w:val="en-US"/>
        </w:rPr>
        <w:t>F</w:t>
      </w:r>
      <w:r w:rsidR="00803D7C">
        <w:rPr>
          <w:lang w:val="en-US"/>
        </w:rPr>
        <w:t>orecast</w:t>
      </w:r>
      <w:r>
        <w:t>.</w:t>
      </w:r>
    </w:p>
    <w:p w14:paraId="3E76CBB5" w14:textId="77777777" w:rsidR="0068280F" w:rsidRDefault="0068280F" w:rsidP="0068280F">
      <w:pPr>
        <w:pStyle w:val="IRPsanstext"/>
      </w:pPr>
    </w:p>
    <w:p w14:paraId="6E71AD47" w14:textId="77777777" w:rsidR="0068280F" w:rsidRDefault="0068280F" w:rsidP="0068280F">
      <w:pPr>
        <w:pStyle w:val="IRPsanstext"/>
      </w:pPr>
      <w:r>
        <w:t xml:space="preserve">Gas peak </w:t>
      </w:r>
      <w:r w:rsidRPr="00902BB0">
        <w:t xml:space="preserve">day growth rates are slightly higher than </w:t>
      </w:r>
      <w:r>
        <w:t>the rates</w:t>
      </w:r>
      <w:r w:rsidRPr="00902BB0">
        <w:t xml:space="preserve"> for load </w:t>
      </w:r>
      <w:r>
        <w:t xml:space="preserve">growth </w:t>
      </w:r>
      <w:r w:rsidRPr="00902BB0">
        <w:t xml:space="preserve">because the </w:t>
      </w:r>
      <w:r>
        <w:t>classes that contribute most to peak demand (</w:t>
      </w:r>
      <w:r w:rsidRPr="00902BB0">
        <w:t>the weather-sensitive residential and commercial sectors</w:t>
      </w:r>
      <w:r>
        <w:t>)</w:t>
      </w:r>
      <w:r w:rsidRPr="00902BB0">
        <w:t xml:space="preserve"> </w:t>
      </w:r>
      <w:r>
        <w:t>are growing faster than the classes that don’t contribute to peak demand. Rising base</w:t>
      </w:r>
      <w:r w:rsidRPr="00902BB0">
        <w:t xml:space="preserve">loads are </w:t>
      </w:r>
      <w:r>
        <w:t xml:space="preserve">also </w:t>
      </w:r>
      <w:r w:rsidRPr="00902BB0">
        <w:t>contributing to peak demand because gas is increasingly being used for purposes other than heating (</w:t>
      </w:r>
      <w:r>
        <w:t>such as cooking, clothes drying</w:t>
      </w:r>
      <w:r w:rsidRPr="00902BB0">
        <w:t xml:space="preserve"> and fireplaces). This effect is slightly offset by higher appliance and home efficiencies.</w:t>
      </w:r>
    </w:p>
    <w:p w14:paraId="1A11646C" w14:textId="77777777" w:rsidR="0068280F" w:rsidRDefault="0068280F" w:rsidP="0068280F">
      <w:pPr>
        <w:pStyle w:val="IRPsanstext"/>
      </w:pPr>
    </w:p>
    <w:p w14:paraId="29E427D3" w14:textId="0B954570" w:rsidR="00713242" w:rsidRPr="00185152" w:rsidRDefault="00713242" w:rsidP="00185152">
      <w:pPr>
        <w:rPr>
          <w:rFonts w:ascii="Arial" w:hAnsi="Arial"/>
          <w:sz w:val="20"/>
          <w:szCs w:val="20"/>
        </w:rPr>
      </w:pPr>
      <w:r>
        <w:br w:type="page"/>
      </w:r>
    </w:p>
    <w:p w14:paraId="30D88BF7" w14:textId="77777777" w:rsidR="00713242" w:rsidRDefault="00A22F1C" w:rsidP="00713242">
      <w:pPr>
        <w:pStyle w:val="IRPFigureSub"/>
      </w:pPr>
      <w:r w:rsidRPr="00185152">
        <w:rPr>
          <w:rFonts w:ascii="Times New Roman" w:hAnsi="Times New Roman"/>
          <w:i w:val="0"/>
          <w:noProof/>
          <w:sz w:val="24"/>
          <w:szCs w:val="24"/>
          <w:lang w:eastAsia="en-US"/>
        </w:rPr>
        <w:lastRenderedPageBreak/>
        <w:drawing>
          <wp:anchor distT="0" distB="0" distL="114300" distR="114300" simplePos="0" relativeHeight="251699200" behindDoc="0" locked="0" layoutInCell="1" allowOverlap="1" wp14:anchorId="2FB9DF2F" wp14:editId="08B3D124">
            <wp:simplePos x="0" y="0"/>
            <wp:positionH relativeFrom="column">
              <wp:posOffset>46990</wp:posOffset>
            </wp:positionH>
            <wp:positionV relativeFrom="paragraph">
              <wp:posOffset>482600</wp:posOffset>
            </wp:positionV>
            <wp:extent cx="5191125" cy="3765550"/>
            <wp:effectExtent l="0" t="0" r="9525" b="635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125" cy="3765550"/>
                    </a:xfrm>
                    <a:prstGeom prst="rect">
                      <a:avLst/>
                    </a:prstGeom>
                    <a:noFill/>
                  </pic:spPr>
                </pic:pic>
              </a:graphicData>
            </a:graphic>
          </wp:anchor>
        </w:drawing>
      </w:r>
      <w:r w:rsidR="00713242" w:rsidRPr="0099339A">
        <w:t xml:space="preserve">Figure </w:t>
      </w:r>
      <w:r w:rsidR="00713242">
        <w:t>5</w:t>
      </w:r>
      <w:r w:rsidR="00713242" w:rsidRPr="0099339A">
        <w:t>-</w:t>
      </w:r>
      <w:r w:rsidR="00713242">
        <w:t xml:space="preserve">32: Gas Peak </w:t>
      </w:r>
      <w:r w:rsidR="00713242" w:rsidRPr="0099339A">
        <w:t xml:space="preserve">Day </w:t>
      </w:r>
      <w:r w:rsidR="00713242">
        <w:t xml:space="preserve">Demand </w:t>
      </w:r>
      <w:r w:rsidR="00713242" w:rsidRPr="0099339A">
        <w:t>Forecast</w:t>
      </w:r>
      <w:r w:rsidR="00713242">
        <w:t xml:space="preserve"> before DSR </w:t>
      </w:r>
      <w:r w:rsidR="00713242">
        <w:br/>
        <w:t>Base, High and Low</w:t>
      </w:r>
      <w:r w:rsidR="00713242" w:rsidRPr="0099339A">
        <w:t xml:space="preserve"> Scenarios</w:t>
      </w:r>
      <w:r w:rsidR="00713242">
        <w:t xml:space="preserve"> (13 Degrees, </w:t>
      </w:r>
      <w:proofErr w:type="spellStart"/>
      <w:r w:rsidR="00713242">
        <w:t>Mdth</w:t>
      </w:r>
      <w:proofErr w:type="spellEnd"/>
      <w:r w:rsidR="00713242">
        <w:t xml:space="preserve">) </w:t>
      </w:r>
    </w:p>
    <w:p w14:paraId="7E7E530D" w14:textId="77777777" w:rsidR="00713242" w:rsidRPr="00A34A10" w:rsidRDefault="00713242" w:rsidP="00713242">
      <w:pPr>
        <w:pStyle w:val="IRPsanstext"/>
      </w:pPr>
    </w:p>
    <w:p w14:paraId="4F450F22" w14:textId="77777777" w:rsidR="00713242" w:rsidRDefault="00713242" w:rsidP="00713242">
      <w:pPr>
        <w:pStyle w:val="IRPFigureSub"/>
        <w:spacing w:after="120"/>
      </w:pPr>
      <w:r w:rsidRPr="0099339A">
        <w:t xml:space="preserve">Figure </w:t>
      </w:r>
      <w:r>
        <w:t xml:space="preserve">5-33: Gas Peak </w:t>
      </w:r>
      <w:r w:rsidRPr="0099339A">
        <w:t xml:space="preserve">Day </w:t>
      </w:r>
      <w:r>
        <w:t xml:space="preserve">Demand </w:t>
      </w:r>
      <w:r w:rsidRPr="0099339A">
        <w:t>Forecast</w:t>
      </w:r>
      <w:r>
        <w:t xml:space="preserve"> before DSR (Table)</w:t>
      </w:r>
      <w:r>
        <w:br/>
        <w:t>Base, High and Low</w:t>
      </w:r>
      <w:r w:rsidRPr="0099339A">
        <w:t xml:space="preserve"> Scenarios</w:t>
      </w:r>
      <w:r>
        <w:t xml:space="preserve"> (13 Degrees, </w:t>
      </w:r>
      <w:proofErr w:type="spellStart"/>
      <w:r>
        <w:t>Mdth</w:t>
      </w:r>
      <w:proofErr w:type="spellEnd"/>
      <w:r>
        <w:t>)</w:t>
      </w:r>
    </w:p>
    <w:tbl>
      <w:tblPr>
        <w:tblW w:w="8195" w:type="dxa"/>
        <w:tblInd w:w="103" w:type="dxa"/>
        <w:tblLook w:val="04A0" w:firstRow="1" w:lastRow="0" w:firstColumn="1" w:lastColumn="0" w:noHBand="0" w:noVBand="1"/>
      </w:tblPr>
      <w:tblGrid>
        <w:gridCol w:w="2165"/>
        <w:gridCol w:w="900"/>
        <w:gridCol w:w="900"/>
        <w:gridCol w:w="990"/>
        <w:gridCol w:w="900"/>
        <w:gridCol w:w="990"/>
        <w:gridCol w:w="1350"/>
      </w:tblGrid>
      <w:tr w:rsidR="00713242" w:rsidRPr="004D6190" w14:paraId="08743093" w14:textId="77777777">
        <w:trPr>
          <w:trHeight w:val="300"/>
        </w:trPr>
        <w:tc>
          <w:tcPr>
            <w:tcW w:w="819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27627D78" w14:textId="77777777" w:rsidR="00713242" w:rsidRPr="005C4660" w:rsidRDefault="00713242" w:rsidP="005924F8">
            <w:pPr>
              <w:spacing w:after="40"/>
              <w:jc w:val="center"/>
              <w:rPr>
                <w:rFonts w:ascii="Arial" w:eastAsia="Times New Roman" w:hAnsi="Arial"/>
                <w:b/>
                <w:color w:val="FFFFFF" w:themeColor="background1"/>
                <w:sz w:val="20"/>
                <w:szCs w:val="20"/>
                <w:lang w:eastAsia="en-US"/>
              </w:rPr>
            </w:pPr>
            <w:r w:rsidRPr="005C4660">
              <w:rPr>
                <w:rFonts w:ascii="Arial" w:eastAsia="Times New Roman" w:hAnsi="Arial"/>
                <w:b/>
                <w:caps/>
                <w:color w:val="FFFFFF" w:themeColor="background1"/>
                <w:sz w:val="20"/>
                <w:szCs w:val="20"/>
                <w:lang w:eastAsia="en-US"/>
              </w:rPr>
              <w:t>Firm Gas Peak Day Forecast Scenarios</w:t>
            </w:r>
            <w:r w:rsidRPr="005C4660">
              <w:rPr>
                <w:rFonts w:ascii="Arial" w:eastAsia="Times New Roman" w:hAnsi="Arial"/>
                <w:b/>
                <w:color w:val="FFFFFF" w:themeColor="background1"/>
                <w:sz w:val="20"/>
                <w:szCs w:val="20"/>
                <w:lang w:eastAsia="en-US"/>
              </w:rPr>
              <w:t xml:space="preserve"> (</w:t>
            </w:r>
            <w:proofErr w:type="spellStart"/>
            <w:r w:rsidRPr="005C4660">
              <w:rPr>
                <w:rFonts w:ascii="Arial" w:eastAsia="Times New Roman" w:hAnsi="Arial"/>
                <w:b/>
                <w:color w:val="FFFFFF" w:themeColor="background1"/>
                <w:sz w:val="20"/>
                <w:szCs w:val="20"/>
                <w:lang w:eastAsia="en-US"/>
              </w:rPr>
              <w:t>Mdth</w:t>
            </w:r>
            <w:proofErr w:type="spellEnd"/>
            <w:r w:rsidRPr="005C4660">
              <w:rPr>
                <w:rFonts w:ascii="Arial" w:eastAsia="Times New Roman" w:hAnsi="Arial"/>
                <w:b/>
                <w:color w:val="FFFFFF" w:themeColor="background1"/>
                <w:sz w:val="20"/>
                <w:szCs w:val="20"/>
                <w:lang w:eastAsia="en-US"/>
              </w:rPr>
              <w:t>)</w:t>
            </w:r>
          </w:p>
        </w:tc>
      </w:tr>
      <w:tr w:rsidR="00713242" w:rsidRPr="004D6190" w14:paraId="4C8F0986" w14:textId="77777777">
        <w:trPr>
          <w:trHeight w:val="600"/>
        </w:trPr>
        <w:tc>
          <w:tcPr>
            <w:tcW w:w="2165" w:type="dxa"/>
            <w:tcBorders>
              <w:top w:val="nil"/>
              <w:left w:val="single" w:sz="4" w:space="0" w:color="auto"/>
              <w:bottom w:val="single" w:sz="4" w:space="0" w:color="auto"/>
              <w:right w:val="single" w:sz="4" w:space="0" w:color="auto"/>
            </w:tcBorders>
            <w:shd w:val="clear" w:color="auto" w:fill="156570"/>
            <w:noWrap/>
            <w:vAlign w:val="center"/>
          </w:tcPr>
          <w:p w14:paraId="6C7831EB"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Scenario</w:t>
            </w:r>
          </w:p>
        </w:tc>
        <w:tc>
          <w:tcPr>
            <w:tcW w:w="900" w:type="dxa"/>
            <w:tcBorders>
              <w:top w:val="nil"/>
              <w:left w:val="nil"/>
              <w:bottom w:val="single" w:sz="4" w:space="0" w:color="auto"/>
              <w:right w:val="single" w:sz="4" w:space="0" w:color="auto"/>
            </w:tcBorders>
            <w:shd w:val="clear" w:color="auto" w:fill="156570"/>
            <w:noWrap/>
            <w:vAlign w:val="center"/>
          </w:tcPr>
          <w:p w14:paraId="5A1FFF41"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2016</w:t>
            </w:r>
          </w:p>
        </w:tc>
        <w:tc>
          <w:tcPr>
            <w:tcW w:w="900" w:type="dxa"/>
            <w:tcBorders>
              <w:top w:val="nil"/>
              <w:left w:val="nil"/>
              <w:bottom w:val="single" w:sz="4" w:space="0" w:color="auto"/>
              <w:right w:val="single" w:sz="4" w:space="0" w:color="auto"/>
            </w:tcBorders>
            <w:shd w:val="clear" w:color="auto" w:fill="156570"/>
            <w:noWrap/>
            <w:vAlign w:val="center"/>
          </w:tcPr>
          <w:p w14:paraId="18903642"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2020</w:t>
            </w:r>
          </w:p>
        </w:tc>
        <w:tc>
          <w:tcPr>
            <w:tcW w:w="990" w:type="dxa"/>
            <w:tcBorders>
              <w:top w:val="nil"/>
              <w:left w:val="nil"/>
              <w:bottom w:val="single" w:sz="4" w:space="0" w:color="auto"/>
              <w:right w:val="single" w:sz="4" w:space="0" w:color="auto"/>
            </w:tcBorders>
            <w:shd w:val="clear" w:color="auto" w:fill="156570"/>
            <w:noWrap/>
            <w:vAlign w:val="center"/>
          </w:tcPr>
          <w:p w14:paraId="6F7E4D0D"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2025</w:t>
            </w:r>
          </w:p>
        </w:tc>
        <w:tc>
          <w:tcPr>
            <w:tcW w:w="900" w:type="dxa"/>
            <w:tcBorders>
              <w:top w:val="nil"/>
              <w:left w:val="nil"/>
              <w:bottom w:val="single" w:sz="4" w:space="0" w:color="auto"/>
              <w:right w:val="single" w:sz="4" w:space="0" w:color="auto"/>
            </w:tcBorders>
            <w:shd w:val="clear" w:color="auto" w:fill="156570"/>
            <w:noWrap/>
            <w:vAlign w:val="center"/>
          </w:tcPr>
          <w:p w14:paraId="5B5EEC13"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63937495"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2035</w:t>
            </w:r>
          </w:p>
        </w:tc>
        <w:tc>
          <w:tcPr>
            <w:tcW w:w="1350" w:type="dxa"/>
            <w:tcBorders>
              <w:top w:val="nil"/>
              <w:left w:val="nil"/>
              <w:bottom w:val="single" w:sz="4" w:space="0" w:color="auto"/>
              <w:right w:val="single" w:sz="4" w:space="0" w:color="auto"/>
            </w:tcBorders>
            <w:shd w:val="clear" w:color="auto" w:fill="156570"/>
            <w:vAlign w:val="center"/>
          </w:tcPr>
          <w:p w14:paraId="2AEC769C"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 xml:space="preserve">AARG </w:t>
            </w:r>
            <w:r w:rsidRPr="008B5F11">
              <w:rPr>
                <w:rFonts w:ascii="Arial" w:eastAsia="Times New Roman" w:hAnsi="Arial"/>
                <w:b/>
                <w:color w:val="FFFFFF" w:themeColor="background1"/>
                <w:sz w:val="20"/>
                <w:szCs w:val="20"/>
                <w:lang w:eastAsia="en-US"/>
              </w:rPr>
              <w:br/>
              <w:t>2016-2035</w:t>
            </w:r>
          </w:p>
        </w:tc>
      </w:tr>
      <w:tr w:rsidR="00713242" w:rsidRPr="004D6190" w14:paraId="1DB45590" w14:textId="77777777">
        <w:trPr>
          <w:trHeight w:val="701"/>
        </w:trPr>
        <w:tc>
          <w:tcPr>
            <w:tcW w:w="2165" w:type="dxa"/>
            <w:tcBorders>
              <w:top w:val="nil"/>
              <w:left w:val="single" w:sz="4" w:space="0" w:color="auto"/>
              <w:bottom w:val="single" w:sz="4" w:space="0" w:color="auto"/>
              <w:right w:val="single" w:sz="4" w:space="0" w:color="auto"/>
            </w:tcBorders>
            <w:shd w:val="clear" w:color="auto" w:fill="auto"/>
            <w:vAlign w:val="center"/>
          </w:tcPr>
          <w:p w14:paraId="266D4521"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 xml:space="preserve">2015 IRP </w:t>
            </w:r>
          </w:p>
          <w:p w14:paraId="4901C899"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Base Demand Forecast</w:t>
            </w:r>
          </w:p>
        </w:tc>
        <w:tc>
          <w:tcPr>
            <w:tcW w:w="900" w:type="dxa"/>
            <w:tcBorders>
              <w:top w:val="nil"/>
              <w:left w:val="nil"/>
              <w:bottom w:val="single" w:sz="4" w:space="0" w:color="auto"/>
              <w:right w:val="single" w:sz="4" w:space="0" w:color="auto"/>
            </w:tcBorders>
            <w:shd w:val="clear" w:color="auto" w:fill="auto"/>
            <w:noWrap/>
            <w:vAlign w:val="center"/>
          </w:tcPr>
          <w:p w14:paraId="6479659B"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1,008</w:t>
            </w:r>
          </w:p>
        </w:tc>
        <w:tc>
          <w:tcPr>
            <w:tcW w:w="900" w:type="dxa"/>
            <w:tcBorders>
              <w:top w:val="nil"/>
              <w:left w:val="nil"/>
              <w:bottom w:val="single" w:sz="4" w:space="0" w:color="auto"/>
              <w:right w:val="single" w:sz="4" w:space="0" w:color="auto"/>
            </w:tcBorders>
            <w:shd w:val="clear" w:color="auto" w:fill="auto"/>
            <w:noWrap/>
            <w:vAlign w:val="center"/>
          </w:tcPr>
          <w:p w14:paraId="203BC4DA"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1,085</w:t>
            </w:r>
          </w:p>
        </w:tc>
        <w:tc>
          <w:tcPr>
            <w:tcW w:w="990" w:type="dxa"/>
            <w:tcBorders>
              <w:top w:val="nil"/>
              <w:left w:val="nil"/>
              <w:bottom w:val="single" w:sz="4" w:space="0" w:color="auto"/>
              <w:right w:val="single" w:sz="4" w:space="0" w:color="auto"/>
            </w:tcBorders>
            <w:shd w:val="clear" w:color="auto" w:fill="auto"/>
            <w:noWrap/>
            <w:vAlign w:val="center"/>
          </w:tcPr>
          <w:p w14:paraId="2FFB94FF"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1,173</w:t>
            </w:r>
          </w:p>
        </w:tc>
        <w:tc>
          <w:tcPr>
            <w:tcW w:w="900" w:type="dxa"/>
            <w:tcBorders>
              <w:top w:val="nil"/>
              <w:left w:val="nil"/>
              <w:bottom w:val="single" w:sz="4" w:space="0" w:color="auto"/>
              <w:right w:val="single" w:sz="4" w:space="0" w:color="auto"/>
            </w:tcBorders>
            <w:shd w:val="clear" w:color="auto" w:fill="auto"/>
            <w:noWrap/>
            <w:vAlign w:val="center"/>
          </w:tcPr>
          <w:p w14:paraId="618FBE25"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1,287</w:t>
            </w:r>
          </w:p>
        </w:tc>
        <w:tc>
          <w:tcPr>
            <w:tcW w:w="990" w:type="dxa"/>
            <w:tcBorders>
              <w:top w:val="nil"/>
              <w:left w:val="nil"/>
              <w:bottom w:val="single" w:sz="4" w:space="0" w:color="auto"/>
              <w:right w:val="single" w:sz="4" w:space="0" w:color="auto"/>
            </w:tcBorders>
            <w:shd w:val="clear" w:color="auto" w:fill="auto"/>
            <w:noWrap/>
            <w:vAlign w:val="center"/>
          </w:tcPr>
          <w:p w14:paraId="627E8488"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1,427</w:t>
            </w:r>
          </w:p>
        </w:tc>
        <w:tc>
          <w:tcPr>
            <w:tcW w:w="1350" w:type="dxa"/>
            <w:tcBorders>
              <w:top w:val="nil"/>
              <w:left w:val="nil"/>
              <w:bottom w:val="single" w:sz="4" w:space="0" w:color="auto"/>
              <w:right w:val="single" w:sz="4" w:space="0" w:color="auto"/>
            </w:tcBorders>
            <w:shd w:val="clear" w:color="auto" w:fill="auto"/>
            <w:noWrap/>
            <w:vAlign w:val="center"/>
          </w:tcPr>
          <w:p w14:paraId="2AAF2F3F"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1.8%</w:t>
            </w:r>
          </w:p>
        </w:tc>
      </w:tr>
      <w:tr w:rsidR="00713242" w:rsidRPr="004D6190" w14:paraId="756B2578" w14:textId="77777777">
        <w:trPr>
          <w:trHeight w:val="710"/>
        </w:trPr>
        <w:tc>
          <w:tcPr>
            <w:tcW w:w="2165" w:type="dxa"/>
            <w:tcBorders>
              <w:top w:val="nil"/>
              <w:left w:val="single" w:sz="4" w:space="0" w:color="auto"/>
              <w:bottom w:val="single" w:sz="4" w:space="0" w:color="auto"/>
              <w:right w:val="single" w:sz="4" w:space="0" w:color="auto"/>
            </w:tcBorders>
            <w:shd w:val="clear" w:color="auto" w:fill="auto"/>
            <w:vAlign w:val="center"/>
          </w:tcPr>
          <w:p w14:paraId="2A432857"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 xml:space="preserve">2015 IRP </w:t>
            </w:r>
          </w:p>
          <w:p w14:paraId="6D6F5FD4"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High Demand Forecast</w:t>
            </w:r>
          </w:p>
        </w:tc>
        <w:tc>
          <w:tcPr>
            <w:tcW w:w="900" w:type="dxa"/>
            <w:tcBorders>
              <w:top w:val="nil"/>
              <w:left w:val="nil"/>
              <w:bottom w:val="single" w:sz="4" w:space="0" w:color="auto"/>
              <w:right w:val="single" w:sz="4" w:space="0" w:color="auto"/>
            </w:tcBorders>
            <w:shd w:val="clear" w:color="auto" w:fill="auto"/>
            <w:noWrap/>
            <w:vAlign w:val="center"/>
          </w:tcPr>
          <w:p w14:paraId="64BC3A21"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1,044</w:t>
            </w:r>
          </w:p>
        </w:tc>
        <w:tc>
          <w:tcPr>
            <w:tcW w:w="900" w:type="dxa"/>
            <w:tcBorders>
              <w:top w:val="nil"/>
              <w:left w:val="nil"/>
              <w:bottom w:val="single" w:sz="4" w:space="0" w:color="auto"/>
              <w:right w:val="single" w:sz="4" w:space="0" w:color="auto"/>
            </w:tcBorders>
            <w:shd w:val="clear" w:color="auto" w:fill="auto"/>
            <w:noWrap/>
            <w:vAlign w:val="center"/>
          </w:tcPr>
          <w:p w14:paraId="240EF668"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1,126</w:t>
            </w:r>
          </w:p>
        </w:tc>
        <w:tc>
          <w:tcPr>
            <w:tcW w:w="990" w:type="dxa"/>
            <w:tcBorders>
              <w:top w:val="nil"/>
              <w:left w:val="nil"/>
              <w:bottom w:val="single" w:sz="4" w:space="0" w:color="auto"/>
              <w:right w:val="single" w:sz="4" w:space="0" w:color="auto"/>
            </w:tcBorders>
            <w:shd w:val="clear" w:color="auto" w:fill="auto"/>
            <w:noWrap/>
            <w:vAlign w:val="center"/>
          </w:tcPr>
          <w:p w14:paraId="6D0FB544"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1,232</w:t>
            </w:r>
          </w:p>
        </w:tc>
        <w:tc>
          <w:tcPr>
            <w:tcW w:w="900" w:type="dxa"/>
            <w:tcBorders>
              <w:top w:val="nil"/>
              <w:left w:val="nil"/>
              <w:bottom w:val="single" w:sz="4" w:space="0" w:color="auto"/>
              <w:right w:val="single" w:sz="4" w:space="0" w:color="auto"/>
            </w:tcBorders>
            <w:shd w:val="clear" w:color="auto" w:fill="auto"/>
            <w:noWrap/>
            <w:vAlign w:val="center"/>
          </w:tcPr>
          <w:p w14:paraId="0EA9E878"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1,371</w:t>
            </w:r>
          </w:p>
        </w:tc>
        <w:tc>
          <w:tcPr>
            <w:tcW w:w="990" w:type="dxa"/>
            <w:tcBorders>
              <w:top w:val="nil"/>
              <w:left w:val="nil"/>
              <w:bottom w:val="single" w:sz="4" w:space="0" w:color="auto"/>
              <w:right w:val="single" w:sz="4" w:space="0" w:color="auto"/>
            </w:tcBorders>
            <w:shd w:val="clear" w:color="auto" w:fill="auto"/>
            <w:noWrap/>
            <w:vAlign w:val="center"/>
          </w:tcPr>
          <w:p w14:paraId="2747F353"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1,541</w:t>
            </w:r>
          </w:p>
        </w:tc>
        <w:tc>
          <w:tcPr>
            <w:tcW w:w="1350" w:type="dxa"/>
            <w:tcBorders>
              <w:top w:val="nil"/>
              <w:left w:val="nil"/>
              <w:bottom w:val="single" w:sz="4" w:space="0" w:color="auto"/>
              <w:right w:val="single" w:sz="4" w:space="0" w:color="auto"/>
            </w:tcBorders>
            <w:shd w:val="clear" w:color="auto" w:fill="auto"/>
            <w:noWrap/>
            <w:vAlign w:val="center"/>
          </w:tcPr>
          <w:p w14:paraId="0E4E85AE"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2.1%</w:t>
            </w:r>
          </w:p>
        </w:tc>
      </w:tr>
      <w:tr w:rsidR="00713242" w:rsidRPr="004D6190" w14:paraId="24C99256" w14:textId="77777777">
        <w:trPr>
          <w:trHeight w:val="710"/>
        </w:trPr>
        <w:tc>
          <w:tcPr>
            <w:tcW w:w="2165" w:type="dxa"/>
            <w:tcBorders>
              <w:top w:val="nil"/>
              <w:left w:val="single" w:sz="4" w:space="0" w:color="auto"/>
              <w:bottom w:val="single" w:sz="4" w:space="0" w:color="auto"/>
              <w:right w:val="single" w:sz="4" w:space="0" w:color="auto"/>
            </w:tcBorders>
            <w:shd w:val="clear" w:color="auto" w:fill="auto"/>
            <w:vAlign w:val="center"/>
          </w:tcPr>
          <w:p w14:paraId="2A8974D1"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 xml:space="preserve">2015 IRP </w:t>
            </w:r>
          </w:p>
          <w:p w14:paraId="76533217"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Low Demand Forecast</w:t>
            </w:r>
          </w:p>
        </w:tc>
        <w:tc>
          <w:tcPr>
            <w:tcW w:w="900" w:type="dxa"/>
            <w:tcBorders>
              <w:top w:val="nil"/>
              <w:left w:val="nil"/>
              <w:bottom w:val="single" w:sz="4" w:space="0" w:color="auto"/>
              <w:right w:val="single" w:sz="4" w:space="0" w:color="auto"/>
            </w:tcBorders>
            <w:shd w:val="clear" w:color="auto" w:fill="auto"/>
            <w:noWrap/>
            <w:vAlign w:val="center"/>
          </w:tcPr>
          <w:p w14:paraId="70B59716"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978</w:t>
            </w:r>
          </w:p>
        </w:tc>
        <w:tc>
          <w:tcPr>
            <w:tcW w:w="900" w:type="dxa"/>
            <w:tcBorders>
              <w:top w:val="nil"/>
              <w:left w:val="nil"/>
              <w:bottom w:val="single" w:sz="4" w:space="0" w:color="auto"/>
              <w:right w:val="single" w:sz="4" w:space="0" w:color="auto"/>
            </w:tcBorders>
            <w:shd w:val="clear" w:color="auto" w:fill="auto"/>
            <w:noWrap/>
            <w:vAlign w:val="center"/>
          </w:tcPr>
          <w:p w14:paraId="01721537"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1,050</w:t>
            </w:r>
          </w:p>
        </w:tc>
        <w:tc>
          <w:tcPr>
            <w:tcW w:w="990" w:type="dxa"/>
            <w:tcBorders>
              <w:top w:val="nil"/>
              <w:left w:val="nil"/>
              <w:bottom w:val="single" w:sz="4" w:space="0" w:color="auto"/>
              <w:right w:val="single" w:sz="4" w:space="0" w:color="auto"/>
            </w:tcBorders>
            <w:shd w:val="clear" w:color="auto" w:fill="auto"/>
            <w:noWrap/>
            <w:vAlign w:val="center"/>
          </w:tcPr>
          <w:p w14:paraId="10A499F4"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1,114</w:t>
            </w:r>
          </w:p>
        </w:tc>
        <w:tc>
          <w:tcPr>
            <w:tcW w:w="900" w:type="dxa"/>
            <w:tcBorders>
              <w:top w:val="nil"/>
              <w:left w:val="nil"/>
              <w:bottom w:val="single" w:sz="4" w:space="0" w:color="auto"/>
              <w:right w:val="single" w:sz="4" w:space="0" w:color="auto"/>
            </w:tcBorders>
            <w:shd w:val="clear" w:color="auto" w:fill="auto"/>
            <w:noWrap/>
            <w:vAlign w:val="center"/>
          </w:tcPr>
          <w:p w14:paraId="15B2D73F"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1,218</w:t>
            </w:r>
          </w:p>
        </w:tc>
        <w:tc>
          <w:tcPr>
            <w:tcW w:w="990" w:type="dxa"/>
            <w:tcBorders>
              <w:top w:val="nil"/>
              <w:left w:val="nil"/>
              <w:bottom w:val="single" w:sz="4" w:space="0" w:color="auto"/>
              <w:right w:val="single" w:sz="4" w:space="0" w:color="auto"/>
            </w:tcBorders>
            <w:shd w:val="clear" w:color="auto" w:fill="auto"/>
            <w:noWrap/>
            <w:vAlign w:val="center"/>
          </w:tcPr>
          <w:p w14:paraId="08F8544F"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1,329</w:t>
            </w:r>
          </w:p>
        </w:tc>
        <w:tc>
          <w:tcPr>
            <w:tcW w:w="1350" w:type="dxa"/>
            <w:tcBorders>
              <w:top w:val="nil"/>
              <w:left w:val="nil"/>
              <w:bottom w:val="single" w:sz="4" w:space="0" w:color="auto"/>
              <w:right w:val="single" w:sz="4" w:space="0" w:color="auto"/>
            </w:tcBorders>
            <w:shd w:val="clear" w:color="auto" w:fill="auto"/>
            <w:noWrap/>
            <w:vAlign w:val="center"/>
          </w:tcPr>
          <w:p w14:paraId="39C71050"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1.6%</w:t>
            </w:r>
          </w:p>
        </w:tc>
      </w:tr>
    </w:tbl>
    <w:p w14:paraId="63FFB120" w14:textId="77777777" w:rsidR="00713242" w:rsidRDefault="00713242" w:rsidP="00713242">
      <w:pPr>
        <w:pStyle w:val="IRPsanstext"/>
        <w:rPr>
          <w:highlight w:val="yellow"/>
        </w:rPr>
      </w:pPr>
    </w:p>
    <w:p w14:paraId="633B0831" w14:textId="77777777" w:rsidR="00713242" w:rsidRDefault="00713242" w:rsidP="00713242">
      <w:pPr>
        <w:pStyle w:val="IRPsanstext"/>
      </w:pPr>
    </w:p>
    <w:p w14:paraId="69ABBB99" w14:textId="78959D45" w:rsidR="00713242" w:rsidRPr="00185152" w:rsidRDefault="00713242" w:rsidP="00185152">
      <w:pPr>
        <w:rPr>
          <w:rFonts w:ascii="Arial" w:hAnsi="Arial"/>
          <w:sz w:val="20"/>
          <w:szCs w:val="20"/>
        </w:rPr>
      </w:pPr>
      <w:r>
        <w:br w:type="page"/>
      </w:r>
    </w:p>
    <w:p w14:paraId="7C48CAB9" w14:textId="77777777" w:rsidR="00713242" w:rsidRDefault="00713242" w:rsidP="00713242">
      <w:pPr>
        <w:pStyle w:val="IRPFigureSub"/>
        <w:spacing w:after="120"/>
      </w:pPr>
      <w:r>
        <w:lastRenderedPageBreak/>
        <w:t>Figure 5-34: Firm Gas Peak Day Forecast before DSR</w:t>
      </w:r>
      <w:r>
        <w:br/>
      </w:r>
      <w:r w:rsidRPr="005B37A0">
        <w:t>201</w:t>
      </w:r>
      <w:r>
        <w:t>5 IRP Base Scenario versu</w:t>
      </w:r>
      <w:r w:rsidRPr="005B37A0">
        <w:t xml:space="preserve">s 2013 IRP Base </w:t>
      </w:r>
      <w:r>
        <w:t>Scenario</w:t>
      </w:r>
      <w:r>
        <w:br/>
      </w:r>
      <w:r w:rsidRPr="005B37A0">
        <w:t xml:space="preserve">Daily Annual Peak (13 Degrees, </w:t>
      </w:r>
      <w:proofErr w:type="spellStart"/>
      <w:r w:rsidRPr="005B37A0">
        <w:t>Mdth</w:t>
      </w:r>
      <w:proofErr w:type="spellEnd"/>
      <w:r>
        <w:t>)</w:t>
      </w:r>
    </w:p>
    <w:p w14:paraId="0F961BDD" w14:textId="77777777" w:rsidR="00713242" w:rsidRDefault="00713242" w:rsidP="00713242">
      <w:pPr>
        <w:pStyle w:val="IRPsanstext"/>
      </w:pPr>
      <w:r>
        <w:rPr>
          <w:noProof/>
          <w:lang w:eastAsia="en-US"/>
        </w:rPr>
        <w:drawing>
          <wp:anchor distT="0" distB="0" distL="114300" distR="114300" simplePos="0" relativeHeight="251689984" behindDoc="1" locked="0" layoutInCell="1" allowOverlap="1" wp14:anchorId="756AF4FE" wp14:editId="2345A6D7">
            <wp:simplePos x="0" y="0"/>
            <wp:positionH relativeFrom="column">
              <wp:posOffset>51434</wp:posOffset>
            </wp:positionH>
            <wp:positionV relativeFrom="paragraph">
              <wp:posOffset>27304</wp:posOffset>
            </wp:positionV>
            <wp:extent cx="5372553" cy="3543935"/>
            <wp:effectExtent l="0" t="0" r="12700" b="12065"/>
            <wp:wrapNone/>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553" cy="3543935"/>
                    </a:xfrm>
                    <a:prstGeom prst="rect">
                      <a:avLst/>
                    </a:prstGeom>
                    <a:noFill/>
                    <a:ln>
                      <a:noFill/>
                    </a:ln>
                  </pic:spPr>
                </pic:pic>
              </a:graphicData>
            </a:graphic>
          </wp:anchor>
        </w:drawing>
      </w:r>
    </w:p>
    <w:p w14:paraId="0CB79C1E" w14:textId="77777777" w:rsidR="00713242" w:rsidRPr="00E830F9" w:rsidRDefault="00713242" w:rsidP="00713242">
      <w:pPr>
        <w:pStyle w:val="IRPsanstext"/>
      </w:pPr>
    </w:p>
    <w:p w14:paraId="7AECF287" w14:textId="77777777" w:rsidR="00713242" w:rsidRDefault="00713242" w:rsidP="00713242">
      <w:pPr>
        <w:pStyle w:val="IRPsanstext"/>
      </w:pPr>
    </w:p>
    <w:p w14:paraId="6F2117C1" w14:textId="77777777" w:rsidR="00713242" w:rsidRDefault="00713242" w:rsidP="00713242">
      <w:pPr>
        <w:pStyle w:val="IRPsanstext"/>
      </w:pPr>
    </w:p>
    <w:p w14:paraId="63994AE9" w14:textId="77777777" w:rsidR="00713242" w:rsidRDefault="00713242" w:rsidP="00713242">
      <w:r>
        <w:rPr>
          <w:noProof/>
          <w:lang w:eastAsia="en-US"/>
        </w:rPr>
        <w:drawing>
          <wp:anchor distT="0" distB="0" distL="114300" distR="114300" simplePos="0" relativeHeight="251688960" behindDoc="0" locked="0" layoutInCell="1" allowOverlap="1" wp14:anchorId="421E559B" wp14:editId="20C6EA6F">
            <wp:simplePos x="0" y="0"/>
            <wp:positionH relativeFrom="column">
              <wp:posOffset>2794635</wp:posOffset>
            </wp:positionH>
            <wp:positionV relativeFrom="paragraph">
              <wp:posOffset>1043940</wp:posOffset>
            </wp:positionV>
            <wp:extent cx="2066925" cy="409575"/>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925" cy="409575"/>
                    </a:xfrm>
                    <a:prstGeom prst="rect">
                      <a:avLst/>
                    </a:prstGeom>
                    <a:noFill/>
                    <a:ln>
                      <a:noFill/>
                    </a:ln>
                  </pic:spPr>
                </pic:pic>
              </a:graphicData>
            </a:graphic>
          </wp:anchor>
        </w:drawing>
      </w:r>
    </w:p>
    <w:p w14:paraId="0ADBB9F8" w14:textId="77777777" w:rsidR="00713242" w:rsidRDefault="00713242" w:rsidP="00713242"/>
    <w:p w14:paraId="2A7A1318" w14:textId="77777777" w:rsidR="00713242" w:rsidRDefault="00713242" w:rsidP="00713242"/>
    <w:p w14:paraId="283B5BCF" w14:textId="77777777" w:rsidR="00713242" w:rsidRDefault="00713242" w:rsidP="00713242"/>
    <w:p w14:paraId="083DD0BF" w14:textId="77777777" w:rsidR="00713242" w:rsidRDefault="00713242" w:rsidP="00713242"/>
    <w:p w14:paraId="467DD9DF" w14:textId="77777777" w:rsidR="00713242" w:rsidRDefault="00713242" w:rsidP="00713242"/>
    <w:p w14:paraId="651C1979" w14:textId="77777777" w:rsidR="00713242" w:rsidRDefault="00713242" w:rsidP="00713242"/>
    <w:p w14:paraId="020A3285" w14:textId="77777777" w:rsidR="00713242" w:rsidRDefault="00713242" w:rsidP="00713242"/>
    <w:p w14:paraId="5C40B995" w14:textId="77777777" w:rsidR="00713242" w:rsidRDefault="00713242" w:rsidP="00713242"/>
    <w:p w14:paraId="3A1C7BD9" w14:textId="77777777" w:rsidR="00713242" w:rsidRDefault="00713242" w:rsidP="00713242"/>
    <w:p w14:paraId="71C801D4" w14:textId="77777777" w:rsidR="00713242" w:rsidRDefault="00713242" w:rsidP="00713242"/>
    <w:p w14:paraId="20FB2598" w14:textId="77777777" w:rsidR="00713242" w:rsidRDefault="00713242" w:rsidP="00713242"/>
    <w:p w14:paraId="5DDDEA32" w14:textId="77777777" w:rsidR="00713242" w:rsidRDefault="00713242" w:rsidP="00713242"/>
    <w:p w14:paraId="256E5FED" w14:textId="77777777" w:rsidR="00713242" w:rsidRDefault="00713242" w:rsidP="00713242"/>
    <w:p w14:paraId="1662BFD2" w14:textId="77777777" w:rsidR="00713242" w:rsidRDefault="00713242" w:rsidP="00713242"/>
    <w:p w14:paraId="6565A205" w14:textId="77777777" w:rsidR="00713242" w:rsidRDefault="00713242" w:rsidP="00713242"/>
    <w:p w14:paraId="070585A4" w14:textId="77777777" w:rsidR="00713242" w:rsidRDefault="00713242" w:rsidP="00713242"/>
    <w:p w14:paraId="79E4A6A9" w14:textId="77777777" w:rsidR="00713242" w:rsidRPr="00713242" w:rsidRDefault="00713242" w:rsidP="00713242">
      <w:pPr>
        <w:rPr>
          <w:rFonts w:ascii="Arial" w:hAnsi="Arial"/>
          <w:sz w:val="20"/>
          <w:szCs w:val="20"/>
        </w:rPr>
      </w:pPr>
    </w:p>
    <w:p w14:paraId="53DAA98A" w14:textId="77777777" w:rsidR="00713242" w:rsidRPr="000046F4" w:rsidRDefault="00713242" w:rsidP="00713242">
      <w:pPr>
        <w:pStyle w:val="IRPsanstext"/>
        <w:rPr>
          <w:color w:val="156570"/>
          <w:sz w:val="28"/>
          <w:szCs w:val="28"/>
        </w:rPr>
      </w:pPr>
      <w:r w:rsidRPr="00713242">
        <w:rPr>
          <w:b/>
          <w:color w:val="156570"/>
          <w:sz w:val="28"/>
          <w:szCs w:val="28"/>
        </w:rPr>
        <w:t>System-level Impacts of Conservation.</w:t>
      </w:r>
      <w:r w:rsidRPr="000046F4">
        <w:rPr>
          <w:color w:val="156570"/>
          <w:sz w:val="28"/>
          <w:szCs w:val="28"/>
        </w:rPr>
        <w:t xml:space="preserve"> </w:t>
      </w:r>
      <w:r>
        <w:rPr>
          <w:szCs w:val="28"/>
        </w:rPr>
        <w:t xml:space="preserve">As explained at the beginning of the chapter, </w:t>
      </w:r>
      <w:r>
        <w:t>t</w:t>
      </w:r>
      <w:r w:rsidRPr="00B63A7B">
        <w:t>he gas demand forecasts include only demand-side resources implemented through December 2015,</w:t>
      </w:r>
      <w:r>
        <w:t xml:space="preserve"> since the demand forecast itself helps to determine the most cost-effective level of DSR to include in the portfolio. </w:t>
      </w:r>
      <w:r w:rsidRPr="000046F4">
        <w:t>To examine the effects of conservation on the system load and peak forecasts</w:t>
      </w:r>
      <w:r>
        <w:t>,</w:t>
      </w:r>
      <w:r w:rsidRPr="000046F4">
        <w:t xml:space="preserve"> the </w:t>
      </w:r>
      <w:r>
        <w:t xml:space="preserve">full amount of </w:t>
      </w:r>
      <w:r w:rsidRPr="000046F4">
        <w:t xml:space="preserve">DSR from the 2013 IRP </w:t>
      </w:r>
      <w:r>
        <w:t>is</w:t>
      </w:r>
      <w:r w:rsidRPr="000046F4">
        <w:t xml:space="preserve"> applied to the </w:t>
      </w:r>
      <w:r>
        <w:t xml:space="preserve">total system </w:t>
      </w:r>
      <w:r w:rsidRPr="000046F4">
        <w:t xml:space="preserve">load and </w:t>
      </w:r>
      <w:r>
        <w:t>peak forecast for 2016 to 2035.</w:t>
      </w:r>
      <w:r w:rsidRPr="000046F4">
        <w:t xml:space="preserve"> This forecast is used internally at PSE </w:t>
      </w:r>
      <w:r>
        <w:t xml:space="preserve">for financial and </w:t>
      </w:r>
      <w:r w:rsidRPr="000046F4">
        <w:t xml:space="preserve">system planning decisions.  </w:t>
      </w:r>
    </w:p>
    <w:p w14:paraId="06A6EEA0" w14:textId="77777777" w:rsidR="00713242" w:rsidRDefault="00713242">
      <w:pPr>
        <w:rPr>
          <w:rFonts w:ascii="Arial" w:hAnsi="Arial"/>
          <w:sz w:val="20"/>
          <w:szCs w:val="20"/>
        </w:rPr>
      </w:pPr>
      <w:r>
        <w:br w:type="page"/>
      </w:r>
    </w:p>
    <w:p w14:paraId="70AC8AF8" w14:textId="77777777" w:rsidR="00713242" w:rsidRDefault="00713242" w:rsidP="00713242">
      <w:pPr>
        <w:pStyle w:val="IRPsanstext"/>
      </w:pPr>
      <w:r>
        <w:lastRenderedPageBreak/>
        <w:t xml:space="preserve">When </w:t>
      </w:r>
      <w:r w:rsidRPr="008B5F11">
        <w:t>2013 IRP DSR</w:t>
      </w:r>
      <w:r>
        <w:t xml:space="preserve"> is applied:</w:t>
      </w:r>
    </w:p>
    <w:p w14:paraId="265C48ED" w14:textId="77777777" w:rsidR="00713242" w:rsidRDefault="00713242" w:rsidP="00713242">
      <w:pPr>
        <w:pStyle w:val="IRPsanstext"/>
      </w:pPr>
    </w:p>
    <w:p w14:paraId="3D667740" w14:textId="77777777" w:rsidR="00713242" w:rsidRPr="00E8205F" w:rsidRDefault="00713242" w:rsidP="00713242">
      <w:pPr>
        <w:pStyle w:val="IRPsanstext"/>
        <w:numPr>
          <w:ilvl w:val="0"/>
          <w:numId w:val="28"/>
        </w:numPr>
      </w:pPr>
      <w:r>
        <w:t xml:space="preserve">Total system load grows at an average annual rate of 0.9 percent from 2016 to 2025 and 1.5 percent from 2025 to 2035; volume </w:t>
      </w:r>
      <w:r w:rsidR="005764D8">
        <w:rPr>
          <w:lang w:val="en-US"/>
        </w:rPr>
        <w:t xml:space="preserve">(including transport classes) </w:t>
      </w:r>
      <w:r>
        <w:t>rises</w:t>
      </w:r>
      <w:r w:rsidRPr="00E12D56">
        <w:t xml:space="preserve"> from 122</w:t>
      </w:r>
      <w:r>
        <w:t>,000 Mdth</w:t>
      </w:r>
      <w:r w:rsidRPr="00E12D56">
        <w:t xml:space="preserve"> </w:t>
      </w:r>
      <w:r>
        <w:t xml:space="preserve">in 2016 </w:t>
      </w:r>
      <w:r w:rsidRPr="00E12D56">
        <w:t>to 15</w:t>
      </w:r>
      <w:r>
        <w:t>4,000 Mdth</w:t>
      </w:r>
      <w:r w:rsidRPr="00E12D56">
        <w:t xml:space="preserve"> </w:t>
      </w:r>
      <w:r>
        <w:t xml:space="preserve">in </w:t>
      </w:r>
      <w:r w:rsidRPr="00E12D56">
        <w:t>203</w:t>
      </w:r>
      <w:r>
        <w:t>5.</w:t>
      </w:r>
      <w:r w:rsidRPr="00E12D56">
        <w:t xml:space="preserve"> </w:t>
      </w:r>
      <w:r>
        <w:t xml:space="preserve">Load grows more slowly in the first half of the forecast because that’s when the majority of the demand-side measures are expected to be implemented. </w:t>
      </w:r>
    </w:p>
    <w:p w14:paraId="1EF9B336" w14:textId="77777777" w:rsidR="00713242" w:rsidRDefault="00713242" w:rsidP="00713242">
      <w:pPr>
        <w:pStyle w:val="IRPsanstext"/>
        <w:numPr>
          <w:ilvl w:val="0"/>
          <w:numId w:val="28"/>
        </w:numPr>
      </w:pPr>
      <w:r>
        <w:t>T</w:t>
      </w:r>
      <w:r w:rsidRPr="00B94DF4">
        <w:t xml:space="preserve">he </w:t>
      </w:r>
      <w:r>
        <w:t>design</w:t>
      </w:r>
      <w:r w:rsidRPr="00B94DF4">
        <w:t xml:space="preserve"> system peak is expected </w:t>
      </w:r>
      <w:r>
        <w:t xml:space="preserve">grow at an average annual rate of 1.5 percent from 2016 to 2025 and 2.0 percent from 2025 to 2035. Again, peak load grows more slowly in the first half of the forecast because that is when the majority of the demand-side measures are expected to be implemented. </w:t>
      </w:r>
    </w:p>
    <w:p w14:paraId="6C5CD3BD" w14:textId="77777777" w:rsidR="00713242" w:rsidRDefault="00713242" w:rsidP="00713242">
      <w:pPr>
        <w:pStyle w:val="IRPsanstext"/>
      </w:pPr>
    </w:p>
    <w:p w14:paraId="4033F18C" w14:textId="77777777" w:rsidR="00713242" w:rsidRPr="00793D9B" w:rsidRDefault="00713242" w:rsidP="00713242">
      <w:pPr>
        <w:pStyle w:val="IRPsanstext"/>
      </w:pPr>
      <w:r>
        <w:t xml:space="preserve">The 2015 IRP DSR </w:t>
      </w:r>
      <w:r w:rsidR="00670F0A">
        <w:t>has a lower energy contribution but a higher peak contribution compared to</w:t>
      </w:r>
      <w:r w:rsidR="0007291A" w:rsidRPr="0007291A">
        <w:t xml:space="preserve"> the 2013</w:t>
      </w:r>
      <w:r w:rsidR="008E0828" w:rsidRPr="0007291A">
        <w:t xml:space="preserve"> IRP DSR</w:t>
      </w:r>
      <w:r w:rsidR="0007291A">
        <w:t xml:space="preserve">. </w:t>
      </w:r>
      <w:r w:rsidR="00CF0A40">
        <w:t>So</w:t>
      </w:r>
      <w:r w:rsidR="004161D2">
        <w:t>,</w:t>
      </w:r>
      <w:r>
        <w:t xml:space="preserve"> </w:t>
      </w:r>
      <w:r w:rsidR="004161D2">
        <w:t>if</w:t>
      </w:r>
      <w:r w:rsidR="00660D84">
        <w:t xml:space="preserve"> the Gas Base Demand Forecast </w:t>
      </w:r>
      <w:r w:rsidR="00CF0A40">
        <w:t xml:space="preserve">(which represents annual energy need) </w:t>
      </w:r>
      <w:r w:rsidR="004161D2">
        <w:t xml:space="preserve">were to </w:t>
      </w:r>
      <w:r w:rsidR="00660D84">
        <w:t xml:space="preserve">be </w:t>
      </w:r>
      <w:r w:rsidR="004161D2">
        <w:t>update</w:t>
      </w:r>
      <w:r w:rsidR="00660D84">
        <w:t>d</w:t>
      </w:r>
      <w:r w:rsidR="004161D2">
        <w:t xml:space="preserve"> with the 2015 IRP DSR, </w:t>
      </w:r>
      <w:r>
        <w:t xml:space="preserve">we would expect </w:t>
      </w:r>
      <w:r w:rsidR="00CF0A40">
        <w:t xml:space="preserve">the result </w:t>
      </w:r>
      <w:r>
        <w:t xml:space="preserve">to be </w:t>
      </w:r>
      <w:r w:rsidR="008E0828">
        <w:t xml:space="preserve">higher </w:t>
      </w:r>
      <w:r w:rsidR="00CF0A40">
        <w:t xml:space="preserve">than </w:t>
      </w:r>
      <w:r>
        <w:t>what is shown in Figure 5-35</w:t>
      </w:r>
      <w:r w:rsidR="00CF0A40">
        <w:t>;</w:t>
      </w:r>
      <w:r w:rsidR="004161D2">
        <w:t xml:space="preserve"> and </w:t>
      </w:r>
      <w:r w:rsidR="00CF0A40">
        <w:t xml:space="preserve">if the </w:t>
      </w:r>
      <w:r w:rsidR="00670F0A">
        <w:t xml:space="preserve">Gas Peak </w:t>
      </w:r>
      <w:r w:rsidR="00CF0A40">
        <w:t xml:space="preserve">Day Base </w:t>
      </w:r>
      <w:r w:rsidR="00670F0A">
        <w:t xml:space="preserve">Demand Forecast </w:t>
      </w:r>
      <w:r w:rsidR="00CF0A40">
        <w:t xml:space="preserve">were to be updated with 2015 IRP DSR, we would expect </w:t>
      </w:r>
      <w:r w:rsidR="004B5C59">
        <w:t>a</w:t>
      </w:r>
      <w:r w:rsidR="00CF0A40">
        <w:t xml:space="preserve"> result </w:t>
      </w:r>
      <w:r w:rsidR="00670F0A">
        <w:t xml:space="preserve">lower than what is shown in </w:t>
      </w:r>
      <w:r>
        <w:t>Figure 5-36</w:t>
      </w:r>
      <w:r>
        <w:rPr>
          <w:rStyle w:val="CommentReference"/>
          <w:rFonts w:ascii="Times New Roman" w:hAnsi="Times New Roman"/>
        </w:rPr>
        <w:t>.</w:t>
      </w:r>
    </w:p>
    <w:p w14:paraId="23C65350" w14:textId="77777777" w:rsidR="00713242" w:rsidRPr="00713242" w:rsidRDefault="00713242" w:rsidP="00713242">
      <w:pPr>
        <w:rPr>
          <w:rFonts w:ascii="Arial" w:hAnsi="Arial"/>
          <w:sz w:val="20"/>
          <w:szCs w:val="20"/>
        </w:rPr>
      </w:pPr>
    </w:p>
    <w:p w14:paraId="0A76FA89" w14:textId="77777777" w:rsidR="00713242" w:rsidRDefault="00713242" w:rsidP="00713242">
      <w:pPr>
        <w:pStyle w:val="IRPFigureSub"/>
      </w:pPr>
      <w:r>
        <w:t xml:space="preserve">Figure 5-35: </w:t>
      </w:r>
      <w:r w:rsidRPr="00DD2883">
        <w:t xml:space="preserve">2015 IRP </w:t>
      </w:r>
      <w:r w:rsidR="00CA128E">
        <w:t xml:space="preserve">Gas </w:t>
      </w:r>
      <w:r w:rsidRPr="00DD2883">
        <w:t>Base Demand Forecast</w:t>
      </w:r>
      <w:r w:rsidR="004B5C59">
        <w:t>,</w:t>
      </w:r>
      <w:r w:rsidRPr="00DD2883">
        <w:t xml:space="preserve"> </w:t>
      </w:r>
    </w:p>
    <w:p w14:paraId="1175FE6A" w14:textId="77777777" w:rsidR="00713242" w:rsidRDefault="00E035EC" w:rsidP="00713242">
      <w:pPr>
        <w:pStyle w:val="IRPFigureSub"/>
      </w:pPr>
      <w:r>
        <w:t>B</w:t>
      </w:r>
      <w:r w:rsidR="00713242">
        <w:t>efore</w:t>
      </w:r>
      <w:r>
        <w:t xml:space="preserve"> DSR</w:t>
      </w:r>
      <w:r w:rsidR="00713242" w:rsidRPr="00DD2883">
        <w:t xml:space="preserve"> and </w:t>
      </w:r>
      <w:r w:rsidR="00713242">
        <w:t xml:space="preserve">after </w:t>
      </w:r>
      <w:r w:rsidR="004B5C59">
        <w:t>a</w:t>
      </w:r>
      <w:r w:rsidR="00713242">
        <w:t>pplying</w:t>
      </w:r>
      <w:r w:rsidR="00713242" w:rsidRPr="00DD2883">
        <w:t xml:space="preserve"> 2013 IRP DSR</w:t>
      </w:r>
    </w:p>
    <w:p w14:paraId="76ADD529" w14:textId="77777777" w:rsidR="00713242" w:rsidRDefault="005C4660" w:rsidP="00713242">
      <w:pPr>
        <w:pStyle w:val="IRPFigureSub"/>
      </w:pPr>
      <w:r>
        <w:rPr>
          <w:noProof/>
          <w:lang w:eastAsia="en-US"/>
        </w:rPr>
        <w:drawing>
          <wp:anchor distT="0" distB="0" distL="114300" distR="114300" simplePos="0" relativeHeight="251693056" behindDoc="1" locked="0" layoutInCell="1" allowOverlap="1" wp14:anchorId="0A1C76F9" wp14:editId="010CEF59">
            <wp:simplePos x="0" y="0"/>
            <wp:positionH relativeFrom="column">
              <wp:posOffset>51435</wp:posOffset>
            </wp:positionH>
            <wp:positionV relativeFrom="paragraph">
              <wp:posOffset>173990</wp:posOffset>
            </wp:positionV>
            <wp:extent cx="5346700" cy="3692525"/>
            <wp:effectExtent l="0" t="0" r="1270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6700" cy="3692525"/>
                    </a:xfrm>
                    <a:prstGeom prst="rect">
                      <a:avLst/>
                    </a:prstGeom>
                    <a:noFill/>
                  </pic:spPr>
                </pic:pic>
              </a:graphicData>
            </a:graphic>
          </wp:anchor>
        </w:drawing>
      </w:r>
    </w:p>
    <w:p w14:paraId="05D78FFE" w14:textId="77777777" w:rsidR="00713242" w:rsidRPr="007A7733" w:rsidRDefault="00713242" w:rsidP="00713242">
      <w:pPr>
        <w:pStyle w:val="IRPFigureSub"/>
      </w:pPr>
    </w:p>
    <w:p w14:paraId="39BBADC2" w14:textId="77777777" w:rsidR="00713242" w:rsidRDefault="00713242" w:rsidP="00713242">
      <w:pPr>
        <w:pStyle w:val="IRPFigureSub"/>
      </w:pPr>
    </w:p>
    <w:p w14:paraId="7005C4F0" w14:textId="77777777" w:rsidR="00713242" w:rsidRDefault="00713242" w:rsidP="00713242">
      <w:pPr>
        <w:pStyle w:val="IRPFigureSub"/>
      </w:pPr>
    </w:p>
    <w:p w14:paraId="32183518" w14:textId="1EBF5A21" w:rsidR="00713242" w:rsidRPr="00185152" w:rsidRDefault="00713242" w:rsidP="00185152">
      <w:pPr>
        <w:rPr>
          <w:rFonts w:ascii="Arial" w:hAnsi="Arial"/>
          <w:sz w:val="20"/>
          <w:szCs w:val="20"/>
        </w:rPr>
      </w:pPr>
      <w:r>
        <w:rPr>
          <w:noProof/>
          <w:lang w:eastAsia="en-US"/>
        </w:rPr>
        <w:drawing>
          <wp:anchor distT="0" distB="0" distL="114300" distR="114300" simplePos="0" relativeHeight="251692032" behindDoc="0" locked="0" layoutInCell="1" allowOverlap="1" wp14:anchorId="6846E858" wp14:editId="034C6EF6">
            <wp:simplePos x="0" y="0"/>
            <wp:positionH relativeFrom="column">
              <wp:posOffset>851535</wp:posOffset>
            </wp:positionH>
            <wp:positionV relativeFrom="paragraph">
              <wp:posOffset>1418590</wp:posOffset>
            </wp:positionV>
            <wp:extent cx="3800475" cy="525780"/>
            <wp:effectExtent l="0" t="0" r="9525" b="762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475" cy="525780"/>
                    </a:xfrm>
                    <a:prstGeom prst="rect">
                      <a:avLst/>
                    </a:prstGeom>
                    <a:noFill/>
                    <a:ln>
                      <a:noFill/>
                    </a:ln>
                  </pic:spPr>
                </pic:pic>
              </a:graphicData>
            </a:graphic>
          </wp:anchor>
        </w:drawing>
      </w:r>
      <w:r>
        <w:br w:type="page"/>
      </w:r>
    </w:p>
    <w:p w14:paraId="65B9AD09" w14:textId="77777777" w:rsidR="00713242" w:rsidRDefault="00713242" w:rsidP="00713242">
      <w:pPr>
        <w:pStyle w:val="IRPFigureSub"/>
      </w:pPr>
      <w:r w:rsidRPr="000A576F">
        <w:lastRenderedPageBreak/>
        <w:t xml:space="preserve">Figure </w:t>
      </w:r>
      <w:r>
        <w:t>5-36:</w:t>
      </w:r>
      <w:r w:rsidR="00CA128E">
        <w:t xml:space="preserve"> </w:t>
      </w:r>
      <w:r w:rsidRPr="0059014B">
        <w:t xml:space="preserve">2015 IRP </w:t>
      </w:r>
      <w:r w:rsidR="00CA128E">
        <w:t xml:space="preserve">Gas Peak Day </w:t>
      </w:r>
      <w:r w:rsidRPr="0059014B">
        <w:t>Base Demand Forecast</w:t>
      </w:r>
      <w:r w:rsidR="004B5C59">
        <w:t>,</w:t>
      </w:r>
      <w:r>
        <w:t xml:space="preserve"> </w:t>
      </w:r>
    </w:p>
    <w:p w14:paraId="1F3031E0" w14:textId="77777777" w:rsidR="00713242" w:rsidRPr="00496916" w:rsidRDefault="00E035EC" w:rsidP="00713242">
      <w:pPr>
        <w:pStyle w:val="IRPFigureSub"/>
      </w:pPr>
      <w:r>
        <w:t>B</w:t>
      </w:r>
      <w:r w:rsidR="00713242">
        <w:t>efore</w:t>
      </w:r>
      <w:r>
        <w:t xml:space="preserve"> DSR</w:t>
      </w:r>
      <w:r w:rsidR="004B5C59">
        <w:t xml:space="preserve"> and after a</w:t>
      </w:r>
      <w:r w:rsidR="00713242">
        <w:t xml:space="preserve">pplying </w:t>
      </w:r>
      <w:r w:rsidR="00713242" w:rsidRPr="0059014B">
        <w:t>2013 IRP DSR</w:t>
      </w:r>
    </w:p>
    <w:p w14:paraId="16F61EAB" w14:textId="77777777" w:rsidR="00713242" w:rsidRDefault="00713242" w:rsidP="00713242">
      <w:pPr>
        <w:pStyle w:val="IRPFigureSub"/>
      </w:pPr>
      <w:r>
        <w:rPr>
          <w:noProof/>
          <w:lang w:eastAsia="en-US"/>
        </w:rPr>
        <w:drawing>
          <wp:anchor distT="0" distB="0" distL="114300" distR="114300" simplePos="0" relativeHeight="251696128" behindDoc="1" locked="0" layoutInCell="1" allowOverlap="1" wp14:anchorId="26497D07" wp14:editId="6C4E4F15">
            <wp:simplePos x="0" y="0"/>
            <wp:positionH relativeFrom="column">
              <wp:posOffset>51435</wp:posOffset>
            </wp:positionH>
            <wp:positionV relativeFrom="paragraph">
              <wp:posOffset>78740</wp:posOffset>
            </wp:positionV>
            <wp:extent cx="5295976" cy="3657600"/>
            <wp:effectExtent l="0" t="0" r="12700"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76" cy="3657600"/>
                    </a:xfrm>
                    <a:prstGeom prst="rect">
                      <a:avLst/>
                    </a:prstGeom>
                    <a:noFill/>
                  </pic:spPr>
                </pic:pic>
              </a:graphicData>
            </a:graphic>
          </wp:anchor>
        </w:drawing>
      </w:r>
    </w:p>
    <w:p w14:paraId="7B0333C0" w14:textId="77777777" w:rsidR="00713242" w:rsidRDefault="00713242" w:rsidP="00713242">
      <w:pPr>
        <w:pStyle w:val="IRPFigureSub"/>
      </w:pPr>
    </w:p>
    <w:p w14:paraId="44E53E57" w14:textId="77777777" w:rsidR="00713242" w:rsidRDefault="00713242" w:rsidP="00713242">
      <w:pPr>
        <w:pStyle w:val="IRPFigureSub"/>
      </w:pPr>
    </w:p>
    <w:p w14:paraId="29957788" w14:textId="77777777" w:rsidR="00713242" w:rsidRDefault="00713242" w:rsidP="00713242">
      <w:pPr>
        <w:pStyle w:val="IRPFigureSub"/>
      </w:pPr>
    </w:p>
    <w:p w14:paraId="661773C5" w14:textId="77777777" w:rsidR="00713242" w:rsidRDefault="00713242" w:rsidP="00713242">
      <w:pPr>
        <w:pStyle w:val="IRPFigureSub"/>
      </w:pPr>
    </w:p>
    <w:p w14:paraId="2CC144D4" w14:textId="77777777" w:rsidR="00713242" w:rsidRDefault="00713242" w:rsidP="00713242">
      <w:pPr>
        <w:pStyle w:val="IRPFigureSub"/>
      </w:pPr>
    </w:p>
    <w:p w14:paraId="0D7A40F3" w14:textId="77777777" w:rsidR="00713242" w:rsidRDefault="00713242" w:rsidP="00713242">
      <w:pPr>
        <w:pStyle w:val="IRPFigureSub"/>
      </w:pPr>
    </w:p>
    <w:p w14:paraId="261A6C24" w14:textId="77777777" w:rsidR="00713242" w:rsidRDefault="00713242" w:rsidP="00713242">
      <w:pPr>
        <w:pStyle w:val="IRPFigureSub"/>
      </w:pPr>
    </w:p>
    <w:p w14:paraId="5EB36DF4" w14:textId="77777777" w:rsidR="00713242" w:rsidRDefault="00713242" w:rsidP="00713242">
      <w:pPr>
        <w:pStyle w:val="IRPFigureSub"/>
      </w:pPr>
    </w:p>
    <w:p w14:paraId="248E116B" w14:textId="77777777" w:rsidR="00713242" w:rsidRDefault="00713242" w:rsidP="00713242">
      <w:pPr>
        <w:pStyle w:val="IRPFigureSub"/>
      </w:pPr>
      <w:r>
        <w:rPr>
          <w:noProof/>
          <w:lang w:eastAsia="en-US"/>
        </w:rPr>
        <w:drawing>
          <wp:anchor distT="0" distB="0" distL="114300" distR="114300" simplePos="0" relativeHeight="251695104" behindDoc="0" locked="0" layoutInCell="1" allowOverlap="1" wp14:anchorId="133CCBCC" wp14:editId="1E630BA1">
            <wp:simplePos x="0" y="0"/>
            <wp:positionH relativeFrom="column">
              <wp:posOffset>851535</wp:posOffset>
            </wp:positionH>
            <wp:positionV relativeFrom="paragraph">
              <wp:posOffset>78740</wp:posOffset>
            </wp:positionV>
            <wp:extent cx="3831590" cy="519430"/>
            <wp:effectExtent l="0" t="0" r="3810" b="0"/>
            <wp:wrapNone/>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1590" cy="519430"/>
                    </a:xfrm>
                    <a:prstGeom prst="rect">
                      <a:avLst/>
                    </a:prstGeom>
                    <a:noFill/>
                    <a:ln>
                      <a:noFill/>
                    </a:ln>
                  </pic:spPr>
                </pic:pic>
              </a:graphicData>
            </a:graphic>
          </wp:anchor>
        </w:drawing>
      </w:r>
    </w:p>
    <w:p w14:paraId="793EFF4C" w14:textId="77777777" w:rsidR="00713242" w:rsidRDefault="00713242" w:rsidP="00713242">
      <w:pPr>
        <w:pStyle w:val="IRPFigureSub"/>
      </w:pPr>
    </w:p>
    <w:p w14:paraId="00D5071E" w14:textId="77777777" w:rsidR="00713242" w:rsidRDefault="00713242" w:rsidP="00713242">
      <w:pPr>
        <w:pStyle w:val="IRPFigureSub"/>
      </w:pPr>
    </w:p>
    <w:p w14:paraId="077EAACC" w14:textId="77777777" w:rsidR="00713242" w:rsidRDefault="00713242" w:rsidP="00713242">
      <w:pPr>
        <w:pStyle w:val="IRPFigureSub"/>
      </w:pPr>
    </w:p>
    <w:p w14:paraId="216AFD9F" w14:textId="77777777" w:rsidR="00713242" w:rsidRDefault="00713242" w:rsidP="00713242">
      <w:pPr>
        <w:pStyle w:val="IRPFigureSub"/>
      </w:pPr>
    </w:p>
    <w:p w14:paraId="209093DE" w14:textId="77777777" w:rsidR="00713242" w:rsidRDefault="00713242" w:rsidP="00713242">
      <w:pPr>
        <w:pStyle w:val="IRPFigureSub"/>
      </w:pPr>
    </w:p>
    <w:p w14:paraId="65857856" w14:textId="77777777" w:rsidR="00713242" w:rsidRDefault="00713242" w:rsidP="00713242">
      <w:pPr>
        <w:pStyle w:val="IRPFigureSub"/>
      </w:pPr>
    </w:p>
    <w:p w14:paraId="4C6664C7" w14:textId="77777777" w:rsidR="00713242" w:rsidRPr="007A7733" w:rsidRDefault="00713242" w:rsidP="00713242">
      <w:pPr>
        <w:pStyle w:val="IRPFigureSub"/>
      </w:pPr>
    </w:p>
    <w:p w14:paraId="0F350D3F" w14:textId="77777777" w:rsidR="00713242" w:rsidRDefault="00713242" w:rsidP="00713242">
      <w:pPr>
        <w:pStyle w:val="IRPFigureSub"/>
      </w:pPr>
    </w:p>
    <w:p w14:paraId="0149F365" w14:textId="77777777" w:rsidR="00713242" w:rsidRDefault="00713242" w:rsidP="00713242">
      <w:pPr>
        <w:pStyle w:val="IRPFigureSub"/>
      </w:pPr>
    </w:p>
    <w:p w14:paraId="0D0B2470" w14:textId="77777777" w:rsidR="00615718" w:rsidRDefault="00615718">
      <w:pPr>
        <w:rPr>
          <w:rFonts w:ascii="Arial" w:hAnsi="Arial"/>
          <w:sz w:val="20"/>
          <w:szCs w:val="20"/>
        </w:rPr>
      </w:pPr>
      <w:r>
        <w:br w:type="page"/>
      </w:r>
    </w:p>
    <w:p w14:paraId="2ADA5D88" w14:textId="77777777" w:rsidR="00713242" w:rsidRDefault="00713242" w:rsidP="00713242">
      <w:pPr>
        <w:pStyle w:val="IRPsanstext"/>
      </w:pPr>
      <w:r w:rsidRPr="00713242">
        <w:rPr>
          <w:b/>
          <w:color w:val="156570"/>
          <w:sz w:val="28"/>
        </w:rPr>
        <w:lastRenderedPageBreak/>
        <w:t>Gas Customer Counts.</w:t>
      </w:r>
      <w:r w:rsidRPr="0097006D">
        <w:rPr>
          <w:color w:val="3366FF"/>
        </w:rPr>
        <w:t xml:space="preserve"> </w:t>
      </w:r>
      <w:r>
        <w:t xml:space="preserve">The Base Demand Forecast projects </w:t>
      </w:r>
      <w:r w:rsidRPr="009663B9">
        <w:t>natural gas customer count</w:t>
      </w:r>
      <w:r>
        <w:t>s</w:t>
      </w:r>
      <w:r w:rsidRPr="009663B9">
        <w:t xml:space="preserve"> </w:t>
      </w:r>
      <w:r>
        <w:t>will</w:t>
      </w:r>
      <w:r w:rsidRPr="009663B9">
        <w:t xml:space="preserve"> increase at a rate of 1.9 percent per year </w:t>
      </w:r>
      <w:r>
        <w:t xml:space="preserve">on average </w:t>
      </w:r>
      <w:r w:rsidRPr="009663B9">
        <w:t xml:space="preserve">between 2016 and 2035, reaching </w:t>
      </w:r>
      <w:r>
        <w:t>almost</w:t>
      </w:r>
      <w:r w:rsidRPr="009663B9">
        <w:t xml:space="preserve"> 1.2 million </w:t>
      </w:r>
      <w:r>
        <w:t xml:space="preserve">customers </w:t>
      </w:r>
      <w:r w:rsidRPr="009663B9">
        <w:t>by the en</w:t>
      </w:r>
      <w:r>
        <w:t xml:space="preserve">d of the forecast period for the system as a whole. A lower population forecast has resulted in a lower growth rate than the system growth rate of  2.3 percent projected in the 2013 IRP (2014 to 2033).  </w:t>
      </w:r>
    </w:p>
    <w:p w14:paraId="1643054C" w14:textId="77777777" w:rsidR="00713242" w:rsidRDefault="00713242" w:rsidP="00713242">
      <w:pPr>
        <w:pStyle w:val="IRPsanstext"/>
      </w:pPr>
    </w:p>
    <w:p w14:paraId="242EF4C0" w14:textId="77777777" w:rsidR="00713242" w:rsidRDefault="00713242" w:rsidP="00713242">
      <w:pPr>
        <w:pStyle w:val="IRPsanstext"/>
      </w:pPr>
      <w:r>
        <w:t xml:space="preserve">Residential customer counts drive the growth in total customers, since this class makes up 93 percent of PSE’s gas sales customers. The next largest group, commercial customers, is expected to grow at an annual rate of 1.6 percent from 2016 to 2035. Industrial and interruptible customer classes are expected to continue to shrink, consistent with historical trends.  </w:t>
      </w:r>
    </w:p>
    <w:p w14:paraId="38702FCF" w14:textId="77777777" w:rsidR="003A0016" w:rsidRPr="00615718" w:rsidRDefault="003A0016" w:rsidP="00615718">
      <w:pPr>
        <w:rPr>
          <w:rFonts w:ascii="Arial" w:hAnsi="Arial"/>
          <w:sz w:val="20"/>
          <w:szCs w:val="20"/>
        </w:rPr>
      </w:pPr>
    </w:p>
    <w:p w14:paraId="42E6EBAB" w14:textId="77777777" w:rsidR="003A0016" w:rsidRDefault="003A0016" w:rsidP="00615718">
      <w:pPr>
        <w:pStyle w:val="IRPFigureSub"/>
        <w:spacing w:after="120"/>
      </w:pPr>
      <w:r w:rsidRPr="00C36635">
        <w:t xml:space="preserve">Figure </w:t>
      </w:r>
      <w:r>
        <w:t>5</w:t>
      </w:r>
      <w:r w:rsidRPr="00C36635">
        <w:t>-</w:t>
      </w:r>
      <w:r>
        <w:t xml:space="preserve">37: </w:t>
      </w:r>
      <w:r w:rsidRPr="00634CE1">
        <w:t>December Gas Customer Counts by Class</w:t>
      </w:r>
      <w:r>
        <w:t>,</w:t>
      </w:r>
      <w:r w:rsidRPr="00634CE1">
        <w:t xml:space="preserve"> </w:t>
      </w:r>
      <w:r w:rsidR="00615718">
        <w:br/>
      </w:r>
      <w:r w:rsidRPr="00634CE1">
        <w:t>from 2015 IRP Base Demand Forecast</w:t>
      </w:r>
    </w:p>
    <w:tbl>
      <w:tblPr>
        <w:tblW w:w="8753" w:type="dxa"/>
        <w:tblInd w:w="103" w:type="dxa"/>
        <w:tblLook w:val="04A0" w:firstRow="1" w:lastRow="0" w:firstColumn="1" w:lastColumn="0" w:noHBand="0" w:noVBand="1"/>
      </w:tblPr>
      <w:tblGrid>
        <w:gridCol w:w="1355"/>
        <w:gridCol w:w="1222"/>
        <w:gridCol w:w="1276"/>
        <w:gridCol w:w="1166"/>
        <w:gridCol w:w="1290"/>
        <w:gridCol w:w="1236"/>
        <w:gridCol w:w="1208"/>
      </w:tblGrid>
      <w:tr w:rsidR="003A0016" w:rsidRPr="00035E1C" w14:paraId="07EED006" w14:textId="77777777">
        <w:trPr>
          <w:trHeight w:val="300"/>
        </w:trPr>
        <w:tc>
          <w:tcPr>
            <w:tcW w:w="8753"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2FEBE64C" w14:textId="77777777" w:rsidR="003A0016" w:rsidRPr="005C4660" w:rsidRDefault="003A0016" w:rsidP="00615718">
            <w:pPr>
              <w:spacing w:before="40" w:after="40"/>
              <w:jc w:val="center"/>
              <w:rPr>
                <w:rFonts w:ascii="Arial" w:eastAsia="Times New Roman" w:hAnsi="Arial"/>
                <w:b/>
                <w:color w:val="FFFFFF" w:themeColor="background1"/>
                <w:sz w:val="20"/>
                <w:szCs w:val="20"/>
                <w:lang w:eastAsia="en-US"/>
              </w:rPr>
            </w:pPr>
            <w:r w:rsidRPr="005C4660">
              <w:rPr>
                <w:rFonts w:ascii="Arial" w:eastAsia="Times New Roman" w:hAnsi="Arial"/>
                <w:b/>
                <w:color w:val="FFFFFF" w:themeColor="background1"/>
                <w:sz w:val="20"/>
                <w:szCs w:val="20"/>
                <w:lang w:eastAsia="en-US"/>
              </w:rPr>
              <w:t xml:space="preserve">DECEMBER GAS CUSTOMER COUNTS </w:t>
            </w:r>
            <w:r w:rsidRPr="005C4660">
              <w:rPr>
                <w:rFonts w:ascii="Arial" w:eastAsia="Times New Roman" w:hAnsi="Arial"/>
                <w:b/>
                <w:color w:val="FFFFFF" w:themeColor="background1"/>
                <w:sz w:val="20"/>
                <w:szCs w:val="20"/>
                <w:lang w:eastAsia="en-US"/>
              </w:rPr>
              <w:br/>
              <w:t>BY CLASS FROM 2015 IRP BASE DEMAND FORECAST</w:t>
            </w:r>
          </w:p>
        </w:tc>
      </w:tr>
      <w:tr w:rsidR="003A0016" w:rsidRPr="00035E1C" w14:paraId="6DCC073A" w14:textId="77777777">
        <w:trPr>
          <w:trHeight w:val="900"/>
        </w:trPr>
        <w:tc>
          <w:tcPr>
            <w:tcW w:w="1355" w:type="dxa"/>
            <w:tcBorders>
              <w:top w:val="nil"/>
              <w:left w:val="single" w:sz="4" w:space="0" w:color="auto"/>
              <w:bottom w:val="single" w:sz="4" w:space="0" w:color="auto"/>
              <w:right w:val="single" w:sz="4" w:space="0" w:color="auto"/>
            </w:tcBorders>
            <w:shd w:val="clear" w:color="auto" w:fill="156570"/>
            <w:noWrap/>
            <w:vAlign w:val="center"/>
          </w:tcPr>
          <w:p w14:paraId="6FAF248F" w14:textId="77777777" w:rsidR="003A0016" w:rsidRPr="008B5F11" w:rsidRDefault="008B5F11" w:rsidP="008B5F11">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Customer Type</w:t>
            </w:r>
          </w:p>
        </w:tc>
        <w:tc>
          <w:tcPr>
            <w:tcW w:w="1222" w:type="dxa"/>
            <w:tcBorders>
              <w:top w:val="nil"/>
              <w:left w:val="nil"/>
              <w:bottom w:val="single" w:sz="4" w:space="0" w:color="auto"/>
              <w:right w:val="single" w:sz="4" w:space="0" w:color="auto"/>
            </w:tcBorders>
            <w:shd w:val="clear" w:color="auto" w:fill="156570"/>
            <w:noWrap/>
            <w:vAlign w:val="center"/>
          </w:tcPr>
          <w:p w14:paraId="2D1A6C80"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2016</w:t>
            </w:r>
          </w:p>
        </w:tc>
        <w:tc>
          <w:tcPr>
            <w:tcW w:w="1276" w:type="dxa"/>
            <w:tcBorders>
              <w:top w:val="nil"/>
              <w:left w:val="nil"/>
              <w:bottom w:val="single" w:sz="4" w:space="0" w:color="auto"/>
              <w:right w:val="single" w:sz="4" w:space="0" w:color="auto"/>
            </w:tcBorders>
            <w:shd w:val="clear" w:color="auto" w:fill="156570"/>
            <w:noWrap/>
            <w:vAlign w:val="center"/>
          </w:tcPr>
          <w:p w14:paraId="69C1295D"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2020</w:t>
            </w:r>
          </w:p>
        </w:tc>
        <w:tc>
          <w:tcPr>
            <w:tcW w:w="1166" w:type="dxa"/>
            <w:tcBorders>
              <w:top w:val="nil"/>
              <w:left w:val="nil"/>
              <w:bottom w:val="single" w:sz="4" w:space="0" w:color="auto"/>
              <w:right w:val="single" w:sz="4" w:space="0" w:color="auto"/>
            </w:tcBorders>
            <w:shd w:val="clear" w:color="auto" w:fill="156570"/>
            <w:noWrap/>
            <w:vAlign w:val="center"/>
          </w:tcPr>
          <w:p w14:paraId="325CBDD6"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2025</w:t>
            </w:r>
          </w:p>
        </w:tc>
        <w:tc>
          <w:tcPr>
            <w:tcW w:w="1290" w:type="dxa"/>
            <w:tcBorders>
              <w:top w:val="nil"/>
              <w:left w:val="nil"/>
              <w:bottom w:val="single" w:sz="4" w:space="0" w:color="auto"/>
              <w:right w:val="single" w:sz="4" w:space="0" w:color="auto"/>
            </w:tcBorders>
            <w:shd w:val="clear" w:color="auto" w:fill="156570"/>
            <w:noWrap/>
            <w:vAlign w:val="center"/>
          </w:tcPr>
          <w:p w14:paraId="2AEB878C"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2030</w:t>
            </w:r>
          </w:p>
        </w:tc>
        <w:tc>
          <w:tcPr>
            <w:tcW w:w="1236" w:type="dxa"/>
            <w:tcBorders>
              <w:top w:val="nil"/>
              <w:left w:val="nil"/>
              <w:bottom w:val="single" w:sz="4" w:space="0" w:color="auto"/>
              <w:right w:val="single" w:sz="4" w:space="0" w:color="auto"/>
            </w:tcBorders>
            <w:shd w:val="clear" w:color="auto" w:fill="156570"/>
            <w:noWrap/>
            <w:vAlign w:val="center"/>
          </w:tcPr>
          <w:p w14:paraId="28BBC04E"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2035</w:t>
            </w:r>
          </w:p>
        </w:tc>
        <w:tc>
          <w:tcPr>
            <w:tcW w:w="1208" w:type="dxa"/>
            <w:tcBorders>
              <w:top w:val="nil"/>
              <w:left w:val="nil"/>
              <w:bottom w:val="single" w:sz="4" w:space="0" w:color="auto"/>
              <w:right w:val="single" w:sz="4" w:space="0" w:color="auto"/>
            </w:tcBorders>
            <w:shd w:val="clear" w:color="auto" w:fill="156570"/>
            <w:vAlign w:val="center"/>
          </w:tcPr>
          <w:p w14:paraId="45CD3DE3"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AARG    2016-2035</w:t>
            </w:r>
          </w:p>
        </w:tc>
      </w:tr>
      <w:tr w:rsidR="003A0016" w:rsidRPr="00035E1C" w14:paraId="005B06D7"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473E2D23"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Residential</w:t>
            </w:r>
          </w:p>
        </w:tc>
        <w:tc>
          <w:tcPr>
            <w:tcW w:w="1222" w:type="dxa"/>
            <w:tcBorders>
              <w:top w:val="nil"/>
              <w:left w:val="nil"/>
              <w:bottom w:val="single" w:sz="4" w:space="0" w:color="auto"/>
              <w:right w:val="single" w:sz="4" w:space="0" w:color="auto"/>
            </w:tcBorders>
            <w:shd w:val="clear" w:color="auto" w:fill="auto"/>
            <w:noWrap/>
            <w:vAlign w:val="center"/>
          </w:tcPr>
          <w:p w14:paraId="3756754D"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763,406 </w:t>
            </w:r>
          </w:p>
        </w:tc>
        <w:tc>
          <w:tcPr>
            <w:tcW w:w="1276" w:type="dxa"/>
            <w:tcBorders>
              <w:top w:val="nil"/>
              <w:left w:val="nil"/>
              <w:bottom w:val="single" w:sz="4" w:space="0" w:color="auto"/>
              <w:right w:val="single" w:sz="4" w:space="0" w:color="auto"/>
            </w:tcBorders>
            <w:shd w:val="clear" w:color="auto" w:fill="auto"/>
            <w:noWrap/>
            <w:vAlign w:val="center"/>
          </w:tcPr>
          <w:p w14:paraId="0ADEDFCC"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819,348 </w:t>
            </w:r>
          </w:p>
        </w:tc>
        <w:tc>
          <w:tcPr>
            <w:tcW w:w="1166" w:type="dxa"/>
            <w:tcBorders>
              <w:top w:val="nil"/>
              <w:left w:val="nil"/>
              <w:bottom w:val="single" w:sz="4" w:space="0" w:color="auto"/>
              <w:right w:val="single" w:sz="4" w:space="0" w:color="auto"/>
            </w:tcBorders>
            <w:shd w:val="clear" w:color="auto" w:fill="auto"/>
            <w:noWrap/>
            <w:vAlign w:val="center"/>
          </w:tcPr>
          <w:p w14:paraId="233C39E7"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893,618 </w:t>
            </w:r>
          </w:p>
        </w:tc>
        <w:tc>
          <w:tcPr>
            <w:tcW w:w="1290" w:type="dxa"/>
            <w:tcBorders>
              <w:top w:val="nil"/>
              <w:left w:val="nil"/>
              <w:bottom w:val="single" w:sz="4" w:space="0" w:color="auto"/>
              <w:right w:val="single" w:sz="4" w:space="0" w:color="auto"/>
            </w:tcBorders>
            <w:shd w:val="clear" w:color="auto" w:fill="auto"/>
            <w:noWrap/>
            <w:vAlign w:val="center"/>
          </w:tcPr>
          <w:p w14:paraId="58860D83"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988,150 </w:t>
            </w:r>
          </w:p>
        </w:tc>
        <w:tc>
          <w:tcPr>
            <w:tcW w:w="1236" w:type="dxa"/>
            <w:tcBorders>
              <w:top w:val="nil"/>
              <w:left w:val="nil"/>
              <w:bottom w:val="single" w:sz="4" w:space="0" w:color="auto"/>
              <w:right w:val="single" w:sz="4" w:space="0" w:color="auto"/>
            </w:tcBorders>
            <w:shd w:val="clear" w:color="auto" w:fill="auto"/>
            <w:noWrap/>
            <w:vAlign w:val="center"/>
          </w:tcPr>
          <w:p w14:paraId="29C13614"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1,095,795 </w:t>
            </w:r>
          </w:p>
        </w:tc>
        <w:tc>
          <w:tcPr>
            <w:tcW w:w="1208" w:type="dxa"/>
            <w:tcBorders>
              <w:top w:val="nil"/>
              <w:left w:val="nil"/>
              <w:bottom w:val="single" w:sz="4" w:space="0" w:color="auto"/>
              <w:right w:val="single" w:sz="4" w:space="0" w:color="auto"/>
            </w:tcBorders>
            <w:shd w:val="clear" w:color="auto" w:fill="auto"/>
            <w:noWrap/>
            <w:vAlign w:val="center"/>
          </w:tcPr>
          <w:p w14:paraId="74446EC9"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1.9%</w:t>
            </w:r>
          </w:p>
        </w:tc>
      </w:tr>
      <w:tr w:rsidR="003A0016" w:rsidRPr="00035E1C" w14:paraId="1B21B70D"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3F221649"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Commercial</w:t>
            </w:r>
          </w:p>
        </w:tc>
        <w:tc>
          <w:tcPr>
            <w:tcW w:w="1222" w:type="dxa"/>
            <w:tcBorders>
              <w:top w:val="nil"/>
              <w:left w:val="nil"/>
              <w:bottom w:val="single" w:sz="4" w:space="0" w:color="auto"/>
              <w:right w:val="single" w:sz="4" w:space="0" w:color="auto"/>
            </w:tcBorders>
            <w:shd w:val="clear" w:color="auto" w:fill="auto"/>
            <w:noWrap/>
            <w:vAlign w:val="center"/>
          </w:tcPr>
          <w:p w14:paraId="19BDC07F"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57,232 </w:t>
            </w:r>
          </w:p>
        </w:tc>
        <w:tc>
          <w:tcPr>
            <w:tcW w:w="1276" w:type="dxa"/>
            <w:tcBorders>
              <w:top w:val="nil"/>
              <w:left w:val="nil"/>
              <w:bottom w:val="single" w:sz="4" w:space="0" w:color="auto"/>
              <w:right w:val="single" w:sz="4" w:space="0" w:color="auto"/>
            </w:tcBorders>
            <w:shd w:val="clear" w:color="auto" w:fill="auto"/>
            <w:noWrap/>
            <w:vAlign w:val="center"/>
          </w:tcPr>
          <w:p w14:paraId="1F8E7F10"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61,173 </w:t>
            </w:r>
          </w:p>
        </w:tc>
        <w:tc>
          <w:tcPr>
            <w:tcW w:w="1166" w:type="dxa"/>
            <w:tcBorders>
              <w:top w:val="nil"/>
              <w:left w:val="nil"/>
              <w:bottom w:val="single" w:sz="4" w:space="0" w:color="auto"/>
              <w:right w:val="single" w:sz="4" w:space="0" w:color="auto"/>
            </w:tcBorders>
            <w:shd w:val="clear" w:color="auto" w:fill="auto"/>
            <w:noWrap/>
            <w:vAlign w:val="center"/>
          </w:tcPr>
          <w:p w14:paraId="38AD41C2"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66,237 </w:t>
            </w:r>
          </w:p>
        </w:tc>
        <w:tc>
          <w:tcPr>
            <w:tcW w:w="1290" w:type="dxa"/>
            <w:tcBorders>
              <w:top w:val="nil"/>
              <w:left w:val="nil"/>
              <w:bottom w:val="single" w:sz="4" w:space="0" w:color="auto"/>
              <w:right w:val="single" w:sz="4" w:space="0" w:color="auto"/>
            </w:tcBorders>
            <w:shd w:val="clear" w:color="auto" w:fill="auto"/>
            <w:noWrap/>
            <w:vAlign w:val="center"/>
          </w:tcPr>
          <w:p w14:paraId="69C08B1D"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71,676 </w:t>
            </w:r>
          </w:p>
        </w:tc>
        <w:tc>
          <w:tcPr>
            <w:tcW w:w="1236" w:type="dxa"/>
            <w:tcBorders>
              <w:top w:val="nil"/>
              <w:left w:val="nil"/>
              <w:bottom w:val="single" w:sz="4" w:space="0" w:color="auto"/>
              <w:right w:val="single" w:sz="4" w:space="0" w:color="auto"/>
            </w:tcBorders>
            <w:shd w:val="clear" w:color="auto" w:fill="auto"/>
            <w:noWrap/>
            <w:vAlign w:val="center"/>
          </w:tcPr>
          <w:p w14:paraId="1AA5B6FF"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77,672 </w:t>
            </w:r>
          </w:p>
        </w:tc>
        <w:tc>
          <w:tcPr>
            <w:tcW w:w="1208" w:type="dxa"/>
            <w:tcBorders>
              <w:top w:val="nil"/>
              <w:left w:val="nil"/>
              <w:bottom w:val="single" w:sz="4" w:space="0" w:color="auto"/>
              <w:right w:val="single" w:sz="4" w:space="0" w:color="auto"/>
            </w:tcBorders>
            <w:shd w:val="clear" w:color="auto" w:fill="auto"/>
            <w:noWrap/>
            <w:vAlign w:val="center"/>
          </w:tcPr>
          <w:p w14:paraId="626A17D8"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1.6%</w:t>
            </w:r>
          </w:p>
        </w:tc>
      </w:tr>
      <w:tr w:rsidR="003A0016" w:rsidRPr="00035E1C" w14:paraId="0FCEC490"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777831AE"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Industrial</w:t>
            </w:r>
          </w:p>
        </w:tc>
        <w:tc>
          <w:tcPr>
            <w:tcW w:w="1222" w:type="dxa"/>
            <w:tcBorders>
              <w:top w:val="nil"/>
              <w:left w:val="nil"/>
              <w:bottom w:val="single" w:sz="4" w:space="0" w:color="auto"/>
              <w:right w:val="single" w:sz="4" w:space="0" w:color="auto"/>
            </w:tcBorders>
            <w:shd w:val="clear" w:color="auto" w:fill="auto"/>
            <w:noWrap/>
            <w:vAlign w:val="center"/>
          </w:tcPr>
          <w:p w14:paraId="5916D6BF"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2,306 </w:t>
            </w:r>
          </w:p>
        </w:tc>
        <w:tc>
          <w:tcPr>
            <w:tcW w:w="1276" w:type="dxa"/>
            <w:tcBorders>
              <w:top w:val="nil"/>
              <w:left w:val="nil"/>
              <w:bottom w:val="single" w:sz="4" w:space="0" w:color="auto"/>
              <w:right w:val="single" w:sz="4" w:space="0" w:color="auto"/>
            </w:tcBorders>
            <w:shd w:val="clear" w:color="auto" w:fill="auto"/>
            <w:noWrap/>
            <w:vAlign w:val="center"/>
          </w:tcPr>
          <w:p w14:paraId="5C394503"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2,189 </w:t>
            </w:r>
          </w:p>
        </w:tc>
        <w:tc>
          <w:tcPr>
            <w:tcW w:w="1166" w:type="dxa"/>
            <w:tcBorders>
              <w:top w:val="nil"/>
              <w:left w:val="nil"/>
              <w:bottom w:val="single" w:sz="4" w:space="0" w:color="auto"/>
              <w:right w:val="single" w:sz="4" w:space="0" w:color="auto"/>
            </w:tcBorders>
            <w:shd w:val="clear" w:color="auto" w:fill="auto"/>
            <w:noWrap/>
            <w:vAlign w:val="center"/>
          </w:tcPr>
          <w:p w14:paraId="1C1965F3"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2,050 </w:t>
            </w:r>
          </w:p>
        </w:tc>
        <w:tc>
          <w:tcPr>
            <w:tcW w:w="1290" w:type="dxa"/>
            <w:tcBorders>
              <w:top w:val="nil"/>
              <w:left w:val="nil"/>
              <w:bottom w:val="single" w:sz="4" w:space="0" w:color="auto"/>
              <w:right w:val="single" w:sz="4" w:space="0" w:color="auto"/>
            </w:tcBorders>
            <w:shd w:val="clear" w:color="auto" w:fill="auto"/>
            <w:noWrap/>
            <w:vAlign w:val="center"/>
          </w:tcPr>
          <w:p w14:paraId="1568D74C"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1,920 </w:t>
            </w:r>
          </w:p>
        </w:tc>
        <w:tc>
          <w:tcPr>
            <w:tcW w:w="1236" w:type="dxa"/>
            <w:tcBorders>
              <w:top w:val="nil"/>
              <w:left w:val="nil"/>
              <w:bottom w:val="single" w:sz="4" w:space="0" w:color="auto"/>
              <w:right w:val="single" w:sz="4" w:space="0" w:color="auto"/>
            </w:tcBorders>
            <w:shd w:val="clear" w:color="auto" w:fill="auto"/>
            <w:noWrap/>
            <w:vAlign w:val="center"/>
          </w:tcPr>
          <w:p w14:paraId="7218450A"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1,798 </w:t>
            </w:r>
          </w:p>
        </w:tc>
        <w:tc>
          <w:tcPr>
            <w:tcW w:w="1208" w:type="dxa"/>
            <w:tcBorders>
              <w:top w:val="nil"/>
              <w:left w:val="nil"/>
              <w:bottom w:val="single" w:sz="4" w:space="0" w:color="auto"/>
              <w:right w:val="single" w:sz="4" w:space="0" w:color="auto"/>
            </w:tcBorders>
            <w:shd w:val="clear" w:color="auto" w:fill="auto"/>
            <w:noWrap/>
            <w:vAlign w:val="center"/>
          </w:tcPr>
          <w:p w14:paraId="281D86F2"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-1.3%</w:t>
            </w:r>
          </w:p>
        </w:tc>
      </w:tr>
      <w:tr w:rsidR="003A0016" w:rsidRPr="00035E1C" w14:paraId="7092E469"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0A578934"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Total Firm</w:t>
            </w:r>
          </w:p>
        </w:tc>
        <w:tc>
          <w:tcPr>
            <w:tcW w:w="1222" w:type="dxa"/>
            <w:tcBorders>
              <w:top w:val="nil"/>
              <w:left w:val="nil"/>
              <w:bottom w:val="single" w:sz="4" w:space="0" w:color="auto"/>
              <w:right w:val="single" w:sz="4" w:space="0" w:color="auto"/>
            </w:tcBorders>
            <w:shd w:val="clear" w:color="auto" w:fill="auto"/>
            <w:noWrap/>
            <w:vAlign w:val="center"/>
          </w:tcPr>
          <w:p w14:paraId="5B374EE7"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822,944 </w:t>
            </w:r>
          </w:p>
        </w:tc>
        <w:tc>
          <w:tcPr>
            <w:tcW w:w="1276" w:type="dxa"/>
            <w:tcBorders>
              <w:top w:val="nil"/>
              <w:left w:val="nil"/>
              <w:bottom w:val="single" w:sz="4" w:space="0" w:color="auto"/>
              <w:right w:val="single" w:sz="4" w:space="0" w:color="auto"/>
            </w:tcBorders>
            <w:shd w:val="clear" w:color="auto" w:fill="auto"/>
            <w:noWrap/>
            <w:vAlign w:val="center"/>
          </w:tcPr>
          <w:p w14:paraId="73DAEAE7"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882,711 </w:t>
            </w:r>
          </w:p>
        </w:tc>
        <w:tc>
          <w:tcPr>
            <w:tcW w:w="1166" w:type="dxa"/>
            <w:tcBorders>
              <w:top w:val="nil"/>
              <w:left w:val="nil"/>
              <w:bottom w:val="single" w:sz="4" w:space="0" w:color="auto"/>
              <w:right w:val="single" w:sz="4" w:space="0" w:color="auto"/>
            </w:tcBorders>
            <w:shd w:val="clear" w:color="auto" w:fill="auto"/>
            <w:noWrap/>
            <w:vAlign w:val="center"/>
          </w:tcPr>
          <w:p w14:paraId="30728AD8"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961,906 </w:t>
            </w:r>
          </w:p>
        </w:tc>
        <w:tc>
          <w:tcPr>
            <w:tcW w:w="1290" w:type="dxa"/>
            <w:tcBorders>
              <w:top w:val="nil"/>
              <w:left w:val="nil"/>
              <w:bottom w:val="single" w:sz="4" w:space="0" w:color="auto"/>
              <w:right w:val="single" w:sz="4" w:space="0" w:color="auto"/>
            </w:tcBorders>
            <w:shd w:val="clear" w:color="auto" w:fill="auto"/>
            <w:noWrap/>
            <w:vAlign w:val="center"/>
          </w:tcPr>
          <w:p w14:paraId="35453BBD"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1,061,746 </w:t>
            </w:r>
          </w:p>
        </w:tc>
        <w:tc>
          <w:tcPr>
            <w:tcW w:w="1236" w:type="dxa"/>
            <w:tcBorders>
              <w:top w:val="nil"/>
              <w:left w:val="nil"/>
              <w:bottom w:val="single" w:sz="4" w:space="0" w:color="auto"/>
              <w:right w:val="single" w:sz="4" w:space="0" w:color="auto"/>
            </w:tcBorders>
            <w:shd w:val="clear" w:color="auto" w:fill="auto"/>
            <w:noWrap/>
            <w:vAlign w:val="center"/>
          </w:tcPr>
          <w:p w14:paraId="3C118F23"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1,175,266 </w:t>
            </w:r>
          </w:p>
        </w:tc>
        <w:tc>
          <w:tcPr>
            <w:tcW w:w="1208" w:type="dxa"/>
            <w:tcBorders>
              <w:top w:val="nil"/>
              <w:left w:val="nil"/>
              <w:bottom w:val="single" w:sz="4" w:space="0" w:color="auto"/>
              <w:right w:val="single" w:sz="4" w:space="0" w:color="auto"/>
            </w:tcBorders>
            <w:shd w:val="clear" w:color="auto" w:fill="auto"/>
            <w:noWrap/>
            <w:vAlign w:val="center"/>
          </w:tcPr>
          <w:p w14:paraId="08AD0484"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1.9%</w:t>
            </w:r>
          </w:p>
        </w:tc>
      </w:tr>
      <w:tr w:rsidR="003A0016" w:rsidRPr="00035E1C" w14:paraId="44BF44C1"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4E5193A5"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Interruptible</w:t>
            </w:r>
          </w:p>
        </w:tc>
        <w:tc>
          <w:tcPr>
            <w:tcW w:w="1222" w:type="dxa"/>
            <w:tcBorders>
              <w:top w:val="nil"/>
              <w:left w:val="nil"/>
              <w:bottom w:val="single" w:sz="4" w:space="0" w:color="auto"/>
              <w:right w:val="single" w:sz="4" w:space="0" w:color="auto"/>
            </w:tcBorders>
            <w:shd w:val="clear" w:color="auto" w:fill="auto"/>
            <w:noWrap/>
            <w:vAlign w:val="center"/>
          </w:tcPr>
          <w:p w14:paraId="2A99F264"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283 </w:t>
            </w:r>
          </w:p>
        </w:tc>
        <w:tc>
          <w:tcPr>
            <w:tcW w:w="1276" w:type="dxa"/>
            <w:tcBorders>
              <w:top w:val="nil"/>
              <w:left w:val="nil"/>
              <w:bottom w:val="single" w:sz="4" w:space="0" w:color="auto"/>
              <w:right w:val="single" w:sz="4" w:space="0" w:color="auto"/>
            </w:tcBorders>
            <w:shd w:val="clear" w:color="auto" w:fill="auto"/>
            <w:noWrap/>
            <w:vAlign w:val="center"/>
          </w:tcPr>
          <w:p w14:paraId="6EF4AACF"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248 </w:t>
            </w:r>
          </w:p>
        </w:tc>
        <w:tc>
          <w:tcPr>
            <w:tcW w:w="1166" w:type="dxa"/>
            <w:tcBorders>
              <w:top w:val="nil"/>
              <w:left w:val="nil"/>
              <w:bottom w:val="single" w:sz="4" w:space="0" w:color="auto"/>
              <w:right w:val="single" w:sz="4" w:space="0" w:color="auto"/>
            </w:tcBorders>
            <w:shd w:val="clear" w:color="auto" w:fill="auto"/>
            <w:noWrap/>
            <w:vAlign w:val="center"/>
          </w:tcPr>
          <w:p w14:paraId="3B49C827"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217 </w:t>
            </w:r>
          </w:p>
        </w:tc>
        <w:tc>
          <w:tcPr>
            <w:tcW w:w="1290" w:type="dxa"/>
            <w:tcBorders>
              <w:top w:val="nil"/>
              <w:left w:val="nil"/>
              <w:bottom w:val="single" w:sz="4" w:space="0" w:color="auto"/>
              <w:right w:val="single" w:sz="4" w:space="0" w:color="auto"/>
            </w:tcBorders>
            <w:shd w:val="clear" w:color="auto" w:fill="auto"/>
            <w:noWrap/>
            <w:vAlign w:val="center"/>
          </w:tcPr>
          <w:p w14:paraId="18904AE0"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193 </w:t>
            </w:r>
          </w:p>
        </w:tc>
        <w:tc>
          <w:tcPr>
            <w:tcW w:w="1236" w:type="dxa"/>
            <w:tcBorders>
              <w:top w:val="nil"/>
              <w:left w:val="nil"/>
              <w:bottom w:val="single" w:sz="4" w:space="0" w:color="auto"/>
              <w:right w:val="single" w:sz="4" w:space="0" w:color="auto"/>
            </w:tcBorders>
            <w:shd w:val="clear" w:color="auto" w:fill="auto"/>
            <w:noWrap/>
            <w:vAlign w:val="center"/>
          </w:tcPr>
          <w:p w14:paraId="72952A85"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175 </w:t>
            </w:r>
          </w:p>
        </w:tc>
        <w:tc>
          <w:tcPr>
            <w:tcW w:w="1208" w:type="dxa"/>
            <w:tcBorders>
              <w:top w:val="nil"/>
              <w:left w:val="nil"/>
              <w:bottom w:val="single" w:sz="4" w:space="0" w:color="auto"/>
              <w:right w:val="single" w:sz="4" w:space="0" w:color="auto"/>
            </w:tcBorders>
            <w:shd w:val="clear" w:color="auto" w:fill="auto"/>
            <w:noWrap/>
            <w:vAlign w:val="center"/>
          </w:tcPr>
          <w:p w14:paraId="5F8D2487"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-2.5%</w:t>
            </w:r>
          </w:p>
        </w:tc>
      </w:tr>
      <w:tr w:rsidR="003A0016" w:rsidRPr="00035E1C" w14:paraId="38B85A42"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78BD87A9" w14:textId="77777777" w:rsidR="003A0016" w:rsidRPr="003A0016" w:rsidRDefault="003A0016" w:rsidP="00A15361">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Total Firm </w:t>
            </w:r>
            <w:r w:rsidR="00A15361">
              <w:rPr>
                <w:rFonts w:ascii="Arial" w:eastAsia="Times New Roman" w:hAnsi="Arial"/>
                <w:color w:val="474C55"/>
                <w:sz w:val="20"/>
                <w:szCs w:val="20"/>
                <w:lang w:eastAsia="en-US"/>
              </w:rPr>
              <w:t xml:space="preserve">&amp; </w:t>
            </w:r>
            <w:r w:rsidRPr="003A0016">
              <w:rPr>
                <w:rFonts w:ascii="Arial" w:eastAsia="Times New Roman" w:hAnsi="Arial"/>
                <w:color w:val="474C55"/>
                <w:sz w:val="20"/>
                <w:szCs w:val="20"/>
                <w:lang w:eastAsia="en-US"/>
              </w:rPr>
              <w:t>Interruptible</w:t>
            </w:r>
          </w:p>
        </w:tc>
        <w:tc>
          <w:tcPr>
            <w:tcW w:w="1222" w:type="dxa"/>
            <w:tcBorders>
              <w:top w:val="nil"/>
              <w:left w:val="nil"/>
              <w:bottom w:val="single" w:sz="4" w:space="0" w:color="auto"/>
              <w:right w:val="single" w:sz="4" w:space="0" w:color="auto"/>
            </w:tcBorders>
            <w:shd w:val="clear" w:color="auto" w:fill="auto"/>
            <w:noWrap/>
            <w:vAlign w:val="center"/>
          </w:tcPr>
          <w:p w14:paraId="1A0A5FA6"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823,227 </w:t>
            </w:r>
          </w:p>
        </w:tc>
        <w:tc>
          <w:tcPr>
            <w:tcW w:w="1276" w:type="dxa"/>
            <w:tcBorders>
              <w:top w:val="nil"/>
              <w:left w:val="nil"/>
              <w:bottom w:val="single" w:sz="4" w:space="0" w:color="auto"/>
              <w:right w:val="single" w:sz="4" w:space="0" w:color="auto"/>
            </w:tcBorders>
            <w:shd w:val="clear" w:color="auto" w:fill="auto"/>
            <w:noWrap/>
            <w:vAlign w:val="center"/>
          </w:tcPr>
          <w:p w14:paraId="1B042385"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882,959 </w:t>
            </w:r>
          </w:p>
        </w:tc>
        <w:tc>
          <w:tcPr>
            <w:tcW w:w="1166" w:type="dxa"/>
            <w:tcBorders>
              <w:top w:val="nil"/>
              <w:left w:val="nil"/>
              <w:bottom w:val="single" w:sz="4" w:space="0" w:color="auto"/>
              <w:right w:val="single" w:sz="4" w:space="0" w:color="auto"/>
            </w:tcBorders>
            <w:shd w:val="clear" w:color="auto" w:fill="auto"/>
            <w:noWrap/>
            <w:vAlign w:val="center"/>
          </w:tcPr>
          <w:p w14:paraId="08D37259"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962,123 </w:t>
            </w:r>
          </w:p>
        </w:tc>
        <w:tc>
          <w:tcPr>
            <w:tcW w:w="1290" w:type="dxa"/>
            <w:tcBorders>
              <w:top w:val="nil"/>
              <w:left w:val="nil"/>
              <w:bottom w:val="single" w:sz="4" w:space="0" w:color="auto"/>
              <w:right w:val="single" w:sz="4" w:space="0" w:color="auto"/>
            </w:tcBorders>
            <w:shd w:val="clear" w:color="auto" w:fill="auto"/>
            <w:noWrap/>
            <w:vAlign w:val="center"/>
          </w:tcPr>
          <w:p w14:paraId="32D66952"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1,061,939 </w:t>
            </w:r>
          </w:p>
        </w:tc>
        <w:tc>
          <w:tcPr>
            <w:tcW w:w="1236" w:type="dxa"/>
            <w:tcBorders>
              <w:top w:val="nil"/>
              <w:left w:val="nil"/>
              <w:bottom w:val="single" w:sz="4" w:space="0" w:color="auto"/>
              <w:right w:val="single" w:sz="4" w:space="0" w:color="auto"/>
            </w:tcBorders>
            <w:shd w:val="clear" w:color="auto" w:fill="auto"/>
            <w:noWrap/>
            <w:vAlign w:val="center"/>
          </w:tcPr>
          <w:p w14:paraId="66932FFA"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1,175,441 </w:t>
            </w:r>
          </w:p>
        </w:tc>
        <w:tc>
          <w:tcPr>
            <w:tcW w:w="1208" w:type="dxa"/>
            <w:tcBorders>
              <w:top w:val="nil"/>
              <w:left w:val="nil"/>
              <w:bottom w:val="single" w:sz="4" w:space="0" w:color="auto"/>
              <w:right w:val="single" w:sz="4" w:space="0" w:color="auto"/>
            </w:tcBorders>
            <w:shd w:val="clear" w:color="auto" w:fill="auto"/>
            <w:noWrap/>
            <w:vAlign w:val="center"/>
          </w:tcPr>
          <w:p w14:paraId="37A464B6"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1.9%</w:t>
            </w:r>
          </w:p>
        </w:tc>
      </w:tr>
      <w:tr w:rsidR="003A0016" w:rsidRPr="00035E1C" w14:paraId="129784DB"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136B5C0A"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Transport</w:t>
            </w:r>
          </w:p>
        </w:tc>
        <w:tc>
          <w:tcPr>
            <w:tcW w:w="1222" w:type="dxa"/>
            <w:tcBorders>
              <w:top w:val="nil"/>
              <w:left w:val="nil"/>
              <w:bottom w:val="single" w:sz="4" w:space="0" w:color="auto"/>
              <w:right w:val="single" w:sz="4" w:space="0" w:color="auto"/>
            </w:tcBorders>
            <w:shd w:val="clear" w:color="auto" w:fill="auto"/>
            <w:noWrap/>
            <w:vAlign w:val="center"/>
          </w:tcPr>
          <w:p w14:paraId="18B698BE"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208 </w:t>
            </w:r>
          </w:p>
        </w:tc>
        <w:tc>
          <w:tcPr>
            <w:tcW w:w="1276" w:type="dxa"/>
            <w:tcBorders>
              <w:top w:val="nil"/>
              <w:left w:val="nil"/>
              <w:bottom w:val="single" w:sz="4" w:space="0" w:color="auto"/>
              <w:right w:val="single" w:sz="4" w:space="0" w:color="auto"/>
            </w:tcBorders>
            <w:shd w:val="clear" w:color="auto" w:fill="auto"/>
            <w:noWrap/>
            <w:vAlign w:val="center"/>
          </w:tcPr>
          <w:p w14:paraId="300E71D6"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208 </w:t>
            </w:r>
          </w:p>
        </w:tc>
        <w:tc>
          <w:tcPr>
            <w:tcW w:w="1166" w:type="dxa"/>
            <w:tcBorders>
              <w:top w:val="nil"/>
              <w:left w:val="nil"/>
              <w:bottom w:val="single" w:sz="4" w:space="0" w:color="auto"/>
              <w:right w:val="single" w:sz="4" w:space="0" w:color="auto"/>
            </w:tcBorders>
            <w:shd w:val="clear" w:color="auto" w:fill="auto"/>
            <w:noWrap/>
            <w:vAlign w:val="center"/>
          </w:tcPr>
          <w:p w14:paraId="3531FD27"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208 </w:t>
            </w:r>
          </w:p>
        </w:tc>
        <w:tc>
          <w:tcPr>
            <w:tcW w:w="1290" w:type="dxa"/>
            <w:tcBorders>
              <w:top w:val="nil"/>
              <w:left w:val="nil"/>
              <w:bottom w:val="single" w:sz="4" w:space="0" w:color="auto"/>
              <w:right w:val="single" w:sz="4" w:space="0" w:color="auto"/>
            </w:tcBorders>
            <w:shd w:val="clear" w:color="auto" w:fill="auto"/>
            <w:noWrap/>
            <w:vAlign w:val="center"/>
          </w:tcPr>
          <w:p w14:paraId="59C995E9"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208 </w:t>
            </w:r>
          </w:p>
        </w:tc>
        <w:tc>
          <w:tcPr>
            <w:tcW w:w="1236" w:type="dxa"/>
            <w:tcBorders>
              <w:top w:val="nil"/>
              <w:left w:val="nil"/>
              <w:bottom w:val="single" w:sz="4" w:space="0" w:color="auto"/>
              <w:right w:val="single" w:sz="4" w:space="0" w:color="auto"/>
            </w:tcBorders>
            <w:shd w:val="clear" w:color="auto" w:fill="auto"/>
            <w:noWrap/>
            <w:vAlign w:val="center"/>
          </w:tcPr>
          <w:p w14:paraId="2588F632"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208 </w:t>
            </w:r>
          </w:p>
        </w:tc>
        <w:tc>
          <w:tcPr>
            <w:tcW w:w="1208" w:type="dxa"/>
            <w:tcBorders>
              <w:top w:val="nil"/>
              <w:left w:val="nil"/>
              <w:bottom w:val="single" w:sz="4" w:space="0" w:color="auto"/>
              <w:right w:val="single" w:sz="4" w:space="0" w:color="auto"/>
            </w:tcBorders>
            <w:shd w:val="clear" w:color="auto" w:fill="auto"/>
            <w:noWrap/>
            <w:vAlign w:val="center"/>
          </w:tcPr>
          <w:p w14:paraId="12599AE2"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0.0%</w:t>
            </w:r>
          </w:p>
        </w:tc>
      </w:tr>
      <w:tr w:rsidR="003A0016" w:rsidRPr="00035E1C" w14:paraId="3EF8A711"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59D0743D"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System Total</w:t>
            </w:r>
          </w:p>
        </w:tc>
        <w:tc>
          <w:tcPr>
            <w:tcW w:w="1222" w:type="dxa"/>
            <w:tcBorders>
              <w:top w:val="nil"/>
              <w:left w:val="nil"/>
              <w:bottom w:val="single" w:sz="4" w:space="0" w:color="auto"/>
              <w:right w:val="single" w:sz="4" w:space="0" w:color="auto"/>
            </w:tcBorders>
            <w:shd w:val="clear" w:color="auto" w:fill="auto"/>
            <w:noWrap/>
            <w:vAlign w:val="center"/>
          </w:tcPr>
          <w:p w14:paraId="2D082838"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823,435 </w:t>
            </w:r>
          </w:p>
        </w:tc>
        <w:tc>
          <w:tcPr>
            <w:tcW w:w="1276" w:type="dxa"/>
            <w:tcBorders>
              <w:top w:val="nil"/>
              <w:left w:val="nil"/>
              <w:bottom w:val="single" w:sz="4" w:space="0" w:color="auto"/>
              <w:right w:val="single" w:sz="4" w:space="0" w:color="auto"/>
            </w:tcBorders>
            <w:shd w:val="clear" w:color="auto" w:fill="auto"/>
            <w:noWrap/>
            <w:vAlign w:val="center"/>
          </w:tcPr>
          <w:p w14:paraId="2CFBC0F0"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883,167 </w:t>
            </w:r>
          </w:p>
        </w:tc>
        <w:tc>
          <w:tcPr>
            <w:tcW w:w="1166" w:type="dxa"/>
            <w:tcBorders>
              <w:top w:val="nil"/>
              <w:left w:val="nil"/>
              <w:bottom w:val="single" w:sz="4" w:space="0" w:color="auto"/>
              <w:right w:val="single" w:sz="4" w:space="0" w:color="auto"/>
            </w:tcBorders>
            <w:shd w:val="clear" w:color="auto" w:fill="auto"/>
            <w:noWrap/>
            <w:vAlign w:val="center"/>
          </w:tcPr>
          <w:p w14:paraId="512593CC"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962,331 </w:t>
            </w:r>
          </w:p>
        </w:tc>
        <w:tc>
          <w:tcPr>
            <w:tcW w:w="1290" w:type="dxa"/>
            <w:tcBorders>
              <w:top w:val="nil"/>
              <w:left w:val="nil"/>
              <w:bottom w:val="single" w:sz="4" w:space="0" w:color="auto"/>
              <w:right w:val="single" w:sz="4" w:space="0" w:color="auto"/>
            </w:tcBorders>
            <w:shd w:val="clear" w:color="auto" w:fill="auto"/>
            <w:noWrap/>
            <w:vAlign w:val="center"/>
          </w:tcPr>
          <w:p w14:paraId="29A3E66E"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1,062,147 </w:t>
            </w:r>
          </w:p>
        </w:tc>
        <w:tc>
          <w:tcPr>
            <w:tcW w:w="1236" w:type="dxa"/>
            <w:tcBorders>
              <w:top w:val="nil"/>
              <w:left w:val="nil"/>
              <w:bottom w:val="single" w:sz="4" w:space="0" w:color="auto"/>
              <w:right w:val="single" w:sz="4" w:space="0" w:color="auto"/>
            </w:tcBorders>
            <w:shd w:val="clear" w:color="auto" w:fill="auto"/>
            <w:noWrap/>
            <w:vAlign w:val="center"/>
          </w:tcPr>
          <w:p w14:paraId="0FCBE454"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1,175,649 </w:t>
            </w:r>
          </w:p>
        </w:tc>
        <w:tc>
          <w:tcPr>
            <w:tcW w:w="1208" w:type="dxa"/>
            <w:tcBorders>
              <w:top w:val="nil"/>
              <w:left w:val="nil"/>
              <w:bottom w:val="single" w:sz="4" w:space="0" w:color="auto"/>
              <w:right w:val="single" w:sz="4" w:space="0" w:color="auto"/>
            </w:tcBorders>
            <w:shd w:val="clear" w:color="auto" w:fill="auto"/>
            <w:noWrap/>
            <w:vAlign w:val="center"/>
          </w:tcPr>
          <w:p w14:paraId="1C03203E"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1.9%</w:t>
            </w:r>
          </w:p>
        </w:tc>
      </w:tr>
    </w:tbl>
    <w:p w14:paraId="642E0806" w14:textId="77777777" w:rsidR="003A0016" w:rsidRPr="007A7733" w:rsidRDefault="003A0016" w:rsidP="003A0016">
      <w:pPr>
        <w:pStyle w:val="IRPFigureSub"/>
      </w:pPr>
    </w:p>
    <w:p w14:paraId="54F6A7A5" w14:textId="77777777" w:rsidR="00615718" w:rsidRDefault="00615718">
      <w:pPr>
        <w:rPr>
          <w:rFonts w:ascii="Arial" w:hAnsi="Arial"/>
          <w:i/>
          <w:sz w:val="20"/>
          <w:szCs w:val="22"/>
        </w:rPr>
      </w:pPr>
      <w:r>
        <w:br w:type="page"/>
      </w:r>
    </w:p>
    <w:p w14:paraId="72E51858" w14:textId="77777777" w:rsidR="00A15361" w:rsidRDefault="003A0016" w:rsidP="003A0016">
      <w:pPr>
        <w:pStyle w:val="IRPsanstext"/>
      </w:pPr>
      <w:r w:rsidRPr="00615718">
        <w:rPr>
          <w:b/>
          <w:color w:val="156570"/>
          <w:sz w:val="28"/>
        </w:rPr>
        <w:lastRenderedPageBreak/>
        <w:t>Gas Use per Customer.</w:t>
      </w:r>
      <w:r>
        <w:t xml:space="preserve"> Residential use per customer is relatively </w:t>
      </w:r>
      <w:r w:rsidRPr="00902BB0">
        <w:t>flat</w:t>
      </w:r>
      <w:r>
        <w:t xml:space="preserve">, showing a </w:t>
      </w:r>
    </w:p>
    <w:p w14:paraId="59E3DAAF" w14:textId="77777777" w:rsidR="003A0016" w:rsidRDefault="003A0016" w:rsidP="003A0016">
      <w:pPr>
        <w:pStyle w:val="IRPsanstext"/>
      </w:pPr>
      <w:r>
        <w:t>-0.1 percent average annual growth for the forecast period</w:t>
      </w:r>
      <w:r w:rsidRPr="00902BB0">
        <w:t xml:space="preserve">. </w:t>
      </w:r>
      <w:r>
        <w:t xml:space="preserve">Commercial use per customer is expected to rise 0.4 percent annually over the forecast horizon. Industrial use per customer has been declining in recent years, but lower gas prices increase use somewhat, keeping industrial usage essentially flat.   </w:t>
      </w:r>
    </w:p>
    <w:p w14:paraId="15494903" w14:textId="77777777" w:rsidR="00615718" w:rsidRDefault="00615718" w:rsidP="00615718">
      <w:pPr>
        <w:pStyle w:val="IRPFigureSub"/>
        <w:jc w:val="left"/>
      </w:pPr>
    </w:p>
    <w:p w14:paraId="3782BEF9" w14:textId="77777777" w:rsidR="00615718" w:rsidRDefault="00615718" w:rsidP="00615718">
      <w:pPr>
        <w:pStyle w:val="IRPFigureSub"/>
        <w:spacing w:after="120"/>
      </w:pPr>
      <w:r w:rsidRPr="000A576F">
        <w:t xml:space="preserve">Figure </w:t>
      </w:r>
      <w:r>
        <w:t xml:space="preserve">5-38: </w:t>
      </w:r>
      <w:r w:rsidRPr="000A576F">
        <w:t>Gas Use per Customer, 201</w:t>
      </w:r>
      <w:r w:rsidRPr="009F45E6">
        <w:t>5</w:t>
      </w:r>
      <w:r w:rsidRPr="000A576F">
        <w:t xml:space="preserve"> IRP </w:t>
      </w:r>
      <w:r>
        <w:t xml:space="preserve">Gas </w:t>
      </w:r>
      <w:r w:rsidRPr="000A576F">
        <w:t>Base Demand Forecast</w:t>
      </w:r>
      <w:r>
        <w:t xml:space="preserve"> before DSR   </w:t>
      </w:r>
    </w:p>
    <w:tbl>
      <w:tblPr>
        <w:tblW w:w="8645" w:type="dxa"/>
        <w:tblInd w:w="103" w:type="dxa"/>
        <w:tblLook w:val="04A0" w:firstRow="1" w:lastRow="0" w:firstColumn="1" w:lastColumn="0" w:noHBand="0" w:noVBand="1"/>
      </w:tblPr>
      <w:tblGrid>
        <w:gridCol w:w="1288"/>
        <w:gridCol w:w="1327"/>
        <w:gridCol w:w="1170"/>
        <w:gridCol w:w="1170"/>
        <w:gridCol w:w="1260"/>
        <w:gridCol w:w="1170"/>
        <w:gridCol w:w="1260"/>
      </w:tblGrid>
      <w:tr w:rsidR="00615718" w:rsidRPr="00615718" w14:paraId="4B837067" w14:textId="77777777">
        <w:trPr>
          <w:trHeight w:val="300"/>
        </w:trPr>
        <w:tc>
          <w:tcPr>
            <w:tcW w:w="864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2DE529DB" w14:textId="77777777" w:rsidR="00615718" w:rsidRPr="00A54A99" w:rsidRDefault="00615718" w:rsidP="00615718">
            <w:pPr>
              <w:spacing w:after="40"/>
              <w:jc w:val="center"/>
              <w:rPr>
                <w:rFonts w:ascii="Arial" w:eastAsia="Times New Roman" w:hAnsi="Arial"/>
                <w:b/>
                <w:caps/>
                <w:color w:val="FFFFFF" w:themeColor="background1"/>
                <w:sz w:val="20"/>
                <w:szCs w:val="20"/>
                <w:lang w:eastAsia="en-US"/>
              </w:rPr>
            </w:pPr>
            <w:r w:rsidRPr="00A54A99">
              <w:rPr>
                <w:rFonts w:ascii="Arial" w:eastAsia="Times New Roman" w:hAnsi="Arial"/>
                <w:b/>
                <w:caps/>
                <w:color w:val="FFFFFF" w:themeColor="background1"/>
                <w:sz w:val="20"/>
                <w:szCs w:val="20"/>
                <w:lang w:eastAsia="en-US"/>
              </w:rPr>
              <w:t>Use Per Customer (Therms) from 2015 IRP Gas Base Demand Forecast</w:t>
            </w:r>
          </w:p>
        </w:tc>
      </w:tr>
      <w:tr w:rsidR="00615718" w:rsidRPr="00615718" w14:paraId="4667C2F1" w14:textId="77777777">
        <w:trPr>
          <w:trHeight w:val="600"/>
        </w:trPr>
        <w:tc>
          <w:tcPr>
            <w:tcW w:w="1288" w:type="dxa"/>
            <w:tcBorders>
              <w:top w:val="nil"/>
              <w:left w:val="single" w:sz="4" w:space="0" w:color="auto"/>
              <w:bottom w:val="single" w:sz="4" w:space="0" w:color="auto"/>
              <w:right w:val="single" w:sz="4" w:space="0" w:color="auto"/>
            </w:tcBorders>
            <w:shd w:val="clear" w:color="auto" w:fill="156570"/>
            <w:noWrap/>
            <w:vAlign w:val="center"/>
          </w:tcPr>
          <w:p w14:paraId="0C7C01F4" w14:textId="77777777" w:rsidR="00615718" w:rsidRPr="008B5F11" w:rsidRDefault="00615718" w:rsidP="00615718">
            <w:pP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 </w:t>
            </w:r>
            <w:r w:rsidR="008B5F11" w:rsidRPr="008B5F11">
              <w:rPr>
                <w:rFonts w:ascii="Arial" w:eastAsia="Times New Roman" w:hAnsi="Arial"/>
                <w:b/>
                <w:color w:val="FFFFFF" w:themeColor="background1"/>
                <w:sz w:val="20"/>
                <w:szCs w:val="20"/>
                <w:lang w:eastAsia="en-US"/>
              </w:rPr>
              <w:t>Customer</w:t>
            </w:r>
          </w:p>
        </w:tc>
        <w:tc>
          <w:tcPr>
            <w:tcW w:w="1327" w:type="dxa"/>
            <w:tcBorders>
              <w:top w:val="nil"/>
              <w:left w:val="nil"/>
              <w:bottom w:val="single" w:sz="4" w:space="0" w:color="auto"/>
              <w:right w:val="single" w:sz="4" w:space="0" w:color="auto"/>
            </w:tcBorders>
            <w:shd w:val="clear" w:color="auto" w:fill="156570"/>
            <w:noWrap/>
            <w:vAlign w:val="center"/>
          </w:tcPr>
          <w:p w14:paraId="0C639BA6"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2016</w:t>
            </w:r>
          </w:p>
        </w:tc>
        <w:tc>
          <w:tcPr>
            <w:tcW w:w="1170" w:type="dxa"/>
            <w:tcBorders>
              <w:top w:val="nil"/>
              <w:left w:val="nil"/>
              <w:bottom w:val="single" w:sz="4" w:space="0" w:color="auto"/>
              <w:right w:val="single" w:sz="4" w:space="0" w:color="auto"/>
            </w:tcBorders>
            <w:shd w:val="clear" w:color="auto" w:fill="156570"/>
            <w:noWrap/>
            <w:vAlign w:val="center"/>
          </w:tcPr>
          <w:p w14:paraId="6456F702"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2020</w:t>
            </w:r>
          </w:p>
        </w:tc>
        <w:tc>
          <w:tcPr>
            <w:tcW w:w="1170" w:type="dxa"/>
            <w:tcBorders>
              <w:top w:val="nil"/>
              <w:left w:val="nil"/>
              <w:bottom w:val="single" w:sz="4" w:space="0" w:color="auto"/>
              <w:right w:val="single" w:sz="4" w:space="0" w:color="auto"/>
            </w:tcBorders>
            <w:shd w:val="clear" w:color="auto" w:fill="156570"/>
            <w:noWrap/>
            <w:vAlign w:val="center"/>
          </w:tcPr>
          <w:p w14:paraId="774F0168"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2025</w:t>
            </w:r>
          </w:p>
        </w:tc>
        <w:tc>
          <w:tcPr>
            <w:tcW w:w="1260" w:type="dxa"/>
            <w:tcBorders>
              <w:top w:val="nil"/>
              <w:left w:val="nil"/>
              <w:bottom w:val="single" w:sz="4" w:space="0" w:color="auto"/>
              <w:right w:val="single" w:sz="4" w:space="0" w:color="auto"/>
            </w:tcBorders>
            <w:shd w:val="clear" w:color="auto" w:fill="156570"/>
            <w:noWrap/>
            <w:vAlign w:val="center"/>
          </w:tcPr>
          <w:p w14:paraId="2CF5F263"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2030</w:t>
            </w:r>
          </w:p>
        </w:tc>
        <w:tc>
          <w:tcPr>
            <w:tcW w:w="1170" w:type="dxa"/>
            <w:tcBorders>
              <w:top w:val="nil"/>
              <w:left w:val="nil"/>
              <w:bottom w:val="single" w:sz="4" w:space="0" w:color="auto"/>
              <w:right w:val="single" w:sz="4" w:space="0" w:color="auto"/>
            </w:tcBorders>
            <w:shd w:val="clear" w:color="auto" w:fill="156570"/>
            <w:noWrap/>
            <w:vAlign w:val="center"/>
          </w:tcPr>
          <w:p w14:paraId="72608053"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2035</w:t>
            </w:r>
          </w:p>
        </w:tc>
        <w:tc>
          <w:tcPr>
            <w:tcW w:w="1260" w:type="dxa"/>
            <w:tcBorders>
              <w:top w:val="nil"/>
              <w:left w:val="nil"/>
              <w:bottom w:val="single" w:sz="4" w:space="0" w:color="auto"/>
              <w:right w:val="single" w:sz="4" w:space="0" w:color="auto"/>
            </w:tcBorders>
            <w:shd w:val="clear" w:color="auto" w:fill="156570"/>
            <w:vAlign w:val="center"/>
          </w:tcPr>
          <w:p w14:paraId="7B27F17A"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AARG 2016-2035</w:t>
            </w:r>
          </w:p>
        </w:tc>
      </w:tr>
      <w:tr w:rsidR="00615718" w:rsidRPr="00615718" w14:paraId="666E96A6" w14:textId="77777777">
        <w:trPr>
          <w:trHeight w:val="395"/>
        </w:trPr>
        <w:tc>
          <w:tcPr>
            <w:tcW w:w="1288" w:type="dxa"/>
            <w:tcBorders>
              <w:top w:val="nil"/>
              <w:left w:val="single" w:sz="4" w:space="0" w:color="auto"/>
              <w:bottom w:val="single" w:sz="4" w:space="0" w:color="auto"/>
              <w:right w:val="single" w:sz="4" w:space="0" w:color="auto"/>
            </w:tcBorders>
            <w:shd w:val="clear" w:color="auto" w:fill="auto"/>
            <w:noWrap/>
            <w:vAlign w:val="center"/>
          </w:tcPr>
          <w:p w14:paraId="15AE6781" w14:textId="77777777" w:rsidR="00615718" w:rsidRPr="00615718" w:rsidRDefault="00615718" w:rsidP="00615718">
            <w:pP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Residential</w:t>
            </w:r>
          </w:p>
        </w:tc>
        <w:tc>
          <w:tcPr>
            <w:tcW w:w="1327" w:type="dxa"/>
            <w:tcBorders>
              <w:top w:val="nil"/>
              <w:left w:val="nil"/>
              <w:bottom w:val="single" w:sz="4" w:space="0" w:color="auto"/>
              <w:right w:val="single" w:sz="4" w:space="0" w:color="auto"/>
            </w:tcBorders>
            <w:shd w:val="clear" w:color="auto" w:fill="auto"/>
            <w:noWrap/>
            <w:vAlign w:val="center"/>
          </w:tcPr>
          <w:p w14:paraId="5EC56C12"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827 </w:t>
            </w:r>
          </w:p>
        </w:tc>
        <w:tc>
          <w:tcPr>
            <w:tcW w:w="1170" w:type="dxa"/>
            <w:tcBorders>
              <w:top w:val="nil"/>
              <w:left w:val="nil"/>
              <w:bottom w:val="single" w:sz="4" w:space="0" w:color="auto"/>
              <w:right w:val="single" w:sz="4" w:space="0" w:color="auto"/>
            </w:tcBorders>
            <w:shd w:val="clear" w:color="auto" w:fill="auto"/>
            <w:noWrap/>
            <w:vAlign w:val="center"/>
          </w:tcPr>
          <w:p w14:paraId="56CFCED2"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826 </w:t>
            </w:r>
          </w:p>
        </w:tc>
        <w:tc>
          <w:tcPr>
            <w:tcW w:w="1170" w:type="dxa"/>
            <w:tcBorders>
              <w:top w:val="nil"/>
              <w:left w:val="nil"/>
              <w:bottom w:val="single" w:sz="4" w:space="0" w:color="auto"/>
              <w:right w:val="single" w:sz="4" w:space="0" w:color="auto"/>
            </w:tcBorders>
            <w:shd w:val="clear" w:color="auto" w:fill="auto"/>
            <w:noWrap/>
            <w:vAlign w:val="center"/>
          </w:tcPr>
          <w:p w14:paraId="7D3E37C9"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814 </w:t>
            </w:r>
          </w:p>
        </w:tc>
        <w:tc>
          <w:tcPr>
            <w:tcW w:w="1260" w:type="dxa"/>
            <w:tcBorders>
              <w:top w:val="nil"/>
              <w:left w:val="nil"/>
              <w:bottom w:val="single" w:sz="4" w:space="0" w:color="auto"/>
              <w:right w:val="single" w:sz="4" w:space="0" w:color="auto"/>
            </w:tcBorders>
            <w:shd w:val="clear" w:color="auto" w:fill="auto"/>
            <w:noWrap/>
            <w:vAlign w:val="center"/>
          </w:tcPr>
          <w:p w14:paraId="56EF10A1"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808 </w:t>
            </w:r>
          </w:p>
        </w:tc>
        <w:tc>
          <w:tcPr>
            <w:tcW w:w="1170" w:type="dxa"/>
            <w:tcBorders>
              <w:top w:val="nil"/>
              <w:left w:val="nil"/>
              <w:bottom w:val="single" w:sz="4" w:space="0" w:color="auto"/>
              <w:right w:val="single" w:sz="4" w:space="0" w:color="auto"/>
            </w:tcBorders>
            <w:shd w:val="clear" w:color="auto" w:fill="auto"/>
            <w:noWrap/>
            <w:vAlign w:val="center"/>
          </w:tcPr>
          <w:p w14:paraId="2C5DDF02"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812 </w:t>
            </w:r>
          </w:p>
        </w:tc>
        <w:tc>
          <w:tcPr>
            <w:tcW w:w="1260" w:type="dxa"/>
            <w:tcBorders>
              <w:top w:val="nil"/>
              <w:left w:val="nil"/>
              <w:bottom w:val="single" w:sz="4" w:space="0" w:color="auto"/>
              <w:right w:val="single" w:sz="4" w:space="0" w:color="auto"/>
            </w:tcBorders>
            <w:shd w:val="clear" w:color="auto" w:fill="auto"/>
            <w:noWrap/>
            <w:vAlign w:val="center"/>
          </w:tcPr>
          <w:p w14:paraId="2841267F" w14:textId="77777777" w:rsidR="00615718" w:rsidRPr="00615718" w:rsidRDefault="00615718" w:rsidP="00615718">
            <w:pPr>
              <w:jc w:val="cente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-0.1%</w:t>
            </w:r>
          </w:p>
        </w:tc>
      </w:tr>
      <w:tr w:rsidR="00615718" w:rsidRPr="00615718" w14:paraId="0767D8DC" w14:textId="77777777">
        <w:trPr>
          <w:trHeight w:val="431"/>
        </w:trPr>
        <w:tc>
          <w:tcPr>
            <w:tcW w:w="1288" w:type="dxa"/>
            <w:tcBorders>
              <w:top w:val="nil"/>
              <w:left w:val="single" w:sz="4" w:space="0" w:color="auto"/>
              <w:bottom w:val="single" w:sz="4" w:space="0" w:color="auto"/>
              <w:right w:val="single" w:sz="4" w:space="0" w:color="auto"/>
            </w:tcBorders>
            <w:shd w:val="clear" w:color="auto" w:fill="auto"/>
            <w:noWrap/>
            <w:vAlign w:val="center"/>
          </w:tcPr>
          <w:p w14:paraId="3B964734" w14:textId="77777777" w:rsidR="00615718" w:rsidRPr="00615718" w:rsidRDefault="00615718" w:rsidP="00615718">
            <w:pP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Commercial</w:t>
            </w:r>
          </w:p>
        </w:tc>
        <w:tc>
          <w:tcPr>
            <w:tcW w:w="1327" w:type="dxa"/>
            <w:tcBorders>
              <w:top w:val="nil"/>
              <w:left w:val="nil"/>
              <w:bottom w:val="single" w:sz="4" w:space="0" w:color="auto"/>
              <w:right w:val="single" w:sz="4" w:space="0" w:color="auto"/>
            </w:tcBorders>
            <w:shd w:val="clear" w:color="auto" w:fill="auto"/>
            <w:noWrap/>
            <w:vAlign w:val="center"/>
          </w:tcPr>
          <w:p w14:paraId="0F367B1F"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4,920 </w:t>
            </w:r>
          </w:p>
        </w:tc>
        <w:tc>
          <w:tcPr>
            <w:tcW w:w="1170" w:type="dxa"/>
            <w:tcBorders>
              <w:top w:val="nil"/>
              <w:left w:val="nil"/>
              <w:bottom w:val="single" w:sz="4" w:space="0" w:color="auto"/>
              <w:right w:val="single" w:sz="4" w:space="0" w:color="auto"/>
            </w:tcBorders>
            <w:shd w:val="clear" w:color="auto" w:fill="auto"/>
            <w:noWrap/>
            <w:vAlign w:val="center"/>
          </w:tcPr>
          <w:p w14:paraId="381E16F3"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5,021 </w:t>
            </w:r>
          </w:p>
        </w:tc>
        <w:tc>
          <w:tcPr>
            <w:tcW w:w="1170" w:type="dxa"/>
            <w:tcBorders>
              <w:top w:val="nil"/>
              <w:left w:val="nil"/>
              <w:bottom w:val="single" w:sz="4" w:space="0" w:color="auto"/>
              <w:right w:val="single" w:sz="4" w:space="0" w:color="auto"/>
            </w:tcBorders>
            <w:shd w:val="clear" w:color="auto" w:fill="auto"/>
            <w:noWrap/>
            <w:vAlign w:val="center"/>
          </w:tcPr>
          <w:p w14:paraId="75633513"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5,110 </w:t>
            </w:r>
          </w:p>
        </w:tc>
        <w:tc>
          <w:tcPr>
            <w:tcW w:w="1260" w:type="dxa"/>
            <w:tcBorders>
              <w:top w:val="nil"/>
              <w:left w:val="nil"/>
              <w:bottom w:val="single" w:sz="4" w:space="0" w:color="auto"/>
              <w:right w:val="single" w:sz="4" w:space="0" w:color="auto"/>
            </w:tcBorders>
            <w:shd w:val="clear" w:color="auto" w:fill="auto"/>
            <w:noWrap/>
            <w:vAlign w:val="center"/>
          </w:tcPr>
          <w:p w14:paraId="79F82112"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5,211 </w:t>
            </w:r>
          </w:p>
        </w:tc>
        <w:tc>
          <w:tcPr>
            <w:tcW w:w="1170" w:type="dxa"/>
            <w:tcBorders>
              <w:top w:val="nil"/>
              <w:left w:val="nil"/>
              <w:bottom w:val="single" w:sz="4" w:space="0" w:color="auto"/>
              <w:right w:val="single" w:sz="4" w:space="0" w:color="auto"/>
            </w:tcBorders>
            <w:shd w:val="clear" w:color="auto" w:fill="auto"/>
            <w:noWrap/>
            <w:vAlign w:val="center"/>
          </w:tcPr>
          <w:p w14:paraId="3F19A374"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5,346 </w:t>
            </w:r>
          </w:p>
        </w:tc>
        <w:tc>
          <w:tcPr>
            <w:tcW w:w="1260" w:type="dxa"/>
            <w:tcBorders>
              <w:top w:val="nil"/>
              <w:left w:val="nil"/>
              <w:bottom w:val="single" w:sz="4" w:space="0" w:color="auto"/>
              <w:right w:val="single" w:sz="4" w:space="0" w:color="auto"/>
            </w:tcBorders>
            <w:shd w:val="clear" w:color="auto" w:fill="auto"/>
            <w:noWrap/>
            <w:vAlign w:val="center"/>
          </w:tcPr>
          <w:p w14:paraId="55A072FB" w14:textId="77777777" w:rsidR="00615718" w:rsidRPr="00615718" w:rsidRDefault="00615718" w:rsidP="00615718">
            <w:pPr>
              <w:jc w:val="cente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0.4%</w:t>
            </w:r>
          </w:p>
        </w:tc>
      </w:tr>
      <w:tr w:rsidR="00615718" w:rsidRPr="00615718" w14:paraId="585D21A4" w14:textId="77777777">
        <w:trPr>
          <w:trHeight w:val="440"/>
        </w:trPr>
        <w:tc>
          <w:tcPr>
            <w:tcW w:w="1288" w:type="dxa"/>
            <w:tcBorders>
              <w:top w:val="nil"/>
              <w:left w:val="single" w:sz="4" w:space="0" w:color="auto"/>
              <w:bottom w:val="single" w:sz="4" w:space="0" w:color="auto"/>
              <w:right w:val="single" w:sz="4" w:space="0" w:color="auto"/>
            </w:tcBorders>
            <w:shd w:val="clear" w:color="auto" w:fill="auto"/>
            <w:noWrap/>
            <w:vAlign w:val="center"/>
          </w:tcPr>
          <w:p w14:paraId="35F722F3" w14:textId="77777777" w:rsidR="00615718" w:rsidRPr="00615718" w:rsidRDefault="00615718" w:rsidP="00615718">
            <w:pP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Industrial</w:t>
            </w:r>
          </w:p>
        </w:tc>
        <w:tc>
          <w:tcPr>
            <w:tcW w:w="1327" w:type="dxa"/>
            <w:tcBorders>
              <w:top w:val="nil"/>
              <w:left w:val="nil"/>
              <w:bottom w:val="single" w:sz="4" w:space="0" w:color="auto"/>
              <w:right w:val="single" w:sz="4" w:space="0" w:color="auto"/>
            </w:tcBorders>
            <w:shd w:val="clear" w:color="auto" w:fill="auto"/>
            <w:noWrap/>
            <w:vAlign w:val="center"/>
          </w:tcPr>
          <w:p w14:paraId="65049280"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11,696 </w:t>
            </w:r>
          </w:p>
        </w:tc>
        <w:tc>
          <w:tcPr>
            <w:tcW w:w="1170" w:type="dxa"/>
            <w:tcBorders>
              <w:top w:val="nil"/>
              <w:left w:val="nil"/>
              <w:bottom w:val="single" w:sz="4" w:space="0" w:color="auto"/>
              <w:right w:val="single" w:sz="4" w:space="0" w:color="auto"/>
            </w:tcBorders>
            <w:shd w:val="clear" w:color="auto" w:fill="auto"/>
            <w:noWrap/>
            <w:vAlign w:val="center"/>
          </w:tcPr>
          <w:p w14:paraId="7B752A9D"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11,870 </w:t>
            </w:r>
          </w:p>
        </w:tc>
        <w:tc>
          <w:tcPr>
            <w:tcW w:w="1170" w:type="dxa"/>
            <w:tcBorders>
              <w:top w:val="nil"/>
              <w:left w:val="nil"/>
              <w:bottom w:val="single" w:sz="4" w:space="0" w:color="auto"/>
              <w:right w:val="single" w:sz="4" w:space="0" w:color="auto"/>
            </w:tcBorders>
            <w:shd w:val="clear" w:color="auto" w:fill="auto"/>
            <w:noWrap/>
            <w:vAlign w:val="center"/>
          </w:tcPr>
          <w:p w14:paraId="58F0BB60"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11,946 </w:t>
            </w:r>
          </w:p>
        </w:tc>
        <w:tc>
          <w:tcPr>
            <w:tcW w:w="1260" w:type="dxa"/>
            <w:tcBorders>
              <w:top w:val="nil"/>
              <w:left w:val="nil"/>
              <w:bottom w:val="single" w:sz="4" w:space="0" w:color="auto"/>
              <w:right w:val="single" w:sz="4" w:space="0" w:color="auto"/>
            </w:tcBorders>
            <w:shd w:val="clear" w:color="auto" w:fill="auto"/>
            <w:noWrap/>
            <w:vAlign w:val="center"/>
          </w:tcPr>
          <w:p w14:paraId="265132E9"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11,909 </w:t>
            </w:r>
          </w:p>
        </w:tc>
        <w:tc>
          <w:tcPr>
            <w:tcW w:w="1170" w:type="dxa"/>
            <w:tcBorders>
              <w:top w:val="nil"/>
              <w:left w:val="nil"/>
              <w:bottom w:val="single" w:sz="4" w:space="0" w:color="auto"/>
              <w:right w:val="single" w:sz="4" w:space="0" w:color="auto"/>
            </w:tcBorders>
            <w:shd w:val="clear" w:color="auto" w:fill="auto"/>
            <w:noWrap/>
            <w:vAlign w:val="center"/>
          </w:tcPr>
          <w:p w14:paraId="141AD0BD"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11,781 </w:t>
            </w:r>
          </w:p>
        </w:tc>
        <w:tc>
          <w:tcPr>
            <w:tcW w:w="1260" w:type="dxa"/>
            <w:tcBorders>
              <w:top w:val="nil"/>
              <w:left w:val="nil"/>
              <w:bottom w:val="single" w:sz="4" w:space="0" w:color="auto"/>
              <w:right w:val="single" w:sz="4" w:space="0" w:color="auto"/>
            </w:tcBorders>
            <w:shd w:val="clear" w:color="auto" w:fill="auto"/>
            <w:noWrap/>
            <w:vAlign w:val="center"/>
          </w:tcPr>
          <w:p w14:paraId="63C6B00F" w14:textId="77777777" w:rsidR="00615718" w:rsidRPr="00615718" w:rsidRDefault="00615718" w:rsidP="00615718">
            <w:pPr>
              <w:jc w:val="cente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0.0%</w:t>
            </w:r>
          </w:p>
        </w:tc>
      </w:tr>
    </w:tbl>
    <w:p w14:paraId="07E06387" w14:textId="77777777" w:rsidR="00615718" w:rsidRPr="00615718" w:rsidRDefault="00615718" w:rsidP="00615718">
      <w:pPr>
        <w:pStyle w:val="IRPsanstext"/>
      </w:pPr>
    </w:p>
    <w:p w14:paraId="4656E871" w14:textId="77777777" w:rsidR="00615718" w:rsidRDefault="00615718">
      <w:pPr>
        <w:rPr>
          <w:rFonts w:ascii="Arial" w:hAnsi="Arial"/>
          <w:sz w:val="20"/>
          <w:szCs w:val="20"/>
        </w:rPr>
      </w:pPr>
      <w:r>
        <w:br w:type="page"/>
      </w:r>
    </w:p>
    <w:p w14:paraId="5B771509" w14:textId="77777777" w:rsidR="00A15361" w:rsidRDefault="00615718" w:rsidP="00615718">
      <w:pPr>
        <w:pStyle w:val="IRPsanstext"/>
      </w:pPr>
      <w:bookmarkStart w:id="0" w:name="_GoBack"/>
      <w:bookmarkEnd w:id="0"/>
      <w:r w:rsidRPr="00615718">
        <w:rPr>
          <w:b/>
          <w:color w:val="156570"/>
          <w:sz w:val="28"/>
        </w:rPr>
        <w:lastRenderedPageBreak/>
        <w:t>Gas Load by Class</w:t>
      </w:r>
      <w:r w:rsidRPr="00615718">
        <w:rPr>
          <w:b/>
          <w:color w:val="156570"/>
        </w:rPr>
        <w:t>.</w:t>
      </w:r>
      <w:r>
        <w:t xml:space="preserve"> Total system load, including transport load, is expected to increase at a rate of 1.4 percent annually between 2016 and 2035.   Residential loads, which represent </w:t>
      </w:r>
    </w:p>
    <w:p w14:paraId="026ED71C" w14:textId="77777777" w:rsidR="00615718" w:rsidRDefault="00615718" w:rsidP="00615718">
      <w:pPr>
        <w:pStyle w:val="IRPsanstext"/>
      </w:pPr>
      <w:r>
        <w:t xml:space="preserve">51 percent of load in 2016,  are expected to increase by 1.8% annually during the forecast period. Commercial loads, which represent 23 percent of 2016 load, </w:t>
      </w:r>
      <w:r w:rsidRPr="00C54BB6">
        <w:t>are expe</w:t>
      </w:r>
      <w:r>
        <w:t>cted to increase</w:t>
      </w:r>
      <w:r w:rsidRPr="00C54BB6">
        <w:t xml:space="preserve"> 2.0 perc</w:t>
      </w:r>
      <w:r>
        <w:t>ent annually</w:t>
      </w:r>
      <w:r w:rsidRPr="00C54BB6">
        <w:t xml:space="preserve">.  </w:t>
      </w:r>
    </w:p>
    <w:p w14:paraId="713F02AB" w14:textId="77777777" w:rsidR="00615718" w:rsidRDefault="00615718" w:rsidP="00615718">
      <w:pPr>
        <w:pStyle w:val="IRPsanstext"/>
      </w:pPr>
    </w:p>
    <w:p w14:paraId="19564E7D" w14:textId="77777777" w:rsidR="00615718" w:rsidRPr="0015027B" w:rsidRDefault="00615718" w:rsidP="00615718">
      <w:pPr>
        <w:pStyle w:val="IRPsanstext"/>
        <w:rPr>
          <w:highlight w:val="cyan"/>
        </w:rPr>
      </w:pPr>
      <w:r>
        <w:t>P</w:t>
      </w:r>
      <w:r w:rsidRPr="00C54BB6">
        <w:t>opulation growth</w:t>
      </w:r>
      <w:r>
        <w:t xml:space="preserve"> </w:t>
      </w:r>
      <w:r w:rsidRPr="00C54BB6">
        <w:t xml:space="preserve">and </w:t>
      </w:r>
      <w:r>
        <w:t xml:space="preserve">electric-to-gas </w:t>
      </w:r>
      <w:r w:rsidRPr="00C54BB6">
        <w:t>co</w:t>
      </w:r>
      <w:r>
        <w:t xml:space="preserve">nversions are driving residential load growth.  </w:t>
      </w:r>
      <w:r>
        <w:rPr>
          <w:color w:val="3366FF"/>
        </w:rPr>
        <w:t xml:space="preserve"> </w:t>
      </w:r>
      <w:r>
        <w:t xml:space="preserve">Commercial load growth is driven by increases in both customer counts and use per customer. Some sectors, among them </w:t>
      </w:r>
      <w:r w:rsidRPr="009663B9">
        <w:t>industrial, i</w:t>
      </w:r>
      <w:r>
        <w:t>nterruptible and transport,</w:t>
      </w:r>
      <w:r w:rsidRPr="009663B9">
        <w:t xml:space="preserve"> are expected to decline slightly, continuing</w:t>
      </w:r>
      <w:r>
        <w:t xml:space="preserve"> a more than</w:t>
      </w:r>
      <w:r w:rsidRPr="009663B9">
        <w:t xml:space="preserve"> decade-long trend of slowing manufacturing employment.</w:t>
      </w:r>
      <w:r>
        <w:t xml:space="preserve"> </w:t>
      </w:r>
    </w:p>
    <w:p w14:paraId="1F0DDF43" w14:textId="77777777" w:rsidR="00615718" w:rsidRDefault="00615718" w:rsidP="00615718">
      <w:pPr>
        <w:pStyle w:val="IRPFigureSub"/>
      </w:pPr>
    </w:p>
    <w:p w14:paraId="723ADC9C" w14:textId="77777777" w:rsidR="00615718" w:rsidRDefault="00615718" w:rsidP="00615718">
      <w:pPr>
        <w:pStyle w:val="IRPFigureSub"/>
        <w:spacing w:after="120"/>
      </w:pPr>
      <w:r w:rsidRPr="00385861">
        <w:t xml:space="preserve">Figure </w:t>
      </w:r>
      <w:r>
        <w:t xml:space="preserve">5-39: </w:t>
      </w:r>
      <w:r w:rsidRPr="008B1471">
        <w:t xml:space="preserve">Gas </w:t>
      </w:r>
      <w:r w:rsidRPr="009F45E6">
        <w:t>Loads</w:t>
      </w:r>
      <w:r w:rsidRPr="008B1471">
        <w:t xml:space="preserve"> </w:t>
      </w:r>
      <w:r w:rsidRPr="00947285">
        <w:t>by Class</w:t>
      </w:r>
      <w:r>
        <w:t xml:space="preserve"> (</w:t>
      </w:r>
      <w:proofErr w:type="spellStart"/>
      <w:r>
        <w:t>Mdth</w:t>
      </w:r>
      <w:proofErr w:type="spellEnd"/>
      <w:r>
        <w:t>)</w:t>
      </w:r>
      <w:r w:rsidRPr="00947285">
        <w:t xml:space="preserve">, </w:t>
      </w:r>
      <w:r w:rsidRPr="008D61CF">
        <w:t>201</w:t>
      </w:r>
      <w:r w:rsidRPr="009F45E6">
        <w:t>5</w:t>
      </w:r>
      <w:r w:rsidRPr="008B1471">
        <w:t xml:space="preserve"> </w:t>
      </w:r>
      <w:r w:rsidRPr="00947285">
        <w:t xml:space="preserve">IRP </w:t>
      </w:r>
      <w:r>
        <w:t xml:space="preserve">Gas </w:t>
      </w:r>
      <w:r w:rsidRPr="00947285">
        <w:t>Base Demand Forecast</w:t>
      </w:r>
      <w:r w:rsidR="00E035EC">
        <w:t xml:space="preserve"> before DSR</w:t>
      </w:r>
    </w:p>
    <w:tbl>
      <w:tblPr>
        <w:tblW w:w="8720" w:type="dxa"/>
        <w:tblInd w:w="103" w:type="dxa"/>
        <w:tblLook w:val="04A0" w:firstRow="1" w:lastRow="0" w:firstColumn="1" w:lastColumn="0" w:noHBand="0" w:noVBand="1"/>
      </w:tblPr>
      <w:tblGrid>
        <w:gridCol w:w="2680"/>
        <w:gridCol w:w="960"/>
        <w:gridCol w:w="960"/>
        <w:gridCol w:w="960"/>
        <w:gridCol w:w="960"/>
        <w:gridCol w:w="960"/>
        <w:gridCol w:w="1240"/>
      </w:tblGrid>
      <w:tr w:rsidR="00615718" w:rsidRPr="00615718" w14:paraId="274AB37C" w14:textId="77777777">
        <w:trPr>
          <w:trHeight w:val="300"/>
        </w:trPr>
        <w:tc>
          <w:tcPr>
            <w:tcW w:w="8720" w:type="dxa"/>
            <w:gridSpan w:val="7"/>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572E539E" w14:textId="77777777" w:rsidR="00615718" w:rsidRPr="005C4660" w:rsidRDefault="00615718" w:rsidP="00615718">
            <w:pPr>
              <w:spacing w:after="40"/>
              <w:jc w:val="center"/>
              <w:rPr>
                <w:rFonts w:ascii="Arial" w:eastAsia="Times New Roman" w:hAnsi="Arial"/>
                <w:b/>
                <w:color w:val="FFFFFF" w:themeColor="background1"/>
                <w:sz w:val="20"/>
                <w:szCs w:val="20"/>
                <w:lang w:eastAsia="en-US"/>
              </w:rPr>
            </w:pPr>
            <w:r w:rsidRPr="005C4660">
              <w:rPr>
                <w:rFonts w:ascii="Arial" w:eastAsia="Times New Roman" w:hAnsi="Arial"/>
                <w:b/>
                <w:color w:val="FFFFFF" w:themeColor="background1"/>
                <w:sz w:val="20"/>
                <w:szCs w:val="20"/>
                <w:lang w:eastAsia="en-US"/>
              </w:rPr>
              <w:t>LOAD (</w:t>
            </w:r>
            <w:proofErr w:type="spellStart"/>
            <w:r w:rsidRPr="005C4660">
              <w:rPr>
                <w:rFonts w:ascii="Arial" w:eastAsia="Times New Roman" w:hAnsi="Arial"/>
                <w:b/>
                <w:color w:val="FFFFFF" w:themeColor="background1"/>
                <w:sz w:val="20"/>
                <w:szCs w:val="20"/>
                <w:lang w:eastAsia="en-US"/>
              </w:rPr>
              <w:t>Mdth</w:t>
            </w:r>
            <w:proofErr w:type="spellEnd"/>
            <w:r w:rsidRPr="005C4660">
              <w:rPr>
                <w:rFonts w:ascii="Arial" w:eastAsia="Times New Roman" w:hAnsi="Arial"/>
                <w:b/>
                <w:color w:val="FFFFFF" w:themeColor="background1"/>
                <w:sz w:val="20"/>
                <w:szCs w:val="20"/>
                <w:lang w:eastAsia="en-US"/>
              </w:rPr>
              <w:t xml:space="preserve">) BY CLASS FROM 2015 IRP </w:t>
            </w:r>
            <w:r w:rsidRPr="005C4660">
              <w:rPr>
                <w:rFonts w:ascii="Arial" w:eastAsia="Times New Roman" w:hAnsi="Arial"/>
                <w:b/>
                <w:caps/>
                <w:color w:val="FFFFFF" w:themeColor="background1"/>
                <w:sz w:val="20"/>
                <w:szCs w:val="20"/>
                <w:lang w:eastAsia="en-US"/>
              </w:rPr>
              <w:t xml:space="preserve">Gas </w:t>
            </w:r>
            <w:r w:rsidRPr="005C4660">
              <w:rPr>
                <w:rFonts w:ascii="Arial" w:eastAsia="Times New Roman" w:hAnsi="Arial"/>
                <w:b/>
                <w:color w:val="FFFFFF" w:themeColor="background1"/>
                <w:sz w:val="20"/>
                <w:szCs w:val="20"/>
                <w:lang w:eastAsia="en-US"/>
              </w:rPr>
              <w:t>BASE DEMAND FORECAST</w:t>
            </w:r>
          </w:p>
        </w:tc>
      </w:tr>
      <w:tr w:rsidR="00615718" w:rsidRPr="00615718" w14:paraId="0F07E99F" w14:textId="77777777">
        <w:trPr>
          <w:trHeight w:val="600"/>
        </w:trPr>
        <w:tc>
          <w:tcPr>
            <w:tcW w:w="2680" w:type="dxa"/>
            <w:tcBorders>
              <w:top w:val="nil"/>
              <w:left w:val="single" w:sz="4" w:space="0" w:color="auto"/>
              <w:bottom w:val="single" w:sz="4" w:space="0" w:color="auto"/>
              <w:right w:val="single" w:sz="4" w:space="0" w:color="auto"/>
            </w:tcBorders>
            <w:shd w:val="clear" w:color="auto" w:fill="156570"/>
            <w:noWrap/>
            <w:vAlign w:val="center"/>
          </w:tcPr>
          <w:p w14:paraId="77D462C7" w14:textId="77777777" w:rsidR="00615718" w:rsidRPr="008F21F1" w:rsidRDefault="00615718" w:rsidP="00615718">
            <w:pPr>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 </w:t>
            </w:r>
            <w:r w:rsidR="008F21F1" w:rsidRPr="008F21F1">
              <w:rPr>
                <w:rFonts w:ascii="Arial" w:eastAsia="Times New Roman" w:hAnsi="Arial"/>
                <w:b/>
                <w:color w:val="FFFFFF" w:themeColor="background1"/>
                <w:sz w:val="20"/>
                <w:szCs w:val="20"/>
                <w:lang w:eastAsia="en-US"/>
              </w:rPr>
              <w:t>Class</w:t>
            </w:r>
          </w:p>
        </w:tc>
        <w:tc>
          <w:tcPr>
            <w:tcW w:w="960" w:type="dxa"/>
            <w:tcBorders>
              <w:top w:val="nil"/>
              <w:left w:val="nil"/>
              <w:bottom w:val="single" w:sz="4" w:space="0" w:color="auto"/>
              <w:right w:val="single" w:sz="4" w:space="0" w:color="auto"/>
            </w:tcBorders>
            <w:shd w:val="clear" w:color="auto" w:fill="156570"/>
            <w:noWrap/>
            <w:vAlign w:val="center"/>
          </w:tcPr>
          <w:p w14:paraId="29DE581E" w14:textId="77777777" w:rsidR="00615718" w:rsidRPr="008F21F1" w:rsidRDefault="00615718" w:rsidP="00615718">
            <w:pPr>
              <w:jc w:val="right"/>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2016</w:t>
            </w:r>
          </w:p>
        </w:tc>
        <w:tc>
          <w:tcPr>
            <w:tcW w:w="960" w:type="dxa"/>
            <w:tcBorders>
              <w:top w:val="nil"/>
              <w:left w:val="nil"/>
              <w:bottom w:val="single" w:sz="4" w:space="0" w:color="auto"/>
              <w:right w:val="single" w:sz="4" w:space="0" w:color="auto"/>
            </w:tcBorders>
            <w:shd w:val="clear" w:color="auto" w:fill="156570"/>
            <w:noWrap/>
            <w:vAlign w:val="center"/>
          </w:tcPr>
          <w:p w14:paraId="51E7390F" w14:textId="77777777" w:rsidR="00615718" w:rsidRPr="008F21F1" w:rsidRDefault="00615718" w:rsidP="00615718">
            <w:pPr>
              <w:jc w:val="right"/>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2020</w:t>
            </w:r>
          </w:p>
        </w:tc>
        <w:tc>
          <w:tcPr>
            <w:tcW w:w="960" w:type="dxa"/>
            <w:tcBorders>
              <w:top w:val="nil"/>
              <w:left w:val="nil"/>
              <w:bottom w:val="single" w:sz="4" w:space="0" w:color="auto"/>
              <w:right w:val="single" w:sz="4" w:space="0" w:color="auto"/>
            </w:tcBorders>
            <w:shd w:val="clear" w:color="auto" w:fill="156570"/>
            <w:noWrap/>
            <w:vAlign w:val="center"/>
          </w:tcPr>
          <w:p w14:paraId="2E84DD33" w14:textId="77777777" w:rsidR="00615718" w:rsidRPr="008F21F1" w:rsidRDefault="00615718" w:rsidP="00615718">
            <w:pPr>
              <w:jc w:val="right"/>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2025</w:t>
            </w:r>
          </w:p>
        </w:tc>
        <w:tc>
          <w:tcPr>
            <w:tcW w:w="960" w:type="dxa"/>
            <w:tcBorders>
              <w:top w:val="nil"/>
              <w:left w:val="nil"/>
              <w:bottom w:val="single" w:sz="4" w:space="0" w:color="auto"/>
              <w:right w:val="single" w:sz="4" w:space="0" w:color="auto"/>
            </w:tcBorders>
            <w:shd w:val="clear" w:color="auto" w:fill="156570"/>
            <w:noWrap/>
            <w:vAlign w:val="center"/>
          </w:tcPr>
          <w:p w14:paraId="3A26C4D2" w14:textId="77777777" w:rsidR="00615718" w:rsidRPr="008F21F1" w:rsidRDefault="00615718" w:rsidP="00615718">
            <w:pPr>
              <w:jc w:val="right"/>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2030</w:t>
            </w:r>
          </w:p>
        </w:tc>
        <w:tc>
          <w:tcPr>
            <w:tcW w:w="960" w:type="dxa"/>
            <w:tcBorders>
              <w:top w:val="nil"/>
              <w:left w:val="nil"/>
              <w:bottom w:val="single" w:sz="4" w:space="0" w:color="auto"/>
              <w:right w:val="single" w:sz="4" w:space="0" w:color="auto"/>
            </w:tcBorders>
            <w:shd w:val="clear" w:color="auto" w:fill="156570"/>
            <w:noWrap/>
            <w:vAlign w:val="center"/>
          </w:tcPr>
          <w:p w14:paraId="7C597737" w14:textId="77777777" w:rsidR="00615718" w:rsidRPr="008F21F1" w:rsidRDefault="00615718" w:rsidP="00615718">
            <w:pPr>
              <w:jc w:val="right"/>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2035</w:t>
            </w:r>
          </w:p>
        </w:tc>
        <w:tc>
          <w:tcPr>
            <w:tcW w:w="1240" w:type="dxa"/>
            <w:tcBorders>
              <w:top w:val="nil"/>
              <w:left w:val="nil"/>
              <w:bottom w:val="single" w:sz="4" w:space="0" w:color="auto"/>
              <w:right w:val="single" w:sz="4" w:space="0" w:color="auto"/>
            </w:tcBorders>
            <w:shd w:val="clear" w:color="auto" w:fill="156570"/>
            <w:vAlign w:val="center"/>
          </w:tcPr>
          <w:p w14:paraId="0F3F6B66" w14:textId="77777777" w:rsidR="00615718" w:rsidRPr="008F21F1" w:rsidRDefault="00615718" w:rsidP="00615718">
            <w:pPr>
              <w:jc w:val="center"/>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AARG 2016-2035</w:t>
            </w:r>
          </w:p>
        </w:tc>
      </w:tr>
      <w:tr w:rsidR="00615718" w:rsidRPr="00615718" w14:paraId="70285361"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3D9A29C4"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Residential</w:t>
            </w:r>
          </w:p>
        </w:tc>
        <w:tc>
          <w:tcPr>
            <w:tcW w:w="960" w:type="dxa"/>
            <w:tcBorders>
              <w:top w:val="nil"/>
              <w:left w:val="nil"/>
              <w:bottom w:val="single" w:sz="4" w:space="0" w:color="auto"/>
              <w:right w:val="single" w:sz="4" w:space="0" w:color="auto"/>
            </w:tcBorders>
            <w:shd w:val="clear" w:color="auto" w:fill="auto"/>
            <w:noWrap/>
            <w:vAlign w:val="center"/>
          </w:tcPr>
          <w:p w14:paraId="5E411619"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62,694 </w:t>
            </w:r>
          </w:p>
        </w:tc>
        <w:tc>
          <w:tcPr>
            <w:tcW w:w="960" w:type="dxa"/>
            <w:tcBorders>
              <w:top w:val="nil"/>
              <w:left w:val="nil"/>
              <w:bottom w:val="single" w:sz="4" w:space="0" w:color="auto"/>
              <w:right w:val="single" w:sz="4" w:space="0" w:color="auto"/>
            </w:tcBorders>
            <w:shd w:val="clear" w:color="auto" w:fill="auto"/>
            <w:noWrap/>
            <w:vAlign w:val="center"/>
          </w:tcPr>
          <w:p w14:paraId="01F9AB61"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67,192 </w:t>
            </w:r>
          </w:p>
        </w:tc>
        <w:tc>
          <w:tcPr>
            <w:tcW w:w="960" w:type="dxa"/>
            <w:tcBorders>
              <w:top w:val="nil"/>
              <w:left w:val="nil"/>
              <w:bottom w:val="single" w:sz="4" w:space="0" w:color="auto"/>
              <w:right w:val="single" w:sz="4" w:space="0" w:color="auto"/>
            </w:tcBorders>
            <w:shd w:val="clear" w:color="auto" w:fill="auto"/>
            <w:noWrap/>
            <w:vAlign w:val="center"/>
          </w:tcPr>
          <w:p w14:paraId="62306A19"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72,215 </w:t>
            </w:r>
          </w:p>
        </w:tc>
        <w:tc>
          <w:tcPr>
            <w:tcW w:w="960" w:type="dxa"/>
            <w:tcBorders>
              <w:top w:val="nil"/>
              <w:left w:val="nil"/>
              <w:bottom w:val="single" w:sz="4" w:space="0" w:color="auto"/>
              <w:right w:val="single" w:sz="4" w:space="0" w:color="auto"/>
            </w:tcBorders>
            <w:shd w:val="clear" w:color="auto" w:fill="auto"/>
            <w:noWrap/>
            <w:vAlign w:val="center"/>
          </w:tcPr>
          <w:p w14:paraId="76633452"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79,167 </w:t>
            </w:r>
          </w:p>
        </w:tc>
        <w:tc>
          <w:tcPr>
            <w:tcW w:w="960" w:type="dxa"/>
            <w:tcBorders>
              <w:top w:val="nil"/>
              <w:left w:val="nil"/>
              <w:bottom w:val="single" w:sz="4" w:space="0" w:color="auto"/>
              <w:right w:val="single" w:sz="4" w:space="0" w:color="auto"/>
            </w:tcBorders>
            <w:shd w:val="clear" w:color="auto" w:fill="auto"/>
            <w:noWrap/>
            <w:vAlign w:val="center"/>
          </w:tcPr>
          <w:p w14:paraId="56DB2C91"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88,098 </w:t>
            </w:r>
          </w:p>
        </w:tc>
        <w:tc>
          <w:tcPr>
            <w:tcW w:w="1240" w:type="dxa"/>
            <w:tcBorders>
              <w:top w:val="nil"/>
              <w:left w:val="nil"/>
              <w:bottom w:val="single" w:sz="4" w:space="0" w:color="auto"/>
              <w:right w:val="single" w:sz="4" w:space="0" w:color="auto"/>
            </w:tcBorders>
            <w:shd w:val="clear" w:color="auto" w:fill="auto"/>
            <w:noWrap/>
            <w:vAlign w:val="center"/>
          </w:tcPr>
          <w:p w14:paraId="31499D67"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1.8%</w:t>
            </w:r>
          </w:p>
        </w:tc>
      </w:tr>
      <w:tr w:rsidR="00615718" w:rsidRPr="00615718" w14:paraId="7C46670D"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56139DB5"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Commercial</w:t>
            </w:r>
          </w:p>
        </w:tc>
        <w:tc>
          <w:tcPr>
            <w:tcW w:w="960" w:type="dxa"/>
            <w:tcBorders>
              <w:top w:val="nil"/>
              <w:left w:val="nil"/>
              <w:bottom w:val="single" w:sz="4" w:space="0" w:color="auto"/>
              <w:right w:val="single" w:sz="4" w:space="0" w:color="auto"/>
            </w:tcBorders>
            <w:shd w:val="clear" w:color="auto" w:fill="auto"/>
            <w:noWrap/>
            <w:vAlign w:val="center"/>
          </w:tcPr>
          <w:p w14:paraId="49961121"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28,317 </w:t>
            </w:r>
          </w:p>
        </w:tc>
        <w:tc>
          <w:tcPr>
            <w:tcW w:w="960" w:type="dxa"/>
            <w:tcBorders>
              <w:top w:val="nil"/>
              <w:left w:val="nil"/>
              <w:bottom w:val="single" w:sz="4" w:space="0" w:color="auto"/>
              <w:right w:val="single" w:sz="4" w:space="0" w:color="auto"/>
            </w:tcBorders>
            <w:shd w:val="clear" w:color="auto" w:fill="auto"/>
            <w:noWrap/>
            <w:vAlign w:val="center"/>
          </w:tcPr>
          <w:p w14:paraId="1D1BF9CE"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30,871 </w:t>
            </w:r>
          </w:p>
        </w:tc>
        <w:tc>
          <w:tcPr>
            <w:tcW w:w="960" w:type="dxa"/>
            <w:tcBorders>
              <w:top w:val="nil"/>
              <w:left w:val="nil"/>
              <w:bottom w:val="single" w:sz="4" w:space="0" w:color="auto"/>
              <w:right w:val="single" w:sz="4" w:space="0" w:color="auto"/>
            </w:tcBorders>
            <w:shd w:val="clear" w:color="auto" w:fill="auto"/>
            <w:noWrap/>
            <w:vAlign w:val="center"/>
          </w:tcPr>
          <w:p w14:paraId="554B0D01"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33,958 </w:t>
            </w:r>
          </w:p>
        </w:tc>
        <w:tc>
          <w:tcPr>
            <w:tcW w:w="960" w:type="dxa"/>
            <w:tcBorders>
              <w:top w:val="nil"/>
              <w:left w:val="nil"/>
              <w:bottom w:val="single" w:sz="4" w:space="0" w:color="auto"/>
              <w:right w:val="single" w:sz="4" w:space="0" w:color="auto"/>
            </w:tcBorders>
            <w:shd w:val="clear" w:color="auto" w:fill="auto"/>
            <w:noWrap/>
            <w:vAlign w:val="center"/>
          </w:tcPr>
          <w:p w14:paraId="3B3ECFE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37,414 </w:t>
            </w:r>
          </w:p>
        </w:tc>
        <w:tc>
          <w:tcPr>
            <w:tcW w:w="960" w:type="dxa"/>
            <w:tcBorders>
              <w:top w:val="nil"/>
              <w:left w:val="nil"/>
              <w:bottom w:val="single" w:sz="4" w:space="0" w:color="auto"/>
              <w:right w:val="single" w:sz="4" w:space="0" w:color="auto"/>
            </w:tcBorders>
            <w:shd w:val="clear" w:color="auto" w:fill="auto"/>
            <w:noWrap/>
            <w:vAlign w:val="center"/>
          </w:tcPr>
          <w:p w14:paraId="73BACA60"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41,510 </w:t>
            </w:r>
          </w:p>
        </w:tc>
        <w:tc>
          <w:tcPr>
            <w:tcW w:w="1240" w:type="dxa"/>
            <w:tcBorders>
              <w:top w:val="nil"/>
              <w:left w:val="nil"/>
              <w:bottom w:val="single" w:sz="4" w:space="0" w:color="auto"/>
              <w:right w:val="single" w:sz="4" w:space="0" w:color="auto"/>
            </w:tcBorders>
            <w:shd w:val="clear" w:color="auto" w:fill="auto"/>
            <w:noWrap/>
            <w:vAlign w:val="center"/>
          </w:tcPr>
          <w:p w14:paraId="5FF2AF92"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2.0%</w:t>
            </w:r>
          </w:p>
        </w:tc>
      </w:tr>
      <w:tr w:rsidR="00615718" w:rsidRPr="00615718" w14:paraId="2A47B34F"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33EC56F5"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Industrial</w:t>
            </w:r>
          </w:p>
        </w:tc>
        <w:tc>
          <w:tcPr>
            <w:tcW w:w="960" w:type="dxa"/>
            <w:tcBorders>
              <w:top w:val="nil"/>
              <w:left w:val="nil"/>
              <w:bottom w:val="single" w:sz="4" w:space="0" w:color="auto"/>
              <w:right w:val="single" w:sz="4" w:space="0" w:color="auto"/>
            </w:tcBorders>
            <w:shd w:val="clear" w:color="auto" w:fill="auto"/>
            <w:noWrap/>
            <w:vAlign w:val="center"/>
          </w:tcPr>
          <w:p w14:paraId="0CD0CAF3"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2,729 </w:t>
            </w:r>
          </w:p>
        </w:tc>
        <w:tc>
          <w:tcPr>
            <w:tcW w:w="960" w:type="dxa"/>
            <w:tcBorders>
              <w:top w:val="nil"/>
              <w:left w:val="nil"/>
              <w:bottom w:val="single" w:sz="4" w:space="0" w:color="auto"/>
              <w:right w:val="single" w:sz="4" w:space="0" w:color="auto"/>
            </w:tcBorders>
            <w:shd w:val="clear" w:color="auto" w:fill="auto"/>
            <w:noWrap/>
            <w:vAlign w:val="center"/>
          </w:tcPr>
          <w:p w14:paraId="41068CDE"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2,631 </w:t>
            </w:r>
          </w:p>
        </w:tc>
        <w:tc>
          <w:tcPr>
            <w:tcW w:w="960" w:type="dxa"/>
            <w:tcBorders>
              <w:top w:val="nil"/>
              <w:left w:val="nil"/>
              <w:bottom w:val="single" w:sz="4" w:space="0" w:color="auto"/>
              <w:right w:val="single" w:sz="4" w:space="0" w:color="auto"/>
            </w:tcBorders>
            <w:shd w:val="clear" w:color="auto" w:fill="auto"/>
            <w:noWrap/>
            <w:vAlign w:val="center"/>
          </w:tcPr>
          <w:p w14:paraId="3356EA27"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2,480 </w:t>
            </w:r>
          </w:p>
        </w:tc>
        <w:tc>
          <w:tcPr>
            <w:tcW w:w="960" w:type="dxa"/>
            <w:tcBorders>
              <w:top w:val="nil"/>
              <w:left w:val="nil"/>
              <w:bottom w:val="single" w:sz="4" w:space="0" w:color="auto"/>
              <w:right w:val="single" w:sz="4" w:space="0" w:color="auto"/>
            </w:tcBorders>
            <w:shd w:val="clear" w:color="auto" w:fill="auto"/>
            <w:noWrap/>
            <w:vAlign w:val="center"/>
          </w:tcPr>
          <w:p w14:paraId="2861BB47"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2,317 </w:t>
            </w:r>
          </w:p>
        </w:tc>
        <w:tc>
          <w:tcPr>
            <w:tcW w:w="960" w:type="dxa"/>
            <w:tcBorders>
              <w:top w:val="nil"/>
              <w:left w:val="nil"/>
              <w:bottom w:val="single" w:sz="4" w:space="0" w:color="auto"/>
              <w:right w:val="single" w:sz="4" w:space="0" w:color="auto"/>
            </w:tcBorders>
            <w:shd w:val="clear" w:color="auto" w:fill="auto"/>
            <w:noWrap/>
            <w:vAlign w:val="center"/>
          </w:tcPr>
          <w:p w14:paraId="485A55DB"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2,148 </w:t>
            </w:r>
          </w:p>
        </w:tc>
        <w:tc>
          <w:tcPr>
            <w:tcW w:w="1240" w:type="dxa"/>
            <w:tcBorders>
              <w:top w:val="nil"/>
              <w:left w:val="nil"/>
              <w:bottom w:val="single" w:sz="4" w:space="0" w:color="auto"/>
              <w:right w:val="single" w:sz="4" w:space="0" w:color="auto"/>
            </w:tcBorders>
            <w:shd w:val="clear" w:color="auto" w:fill="auto"/>
            <w:noWrap/>
            <w:vAlign w:val="center"/>
          </w:tcPr>
          <w:p w14:paraId="4C9C7BD7"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-1.3%</w:t>
            </w:r>
          </w:p>
        </w:tc>
      </w:tr>
      <w:tr w:rsidR="00615718" w:rsidRPr="00615718" w14:paraId="200DED6B"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1BB6AD20"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Total Firm</w:t>
            </w:r>
          </w:p>
        </w:tc>
        <w:tc>
          <w:tcPr>
            <w:tcW w:w="960" w:type="dxa"/>
            <w:tcBorders>
              <w:top w:val="nil"/>
              <w:left w:val="nil"/>
              <w:bottom w:val="single" w:sz="4" w:space="0" w:color="auto"/>
              <w:right w:val="single" w:sz="4" w:space="0" w:color="auto"/>
            </w:tcBorders>
            <w:shd w:val="clear" w:color="auto" w:fill="auto"/>
            <w:noWrap/>
            <w:vAlign w:val="center"/>
          </w:tcPr>
          <w:p w14:paraId="4A1C6CC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93,741 </w:t>
            </w:r>
          </w:p>
        </w:tc>
        <w:tc>
          <w:tcPr>
            <w:tcW w:w="960" w:type="dxa"/>
            <w:tcBorders>
              <w:top w:val="nil"/>
              <w:left w:val="nil"/>
              <w:bottom w:val="single" w:sz="4" w:space="0" w:color="auto"/>
              <w:right w:val="single" w:sz="4" w:space="0" w:color="auto"/>
            </w:tcBorders>
            <w:shd w:val="clear" w:color="auto" w:fill="auto"/>
            <w:noWrap/>
            <w:vAlign w:val="center"/>
          </w:tcPr>
          <w:p w14:paraId="3F860B6C"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100,694 </w:t>
            </w:r>
          </w:p>
        </w:tc>
        <w:tc>
          <w:tcPr>
            <w:tcW w:w="960" w:type="dxa"/>
            <w:tcBorders>
              <w:top w:val="nil"/>
              <w:left w:val="nil"/>
              <w:bottom w:val="single" w:sz="4" w:space="0" w:color="auto"/>
              <w:right w:val="single" w:sz="4" w:space="0" w:color="auto"/>
            </w:tcBorders>
            <w:shd w:val="clear" w:color="auto" w:fill="auto"/>
            <w:noWrap/>
            <w:vAlign w:val="center"/>
          </w:tcPr>
          <w:p w14:paraId="1471151D"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108,653 </w:t>
            </w:r>
          </w:p>
        </w:tc>
        <w:tc>
          <w:tcPr>
            <w:tcW w:w="960" w:type="dxa"/>
            <w:tcBorders>
              <w:top w:val="nil"/>
              <w:left w:val="nil"/>
              <w:bottom w:val="single" w:sz="4" w:space="0" w:color="auto"/>
              <w:right w:val="single" w:sz="4" w:space="0" w:color="auto"/>
            </w:tcBorders>
            <w:shd w:val="clear" w:color="auto" w:fill="auto"/>
            <w:noWrap/>
            <w:vAlign w:val="center"/>
          </w:tcPr>
          <w:p w14:paraId="5143BC12"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118,897 </w:t>
            </w:r>
          </w:p>
        </w:tc>
        <w:tc>
          <w:tcPr>
            <w:tcW w:w="960" w:type="dxa"/>
            <w:tcBorders>
              <w:top w:val="nil"/>
              <w:left w:val="nil"/>
              <w:bottom w:val="single" w:sz="4" w:space="0" w:color="auto"/>
              <w:right w:val="single" w:sz="4" w:space="0" w:color="auto"/>
            </w:tcBorders>
            <w:shd w:val="clear" w:color="auto" w:fill="auto"/>
            <w:noWrap/>
            <w:vAlign w:val="center"/>
          </w:tcPr>
          <w:p w14:paraId="2E92E3C5"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131,756 </w:t>
            </w:r>
          </w:p>
        </w:tc>
        <w:tc>
          <w:tcPr>
            <w:tcW w:w="1240" w:type="dxa"/>
            <w:tcBorders>
              <w:top w:val="nil"/>
              <w:left w:val="nil"/>
              <w:bottom w:val="single" w:sz="4" w:space="0" w:color="auto"/>
              <w:right w:val="single" w:sz="4" w:space="0" w:color="auto"/>
            </w:tcBorders>
            <w:shd w:val="clear" w:color="auto" w:fill="auto"/>
            <w:noWrap/>
            <w:vAlign w:val="center"/>
          </w:tcPr>
          <w:p w14:paraId="5438BF40"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1.8%</w:t>
            </w:r>
          </w:p>
        </w:tc>
      </w:tr>
      <w:tr w:rsidR="00615718" w:rsidRPr="00615718" w14:paraId="3D09A1CD"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5159DC50"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Interruptible</w:t>
            </w:r>
          </w:p>
        </w:tc>
        <w:tc>
          <w:tcPr>
            <w:tcW w:w="960" w:type="dxa"/>
            <w:tcBorders>
              <w:top w:val="nil"/>
              <w:left w:val="nil"/>
              <w:bottom w:val="single" w:sz="4" w:space="0" w:color="auto"/>
              <w:right w:val="single" w:sz="4" w:space="0" w:color="auto"/>
            </w:tcBorders>
            <w:shd w:val="clear" w:color="auto" w:fill="auto"/>
            <w:noWrap/>
            <w:vAlign w:val="center"/>
          </w:tcPr>
          <w:p w14:paraId="7F65DCF9"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4,698 </w:t>
            </w:r>
          </w:p>
        </w:tc>
        <w:tc>
          <w:tcPr>
            <w:tcW w:w="960" w:type="dxa"/>
            <w:tcBorders>
              <w:top w:val="nil"/>
              <w:left w:val="nil"/>
              <w:bottom w:val="single" w:sz="4" w:space="0" w:color="auto"/>
              <w:right w:val="single" w:sz="4" w:space="0" w:color="auto"/>
            </w:tcBorders>
            <w:shd w:val="clear" w:color="auto" w:fill="auto"/>
            <w:noWrap/>
            <w:vAlign w:val="center"/>
          </w:tcPr>
          <w:p w14:paraId="01DB3C97"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4,627 </w:t>
            </w:r>
          </w:p>
        </w:tc>
        <w:tc>
          <w:tcPr>
            <w:tcW w:w="960" w:type="dxa"/>
            <w:tcBorders>
              <w:top w:val="nil"/>
              <w:left w:val="nil"/>
              <w:bottom w:val="single" w:sz="4" w:space="0" w:color="auto"/>
              <w:right w:val="single" w:sz="4" w:space="0" w:color="auto"/>
            </w:tcBorders>
            <w:shd w:val="clear" w:color="auto" w:fill="auto"/>
            <w:noWrap/>
            <w:vAlign w:val="center"/>
          </w:tcPr>
          <w:p w14:paraId="52B0115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4,445 </w:t>
            </w:r>
          </w:p>
        </w:tc>
        <w:tc>
          <w:tcPr>
            <w:tcW w:w="960" w:type="dxa"/>
            <w:tcBorders>
              <w:top w:val="nil"/>
              <w:left w:val="nil"/>
              <w:bottom w:val="single" w:sz="4" w:space="0" w:color="auto"/>
              <w:right w:val="single" w:sz="4" w:space="0" w:color="auto"/>
            </w:tcBorders>
            <w:shd w:val="clear" w:color="auto" w:fill="auto"/>
            <w:noWrap/>
            <w:vAlign w:val="center"/>
          </w:tcPr>
          <w:p w14:paraId="4796486B"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4,309 </w:t>
            </w:r>
          </w:p>
        </w:tc>
        <w:tc>
          <w:tcPr>
            <w:tcW w:w="960" w:type="dxa"/>
            <w:tcBorders>
              <w:top w:val="nil"/>
              <w:left w:val="nil"/>
              <w:bottom w:val="single" w:sz="4" w:space="0" w:color="auto"/>
              <w:right w:val="single" w:sz="4" w:space="0" w:color="auto"/>
            </w:tcBorders>
            <w:shd w:val="clear" w:color="auto" w:fill="auto"/>
            <w:noWrap/>
            <w:vAlign w:val="center"/>
          </w:tcPr>
          <w:p w14:paraId="6B650D7B"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4,272 </w:t>
            </w:r>
          </w:p>
        </w:tc>
        <w:tc>
          <w:tcPr>
            <w:tcW w:w="1240" w:type="dxa"/>
            <w:tcBorders>
              <w:top w:val="nil"/>
              <w:left w:val="nil"/>
              <w:bottom w:val="single" w:sz="4" w:space="0" w:color="auto"/>
              <w:right w:val="single" w:sz="4" w:space="0" w:color="auto"/>
            </w:tcBorders>
            <w:shd w:val="clear" w:color="auto" w:fill="auto"/>
            <w:noWrap/>
            <w:vAlign w:val="center"/>
          </w:tcPr>
          <w:p w14:paraId="1EC31502"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-0.5%</w:t>
            </w:r>
          </w:p>
        </w:tc>
      </w:tr>
      <w:tr w:rsidR="00615718" w:rsidRPr="00615718" w14:paraId="0E6A4488"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35911887"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Total Firm and Interruptible</w:t>
            </w:r>
          </w:p>
        </w:tc>
        <w:tc>
          <w:tcPr>
            <w:tcW w:w="960" w:type="dxa"/>
            <w:tcBorders>
              <w:top w:val="nil"/>
              <w:left w:val="nil"/>
              <w:bottom w:val="single" w:sz="4" w:space="0" w:color="auto"/>
              <w:right w:val="single" w:sz="4" w:space="0" w:color="auto"/>
            </w:tcBorders>
            <w:shd w:val="clear" w:color="auto" w:fill="auto"/>
            <w:noWrap/>
            <w:vAlign w:val="center"/>
          </w:tcPr>
          <w:p w14:paraId="1A66D1D4"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98,439 </w:t>
            </w:r>
          </w:p>
        </w:tc>
        <w:tc>
          <w:tcPr>
            <w:tcW w:w="960" w:type="dxa"/>
            <w:tcBorders>
              <w:top w:val="nil"/>
              <w:left w:val="nil"/>
              <w:bottom w:val="single" w:sz="4" w:space="0" w:color="auto"/>
              <w:right w:val="single" w:sz="4" w:space="0" w:color="auto"/>
            </w:tcBorders>
            <w:shd w:val="clear" w:color="auto" w:fill="auto"/>
            <w:noWrap/>
            <w:vAlign w:val="center"/>
          </w:tcPr>
          <w:p w14:paraId="758C833C"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105,322 </w:t>
            </w:r>
          </w:p>
        </w:tc>
        <w:tc>
          <w:tcPr>
            <w:tcW w:w="960" w:type="dxa"/>
            <w:tcBorders>
              <w:top w:val="nil"/>
              <w:left w:val="nil"/>
              <w:bottom w:val="single" w:sz="4" w:space="0" w:color="auto"/>
              <w:right w:val="single" w:sz="4" w:space="0" w:color="auto"/>
            </w:tcBorders>
            <w:shd w:val="clear" w:color="auto" w:fill="auto"/>
            <w:noWrap/>
            <w:vAlign w:val="center"/>
          </w:tcPr>
          <w:p w14:paraId="2A93911B"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113,098 </w:t>
            </w:r>
          </w:p>
        </w:tc>
        <w:tc>
          <w:tcPr>
            <w:tcW w:w="960" w:type="dxa"/>
            <w:tcBorders>
              <w:top w:val="nil"/>
              <w:left w:val="nil"/>
              <w:bottom w:val="single" w:sz="4" w:space="0" w:color="auto"/>
              <w:right w:val="single" w:sz="4" w:space="0" w:color="auto"/>
            </w:tcBorders>
            <w:shd w:val="clear" w:color="auto" w:fill="auto"/>
            <w:noWrap/>
            <w:vAlign w:val="center"/>
          </w:tcPr>
          <w:p w14:paraId="7A32797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123,206 </w:t>
            </w:r>
          </w:p>
        </w:tc>
        <w:tc>
          <w:tcPr>
            <w:tcW w:w="960" w:type="dxa"/>
            <w:tcBorders>
              <w:top w:val="nil"/>
              <w:left w:val="nil"/>
              <w:bottom w:val="single" w:sz="4" w:space="0" w:color="auto"/>
              <w:right w:val="single" w:sz="4" w:space="0" w:color="auto"/>
            </w:tcBorders>
            <w:shd w:val="clear" w:color="auto" w:fill="auto"/>
            <w:noWrap/>
            <w:vAlign w:val="center"/>
          </w:tcPr>
          <w:p w14:paraId="7D6AE76D"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136,029 </w:t>
            </w:r>
          </w:p>
        </w:tc>
        <w:tc>
          <w:tcPr>
            <w:tcW w:w="1240" w:type="dxa"/>
            <w:tcBorders>
              <w:top w:val="nil"/>
              <w:left w:val="nil"/>
              <w:bottom w:val="single" w:sz="4" w:space="0" w:color="auto"/>
              <w:right w:val="single" w:sz="4" w:space="0" w:color="auto"/>
            </w:tcBorders>
            <w:shd w:val="clear" w:color="auto" w:fill="auto"/>
            <w:noWrap/>
            <w:vAlign w:val="center"/>
          </w:tcPr>
          <w:p w14:paraId="093D441A"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1.7%</w:t>
            </w:r>
          </w:p>
        </w:tc>
      </w:tr>
      <w:tr w:rsidR="00615718" w:rsidRPr="00615718" w14:paraId="35C08F46"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1DD3D9E5"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Transport</w:t>
            </w:r>
          </w:p>
        </w:tc>
        <w:tc>
          <w:tcPr>
            <w:tcW w:w="960" w:type="dxa"/>
            <w:tcBorders>
              <w:top w:val="nil"/>
              <w:left w:val="nil"/>
              <w:bottom w:val="single" w:sz="4" w:space="0" w:color="auto"/>
              <w:right w:val="single" w:sz="4" w:space="0" w:color="auto"/>
            </w:tcBorders>
            <w:shd w:val="clear" w:color="auto" w:fill="auto"/>
            <w:noWrap/>
            <w:vAlign w:val="center"/>
          </w:tcPr>
          <w:p w14:paraId="635ADA6A"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23,064 </w:t>
            </w:r>
          </w:p>
        </w:tc>
        <w:tc>
          <w:tcPr>
            <w:tcW w:w="960" w:type="dxa"/>
            <w:tcBorders>
              <w:top w:val="nil"/>
              <w:left w:val="nil"/>
              <w:bottom w:val="single" w:sz="4" w:space="0" w:color="auto"/>
              <w:right w:val="single" w:sz="4" w:space="0" w:color="auto"/>
            </w:tcBorders>
            <w:shd w:val="clear" w:color="auto" w:fill="auto"/>
            <w:noWrap/>
            <w:vAlign w:val="center"/>
          </w:tcPr>
          <w:p w14:paraId="2F7A0580"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22,842 </w:t>
            </w:r>
          </w:p>
        </w:tc>
        <w:tc>
          <w:tcPr>
            <w:tcW w:w="960" w:type="dxa"/>
            <w:tcBorders>
              <w:top w:val="nil"/>
              <w:left w:val="nil"/>
              <w:bottom w:val="single" w:sz="4" w:space="0" w:color="auto"/>
              <w:right w:val="single" w:sz="4" w:space="0" w:color="auto"/>
            </w:tcBorders>
            <w:shd w:val="clear" w:color="auto" w:fill="auto"/>
            <w:noWrap/>
            <w:vAlign w:val="center"/>
          </w:tcPr>
          <w:p w14:paraId="7731D60A"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22,219 </w:t>
            </w:r>
          </w:p>
        </w:tc>
        <w:tc>
          <w:tcPr>
            <w:tcW w:w="960" w:type="dxa"/>
            <w:tcBorders>
              <w:top w:val="nil"/>
              <w:left w:val="nil"/>
              <w:bottom w:val="single" w:sz="4" w:space="0" w:color="auto"/>
              <w:right w:val="single" w:sz="4" w:space="0" w:color="auto"/>
            </w:tcBorders>
            <w:shd w:val="clear" w:color="auto" w:fill="auto"/>
            <w:noWrap/>
            <w:vAlign w:val="center"/>
          </w:tcPr>
          <w:p w14:paraId="4DED35F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21,772 </w:t>
            </w:r>
          </w:p>
        </w:tc>
        <w:tc>
          <w:tcPr>
            <w:tcW w:w="960" w:type="dxa"/>
            <w:tcBorders>
              <w:top w:val="nil"/>
              <w:left w:val="nil"/>
              <w:bottom w:val="single" w:sz="4" w:space="0" w:color="auto"/>
              <w:right w:val="single" w:sz="4" w:space="0" w:color="auto"/>
            </w:tcBorders>
            <w:shd w:val="clear" w:color="auto" w:fill="auto"/>
            <w:noWrap/>
            <w:vAlign w:val="center"/>
          </w:tcPr>
          <w:p w14:paraId="203C3A25"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21,835 </w:t>
            </w:r>
          </w:p>
        </w:tc>
        <w:tc>
          <w:tcPr>
            <w:tcW w:w="1240" w:type="dxa"/>
            <w:tcBorders>
              <w:top w:val="nil"/>
              <w:left w:val="nil"/>
              <w:bottom w:val="single" w:sz="4" w:space="0" w:color="auto"/>
              <w:right w:val="single" w:sz="4" w:space="0" w:color="auto"/>
            </w:tcBorders>
            <w:shd w:val="clear" w:color="auto" w:fill="auto"/>
            <w:noWrap/>
            <w:vAlign w:val="center"/>
          </w:tcPr>
          <w:p w14:paraId="418F691F"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-0.3%</w:t>
            </w:r>
          </w:p>
        </w:tc>
      </w:tr>
      <w:tr w:rsidR="00615718" w:rsidRPr="00615718" w14:paraId="12120BB8"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37452F12"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System total before losses</w:t>
            </w:r>
          </w:p>
        </w:tc>
        <w:tc>
          <w:tcPr>
            <w:tcW w:w="960" w:type="dxa"/>
            <w:tcBorders>
              <w:top w:val="nil"/>
              <w:left w:val="nil"/>
              <w:bottom w:val="single" w:sz="4" w:space="0" w:color="auto"/>
              <w:right w:val="single" w:sz="4" w:space="0" w:color="auto"/>
            </w:tcBorders>
            <w:shd w:val="clear" w:color="auto" w:fill="auto"/>
            <w:noWrap/>
            <w:vAlign w:val="center"/>
          </w:tcPr>
          <w:p w14:paraId="742B99AE"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121,503 </w:t>
            </w:r>
          </w:p>
        </w:tc>
        <w:tc>
          <w:tcPr>
            <w:tcW w:w="960" w:type="dxa"/>
            <w:tcBorders>
              <w:top w:val="nil"/>
              <w:left w:val="nil"/>
              <w:bottom w:val="single" w:sz="4" w:space="0" w:color="auto"/>
              <w:right w:val="single" w:sz="4" w:space="0" w:color="auto"/>
            </w:tcBorders>
            <w:shd w:val="clear" w:color="auto" w:fill="auto"/>
            <w:noWrap/>
            <w:vAlign w:val="center"/>
          </w:tcPr>
          <w:p w14:paraId="47B3A7BD"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128,164 </w:t>
            </w:r>
          </w:p>
        </w:tc>
        <w:tc>
          <w:tcPr>
            <w:tcW w:w="960" w:type="dxa"/>
            <w:tcBorders>
              <w:top w:val="nil"/>
              <w:left w:val="nil"/>
              <w:bottom w:val="single" w:sz="4" w:space="0" w:color="auto"/>
              <w:right w:val="single" w:sz="4" w:space="0" w:color="auto"/>
            </w:tcBorders>
            <w:shd w:val="clear" w:color="auto" w:fill="auto"/>
            <w:noWrap/>
            <w:vAlign w:val="center"/>
          </w:tcPr>
          <w:p w14:paraId="5236DD7E"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135,316 </w:t>
            </w:r>
          </w:p>
        </w:tc>
        <w:tc>
          <w:tcPr>
            <w:tcW w:w="960" w:type="dxa"/>
            <w:tcBorders>
              <w:top w:val="nil"/>
              <w:left w:val="nil"/>
              <w:bottom w:val="single" w:sz="4" w:space="0" w:color="auto"/>
              <w:right w:val="single" w:sz="4" w:space="0" w:color="auto"/>
            </w:tcBorders>
            <w:shd w:val="clear" w:color="auto" w:fill="auto"/>
            <w:noWrap/>
            <w:vAlign w:val="center"/>
          </w:tcPr>
          <w:p w14:paraId="1DDC10D4"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144,979 </w:t>
            </w:r>
          </w:p>
        </w:tc>
        <w:tc>
          <w:tcPr>
            <w:tcW w:w="960" w:type="dxa"/>
            <w:tcBorders>
              <w:top w:val="nil"/>
              <w:left w:val="nil"/>
              <w:bottom w:val="single" w:sz="4" w:space="0" w:color="auto"/>
              <w:right w:val="single" w:sz="4" w:space="0" w:color="auto"/>
            </w:tcBorders>
            <w:shd w:val="clear" w:color="auto" w:fill="auto"/>
            <w:noWrap/>
            <w:vAlign w:val="center"/>
          </w:tcPr>
          <w:p w14:paraId="1E7E57A1"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157,863 </w:t>
            </w:r>
          </w:p>
        </w:tc>
        <w:tc>
          <w:tcPr>
            <w:tcW w:w="1240" w:type="dxa"/>
            <w:tcBorders>
              <w:top w:val="nil"/>
              <w:left w:val="nil"/>
              <w:bottom w:val="single" w:sz="4" w:space="0" w:color="auto"/>
              <w:right w:val="single" w:sz="4" w:space="0" w:color="auto"/>
            </w:tcBorders>
            <w:shd w:val="clear" w:color="auto" w:fill="auto"/>
            <w:noWrap/>
            <w:vAlign w:val="center"/>
          </w:tcPr>
          <w:p w14:paraId="6FF48152"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1.4%</w:t>
            </w:r>
          </w:p>
        </w:tc>
      </w:tr>
      <w:tr w:rsidR="00615718" w:rsidRPr="00615718" w14:paraId="01E8FE14"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59585F18"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Losses</w:t>
            </w:r>
          </w:p>
        </w:tc>
        <w:tc>
          <w:tcPr>
            <w:tcW w:w="960" w:type="dxa"/>
            <w:tcBorders>
              <w:top w:val="nil"/>
              <w:left w:val="nil"/>
              <w:bottom w:val="single" w:sz="4" w:space="0" w:color="auto"/>
              <w:right w:val="single" w:sz="4" w:space="0" w:color="auto"/>
            </w:tcBorders>
            <w:shd w:val="clear" w:color="auto" w:fill="auto"/>
            <w:noWrap/>
            <w:vAlign w:val="center"/>
          </w:tcPr>
          <w:p w14:paraId="2E44FFF9"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980 </w:t>
            </w:r>
          </w:p>
        </w:tc>
        <w:tc>
          <w:tcPr>
            <w:tcW w:w="960" w:type="dxa"/>
            <w:tcBorders>
              <w:top w:val="nil"/>
              <w:left w:val="nil"/>
              <w:bottom w:val="single" w:sz="4" w:space="0" w:color="auto"/>
              <w:right w:val="single" w:sz="4" w:space="0" w:color="auto"/>
            </w:tcBorders>
            <w:shd w:val="clear" w:color="auto" w:fill="auto"/>
            <w:noWrap/>
            <w:vAlign w:val="center"/>
          </w:tcPr>
          <w:p w14:paraId="281CCEA6"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1,034 </w:t>
            </w:r>
          </w:p>
        </w:tc>
        <w:tc>
          <w:tcPr>
            <w:tcW w:w="960" w:type="dxa"/>
            <w:tcBorders>
              <w:top w:val="nil"/>
              <w:left w:val="nil"/>
              <w:bottom w:val="single" w:sz="4" w:space="0" w:color="auto"/>
              <w:right w:val="single" w:sz="4" w:space="0" w:color="auto"/>
            </w:tcBorders>
            <w:shd w:val="clear" w:color="auto" w:fill="auto"/>
            <w:noWrap/>
            <w:vAlign w:val="center"/>
          </w:tcPr>
          <w:p w14:paraId="74306BF3"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1,091 </w:t>
            </w:r>
          </w:p>
        </w:tc>
        <w:tc>
          <w:tcPr>
            <w:tcW w:w="960" w:type="dxa"/>
            <w:tcBorders>
              <w:top w:val="nil"/>
              <w:left w:val="nil"/>
              <w:bottom w:val="single" w:sz="4" w:space="0" w:color="auto"/>
              <w:right w:val="single" w:sz="4" w:space="0" w:color="auto"/>
            </w:tcBorders>
            <w:shd w:val="clear" w:color="auto" w:fill="auto"/>
            <w:noWrap/>
            <w:vAlign w:val="center"/>
          </w:tcPr>
          <w:p w14:paraId="00AA4B95"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1,169 </w:t>
            </w:r>
          </w:p>
        </w:tc>
        <w:tc>
          <w:tcPr>
            <w:tcW w:w="960" w:type="dxa"/>
            <w:tcBorders>
              <w:top w:val="nil"/>
              <w:left w:val="nil"/>
              <w:bottom w:val="single" w:sz="4" w:space="0" w:color="auto"/>
              <w:right w:val="single" w:sz="4" w:space="0" w:color="auto"/>
            </w:tcBorders>
            <w:shd w:val="clear" w:color="auto" w:fill="auto"/>
            <w:noWrap/>
            <w:vAlign w:val="center"/>
          </w:tcPr>
          <w:p w14:paraId="202241D0"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1,273 </w:t>
            </w:r>
          </w:p>
        </w:tc>
        <w:tc>
          <w:tcPr>
            <w:tcW w:w="1240" w:type="dxa"/>
            <w:tcBorders>
              <w:top w:val="nil"/>
              <w:left w:val="nil"/>
              <w:bottom w:val="single" w:sz="4" w:space="0" w:color="auto"/>
              <w:right w:val="single" w:sz="4" w:space="0" w:color="auto"/>
            </w:tcBorders>
            <w:shd w:val="clear" w:color="auto" w:fill="auto"/>
            <w:noWrap/>
            <w:vAlign w:val="center"/>
          </w:tcPr>
          <w:p w14:paraId="5D438242"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1.4%</w:t>
            </w:r>
          </w:p>
        </w:tc>
      </w:tr>
      <w:tr w:rsidR="00615718" w:rsidRPr="00615718" w14:paraId="53C6FDB9"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6267E3D6"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System Total</w:t>
            </w:r>
          </w:p>
        </w:tc>
        <w:tc>
          <w:tcPr>
            <w:tcW w:w="960" w:type="dxa"/>
            <w:tcBorders>
              <w:top w:val="nil"/>
              <w:left w:val="nil"/>
              <w:bottom w:val="single" w:sz="4" w:space="0" w:color="auto"/>
              <w:right w:val="single" w:sz="4" w:space="0" w:color="auto"/>
            </w:tcBorders>
            <w:shd w:val="clear" w:color="auto" w:fill="auto"/>
            <w:noWrap/>
            <w:vAlign w:val="center"/>
          </w:tcPr>
          <w:p w14:paraId="469C66C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122,483 </w:t>
            </w:r>
          </w:p>
        </w:tc>
        <w:tc>
          <w:tcPr>
            <w:tcW w:w="960" w:type="dxa"/>
            <w:tcBorders>
              <w:top w:val="nil"/>
              <w:left w:val="nil"/>
              <w:bottom w:val="single" w:sz="4" w:space="0" w:color="auto"/>
              <w:right w:val="single" w:sz="4" w:space="0" w:color="auto"/>
            </w:tcBorders>
            <w:shd w:val="clear" w:color="auto" w:fill="auto"/>
            <w:noWrap/>
            <w:vAlign w:val="center"/>
          </w:tcPr>
          <w:p w14:paraId="791FCF8F"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129,198 </w:t>
            </w:r>
          </w:p>
        </w:tc>
        <w:tc>
          <w:tcPr>
            <w:tcW w:w="960" w:type="dxa"/>
            <w:tcBorders>
              <w:top w:val="nil"/>
              <w:left w:val="nil"/>
              <w:bottom w:val="single" w:sz="4" w:space="0" w:color="auto"/>
              <w:right w:val="single" w:sz="4" w:space="0" w:color="auto"/>
            </w:tcBorders>
            <w:shd w:val="clear" w:color="auto" w:fill="auto"/>
            <w:noWrap/>
            <w:vAlign w:val="center"/>
          </w:tcPr>
          <w:p w14:paraId="546A9709"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136,408 </w:t>
            </w:r>
          </w:p>
        </w:tc>
        <w:tc>
          <w:tcPr>
            <w:tcW w:w="960" w:type="dxa"/>
            <w:tcBorders>
              <w:top w:val="nil"/>
              <w:left w:val="nil"/>
              <w:bottom w:val="single" w:sz="4" w:space="0" w:color="auto"/>
              <w:right w:val="single" w:sz="4" w:space="0" w:color="auto"/>
            </w:tcBorders>
            <w:shd w:val="clear" w:color="auto" w:fill="auto"/>
            <w:noWrap/>
            <w:vAlign w:val="center"/>
          </w:tcPr>
          <w:p w14:paraId="1831184D"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146,148 </w:t>
            </w:r>
          </w:p>
        </w:tc>
        <w:tc>
          <w:tcPr>
            <w:tcW w:w="960" w:type="dxa"/>
            <w:tcBorders>
              <w:top w:val="nil"/>
              <w:left w:val="nil"/>
              <w:bottom w:val="single" w:sz="4" w:space="0" w:color="auto"/>
              <w:right w:val="single" w:sz="4" w:space="0" w:color="auto"/>
            </w:tcBorders>
            <w:shd w:val="clear" w:color="auto" w:fill="auto"/>
            <w:noWrap/>
            <w:vAlign w:val="center"/>
          </w:tcPr>
          <w:p w14:paraId="2E7E0842"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159,137 </w:t>
            </w:r>
          </w:p>
        </w:tc>
        <w:tc>
          <w:tcPr>
            <w:tcW w:w="1240" w:type="dxa"/>
            <w:tcBorders>
              <w:top w:val="nil"/>
              <w:left w:val="nil"/>
              <w:bottom w:val="single" w:sz="4" w:space="0" w:color="auto"/>
              <w:right w:val="single" w:sz="4" w:space="0" w:color="auto"/>
            </w:tcBorders>
            <w:shd w:val="clear" w:color="auto" w:fill="auto"/>
            <w:noWrap/>
            <w:vAlign w:val="center"/>
          </w:tcPr>
          <w:p w14:paraId="340F8DFD"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1.4%</w:t>
            </w:r>
          </w:p>
        </w:tc>
      </w:tr>
    </w:tbl>
    <w:p w14:paraId="140081BE" w14:textId="77777777" w:rsidR="00615718" w:rsidRPr="00615718" w:rsidRDefault="00615718" w:rsidP="00615718">
      <w:pPr>
        <w:pStyle w:val="IRPFigureSub"/>
        <w:rPr>
          <w:szCs w:val="20"/>
        </w:rPr>
      </w:pPr>
    </w:p>
    <w:p w14:paraId="727E2033" w14:textId="77777777" w:rsidR="00615718" w:rsidRPr="00615718" w:rsidRDefault="00615718" w:rsidP="00615718">
      <w:pPr>
        <w:pStyle w:val="IRPsanstext"/>
        <w:rPr>
          <w:highlight w:val="cyan"/>
        </w:rPr>
      </w:pPr>
    </w:p>
    <w:p w14:paraId="6BA63DFC" w14:textId="77777777" w:rsidR="00615718" w:rsidRPr="00615718" w:rsidRDefault="00615718" w:rsidP="00615718">
      <w:pPr>
        <w:pStyle w:val="IRPsanstext"/>
      </w:pPr>
    </w:p>
    <w:p w14:paraId="63A4D751" w14:textId="77777777" w:rsidR="00615718" w:rsidRDefault="00615718" w:rsidP="00615718">
      <w:pPr>
        <w:pStyle w:val="IRPFigureSub"/>
      </w:pPr>
    </w:p>
    <w:p w14:paraId="45E5387C" w14:textId="77777777" w:rsidR="00615718" w:rsidRPr="00307C88" w:rsidRDefault="00615718" w:rsidP="00713242">
      <w:pPr>
        <w:pStyle w:val="IRPsanstext"/>
      </w:pPr>
    </w:p>
    <w:sectPr w:rsidR="00615718" w:rsidRPr="00307C88" w:rsidSect="000E4936">
      <w:headerReference w:type="default" r:id="rId33"/>
      <w:footerReference w:type="default" r:id="rId3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5ED13" w14:textId="77777777" w:rsidR="00CA6E29" w:rsidRDefault="00CA6E29" w:rsidP="00601E72">
      <w:r>
        <w:separator/>
      </w:r>
    </w:p>
  </w:endnote>
  <w:endnote w:type="continuationSeparator" w:id="0">
    <w:p w14:paraId="473B568F" w14:textId="77777777" w:rsidR="00CA6E29" w:rsidRDefault="00CA6E29"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Garamond">
    <w:altName w:val="Athelas Bold Italic"/>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alatino">
    <w:altName w:val="Book Antiqua"/>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Narrow">
    <w:panose1 w:val="020B0506020202030204"/>
    <w:charset w:val="00"/>
    <w:family w:val="auto"/>
    <w:pitch w:val="variable"/>
    <w:sig w:usb0="00000287" w:usb1="00000800" w:usb2="00000000" w:usb3="00000000" w:csb0="0000009F" w:csb1="00000000"/>
  </w:font>
  <w:font w:name="Arial Italic">
    <w:panose1 w:val="020B0604020202090204"/>
    <w:charset w:val="00"/>
    <w:family w:val="auto"/>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8B261" w14:textId="77777777" w:rsidR="00CA6E29" w:rsidRPr="00A075A9" w:rsidRDefault="00CA6E29" w:rsidP="0020632A">
    <w:pPr>
      <w:pStyle w:val="Footer"/>
      <w:framePr w:wrap="around" w:vAnchor="text" w:hAnchor="margin" w:xAlign="center" w:y="1"/>
      <w:rPr>
        <w:rStyle w:val="PageNumber"/>
      </w:rPr>
    </w:pPr>
    <w:r w:rsidRPr="00A075A9">
      <w:rPr>
        <w:rStyle w:val="PageNumber"/>
        <w:rFonts w:ascii="Palatino" w:hAnsi="Palatino"/>
        <w:i/>
        <w:sz w:val="20"/>
        <w:szCs w:val="20"/>
      </w:rPr>
      <w:t xml:space="preserve">5 - </w:t>
    </w:r>
    <w:r w:rsidR="008E11E8" w:rsidRPr="00A075A9">
      <w:rPr>
        <w:rStyle w:val="PageNumber"/>
        <w:rFonts w:ascii="Palatino" w:hAnsi="Palatino"/>
        <w:i/>
        <w:sz w:val="20"/>
        <w:szCs w:val="20"/>
      </w:rPr>
      <w:fldChar w:fldCharType="begin"/>
    </w:r>
    <w:r w:rsidRPr="00A075A9">
      <w:rPr>
        <w:rStyle w:val="PageNumber"/>
        <w:rFonts w:ascii="Palatino" w:hAnsi="Palatino"/>
        <w:i/>
        <w:sz w:val="20"/>
        <w:szCs w:val="20"/>
      </w:rPr>
      <w:instrText xml:space="preserve">PAGE  </w:instrText>
    </w:r>
    <w:r w:rsidR="008E11E8" w:rsidRPr="00A075A9">
      <w:rPr>
        <w:rStyle w:val="PageNumber"/>
        <w:rFonts w:ascii="Palatino" w:hAnsi="Palatino"/>
        <w:i/>
        <w:sz w:val="20"/>
        <w:szCs w:val="20"/>
      </w:rPr>
      <w:fldChar w:fldCharType="separate"/>
    </w:r>
    <w:r w:rsidR="00185152">
      <w:rPr>
        <w:rStyle w:val="PageNumber"/>
        <w:rFonts w:ascii="Palatino" w:hAnsi="Palatino"/>
        <w:i/>
        <w:noProof/>
        <w:sz w:val="20"/>
        <w:szCs w:val="20"/>
      </w:rPr>
      <w:t>41</w:t>
    </w:r>
    <w:r w:rsidR="008E11E8" w:rsidRPr="00A075A9">
      <w:rPr>
        <w:rStyle w:val="PageNumber"/>
        <w:rFonts w:ascii="Palatino" w:hAnsi="Palatino"/>
        <w:i/>
        <w:sz w:val="20"/>
        <w:szCs w:val="20"/>
      </w:rPr>
      <w:fldChar w:fldCharType="end"/>
    </w:r>
  </w:p>
  <w:p w14:paraId="7D201A90" w14:textId="77777777" w:rsidR="00CA6E29" w:rsidRDefault="00CA6E29" w:rsidP="0020632A">
    <w:pPr>
      <w:pStyle w:val="Footer"/>
      <w:jc w:val="center"/>
      <w:rPr>
        <w:rFonts w:ascii="Palatino" w:hAnsi="Palatino"/>
      </w:rPr>
    </w:pPr>
  </w:p>
  <w:p w14:paraId="53A7F2A8" w14:textId="13971686" w:rsidR="00CA6E29" w:rsidRPr="0020632A" w:rsidRDefault="0057131A" w:rsidP="0020632A">
    <w:pPr>
      <w:pStyle w:val="Footer"/>
      <w:jc w:val="center"/>
      <w:rPr>
        <w:rFonts w:ascii="Palatino" w:hAnsi="Palatino"/>
      </w:rPr>
    </w:pPr>
    <w:r>
      <w:rPr>
        <w:rFonts w:ascii="Palatino" w:hAnsi="Palatino"/>
        <w:noProof/>
        <w:lang w:eastAsia="en-US"/>
      </w:rPr>
      <mc:AlternateContent>
        <mc:Choice Requires="wps">
          <w:drawing>
            <wp:anchor distT="0" distB="0" distL="114300" distR="114300" simplePos="0" relativeHeight="251661312" behindDoc="0" locked="0" layoutInCell="1" allowOverlap="1" wp14:anchorId="2ECD1339" wp14:editId="26C2A094">
              <wp:simplePos x="0" y="0"/>
              <wp:positionH relativeFrom="column">
                <wp:posOffset>4509135</wp:posOffset>
              </wp:positionH>
              <wp:positionV relativeFrom="paragraph">
                <wp:posOffset>-172720</wp:posOffset>
              </wp:positionV>
              <wp:extent cx="1143000" cy="226695"/>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66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FED558" w14:textId="77777777" w:rsidR="00CA6E29" w:rsidRDefault="006443A1">
                          <w:r>
                            <w:rPr>
                              <w:rFonts w:ascii="Palatino" w:eastAsiaTheme="minorEastAsia" w:hAnsi="Palatino" w:cs="Arial"/>
                              <w:i/>
                              <w:color w:val="156570"/>
                              <w:sz w:val="20"/>
                              <w:szCs w:val="20"/>
                            </w:rPr>
                            <w:t xml:space="preserve">2015 </w:t>
                          </w:r>
                          <w:r w:rsidR="00CA6E29" w:rsidRPr="00A075A9">
                            <w:rPr>
                              <w:rFonts w:ascii="Palatino" w:eastAsiaTheme="minorEastAsia" w:hAnsi="Palatino" w:cs="Arial"/>
                              <w:i/>
                              <w:color w:val="156570"/>
                              <w:sz w:val="20"/>
                              <w:szCs w:val="20"/>
                            </w:rPr>
                            <w:t>PSE IRP</w:t>
                          </w:r>
                          <w:r>
                            <w:rPr>
                              <w:rFonts w:ascii="Palatino" w:eastAsiaTheme="minorEastAsia" w:hAnsi="Palatino" w:cs="Arial"/>
                              <w:i/>
                              <w:color w:val="15657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1" type="#_x0000_t202" style="position:absolute;left:0;text-align:left;margin-left:355.05pt;margin-top:-13.55pt;width:90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" filled="f" stroked="f">
              <v:path arrowok="t"/>
              <v:textbox>
                <w:txbxContent>
                  <w:p w14:paraId="11FED558" w14:textId="77777777" w:rsidR="00CA6E29" w:rsidRDefault="006443A1">
                    <w:r>
                      <w:rPr>
                        <w:rFonts w:ascii="Palatino" w:eastAsiaTheme="minorEastAsia" w:hAnsi="Palatino" w:cs="Arial"/>
                        <w:i/>
                        <w:color w:val="156570"/>
                        <w:sz w:val="20"/>
                        <w:szCs w:val="20"/>
                      </w:rPr>
                      <w:t xml:space="preserve">2015 </w:t>
                    </w:r>
                    <w:r w:rsidR="00CA6E29" w:rsidRPr="00A075A9">
                      <w:rPr>
                        <w:rFonts w:ascii="Palatino" w:eastAsiaTheme="minorEastAsia" w:hAnsi="Palatino" w:cs="Arial"/>
                        <w:i/>
                        <w:color w:val="156570"/>
                        <w:sz w:val="20"/>
                        <w:szCs w:val="20"/>
                      </w:rPr>
                      <w:t>PSE IRP</w:t>
                    </w:r>
                    <w:r>
                      <w:rPr>
                        <w:rFonts w:ascii="Palatino" w:eastAsiaTheme="minorEastAsia" w:hAnsi="Palatino" w:cs="Arial"/>
                        <w:i/>
                        <w:color w:val="156570"/>
                        <w:sz w:val="20"/>
                        <w:szCs w:val="20"/>
                      </w:rPr>
                      <w:t xml:space="preserve"> </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1F402" w14:textId="77777777" w:rsidR="00CA6E29" w:rsidRDefault="00CA6E29" w:rsidP="00601E72">
      <w:r>
        <w:separator/>
      </w:r>
    </w:p>
  </w:footnote>
  <w:footnote w:type="continuationSeparator" w:id="0">
    <w:p w14:paraId="4F58F597" w14:textId="77777777" w:rsidR="00CA6E29" w:rsidRDefault="00CA6E29" w:rsidP="00601E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0723A" w14:textId="4CA7DCD5" w:rsidR="00CA6E29" w:rsidRDefault="0057131A">
    <w:pPr>
      <w:pStyle w:val="Header"/>
    </w:pPr>
    <w:r>
      <w:rPr>
        <w:noProof/>
        <w:lang w:eastAsia="en-US"/>
      </w:rPr>
      <mc:AlternateContent>
        <mc:Choice Requires="wps">
          <w:drawing>
            <wp:anchor distT="0" distB="0" distL="114300" distR="114300" simplePos="0" relativeHeight="251659264" behindDoc="0" locked="0" layoutInCell="1" allowOverlap="1" wp14:anchorId="46ECA0A9" wp14:editId="514B311C">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46EB" w14:textId="77777777" w:rsidR="00CA6E29" w:rsidRPr="00C04720" w:rsidRDefault="00CA6E29" w:rsidP="00BC31F5">
                          <w:pPr>
                            <w:pStyle w:val="irpsubsanstext16"/>
                          </w:pPr>
                          <w:r w:rsidRPr="00C04720">
                            <w:t xml:space="preserve">Chapter </w:t>
                          </w:r>
                          <w:r>
                            <w:t>5</w:t>
                          </w:r>
                          <w:r w:rsidRPr="00C04720">
                            <w:t xml:space="preserve">: </w:t>
                          </w:r>
                          <w:r>
                            <w:t>Demand Forecasts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0"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d36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i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ObA3d+tAgAAuQUAAA4AAAAAAAAAAAAAAAAA&#10;LAIAAGRycy9lMm9Eb2MueG1sUEsBAi0AFAAGAAgAAAAhAHXGA+rYAAAABQEAAA8AAAAAAAAAAAAA&#10;AAAABQUAAGRycy9kb3ducmV2LnhtbFBLBQYAAAAABAAEAPMAAAAKBgAAAAA=&#10;" filled="f" stroked="f">
              <v:textbox inset=",7.2pt,,7.2pt">
                <w:txbxContent>
                  <w:p w14:paraId="514246EB" w14:textId="77777777" w:rsidR="00CA6E29" w:rsidRPr="00C04720" w:rsidRDefault="00CA6E29" w:rsidP="00BC31F5">
                    <w:pPr>
                      <w:pStyle w:val="irpsubsanstext16"/>
                    </w:pPr>
                    <w:r w:rsidRPr="00C04720">
                      <w:t xml:space="preserve">Chapter </w:t>
                    </w:r>
                    <w:r>
                      <w:t>5</w:t>
                    </w:r>
                    <w:r w:rsidRPr="00C04720">
                      <w:t xml:space="preserve">: </w:t>
                    </w:r>
                    <w:r>
                      <w:t>Demand Forecasts</w:t>
                    </w:r>
                  </w:p>
                </w:txbxContent>
              </v:textbox>
              <w10:wrap type="through"/>
            </v:shape>
          </w:pict>
        </mc:Fallback>
      </mc:AlternateContent>
    </w:r>
    <w:r w:rsidR="00CA6E29">
      <w:rPr>
        <w:noProof/>
        <w:lang w:eastAsia="en-US"/>
      </w:rPr>
      <w:drawing>
        <wp:inline distT="0" distB="0" distL="0" distR="0" wp14:anchorId="7EDC3CAC" wp14:editId="6210850C">
          <wp:extent cx="5418455" cy="451538"/>
          <wp:effectExtent l="0" t="0" r="0" b="5715"/>
          <wp:docPr id="24" name="Picture 24" descr="Macintosh HD:Users:annrhodes:Documents:01 RHODES-D-SIGNS:PSE_IRP2015:Title bands:title_greydkt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nnrhodes:Documents:01 RHODES-D-SIGNS:PSE_IRP2015:Title bands:title_greydkt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8455" cy="451538"/>
                  </a:xfrm>
                  <a:prstGeom prst="rect">
                    <a:avLst/>
                  </a:prstGeom>
                  <a:noFill/>
                  <a:ln>
                    <a:noFill/>
                  </a:ln>
                </pic:spPr>
              </pic:pic>
            </a:graphicData>
          </a:graphic>
        </wp:inline>
      </w:drawing>
    </w:r>
  </w:p>
  <w:p w14:paraId="2F2D1986" w14:textId="77777777" w:rsidR="00185152" w:rsidRDefault="0018515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C2C"/>
    <w:multiLevelType w:val="hybridMultilevel"/>
    <w:tmpl w:val="594E98D6"/>
    <w:lvl w:ilvl="0" w:tplc="4AD081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524510"/>
    <w:multiLevelType w:val="hybridMultilevel"/>
    <w:tmpl w:val="6A6C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B4138"/>
    <w:multiLevelType w:val="hybridMultilevel"/>
    <w:tmpl w:val="63F4FA06"/>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04542830"/>
    <w:multiLevelType w:val="hybridMultilevel"/>
    <w:tmpl w:val="0642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45E48"/>
    <w:multiLevelType w:val="hybridMultilevel"/>
    <w:tmpl w:val="6D20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17C71"/>
    <w:multiLevelType w:val="hybridMultilevel"/>
    <w:tmpl w:val="A0B0F18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12C71B57"/>
    <w:multiLevelType w:val="hybridMultilevel"/>
    <w:tmpl w:val="23F4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E1BDD"/>
    <w:multiLevelType w:val="hybridMultilevel"/>
    <w:tmpl w:val="53820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9">
    <w:nsid w:val="299F753E"/>
    <w:multiLevelType w:val="hybridMultilevel"/>
    <w:tmpl w:val="52E4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C6680E"/>
    <w:multiLevelType w:val="hybridMultilevel"/>
    <w:tmpl w:val="3B909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EC5ECA"/>
    <w:multiLevelType w:val="hybridMultilevel"/>
    <w:tmpl w:val="853A99E4"/>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2F3B376F"/>
    <w:multiLevelType w:val="hybridMultilevel"/>
    <w:tmpl w:val="C25A7798"/>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40AD7F9E"/>
    <w:multiLevelType w:val="hybridMultilevel"/>
    <w:tmpl w:val="69FEAB2C"/>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D3465E"/>
    <w:multiLevelType w:val="hybridMultilevel"/>
    <w:tmpl w:val="A36C185A"/>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44280220"/>
    <w:multiLevelType w:val="hybridMultilevel"/>
    <w:tmpl w:val="449C91DA"/>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837A22"/>
    <w:multiLevelType w:val="hybridMultilevel"/>
    <w:tmpl w:val="9254408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nsid w:val="4E2367CE"/>
    <w:multiLevelType w:val="hybridMultilevel"/>
    <w:tmpl w:val="1F045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AF2D17"/>
    <w:multiLevelType w:val="hybridMultilevel"/>
    <w:tmpl w:val="EBD62680"/>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5B620F41"/>
    <w:multiLevelType w:val="hybridMultilevel"/>
    <w:tmpl w:val="D4EA8DD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5D816406"/>
    <w:multiLevelType w:val="hybridMultilevel"/>
    <w:tmpl w:val="E75C4CFE"/>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5FFF085F"/>
    <w:multiLevelType w:val="hybridMultilevel"/>
    <w:tmpl w:val="92CC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915DBE"/>
    <w:multiLevelType w:val="hybridMultilevel"/>
    <w:tmpl w:val="38C6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CC1183"/>
    <w:multiLevelType w:val="hybridMultilevel"/>
    <w:tmpl w:val="E4D42896"/>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3E4448"/>
    <w:multiLevelType w:val="hybridMultilevel"/>
    <w:tmpl w:val="937CA014"/>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nsid w:val="69B6340D"/>
    <w:multiLevelType w:val="hybridMultilevel"/>
    <w:tmpl w:val="048E148A"/>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6D855739"/>
    <w:multiLevelType w:val="hybridMultilevel"/>
    <w:tmpl w:val="C21A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9F0E76"/>
    <w:multiLevelType w:val="hybridMultilevel"/>
    <w:tmpl w:val="041E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487382"/>
    <w:multiLevelType w:val="hybridMultilevel"/>
    <w:tmpl w:val="23F8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BB302B"/>
    <w:multiLevelType w:val="hybridMultilevel"/>
    <w:tmpl w:val="4038310A"/>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nsid w:val="7D3526EF"/>
    <w:multiLevelType w:val="hybridMultilevel"/>
    <w:tmpl w:val="B64A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F900E2"/>
    <w:multiLevelType w:val="hybridMultilevel"/>
    <w:tmpl w:val="3B36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3D386A"/>
    <w:multiLevelType w:val="hybridMultilevel"/>
    <w:tmpl w:val="D8164350"/>
    <w:lvl w:ilvl="0" w:tplc="B508765E">
      <w:start w:val="1"/>
      <w:numFmt w:val="bullet"/>
      <w:lvlText w:val=""/>
      <w:lvlJc w:val="left"/>
      <w:pPr>
        <w:tabs>
          <w:tab w:val="num" w:pos="648"/>
        </w:tabs>
        <w:ind w:left="648" w:hanging="288"/>
      </w:pPr>
      <w:rPr>
        <w:rFonts w:ascii="Symbol" w:hAnsi="Symbol" w:hint="default"/>
        <w:color w:val="auto"/>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8"/>
  </w:num>
  <w:num w:numId="2">
    <w:abstractNumId w:val="7"/>
  </w:num>
  <w:num w:numId="3">
    <w:abstractNumId w:val="20"/>
  </w:num>
  <w:num w:numId="4">
    <w:abstractNumId w:val="19"/>
  </w:num>
  <w:num w:numId="5">
    <w:abstractNumId w:val="28"/>
  </w:num>
  <w:num w:numId="6">
    <w:abstractNumId w:val="2"/>
  </w:num>
  <w:num w:numId="7">
    <w:abstractNumId w:val="25"/>
  </w:num>
  <w:num w:numId="8">
    <w:abstractNumId w:val="30"/>
  </w:num>
  <w:num w:numId="9">
    <w:abstractNumId w:val="26"/>
  </w:num>
  <w:num w:numId="10">
    <w:abstractNumId w:val="23"/>
  </w:num>
  <w:num w:numId="11">
    <w:abstractNumId w:val="6"/>
  </w:num>
  <w:num w:numId="12">
    <w:abstractNumId w:val="0"/>
  </w:num>
  <w:num w:numId="13">
    <w:abstractNumId w:val="10"/>
  </w:num>
  <w:num w:numId="14">
    <w:abstractNumId w:val="4"/>
  </w:num>
  <w:num w:numId="15">
    <w:abstractNumId w:val="13"/>
  </w:num>
  <w:num w:numId="16">
    <w:abstractNumId w:val="9"/>
  </w:num>
  <w:num w:numId="17">
    <w:abstractNumId w:val="12"/>
  </w:num>
  <w:num w:numId="18">
    <w:abstractNumId w:val="14"/>
  </w:num>
  <w:num w:numId="19">
    <w:abstractNumId w:val="16"/>
  </w:num>
  <w:num w:numId="20">
    <w:abstractNumId w:val="5"/>
  </w:num>
  <w:num w:numId="21">
    <w:abstractNumId w:val="22"/>
  </w:num>
  <w:num w:numId="22">
    <w:abstractNumId w:val="3"/>
  </w:num>
  <w:num w:numId="23">
    <w:abstractNumId w:val="17"/>
  </w:num>
  <w:num w:numId="24">
    <w:abstractNumId w:val="1"/>
  </w:num>
  <w:num w:numId="25">
    <w:abstractNumId w:val="21"/>
  </w:num>
  <w:num w:numId="26">
    <w:abstractNumId w:val="31"/>
  </w:num>
  <w:num w:numId="27">
    <w:abstractNumId w:val="15"/>
  </w:num>
  <w:num w:numId="28">
    <w:abstractNumId w:val="27"/>
  </w:num>
  <w:num w:numId="29">
    <w:abstractNumId w:val="32"/>
  </w:num>
  <w:num w:numId="30">
    <w:abstractNumId w:val="18"/>
  </w:num>
  <w:num w:numId="31">
    <w:abstractNumId w:val="11"/>
  </w:num>
  <w:num w:numId="32">
    <w:abstractNumId w:val="29"/>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434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22AE1"/>
    <w:rsid w:val="000275FB"/>
    <w:rsid w:val="00045148"/>
    <w:rsid w:val="000536D7"/>
    <w:rsid w:val="0007291A"/>
    <w:rsid w:val="000811E5"/>
    <w:rsid w:val="000E4936"/>
    <w:rsid w:val="000F320C"/>
    <w:rsid w:val="00103198"/>
    <w:rsid w:val="00136C0F"/>
    <w:rsid w:val="00155762"/>
    <w:rsid w:val="00173E5C"/>
    <w:rsid w:val="00185152"/>
    <w:rsid w:val="001B5F2B"/>
    <w:rsid w:val="001D052C"/>
    <w:rsid w:val="001D4E32"/>
    <w:rsid w:val="001D6146"/>
    <w:rsid w:val="001D628F"/>
    <w:rsid w:val="00201B7A"/>
    <w:rsid w:val="0020632A"/>
    <w:rsid w:val="00234579"/>
    <w:rsid w:val="00255AA2"/>
    <w:rsid w:val="00255D45"/>
    <w:rsid w:val="00261C33"/>
    <w:rsid w:val="00261F11"/>
    <w:rsid w:val="00293A4E"/>
    <w:rsid w:val="002C1ECE"/>
    <w:rsid w:val="002F77B4"/>
    <w:rsid w:val="00307C88"/>
    <w:rsid w:val="00315227"/>
    <w:rsid w:val="0032311E"/>
    <w:rsid w:val="003429E1"/>
    <w:rsid w:val="003536EB"/>
    <w:rsid w:val="00382146"/>
    <w:rsid w:val="00387BBF"/>
    <w:rsid w:val="00397EFC"/>
    <w:rsid w:val="003A0016"/>
    <w:rsid w:val="003E7037"/>
    <w:rsid w:val="004161D2"/>
    <w:rsid w:val="004220AB"/>
    <w:rsid w:val="00427D40"/>
    <w:rsid w:val="00440047"/>
    <w:rsid w:val="00462850"/>
    <w:rsid w:val="00474A60"/>
    <w:rsid w:val="004B5C59"/>
    <w:rsid w:val="004D0808"/>
    <w:rsid w:val="00521E04"/>
    <w:rsid w:val="00555205"/>
    <w:rsid w:val="0057131A"/>
    <w:rsid w:val="00571E09"/>
    <w:rsid w:val="005764D8"/>
    <w:rsid w:val="005924F8"/>
    <w:rsid w:val="005B05E2"/>
    <w:rsid w:val="005B2C70"/>
    <w:rsid w:val="005C4660"/>
    <w:rsid w:val="005D1EED"/>
    <w:rsid w:val="005F721A"/>
    <w:rsid w:val="00601E72"/>
    <w:rsid w:val="00606052"/>
    <w:rsid w:val="00615718"/>
    <w:rsid w:val="006246FD"/>
    <w:rsid w:val="0063113C"/>
    <w:rsid w:val="006443A1"/>
    <w:rsid w:val="00660D84"/>
    <w:rsid w:val="0066680B"/>
    <w:rsid w:val="006707B7"/>
    <w:rsid w:val="00670EF9"/>
    <w:rsid w:val="00670F0A"/>
    <w:rsid w:val="006766F4"/>
    <w:rsid w:val="00681421"/>
    <w:rsid w:val="0068280F"/>
    <w:rsid w:val="00694DA4"/>
    <w:rsid w:val="006E18F6"/>
    <w:rsid w:val="007128ED"/>
    <w:rsid w:val="00713242"/>
    <w:rsid w:val="007247D3"/>
    <w:rsid w:val="007431C8"/>
    <w:rsid w:val="00766C30"/>
    <w:rsid w:val="00785A65"/>
    <w:rsid w:val="007A4835"/>
    <w:rsid w:val="007C4415"/>
    <w:rsid w:val="007E49E8"/>
    <w:rsid w:val="007F2800"/>
    <w:rsid w:val="00803D7C"/>
    <w:rsid w:val="00816B3B"/>
    <w:rsid w:val="008507B6"/>
    <w:rsid w:val="00882098"/>
    <w:rsid w:val="0088219C"/>
    <w:rsid w:val="00890504"/>
    <w:rsid w:val="00892C11"/>
    <w:rsid w:val="008B3E40"/>
    <w:rsid w:val="008B5881"/>
    <w:rsid w:val="008B5F11"/>
    <w:rsid w:val="008C6240"/>
    <w:rsid w:val="008D302A"/>
    <w:rsid w:val="008E0828"/>
    <w:rsid w:val="008E11E8"/>
    <w:rsid w:val="008F21F1"/>
    <w:rsid w:val="00906559"/>
    <w:rsid w:val="00906A0A"/>
    <w:rsid w:val="009164D2"/>
    <w:rsid w:val="00942DAB"/>
    <w:rsid w:val="009557D5"/>
    <w:rsid w:val="0097655F"/>
    <w:rsid w:val="009C0BDA"/>
    <w:rsid w:val="00A02886"/>
    <w:rsid w:val="00A075A9"/>
    <w:rsid w:val="00A15361"/>
    <w:rsid w:val="00A157B1"/>
    <w:rsid w:val="00A22F1C"/>
    <w:rsid w:val="00A3279D"/>
    <w:rsid w:val="00A47CC2"/>
    <w:rsid w:val="00A47D61"/>
    <w:rsid w:val="00A54A99"/>
    <w:rsid w:val="00A75AB8"/>
    <w:rsid w:val="00AA175B"/>
    <w:rsid w:val="00AD7BF0"/>
    <w:rsid w:val="00AE601C"/>
    <w:rsid w:val="00AE6946"/>
    <w:rsid w:val="00AF5574"/>
    <w:rsid w:val="00B12366"/>
    <w:rsid w:val="00B279EB"/>
    <w:rsid w:val="00B407E9"/>
    <w:rsid w:val="00B72944"/>
    <w:rsid w:val="00B82F6C"/>
    <w:rsid w:val="00BC31F5"/>
    <w:rsid w:val="00BF45F8"/>
    <w:rsid w:val="00C02EDD"/>
    <w:rsid w:val="00C04720"/>
    <w:rsid w:val="00C04D24"/>
    <w:rsid w:val="00C12FBA"/>
    <w:rsid w:val="00CA128E"/>
    <w:rsid w:val="00CA1290"/>
    <w:rsid w:val="00CA6E29"/>
    <w:rsid w:val="00CE225B"/>
    <w:rsid w:val="00CF0A40"/>
    <w:rsid w:val="00D57C8D"/>
    <w:rsid w:val="00D959D4"/>
    <w:rsid w:val="00DB6801"/>
    <w:rsid w:val="00DC16C8"/>
    <w:rsid w:val="00E035EC"/>
    <w:rsid w:val="00E11FE6"/>
    <w:rsid w:val="00E16024"/>
    <w:rsid w:val="00E51DDB"/>
    <w:rsid w:val="00E52BCA"/>
    <w:rsid w:val="00E62204"/>
    <w:rsid w:val="00E72663"/>
    <w:rsid w:val="00E74DBA"/>
    <w:rsid w:val="00E87BB5"/>
    <w:rsid w:val="00EC4408"/>
    <w:rsid w:val="00ED056D"/>
    <w:rsid w:val="00F053F8"/>
    <w:rsid w:val="00F0569E"/>
    <w:rsid w:val="00F133C9"/>
    <w:rsid w:val="00F35EE8"/>
    <w:rsid w:val="00F96C37"/>
    <w:rsid w:val="00FA5F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42"/>
    <o:shapelayout v:ext="edit">
      <o:idmap v:ext="edit" data="1"/>
    </o:shapelayout>
  </w:shapeDefaults>
  <w:doNotEmbedSmartTags/>
  <w:decimalSymbol w:val="."/>
  <w:listSeparator w:val=","/>
  <w14:docId w14:val="189B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RPsanstext">
    <w:name w:val="IRPsanstext"/>
    <w:basedOn w:val="Normal"/>
    <w:link w:val="IRPsanstextChar1"/>
    <w:rsid w:val="005B05E2"/>
    <w:pPr>
      <w:spacing w:line="320" w:lineRule="exact"/>
    </w:pPr>
    <w:rPr>
      <w:rFonts w:ascii="Arial" w:hAnsi="Arial"/>
      <w:sz w:val="20"/>
      <w:szCs w:val="20"/>
      <w:lang w:val="x-none"/>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locked/>
    <w:rsid w:val="005B05E2"/>
    <w:rPr>
      <w:rFonts w:ascii="Arial" w:eastAsia="MS Mincho" w:hAnsi="Arial"/>
      <w:sz w:val="20"/>
      <w:szCs w:val="20"/>
      <w:lang w:val="x-none"/>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styleId="BalloonText">
    <w:name w:val="Balloon Text"/>
    <w:basedOn w:val="Normal"/>
    <w:link w:val="BalloonTextChar"/>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lang w:val="en-US"/>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character" w:customStyle="1" w:styleId="Heading1Char">
    <w:name w:val="Heading 1 Char"/>
    <w:basedOn w:val="DefaultParagraphFont"/>
    <w:link w:val="Heading1"/>
    <w:rsid w:val="001D4E32"/>
    <w:rPr>
      <w:rFonts w:asciiTheme="majorHAnsi" w:eastAsiaTheme="majorEastAsia" w:hAnsiTheme="majorHAnsi" w:cstheme="majorBidi"/>
      <w:b/>
      <w:bCs/>
      <w:color w:val="345A8A" w:themeColor="accent1" w:themeShade="B5"/>
      <w:sz w:val="32"/>
      <w:szCs w:val="32"/>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semiHidden/>
    <w:rsid w:val="00307C88"/>
    <w:rPr>
      <w:sz w:val="16"/>
      <w:szCs w:val="16"/>
    </w:rPr>
  </w:style>
  <w:style w:type="paragraph" w:styleId="CommentText">
    <w:name w:val="annotation text"/>
    <w:basedOn w:val="Normal"/>
    <w:link w:val="CommentTextChar"/>
    <w:semiHidden/>
    <w:rsid w:val="00307C88"/>
    <w:rPr>
      <w:lang w:val="x-none"/>
    </w:rPr>
  </w:style>
  <w:style w:type="character" w:customStyle="1" w:styleId="CommentTextChar">
    <w:name w:val="Comment Text Char"/>
    <w:basedOn w:val="DefaultParagraphFont"/>
    <w:link w:val="CommentText"/>
    <w:semiHidden/>
    <w:rsid w:val="00307C88"/>
    <w:rPr>
      <w:rFonts w:eastAsia="MS Mincho"/>
      <w:lang w:val="x-none"/>
    </w:rPr>
  </w:style>
  <w:style w:type="paragraph" w:customStyle="1" w:styleId="IRPfiguresub0">
    <w:name w:val="IRPfiguresub"/>
    <w:basedOn w:val="BodyText"/>
    <w:rsid w:val="004D0808"/>
    <w:pPr>
      <w:spacing w:beforeAutospacing="1" w:after="0" w:afterAutospacing="1"/>
    </w:pPr>
    <w:rPr>
      <w:rFonts w:ascii="Arial" w:eastAsia="Times New Roman" w:hAnsi="Arial"/>
      <w:b/>
      <w:sz w:val="20"/>
      <w:lang w:val="x-none" w:eastAsia="x-none"/>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CommentSubject">
    <w:name w:val="annotation subject"/>
    <w:basedOn w:val="CommentText"/>
    <w:next w:val="CommentText"/>
    <w:link w:val="CommentSubjectChar"/>
    <w:uiPriority w:val="99"/>
    <w:semiHidden/>
    <w:unhideWhenUsed/>
    <w:rsid w:val="005B2C70"/>
    <w:rPr>
      <w:b/>
      <w:bCs/>
      <w:sz w:val="20"/>
      <w:szCs w:val="20"/>
      <w:lang w:val="en-US"/>
    </w:rPr>
  </w:style>
  <w:style w:type="character" w:customStyle="1" w:styleId="CommentSubjectChar">
    <w:name w:val="Comment Subject Char"/>
    <w:basedOn w:val="CommentTextChar"/>
    <w:link w:val="CommentSubject"/>
    <w:uiPriority w:val="99"/>
    <w:semiHidden/>
    <w:rsid w:val="005B2C70"/>
    <w:rPr>
      <w:rFonts w:eastAsia="MS Mincho"/>
      <w:b/>
      <w:bCs/>
      <w:sz w:val="20"/>
      <w:szCs w:val="20"/>
      <w:lang w:val="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RPsanstext">
    <w:name w:val="IRPsanstext"/>
    <w:basedOn w:val="Normal"/>
    <w:link w:val="IRPsanstextChar1"/>
    <w:rsid w:val="005B05E2"/>
    <w:pPr>
      <w:spacing w:line="320" w:lineRule="exact"/>
    </w:pPr>
    <w:rPr>
      <w:rFonts w:ascii="Arial" w:hAnsi="Arial"/>
      <w:sz w:val="20"/>
      <w:szCs w:val="20"/>
      <w:lang w:val="x-none"/>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locked/>
    <w:rsid w:val="005B05E2"/>
    <w:rPr>
      <w:rFonts w:ascii="Arial" w:eastAsia="MS Mincho" w:hAnsi="Arial"/>
      <w:sz w:val="20"/>
      <w:szCs w:val="20"/>
      <w:lang w:val="x-none"/>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styleId="BalloonText">
    <w:name w:val="Balloon Text"/>
    <w:basedOn w:val="Normal"/>
    <w:link w:val="BalloonTextChar"/>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lang w:val="en-US"/>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character" w:customStyle="1" w:styleId="Heading1Char">
    <w:name w:val="Heading 1 Char"/>
    <w:basedOn w:val="DefaultParagraphFont"/>
    <w:link w:val="Heading1"/>
    <w:rsid w:val="001D4E32"/>
    <w:rPr>
      <w:rFonts w:asciiTheme="majorHAnsi" w:eastAsiaTheme="majorEastAsia" w:hAnsiTheme="majorHAnsi" w:cstheme="majorBidi"/>
      <w:b/>
      <w:bCs/>
      <w:color w:val="345A8A" w:themeColor="accent1" w:themeShade="B5"/>
      <w:sz w:val="32"/>
      <w:szCs w:val="32"/>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semiHidden/>
    <w:rsid w:val="00307C88"/>
    <w:rPr>
      <w:sz w:val="16"/>
      <w:szCs w:val="16"/>
    </w:rPr>
  </w:style>
  <w:style w:type="paragraph" w:styleId="CommentText">
    <w:name w:val="annotation text"/>
    <w:basedOn w:val="Normal"/>
    <w:link w:val="CommentTextChar"/>
    <w:semiHidden/>
    <w:rsid w:val="00307C88"/>
    <w:rPr>
      <w:lang w:val="x-none"/>
    </w:rPr>
  </w:style>
  <w:style w:type="character" w:customStyle="1" w:styleId="CommentTextChar">
    <w:name w:val="Comment Text Char"/>
    <w:basedOn w:val="DefaultParagraphFont"/>
    <w:link w:val="CommentText"/>
    <w:semiHidden/>
    <w:rsid w:val="00307C88"/>
    <w:rPr>
      <w:rFonts w:eastAsia="MS Mincho"/>
      <w:lang w:val="x-none"/>
    </w:rPr>
  </w:style>
  <w:style w:type="paragraph" w:customStyle="1" w:styleId="IRPfiguresub0">
    <w:name w:val="IRPfiguresub"/>
    <w:basedOn w:val="BodyText"/>
    <w:rsid w:val="004D0808"/>
    <w:pPr>
      <w:spacing w:beforeAutospacing="1" w:after="0" w:afterAutospacing="1"/>
    </w:pPr>
    <w:rPr>
      <w:rFonts w:ascii="Arial" w:eastAsia="Times New Roman" w:hAnsi="Arial"/>
      <w:b/>
      <w:sz w:val="20"/>
      <w:lang w:val="x-none" w:eastAsia="x-none"/>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CommentSubject">
    <w:name w:val="annotation subject"/>
    <w:basedOn w:val="CommentText"/>
    <w:next w:val="CommentText"/>
    <w:link w:val="CommentSubjectChar"/>
    <w:uiPriority w:val="99"/>
    <w:semiHidden/>
    <w:unhideWhenUsed/>
    <w:rsid w:val="005B2C70"/>
    <w:rPr>
      <w:b/>
      <w:bCs/>
      <w:sz w:val="20"/>
      <w:szCs w:val="20"/>
      <w:lang w:val="en-US"/>
    </w:rPr>
  </w:style>
  <w:style w:type="character" w:customStyle="1" w:styleId="CommentSubjectChar">
    <w:name w:val="Comment Subject Char"/>
    <w:basedOn w:val="CommentTextChar"/>
    <w:link w:val="CommentSubject"/>
    <w:uiPriority w:val="99"/>
    <w:semiHidden/>
    <w:rsid w:val="005B2C70"/>
    <w:rPr>
      <w:rFonts w:eastAsia="MS Mincho"/>
      <w:b/>
      <w:bCs/>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ustomXml" Target="../customXml/item4.xml"/><Relationship Id="rId21" Type="http://schemas.openxmlformats.org/officeDocument/2006/relationships/image" Target="media/image13.png"/><Relationship Id="rId34" Type="http://schemas.openxmlformats.org/officeDocument/2006/relationships/footer" Target="footer1.xml"/><Relationship Id="rId25" Type="http://schemas.openxmlformats.org/officeDocument/2006/relationships/image" Target="media/image17.png"/><Relationship Id="rId7" Type="http://schemas.openxmlformats.org/officeDocument/2006/relationships/footnotes" Target="footnotes.xml"/><Relationship Id="rId33"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9.png"/><Relationship Id="rId38" Type="http://schemas.openxmlformats.org/officeDocument/2006/relationships/customXml" Target="../customXml/item3.xml"/><Relationship Id="rId20" Type="http://schemas.openxmlformats.org/officeDocument/2006/relationships/image" Target="media/image12.png"/><Relationship Id="rId29"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4" Type="http://schemas.openxmlformats.org/officeDocument/2006/relationships/image" Target="media/image16.png"/><Relationship Id="rId1" Type="http://schemas.openxmlformats.org/officeDocument/2006/relationships/customXml" Target="../customXml/item1.xml"/><Relationship Id="rId32" Type="http://schemas.openxmlformats.org/officeDocument/2006/relationships/image" Target="media/image24.emf"/><Relationship Id="rId6" Type="http://schemas.openxmlformats.org/officeDocument/2006/relationships/webSettings" Target="webSettings.xml"/><Relationship Id="rId11" Type="http://schemas.openxmlformats.org/officeDocument/2006/relationships/image" Target="media/image3.png"/><Relationship Id="rId37" Type="http://schemas.openxmlformats.org/officeDocument/2006/relationships/customXml" Target="../customXml/item2.xml"/><Relationship Id="rId40" Type="http://schemas.openxmlformats.org/officeDocument/2006/relationships/customXml" Target="../customXml/item5.xml"/><Relationship Id="rId23" Type="http://schemas.openxmlformats.org/officeDocument/2006/relationships/image" Target="media/image15.png"/><Relationship Id="rId28" Type="http://schemas.openxmlformats.org/officeDocument/2006/relationships/image" Target="media/image20.emf"/><Relationship Id="rId5" Type="http://schemas.openxmlformats.org/officeDocument/2006/relationships/settings" Target="settings.xml"/><Relationship Id="rId36" Type="http://schemas.openxmlformats.org/officeDocument/2006/relationships/theme" Target="theme/theme1.xml"/><Relationship Id="rId15" Type="http://schemas.openxmlformats.org/officeDocument/2006/relationships/image" Target="media/image7.png"/><Relationship Id="rId31"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22" Type="http://schemas.openxmlformats.org/officeDocument/2006/relationships/image" Target="media/image14.png"/><Relationship Id="rId27" Type="http://schemas.openxmlformats.org/officeDocument/2006/relationships/image" Target="media/image19.png"/><Relationship Id="rId4" Type="http://schemas.microsoft.com/office/2007/relationships/stylesWithEffects" Target="stylesWithEffects.xml"/><Relationship Id="rId30" Type="http://schemas.openxmlformats.org/officeDocument/2006/relationships/image" Target="media/image22.emf"/><Relationship Id="rId9" Type="http://schemas.openxmlformats.org/officeDocument/2006/relationships/image" Target="media/image1.png"/><Relationship Id="rId35" Type="http://schemas.openxmlformats.org/officeDocument/2006/relationships/fontTable" Target="fontTable.xml"/><Relationship Id="rId14" Type="http://schemas.openxmlformats.org/officeDocument/2006/relationships/image" Target="media/image6.pn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141169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7830C01A199B4B9669B9266D9E57D0" ma:contentTypeVersion="175" ma:contentTypeDescription="" ma:contentTypeScope="" ma:versionID="267235b268ef2103aa72b6bb0c12b36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7A2BF495-0654-4091-BD16-9E108D58400D}"/>
</file>

<file path=customXml/itemProps2.xml><?xml version="1.0" encoding="utf-8"?>
<ds:datastoreItem xmlns:ds="http://schemas.openxmlformats.org/officeDocument/2006/customXml" ds:itemID="{0B5DC39E-1234-479B-91D9-7A3DB7900D03}"/>
</file>

<file path=customXml/itemProps3.xml><?xml version="1.0" encoding="utf-8"?>
<ds:datastoreItem xmlns:ds="http://schemas.openxmlformats.org/officeDocument/2006/customXml" ds:itemID="{35EDAB82-0FE1-4D1F-A355-F8486544C3A8}"/>
</file>

<file path=customXml/itemProps4.xml><?xml version="1.0" encoding="utf-8"?>
<ds:datastoreItem xmlns:ds="http://schemas.openxmlformats.org/officeDocument/2006/customXml" ds:itemID="{C007BB78-0B56-204A-A9B3-37A649CAC368}"/>
</file>

<file path=customXml/itemProps5.xml><?xml version="1.0" encoding="utf-8"?>
<ds:datastoreItem xmlns:ds="http://schemas.openxmlformats.org/officeDocument/2006/customXml" ds:itemID="{9183D76D-231F-423C-B538-D0837DE81B90}"/>
</file>

<file path=docProps/app.xml><?xml version="1.0" encoding="utf-8"?>
<Properties xmlns="http://schemas.openxmlformats.org/officeDocument/2006/extended-properties" xmlns:vt="http://schemas.openxmlformats.org/officeDocument/2006/docPropsVTypes">
  <Template>Normal.dotm</Template>
  <TotalTime>5</TotalTime>
  <Pages>41</Pages>
  <Words>6885</Words>
  <Characters>39246</Characters>
  <Application>Microsoft Macintosh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46039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3</cp:revision>
  <cp:lastPrinted>2015-10-16T15:56:00Z</cp:lastPrinted>
  <dcterms:created xsi:type="dcterms:W3CDTF">2015-10-16T15:56:00Z</dcterms:created>
  <dcterms:modified xsi:type="dcterms:W3CDTF">2015-10-16T16:02:00Z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0x0101006E56B4D1795A2E4DB2F0B01679ED314A00CD7830C01A199B4B9669B9266D9E57D0</vt:lpwstr>
  </property>
  <property fmtid="{D5CDD505-2E9C-101B-9397-08002B2CF9AE}" pid="3" name="_docset_NoMedatataSyncRequired">
    <vt:lpwstr>False</vt:lpwstr>
  </property>
</Properties>
</file>