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792" w:rsidRDefault="00922792">
      <w:pPr>
        <w:pStyle w:val="BodyText"/>
        <w:rPr>
          <w:b/>
          <w:bCs/>
        </w:rPr>
      </w:pPr>
    </w:p>
    <w:p w:rsidR="00922792" w:rsidRDefault="00922792">
      <w:pPr>
        <w:pStyle w:val="BodyText"/>
        <w:rPr>
          <w:b/>
          <w:bCs/>
        </w:rPr>
      </w:pPr>
    </w:p>
    <w:p w:rsidR="00680661" w:rsidRPr="001D1994" w:rsidRDefault="00680661">
      <w:pPr>
        <w:pStyle w:val="BodyText"/>
        <w:rPr>
          <w:b/>
          <w:bCs/>
        </w:rPr>
      </w:pPr>
      <w:r w:rsidRPr="001D1994">
        <w:rPr>
          <w:b/>
          <w:bCs/>
        </w:rPr>
        <w:t>BEFORE THE WASHINGTON STATE</w:t>
      </w:r>
    </w:p>
    <w:p w:rsidR="00680661" w:rsidRPr="001D1994" w:rsidRDefault="00680661">
      <w:pPr>
        <w:pStyle w:val="BodyText"/>
        <w:rPr>
          <w:b/>
          <w:bCs/>
        </w:rPr>
      </w:pPr>
      <w:r w:rsidRPr="001D1994">
        <w:rPr>
          <w:b/>
          <w:bCs/>
        </w:rPr>
        <w:t xml:space="preserve">UTILITIES AND TRANSPORTATION </w:t>
      </w:r>
      <w:r w:rsidR="00F270E8" w:rsidRPr="001D1994">
        <w:rPr>
          <w:b/>
          <w:bCs/>
        </w:rPr>
        <w:t>COMMISSION</w:t>
      </w:r>
    </w:p>
    <w:p w:rsidR="00680661" w:rsidRPr="001D1994" w:rsidRDefault="00680661">
      <w:pPr>
        <w:rPr>
          <w:b/>
          <w:bCs/>
        </w:rPr>
      </w:pPr>
    </w:p>
    <w:tbl>
      <w:tblPr>
        <w:tblW w:w="0" w:type="auto"/>
        <w:tblLook w:val="0000"/>
      </w:tblPr>
      <w:tblGrid>
        <w:gridCol w:w="4108"/>
        <w:gridCol w:w="700"/>
        <w:gridCol w:w="3900"/>
      </w:tblGrid>
      <w:tr w:rsidR="008E5BB3" w:rsidRPr="001D1994" w:rsidTr="00EE7636">
        <w:tc>
          <w:tcPr>
            <w:tcW w:w="4108" w:type="dxa"/>
          </w:tcPr>
          <w:p w:rsidR="008E5BB3" w:rsidRPr="001D1994" w:rsidRDefault="008E5BB3" w:rsidP="00EE7636">
            <w:smartTag w:uri="urn:schemas-microsoft-com:office:smarttags" w:element="State">
              <w:smartTag w:uri="urn:schemas-microsoft-com:office:smarttags" w:element="place">
                <w:r w:rsidRPr="001D1994">
                  <w:t>WASHINGTON</w:t>
                </w:r>
              </w:smartTag>
            </w:smartTag>
            <w:r w:rsidRPr="001D1994">
              <w:t xml:space="preserve"> UTILITIES AND TRANSPORTATION </w:t>
            </w:r>
            <w:r w:rsidR="00F270E8" w:rsidRPr="001D1994">
              <w:t>COMMISSION</w:t>
            </w:r>
            <w:r w:rsidRPr="001D1994">
              <w:t>,</w:t>
            </w:r>
          </w:p>
          <w:p w:rsidR="008E5BB3" w:rsidRPr="001D1994" w:rsidRDefault="008E5BB3" w:rsidP="00EE7636"/>
          <w:p w:rsidR="008E5BB3" w:rsidRPr="001D1994" w:rsidRDefault="008E5BB3" w:rsidP="00EE7636">
            <w:pPr>
              <w:jc w:val="center"/>
            </w:pPr>
            <w:r w:rsidRPr="001D1994">
              <w:t>Complainant,</w:t>
            </w:r>
          </w:p>
          <w:p w:rsidR="008E5BB3" w:rsidRPr="001D1994" w:rsidRDefault="008E5BB3" w:rsidP="00EE7636"/>
          <w:p w:rsidR="008E5BB3" w:rsidRPr="001D1994" w:rsidRDefault="008E5BB3" w:rsidP="00EE7636">
            <w:pPr>
              <w:jc w:val="center"/>
            </w:pPr>
            <w:r w:rsidRPr="001D1994">
              <w:t>v.</w:t>
            </w:r>
          </w:p>
          <w:p w:rsidR="008E5BB3" w:rsidRPr="001D1994" w:rsidRDefault="008E5BB3" w:rsidP="00EE7636"/>
          <w:p w:rsidR="005F640F" w:rsidRPr="001D1994" w:rsidRDefault="00C41206" w:rsidP="00EE7636">
            <w:r w:rsidRPr="001D1994">
              <w:t>MURREY</w:t>
            </w:r>
            <w:r w:rsidR="00F270E8" w:rsidRPr="001D1994">
              <w:t>’</w:t>
            </w:r>
            <w:r w:rsidRPr="001D1994">
              <w:t xml:space="preserve">S DISPOSAL COMPANY, INC., </w:t>
            </w:r>
            <w:r w:rsidR="00315880" w:rsidRPr="001D1994">
              <w:t xml:space="preserve">G-9 </w:t>
            </w:r>
            <w:r w:rsidRPr="001D1994">
              <w:t>AND AMERICAN DISPOSAL COMPANY, INC.</w:t>
            </w:r>
            <w:r w:rsidR="008E5BB3" w:rsidRPr="001D1994">
              <w:t>,</w:t>
            </w:r>
            <w:r w:rsidR="00315880" w:rsidRPr="001D1994">
              <w:t xml:space="preserve"> G-87</w:t>
            </w:r>
          </w:p>
          <w:p w:rsidR="008E5BB3" w:rsidRPr="001D1994" w:rsidRDefault="008E5BB3" w:rsidP="00EE7636"/>
          <w:p w:rsidR="008E5BB3" w:rsidRPr="001D1994" w:rsidRDefault="008E5BB3" w:rsidP="00EE7636">
            <w:pPr>
              <w:jc w:val="center"/>
            </w:pPr>
            <w:r w:rsidRPr="001D1994">
              <w:t>Respondent.</w:t>
            </w:r>
          </w:p>
          <w:p w:rsidR="00044916" w:rsidRDefault="00044916" w:rsidP="00EE7636"/>
          <w:p w:rsidR="003F2B74" w:rsidRDefault="003F2B74" w:rsidP="00EE7636"/>
          <w:p w:rsidR="008E5BB3" w:rsidRPr="001D1994" w:rsidRDefault="008E5BB3" w:rsidP="00EE7636">
            <w:r w:rsidRPr="001D1994">
              <w:t>. . . . . . . . . . . . . . . . . . . . . . . . . . . . . . . .</w:t>
            </w:r>
          </w:p>
        </w:tc>
        <w:tc>
          <w:tcPr>
            <w:tcW w:w="700" w:type="dxa"/>
          </w:tcPr>
          <w:p w:rsidR="00D16F6C" w:rsidRPr="001D1994" w:rsidRDefault="008E5BB3" w:rsidP="003F2B74">
            <w:pPr>
              <w:jc w:val="center"/>
            </w:pPr>
            <w:r w:rsidRPr="001D1994">
              <w:t>)</w:t>
            </w:r>
            <w:r w:rsidRPr="001D1994">
              <w:br/>
              <w:t>)</w:t>
            </w:r>
            <w:r w:rsidRPr="001D1994">
              <w:br/>
              <w:t>)</w:t>
            </w:r>
            <w:r w:rsidRPr="001D1994">
              <w:br/>
              <w:t>)</w:t>
            </w:r>
            <w:r w:rsidRPr="001D1994">
              <w:br/>
              <w:t>)</w:t>
            </w:r>
            <w:r w:rsidRPr="001D1994">
              <w:br/>
              <w:t>)</w:t>
            </w:r>
            <w:r w:rsidRPr="001D1994">
              <w:br/>
              <w:t>)</w:t>
            </w:r>
            <w:r w:rsidRPr="001D1994">
              <w:br/>
              <w:t>)</w:t>
            </w:r>
            <w:r w:rsidRPr="001D1994">
              <w:br/>
              <w:t>)</w:t>
            </w:r>
            <w:r w:rsidRPr="001D1994">
              <w:br/>
              <w:t>)</w:t>
            </w:r>
            <w:r w:rsidRPr="001D1994">
              <w:br/>
            </w:r>
            <w:r w:rsidR="00D16F6C" w:rsidRPr="001D1994">
              <w:t>)</w:t>
            </w:r>
          </w:p>
          <w:p w:rsidR="00A92560" w:rsidRDefault="008E5BB3">
            <w:pPr>
              <w:jc w:val="center"/>
            </w:pPr>
            <w:r w:rsidRPr="001D1994">
              <w:t>)</w:t>
            </w:r>
          </w:p>
          <w:p w:rsidR="00A92560" w:rsidRDefault="00044916">
            <w:pPr>
              <w:jc w:val="center"/>
            </w:pPr>
            <w:r>
              <w:t>)</w:t>
            </w:r>
          </w:p>
          <w:p w:rsidR="00A92560" w:rsidRDefault="00D16F6C">
            <w:pPr>
              <w:jc w:val="center"/>
            </w:pPr>
            <w:r w:rsidRPr="001D1994">
              <w:t>)</w:t>
            </w:r>
          </w:p>
          <w:p w:rsidR="00A92560" w:rsidRDefault="003F2B74">
            <w:pPr>
              <w:jc w:val="center"/>
            </w:pPr>
            <w:r>
              <w:t>)</w:t>
            </w:r>
          </w:p>
        </w:tc>
        <w:tc>
          <w:tcPr>
            <w:tcW w:w="3900" w:type="dxa"/>
          </w:tcPr>
          <w:p w:rsidR="00FF37F0" w:rsidRPr="001D1994" w:rsidRDefault="008E5BB3" w:rsidP="00EE7636">
            <w:r w:rsidRPr="001D1994">
              <w:t>DOCKET</w:t>
            </w:r>
            <w:r w:rsidR="00315880" w:rsidRPr="001D1994">
              <w:t>S</w:t>
            </w:r>
            <w:r w:rsidRPr="001D1994">
              <w:t xml:space="preserve"> </w:t>
            </w:r>
            <w:r w:rsidR="00C41206" w:rsidRPr="001D1994">
              <w:t>TG-0</w:t>
            </w:r>
            <w:r w:rsidR="007C0786" w:rsidRPr="001D1994">
              <w:t>9</w:t>
            </w:r>
            <w:r w:rsidR="00C41206" w:rsidRPr="001D1994">
              <w:t>009</w:t>
            </w:r>
            <w:r w:rsidR="007C0786" w:rsidRPr="001D1994">
              <w:t>7</w:t>
            </w:r>
            <w:r w:rsidR="00FF37F0" w:rsidRPr="001D1994">
              <w:t xml:space="preserve"> and</w:t>
            </w:r>
          </w:p>
          <w:p w:rsidR="008E5BB3" w:rsidRPr="001D1994" w:rsidRDefault="007C0786" w:rsidP="00EE7636">
            <w:r w:rsidRPr="001D1994">
              <w:t>TG-090098</w:t>
            </w:r>
          </w:p>
          <w:p w:rsidR="008E5BB3" w:rsidRPr="001D1994" w:rsidRDefault="008E5BB3" w:rsidP="00EE7636">
            <w:pPr>
              <w:ind w:left="720"/>
            </w:pPr>
          </w:p>
          <w:p w:rsidR="008E5BB3" w:rsidRPr="001D1994" w:rsidRDefault="008E5BB3" w:rsidP="00EE7636">
            <w:r w:rsidRPr="001D1994">
              <w:t xml:space="preserve">ORDER </w:t>
            </w:r>
            <w:r w:rsidR="00C41206" w:rsidRPr="001D1994">
              <w:t>02</w:t>
            </w:r>
          </w:p>
          <w:p w:rsidR="00D16F6C" w:rsidRPr="001D1994" w:rsidRDefault="00D16F6C" w:rsidP="00EE7636"/>
          <w:p w:rsidR="00B07104" w:rsidRPr="001D1994" w:rsidRDefault="00B07104" w:rsidP="00EE7636"/>
          <w:p w:rsidR="008E5BB3" w:rsidRPr="001D1994" w:rsidRDefault="007C0786" w:rsidP="008D21BE">
            <w:r w:rsidRPr="001D1994">
              <w:t>O</w:t>
            </w:r>
            <w:r w:rsidR="008E5BB3" w:rsidRPr="001D1994">
              <w:t xml:space="preserve">RDER DISMISSING COMPLAINT AND ORDER SUSPENDING TARIFF </w:t>
            </w:r>
            <w:r w:rsidR="00D543CD" w:rsidRPr="001D1994">
              <w:rPr>
                <w:noProof/>
              </w:rPr>
              <w:t>REVISIONS</w:t>
            </w:r>
            <w:r w:rsidR="008E5BB3" w:rsidRPr="001D1994">
              <w:t xml:space="preserve">; ALLOWING TARIFF </w:t>
            </w:r>
            <w:r w:rsidR="00D543CD" w:rsidRPr="001D1994">
              <w:rPr>
                <w:noProof/>
              </w:rPr>
              <w:t>REVISIONS</w:t>
            </w:r>
            <w:r w:rsidR="00B07104" w:rsidRPr="001D1994">
              <w:rPr>
                <w:noProof/>
              </w:rPr>
              <w:t>, ON LESS THAN STATUTORY NOTICE</w:t>
            </w:r>
            <w:r w:rsidR="00BD62D1">
              <w:rPr>
                <w:noProof/>
              </w:rPr>
              <w:t xml:space="preserve">; GRANTING EXEMPTIONS </w:t>
            </w:r>
            <w:r w:rsidR="008D21BE">
              <w:rPr>
                <w:noProof/>
              </w:rPr>
              <w:t>FROM</w:t>
            </w:r>
            <w:r w:rsidR="00BD62D1">
              <w:rPr>
                <w:noProof/>
              </w:rPr>
              <w:t xml:space="preserve"> RULES</w:t>
            </w:r>
            <w:r w:rsidR="00E463E5">
              <w:rPr>
                <w:noProof/>
              </w:rPr>
              <w:t>; ORDERING REFUNDS</w:t>
            </w:r>
          </w:p>
        </w:tc>
      </w:tr>
    </w:tbl>
    <w:p w:rsidR="008E5BB3" w:rsidRPr="001D1994" w:rsidRDefault="008E5BB3" w:rsidP="008E5BB3"/>
    <w:p w:rsidR="008E5BB3" w:rsidRPr="001D1994" w:rsidRDefault="008E5BB3" w:rsidP="008E5BB3">
      <w:pPr>
        <w:pStyle w:val="Heading2"/>
        <w:spacing w:line="288" w:lineRule="auto"/>
        <w:rPr>
          <w:b/>
          <w:bCs/>
          <w:u w:val="none"/>
        </w:rPr>
      </w:pPr>
      <w:r w:rsidRPr="001D1994">
        <w:rPr>
          <w:b/>
          <w:bCs/>
          <w:u w:val="none"/>
        </w:rPr>
        <w:t>BACKGROUND</w:t>
      </w:r>
    </w:p>
    <w:p w:rsidR="008E5BB3" w:rsidRPr="001D1994" w:rsidRDefault="008E5BB3" w:rsidP="008E5BB3"/>
    <w:p w:rsidR="00887108" w:rsidRPr="001D1994" w:rsidRDefault="00887108" w:rsidP="00887108">
      <w:pPr>
        <w:numPr>
          <w:ilvl w:val="0"/>
          <w:numId w:val="14"/>
        </w:numPr>
        <w:spacing w:line="288" w:lineRule="auto"/>
      </w:pPr>
      <w:r w:rsidRPr="00887108">
        <w:t>On January 15, 2009, Murrey’s Disposal Company, Inc., and American Disposal Company, Inc., (collectively “Murrey’s and American” or Companies), filed with the Washington Utilities and Transportation Commission (Commission) revised pages to their Tariff No. 25.  The Companies are under common ownership and have identical rates.  The Companies serve approximately 52,000 customers in Pierce County.  The stated effective date is March 2, 2009.</w:t>
      </w:r>
    </w:p>
    <w:p w:rsidR="008E5BB3" w:rsidRPr="001D1994" w:rsidRDefault="008E5BB3" w:rsidP="008E5BB3">
      <w:pPr>
        <w:pStyle w:val="Header"/>
        <w:tabs>
          <w:tab w:val="clear" w:pos="4320"/>
          <w:tab w:val="clear" w:pos="8640"/>
        </w:tabs>
        <w:spacing w:line="288" w:lineRule="auto"/>
      </w:pPr>
    </w:p>
    <w:p w:rsidR="00887108" w:rsidRDefault="00887108" w:rsidP="007C0786">
      <w:pPr>
        <w:pStyle w:val="FindingsConclusions"/>
        <w:rPr>
          <w:rFonts w:ascii="Times New Roman" w:hAnsi="Times New Roman"/>
        </w:rPr>
      </w:pPr>
      <w:r w:rsidRPr="00887108">
        <w:rPr>
          <w:rFonts w:ascii="Times New Roman" w:hAnsi="Times New Roman"/>
        </w:rPr>
        <w:t>In these filings, Murrey’s and American propose to pass through increased disposal fees to garbage customers, and increase rates for drop box, residential recycling, recycling station, and yard waste collection services.  Murrey’s and American proposed rates that are designed to increase revenues by $1,186,064 (4.3 percent) annually.</w:t>
      </w:r>
    </w:p>
    <w:p w:rsidR="00133804" w:rsidRDefault="00133804" w:rsidP="00133804">
      <w:pPr>
        <w:pStyle w:val="ListParagraph"/>
      </w:pPr>
    </w:p>
    <w:p w:rsidR="00133804" w:rsidRDefault="00133804" w:rsidP="007C0786">
      <w:pPr>
        <w:pStyle w:val="FindingsConclusions"/>
        <w:rPr>
          <w:rFonts w:ascii="Times New Roman" w:hAnsi="Times New Roman"/>
        </w:rPr>
      </w:pPr>
      <w:r w:rsidRPr="00133804">
        <w:rPr>
          <w:rFonts w:ascii="Times New Roman" w:hAnsi="Times New Roman"/>
        </w:rPr>
        <w:t xml:space="preserve">Staff’s analysis showed the Companies’ proposed rates for disposal fees would generate $26,849 in excess annual revenue.  Staff and the Companies agreed to revised rates for disposal fees that would generate $475,820 (1.7 percent) in additional annual revenue.  On February 23, 2009, the Companies filed substitute pages with the Commission at Staff’s recommended revised rates.  </w:t>
      </w:r>
    </w:p>
    <w:p w:rsidR="00133804" w:rsidRDefault="00133804" w:rsidP="00133804">
      <w:pPr>
        <w:pStyle w:val="ListParagraph"/>
      </w:pPr>
    </w:p>
    <w:p w:rsidR="00922792" w:rsidRDefault="00922792" w:rsidP="00133804">
      <w:pPr>
        <w:pStyle w:val="ListParagraph"/>
      </w:pPr>
    </w:p>
    <w:p w:rsidR="00133804" w:rsidRDefault="007D2183" w:rsidP="007C0786">
      <w:pPr>
        <w:pStyle w:val="FindingsConclusions"/>
        <w:rPr>
          <w:rFonts w:ascii="Times New Roman" w:hAnsi="Times New Roman"/>
        </w:rPr>
      </w:pPr>
      <w:r w:rsidRPr="007D2183">
        <w:rPr>
          <w:rFonts w:ascii="Times New Roman" w:hAnsi="Times New Roman"/>
        </w:rPr>
        <w:lastRenderedPageBreak/>
        <w:t>Staff’s analysis showed a higher revenue requirement for drop box, residential recycling, recycling station, and yard waste collection services than what the Companies proposed.  Staff’s analysis also showed that the garbage</w:t>
      </w:r>
      <w:r>
        <w:rPr>
          <w:rFonts w:ascii="Times New Roman" w:hAnsi="Times New Roman"/>
        </w:rPr>
        <w:t xml:space="preserve"> and multi-family recycling</w:t>
      </w:r>
      <w:r w:rsidRPr="007D2183">
        <w:rPr>
          <w:rFonts w:ascii="Times New Roman" w:hAnsi="Times New Roman"/>
        </w:rPr>
        <w:t xml:space="preserve"> rates </w:t>
      </w:r>
      <w:r>
        <w:rPr>
          <w:rFonts w:ascii="Times New Roman" w:hAnsi="Times New Roman"/>
        </w:rPr>
        <w:t>were</w:t>
      </w:r>
      <w:r w:rsidRPr="007D2183">
        <w:rPr>
          <w:rFonts w:ascii="Times New Roman" w:hAnsi="Times New Roman"/>
        </w:rPr>
        <w:t xml:space="preserve"> too high and generate more than the required revenue requirement.</w:t>
      </w:r>
      <w:r w:rsidR="008D21BE">
        <w:rPr>
          <w:rFonts w:ascii="Times New Roman" w:hAnsi="Times New Roman"/>
        </w:rPr>
        <w:t xml:space="preserve">  </w:t>
      </w:r>
    </w:p>
    <w:p w:rsidR="004126B3" w:rsidRDefault="004126B3" w:rsidP="004126B3">
      <w:pPr>
        <w:pStyle w:val="FindingsConclusions"/>
        <w:numPr>
          <w:ilvl w:val="0"/>
          <w:numId w:val="0"/>
        </w:numPr>
        <w:rPr>
          <w:rFonts w:ascii="Times New Roman" w:hAnsi="Times New Roman"/>
        </w:rPr>
      </w:pPr>
    </w:p>
    <w:p w:rsidR="008E5BB3" w:rsidRDefault="00133804" w:rsidP="007C0786">
      <w:pPr>
        <w:pStyle w:val="FindingsConclusions"/>
        <w:rPr>
          <w:rFonts w:ascii="Times New Roman" w:hAnsi="Times New Roman"/>
        </w:rPr>
      </w:pPr>
      <w:r w:rsidRPr="00133804">
        <w:rPr>
          <w:rFonts w:ascii="Times New Roman" w:hAnsi="Times New Roman"/>
        </w:rPr>
        <w:t xml:space="preserve">On February 26, 2009, </w:t>
      </w:r>
      <w:r w:rsidR="00A85684">
        <w:rPr>
          <w:rFonts w:ascii="Times New Roman" w:hAnsi="Times New Roman"/>
        </w:rPr>
        <w:t>the C</w:t>
      </w:r>
      <w:r w:rsidRPr="00133804">
        <w:rPr>
          <w:rFonts w:ascii="Times New Roman" w:hAnsi="Times New Roman"/>
        </w:rPr>
        <w:t xml:space="preserve">ommission issued a complaint and order suspending the tariff revisions filed by the </w:t>
      </w:r>
      <w:r w:rsidR="00E0390F">
        <w:rPr>
          <w:rFonts w:ascii="Times New Roman" w:hAnsi="Times New Roman"/>
        </w:rPr>
        <w:t>Companies</w:t>
      </w:r>
      <w:r w:rsidRPr="00133804">
        <w:rPr>
          <w:rFonts w:ascii="Times New Roman" w:hAnsi="Times New Roman"/>
        </w:rPr>
        <w:t xml:space="preserve"> on January 15, 2009, and the substitute pages the </w:t>
      </w:r>
      <w:r w:rsidR="00E0390F">
        <w:rPr>
          <w:rFonts w:ascii="Times New Roman" w:hAnsi="Times New Roman"/>
        </w:rPr>
        <w:t>Companies</w:t>
      </w:r>
      <w:r w:rsidRPr="00133804">
        <w:rPr>
          <w:rFonts w:ascii="Times New Roman" w:hAnsi="Times New Roman"/>
        </w:rPr>
        <w:t xml:space="preserve"> filed on February 23, 2009; and, allowed the proposed tariffs filed by the </w:t>
      </w:r>
      <w:r w:rsidR="00E0390F">
        <w:rPr>
          <w:rFonts w:ascii="Times New Roman" w:hAnsi="Times New Roman"/>
        </w:rPr>
        <w:t>Companies</w:t>
      </w:r>
      <w:r w:rsidRPr="00133804">
        <w:rPr>
          <w:rFonts w:ascii="Times New Roman" w:hAnsi="Times New Roman"/>
        </w:rPr>
        <w:t xml:space="preserve"> to become effective on March 1, 2009, on a temporary basis, subject to refund if the </w:t>
      </w:r>
      <w:r w:rsidR="00E0390F">
        <w:rPr>
          <w:rFonts w:ascii="Times New Roman" w:hAnsi="Times New Roman"/>
        </w:rPr>
        <w:t>Commission</w:t>
      </w:r>
      <w:r w:rsidRPr="00133804">
        <w:rPr>
          <w:rFonts w:ascii="Times New Roman" w:hAnsi="Times New Roman"/>
        </w:rPr>
        <w:t xml:space="preserve"> determines that different rates will be fair, just, reasonable and sufficient.</w:t>
      </w:r>
    </w:p>
    <w:p w:rsidR="00887108" w:rsidRDefault="00887108" w:rsidP="00FD6FB8">
      <w:pPr>
        <w:pStyle w:val="ListParagraph"/>
        <w:ind w:left="0"/>
      </w:pPr>
    </w:p>
    <w:p w:rsidR="00874A1E" w:rsidRPr="00FD6FB8" w:rsidRDefault="00874A1E" w:rsidP="00FD6FB8">
      <w:pPr>
        <w:pStyle w:val="FindingsConclusions"/>
      </w:pPr>
      <w:r w:rsidRPr="00874A1E">
        <w:rPr>
          <w:rFonts w:ascii="Times New Roman" w:hAnsi="Times New Roman"/>
        </w:rPr>
        <w:t xml:space="preserve">Staff and the </w:t>
      </w:r>
      <w:r w:rsidR="00E0390F">
        <w:rPr>
          <w:rFonts w:ascii="Times New Roman" w:hAnsi="Times New Roman"/>
        </w:rPr>
        <w:t>C</w:t>
      </w:r>
      <w:r w:rsidRPr="00874A1E">
        <w:rPr>
          <w:rFonts w:ascii="Times New Roman" w:hAnsi="Times New Roman"/>
        </w:rPr>
        <w:t xml:space="preserve">ompanies’ representatives met to discuss </w:t>
      </w:r>
      <w:r w:rsidR="00F12996">
        <w:rPr>
          <w:rFonts w:ascii="Times New Roman" w:hAnsi="Times New Roman"/>
        </w:rPr>
        <w:t>Staff</w:t>
      </w:r>
      <w:r w:rsidRPr="00874A1E">
        <w:rPr>
          <w:rFonts w:ascii="Times New Roman" w:hAnsi="Times New Roman"/>
        </w:rPr>
        <w:t xml:space="preserve">’s analysis of the general rate cases, and agreed </w:t>
      </w:r>
      <w:r w:rsidR="00FA2FE6">
        <w:rPr>
          <w:rFonts w:ascii="Times New Roman" w:hAnsi="Times New Roman"/>
        </w:rPr>
        <w:t>that Staff would take the following approach in determining the appropriate revenue requirement</w:t>
      </w:r>
      <w:r w:rsidRPr="00874A1E">
        <w:rPr>
          <w:rFonts w:ascii="Times New Roman" w:hAnsi="Times New Roman"/>
        </w:rPr>
        <w:t>:</w:t>
      </w:r>
      <w:r w:rsidR="00FD6FB8">
        <w:rPr>
          <w:rFonts w:ascii="Times New Roman" w:hAnsi="Times New Roman"/>
        </w:rPr>
        <w:t xml:space="preserve"> </w:t>
      </w:r>
      <w:r w:rsidR="00FD6FB8">
        <w:t xml:space="preserve"> </w:t>
      </w:r>
      <w:r w:rsidR="00FA2FE6">
        <w:rPr>
          <w:rFonts w:ascii="Times New Roman" w:hAnsi="Times New Roman"/>
        </w:rPr>
        <w:t>a</w:t>
      </w:r>
      <w:r w:rsidRPr="001944ED">
        <w:rPr>
          <w:rFonts w:ascii="Times New Roman" w:hAnsi="Times New Roman"/>
        </w:rPr>
        <w:t>pply</w:t>
      </w:r>
      <w:r w:rsidRPr="00FD6FB8">
        <w:rPr>
          <w:rFonts w:ascii="Times New Roman" w:hAnsi="Times New Roman"/>
        </w:rPr>
        <w:t xml:space="preserve"> the Lurito Gallagher methodology to each of the major services (e.g.</w:t>
      </w:r>
      <w:r w:rsidR="00A0293F">
        <w:rPr>
          <w:rFonts w:ascii="Times New Roman" w:hAnsi="Times New Roman"/>
        </w:rPr>
        <w:t>,</w:t>
      </w:r>
      <w:r w:rsidRPr="00FD6FB8">
        <w:rPr>
          <w:rFonts w:ascii="Times New Roman" w:hAnsi="Times New Roman"/>
        </w:rPr>
        <w:t xml:space="preserve"> total garbage, recycling and yard waste) separately, instead of to the combi</w:t>
      </w:r>
      <w:r w:rsidR="00E0390F">
        <w:rPr>
          <w:rFonts w:ascii="Times New Roman" w:hAnsi="Times New Roman"/>
        </w:rPr>
        <w:t>ned services, to calculate the C</w:t>
      </w:r>
      <w:r w:rsidRPr="00FD6FB8">
        <w:rPr>
          <w:rFonts w:ascii="Times New Roman" w:hAnsi="Times New Roman"/>
        </w:rPr>
        <w:t>ompanies’ total revenue requirement</w:t>
      </w:r>
      <w:r w:rsidR="00FD6FB8">
        <w:rPr>
          <w:rFonts w:ascii="Times New Roman" w:hAnsi="Times New Roman"/>
        </w:rPr>
        <w:t>; a</w:t>
      </w:r>
      <w:r w:rsidRPr="00FD6FB8">
        <w:rPr>
          <w:rFonts w:ascii="Times New Roman" w:hAnsi="Times New Roman"/>
        </w:rPr>
        <w:t>llocate common business expenses to each type of service using the number of route hours (with certain adjustments), instead of using the number of routes</w:t>
      </w:r>
      <w:r w:rsidR="00FD6FB8">
        <w:rPr>
          <w:rFonts w:ascii="Times New Roman" w:hAnsi="Times New Roman"/>
        </w:rPr>
        <w:t xml:space="preserve">; </w:t>
      </w:r>
      <w:r w:rsidR="00BA789A">
        <w:rPr>
          <w:rFonts w:ascii="Times New Roman" w:hAnsi="Times New Roman"/>
        </w:rPr>
        <w:t xml:space="preserve">and, </w:t>
      </w:r>
      <w:r w:rsidR="00FD6FB8">
        <w:rPr>
          <w:rFonts w:ascii="Times New Roman" w:hAnsi="Times New Roman"/>
        </w:rPr>
        <w:t>a</w:t>
      </w:r>
      <w:r w:rsidRPr="00FD6FB8">
        <w:rPr>
          <w:rFonts w:ascii="Times New Roman" w:hAnsi="Times New Roman"/>
        </w:rPr>
        <w:t>ssign identifiable assets directly to each type of service and allocate common assets between each type of service (average costing), instead of assigning all infrastructure and investment to garbage and only those incremental or additional costs that can be assigned directly to recycling or yard waste programs (marginal costing).</w:t>
      </w:r>
    </w:p>
    <w:p w:rsidR="008E5BB3" w:rsidRPr="001D1994" w:rsidRDefault="008E5BB3" w:rsidP="008E5BB3">
      <w:pPr>
        <w:spacing w:line="288" w:lineRule="auto"/>
      </w:pPr>
    </w:p>
    <w:p w:rsidR="00874A1E" w:rsidRDefault="00874A1E" w:rsidP="00874A1E">
      <w:pPr>
        <w:numPr>
          <w:ilvl w:val="0"/>
          <w:numId w:val="14"/>
        </w:numPr>
        <w:spacing w:line="288" w:lineRule="auto"/>
      </w:pPr>
      <w:r w:rsidRPr="00874A1E">
        <w:t xml:space="preserve">Staff also found that the </w:t>
      </w:r>
      <w:r w:rsidR="00E0390F">
        <w:t>Companies</w:t>
      </w:r>
      <w:r w:rsidRPr="00874A1E">
        <w:t xml:space="preserve"> could not provide detailed information regarding the “Corporate Overhead” expenses, and should maintain their records in a manner that will allow them to provide a detailed breakdown, by expense account, for the “Corporate Overhead” expenses, in the </w:t>
      </w:r>
      <w:r w:rsidR="001944ED">
        <w:t xml:space="preserve">Companies’ </w:t>
      </w:r>
      <w:r w:rsidRPr="00874A1E">
        <w:t>next rate case</w:t>
      </w:r>
      <w:r>
        <w:t>.</w:t>
      </w:r>
    </w:p>
    <w:p w:rsidR="00874A1E" w:rsidRDefault="00874A1E" w:rsidP="00874A1E">
      <w:pPr>
        <w:spacing w:line="288" w:lineRule="auto"/>
      </w:pPr>
    </w:p>
    <w:p w:rsidR="00D14061" w:rsidRDefault="00874A1E" w:rsidP="009B178E">
      <w:pPr>
        <w:numPr>
          <w:ilvl w:val="0"/>
          <w:numId w:val="14"/>
        </w:numPr>
        <w:spacing w:line="288" w:lineRule="auto"/>
      </w:pPr>
      <w:r w:rsidRPr="00874A1E">
        <w:t xml:space="preserve">Staff and the </w:t>
      </w:r>
      <w:r w:rsidR="00E0390F">
        <w:t>C</w:t>
      </w:r>
      <w:r w:rsidRPr="00874A1E">
        <w:t xml:space="preserve">ompanies agreed to a revised revenue requirement </w:t>
      </w:r>
      <w:r w:rsidR="00BA789A">
        <w:t xml:space="preserve">of </w:t>
      </w:r>
      <w:r w:rsidRPr="00874A1E">
        <w:t xml:space="preserve">$1,088,584 (3.9 percent) in additional annual revenue and revised rates. </w:t>
      </w:r>
      <w:r w:rsidR="00E0390F">
        <w:t xml:space="preserve"> </w:t>
      </w:r>
      <w:r w:rsidRPr="00874A1E">
        <w:t xml:space="preserve">On April 16, 2009, the </w:t>
      </w:r>
      <w:r w:rsidR="00E0390F">
        <w:t>C</w:t>
      </w:r>
      <w:r w:rsidRPr="00874A1E">
        <w:t xml:space="preserve">ompanies filed revised rates at </w:t>
      </w:r>
      <w:r w:rsidR="00F12996">
        <w:t>Staff</w:t>
      </w:r>
      <w:r w:rsidR="001944ED">
        <w:t>-</w:t>
      </w:r>
      <w:r w:rsidRPr="00874A1E">
        <w:t xml:space="preserve">recommended levels. </w:t>
      </w:r>
      <w:r w:rsidR="00E0390F">
        <w:t xml:space="preserve"> </w:t>
      </w:r>
    </w:p>
    <w:p w:rsidR="00373948" w:rsidRDefault="00373948">
      <w:pPr>
        <w:pStyle w:val="ListParagraph"/>
      </w:pPr>
    </w:p>
    <w:p w:rsidR="00913A61" w:rsidRDefault="00874A1E" w:rsidP="009B178E">
      <w:pPr>
        <w:numPr>
          <w:ilvl w:val="0"/>
          <w:numId w:val="14"/>
        </w:numPr>
        <w:spacing w:line="288" w:lineRule="auto"/>
      </w:pPr>
      <w:r w:rsidRPr="00874A1E">
        <w:t>Although the revised rates for garbage decrease and the revised rates for recycling and yard waste service</w:t>
      </w:r>
      <w:r w:rsidR="004126B3">
        <w:t>s</w:t>
      </w:r>
      <w:r w:rsidRPr="00874A1E">
        <w:t xml:space="preserve"> increase, the total revised cost for combined garbage and mandatory recycling service decreases, and the total cost of combined garbage, mandatory recycling </w:t>
      </w:r>
      <w:r w:rsidRPr="00874A1E">
        <w:lastRenderedPageBreak/>
        <w:t xml:space="preserve">and yard waste service decreases. </w:t>
      </w:r>
      <w:r w:rsidR="00E0390F">
        <w:t xml:space="preserve"> </w:t>
      </w:r>
      <w:r w:rsidRPr="00874A1E">
        <w:t xml:space="preserve">The revised rates are increases to the original proposed rates for drop box service that the </w:t>
      </w:r>
      <w:r w:rsidR="00E0390F">
        <w:t>C</w:t>
      </w:r>
      <w:r w:rsidRPr="00874A1E">
        <w:t>ompanies noticed to customers.</w:t>
      </w:r>
    </w:p>
    <w:p w:rsidR="0071545A" w:rsidRDefault="0071545A" w:rsidP="0071545A">
      <w:pPr>
        <w:pStyle w:val="ListParagraph"/>
      </w:pPr>
    </w:p>
    <w:p w:rsidR="00640455" w:rsidRDefault="00D14061">
      <w:pPr>
        <w:numPr>
          <w:ilvl w:val="0"/>
          <w:numId w:val="14"/>
        </w:numPr>
        <w:spacing w:line="288" w:lineRule="auto"/>
      </w:pPr>
      <w:r>
        <w:t xml:space="preserve">The Companies request an exemption </w:t>
      </w:r>
      <w:r w:rsidR="001944ED">
        <w:t>from</w:t>
      </w:r>
      <w:r>
        <w:t xml:space="preserve"> </w:t>
      </w:r>
      <w:r w:rsidRPr="00087C97">
        <w:t>WAC 480-70-</w:t>
      </w:r>
      <w:r w:rsidR="00EF6737">
        <w:t>266</w:t>
      </w:r>
      <w:r w:rsidR="009200EC" w:rsidRPr="00087C97">
        <w:t>, Tariffs</w:t>
      </w:r>
      <w:r w:rsidRPr="00087C97">
        <w:t xml:space="preserve">, to allow the revised rates to become effective on May 1, 2009, </w:t>
      </w:r>
      <w:r w:rsidR="001944ED">
        <w:t>on</w:t>
      </w:r>
      <w:r w:rsidRPr="00087C97">
        <w:t xml:space="preserve"> less than statutory notice</w:t>
      </w:r>
      <w:r>
        <w:t xml:space="preserve">, and an exemption </w:t>
      </w:r>
      <w:r w:rsidR="001944ED">
        <w:t>from</w:t>
      </w:r>
      <w:r>
        <w:t xml:space="preserve"> </w:t>
      </w:r>
      <w:r w:rsidRPr="00087C97">
        <w:t>WAC 480-70-271, Customer Notice, to allow the company to notify customers affected by the increased revised rates in the next billing cycle.</w:t>
      </w:r>
    </w:p>
    <w:p w:rsidR="00874A1E" w:rsidRDefault="00874A1E" w:rsidP="009B178E">
      <w:pPr>
        <w:pStyle w:val="ListParagraph"/>
        <w:ind w:left="0"/>
      </w:pPr>
    </w:p>
    <w:p w:rsidR="00680661" w:rsidRPr="001D1994" w:rsidRDefault="00A85684">
      <w:pPr>
        <w:numPr>
          <w:ilvl w:val="0"/>
          <w:numId w:val="14"/>
        </w:numPr>
        <w:spacing w:line="288" w:lineRule="auto"/>
      </w:pPr>
      <w:r w:rsidRPr="00A85684">
        <w:t xml:space="preserve">Murrey’s and American notified the recycling and yard waste customers of the proposed rate increase by mail on January 28, 2009.  The Commission received comments from </w:t>
      </w:r>
      <w:r w:rsidR="001B2497">
        <w:t>71</w:t>
      </w:r>
      <w:r w:rsidRPr="00A85684">
        <w:t xml:space="preserve"> customers concerning Murrey’s and American’s original January 15, 2009, filings.  The majority of the comments concerned the percentage increase in the recycling and yard waste rates.</w:t>
      </w:r>
    </w:p>
    <w:p w:rsidR="00B07104" w:rsidRPr="001D1994" w:rsidRDefault="00B07104" w:rsidP="00FA5EB0">
      <w:pPr>
        <w:pStyle w:val="ListParagraph"/>
        <w:ind w:left="0"/>
      </w:pPr>
    </w:p>
    <w:p w:rsidR="00B07104" w:rsidRPr="001D1994" w:rsidRDefault="00B07104" w:rsidP="007C0786">
      <w:pPr>
        <w:pStyle w:val="FindingsConclusions"/>
        <w:rPr>
          <w:rFonts w:ascii="Times New Roman" w:hAnsi="Times New Roman"/>
        </w:rPr>
      </w:pPr>
      <w:r w:rsidRPr="001D1994">
        <w:rPr>
          <w:rFonts w:ascii="Times New Roman" w:hAnsi="Times New Roman"/>
        </w:rPr>
        <w:t xml:space="preserve">RCW 81.28.050 and WAC 480-70-266 require forty-five days’ notice to the Commission prior to the effective date of the tariff.  The tariff sheets </w:t>
      </w:r>
      <w:r w:rsidR="00BA789A">
        <w:rPr>
          <w:rFonts w:ascii="Times New Roman" w:hAnsi="Times New Roman"/>
        </w:rPr>
        <w:t xml:space="preserve">showing the increase to drop box rates were filed on April 16, 2009.  </w:t>
      </w:r>
      <w:r w:rsidR="00D85400">
        <w:rPr>
          <w:rFonts w:ascii="Times New Roman" w:hAnsi="Times New Roman"/>
        </w:rPr>
        <w:t>The Companies</w:t>
      </w:r>
      <w:r w:rsidRPr="001D1994">
        <w:rPr>
          <w:rFonts w:ascii="Times New Roman" w:hAnsi="Times New Roman"/>
        </w:rPr>
        <w:t xml:space="preserve"> request, however, less than statutory notice as permitted by </w:t>
      </w:r>
      <w:hyperlink r:id="rId11" w:history="1">
        <w:r w:rsidRPr="001D1994">
          <w:rPr>
            <w:rFonts w:ascii="Times New Roman" w:hAnsi="Times New Roman"/>
          </w:rPr>
          <w:t>WAC 480-70-276</w:t>
        </w:r>
      </w:hyperlink>
      <w:r w:rsidRPr="001D1994">
        <w:rPr>
          <w:rFonts w:ascii="Times New Roman" w:hAnsi="Times New Roman"/>
        </w:rPr>
        <w:t>, so that the tariff</w:t>
      </w:r>
      <w:r w:rsidR="00D85400">
        <w:rPr>
          <w:rFonts w:ascii="Times New Roman" w:hAnsi="Times New Roman"/>
        </w:rPr>
        <w:t xml:space="preserve"> revisions</w:t>
      </w:r>
      <w:r w:rsidRPr="001D1994">
        <w:rPr>
          <w:rFonts w:ascii="Times New Roman" w:hAnsi="Times New Roman"/>
        </w:rPr>
        <w:t xml:space="preserve"> become effective on</w:t>
      </w:r>
      <w:r w:rsidR="00D85400">
        <w:rPr>
          <w:rFonts w:ascii="Times New Roman" w:hAnsi="Times New Roman"/>
        </w:rPr>
        <w:t xml:space="preserve"> May 1, 2009</w:t>
      </w:r>
      <w:r w:rsidRPr="001D1994">
        <w:rPr>
          <w:rFonts w:ascii="Times New Roman" w:hAnsi="Times New Roman"/>
        </w:rPr>
        <w:t xml:space="preserve">.  </w:t>
      </w:r>
      <w:r w:rsidR="00D85400">
        <w:rPr>
          <w:rFonts w:ascii="Times New Roman" w:hAnsi="Times New Roman"/>
        </w:rPr>
        <w:t>The Companies</w:t>
      </w:r>
      <w:r w:rsidRPr="001D1994">
        <w:rPr>
          <w:rFonts w:ascii="Times New Roman" w:hAnsi="Times New Roman"/>
        </w:rPr>
        <w:t xml:space="preserve"> request less than statutory notice because</w:t>
      </w:r>
      <w:r w:rsidR="00D85400">
        <w:rPr>
          <w:rFonts w:ascii="Times New Roman" w:hAnsi="Times New Roman"/>
        </w:rPr>
        <w:t xml:space="preserve"> </w:t>
      </w:r>
      <w:r w:rsidR="00D85400" w:rsidRPr="00D85400">
        <w:rPr>
          <w:rFonts w:ascii="Times New Roman" w:hAnsi="Times New Roman"/>
        </w:rPr>
        <w:t xml:space="preserve">the revised rates result in some increases compared to the rates the </w:t>
      </w:r>
      <w:r w:rsidR="00E0390F">
        <w:rPr>
          <w:rFonts w:ascii="Times New Roman" w:hAnsi="Times New Roman"/>
        </w:rPr>
        <w:t>Companies</w:t>
      </w:r>
      <w:r w:rsidR="00D85400" w:rsidRPr="00D85400">
        <w:rPr>
          <w:rFonts w:ascii="Times New Roman" w:hAnsi="Times New Roman"/>
        </w:rPr>
        <w:t xml:space="preserve"> originally proposed and sent notice to customers</w:t>
      </w:r>
      <w:r w:rsidR="00D85400">
        <w:rPr>
          <w:rFonts w:ascii="Times New Roman" w:hAnsi="Times New Roman"/>
        </w:rPr>
        <w:t>.</w:t>
      </w:r>
    </w:p>
    <w:p w:rsidR="00B07104" w:rsidRPr="001D1994" w:rsidRDefault="00B07104" w:rsidP="00B07104">
      <w:pPr>
        <w:spacing w:line="288" w:lineRule="auto"/>
        <w:ind w:left="-720"/>
      </w:pPr>
    </w:p>
    <w:p w:rsidR="00B07104" w:rsidRDefault="00B07104" w:rsidP="007C0786">
      <w:pPr>
        <w:pStyle w:val="FindingsConclusions"/>
        <w:rPr>
          <w:rFonts w:ascii="Times New Roman" w:hAnsi="Times New Roman"/>
        </w:rPr>
      </w:pPr>
      <w:r w:rsidRPr="001D1994">
        <w:rPr>
          <w:rFonts w:ascii="Times New Roman" w:hAnsi="Times New Roman"/>
        </w:rPr>
        <w:t xml:space="preserve">Under </w:t>
      </w:r>
      <w:hyperlink r:id="rId12" w:history="1">
        <w:r w:rsidRPr="001D1994">
          <w:rPr>
            <w:rFonts w:ascii="Times New Roman" w:hAnsi="Times New Roman"/>
          </w:rPr>
          <w:t>WAC 480-70-271</w:t>
        </w:r>
      </w:hyperlink>
      <w:r w:rsidRPr="001D1994">
        <w:rPr>
          <w:rFonts w:ascii="Times New Roman" w:hAnsi="Times New Roman"/>
        </w:rPr>
        <w:t xml:space="preserve">, solid waste </w:t>
      </w:r>
      <w:r w:rsidR="00E0390F">
        <w:rPr>
          <w:rFonts w:ascii="Times New Roman" w:hAnsi="Times New Roman"/>
        </w:rPr>
        <w:t>companies</w:t>
      </w:r>
      <w:r w:rsidRPr="001D1994">
        <w:rPr>
          <w:rFonts w:ascii="Times New Roman" w:hAnsi="Times New Roman"/>
        </w:rPr>
        <w:t xml:space="preserve"> must provide each affected customer a notice at least thirty days before the requested effective date of the proposed rate increase.  Granting</w:t>
      </w:r>
      <w:r w:rsidR="00D85400">
        <w:rPr>
          <w:rFonts w:ascii="Times New Roman" w:hAnsi="Times New Roman"/>
        </w:rPr>
        <w:t xml:space="preserve"> the Companies</w:t>
      </w:r>
      <w:r w:rsidRPr="001D1994">
        <w:rPr>
          <w:rFonts w:ascii="Times New Roman" w:hAnsi="Times New Roman"/>
        </w:rPr>
        <w:t>’ less than statutory notice request also requires an exemption from WAC 480-70-271</w:t>
      </w:r>
      <w:r w:rsidR="005A311C">
        <w:rPr>
          <w:rFonts w:ascii="Times New Roman" w:hAnsi="Times New Roman"/>
        </w:rPr>
        <w:t>, regarding notice to customers</w:t>
      </w:r>
      <w:r w:rsidRPr="001D1994">
        <w:rPr>
          <w:rFonts w:ascii="Times New Roman" w:hAnsi="Times New Roman"/>
        </w:rPr>
        <w:t>.  For the same reason(s) listed in seeking less than statutory notice,</w:t>
      </w:r>
      <w:r w:rsidR="00D85400">
        <w:rPr>
          <w:rFonts w:ascii="Times New Roman" w:hAnsi="Times New Roman"/>
        </w:rPr>
        <w:t xml:space="preserve"> the Companies’</w:t>
      </w:r>
      <w:r w:rsidRPr="001D1994">
        <w:rPr>
          <w:rFonts w:ascii="Times New Roman" w:hAnsi="Times New Roman"/>
        </w:rPr>
        <w:t xml:space="preserve"> seek such an exemption from customer notice requirements.</w:t>
      </w:r>
      <w:r w:rsidR="00FA5EB0">
        <w:rPr>
          <w:rFonts w:ascii="Times New Roman" w:hAnsi="Times New Roman"/>
        </w:rPr>
        <w:t xml:space="preserve"> </w:t>
      </w:r>
      <w:r w:rsidRPr="001D1994">
        <w:rPr>
          <w:rFonts w:ascii="Times New Roman" w:hAnsi="Times New Roman"/>
        </w:rPr>
        <w:t xml:space="preserve"> </w:t>
      </w:r>
      <w:r w:rsidR="00D85400">
        <w:rPr>
          <w:rFonts w:ascii="Times New Roman" w:hAnsi="Times New Roman"/>
        </w:rPr>
        <w:t>The Companies</w:t>
      </w:r>
      <w:r w:rsidRPr="001D1994">
        <w:rPr>
          <w:rFonts w:ascii="Times New Roman" w:hAnsi="Times New Roman"/>
        </w:rPr>
        <w:t xml:space="preserve"> </w:t>
      </w:r>
      <w:r w:rsidR="00D85400">
        <w:rPr>
          <w:rFonts w:ascii="Times New Roman" w:hAnsi="Times New Roman"/>
        </w:rPr>
        <w:t>propose to notify customers on their next billing.</w:t>
      </w:r>
      <w:r w:rsidRPr="001D1994">
        <w:rPr>
          <w:rFonts w:ascii="Times New Roman" w:hAnsi="Times New Roman"/>
        </w:rPr>
        <w:t xml:space="preserve"> </w:t>
      </w:r>
    </w:p>
    <w:p w:rsidR="00874A1E" w:rsidRDefault="00874A1E" w:rsidP="00FA5EB0">
      <w:pPr>
        <w:pStyle w:val="ListParagraph"/>
        <w:ind w:left="0"/>
      </w:pPr>
    </w:p>
    <w:p w:rsidR="00874A1E" w:rsidRDefault="00874A1E" w:rsidP="007C0786">
      <w:pPr>
        <w:pStyle w:val="FindingsConclusions"/>
        <w:rPr>
          <w:rFonts w:ascii="Times New Roman" w:hAnsi="Times New Roman"/>
        </w:rPr>
      </w:pPr>
      <w:r w:rsidRPr="00874A1E">
        <w:rPr>
          <w:rFonts w:ascii="Times New Roman" w:hAnsi="Times New Roman"/>
        </w:rPr>
        <w:t>The temporary rates were in effect for two months, resulting in a total amount over</w:t>
      </w:r>
      <w:r w:rsidR="009F47A2">
        <w:rPr>
          <w:rFonts w:ascii="Times New Roman" w:hAnsi="Times New Roman"/>
        </w:rPr>
        <w:t>-</w:t>
      </w:r>
      <w:r w:rsidRPr="00874A1E">
        <w:rPr>
          <w:rFonts w:ascii="Times New Roman" w:hAnsi="Times New Roman"/>
        </w:rPr>
        <w:t xml:space="preserve">collected of $12,273, or 0.04 percent of the </w:t>
      </w:r>
      <w:r w:rsidR="00E0390F">
        <w:rPr>
          <w:rFonts w:ascii="Times New Roman" w:hAnsi="Times New Roman"/>
        </w:rPr>
        <w:t>Companies</w:t>
      </w:r>
      <w:r w:rsidRPr="00874A1E">
        <w:rPr>
          <w:rFonts w:ascii="Times New Roman" w:hAnsi="Times New Roman"/>
        </w:rPr>
        <w:t>’ total revenue requirement of $28,398,810.</w:t>
      </w:r>
      <w:r w:rsidR="00FA5EB0">
        <w:rPr>
          <w:rFonts w:ascii="Times New Roman" w:hAnsi="Times New Roman"/>
        </w:rPr>
        <w:t xml:space="preserve"> </w:t>
      </w:r>
      <w:r w:rsidRPr="00874A1E">
        <w:rPr>
          <w:rFonts w:ascii="Times New Roman" w:hAnsi="Times New Roman"/>
        </w:rPr>
        <w:t xml:space="preserve"> The </w:t>
      </w:r>
      <w:r w:rsidR="006B634E">
        <w:rPr>
          <w:rFonts w:ascii="Times New Roman" w:hAnsi="Times New Roman"/>
        </w:rPr>
        <w:t xml:space="preserve">over-collection affects only </w:t>
      </w:r>
      <w:r w:rsidRPr="00874A1E">
        <w:rPr>
          <w:rFonts w:ascii="Times New Roman" w:hAnsi="Times New Roman"/>
        </w:rPr>
        <w:t>residential garbage customers.</w:t>
      </w:r>
    </w:p>
    <w:p w:rsidR="00874A1E" w:rsidRDefault="00874A1E" w:rsidP="00FA5EB0">
      <w:pPr>
        <w:pStyle w:val="ListParagraph"/>
        <w:ind w:left="0"/>
      </w:pPr>
    </w:p>
    <w:p w:rsidR="00874A1E" w:rsidRDefault="00874A1E" w:rsidP="007C0786">
      <w:pPr>
        <w:pStyle w:val="FindingsConclusions"/>
        <w:rPr>
          <w:rFonts w:ascii="Times New Roman" w:hAnsi="Times New Roman"/>
        </w:rPr>
      </w:pPr>
      <w:r w:rsidRPr="00874A1E">
        <w:rPr>
          <w:rFonts w:ascii="Times New Roman" w:hAnsi="Times New Roman"/>
        </w:rPr>
        <w:t xml:space="preserve">The </w:t>
      </w:r>
      <w:r w:rsidR="00E0390F">
        <w:rPr>
          <w:rFonts w:ascii="Times New Roman" w:hAnsi="Times New Roman"/>
        </w:rPr>
        <w:t>Companies</w:t>
      </w:r>
      <w:r w:rsidRPr="00874A1E">
        <w:rPr>
          <w:rFonts w:ascii="Times New Roman" w:hAnsi="Times New Roman"/>
        </w:rPr>
        <w:t xml:space="preserve"> advised </w:t>
      </w:r>
      <w:r w:rsidR="00F12996">
        <w:rPr>
          <w:rFonts w:ascii="Times New Roman" w:hAnsi="Times New Roman"/>
        </w:rPr>
        <w:t>Staff</w:t>
      </w:r>
      <w:r w:rsidRPr="00874A1E">
        <w:rPr>
          <w:rFonts w:ascii="Times New Roman" w:hAnsi="Times New Roman"/>
        </w:rPr>
        <w:t xml:space="preserve"> that it would cost them approximately $15,000 to refund the $12,273 difference to </w:t>
      </w:r>
      <w:r w:rsidR="00A44132">
        <w:rPr>
          <w:rFonts w:ascii="Times New Roman" w:hAnsi="Times New Roman"/>
        </w:rPr>
        <w:t xml:space="preserve">customers.  </w:t>
      </w:r>
      <w:r w:rsidR="00E463E5">
        <w:rPr>
          <w:rFonts w:ascii="Times New Roman" w:hAnsi="Times New Roman"/>
        </w:rPr>
        <w:t>In addition</w:t>
      </w:r>
      <w:r w:rsidR="00A44132">
        <w:rPr>
          <w:rFonts w:ascii="Times New Roman" w:hAnsi="Times New Roman"/>
        </w:rPr>
        <w:t xml:space="preserve">, there is no mechanism available to the </w:t>
      </w:r>
      <w:r w:rsidR="00334CB0">
        <w:rPr>
          <w:rFonts w:ascii="Times New Roman" w:hAnsi="Times New Roman"/>
        </w:rPr>
        <w:t>C</w:t>
      </w:r>
      <w:r w:rsidR="00A44132">
        <w:rPr>
          <w:rFonts w:ascii="Times New Roman" w:hAnsi="Times New Roman"/>
        </w:rPr>
        <w:t>ompan</w:t>
      </w:r>
      <w:r w:rsidR="00334CB0">
        <w:rPr>
          <w:rFonts w:ascii="Times New Roman" w:hAnsi="Times New Roman"/>
        </w:rPr>
        <w:t>ies</w:t>
      </w:r>
      <w:r w:rsidR="00A44132">
        <w:rPr>
          <w:rFonts w:ascii="Times New Roman" w:hAnsi="Times New Roman"/>
        </w:rPr>
        <w:t xml:space="preserve"> to charge higher rates for drop box customers for the past two months. </w:t>
      </w:r>
      <w:r w:rsidR="00E463E5">
        <w:rPr>
          <w:rFonts w:ascii="Times New Roman" w:hAnsi="Times New Roman"/>
        </w:rPr>
        <w:t xml:space="preserve"> </w:t>
      </w:r>
      <w:r w:rsidR="00F12996">
        <w:rPr>
          <w:rFonts w:ascii="Times New Roman" w:hAnsi="Times New Roman"/>
        </w:rPr>
        <w:t>Staff</w:t>
      </w:r>
      <w:r w:rsidR="00A44132">
        <w:rPr>
          <w:rFonts w:ascii="Times New Roman" w:hAnsi="Times New Roman"/>
        </w:rPr>
        <w:t xml:space="preserve"> </w:t>
      </w:r>
      <w:r w:rsidR="00A44132">
        <w:rPr>
          <w:rFonts w:ascii="Times New Roman" w:hAnsi="Times New Roman"/>
        </w:rPr>
        <w:lastRenderedPageBreak/>
        <w:t>recommends that the Commission</w:t>
      </w:r>
      <w:r w:rsidRPr="00874A1E">
        <w:rPr>
          <w:rFonts w:ascii="Times New Roman" w:hAnsi="Times New Roman"/>
        </w:rPr>
        <w:t xml:space="preserve"> not require the </w:t>
      </w:r>
      <w:r w:rsidR="00E0390F">
        <w:rPr>
          <w:rFonts w:ascii="Times New Roman" w:hAnsi="Times New Roman"/>
        </w:rPr>
        <w:t>Companies</w:t>
      </w:r>
      <w:r w:rsidRPr="00874A1E">
        <w:rPr>
          <w:rFonts w:ascii="Times New Roman" w:hAnsi="Times New Roman"/>
        </w:rPr>
        <w:t xml:space="preserve"> to refund the customers the difference between the temporary rates and the permanent rates.</w:t>
      </w:r>
    </w:p>
    <w:p w:rsidR="00E463E5" w:rsidRDefault="00E463E5" w:rsidP="00E463E5">
      <w:pPr>
        <w:pStyle w:val="ListParagraph"/>
      </w:pPr>
    </w:p>
    <w:p w:rsidR="00D744D3" w:rsidRDefault="00E463E5" w:rsidP="00C62B9C">
      <w:pPr>
        <w:pStyle w:val="FindingsConclusions"/>
        <w:rPr>
          <w:rFonts w:ascii="Times New Roman" w:hAnsi="Times New Roman"/>
        </w:rPr>
      </w:pPr>
      <w:r w:rsidRPr="00C62B9C">
        <w:rPr>
          <w:rFonts w:ascii="Times New Roman" w:hAnsi="Times New Roman"/>
        </w:rPr>
        <w:t xml:space="preserve">Following discussion with the Companies’ representative during the April </w:t>
      </w:r>
      <w:r w:rsidR="00913A61">
        <w:rPr>
          <w:rFonts w:ascii="Times New Roman" w:hAnsi="Times New Roman"/>
        </w:rPr>
        <w:t>30</w:t>
      </w:r>
      <w:r w:rsidRPr="00C62B9C">
        <w:rPr>
          <w:rFonts w:ascii="Times New Roman" w:hAnsi="Times New Roman"/>
        </w:rPr>
        <w:t>, 2009, open meeting</w:t>
      </w:r>
      <w:r w:rsidR="00D744D3" w:rsidRPr="00C62B9C">
        <w:rPr>
          <w:rFonts w:ascii="Times New Roman" w:hAnsi="Times New Roman"/>
        </w:rPr>
        <w:t xml:space="preserve"> about the refund issue, the Commissioners determined that </w:t>
      </w:r>
      <w:r w:rsidR="00C62B9C" w:rsidRPr="00C62B9C">
        <w:rPr>
          <w:rFonts w:ascii="Times New Roman" w:hAnsi="Times New Roman"/>
        </w:rPr>
        <w:t xml:space="preserve">the Companies must credit </w:t>
      </w:r>
      <w:r w:rsidR="00D744D3" w:rsidRPr="00C62B9C">
        <w:rPr>
          <w:rFonts w:ascii="Times New Roman" w:hAnsi="Times New Roman"/>
        </w:rPr>
        <w:t xml:space="preserve">to residential </w:t>
      </w:r>
      <w:r w:rsidR="00F92782">
        <w:rPr>
          <w:rFonts w:ascii="Times New Roman" w:hAnsi="Times New Roman"/>
        </w:rPr>
        <w:t xml:space="preserve">garbage </w:t>
      </w:r>
      <w:r w:rsidR="00D744D3" w:rsidRPr="00C62B9C">
        <w:rPr>
          <w:rFonts w:ascii="Times New Roman" w:hAnsi="Times New Roman"/>
        </w:rPr>
        <w:t xml:space="preserve">customers the difference between the temporary rates and permanent rates.  Further, the Companies are required to submit a compliance filing with the Commission to implement the required </w:t>
      </w:r>
      <w:r w:rsidR="00C62B9C" w:rsidRPr="00C62B9C">
        <w:rPr>
          <w:rFonts w:ascii="Times New Roman" w:hAnsi="Times New Roman"/>
        </w:rPr>
        <w:t xml:space="preserve">credit, which method </w:t>
      </w:r>
      <w:r w:rsidR="006B634E">
        <w:rPr>
          <w:rFonts w:ascii="Times New Roman" w:hAnsi="Times New Roman"/>
        </w:rPr>
        <w:t xml:space="preserve">must </w:t>
      </w:r>
      <w:r w:rsidR="00C62B9C" w:rsidRPr="00C62B9C">
        <w:rPr>
          <w:rFonts w:ascii="Times New Roman" w:hAnsi="Times New Roman"/>
        </w:rPr>
        <w:t>be approved by the Commission Secretary by letter.</w:t>
      </w:r>
    </w:p>
    <w:p w:rsidR="00C62B9C" w:rsidRPr="00C62B9C" w:rsidRDefault="00C62B9C" w:rsidP="00D744D3">
      <w:pPr>
        <w:pStyle w:val="FindingsConclusions"/>
        <w:numPr>
          <w:ilvl w:val="0"/>
          <w:numId w:val="0"/>
        </w:numPr>
        <w:rPr>
          <w:rFonts w:ascii="Times New Roman" w:hAnsi="Times New Roman"/>
        </w:rPr>
      </w:pPr>
    </w:p>
    <w:p w:rsidR="00874A1E" w:rsidRPr="001D1994" w:rsidRDefault="00874A1E" w:rsidP="007C0786">
      <w:pPr>
        <w:pStyle w:val="FindingsConclusions"/>
        <w:rPr>
          <w:rFonts w:ascii="Times New Roman" w:hAnsi="Times New Roman"/>
        </w:rPr>
      </w:pPr>
      <w:r w:rsidRPr="00874A1E">
        <w:rPr>
          <w:rFonts w:ascii="Times New Roman" w:hAnsi="Times New Roman"/>
        </w:rPr>
        <w:t xml:space="preserve">Staff has completed its audit and determined that the Companies’ financial information supports the </w:t>
      </w:r>
      <w:r>
        <w:rPr>
          <w:rFonts w:ascii="Times New Roman" w:hAnsi="Times New Roman"/>
        </w:rPr>
        <w:t>revised</w:t>
      </w:r>
      <w:r w:rsidRPr="00874A1E">
        <w:rPr>
          <w:rFonts w:ascii="Times New Roman" w:hAnsi="Times New Roman"/>
        </w:rPr>
        <w:t xml:space="preserve"> rates for drop box, residential recycling, recycling station, and yard waste collection services, and the revised rates for garbage</w:t>
      </w:r>
      <w:r>
        <w:rPr>
          <w:rFonts w:ascii="Times New Roman" w:hAnsi="Times New Roman"/>
        </w:rPr>
        <w:t xml:space="preserve"> and multi-family recycling</w:t>
      </w:r>
      <w:r w:rsidRPr="00874A1E">
        <w:rPr>
          <w:rFonts w:ascii="Times New Roman" w:hAnsi="Times New Roman"/>
        </w:rPr>
        <w:t xml:space="preserve"> service</w:t>
      </w:r>
      <w:r>
        <w:rPr>
          <w:rFonts w:ascii="Times New Roman" w:hAnsi="Times New Roman"/>
        </w:rPr>
        <w:t>s</w:t>
      </w:r>
      <w:r w:rsidR="00806967">
        <w:rPr>
          <w:rFonts w:ascii="Times New Roman" w:hAnsi="Times New Roman"/>
        </w:rPr>
        <w:t>.</w:t>
      </w:r>
      <w:r w:rsidRPr="00874A1E">
        <w:rPr>
          <w:rFonts w:ascii="Times New Roman" w:hAnsi="Times New Roman"/>
        </w:rPr>
        <w:t xml:space="preserve"> </w:t>
      </w:r>
      <w:r w:rsidR="004126B3">
        <w:rPr>
          <w:rFonts w:ascii="Times New Roman" w:hAnsi="Times New Roman"/>
        </w:rPr>
        <w:t xml:space="preserve"> </w:t>
      </w:r>
      <w:r w:rsidR="00806967">
        <w:rPr>
          <w:rFonts w:ascii="Times New Roman" w:hAnsi="Times New Roman"/>
        </w:rPr>
        <w:t>T</w:t>
      </w:r>
      <w:r w:rsidRPr="00874A1E">
        <w:rPr>
          <w:rFonts w:ascii="Times New Roman" w:hAnsi="Times New Roman"/>
        </w:rPr>
        <w:t>he Commission accepts those rates to become effective on Ma</w:t>
      </w:r>
      <w:r>
        <w:rPr>
          <w:rFonts w:ascii="Times New Roman" w:hAnsi="Times New Roman"/>
        </w:rPr>
        <w:t>y</w:t>
      </w:r>
      <w:r w:rsidRPr="00874A1E">
        <w:rPr>
          <w:rFonts w:ascii="Times New Roman" w:hAnsi="Times New Roman"/>
        </w:rPr>
        <w:t xml:space="preserve"> 1, 2009, on a </w:t>
      </w:r>
      <w:r>
        <w:rPr>
          <w:rFonts w:ascii="Times New Roman" w:hAnsi="Times New Roman"/>
        </w:rPr>
        <w:t xml:space="preserve">permanent </w:t>
      </w:r>
      <w:r w:rsidRPr="00874A1E">
        <w:rPr>
          <w:rFonts w:ascii="Times New Roman" w:hAnsi="Times New Roman"/>
        </w:rPr>
        <w:t>basis,</w:t>
      </w:r>
      <w:r>
        <w:rPr>
          <w:rFonts w:ascii="Times New Roman" w:hAnsi="Times New Roman"/>
        </w:rPr>
        <w:t xml:space="preserve"> on less than statutory</w:t>
      </w:r>
      <w:r w:rsidR="00806967">
        <w:rPr>
          <w:rFonts w:ascii="Times New Roman" w:hAnsi="Times New Roman"/>
        </w:rPr>
        <w:t xml:space="preserve"> notice</w:t>
      </w:r>
      <w:r w:rsidRPr="00874A1E">
        <w:rPr>
          <w:rFonts w:ascii="Times New Roman" w:hAnsi="Times New Roman"/>
        </w:rPr>
        <w:t>.</w:t>
      </w:r>
    </w:p>
    <w:p w:rsidR="00922792" w:rsidRPr="001D1994" w:rsidRDefault="00922792">
      <w:pPr>
        <w:spacing w:line="288" w:lineRule="auto"/>
      </w:pPr>
    </w:p>
    <w:p w:rsidR="00680661" w:rsidRPr="001D1994" w:rsidRDefault="00680661">
      <w:pPr>
        <w:pStyle w:val="Heading2"/>
        <w:spacing w:line="288" w:lineRule="auto"/>
        <w:ind w:left="-1080" w:firstLine="1080"/>
        <w:rPr>
          <w:b/>
          <w:bCs/>
          <w:u w:val="none"/>
        </w:rPr>
      </w:pPr>
      <w:r w:rsidRPr="001D1994">
        <w:rPr>
          <w:b/>
          <w:bCs/>
          <w:u w:val="none"/>
        </w:rPr>
        <w:t>FINDINGS AND CONCLUSIONS</w:t>
      </w:r>
    </w:p>
    <w:p w:rsidR="00680661" w:rsidRPr="001D1994" w:rsidRDefault="00680661">
      <w:pPr>
        <w:spacing w:line="288" w:lineRule="auto"/>
      </w:pPr>
    </w:p>
    <w:p w:rsidR="00680661" w:rsidRPr="001D1994" w:rsidRDefault="00680661" w:rsidP="009C5CAE">
      <w:pPr>
        <w:numPr>
          <w:ilvl w:val="0"/>
          <w:numId w:val="14"/>
        </w:numPr>
        <w:spacing w:line="288" w:lineRule="auto"/>
        <w:ind w:left="700" w:hanging="1420"/>
      </w:pPr>
      <w:r w:rsidRPr="001D1994">
        <w:t xml:space="preserve">(1) </w:t>
      </w:r>
      <w:r w:rsidRPr="001D1994">
        <w:tab/>
        <w:t xml:space="preserve">The Washington Utilities and Transportation </w:t>
      </w:r>
      <w:r w:rsidR="00F270E8" w:rsidRPr="001D1994">
        <w:t>Commission</w:t>
      </w:r>
      <w:r w:rsidRPr="001D1994">
        <w:t xml:space="preserve"> is an agency of the </w:t>
      </w:r>
      <w:r w:rsidR="005F640F" w:rsidRPr="001D1994">
        <w:t>S</w:t>
      </w:r>
      <w:r w:rsidRPr="001D1994">
        <w:t xml:space="preserve">tate of Washington vested by statute with the authority to regulate </w:t>
      </w:r>
      <w:r w:rsidR="002E7FAD" w:rsidRPr="001D1994">
        <w:t xml:space="preserve">the </w:t>
      </w:r>
      <w:r w:rsidRPr="001D1994">
        <w:t>rates, rules, regulations, practices, accounts</w:t>
      </w:r>
      <w:r w:rsidR="0005503B" w:rsidRPr="001D1994">
        <w:t xml:space="preserve"> </w:t>
      </w:r>
      <w:r w:rsidR="00FD3712" w:rsidRPr="001D1994">
        <w:t xml:space="preserve">and affiliated </w:t>
      </w:r>
      <w:r w:rsidR="00C57E8B" w:rsidRPr="001D1994">
        <w:t>interests of</w:t>
      </w:r>
      <w:r w:rsidRPr="001D1994">
        <w:t xml:space="preserve"> public service companies, including solid waste</w:t>
      </w:r>
      <w:r w:rsidRPr="009C5CAE">
        <w:t xml:space="preserve"> </w:t>
      </w:r>
      <w:r w:rsidRPr="001D1994">
        <w:t xml:space="preserve">companies.  </w:t>
      </w:r>
      <w:hyperlink r:id="rId13" w:history="1">
        <w:r w:rsidR="002A641F" w:rsidRPr="002A641F">
          <w:rPr>
            <w:rStyle w:val="Hyperlink"/>
            <w:i/>
          </w:rPr>
          <w:t>RCW 80.01.040</w:t>
        </w:r>
      </w:hyperlink>
      <w:r w:rsidR="002A641F" w:rsidRPr="002A641F">
        <w:rPr>
          <w:i/>
        </w:rPr>
        <w:t xml:space="preserve">, </w:t>
      </w:r>
      <w:hyperlink r:id="rId14" w:history="1">
        <w:r w:rsidR="002A641F" w:rsidRPr="002A641F">
          <w:rPr>
            <w:rStyle w:val="Hyperlink"/>
            <w:i/>
          </w:rPr>
          <w:t>RCW 81.01</w:t>
        </w:r>
      </w:hyperlink>
      <w:r w:rsidR="002A641F" w:rsidRPr="002A641F">
        <w:rPr>
          <w:i/>
        </w:rPr>
        <w:t xml:space="preserve">,   </w:t>
      </w:r>
      <w:hyperlink r:id="rId15" w:history="1">
        <w:r w:rsidR="002A641F" w:rsidRPr="002A641F">
          <w:rPr>
            <w:rStyle w:val="Hyperlink"/>
            <w:i/>
          </w:rPr>
          <w:t>RCW 81.04</w:t>
        </w:r>
      </w:hyperlink>
      <w:r w:rsidR="002A641F" w:rsidRPr="002A641F">
        <w:rPr>
          <w:i/>
        </w:rPr>
        <w:t xml:space="preserve">, </w:t>
      </w:r>
      <w:hyperlink r:id="rId16" w:history="1">
        <w:r w:rsidR="002A641F" w:rsidRPr="002A641F">
          <w:rPr>
            <w:rStyle w:val="Hyperlink"/>
            <w:i/>
          </w:rPr>
          <w:t>RCW 81.16</w:t>
        </w:r>
      </w:hyperlink>
      <w:r w:rsidR="002A641F" w:rsidRPr="002A641F">
        <w:rPr>
          <w:i/>
        </w:rPr>
        <w:t xml:space="preserve">, </w:t>
      </w:r>
      <w:hyperlink r:id="rId17" w:history="1">
        <w:r w:rsidR="002A641F" w:rsidRPr="002A641F">
          <w:rPr>
            <w:rStyle w:val="Hyperlink"/>
            <w:i/>
          </w:rPr>
          <w:t>RCW 81.28</w:t>
        </w:r>
      </w:hyperlink>
      <w:r w:rsidR="002A641F" w:rsidRPr="002A641F">
        <w:rPr>
          <w:i/>
        </w:rPr>
        <w:t xml:space="preserve"> and </w:t>
      </w:r>
      <w:hyperlink r:id="rId18" w:history="1">
        <w:r w:rsidR="002A641F" w:rsidRPr="002A641F">
          <w:rPr>
            <w:rStyle w:val="Hyperlink"/>
            <w:i/>
          </w:rPr>
          <w:t>RCW 81.77</w:t>
        </w:r>
      </w:hyperlink>
      <w:r w:rsidRPr="009C5CAE">
        <w:t>.</w:t>
      </w:r>
    </w:p>
    <w:p w:rsidR="001D3412" w:rsidRPr="001D1994" w:rsidRDefault="001D3412" w:rsidP="009C5CAE">
      <w:pPr>
        <w:spacing w:line="288" w:lineRule="auto"/>
        <w:ind w:left="700"/>
      </w:pPr>
    </w:p>
    <w:p w:rsidR="00680661" w:rsidRPr="001D1994" w:rsidRDefault="00680661" w:rsidP="009C5CAE">
      <w:pPr>
        <w:numPr>
          <w:ilvl w:val="0"/>
          <w:numId w:val="14"/>
        </w:numPr>
        <w:spacing w:line="288" w:lineRule="auto"/>
        <w:ind w:left="700" w:hanging="1420"/>
      </w:pPr>
      <w:r w:rsidRPr="001D1994">
        <w:t xml:space="preserve">(2) </w:t>
      </w:r>
      <w:r w:rsidRPr="001D1994">
        <w:tab/>
      </w:r>
      <w:r w:rsidR="00C41206" w:rsidRPr="001D1994">
        <w:t>Murrey</w:t>
      </w:r>
      <w:r w:rsidR="00F270E8" w:rsidRPr="001D1994">
        <w:t>’</w:t>
      </w:r>
      <w:r w:rsidR="00C41206" w:rsidRPr="001D1994">
        <w:t>s and American</w:t>
      </w:r>
      <w:r w:rsidR="008E5BB3" w:rsidRPr="001D1994">
        <w:t xml:space="preserve"> </w:t>
      </w:r>
      <w:r w:rsidR="00E74A54" w:rsidRPr="001D1994">
        <w:t>are</w:t>
      </w:r>
      <w:r w:rsidR="008E5BB3" w:rsidRPr="001D1994">
        <w:t xml:space="preserve"> </w:t>
      </w:r>
      <w:r w:rsidR="007D1C1E" w:rsidRPr="001D1994">
        <w:t>solid waste</w:t>
      </w:r>
      <w:r w:rsidRPr="001D1994">
        <w:t xml:space="preserve"> compan</w:t>
      </w:r>
      <w:r w:rsidR="00E74A54" w:rsidRPr="001D1994">
        <w:t>ies</w:t>
      </w:r>
      <w:r w:rsidRPr="001D1994">
        <w:t xml:space="preserve"> </w:t>
      </w:r>
      <w:r w:rsidR="00E654AE" w:rsidRPr="001D1994">
        <w:t>and public</w:t>
      </w:r>
      <w:r w:rsidRPr="001D1994">
        <w:t xml:space="preserve"> service compan</w:t>
      </w:r>
      <w:r w:rsidR="00E74A54" w:rsidRPr="001D1994">
        <w:t>ies</w:t>
      </w:r>
      <w:r w:rsidRPr="001D1994">
        <w:t xml:space="preserve"> subject to </w:t>
      </w:r>
      <w:r w:rsidR="00F270E8" w:rsidRPr="001D1994">
        <w:t>Commission</w:t>
      </w:r>
      <w:r w:rsidR="000A1FA6" w:rsidRPr="001D1994">
        <w:t xml:space="preserve"> </w:t>
      </w:r>
      <w:r w:rsidRPr="001D1994">
        <w:t>jurisdiction.</w:t>
      </w:r>
    </w:p>
    <w:p w:rsidR="00680661" w:rsidRPr="001D1994" w:rsidRDefault="00680661" w:rsidP="009C5CAE">
      <w:pPr>
        <w:spacing w:line="288" w:lineRule="auto"/>
        <w:ind w:left="700"/>
      </w:pPr>
    </w:p>
    <w:p w:rsidR="00680661" w:rsidRPr="001D1994" w:rsidRDefault="00680661" w:rsidP="009C5CAE">
      <w:pPr>
        <w:numPr>
          <w:ilvl w:val="0"/>
          <w:numId w:val="14"/>
        </w:numPr>
        <w:spacing w:line="288" w:lineRule="auto"/>
        <w:ind w:left="700" w:hanging="1420"/>
      </w:pPr>
      <w:r w:rsidRPr="001D1994">
        <w:t xml:space="preserve">(3) </w:t>
      </w:r>
      <w:r w:rsidRPr="001D1994">
        <w:tab/>
        <w:t>Th</w:t>
      </w:r>
      <w:r w:rsidR="004B4E1B" w:rsidRPr="001D1994">
        <w:t>e</w:t>
      </w:r>
      <w:r w:rsidRPr="001D1994">
        <w:t>s</w:t>
      </w:r>
      <w:r w:rsidR="004B4E1B" w:rsidRPr="001D1994">
        <w:t>e</w:t>
      </w:r>
      <w:r w:rsidRPr="001D1994">
        <w:t xml:space="preserve"> matter</w:t>
      </w:r>
      <w:r w:rsidR="004B4E1B" w:rsidRPr="001D1994">
        <w:t>s</w:t>
      </w:r>
      <w:r w:rsidRPr="001D1994">
        <w:t xml:space="preserve"> </w:t>
      </w:r>
      <w:r w:rsidR="0005503B" w:rsidRPr="001D1994">
        <w:t>came</w:t>
      </w:r>
      <w:r w:rsidRPr="001D1994">
        <w:t xml:space="preserve"> before the </w:t>
      </w:r>
      <w:r w:rsidR="00F270E8" w:rsidRPr="001D1994">
        <w:t>Commission</w:t>
      </w:r>
      <w:r w:rsidRPr="001D1994">
        <w:t xml:space="preserve"> at its regularly scheduled meeting on</w:t>
      </w:r>
      <w:r w:rsidR="008D0141" w:rsidRPr="001D1994">
        <w:t xml:space="preserve"> </w:t>
      </w:r>
      <w:r w:rsidR="00A569C1">
        <w:t>April 30</w:t>
      </w:r>
      <w:r w:rsidR="00C41206" w:rsidRPr="001D1994">
        <w:t>, 200</w:t>
      </w:r>
      <w:r w:rsidR="00A569C1">
        <w:t>9</w:t>
      </w:r>
      <w:r w:rsidR="008E5BB3" w:rsidRPr="001D1994">
        <w:t>.</w:t>
      </w:r>
      <w:r w:rsidR="008E5BB3" w:rsidRPr="001D1994">
        <w:br/>
      </w:r>
    </w:p>
    <w:p w:rsidR="00B112A0" w:rsidRPr="001D1994" w:rsidRDefault="00680661" w:rsidP="00BD62D1">
      <w:pPr>
        <w:numPr>
          <w:ilvl w:val="0"/>
          <w:numId w:val="14"/>
        </w:numPr>
        <w:spacing w:line="288" w:lineRule="auto"/>
        <w:ind w:left="700" w:hanging="1420"/>
      </w:pPr>
      <w:r w:rsidRPr="001D1994">
        <w:t>(4)</w:t>
      </w:r>
      <w:r w:rsidRPr="001D1994">
        <w:tab/>
      </w:r>
      <w:r w:rsidR="008E5BB3" w:rsidRPr="001D1994">
        <w:t xml:space="preserve">The </w:t>
      </w:r>
      <w:r w:rsidR="000B2AE3">
        <w:t xml:space="preserve">revised </w:t>
      </w:r>
      <w:r w:rsidR="008E5BB3" w:rsidRPr="001D1994">
        <w:t xml:space="preserve">tariff </w:t>
      </w:r>
      <w:r w:rsidR="00D543CD" w:rsidRPr="001D1994">
        <w:t>revisions</w:t>
      </w:r>
      <w:r w:rsidR="008E5BB3" w:rsidRPr="001D1994">
        <w:t xml:space="preserve"> </w:t>
      </w:r>
      <w:r w:rsidR="000B2AE3">
        <w:t>filed on April 16, 2009,</w:t>
      </w:r>
      <w:bookmarkStart w:id="0" w:name="Dropdown3"/>
      <w:r w:rsidR="000B2AE3">
        <w:t xml:space="preserve"> </w:t>
      </w:r>
      <w:r w:rsidR="00D543CD" w:rsidRPr="001D1994">
        <w:t>are</w:t>
      </w:r>
      <w:bookmarkEnd w:id="0"/>
      <w:r w:rsidR="008E5BB3" w:rsidRPr="001D1994">
        <w:t xml:space="preserve"> fair, just, reasonable and sufficient because </w:t>
      </w:r>
      <w:r w:rsidR="00E74A54" w:rsidRPr="001D1994">
        <w:t>Murrey</w:t>
      </w:r>
      <w:r w:rsidR="00F270E8" w:rsidRPr="001D1994">
        <w:t>’</w:t>
      </w:r>
      <w:r w:rsidR="00E74A54" w:rsidRPr="001D1994">
        <w:t xml:space="preserve">s and American have demonstrated that they require additional revenues and have filed revised rates at </w:t>
      </w:r>
      <w:r w:rsidR="00F270E8" w:rsidRPr="001D1994">
        <w:t>Staff’</w:t>
      </w:r>
      <w:r w:rsidR="00E74A54" w:rsidRPr="001D1994">
        <w:t>s recommended levels</w:t>
      </w:r>
      <w:r w:rsidRPr="001D1994">
        <w:t>.</w:t>
      </w:r>
    </w:p>
    <w:p w:rsidR="00922792" w:rsidRDefault="00922792"/>
    <w:p w:rsidR="00680661" w:rsidRPr="001D1994" w:rsidRDefault="00680661" w:rsidP="009C5CAE">
      <w:pPr>
        <w:spacing w:line="288" w:lineRule="auto"/>
        <w:ind w:left="700"/>
      </w:pPr>
    </w:p>
    <w:p w:rsidR="00B07104" w:rsidRDefault="00680661" w:rsidP="009C5CAE">
      <w:pPr>
        <w:numPr>
          <w:ilvl w:val="0"/>
          <w:numId w:val="14"/>
        </w:numPr>
        <w:spacing w:line="288" w:lineRule="auto"/>
        <w:ind w:left="700" w:hanging="1420"/>
      </w:pPr>
      <w:r w:rsidRPr="001D1994">
        <w:lastRenderedPageBreak/>
        <w:t>(5)</w:t>
      </w:r>
      <w:r w:rsidRPr="001D1994">
        <w:tab/>
      </w:r>
      <w:r w:rsidR="008E5BB3" w:rsidRPr="001D1994">
        <w:t xml:space="preserve">After reviewing the tariff </w:t>
      </w:r>
      <w:r w:rsidR="00D543CD" w:rsidRPr="001D1994">
        <w:t>revisions</w:t>
      </w:r>
      <w:r w:rsidR="008E5BB3" w:rsidRPr="001D1994">
        <w:t xml:space="preserve"> </w:t>
      </w:r>
      <w:r w:rsidR="00C41206" w:rsidRPr="001D1994">
        <w:t>Murrey</w:t>
      </w:r>
      <w:r w:rsidR="00F270E8" w:rsidRPr="001D1994">
        <w:t>’</w:t>
      </w:r>
      <w:r w:rsidR="00C41206" w:rsidRPr="001D1994">
        <w:t>s and American</w:t>
      </w:r>
      <w:r w:rsidR="008E5BB3" w:rsidRPr="001D1994">
        <w:t xml:space="preserve"> filed in Docket</w:t>
      </w:r>
      <w:r w:rsidR="00E74A54" w:rsidRPr="001D1994">
        <w:t>s</w:t>
      </w:r>
      <w:r w:rsidR="008E5BB3" w:rsidRPr="001D1994">
        <w:t xml:space="preserve"> </w:t>
      </w:r>
      <w:r w:rsidR="00435758" w:rsidRPr="001D1994">
        <w:t xml:space="preserve">  </w:t>
      </w:r>
      <w:r w:rsidR="00D16F6C" w:rsidRPr="001D1994">
        <w:t xml:space="preserve"> </w:t>
      </w:r>
      <w:r w:rsidR="00C41206" w:rsidRPr="001D1994">
        <w:t>TG-0</w:t>
      </w:r>
      <w:r w:rsidR="00BB4C48">
        <w:t>9</w:t>
      </w:r>
      <w:r w:rsidR="00C41206" w:rsidRPr="001D1994">
        <w:t>00</w:t>
      </w:r>
      <w:r w:rsidR="00BB4C48">
        <w:t>9</w:t>
      </w:r>
      <w:r w:rsidR="00C41206" w:rsidRPr="001D1994">
        <w:t>7</w:t>
      </w:r>
      <w:r w:rsidR="00435758" w:rsidRPr="001D1994">
        <w:t xml:space="preserve"> and TG-0</w:t>
      </w:r>
      <w:r w:rsidR="00BB4C48">
        <w:t>9</w:t>
      </w:r>
      <w:r w:rsidR="00435758" w:rsidRPr="001D1994">
        <w:t>00</w:t>
      </w:r>
      <w:r w:rsidR="00BB4C48">
        <w:t>9</w:t>
      </w:r>
      <w:r w:rsidR="00435758" w:rsidRPr="001D1994">
        <w:t xml:space="preserve">8 </w:t>
      </w:r>
      <w:r w:rsidR="008E5BB3" w:rsidRPr="001D1994">
        <w:t xml:space="preserve">and giving due consideration, the </w:t>
      </w:r>
      <w:r w:rsidR="00F270E8" w:rsidRPr="001D1994">
        <w:t>Commission</w:t>
      </w:r>
      <w:r w:rsidR="008E5BB3" w:rsidRPr="001D1994">
        <w:t xml:space="preserve"> finds it is consistent with the public interest to dismiss the Complaint and Order Suspending Tariff </w:t>
      </w:r>
      <w:r w:rsidR="00D543CD" w:rsidRPr="001D1994">
        <w:t>Revisions</w:t>
      </w:r>
      <w:r w:rsidR="008E5BB3" w:rsidRPr="001D1994">
        <w:t xml:space="preserve"> in Docket</w:t>
      </w:r>
      <w:r w:rsidR="00E74A54" w:rsidRPr="001D1994">
        <w:t>s</w:t>
      </w:r>
      <w:r w:rsidR="008E5BB3" w:rsidRPr="001D1994">
        <w:t xml:space="preserve"> </w:t>
      </w:r>
      <w:r w:rsidR="00C41206" w:rsidRPr="001D1994">
        <w:t>TG-0</w:t>
      </w:r>
      <w:r w:rsidR="00BB4C48">
        <w:t>9</w:t>
      </w:r>
      <w:r w:rsidR="00C41206" w:rsidRPr="001D1994">
        <w:t>00</w:t>
      </w:r>
      <w:r w:rsidR="00BB4C48">
        <w:t>9</w:t>
      </w:r>
      <w:r w:rsidR="00C41206" w:rsidRPr="001D1994">
        <w:t>7</w:t>
      </w:r>
      <w:r w:rsidR="008A4701" w:rsidRPr="001D1994">
        <w:t xml:space="preserve"> </w:t>
      </w:r>
      <w:r w:rsidR="00435758" w:rsidRPr="001D1994">
        <w:t>and TG-0</w:t>
      </w:r>
      <w:r w:rsidR="00BB4C48">
        <w:t>9</w:t>
      </w:r>
      <w:r w:rsidR="00435758" w:rsidRPr="001D1994">
        <w:t>00</w:t>
      </w:r>
      <w:r w:rsidR="00BB4C48">
        <w:t>9</w:t>
      </w:r>
      <w:r w:rsidR="00435758" w:rsidRPr="001D1994">
        <w:t>8</w:t>
      </w:r>
      <w:r w:rsidR="008E5BB3" w:rsidRPr="001D1994">
        <w:t xml:space="preserve">, </w:t>
      </w:r>
      <w:r w:rsidR="00266E3D" w:rsidRPr="001D1994">
        <w:t>dated February</w:t>
      </w:r>
      <w:r w:rsidR="00C41206" w:rsidRPr="001D1994">
        <w:t xml:space="preserve"> 2</w:t>
      </w:r>
      <w:r w:rsidR="00BB4C48">
        <w:t>6</w:t>
      </w:r>
      <w:r w:rsidR="00C41206" w:rsidRPr="001D1994">
        <w:t>, 200</w:t>
      </w:r>
      <w:r w:rsidR="00BB4C48">
        <w:t>9</w:t>
      </w:r>
      <w:r w:rsidR="008E5BB3" w:rsidRPr="001D1994">
        <w:t xml:space="preserve">, and allow the </w:t>
      </w:r>
      <w:r w:rsidR="000B2AE3">
        <w:t xml:space="preserve">revised </w:t>
      </w:r>
      <w:r w:rsidR="008E5BB3" w:rsidRPr="001D1994">
        <w:t xml:space="preserve">tariff </w:t>
      </w:r>
      <w:r w:rsidR="00D543CD" w:rsidRPr="001D1994">
        <w:t>revisions</w:t>
      </w:r>
      <w:r w:rsidR="008E5BB3" w:rsidRPr="001D1994">
        <w:t xml:space="preserve"> </w:t>
      </w:r>
      <w:r w:rsidR="000B2AE3">
        <w:t xml:space="preserve">filed on April 16, 2009, </w:t>
      </w:r>
      <w:r w:rsidR="008E5BB3" w:rsidRPr="001D1994">
        <w:t xml:space="preserve">to Tariff </w:t>
      </w:r>
      <w:r w:rsidR="00E74A54" w:rsidRPr="001D1994">
        <w:t xml:space="preserve">No. </w:t>
      </w:r>
      <w:r w:rsidR="00C41206" w:rsidRPr="001D1994">
        <w:t>25</w:t>
      </w:r>
      <w:r w:rsidR="008E5BB3" w:rsidRPr="001D1994">
        <w:t xml:space="preserve"> to become effective on </w:t>
      </w:r>
      <w:r w:rsidR="00BB4C48">
        <w:t>May</w:t>
      </w:r>
      <w:r w:rsidR="00C41206" w:rsidRPr="001D1994">
        <w:t xml:space="preserve"> 1, 200</w:t>
      </w:r>
      <w:r w:rsidR="00BB4C48">
        <w:t>9</w:t>
      </w:r>
      <w:r w:rsidR="008E5BB3" w:rsidRPr="001D1994">
        <w:t>.</w:t>
      </w:r>
    </w:p>
    <w:p w:rsidR="00C62B9C" w:rsidRDefault="00C62B9C" w:rsidP="00C62B9C">
      <w:pPr>
        <w:pStyle w:val="ListParagraph"/>
      </w:pPr>
    </w:p>
    <w:p w:rsidR="00922792" w:rsidRDefault="00C62B9C" w:rsidP="009C5CAE">
      <w:pPr>
        <w:numPr>
          <w:ilvl w:val="0"/>
          <w:numId w:val="14"/>
        </w:numPr>
        <w:spacing w:line="288" w:lineRule="auto"/>
        <w:ind w:left="700" w:hanging="1420"/>
      </w:pPr>
      <w:r>
        <w:t>(6)</w:t>
      </w:r>
      <w:r>
        <w:tab/>
      </w:r>
      <w:r w:rsidRPr="00C62B9C">
        <w:t xml:space="preserve">Following discussion with the </w:t>
      </w:r>
      <w:r>
        <w:t xml:space="preserve">Companies’ </w:t>
      </w:r>
      <w:r w:rsidRPr="00C62B9C">
        <w:t xml:space="preserve">representative during the April </w:t>
      </w:r>
      <w:r w:rsidR="00913A61">
        <w:t>30</w:t>
      </w:r>
      <w:r w:rsidRPr="00C62B9C">
        <w:t>, 2009, open meeting, the Commission</w:t>
      </w:r>
      <w:r>
        <w:t xml:space="preserve"> finds</w:t>
      </w:r>
      <w:r w:rsidRPr="00C62B9C">
        <w:t xml:space="preserve"> the Companies must credit to residential </w:t>
      </w:r>
      <w:r w:rsidR="00F92782">
        <w:t xml:space="preserve">garbage </w:t>
      </w:r>
      <w:r w:rsidRPr="00C62B9C">
        <w:t xml:space="preserve">customers the difference between the temporary rates and permanent rates.  </w:t>
      </w:r>
    </w:p>
    <w:p w:rsidR="00922792" w:rsidRDefault="00922792" w:rsidP="00922792">
      <w:pPr>
        <w:pStyle w:val="ListParagraph"/>
      </w:pPr>
    </w:p>
    <w:p w:rsidR="00C62B9C" w:rsidRPr="00922792" w:rsidRDefault="00922792" w:rsidP="009C5CAE">
      <w:pPr>
        <w:numPr>
          <w:ilvl w:val="0"/>
          <w:numId w:val="14"/>
        </w:numPr>
        <w:spacing w:line="288" w:lineRule="auto"/>
        <w:ind w:left="700" w:hanging="1420"/>
      </w:pPr>
      <w:r>
        <w:t>(7)</w:t>
      </w:r>
      <w:r>
        <w:tab/>
      </w:r>
      <w:r w:rsidRPr="00922792">
        <w:t xml:space="preserve">The Commission Secretary </w:t>
      </w:r>
      <w:r w:rsidR="00777F67">
        <w:t xml:space="preserve">should be </w:t>
      </w:r>
      <w:r w:rsidRPr="00922792">
        <w:t xml:space="preserve">authorized to accept by letter, with copies to all parties to this proceeding, a filing that complies with the requirements </w:t>
      </w:r>
      <w:r>
        <w:t xml:space="preserve">for providing a credit to residential </w:t>
      </w:r>
      <w:r w:rsidR="00F92782">
        <w:t xml:space="preserve">garbage </w:t>
      </w:r>
      <w:r>
        <w:t>customers in</w:t>
      </w:r>
      <w:r w:rsidRPr="00922792">
        <w:t xml:space="preserve"> this Order.  </w:t>
      </w:r>
      <w:r w:rsidRPr="00922792">
        <w:rPr>
          <w:i/>
          <w:iCs/>
        </w:rPr>
        <w:t>WAC 480-07-170; WAC 480-07-880.</w:t>
      </w:r>
    </w:p>
    <w:p w:rsidR="00B07104" w:rsidRPr="001D1994" w:rsidRDefault="00B07104" w:rsidP="00A569C1">
      <w:pPr>
        <w:spacing w:line="288" w:lineRule="auto"/>
        <w:ind w:left="700"/>
      </w:pPr>
    </w:p>
    <w:p w:rsidR="00881614" w:rsidRDefault="00B07104">
      <w:pPr>
        <w:numPr>
          <w:ilvl w:val="0"/>
          <w:numId w:val="14"/>
        </w:numPr>
        <w:spacing w:line="288" w:lineRule="auto"/>
        <w:ind w:left="700" w:hanging="1420"/>
      </w:pPr>
      <w:r w:rsidRPr="001D1994">
        <w:t>(</w:t>
      </w:r>
      <w:r w:rsidR="00922792">
        <w:t>8</w:t>
      </w:r>
      <w:r w:rsidRPr="001D1994">
        <w:t>)</w:t>
      </w:r>
      <w:r w:rsidRPr="001D1994">
        <w:tab/>
      </w:r>
      <w:r w:rsidR="00A569C1" w:rsidRPr="00A569C1">
        <w:t>Murrey’s and American</w:t>
      </w:r>
      <w:r w:rsidR="00A569C1">
        <w:t xml:space="preserve"> are</w:t>
      </w:r>
      <w:r w:rsidRPr="001D1994">
        <w:t xml:space="preserve"> subject to </w:t>
      </w:r>
      <w:hyperlink r:id="rId19" w:history="1">
        <w:r w:rsidRPr="009C5CAE">
          <w:t>RCW 81.28.050</w:t>
        </w:r>
      </w:hyperlink>
      <w:r w:rsidRPr="001D1994">
        <w:t xml:space="preserve"> and </w:t>
      </w:r>
      <w:hyperlink r:id="rId20" w:history="1">
        <w:r w:rsidRPr="009C5CAE">
          <w:t>WAC 480-70-266</w:t>
        </w:r>
      </w:hyperlink>
      <w:r w:rsidRPr="001D1994">
        <w:t xml:space="preserve">, which require solid waste companies to file changes in any rate or charge with forty-five days’ notice.  </w:t>
      </w:r>
      <w:hyperlink r:id="rId21" w:history="1">
        <w:r w:rsidRPr="009C5CAE">
          <w:t>WAC 480-70-276</w:t>
        </w:r>
      </w:hyperlink>
      <w:r w:rsidR="00B112A0">
        <w:t xml:space="preserve"> </w:t>
      </w:r>
      <w:r w:rsidR="009F47A2">
        <w:t>authorizes</w:t>
      </w:r>
      <w:r w:rsidR="00B112A0">
        <w:t xml:space="preserve"> </w:t>
      </w:r>
      <w:r w:rsidRPr="001D1994">
        <w:t xml:space="preserve">the Commission, for good cause shown, </w:t>
      </w:r>
      <w:r w:rsidR="00B112A0">
        <w:t xml:space="preserve">to allow </w:t>
      </w:r>
      <w:r w:rsidRPr="001D1994">
        <w:t>changes in rates or charges without requiring forty-five days’ notice.</w:t>
      </w:r>
      <w:r w:rsidR="00A0293F">
        <w:t xml:space="preserve"> </w:t>
      </w:r>
    </w:p>
    <w:p w:rsidR="00D744D3" w:rsidRDefault="00D744D3" w:rsidP="00D744D3">
      <w:pPr>
        <w:pStyle w:val="ListParagraph"/>
      </w:pPr>
    </w:p>
    <w:p w:rsidR="00B07104" w:rsidRPr="004126B3" w:rsidRDefault="00922792" w:rsidP="009C5CAE">
      <w:pPr>
        <w:numPr>
          <w:ilvl w:val="0"/>
          <w:numId w:val="14"/>
        </w:numPr>
        <w:spacing w:line="288" w:lineRule="auto"/>
        <w:ind w:left="700" w:hanging="1420"/>
      </w:pPr>
      <w:r>
        <w:t>(9</w:t>
      </w:r>
      <w:r w:rsidR="00B07104" w:rsidRPr="004126B3">
        <w:t>)</w:t>
      </w:r>
      <w:r w:rsidR="00B07104" w:rsidRPr="004126B3">
        <w:tab/>
      </w:r>
      <w:r w:rsidR="00B112A0" w:rsidRPr="004126B3">
        <w:t xml:space="preserve">WAC 480-70-271 requires solid waste collection </w:t>
      </w:r>
      <w:r w:rsidR="005A311C" w:rsidRPr="004126B3">
        <w:t>c</w:t>
      </w:r>
      <w:r w:rsidR="00F12996" w:rsidRPr="004126B3">
        <w:t>ompanies</w:t>
      </w:r>
      <w:r w:rsidR="00B112A0" w:rsidRPr="004126B3">
        <w:t xml:space="preserve"> to provide customers</w:t>
      </w:r>
      <w:r w:rsidR="00B112A0">
        <w:t xml:space="preserve"> with 30 days notice of a proposed rate increase</w:t>
      </w:r>
      <w:r w:rsidR="00B112A0" w:rsidRPr="004126B3">
        <w:t xml:space="preserve">. </w:t>
      </w:r>
      <w:r w:rsidR="009F14C3">
        <w:t xml:space="preserve"> </w:t>
      </w:r>
      <w:hyperlink r:id="rId22" w:history="1">
        <w:r w:rsidR="00CF4791" w:rsidRPr="004126B3">
          <w:t>WAC 480-70-051</w:t>
        </w:r>
      </w:hyperlink>
      <w:r w:rsidR="00CF4791" w:rsidRPr="004126B3">
        <w:t xml:space="preserve"> </w:t>
      </w:r>
      <w:r w:rsidR="009F47A2" w:rsidRPr="004126B3">
        <w:t>authorizes</w:t>
      </w:r>
      <w:r w:rsidR="00CF4791" w:rsidRPr="004126B3">
        <w:t xml:space="preserve"> the Commission to grant an exemption from the provisions of any rule in </w:t>
      </w:r>
      <w:hyperlink r:id="rId23" w:history="1">
        <w:r w:rsidR="00CF4791" w:rsidRPr="004126B3">
          <w:t>WAC 480-70</w:t>
        </w:r>
      </w:hyperlink>
      <w:r w:rsidR="00CF4791" w:rsidRPr="004126B3">
        <w:t xml:space="preserve">, if consistent with the public interest, the purposes underlying regulation and applicable statutes.  See also </w:t>
      </w:r>
      <w:hyperlink r:id="rId24" w:history="1">
        <w:r w:rsidR="00CF4791" w:rsidRPr="004126B3">
          <w:t>WAC 480-07-110</w:t>
        </w:r>
      </w:hyperlink>
      <w:r w:rsidR="00CF4791" w:rsidRPr="004126B3">
        <w:t>.</w:t>
      </w:r>
    </w:p>
    <w:p w:rsidR="00A569C1" w:rsidRDefault="00A569C1" w:rsidP="00A569C1">
      <w:pPr>
        <w:spacing w:line="288" w:lineRule="auto"/>
      </w:pPr>
    </w:p>
    <w:p w:rsidR="00922792" w:rsidRDefault="00922792">
      <w:r>
        <w:br w:type="page"/>
      </w:r>
    </w:p>
    <w:p w:rsidR="00680661" w:rsidRPr="001D1994" w:rsidRDefault="00680661">
      <w:pPr>
        <w:pStyle w:val="Heading2"/>
        <w:spacing w:line="288" w:lineRule="auto"/>
        <w:rPr>
          <w:b/>
          <w:bCs/>
          <w:u w:val="none"/>
        </w:rPr>
      </w:pPr>
      <w:r w:rsidRPr="001D1994">
        <w:rPr>
          <w:b/>
          <w:bCs/>
          <w:u w:val="none"/>
        </w:rPr>
        <w:lastRenderedPageBreak/>
        <w:t>O R D E R</w:t>
      </w:r>
    </w:p>
    <w:p w:rsidR="00680661" w:rsidRPr="001D1994" w:rsidRDefault="00680661">
      <w:pPr>
        <w:spacing w:line="288" w:lineRule="auto"/>
      </w:pPr>
    </w:p>
    <w:p w:rsidR="00680661" w:rsidRPr="001D1994" w:rsidRDefault="00680661">
      <w:pPr>
        <w:spacing w:line="288" w:lineRule="auto"/>
        <w:ind w:left="-720" w:firstLine="720"/>
        <w:rPr>
          <w:b/>
        </w:rPr>
      </w:pPr>
      <w:r w:rsidRPr="001D1994">
        <w:rPr>
          <w:b/>
        </w:rPr>
        <w:t xml:space="preserve">THE </w:t>
      </w:r>
      <w:r w:rsidR="00F270E8" w:rsidRPr="001D1994">
        <w:rPr>
          <w:b/>
        </w:rPr>
        <w:t>COMMISSION</w:t>
      </w:r>
      <w:r w:rsidRPr="001D1994">
        <w:rPr>
          <w:b/>
        </w:rPr>
        <w:t xml:space="preserve"> ORDERS:</w:t>
      </w:r>
    </w:p>
    <w:p w:rsidR="00680661" w:rsidRPr="001D1994" w:rsidRDefault="00680661">
      <w:pPr>
        <w:spacing w:line="288" w:lineRule="auto"/>
      </w:pPr>
    </w:p>
    <w:p w:rsidR="008E5BB3" w:rsidRPr="001D1994" w:rsidRDefault="00680661" w:rsidP="008E5BB3">
      <w:pPr>
        <w:numPr>
          <w:ilvl w:val="0"/>
          <w:numId w:val="14"/>
        </w:numPr>
        <w:spacing w:line="288" w:lineRule="auto"/>
        <w:ind w:left="700" w:hanging="1420"/>
      </w:pPr>
      <w:r w:rsidRPr="001D1994">
        <w:t xml:space="preserve">(1) </w:t>
      </w:r>
      <w:r w:rsidRPr="001D1994">
        <w:tab/>
      </w:r>
      <w:r w:rsidR="008E5BB3" w:rsidRPr="001D1994">
        <w:t xml:space="preserve">The Complaint and Order Suspending Tariff </w:t>
      </w:r>
      <w:r w:rsidR="00D543CD" w:rsidRPr="001D1994">
        <w:rPr>
          <w:noProof/>
        </w:rPr>
        <w:t>Revisions</w:t>
      </w:r>
      <w:r w:rsidR="008E5BB3" w:rsidRPr="001D1994">
        <w:t xml:space="preserve"> in Docket</w:t>
      </w:r>
      <w:r w:rsidR="00E74A54" w:rsidRPr="001D1994">
        <w:t>s</w:t>
      </w:r>
      <w:r w:rsidR="008E5BB3" w:rsidRPr="001D1994">
        <w:t xml:space="preserve"> </w:t>
      </w:r>
      <w:r w:rsidR="00C41206" w:rsidRPr="001D1994">
        <w:t>TG-0</w:t>
      </w:r>
      <w:r w:rsidR="00C66BCA">
        <w:t>9</w:t>
      </w:r>
      <w:r w:rsidR="00C41206" w:rsidRPr="001D1994">
        <w:t>00</w:t>
      </w:r>
      <w:r w:rsidR="00C66BCA">
        <w:t>9</w:t>
      </w:r>
      <w:r w:rsidR="00C41206" w:rsidRPr="001D1994">
        <w:t>7</w:t>
      </w:r>
      <w:r w:rsidR="008A4701" w:rsidRPr="001D1994">
        <w:t xml:space="preserve"> and TG-0</w:t>
      </w:r>
      <w:r w:rsidR="00C66BCA">
        <w:t>9</w:t>
      </w:r>
      <w:r w:rsidR="008A4701" w:rsidRPr="001D1994">
        <w:t>00</w:t>
      </w:r>
      <w:r w:rsidR="00C66BCA">
        <w:t>9</w:t>
      </w:r>
      <w:r w:rsidR="008A4701" w:rsidRPr="001D1994">
        <w:t>8</w:t>
      </w:r>
      <w:r w:rsidR="008E5BB3" w:rsidRPr="001D1994">
        <w:t xml:space="preserve">, entered on </w:t>
      </w:r>
      <w:r w:rsidR="00C41206" w:rsidRPr="001D1994">
        <w:rPr>
          <w:bCs/>
        </w:rPr>
        <w:t>February 2</w:t>
      </w:r>
      <w:r w:rsidR="00C66BCA">
        <w:rPr>
          <w:bCs/>
        </w:rPr>
        <w:t>6</w:t>
      </w:r>
      <w:r w:rsidR="00C41206" w:rsidRPr="001D1994">
        <w:rPr>
          <w:bCs/>
        </w:rPr>
        <w:t>, 200</w:t>
      </w:r>
      <w:r w:rsidR="00C66BCA">
        <w:rPr>
          <w:bCs/>
        </w:rPr>
        <w:t>9</w:t>
      </w:r>
      <w:r w:rsidR="008E5BB3" w:rsidRPr="001D1994">
        <w:t>, is dismissed.</w:t>
      </w:r>
    </w:p>
    <w:p w:rsidR="00373948" w:rsidRDefault="00373948">
      <w:pPr>
        <w:spacing w:line="288" w:lineRule="auto"/>
      </w:pPr>
    </w:p>
    <w:p w:rsidR="00373948" w:rsidRDefault="008E5BB3" w:rsidP="00BD62D1">
      <w:pPr>
        <w:numPr>
          <w:ilvl w:val="0"/>
          <w:numId w:val="14"/>
        </w:numPr>
        <w:spacing w:line="288" w:lineRule="auto"/>
        <w:ind w:left="700" w:hanging="1420"/>
      </w:pPr>
      <w:r w:rsidRPr="001D1994">
        <w:t xml:space="preserve">(2) </w:t>
      </w:r>
      <w:r w:rsidRPr="001D1994">
        <w:tab/>
        <w:t xml:space="preserve">The </w:t>
      </w:r>
      <w:r w:rsidR="00C24833" w:rsidRPr="001D1994">
        <w:t xml:space="preserve">proposed revised </w:t>
      </w:r>
      <w:r w:rsidRPr="001D1994">
        <w:t xml:space="preserve">tariff </w:t>
      </w:r>
      <w:r w:rsidR="00C24833" w:rsidRPr="001D1994">
        <w:t xml:space="preserve">pages that </w:t>
      </w:r>
      <w:r w:rsidR="00C41206" w:rsidRPr="001D1994">
        <w:t>Murrey</w:t>
      </w:r>
      <w:r w:rsidR="00F270E8" w:rsidRPr="001D1994">
        <w:t>’</w:t>
      </w:r>
      <w:r w:rsidR="00C41206" w:rsidRPr="001D1994">
        <w:t>s Disposal Company, Inc., and American Disposal Company, Inc.</w:t>
      </w:r>
      <w:r w:rsidR="00266E3D" w:rsidRPr="001D1994">
        <w:t>,</w:t>
      </w:r>
      <w:r w:rsidRPr="001D1994">
        <w:t xml:space="preserve"> filed in th</w:t>
      </w:r>
      <w:r w:rsidR="00ED6BC6" w:rsidRPr="001D1994">
        <w:t>ese</w:t>
      </w:r>
      <w:r w:rsidRPr="001D1994">
        <w:t xml:space="preserve"> docket</w:t>
      </w:r>
      <w:r w:rsidR="00ED6BC6" w:rsidRPr="001D1994">
        <w:t>s</w:t>
      </w:r>
      <w:r w:rsidRPr="001D1994">
        <w:t xml:space="preserve"> on </w:t>
      </w:r>
      <w:r w:rsidR="006575F1">
        <w:t xml:space="preserve">April </w:t>
      </w:r>
      <w:r w:rsidR="00C24833" w:rsidRPr="001D1994">
        <w:t>1</w:t>
      </w:r>
      <w:r w:rsidR="006575F1">
        <w:t>6</w:t>
      </w:r>
      <w:r w:rsidR="00C41206" w:rsidRPr="001D1994">
        <w:t>, 200</w:t>
      </w:r>
      <w:r w:rsidR="006575F1">
        <w:t>9</w:t>
      </w:r>
      <w:r w:rsidR="00E74A54" w:rsidRPr="001D1994">
        <w:t>,</w:t>
      </w:r>
      <w:r w:rsidRPr="001D1994">
        <w:t xml:space="preserve"> shall become effective on </w:t>
      </w:r>
      <w:r w:rsidR="006575F1">
        <w:t xml:space="preserve">May </w:t>
      </w:r>
      <w:r w:rsidR="00C41206" w:rsidRPr="001D1994">
        <w:t>1, 200</w:t>
      </w:r>
      <w:r w:rsidR="006575F1">
        <w:t>9</w:t>
      </w:r>
      <w:r w:rsidR="00E74A54" w:rsidRPr="001D1994">
        <w:t>, on a permanent basis.</w:t>
      </w:r>
      <w:r w:rsidR="00B112A0" w:rsidRPr="00B112A0">
        <w:t xml:space="preserve"> </w:t>
      </w:r>
    </w:p>
    <w:p w:rsidR="00373948" w:rsidRDefault="00373948">
      <w:pPr>
        <w:spacing w:line="288" w:lineRule="auto"/>
      </w:pPr>
    </w:p>
    <w:p w:rsidR="00BD62D1" w:rsidRDefault="00BD62D1" w:rsidP="00BD62D1">
      <w:pPr>
        <w:numPr>
          <w:ilvl w:val="0"/>
          <w:numId w:val="14"/>
        </w:numPr>
        <w:spacing w:line="288" w:lineRule="auto"/>
        <w:ind w:left="700" w:hanging="1420"/>
      </w:pPr>
      <w:r>
        <w:t xml:space="preserve">(3) </w:t>
      </w:r>
      <w:r>
        <w:tab/>
      </w:r>
      <w:r w:rsidR="00B112A0" w:rsidRPr="00087C97">
        <w:t>After the effective date of this Order,</w:t>
      </w:r>
      <w:r>
        <w:t xml:space="preserve"> </w:t>
      </w:r>
      <w:r w:rsidRPr="00C66BCA">
        <w:t xml:space="preserve">Murrey’s Disposal Company, Inc., and American Disposal Company, Inc., </w:t>
      </w:r>
      <w:r>
        <w:t>are</w:t>
      </w:r>
      <w:r w:rsidRPr="001D1994">
        <w:t xml:space="preserve"> granted an exemption from </w:t>
      </w:r>
      <w:hyperlink r:id="rId25" w:history="1">
        <w:r w:rsidRPr="009C5CAE">
          <w:t>WAC 480-70-</w:t>
        </w:r>
        <w:r>
          <w:t xml:space="preserve">266, to allow the revised rates to become effective May 1, 2009, on less than statutory </w:t>
        </w:r>
        <w:r w:rsidR="009200EC">
          <w:t>notice</w:t>
        </w:r>
        <w:r>
          <w:t>.</w:t>
        </w:r>
      </w:hyperlink>
      <w:r>
        <w:t xml:space="preserve"> </w:t>
      </w:r>
      <w:r w:rsidR="00B112A0" w:rsidRPr="00087C97">
        <w:t xml:space="preserve"> </w:t>
      </w:r>
    </w:p>
    <w:p w:rsidR="00373948" w:rsidRDefault="00373948" w:rsidP="00BD62D1">
      <w:pPr>
        <w:spacing w:line="288" w:lineRule="auto"/>
      </w:pPr>
    </w:p>
    <w:p w:rsidR="00B07104" w:rsidRPr="001D1994" w:rsidRDefault="00B07104" w:rsidP="009C5CAE">
      <w:pPr>
        <w:numPr>
          <w:ilvl w:val="0"/>
          <w:numId w:val="14"/>
        </w:numPr>
        <w:spacing w:line="288" w:lineRule="auto"/>
        <w:ind w:left="700" w:hanging="1420"/>
      </w:pPr>
      <w:r w:rsidRPr="001D1994">
        <w:t>(</w:t>
      </w:r>
      <w:r w:rsidR="00881614">
        <w:t>4</w:t>
      </w:r>
      <w:r w:rsidRPr="001D1994">
        <w:t xml:space="preserve">) </w:t>
      </w:r>
      <w:r w:rsidRPr="001D1994">
        <w:tab/>
        <w:t>After the effective date of this Order,</w:t>
      </w:r>
      <w:r w:rsidR="00C66BCA">
        <w:t xml:space="preserve"> </w:t>
      </w:r>
      <w:r w:rsidR="00C66BCA" w:rsidRPr="00C66BCA">
        <w:t xml:space="preserve">Murrey’s Disposal Company, Inc., and American Disposal Company, Inc., </w:t>
      </w:r>
      <w:r w:rsidR="00C66BCA">
        <w:t>are</w:t>
      </w:r>
      <w:r w:rsidRPr="001D1994">
        <w:t xml:space="preserve"> granted an exemption from </w:t>
      </w:r>
      <w:hyperlink r:id="rId26" w:history="1">
        <w:r w:rsidRPr="009C5CAE">
          <w:t>WAC 480-70-271</w:t>
        </w:r>
      </w:hyperlink>
      <w:r w:rsidRPr="001D1994">
        <w:t>, concerning customer notice requirements.</w:t>
      </w:r>
      <w:r w:rsidR="004126B3">
        <w:t xml:space="preserve"> </w:t>
      </w:r>
      <w:r w:rsidR="00A0293F">
        <w:t xml:space="preserve"> </w:t>
      </w:r>
      <w:r w:rsidR="00C66BCA" w:rsidRPr="00C66BCA">
        <w:t xml:space="preserve">Murrey’s Disposal Company, Inc., and American Disposal Company, Inc., </w:t>
      </w:r>
      <w:r w:rsidRPr="001D1994">
        <w:t xml:space="preserve">shall notify customers </w:t>
      </w:r>
      <w:r w:rsidR="00C66BCA">
        <w:t>on their next billing.</w:t>
      </w:r>
    </w:p>
    <w:p w:rsidR="00A92560" w:rsidRDefault="00B07104">
      <w:pPr>
        <w:spacing w:line="288" w:lineRule="auto"/>
      </w:pPr>
      <w:r w:rsidRPr="001D1994">
        <w:tab/>
      </w:r>
    </w:p>
    <w:p w:rsidR="00406DDB" w:rsidRPr="00913A61" w:rsidRDefault="00406DDB" w:rsidP="00406DDB">
      <w:pPr>
        <w:numPr>
          <w:ilvl w:val="0"/>
          <w:numId w:val="14"/>
        </w:numPr>
        <w:spacing w:line="288" w:lineRule="auto"/>
        <w:ind w:left="700" w:hanging="1420"/>
      </w:pPr>
      <w:r>
        <w:t>(5</w:t>
      </w:r>
      <w:r w:rsidRPr="001D1994">
        <w:t>)</w:t>
      </w:r>
      <w:r w:rsidRPr="001D1994">
        <w:tab/>
      </w:r>
      <w:r w:rsidRPr="00C66BCA">
        <w:t>Murrey’s Disposal Company, Inc., and American Disposal Company, Inc.,</w:t>
      </w:r>
      <w:r w:rsidRPr="001D1994">
        <w:t xml:space="preserve"> </w:t>
      </w:r>
      <w:r>
        <w:t xml:space="preserve">are </w:t>
      </w:r>
      <w:r w:rsidRPr="00406DDB">
        <w:t>require</w:t>
      </w:r>
      <w:r>
        <w:t>d</w:t>
      </w:r>
      <w:r w:rsidRPr="00406DDB">
        <w:t xml:space="preserve"> to </w:t>
      </w:r>
      <w:r w:rsidR="00C62B9C">
        <w:t xml:space="preserve">provide a credit </w:t>
      </w:r>
      <w:r w:rsidRPr="00406DDB">
        <w:t xml:space="preserve">to </w:t>
      </w:r>
      <w:r w:rsidR="00D744D3">
        <w:t xml:space="preserve">residential </w:t>
      </w:r>
      <w:r w:rsidR="00F92782">
        <w:t xml:space="preserve">garbage </w:t>
      </w:r>
      <w:r w:rsidRPr="00406DDB">
        <w:t xml:space="preserve">customers </w:t>
      </w:r>
      <w:r w:rsidR="00777F67">
        <w:t xml:space="preserve">in an amount equal to </w:t>
      </w:r>
      <w:r w:rsidRPr="00406DDB">
        <w:t>the difference between the temporary rates and the permanent rates</w:t>
      </w:r>
      <w:r w:rsidR="00D744D3">
        <w:t xml:space="preserve">, and </w:t>
      </w:r>
      <w:r w:rsidR="00D744D3" w:rsidRPr="00D744D3">
        <w:t xml:space="preserve">are required to file </w:t>
      </w:r>
      <w:r w:rsidR="00777F67">
        <w:t xml:space="preserve">with the Commission </w:t>
      </w:r>
      <w:r w:rsidR="00D744D3">
        <w:t xml:space="preserve">a </w:t>
      </w:r>
      <w:r w:rsidR="00813E19">
        <w:t>proposed method to implement the credit required in this Order.</w:t>
      </w:r>
    </w:p>
    <w:p w:rsidR="0071545A" w:rsidRPr="0071545A" w:rsidRDefault="0071545A" w:rsidP="0071545A">
      <w:pPr>
        <w:spacing w:line="288" w:lineRule="auto"/>
      </w:pPr>
    </w:p>
    <w:p w:rsidR="00D744D3" w:rsidRPr="00C62B9C" w:rsidRDefault="00D744D3" w:rsidP="00D744D3">
      <w:pPr>
        <w:numPr>
          <w:ilvl w:val="0"/>
          <w:numId w:val="14"/>
        </w:numPr>
        <w:spacing w:line="288" w:lineRule="auto"/>
        <w:ind w:left="700" w:hanging="1420"/>
        <w:rPr>
          <w:snapToGrid w:val="0"/>
        </w:rPr>
      </w:pPr>
      <w:r>
        <w:t>(6</w:t>
      </w:r>
      <w:r w:rsidRPr="002103DE">
        <w:t>)</w:t>
      </w:r>
      <w:r w:rsidRPr="002103DE">
        <w:tab/>
        <w:t>The Commission Secretary is authorized to accept by letter, with copies to all parties to this proceeding, a filing that complies with the requirements of this Order.</w:t>
      </w:r>
    </w:p>
    <w:p w:rsidR="00C62B9C" w:rsidRDefault="00C62B9C" w:rsidP="00C62B9C">
      <w:pPr>
        <w:pStyle w:val="ListParagraph"/>
        <w:rPr>
          <w:snapToGrid w:val="0"/>
        </w:rPr>
      </w:pPr>
    </w:p>
    <w:p w:rsidR="00C62B9C" w:rsidRPr="00D744D3" w:rsidRDefault="00C62B9C" w:rsidP="00D744D3">
      <w:pPr>
        <w:numPr>
          <w:ilvl w:val="0"/>
          <w:numId w:val="14"/>
        </w:numPr>
        <w:spacing w:line="288" w:lineRule="auto"/>
        <w:ind w:left="700" w:hanging="1420"/>
        <w:rPr>
          <w:snapToGrid w:val="0"/>
        </w:rPr>
      </w:pPr>
      <w:r>
        <w:rPr>
          <w:snapToGrid w:val="0"/>
        </w:rPr>
        <w:t>(7)</w:t>
      </w:r>
      <w:r>
        <w:tab/>
        <w:t xml:space="preserve">After providing the credit to customers, </w:t>
      </w:r>
      <w:r w:rsidRPr="00C66BCA">
        <w:t>Murrey’s Disposal Company, Inc., and American Disposal Company, Inc.,</w:t>
      </w:r>
      <w:r w:rsidRPr="001D1994">
        <w:t xml:space="preserve"> </w:t>
      </w:r>
      <w:r>
        <w:t xml:space="preserve">are </w:t>
      </w:r>
      <w:r w:rsidRPr="00406DDB">
        <w:t>require</w:t>
      </w:r>
      <w:r>
        <w:t>d</w:t>
      </w:r>
      <w:r w:rsidRPr="00406DDB">
        <w:t xml:space="preserve"> to</w:t>
      </w:r>
      <w:r>
        <w:t xml:space="preserve"> submit a sample of the customer invoice reflecting the credit, and notice that they have completed providing the credit to customers.</w:t>
      </w:r>
    </w:p>
    <w:p w:rsidR="00B07104" w:rsidRPr="001D1994" w:rsidRDefault="00B07104" w:rsidP="00C62B9C">
      <w:pPr>
        <w:pStyle w:val="BodyText2"/>
        <w:spacing w:line="288" w:lineRule="auto"/>
      </w:pPr>
    </w:p>
    <w:p w:rsidR="006B4A00" w:rsidRPr="001D1994" w:rsidRDefault="00D744D3" w:rsidP="004126B3">
      <w:pPr>
        <w:numPr>
          <w:ilvl w:val="0"/>
          <w:numId w:val="14"/>
        </w:numPr>
        <w:spacing w:line="288" w:lineRule="auto"/>
        <w:ind w:left="700" w:hanging="1420"/>
      </w:pPr>
      <w:r>
        <w:t>(</w:t>
      </w:r>
      <w:r w:rsidR="00C62B9C">
        <w:t>8</w:t>
      </w:r>
      <w:r w:rsidR="00B07104" w:rsidRPr="001D1994">
        <w:t>)</w:t>
      </w:r>
      <w:r w:rsidR="00B07104" w:rsidRPr="001D1994">
        <w:tab/>
      </w:r>
      <w:r w:rsidR="00406DDB" w:rsidRPr="00406DDB">
        <w:t xml:space="preserve">Murrey’s Disposal Company, Inc., and American Disposal Company, Inc., </w:t>
      </w:r>
      <w:r w:rsidR="00406DDB">
        <w:t xml:space="preserve">are required </w:t>
      </w:r>
      <w:r w:rsidR="00406DDB" w:rsidRPr="00406DDB">
        <w:t xml:space="preserve">to provide a detailed breakdown by expense accounts for the “Corporate Overhead” expense, </w:t>
      </w:r>
      <w:r w:rsidR="000B2AE3">
        <w:t>with</w:t>
      </w:r>
      <w:r w:rsidR="00406DDB" w:rsidRPr="00406DDB">
        <w:t xml:space="preserve"> their next rate case filing.</w:t>
      </w:r>
    </w:p>
    <w:p w:rsidR="004126B3" w:rsidRDefault="004126B3">
      <w:pPr>
        <w:spacing w:line="288" w:lineRule="auto"/>
      </w:pPr>
    </w:p>
    <w:p w:rsidR="00680661" w:rsidRPr="001D1994" w:rsidRDefault="00680661">
      <w:pPr>
        <w:spacing w:line="288" w:lineRule="auto"/>
      </w:pPr>
      <w:r w:rsidRPr="001D1994">
        <w:t xml:space="preserve">DATED at Olympia, Washington, and </w:t>
      </w:r>
      <w:r w:rsidR="008E5BB3" w:rsidRPr="001D1994">
        <w:t xml:space="preserve">effective </w:t>
      </w:r>
      <w:r w:rsidR="004357A0">
        <w:t>April 30</w:t>
      </w:r>
      <w:r w:rsidR="00C41206" w:rsidRPr="001D1994">
        <w:t>, 200</w:t>
      </w:r>
      <w:r w:rsidR="004357A0">
        <w:t>9</w:t>
      </w:r>
      <w:r w:rsidRPr="001D1994">
        <w:t>.</w:t>
      </w:r>
    </w:p>
    <w:p w:rsidR="00680661" w:rsidRPr="001D1994" w:rsidRDefault="00680661">
      <w:pPr>
        <w:pStyle w:val="Header"/>
        <w:tabs>
          <w:tab w:val="clear" w:pos="4320"/>
          <w:tab w:val="clear" w:pos="8640"/>
        </w:tabs>
        <w:spacing w:line="288" w:lineRule="auto"/>
      </w:pPr>
    </w:p>
    <w:p w:rsidR="00680661" w:rsidRPr="001D1994" w:rsidRDefault="00680661">
      <w:pPr>
        <w:spacing w:line="288" w:lineRule="auto"/>
        <w:jc w:val="center"/>
      </w:pPr>
      <w:smartTag w:uri="urn:schemas-microsoft-com:office:smarttags" w:element="State">
        <w:smartTag w:uri="urn:schemas-microsoft-com:office:smarttags" w:element="place">
          <w:r w:rsidRPr="001D1994">
            <w:t>WASHINGTON</w:t>
          </w:r>
        </w:smartTag>
      </w:smartTag>
      <w:r w:rsidRPr="001D1994">
        <w:t xml:space="preserve"> UTILITIES AND TRANSPORTATION </w:t>
      </w:r>
      <w:r w:rsidR="00F270E8" w:rsidRPr="001D1994">
        <w:t>COMMISSION</w:t>
      </w:r>
    </w:p>
    <w:p w:rsidR="004B7983" w:rsidRPr="001D1994" w:rsidRDefault="004B7983" w:rsidP="004B7983">
      <w:pPr>
        <w:spacing w:line="288" w:lineRule="auto"/>
      </w:pPr>
    </w:p>
    <w:p w:rsidR="004B7983" w:rsidRPr="001D1994" w:rsidRDefault="004B7983" w:rsidP="004B7983">
      <w:pPr>
        <w:spacing w:line="312" w:lineRule="auto"/>
      </w:pPr>
    </w:p>
    <w:p w:rsidR="004B7983" w:rsidRPr="001D1994" w:rsidRDefault="004B7983" w:rsidP="004B7983">
      <w:pPr>
        <w:spacing w:line="312" w:lineRule="auto"/>
      </w:pPr>
    </w:p>
    <w:p w:rsidR="004B7983" w:rsidRPr="001D1994" w:rsidRDefault="004B7983" w:rsidP="004B7983">
      <w:pPr>
        <w:spacing w:line="312" w:lineRule="auto"/>
      </w:pPr>
      <w:r w:rsidRPr="001D1994">
        <w:tab/>
      </w:r>
      <w:r w:rsidRPr="001D1994">
        <w:tab/>
      </w:r>
      <w:r w:rsidRPr="001D1994">
        <w:tab/>
      </w:r>
      <w:r w:rsidRPr="001D1994">
        <w:tab/>
      </w:r>
      <w:r w:rsidRPr="001D1994">
        <w:tab/>
      </w:r>
      <w:r w:rsidR="00B07104" w:rsidRPr="001D1994">
        <w:t>JEFFREY D. GOLTZ</w:t>
      </w:r>
      <w:r w:rsidRPr="001D1994">
        <w:t>, Chairman</w:t>
      </w:r>
    </w:p>
    <w:p w:rsidR="004B7983" w:rsidRPr="001D1994" w:rsidRDefault="004B7983" w:rsidP="004B7983">
      <w:pPr>
        <w:spacing w:line="312" w:lineRule="auto"/>
      </w:pPr>
    </w:p>
    <w:p w:rsidR="004B7983" w:rsidRPr="001D1994" w:rsidRDefault="004B7983" w:rsidP="004B7983">
      <w:pPr>
        <w:spacing w:line="312" w:lineRule="auto"/>
      </w:pPr>
    </w:p>
    <w:p w:rsidR="004B7983" w:rsidRPr="001D1994" w:rsidRDefault="004B7983" w:rsidP="004B7983">
      <w:pPr>
        <w:spacing w:line="312" w:lineRule="auto"/>
      </w:pPr>
    </w:p>
    <w:p w:rsidR="004B7983" w:rsidRPr="001D1994" w:rsidRDefault="004B7983" w:rsidP="004B7983">
      <w:pPr>
        <w:spacing w:line="312" w:lineRule="auto"/>
      </w:pPr>
      <w:r w:rsidRPr="001D1994">
        <w:tab/>
      </w:r>
      <w:r w:rsidRPr="001D1994">
        <w:tab/>
      </w:r>
      <w:r w:rsidRPr="001D1994">
        <w:tab/>
      </w:r>
      <w:r w:rsidRPr="001D1994">
        <w:tab/>
      </w:r>
      <w:r w:rsidRPr="001D1994">
        <w:tab/>
        <w:t xml:space="preserve">PATRICK J. OSHIE, </w:t>
      </w:r>
      <w:r w:rsidR="00F270E8" w:rsidRPr="001D1994">
        <w:t>Commission</w:t>
      </w:r>
      <w:r w:rsidRPr="001D1994">
        <w:t>er</w:t>
      </w:r>
    </w:p>
    <w:p w:rsidR="004B7983" w:rsidRPr="001D1994" w:rsidRDefault="004B7983" w:rsidP="004B7983">
      <w:pPr>
        <w:spacing w:line="312" w:lineRule="auto"/>
      </w:pPr>
    </w:p>
    <w:p w:rsidR="004B7983" w:rsidRPr="001D1994" w:rsidRDefault="004B7983" w:rsidP="004B7983">
      <w:pPr>
        <w:spacing w:line="312" w:lineRule="auto"/>
      </w:pPr>
    </w:p>
    <w:p w:rsidR="004B7983" w:rsidRPr="001D1994" w:rsidRDefault="004B7983" w:rsidP="004B7983">
      <w:pPr>
        <w:spacing w:line="312" w:lineRule="auto"/>
      </w:pPr>
    </w:p>
    <w:sectPr w:rsidR="004B7983" w:rsidRPr="001D1994" w:rsidSect="00FD1AE8">
      <w:headerReference w:type="default" r:id="rId27"/>
      <w:type w:val="continuous"/>
      <w:pgSz w:w="12240" w:h="15840" w:code="1"/>
      <w:pgMar w:top="1440" w:right="1440" w:bottom="1440" w:left="216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200" w:rsidRDefault="000D3200">
      <w:r>
        <w:separator/>
      </w:r>
    </w:p>
  </w:endnote>
  <w:endnote w:type="continuationSeparator" w:id="1">
    <w:p w:rsidR="000D3200" w:rsidRDefault="000D32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200" w:rsidRDefault="000D3200">
      <w:r>
        <w:separator/>
      </w:r>
    </w:p>
  </w:footnote>
  <w:footnote w:type="continuationSeparator" w:id="1">
    <w:p w:rsidR="000D3200" w:rsidRDefault="000D32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90F" w:rsidRPr="00A748CC" w:rsidRDefault="00E0390F" w:rsidP="00740C7E">
    <w:pPr>
      <w:rPr>
        <w:rStyle w:val="PageNumber"/>
        <w:b/>
        <w:sz w:val="20"/>
      </w:rPr>
    </w:pPr>
    <w:r w:rsidRPr="00A748CC">
      <w:rPr>
        <w:b/>
        <w:sz w:val="20"/>
      </w:rPr>
      <w:t>DOCKET</w:t>
    </w:r>
    <w:r>
      <w:rPr>
        <w:b/>
        <w:sz w:val="20"/>
      </w:rPr>
      <w:t>S</w:t>
    </w:r>
    <w:r w:rsidRPr="00A748CC">
      <w:rPr>
        <w:b/>
        <w:sz w:val="20"/>
      </w:rPr>
      <w:t xml:space="preserve"> </w:t>
    </w:r>
    <w:r w:rsidRPr="00D16F6C">
      <w:rPr>
        <w:b/>
        <w:sz w:val="20"/>
        <w:szCs w:val="20"/>
      </w:rPr>
      <w:t>TG-0</w:t>
    </w:r>
    <w:r>
      <w:rPr>
        <w:b/>
        <w:sz w:val="20"/>
        <w:szCs w:val="20"/>
      </w:rPr>
      <w:t>9</w:t>
    </w:r>
    <w:r w:rsidRPr="00D16F6C">
      <w:rPr>
        <w:b/>
        <w:sz w:val="20"/>
        <w:szCs w:val="20"/>
      </w:rPr>
      <w:t>00</w:t>
    </w:r>
    <w:r>
      <w:rPr>
        <w:b/>
        <w:sz w:val="20"/>
        <w:szCs w:val="20"/>
      </w:rPr>
      <w:t>9</w:t>
    </w:r>
    <w:r w:rsidRPr="00D16F6C">
      <w:rPr>
        <w:b/>
        <w:sz w:val="20"/>
        <w:szCs w:val="20"/>
      </w:rPr>
      <w:t>7 and TG-0</w:t>
    </w:r>
    <w:r>
      <w:rPr>
        <w:b/>
        <w:sz w:val="20"/>
        <w:szCs w:val="20"/>
      </w:rPr>
      <w:t>9</w:t>
    </w:r>
    <w:r w:rsidRPr="00D16F6C">
      <w:rPr>
        <w:b/>
        <w:sz w:val="20"/>
        <w:szCs w:val="20"/>
      </w:rPr>
      <w:t>00</w:t>
    </w:r>
    <w:r>
      <w:rPr>
        <w:b/>
        <w:sz w:val="20"/>
        <w:szCs w:val="20"/>
      </w:rPr>
      <w:t>9</w:t>
    </w:r>
    <w:r w:rsidRPr="00D16F6C">
      <w:rPr>
        <w:b/>
        <w:sz w:val="20"/>
        <w:szCs w:val="20"/>
      </w:rPr>
      <w:t>8</w:t>
    </w:r>
    <w:r w:rsidRPr="00A748CC">
      <w:rPr>
        <w:b/>
        <w:sz w:val="20"/>
      </w:rPr>
      <w:tab/>
    </w:r>
    <w:r w:rsidRPr="00A748CC">
      <w:rPr>
        <w:b/>
        <w:sz w:val="20"/>
      </w:rPr>
      <w:tab/>
      <w:t xml:space="preserve">                </w:t>
    </w:r>
    <w:r>
      <w:rPr>
        <w:b/>
        <w:sz w:val="20"/>
      </w:rPr>
      <w:tab/>
    </w:r>
    <w:r>
      <w:rPr>
        <w:b/>
        <w:sz w:val="20"/>
      </w:rPr>
      <w:tab/>
    </w:r>
    <w:r w:rsidRPr="00A748CC">
      <w:rPr>
        <w:b/>
        <w:sz w:val="20"/>
      </w:rPr>
      <w:t xml:space="preserve"> </w:t>
    </w:r>
    <w:r w:rsidR="00AF543A">
      <w:rPr>
        <w:b/>
        <w:sz w:val="20"/>
      </w:rPr>
      <w:tab/>
    </w:r>
    <w:r w:rsidR="00AF543A">
      <w:rPr>
        <w:b/>
        <w:sz w:val="20"/>
      </w:rPr>
      <w:tab/>
    </w:r>
    <w:r w:rsidRPr="00A748CC">
      <w:rPr>
        <w:b/>
        <w:sz w:val="20"/>
      </w:rPr>
      <w:t xml:space="preserve">PAGE </w:t>
    </w:r>
    <w:r w:rsidR="003E33B8" w:rsidRPr="00852443">
      <w:rPr>
        <w:b/>
        <w:sz w:val="20"/>
      </w:rPr>
      <w:fldChar w:fldCharType="begin"/>
    </w:r>
    <w:r w:rsidRPr="00852443">
      <w:rPr>
        <w:b/>
        <w:sz w:val="20"/>
      </w:rPr>
      <w:instrText xml:space="preserve"> PAGE   \* MERGEFORMAT </w:instrText>
    </w:r>
    <w:r w:rsidR="003E33B8" w:rsidRPr="00852443">
      <w:rPr>
        <w:b/>
        <w:sz w:val="20"/>
      </w:rPr>
      <w:fldChar w:fldCharType="separate"/>
    </w:r>
    <w:r w:rsidR="00CB5D9D">
      <w:rPr>
        <w:b/>
        <w:noProof/>
        <w:sz w:val="20"/>
      </w:rPr>
      <w:t>7</w:t>
    </w:r>
    <w:r w:rsidR="003E33B8" w:rsidRPr="00852443">
      <w:rPr>
        <w:b/>
        <w:sz w:val="20"/>
      </w:rPr>
      <w:fldChar w:fldCharType="end"/>
    </w:r>
  </w:p>
  <w:p w:rsidR="00E0390F" w:rsidRPr="0050337D" w:rsidRDefault="00E0390F" w:rsidP="00E47BC0">
    <w:pPr>
      <w:pStyle w:val="Header"/>
      <w:tabs>
        <w:tab w:val="left" w:pos="7000"/>
      </w:tabs>
      <w:rPr>
        <w:rStyle w:val="PageNumber"/>
        <w:sz w:val="20"/>
      </w:rPr>
    </w:pPr>
    <w:r w:rsidRPr="00A748CC">
      <w:rPr>
        <w:rStyle w:val="PageNumber"/>
        <w:b/>
        <w:sz w:val="20"/>
      </w:rPr>
      <w:t xml:space="preserve">ORDER </w:t>
    </w:r>
    <w:r w:rsidRPr="00C41206">
      <w:rPr>
        <w:b/>
        <w:sz w:val="20"/>
      </w:rPr>
      <w:t>0</w:t>
    </w:r>
    <w:r>
      <w:rPr>
        <w:rStyle w:val="PageNumber"/>
        <w:b/>
        <w:sz w:val="20"/>
      </w:rPr>
      <w:t>2</w:t>
    </w:r>
  </w:p>
  <w:p w:rsidR="00E0390F" w:rsidRPr="00B804A1" w:rsidRDefault="00E0390F">
    <w:pPr>
      <w:pStyle w:val="Header"/>
      <w:tabs>
        <w:tab w:val="left" w:pos="7000"/>
      </w:tabs>
      <w:rPr>
        <w:rStyle w:val="PageNumber"/>
        <w:sz w:val="20"/>
      </w:rPr>
    </w:pPr>
  </w:p>
  <w:p w:rsidR="00E0390F" w:rsidRPr="00B804A1" w:rsidRDefault="00E0390F">
    <w:pPr>
      <w:pStyle w:val="Header"/>
      <w:tabs>
        <w:tab w:val="left" w:pos="7000"/>
      </w:tabs>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50B74294"/>
    <w:multiLevelType w:val="hybridMultilevel"/>
    <w:tmpl w:val="87F4261C"/>
    <w:lvl w:ilvl="0" w:tplc="4D2C0D2E">
      <w:start w:val="1"/>
      <w:numFmt w:val="decimal"/>
      <w:pStyle w:val="Findings"/>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32F70F3"/>
    <w:multiLevelType w:val="hybridMultilevel"/>
    <w:tmpl w:val="7A688524"/>
    <w:lvl w:ilvl="0" w:tplc="46E06C84">
      <w:start w:val="1"/>
      <w:numFmt w:val="decimal"/>
      <w:pStyle w:val="FindingsConclusions"/>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7"/>
  </w:num>
  <w:num w:numId="2">
    <w:abstractNumId w:val="9"/>
  </w:num>
  <w:num w:numId="3">
    <w:abstractNumId w:val="1"/>
  </w:num>
  <w:num w:numId="4">
    <w:abstractNumId w:val="16"/>
  </w:num>
  <w:num w:numId="5">
    <w:abstractNumId w:val="4"/>
  </w:num>
  <w:num w:numId="6">
    <w:abstractNumId w:val="12"/>
  </w:num>
  <w:num w:numId="7">
    <w:abstractNumId w:val="6"/>
  </w:num>
  <w:num w:numId="8">
    <w:abstractNumId w:val="15"/>
  </w:num>
  <w:num w:numId="9">
    <w:abstractNumId w:val="8"/>
  </w:num>
  <w:num w:numId="10">
    <w:abstractNumId w:val="14"/>
  </w:num>
  <w:num w:numId="11">
    <w:abstractNumId w:val="2"/>
  </w:num>
  <w:num w:numId="12">
    <w:abstractNumId w:val="3"/>
  </w:num>
  <w:num w:numId="13">
    <w:abstractNumId w:val="5"/>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3"/>
  </w:num>
  <w:num w:numId="21">
    <w:abstractNumId w:val="10"/>
  </w:num>
  <w:num w:numId="22">
    <w:abstractNumId w:val="11"/>
  </w:num>
  <w:num w:numId="23">
    <w:abstractNumId w:val="11"/>
  </w:num>
  <w:num w:numId="24">
    <w:abstractNumId w:val="0"/>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drawingGridHorizontalSpacing w:val="100"/>
  <w:drawingGridVerticalSpacing w:val="136"/>
  <w:displayHorizontalDrawingGridEvery w:val="0"/>
  <w:displayVerticalDrawingGridEvery w:val="2"/>
  <w:noPunctuationKerning/>
  <w:characterSpacingControl w:val="doNotCompress"/>
  <w:savePreviewPicture/>
  <w:hdrShapeDefaults>
    <o:shapedefaults v:ext="edit" spidmax="67585"/>
  </w:hdrShapeDefaults>
  <w:footnotePr>
    <w:footnote w:id="0"/>
    <w:footnote w:id="1"/>
  </w:footnotePr>
  <w:endnotePr>
    <w:endnote w:id="0"/>
    <w:endnote w:id="1"/>
  </w:endnotePr>
  <w:compat/>
  <w:rsids>
    <w:rsidRoot w:val="00386349"/>
    <w:rsid w:val="00007788"/>
    <w:rsid w:val="00044916"/>
    <w:rsid w:val="00051F45"/>
    <w:rsid w:val="0005503B"/>
    <w:rsid w:val="000714AD"/>
    <w:rsid w:val="000757FA"/>
    <w:rsid w:val="000816C6"/>
    <w:rsid w:val="00082E3F"/>
    <w:rsid w:val="00096CC3"/>
    <w:rsid w:val="000A1FA6"/>
    <w:rsid w:val="000B2AE3"/>
    <w:rsid w:val="000C71C6"/>
    <w:rsid w:val="000D3200"/>
    <w:rsid w:val="000D5531"/>
    <w:rsid w:val="00121FDF"/>
    <w:rsid w:val="00133804"/>
    <w:rsid w:val="0014581A"/>
    <w:rsid w:val="001944ED"/>
    <w:rsid w:val="001A34A4"/>
    <w:rsid w:val="001B2497"/>
    <w:rsid w:val="001B4504"/>
    <w:rsid w:val="001C1EB0"/>
    <w:rsid w:val="001D1994"/>
    <w:rsid w:val="001D3412"/>
    <w:rsid w:val="00224EF0"/>
    <w:rsid w:val="00246C99"/>
    <w:rsid w:val="0024783A"/>
    <w:rsid w:val="0025601E"/>
    <w:rsid w:val="00266E3D"/>
    <w:rsid w:val="00273F45"/>
    <w:rsid w:val="00281200"/>
    <w:rsid w:val="00293188"/>
    <w:rsid w:val="002977E7"/>
    <w:rsid w:val="002A641F"/>
    <w:rsid w:val="002B0003"/>
    <w:rsid w:val="002C5F86"/>
    <w:rsid w:val="002C6520"/>
    <w:rsid w:val="002E7FAD"/>
    <w:rsid w:val="00310DF4"/>
    <w:rsid w:val="00314B51"/>
    <w:rsid w:val="00315880"/>
    <w:rsid w:val="0031713E"/>
    <w:rsid w:val="00334CB0"/>
    <w:rsid w:val="00340961"/>
    <w:rsid w:val="00361B06"/>
    <w:rsid w:val="003621D7"/>
    <w:rsid w:val="003717C9"/>
    <w:rsid w:val="00373948"/>
    <w:rsid w:val="00385CC3"/>
    <w:rsid w:val="00386349"/>
    <w:rsid w:val="00392654"/>
    <w:rsid w:val="003A4A0D"/>
    <w:rsid w:val="003B1FFA"/>
    <w:rsid w:val="003B347D"/>
    <w:rsid w:val="003D7960"/>
    <w:rsid w:val="003E0B5F"/>
    <w:rsid w:val="003E135E"/>
    <w:rsid w:val="003E33B8"/>
    <w:rsid w:val="003E5A3B"/>
    <w:rsid w:val="003F2B74"/>
    <w:rsid w:val="00406DDB"/>
    <w:rsid w:val="00410EBF"/>
    <w:rsid w:val="004126B3"/>
    <w:rsid w:val="00435758"/>
    <w:rsid w:val="004357A0"/>
    <w:rsid w:val="00435875"/>
    <w:rsid w:val="00443DF5"/>
    <w:rsid w:val="00461A20"/>
    <w:rsid w:val="004A6A3E"/>
    <w:rsid w:val="004B4E1B"/>
    <w:rsid w:val="004B7983"/>
    <w:rsid w:val="004C11EF"/>
    <w:rsid w:val="004C2BF2"/>
    <w:rsid w:val="0050782F"/>
    <w:rsid w:val="005139F3"/>
    <w:rsid w:val="00574CB8"/>
    <w:rsid w:val="005A2B93"/>
    <w:rsid w:val="005A311C"/>
    <w:rsid w:val="005A5CCE"/>
    <w:rsid w:val="005F640F"/>
    <w:rsid w:val="00640455"/>
    <w:rsid w:val="006453D1"/>
    <w:rsid w:val="006575F1"/>
    <w:rsid w:val="00667FD4"/>
    <w:rsid w:val="00680661"/>
    <w:rsid w:val="006B4A00"/>
    <w:rsid w:val="006B634E"/>
    <w:rsid w:val="006C2E91"/>
    <w:rsid w:val="006C6802"/>
    <w:rsid w:val="0071545A"/>
    <w:rsid w:val="00740C7E"/>
    <w:rsid w:val="0074294B"/>
    <w:rsid w:val="0077193D"/>
    <w:rsid w:val="00777F67"/>
    <w:rsid w:val="007B1EA0"/>
    <w:rsid w:val="007C0786"/>
    <w:rsid w:val="007D1C1E"/>
    <w:rsid w:val="007D2183"/>
    <w:rsid w:val="007E012F"/>
    <w:rsid w:val="007E39B8"/>
    <w:rsid w:val="00806967"/>
    <w:rsid w:val="00813E19"/>
    <w:rsid w:val="00852443"/>
    <w:rsid w:val="00871325"/>
    <w:rsid w:val="00874A1E"/>
    <w:rsid w:val="00881614"/>
    <w:rsid w:val="00885C44"/>
    <w:rsid w:val="0088645B"/>
    <w:rsid w:val="00887108"/>
    <w:rsid w:val="00890AE4"/>
    <w:rsid w:val="00892B0A"/>
    <w:rsid w:val="008A4701"/>
    <w:rsid w:val="008A7AA6"/>
    <w:rsid w:val="008B5199"/>
    <w:rsid w:val="008D0141"/>
    <w:rsid w:val="008D21BE"/>
    <w:rsid w:val="008E1C28"/>
    <w:rsid w:val="008E5268"/>
    <w:rsid w:val="008E5BB3"/>
    <w:rsid w:val="008F26DD"/>
    <w:rsid w:val="008F68EF"/>
    <w:rsid w:val="0090179C"/>
    <w:rsid w:val="00904819"/>
    <w:rsid w:val="00905069"/>
    <w:rsid w:val="00907C4F"/>
    <w:rsid w:val="00913A61"/>
    <w:rsid w:val="009200EC"/>
    <w:rsid w:val="00922792"/>
    <w:rsid w:val="00924D49"/>
    <w:rsid w:val="00925819"/>
    <w:rsid w:val="00933C3C"/>
    <w:rsid w:val="0093746F"/>
    <w:rsid w:val="0094001F"/>
    <w:rsid w:val="0094404B"/>
    <w:rsid w:val="00955803"/>
    <w:rsid w:val="0099263F"/>
    <w:rsid w:val="009B178E"/>
    <w:rsid w:val="009C5CAE"/>
    <w:rsid w:val="009D0298"/>
    <w:rsid w:val="009E0424"/>
    <w:rsid w:val="009E0EA1"/>
    <w:rsid w:val="009F14C3"/>
    <w:rsid w:val="009F47A2"/>
    <w:rsid w:val="00A0293F"/>
    <w:rsid w:val="00A0555E"/>
    <w:rsid w:val="00A07009"/>
    <w:rsid w:val="00A1115E"/>
    <w:rsid w:val="00A13965"/>
    <w:rsid w:val="00A44132"/>
    <w:rsid w:val="00A569C1"/>
    <w:rsid w:val="00A81013"/>
    <w:rsid w:val="00A85684"/>
    <w:rsid w:val="00A92560"/>
    <w:rsid w:val="00AA3CD6"/>
    <w:rsid w:val="00AA689E"/>
    <w:rsid w:val="00AB12F4"/>
    <w:rsid w:val="00AC33F0"/>
    <w:rsid w:val="00AE4ACE"/>
    <w:rsid w:val="00AF2195"/>
    <w:rsid w:val="00AF543A"/>
    <w:rsid w:val="00B07104"/>
    <w:rsid w:val="00B112A0"/>
    <w:rsid w:val="00B1701C"/>
    <w:rsid w:val="00B20187"/>
    <w:rsid w:val="00B250BF"/>
    <w:rsid w:val="00B263DB"/>
    <w:rsid w:val="00B52314"/>
    <w:rsid w:val="00B64DFB"/>
    <w:rsid w:val="00B66000"/>
    <w:rsid w:val="00B7018E"/>
    <w:rsid w:val="00B71766"/>
    <w:rsid w:val="00B745C5"/>
    <w:rsid w:val="00B804A1"/>
    <w:rsid w:val="00BA052A"/>
    <w:rsid w:val="00BA28B5"/>
    <w:rsid w:val="00BA5180"/>
    <w:rsid w:val="00BA789A"/>
    <w:rsid w:val="00BB4C48"/>
    <w:rsid w:val="00BD62D1"/>
    <w:rsid w:val="00BD76A5"/>
    <w:rsid w:val="00BE495C"/>
    <w:rsid w:val="00BF5848"/>
    <w:rsid w:val="00C07FCB"/>
    <w:rsid w:val="00C24833"/>
    <w:rsid w:val="00C41206"/>
    <w:rsid w:val="00C57E8B"/>
    <w:rsid w:val="00C62B9C"/>
    <w:rsid w:val="00C66BCA"/>
    <w:rsid w:val="00CB5D9D"/>
    <w:rsid w:val="00CC3013"/>
    <w:rsid w:val="00CF4791"/>
    <w:rsid w:val="00CF5CD3"/>
    <w:rsid w:val="00D04504"/>
    <w:rsid w:val="00D14061"/>
    <w:rsid w:val="00D16F6C"/>
    <w:rsid w:val="00D543CD"/>
    <w:rsid w:val="00D56C0F"/>
    <w:rsid w:val="00D744D3"/>
    <w:rsid w:val="00D8028B"/>
    <w:rsid w:val="00D84471"/>
    <w:rsid w:val="00D85400"/>
    <w:rsid w:val="00DD6602"/>
    <w:rsid w:val="00E020CE"/>
    <w:rsid w:val="00E0390F"/>
    <w:rsid w:val="00E11E36"/>
    <w:rsid w:val="00E347A5"/>
    <w:rsid w:val="00E463E5"/>
    <w:rsid w:val="00E47BC0"/>
    <w:rsid w:val="00E50911"/>
    <w:rsid w:val="00E53EBA"/>
    <w:rsid w:val="00E64D3F"/>
    <w:rsid w:val="00E654AE"/>
    <w:rsid w:val="00E74A54"/>
    <w:rsid w:val="00E900E2"/>
    <w:rsid w:val="00ED1448"/>
    <w:rsid w:val="00ED6BC6"/>
    <w:rsid w:val="00EE2000"/>
    <w:rsid w:val="00EE616C"/>
    <w:rsid w:val="00EE7636"/>
    <w:rsid w:val="00EF6737"/>
    <w:rsid w:val="00F056EB"/>
    <w:rsid w:val="00F11EFA"/>
    <w:rsid w:val="00F12996"/>
    <w:rsid w:val="00F12CFF"/>
    <w:rsid w:val="00F20883"/>
    <w:rsid w:val="00F270E8"/>
    <w:rsid w:val="00F37CCA"/>
    <w:rsid w:val="00F41AA7"/>
    <w:rsid w:val="00F458F9"/>
    <w:rsid w:val="00F61E22"/>
    <w:rsid w:val="00F67495"/>
    <w:rsid w:val="00F77651"/>
    <w:rsid w:val="00F8705B"/>
    <w:rsid w:val="00F92782"/>
    <w:rsid w:val="00FA0A11"/>
    <w:rsid w:val="00FA2FE6"/>
    <w:rsid w:val="00FA5CCD"/>
    <w:rsid w:val="00FA5EB0"/>
    <w:rsid w:val="00FD1AE8"/>
    <w:rsid w:val="00FD3712"/>
    <w:rsid w:val="00FD6FB8"/>
    <w:rsid w:val="00FF044C"/>
    <w:rsid w:val="00FF37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1AE8"/>
    <w:rPr>
      <w:sz w:val="24"/>
      <w:szCs w:val="24"/>
    </w:rPr>
  </w:style>
  <w:style w:type="paragraph" w:styleId="Heading1">
    <w:name w:val="heading 1"/>
    <w:basedOn w:val="Normal"/>
    <w:next w:val="Normal"/>
    <w:qFormat/>
    <w:rsid w:val="00FD1AE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D1AE8"/>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D1AE8"/>
    <w:pPr>
      <w:jc w:val="center"/>
    </w:pPr>
  </w:style>
  <w:style w:type="paragraph" w:styleId="Header">
    <w:name w:val="header"/>
    <w:basedOn w:val="Normal"/>
    <w:rsid w:val="00FD1AE8"/>
    <w:pPr>
      <w:tabs>
        <w:tab w:val="center" w:pos="4320"/>
        <w:tab w:val="right" w:pos="8640"/>
      </w:tabs>
    </w:pPr>
  </w:style>
  <w:style w:type="paragraph" w:styleId="Footer">
    <w:name w:val="footer"/>
    <w:basedOn w:val="Normal"/>
    <w:rsid w:val="00FD1AE8"/>
    <w:pPr>
      <w:tabs>
        <w:tab w:val="center" w:pos="4320"/>
        <w:tab w:val="right" w:pos="8640"/>
      </w:tabs>
    </w:pPr>
  </w:style>
  <w:style w:type="character" w:styleId="PageNumber">
    <w:name w:val="page number"/>
    <w:basedOn w:val="DefaultParagraphFont"/>
    <w:rsid w:val="00FD1AE8"/>
  </w:style>
  <w:style w:type="paragraph" w:styleId="BalloonText">
    <w:name w:val="Balloon Text"/>
    <w:basedOn w:val="Normal"/>
    <w:semiHidden/>
    <w:rsid w:val="00A1115E"/>
    <w:rPr>
      <w:rFonts w:ascii="Tahoma" w:hAnsi="Tahoma" w:cs="Tahoma"/>
      <w:sz w:val="16"/>
      <w:szCs w:val="16"/>
    </w:rPr>
  </w:style>
  <w:style w:type="paragraph" w:customStyle="1" w:styleId="FindingsConclusions">
    <w:name w:val="Findings &amp; Conclusions"/>
    <w:basedOn w:val="Normal"/>
    <w:autoRedefine/>
    <w:rsid w:val="007C0786"/>
    <w:pPr>
      <w:numPr>
        <w:numId w:val="14"/>
      </w:numPr>
      <w:spacing w:line="288" w:lineRule="auto"/>
    </w:pPr>
    <w:rPr>
      <w:rFonts w:ascii="Palatino Linotype" w:hAnsi="Palatino Linotype"/>
    </w:rPr>
  </w:style>
  <w:style w:type="character" w:styleId="Hyperlink">
    <w:name w:val="Hyperlink"/>
    <w:basedOn w:val="DefaultParagraphFont"/>
    <w:rsid w:val="008E5BB3"/>
    <w:rPr>
      <w:color w:val="0000FF"/>
      <w:u w:val="none"/>
    </w:rPr>
  </w:style>
  <w:style w:type="paragraph" w:styleId="ListParagraph">
    <w:name w:val="List Paragraph"/>
    <w:basedOn w:val="Normal"/>
    <w:uiPriority w:val="34"/>
    <w:qFormat/>
    <w:rsid w:val="00435758"/>
    <w:pPr>
      <w:ind w:left="720"/>
    </w:pPr>
  </w:style>
  <w:style w:type="character" w:styleId="CommentReference">
    <w:name w:val="annotation reference"/>
    <w:basedOn w:val="DefaultParagraphFont"/>
    <w:rsid w:val="00806967"/>
    <w:rPr>
      <w:sz w:val="16"/>
      <w:szCs w:val="16"/>
    </w:rPr>
  </w:style>
  <w:style w:type="paragraph" w:styleId="CommentText">
    <w:name w:val="annotation text"/>
    <w:basedOn w:val="Normal"/>
    <w:link w:val="CommentTextChar"/>
    <w:rsid w:val="00806967"/>
    <w:rPr>
      <w:sz w:val="20"/>
      <w:szCs w:val="20"/>
    </w:rPr>
  </w:style>
  <w:style w:type="character" w:customStyle="1" w:styleId="CommentTextChar">
    <w:name w:val="Comment Text Char"/>
    <w:basedOn w:val="DefaultParagraphFont"/>
    <w:link w:val="CommentText"/>
    <w:rsid w:val="00806967"/>
  </w:style>
  <w:style w:type="paragraph" w:styleId="CommentSubject">
    <w:name w:val="annotation subject"/>
    <w:basedOn w:val="CommentText"/>
    <w:next w:val="CommentText"/>
    <w:link w:val="CommentSubjectChar"/>
    <w:rsid w:val="00806967"/>
    <w:rPr>
      <w:b/>
      <w:bCs/>
    </w:rPr>
  </w:style>
  <w:style w:type="character" w:customStyle="1" w:styleId="CommentSubjectChar">
    <w:name w:val="Comment Subject Char"/>
    <w:basedOn w:val="CommentTextChar"/>
    <w:link w:val="CommentSubject"/>
    <w:rsid w:val="00806967"/>
    <w:rPr>
      <w:b/>
      <w:bCs/>
    </w:rPr>
  </w:style>
  <w:style w:type="paragraph" w:styleId="Revision">
    <w:name w:val="Revision"/>
    <w:hidden/>
    <w:uiPriority w:val="99"/>
    <w:semiHidden/>
    <w:rsid w:val="00806967"/>
    <w:rPr>
      <w:sz w:val="24"/>
      <w:szCs w:val="24"/>
    </w:rPr>
  </w:style>
  <w:style w:type="paragraph" w:customStyle="1" w:styleId="Findings">
    <w:name w:val="Findings"/>
    <w:basedOn w:val="Normal"/>
    <w:rsid w:val="00D14061"/>
    <w:pPr>
      <w:numPr>
        <w:numId w:val="21"/>
      </w:numPr>
    </w:pPr>
  </w:style>
  <w:style w:type="paragraph" w:styleId="BodyText2">
    <w:name w:val="Body Text 2"/>
    <w:basedOn w:val="Normal"/>
    <w:link w:val="BodyText2Char"/>
    <w:rsid w:val="00D744D3"/>
    <w:pPr>
      <w:spacing w:after="120" w:line="480" w:lineRule="auto"/>
    </w:pPr>
  </w:style>
  <w:style w:type="character" w:customStyle="1" w:styleId="BodyText2Char">
    <w:name w:val="Body Text 2 Char"/>
    <w:basedOn w:val="DefaultParagraphFont"/>
    <w:link w:val="BodyText2"/>
    <w:rsid w:val="00D744D3"/>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s.leg.wa.gov/RCW/default.aspx?cite=80.01.040" TargetMode="External"/><Relationship Id="rId18" Type="http://schemas.openxmlformats.org/officeDocument/2006/relationships/hyperlink" Target="http://apps.leg.wa.gov/RCW/default.aspx?cite=81.77" TargetMode="External"/><Relationship Id="rId26" Type="http://schemas.openxmlformats.org/officeDocument/2006/relationships/hyperlink" Target="http://apps.leg.wa.gov/WAC/default.aspx?cite=480-70-271" TargetMode="External"/><Relationship Id="rId3" Type="http://schemas.openxmlformats.org/officeDocument/2006/relationships/customXml" Target="../customXml/item3.xml"/><Relationship Id="rId21" Type="http://schemas.openxmlformats.org/officeDocument/2006/relationships/hyperlink" Target="http://apps.leg.wa.gov/WAC/default.aspx?cite=480-70-276" TargetMode="External"/><Relationship Id="rId7" Type="http://schemas.openxmlformats.org/officeDocument/2006/relationships/settings" Target="settings.xml"/><Relationship Id="rId12" Type="http://schemas.openxmlformats.org/officeDocument/2006/relationships/hyperlink" Target="http://apps.leg.wa.gov/WAC/default.aspx?cite=480-70-271" TargetMode="External"/><Relationship Id="rId17" Type="http://schemas.openxmlformats.org/officeDocument/2006/relationships/hyperlink" Target="http://apps.leg.wa.gov/RCW/default.aspx?cite=81.28" TargetMode="External"/><Relationship Id="rId25" Type="http://schemas.openxmlformats.org/officeDocument/2006/relationships/hyperlink" Target="http://apps.leg.wa.gov/WAC/default.aspx?cite=480-70-271" TargetMode="External"/><Relationship Id="rId2" Type="http://schemas.openxmlformats.org/officeDocument/2006/relationships/customXml" Target="../customXml/item2.xml"/><Relationship Id="rId16" Type="http://schemas.openxmlformats.org/officeDocument/2006/relationships/hyperlink" Target="http://apps.leg.wa.gov/RCW/default.aspx?cite=81.16" TargetMode="External"/><Relationship Id="rId20" Type="http://schemas.openxmlformats.org/officeDocument/2006/relationships/hyperlink" Target="http://apps.leg.wa.gov/WAC/default.aspx?cite=480-70-26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480-70-276" TargetMode="External"/><Relationship Id="rId24" Type="http://schemas.openxmlformats.org/officeDocument/2006/relationships/hyperlink" Target="http://apps.leg.wa.gov/WAC/default.aspx?cite=480-07-110" TargetMode="External"/><Relationship Id="rId5" Type="http://schemas.openxmlformats.org/officeDocument/2006/relationships/numbering" Target="numbering.xml"/><Relationship Id="rId15" Type="http://schemas.openxmlformats.org/officeDocument/2006/relationships/hyperlink" Target="http://apps.leg.wa.gov/RCW/default.aspx?cite=81.04" TargetMode="External"/><Relationship Id="rId23" Type="http://schemas.openxmlformats.org/officeDocument/2006/relationships/hyperlink" Target="http://apps.leg.wa.gov/WAC/default.aspx?cite=480-7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apps.leg.wa.gov/RCW/default.aspx?cite=81.28.05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s.leg.wa.gov/RCW/default.aspx?cite=81.01" TargetMode="External"/><Relationship Id="rId22" Type="http://schemas.openxmlformats.org/officeDocument/2006/relationships/hyperlink" Target="http://apps.leg.wa.gov/WAC/default.aspx?cite=480-70-051" TargetMode="External"/><Relationship Id="rId27" Type="http://schemas.openxmlformats.org/officeDocument/2006/relationships/header" Target="header1.xml"/><Relationship Id="rId30"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Order%20Dismissing%20Complaint%20and%20Order%20Suspending%20Tariff%20Revisions%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2009-01-15T08:00:00+00:00</OpenedDate>
    <Date1 xmlns="dc463f71-b30c-4ab2-9473-d307f9d35888">2009-04-30T07:00:00+00:00</Date1>
    <IsDocumentOrder xmlns="dc463f71-b30c-4ab2-9473-d307f9d35888">true</IsDocumentOrder>
    <IsHighlyConfidential xmlns="dc463f71-b30c-4ab2-9473-d307f9d35888">false</IsHighlyConfidential>
    <CaseCompanyNames xmlns="dc463f71-b30c-4ab2-9473-d307f9d35888">AMERICAN DISPOSAL COMPANY, INC.</CaseCompanyNames>
    <DocketNumber xmlns="dc463f71-b30c-4ab2-9473-d307f9d35888">090098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52E18AF8B6EBE4382E96E44A94A88E4" ma:contentTypeVersion="131" ma:contentTypeDescription="" ma:contentTypeScope="" ma:versionID="8f07aa53fff51c22c66b97ca53f28ee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1985AFE-7FE6-4197-AD73-65898C52E309}"/>
</file>

<file path=customXml/itemProps2.xml><?xml version="1.0" encoding="utf-8"?>
<ds:datastoreItem xmlns:ds="http://schemas.openxmlformats.org/officeDocument/2006/customXml" ds:itemID="{AF85D706-0622-4719-AB2A-5A702850AC95}"/>
</file>

<file path=customXml/itemProps3.xml><?xml version="1.0" encoding="utf-8"?>
<ds:datastoreItem xmlns:ds="http://schemas.openxmlformats.org/officeDocument/2006/customXml" ds:itemID="{2953C127-60A7-44C4-90BC-58BDDA928FFF}"/>
</file>

<file path=customXml/itemProps4.xml><?xml version="1.0" encoding="utf-8"?>
<ds:datastoreItem xmlns:ds="http://schemas.openxmlformats.org/officeDocument/2006/customXml" ds:itemID="{E8678B57-396F-4A82-A5C7-C29B4AEF3AE7}"/>
</file>

<file path=customXml/itemProps5.xml><?xml version="1.0" encoding="utf-8"?>
<ds:datastoreItem xmlns:ds="http://schemas.openxmlformats.org/officeDocument/2006/customXml" ds:itemID="{A63C0BDC-CB3B-4676-AF58-9C0677CF1C5B}"/>
</file>

<file path=docProps/app.xml><?xml version="1.0" encoding="utf-8"?>
<Properties xmlns="http://schemas.openxmlformats.org/officeDocument/2006/extended-properties" xmlns:vt="http://schemas.openxmlformats.org/officeDocument/2006/docPropsVTypes">
  <Template>Order Dismissing Complaint and Order Suspending Tariff Revisions (Solid Waste).dot</Template>
  <TotalTime>0</TotalTime>
  <Pages>7</Pages>
  <Words>1890</Words>
  <Characters>11547</Characters>
  <Application>Microsoft Office Word</Application>
  <DocSecurity>0</DocSecurity>
  <Lines>96</Lines>
  <Paragraphs>26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BACKGROUND</vt:lpstr>
      <vt:lpstr>    FINDINGS AND CONCLUSIONS</vt:lpstr>
      <vt:lpstr>    O R D E R</vt:lpstr>
    </vt:vector>
  </TitlesOfParts>
  <Company>WUTC</Company>
  <LinksUpToDate>false</LinksUpToDate>
  <CharactersWithSpaces>13411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NJohnson</dc:creator>
  <cp:keywords/>
  <dc:description/>
  <cp:lastModifiedBy>Catherine Hudspeth</cp:lastModifiedBy>
  <cp:revision>2</cp:revision>
  <cp:lastPrinted>2009-04-30T21:58:00Z</cp:lastPrinted>
  <dcterms:created xsi:type="dcterms:W3CDTF">2009-04-30T22:05:00Z</dcterms:created>
  <dcterms:modified xsi:type="dcterms:W3CDTF">2009-04-30T22:05:00Z</dcterms:modified>
  <cp:category>Soild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0x0101006E56B4D1795A2E4DB2F0B01679ED314A00952E18AF8B6EBE4382E96E44A94A88E4</vt:lpwstr>
  </property>
  <property fmtid="{D5CDD505-2E9C-101B-9397-08002B2CF9AE}" pid="3" name="_docset_NoMedatataSyncRequired">
    <vt:lpwstr>False</vt:lpwstr>
  </property>
</Properties>
</file>