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390" w:rsidRDefault="002F1390">
      <w:pPr>
        <w:pStyle w:val="CourtName"/>
        <w:ind w:left="720"/>
      </w:pPr>
      <w:bookmarkStart w:id="0" w:name="CourtName"/>
      <w:bookmarkStart w:id="1" w:name="Caption"/>
    </w:p>
    <w:p w:rsidR="002F1390" w:rsidRDefault="00A75707">
      <w:pPr>
        <w:pStyle w:val="CourtName"/>
        <w:ind w:left="720"/>
        <w:rPr>
          <w:b/>
        </w:rPr>
      </w:pPr>
      <w:r>
        <w:rPr>
          <w:b/>
        </w:rPr>
        <w:t>BEFORE THE WASHINGTON</w:t>
      </w:r>
    </w:p>
    <w:p w:rsidR="002F1390" w:rsidRDefault="00A75707">
      <w:pPr>
        <w:pStyle w:val="CourtName"/>
        <w:ind w:left="720"/>
        <w:rPr>
          <w:b/>
        </w:rPr>
      </w:pPr>
      <w:r>
        <w:rPr>
          <w:b/>
        </w:rPr>
        <w:t>UTILITIES AND TRANSPORTATION COMMISSION</w:t>
      </w:r>
      <w:bookmarkEnd w:id="0"/>
    </w:p>
    <w:p w:rsidR="002F1390" w:rsidRDefault="002F1390">
      <w:pPr>
        <w:pStyle w:val="SingleSpacing"/>
        <w:ind w:left="720"/>
      </w:pPr>
    </w:p>
    <w:tbl>
      <w:tblPr>
        <w:tblW w:w="8820" w:type="dxa"/>
        <w:jc w:val="right"/>
        <w:tblInd w:w="1080" w:type="dxa"/>
        <w:tblLayout w:type="fixed"/>
        <w:tblCellMar>
          <w:left w:w="0" w:type="dxa"/>
          <w:right w:w="0" w:type="dxa"/>
        </w:tblCellMar>
        <w:tblLook w:val="0000" w:firstRow="0" w:lastRow="0" w:firstColumn="0" w:lastColumn="0" w:noHBand="0" w:noVBand="0"/>
      </w:tblPr>
      <w:tblGrid>
        <w:gridCol w:w="4456"/>
        <w:gridCol w:w="88"/>
        <w:gridCol w:w="4276"/>
      </w:tblGrid>
      <w:tr w:rsidR="002F1390">
        <w:trPr>
          <w:jc w:val="right"/>
        </w:trPr>
        <w:tc>
          <w:tcPr>
            <w:tcW w:w="4456" w:type="dxa"/>
            <w:tcBorders>
              <w:bottom w:val="single" w:sz="4" w:space="0" w:color="auto"/>
              <w:right w:val="single" w:sz="6" w:space="0" w:color="auto"/>
            </w:tcBorders>
            <w:shd w:val="clear" w:color="auto" w:fill="auto"/>
          </w:tcPr>
          <w:p w:rsidR="002F1390" w:rsidRDefault="00A75707">
            <w:pPr>
              <w:pStyle w:val="Parties"/>
            </w:pPr>
            <w:bookmarkStart w:id="2" w:name="Plaintiff"/>
            <w:r>
              <w:t>THE WALLA WALLA COUNTRY CLUB</w:t>
            </w:r>
            <w:bookmarkEnd w:id="2"/>
            <w:r>
              <w:t>,</w:t>
            </w:r>
          </w:p>
          <w:p w:rsidR="002F1390" w:rsidRDefault="002F1390">
            <w:pPr>
              <w:pStyle w:val="Parties"/>
              <w:ind w:left="720"/>
            </w:pPr>
          </w:p>
          <w:p w:rsidR="002F1390" w:rsidRDefault="00A75707">
            <w:pPr>
              <w:pStyle w:val="PartyType"/>
              <w:ind w:left="720"/>
            </w:pPr>
            <w:bookmarkStart w:id="3" w:name="Party1"/>
            <w:r>
              <w:t xml:space="preserve">                     Complainant</w:t>
            </w:r>
            <w:bookmarkEnd w:id="3"/>
            <w:r>
              <w:t>,</w:t>
            </w:r>
          </w:p>
          <w:p w:rsidR="002F1390" w:rsidRDefault="002F1390">
            <w:pPr>
              <w:pStyle w:val="Parties"/>
              <w:ind w:left="720"/>
            </w:pPr>
          </w:p>
          <w:p w:rsidR="002F1390" w:rsidRDefault="00A75707">
            <w:pPr>
              <w:pStyle w:val="versus"/>
            </w:pPr>
            <w:bookmarkStart w:id="4" w:name="lblVersus"/>
            <w:r>
              <w:t>vs.</w:t>
            </w:r>
            <w:bookmarkEnd w:id="4"/>
          </w:p>
          <w:p w:rsidR="002F1390" w:rsidRDefault="002F1390">
            <w:pPr>
              <w:pStyle w:val="Parties"/>
              <w:ind w:left="720"/>
            </w:pPr>
          </w:p>
          <w:p w:rsidR="002F1390" w:rsidRDefault="00A75707">
            <w:pPr>
              <w:pStyle w:val="Parties"/>
            </w:pPr>
            <w:bookmarkStart w:id="5" w:name="Defendant"/>
            <w:r>
              <w:t>PACIFIC POWER &amp; LIGHT COMPANY,</w:t>
            </w:r>
            <w:bookmarkEnd w:id="5"/>
          </w:p>
          <w:p w:rsidR="002F1390" w:rsidRDefault="002F1390">
            <w:pPr>
              <w:pStyle w:val="Parties"/>
              <w:ind w:left="720"/>
            </w:pPr>
          </w:p>
          <w:p w:rsidR="002F1390" w:rsidRDefault="00A75707">
            <w:pPr>
              <w:pStyle w:val="PartyType"/>
              <w:ind w:left="720"/>
              <w:rPr>
                <w:b/>
                <w:bCs/>
              </w:rPr>
            </w:pPr>
            <w:bookmarkStart w:id="6" w:name="Party2"/>
            <w:r>
              <w:t xml:space="preserve">                      Respondent</w:t>
            </w:r>
            <w:bookmarkEnd w:id="6"/>
            <w:r>
              <w:t>.</w:t>
            </w:r>
          </w:p>
        </w:tc>
        <w:tc>
          <w:tcPr>
            <w:tcW w:w="88" w:type="dxa"/>
            <w:tcBorders>
              <w:left w:val="single" w:sz="6" w:space="0" w:color="auto"/>
            </w:tcBorders>
            <w:shd w:val="clear" w:color="auto" w:fill="auto"/>
          </w:tcPr>
          <w:p w:rsidR="002F1390" w:rsidRDefault="002F1390">
            <w:pPr>
              <w:pStyle w:val="border"/>
              <w:spacing w:line="240" w:lineRule="exact"/>
              <w:ind w:left="720"/>
              <w:rPr>
                <w:b w:val="0"/>
                <w:bCs w:val="0"/>
              </w:rPr>
            </w:pPr>
          </w:p>
        </w:tc>
        <w:tc>
          <w:tcPr>
            <w:tcW w:w="4276" w:type="dxa"/>
            <w:shd w:val="clear" w:color="auto" w:fill="auto"/>
            <w:vAlign w:val="center"/>
          </w:tcPr>
          <w:p w:rsidR="002F1390" w:rsidRDefault="00A75707">
            <w:pPr>
              <w:pStyle w:val="PLDCaption2"/>
              <w:ind w:left="406"/>
            </w:pPr>
            <w:bookmarkStart w:id="7" w:name="lblCaseNumberH"/>
            <w:r>
              <w:t xml:space="preserve">Docket </w:t>
            </w:r>
            <w:bookmarkStart w:id="8" w:name="CaseNumberH"/>
            <w:bookmarkEnd w:id="7"/>
            <w:r>
              <w:t>UE-143932</w:t>
            </w:r>
            <w:bookmarkEnd w:id="8"/>
          </w:p>
          <w:p w:rsidR="002F1390" w:rsidRDefault="002F1390">
            <w:pPr>
              <w:pStyle w:val="PleadingTitle"/>
              <w:ind w:left="406"/>
            </w:pPr>
          </w:p>
          <w:p w:rsidR="002F1390" w:rsidRDefault="00A75707">
            <w:pPr>
              <w:pStyle w:val="BodyText"/>
              <w:spacing w:line="240" w:lineRule="auto"/>
              <w:ind w:left="406" w:firstLine="0"/>
              <w:rPr>
                <w:b/>
              </w:rPr>
            </w:pPr>
            <w:r>
              <w:rPr>
                <w:b/>
              </w:rPr>
              <w:t>PACIFIC POWER &amp; LIGHT COMPANY’S RESPONSE TO THE WALLA WALLA COUNTRY CLUB’S MOTION TO REJECT PETITION</w:t>
            </w:r>
          </w:p>
          <w:p w:rsidR="002F1390" w:rsidRDefault="002F1390">
            <w:pPr>
              <w:pStyle w:val="PleadingTitle"/>
              <w:ind w:left="720"/>
            </w:pPr>
          </w:p>
          <w:p w:rsidR="002F1390" w:rsidRDefault="002F1390">
            <w:pPr>
              <w:pStyle w:val="PleadingTitle"/>
              <w:ind w:left="720"/>
            </w:pPr>
          </w:p>
        </w:tc>
      </w:tr>
    </w:tbl>
    <w:p w:rsidR="002F1390" w:rsidRDefault="002F1390">
      <w:pPr>
        <w:ind w:left="720"/>
      </w:pPr>
    </w:p>
    <w:p w:rsidR="002F1390" w:rsidRDefault="002F1390">
      <w:pPr>
        <w:ind w:left="720"/>
      </w:pPr>
    </w:p>
    <w:bookmarkEnd w:id="1"/>
    <w:p w:rsidR="002F1390" w:rsidRDefault="00A75707">
      <w:pPr>
        <w:pStyle w:val="BodyText"/>
        <w:ind w:left="720" w:hanging="720"/>
      </w:pPr>
      <w:r>
        <w:rPr>
          <w:i/>
        </w:rPr>
        <w:t>1</w:t>
      </w:r>
      <w:r>
        <w:tab/>
      </w:r>
      <w:r>
        <w:tab/>
        <w:t>In accordance with WAC 480-07-380 and the Notice Establishing Response Dates, Pacific Power &amp; Light Company (Pacific Power or Company), a division of PacifiCorp, responds to the Walla Walla Country Club’s Motion to Reject Petition.</w:t>
      </w:r>
    </w:p>
    <w:p w:rsidR="002F1390" w:rsidRDefault="00A75707">
      <w:pPr>
        <w:pStyle w:val="SingleSpacing"/>
        <w:ind w:left="720"/>
        <w:rPr>
          <w:b/>
        </w:rPr>
      </w:pPr>
      <w:r>
        <w:rPr>
          <w:b/>
        </w:rPr>
        <w:t>I.  PACIFIC POWER INTERPRETED THE PREHEARING CONFERENCE ORDER TO MODIFY THE GENERAL OR DEFAULT DEADLINE SET FORTH IN WAC 480-07-145(6</w:t>
      </w:r>
      <w:proofErr w:type="gramStart"/>
      <w:r>
        <w:rPr>
          <w:b/>
        </w:rPr>
        <w:t>)(</w:t>
      </w:r>
      <w:proofErr w:type="gramEnd"/>
      <w:r>
        <w:rPr>
          <w:b/>
        </w:rPr>
        <w:t>a)(</w:t>
      </w:r>
      <w:proofErr w:type="spellStart"/>
      <w:r>
        <w:rPr>
          <w:b/>
        </w:rPr>
        <w:t>i</w:t>
      </w:r>
      <w:proofErr w:type="spellEnd"/>
      <w:r>
        <w:rPr>
          <w:b/>
        </w:rPr>
        <w:t>).</w:t>
      </w:r>
    </w:p>
    <w:p w:rsidR="002F1390" w:rsidRDefault="002F1390">
      <w:pPr>
        <w:pStyle w:val="SingleSpacing"/>
      </w:pPr>
    </w:p>
    <w:p w:rsidR="002F1390" w:rsidRDefault="00A75707">
      <w:pPr>
        <w:pStyle w:val="BodyText"/>
        <w:ind w:left="720" w:hanging="720"/>
      </w:pPr>
      <w:r>
        <w:rPr>
          <w:i/>
        </w:rPr>
        <w:t>2</w:t>
      </w:r>
      <w:r>
        <w:tab/>
      </w:r>
      <w:r>
        <w:tab/>
        <w:t>PacifiCorp serves customers in six states.</w:t>
      </w:r>
      <w:r>
        <w:rPr>
          <w:rStyle w:val="FootnoteReference"/>
        </w:rPr>
        <w:footnoteReference w:id="1"/>
      </w:r>
      <w:r>
        <w:t xml:space="preserve">  Pacific Power is one of three divisions of PacifiCorp and serves customers in Washington, Oregon, and California.</w:t>
      </w:r>
      <w:r>
        <w:rPr>
          <w:rStyle w:val="FootnoteReference"/>
        </w:rPr>
        <w:footnoteReference w:id="2"/>
      </w:r>
      <w:r>
        <w:t xml:space="preserve">  PacifiCorp maintains a department of Regulatory Operations, which includes what is internally referred to as the “document center.”</w:t>
      </w:r>
      <w:r>
        <w:rPr>
          <w:rStyle w:val="FootnoteReference"/>
        </w:rPr>
        <w:footnoteReference w:id="3"/>
      </w:r>
      <w:r>
        <w:t xml:space="preserve">  Almost all filings with the regulatory entities in the six states of operation, including the Washington Utilities and Transportation Commission, are completed by Company personnel in the document center.</w:t>
      </w:r>
      <w:r>
        <w:rPr>
          <w:rStyle w:val="FootnoteReference"/>
        </w:rPr>
        <w:footnoteReference w:id="4"/>
      </w:r>
      <w:r>
        <w:t xml:space="preserve">  Company personnel in the document center and regulatory affairs stay apprised of all procedural rules of the regulatory entities in the six states of operation.</w:t>
      </w:r>
      <w:r>
        <w:rPr>
          <w:rStyle w:val="FootnoteReference"/>
        </w:rPr>
        <w:footnoteReference w:id="5"/>
      </w:r>
      <w:r>
        <w:t xml:space="preserve">  Upon receipt of a </w:t>
      </w:r>
      <w:r>
        <w:lastRenderedPageBreak/>
        <w:t>prehearing conference order or the equivalent in other jurisdictions, Company personnel take note of the deadlines reflected in the order.</w:t>
      </w:r>
      <w:r>
        <w:rPr>
          <w:rStyle w:val="FootnoteReference"/>
        </w:rPr>
        <w:footnoteReference w:id="6"/>
      </w:r>
      <w:r>
        <w:t xml:space="preserve">  </w:t>
      </w:r>
    </w:p>
    <w:p w:rsidR="002F1390" w:rsidRDefault="00A75707">
      <w:pPr>
        <w:pStyle w:val="BodyText"/>
        <w:ind w:left="720" w:hanging="720"/>
      </w:pPr>
      <w:r>
        <w:rPr>
          <w:i/>
        </w:rPr>
        <w:t>3</w:t>
      </w:r>
      <w:r>
        <w:rPr>
          <w:i/>
        </w:rPr>
        <w:tab/>
      </w:r>
      <w:r>
        <w:rPr>
          <w:i/>
        </w:rPr>
        <w:tab/>
      </w:r>
      <w:r>
        <w:t>Upon receipt of the Prehearing Conference Order issued on January 21, 2015 (Order 01), Company personnel interpreted the language of paragraph 15 regarding electronic submission of documents to modify the general or default time of day specification found at WAC 480-07-145(6)(a)(</w:t>
      </w:r>
      <w:proofErr w:type="spellStart"/>
      <w:r>
        <w:t>i</w:t>
      </w:r>
      <w:proofErr w:type="spellEnd"/>
      <w:r>
        <w:t>).</w:t>
      </w:r>
      <w:r>
        <w:rPr>
          <w:rStyle w:val="FootnoteReference"/>
        </w:rPr>
        <w:footnoteReference w:id="7"/>
      </w:r>
      <w:r>
        <w:t xml:space="preserve">  Paragraphs 8, 9, 10 and 15 of the Prehearing Conference Order all include time of day specifications for various acts.</w:t>
      </w:r>
      <w:r>
        <w:rPr>
          <w:rStyle w:val="FootnoteReference"/>
        </w:rPr>
        <w:footnoteReference w:id="8"/>
      </w:r>
      <w:r>
        <w:t xml:space="preserve">  Company personnel interpreted the absence of any reference to 3:00 p.m. in paragraph 15, which addresses electronic submission of documents, to be a modification allowing filing and service up to 5:00 p.m. on the calendar day deadline.</w:t>
      </w:r>
      <w:r>
        <w:rPr>
          <w:rStyle w:val="FootnoteReference"/>
        </w:rPr>
        <w:footnoteReference w:id="9"/>
      </w:r>
      <w:r>
        <w:t xml:space="preserve">  All of Pacific Power’s filings, following issuance of the Prehearing Conference Order, were completed after 3:00 p.m.,</w:t>
      </w:r>
      <w:r w:rsidR="00B61B66">
        <w:t xml:space="preserve"> but before 5:00 p.m.,</w:t>
      </w:r>
      <w:r>
        <w:t xml:space="preserve"> reflecting the Company’s interpretation.</w:t>
      </w:r>
      <w:r>
        <w:rPr>
          <w:rStyle w:val="FootnoteReference"/>
        </w:rPr>
        <w:footnoteReference w:id="10"/>
      </w:r>
    </w:p>
    <w:p w:rsidR="002F1390" w:rsidRDefault="00A75707">
      <w:pPr>
        <w:pStyle w:val="SingleSpacing"/>
        <w:ind w:left="720"/>
        <w:rPr>
          <w:b/>
        </w:rPr>
      </w:pPr>
      <w:r>
        <w:rPr>
          <w:b/>
        </w:rPr>
        <w:t>II</w:t>
      </w:r>
      <w:proofErr w:type="gramStart"/>
      <w:r>
        <w:rPr>
          <w:b/>
        </w:rPr>
        <w:t>.  GOOD</w:t>
      </w:r>
      <w:proofErr w:type="gramEnd"/>
      <w:r>
        <w:rPr>
          <w:b/>
        </w:rPr>
        <w:t xml:space="preserve"> CAUSE EXISTS TO GRANT AN EXTENSION AND DENY THE WALLA WALLA COUNTRY CLUB’S MOTION TO REJECT PETITION, PARTICULARLY GIVEN THE ABSENCE OF ANY PREJUDICE TO THE WALLA WALLA COUNTRY CLUB. </w:t>
      </w:r>
      <w:r>
        <w:rPr>
          <w:b/>
        </w:rPr>
        <w:br/>
      </w:r>
    </w:p>
    <w:p w:rsidR="002F1390" w:rsidRDefault="00A75707">
      <w:pPr>
        <w:pStyle w:val="BodyText"/>
        <w:ind w:left="720" w:hanging="720"/>
      </w:pPr>
      <w:r>
        <w:rPr>
          <w:i/>
        </w:rPr>
        <w:t>4</w:t>
      </w:r>
      <w:r>
        <w:tab/>
      </w:r>
      <w:r>
        <w:tab/>
        <w:t xml:space="preserve">Pacific Power filed and served its Petition for Administrative Review sixty-four minutes after 3:00 p.m. on the date of the deadline.  As addressed above, doing so was the result of the Company’s interpretation of the effect of the Prehearing Conference Order and was consistent with all of the other filings by the Company following issuance of the Prehearing Conference Order.  At no point before filing its Motion to Reject Petition did the Walla Walla Country Club raise an issue with the timing of Pacific </w:t>
      </w:r>
      <w:r>
        <w:lastRenderedPageBreak/>
        <w:t>Power’s filings.</w:t>
      </w:r>
      <w:r>
        <w:rPr>
          <w:rStyle w:val="FootnoteReference"/>
        </w:rPr>
        <w:footnoteReference w:id="11"/>
      </w:r>
    </w:p>
    <w:p w:rsidR="002F1390" w:rsidRDefault="00A75707">
      <w:pPr>
        <w:pStyle w:val="BodyText"/>
        <w:ind w:left="720" w:hanging="720"/>
      </w:pPr>
      <w:r>
        <w:rPr>
          <w:i/>
        </w:rPr>
        <w:t>5</w:t>
      </w:r>
      <w:r>
        <w:rPr>
          <w:i/>
        </w:rPr>
        <w:tab/>
      </w:r>
      <w:r>
        <w:rPr>
          <w:i/>
        </w:rPr>
        <w:tab/>
      </w:r>
      <w:r>
        <w:t>The normal time for filing an answer to a petition for administrative review is ten days.  Loss of approximately one hour from that ten-day period does not amount to actual prejudice.  Further, Pacific Power has stated its willingness to stipulate to an extension beyond that set forth in the Commission’s Notice Establishing Response Dates.</w:t>
      </w:r>
      <w:r>
        <w:rPr>
          <w:rStyle w:val="FootnoteReference"/>
        </w:rPr>
        <w:footnoteReference w:id="12"/>
      </w:r>
      <w:r>
        <w:t xml:space="preserve">  With that stipulation, the Walla Walla Country Club would have well over thirty days from the filing of the Petition for Administrative Review to prepare its answer.  </w:t>
      </w:r>
    </w:p>
    <w:p w:rsidR="002F1390" w:rsidRDefault="00A75707">
      <w:pPr>
        <w:pStyle w:val="BodyText"/>
        <w:ind w:left="720" w:hanging="720"/>
      </w:pPr>
      <w:r>
        <w:rPr>
          <w:i/>
        </w:rPr>
        <w:t>6</w:t>
      </w:r>
      <w:r>
        <w:rPr>
          <w:i/>
        </w:rPr>
        <w:tab/>
      </w:r>
      <w:r>
        <w:rPr>
          <w:i/>
        </w:rPr>
        <w:tab/>
      </w:r>
      <w:r>
        <w:t xml:space="preserve">As set forth in WAC 480-07-825(2), the Commission may extend the time to file a petition for administrative review upon the showing of good cause.  Further, in accordance with WAC 480-07-110(1), the Commission may modify the application of procedural rules during a particular adjudication consistent with other adjudicative decisions.  </w:t>
      </w:r>
    </w:p>
    <w:p w:rsidR="002F1390" w:rsidRDefault="00A75707">
      <w:pPr>
        <w:pStyle w:val="BodyText"/>
        <w:ind w:left="720" w:hanging="720"/>
      </w:pPr>
      <w:r>
        <w:rPr>
          <w:i/>
        </w:rPr>
        <w:t>7</w:t>
      </w:r>
      <w:r>
        <w:rPr>
          <w:i/>
        </w:rPr>
        <w:tab/>
      </w:r>
      <w:r>
        <w:rPr>
          <w:i/>
        </w:rPr>
        <w:tab/>
      </w:r>
      <w:r>
        <w:t xml:space="preserve">Examples of other such adjudicative decisions include the Commission’s Order in </w:t>
      </w:r>
      <w:r>
        <w:rPr>
          <w:i/>
        </w:rPr>
        <w:t>United &amp; Informed Citizens Advocates Network v. Pacific Northwest Bell Telephone Company d/b/a U.S. WEST Communications, Inc.</w:t>
      </w:r>
      <w:r>
        <w:t xml:space="preserve">, No. UT-960659, 1998 WL 223223 (Wash. </w:t>
      </w:r>
      <w:proofErr w:type="spellStart"/>
      <w:r>
        <w:t>U.T.C</w:t>
      </w:r>
      <w:proofErr w:type="spellEnd"/>
      <w:r>
        <w:t xml:space="preserve">. Feb. 4, 1998) and </w:t>
      </w:r>
      <w:proofErr w:type="gramStart"/>
      <w:r>
        <w:t>its</w:t>
      </w:r>
      <w:proofErr w:type="gramEnd"/>
      <w:r>
        <w:t xml:space="preserve"> Order in </w:t>
      </w:r>
      <w:r>
        <w:rPr>
          <w:i/>
        </w:rPr>
        <w:t>Blessed Limousine, Inc.</w:t>
      </w:r>
      <w:r>
        <w:t xml:space="preserve">, No. </w:t>
      </w:r>
      <w:proofErr w:type="gramStart"/>
      <w:r>
        <w:t xml:space="preserve">TE-151667, (Wash. </w:t>
      </w:r>
      <w:proofErr w:type="spellStart"/>
      <w:r>
        <w:t>U.T.C</w:t>
      </w:r>
      <w:proofErr w:type="spellEnd"/>
      <w:r>
        <w:t>. Jan. 26, 2016) (final order).</w:t>
      </w:r>
      <w:proofErr w:type="gramEnd"/>
    </w:p>
    <w:p w:rsidR="002F1390" w:rsidRDefault="00A75707">
      <w:pPr>
        <w:pStyle w:val="BodyText"/>
        <w:ind w:left="720" w:hanging="720"/>
      </w:pPr>
      <w:r>
        <w:rPr>
          <w:i/>
        </w:rPr>
        <w:t>8</w:t>
      </w:r>
      <w:r>
        <w:rPr>
          <w:i/>
        </w:rPr>
        <w:tab/>
      </w:r>
      <w:r>
        <w:rPr>
          <w:i/>
        </w:rPr>
        <w:tab/>
      </w:r>
      <w:r>
        <w:t xml:space="preserve">In this proceeding, Pacific Power seeks administrative review of a number of findings and the ultimate decision in the Initial Order (Order 03).  Pacific Power’s Petition for Administrative Review is based, in part, upon the fact that the Initial Order would result in an unconstitutional regulatory taking of Pacific Power’s property.  The substantive issues presented in Pacific Power’s Petition are significant and should be </w:t>
      </w:r>
      <w:r>
        <w:lastRenderedPageBreak/>
        <w:t>addressed by the Commission before any resort to judicial review.</w:t>
      </w:r>
    </w:p>
    <w:p w:rsidR="002F1390" w:rsidRDefault="00A75707">
      <w:pPr>
        <w:pStyle w:val="SingleSpacing"/>
        <w:ind w:left="720"/>
        <w:rPr>
          <w:b/>
        </w:rPr>
      </w:pPr>
      <w:r>
        <w:rPr>
          <w:b/>
        </w:rPr>
        <w:t>III</w:t>
      </w:r>
      <w:proofErr w:type="gramStart"/>
      <w:r>
        <w:rPr>
          <w:b/>
        </w:rPr>
        <w:t>.  PACIFIC</w:t>
      </w:r>
      <w:proofErr w:type="gramEnd"/>
      <w:r>
        <w:rPr>
          <w:b/>
        </w:rPr>
        <w:t xml:space="preserve"> POWER SEPARATELY STATED EACH OF ITS CONTENTIONS AND ADDRESSED THOSE CONTENTIONS IN A CAREFULLY-ORGANIZED PETITION WITH A DETAILED TABLE OF CONTENTS.</w:t>
      </w:r>
    </w:p>
    <w:p w:rsidR="002F1390" w:rsidRDefault="002F1390">
      <w:pPr>
        <w:pStyle w:val="SingleSpacing"/>
        <w:ind w:left="720"/>
        <w:rPr>
          <w:b/>
        </w:rPr>
      </w:pPr>
    </w:p>
    <w:p w:rsidR="002F1390" w:rsidRDefault="00A75707">
      <w:pPr>
        <w:pStyle w:val="BodyText"/>
        <w:ind w:left="720" w:hanging="720"/>
      </w:pPr>
      <w:r>
        <w:rPr>
          <w:i/>
        </w:rPr>
        <w:t>9</w:t>
      </w:r>
      <w:r>
        <w:rPr>
          <w:i/>
        </w:rPr>
        <w:tab/>
      </w:r>
      <w:r>
        <w:rPr>
          <w:i/>
        </w:rPr>
        <w:tab/>
      </w:r>
      <w:r>
        <w:t>In accordance with WAC 480-07-395(4), the Commission liberally construes pleadings and motions with a view to effect justice among the parties.  At every stage of any proceeding, the Commission disregards errors or defects in pleadings, motions, or other documents that do not affect the substantial rights of the parties.</w:t>
      </w:r>
    </w:p>
    <w:p w:rsidR="002F1390" w:rsidRDefault="00A75707">
      <w:pPr>
        <w:pStyle w:val="BodyText"/>
        <w:ind w:left="720" w:hanging="720"/>
      </w:pPr>
      <w:r>
        <w:rPr>
          <w:i/>
        </w:rPr>
        <w:t>10</w:t>
      </w:r>
      <w:r>
        <w:rPr>
          <w:i/>
        </w:rPr>
        <w:tab/>
      </w:r>
      <w:r>
        <w:rPr>
          <w:i/>
        </w:rPr>
        <w:tab/>
      </w:r>
      <w:r>
        <w:t>Paragraph 5 of Pacific Power’s Petition for Administrative Review includes separate statements of each of Pacific Power’s contentions.  Further, although not required under WAC 480-07-825(3), Pacific Power submitted a detailed table of contents.</w:t>
      </w:r>
    </w:p>
    <w:p w:rsidR="002F1390" w:rsidRDefault="00A75707">
      <w:pPr>
        <w:pStyle w:val="BodyText"/>
        <w:ind w:left="720" w:hanging="720"/>
      </w:pPr>
      <w:r>
        <w:rPr>
          <w:i/>
        </w:rPr>
        <w:t>11</w:t>
      </w:r>
      <w:r>
        <w:rPr>
          <w:i/>
        </w:rPr>
        <w:tab/>
      </w:r>
      <w:r>
        <w:rPr>
          <w:i/>
        </w:rPr>
        <w:tab/>
      </w:r>
      <w:r>
        <w:t>Pacific Power believes that it fully complied with the provisions of WAC 480-07-825(3).  The Walla Walla Country Club argues that the separately stated contentions in paragraph 5 should be presented with numbers rather than bullet points.  Pacific Power is certainly prepared to submit an amended petition for administrative review, replacing the bullet points with numbers.</w:t>
      </w:r>
    </w:p>
    <w:p w:rsidR="002F1390" w:rsidRDefault="00A75707">
      <w:pPr>
        <w:pStyle w:val="BodyText"/>
        <w:ind w:left="720" w:hanging="720"/>
      </w:pPr>
      <w:r>
        <w:rPr>
          <w:i/>
        </w:rPr>
        <w:t>1</w:t>
      </w:r>
      <w:r w:rsidR="002D414E">
        <w:rPr>
          <w:i/>
        </w:rPr>
        <w:t>2</w:t>
      </w:r>
      <w:bookmarkStart w:id="9" w:name="_GoBack"/>
      <w:bookmarkEnd w:id="9"/>
      <w:r>
        <w:rPr>
          <w:i/>
        </w:rPr>
        <w:tab/>
      </w:r>
      <w:r>
        <w:rPr>
          <w:i/>
        </w:rPr>
        <w:tab/>
      </w:r>
      <w:r>
        <w:t xml:space="preserve">It appears that the Walla Walla Country Club’s presentation of its concern regarding Pacific Power’s pleading form is directed toward its request to extend the filing date for its answer.  By way of the Commission’s Notice Establishing Response Dates and Pacific Power’s Response to the Walla Walla Country Club’s Alternative Motion to Extend Filing Date For Answer, the Walla Walla Country Club would have well over thirty days from the filing of Pacific Power’s Petition for Administrative Review to prepare and file its answer, which is more time than Pacific Power had to prepare its </w:t>
      </w:r>
      <w:proofErr w:type="gramStart"/>
      <w:r>
        <w:lastRenderedPageBreak/>
        <w:t>petition</w:t>
      </w:r>
      <w:proofErr w:type="gramEnd"/>
      <w:r>
        <w:t>.  Accordingly, Pacific Power respectfully submits that the Walla Walla Country Club is in no way prejudiced by the form of Pacific Power’s Petition for Administrative Review.  Pacific Power urges liberal construction of its Petition for Administrative Review and requests that the Commission disregard any actual or perceived defect which does not affect the substantial rights of the Walla Walla Country Club.</w:t>
      </w:r>
    </w:p>
    <w:p w:rsidR="002F1390" w:rsidRDefault="00A75707">
      <w:pPr>
        <w:pStyle w:val="BodyText"/>
        <w:keepNext/>
        <w:keepLines/>
        <w:ind w:left="720"/>
      </w:pPr>
      <w:bookmarkStart w:id="10" w:name="SigBlock"/>
      <w:proofErr w:type="gramStart"/>
      <w:r>
        <w:t xml:space="preserve">Respectfully submitted this </w:t>
      </w:r>
      <w:bookmarkStart w:id="11" w:name="Date"/>
      <w:r w:rsidR="007F1D79">
        <w:t>18</w:t>
      </w:r>
      <w:r>
        <w:rPr>
          <w:vertAlign w:val="superscript"/>
        </w:rPr>
        <w:t>th</w:t>
      </w:r>
      <w:r>
        <w:t xml:space="preserve"> day of </w:t>
      </w:r>
      <w:bookmarkEnd w:id="11"/>
      <w:r>
        <w:rPr>
          <w:noProof/>
        </w:rPr>
        <w:t>February, 2016</w:t>
      </w:r>
      <w:r>
        <w:t>.</w:t>
      </w:r>
      <w:proofErr w:type="gramEnd"/>
    </w:p>
    <w:tbl>
      <w:tblPr>
        <w:tblStyle w:val="TableGrid"/>
        <w:tblW w:w="0" w:type="auto"/>
        <w:tblInd w:w="4068" w:type="dxa"/>
        <w:tblBorders>
          <w:top w:val="nil"/>
          <w:left w:val="nil"/>
          <w:bottom w:val="nil"/>
          <w:right w:val="nil"/>
          <w:insideH w:val="nil"/>
          <w:insideV w:val="nil"/>
        </w:tblBorders>
        <w:tblLook w:val="04A0" w:firstRow="1" w:lastRow="0" w:firstColumn="1" w:lastColumn="0" w:noHBand="0" w:noVBand="1"/>
      </w:tblPr>
      <w:tblGrid>
        <w:gridCol w:w="4968"/>
      </w:tblGrid>
      <w:tr w:rsidR="002F1390">
        <w:tc>
          <w:tcPr>
            <w:tcW w:w="4968" w:type="dxa"/>
          </w:tcPr>
          <w:p w:rsidR="002F1390" w:rsidRDefault="002F1390">
            <w:pPr>
              <w:pStyle w:val="BodyText"/>
              <w:keepNext/>
              <w:keepLines/>
              <w:spacing w:line="240" w:lineRule="auto"/>
              <w:ind w:firstLine="0"/>
            </w:pPr>
          </w:p>
          <w:p w:rsidR="002F1390" w:rsidRDefault="002F1390">
            <w:pPr>
              <w:pStyle w:val="BodyText"/>
              <w:keepNext/>
              <w:keepLines/>
              <w:spacing w:line="240" w:lineRule="auto"/>
              <w:ind w:firstLine="0"/>
            </w:pPr>
          </w:p>
          <w:p w:rsidR="002F1390" w:rsidRDefault="00A75707">
            <w:pPr>
              <w:pStyle w:val="BodyText"/>
              <w:keepNext/>
              <w:keepLines/>
              <w:spacing w:line="240" w:lineRule="auto"/>
              <w:ind w:firstLine="0"/>
            </w:pPr>
            <w:r>
              <w:t>By:</w:t>
            </w:r>
            <w:r>
              <w:tab/>
              <w:t>______________________________</w:t>
            </w:r>
          </w:p>
          <w:p w:rsidR="002F1390" w:rsidRDefault="00A75707">
            <w:pPr>
              <w:pStyle w:val="BodyText"/>
              <w:keepNext/>
              <w:keepLines/>
              <w:spacing w:line="240" w:lineRule="auto"/>
            </w:pPr>
            <w:r>
              <w:t xml:space="preserve">Troy Greenfield </w:t>
            </w:r>
          </w:p>
          <w:p w:rsidR="002F1390" w:rsidRDefault="00A75707">
            <w:pPr>
              <w:pStyle w:val="BodyText"/>
              <w:keepNext/>
              <w:keepLines/>
              <w:spacing w:line="240" w:lineRule="auto"/>
              <w:ind w:firstLine="0"/>
            </w:pPr>
            <w:r>
              <w:t>‎</w:t>
            </w:r>
            <w:r>
              <w:tab/>
            </w:r>
            <w:proofErr w:type="spellStart"/>
            <w:r>
              <w:t>Schwabe</w:t>
            </w:r>
            <w:proofErr w:type="spellEnd"/>
            <w:r>
              <w:t>, Williamson &amp; Wyatt, P.C.</w:t>
            </w:r>
          </w:p>
          <w:p w:rsidR="002F1390" w:rsidRDefault="00A75707">
            <w:pPr>
              <w:pStyle w:val="BodyText"/>
              <w:keepNext/>
              <w:keepLines/>
              <w:spacing w:line="240" w:lineRule="auto"/>
            </w:pPr>
            <w:r>
              <w:t>tgreenfield@schwabe.com</w:t>
            </w:r>
          </w:p>
          <w:p w:rsidR="002F1390" w:rsidRDefault="002F1390">
            <w:pPr>
              <w:pStyle w:val="BodyText"/>
              <w:keepNext/>
              <w:keepLines/>
              <w:spacing w:line="240" w:lineRule="auto"/>
              <w:rPr>
                <w:i/>
              </w:rPr>
            </w:pPr>
          </w:p>
          <w:p w:rsidR="002F1390" w:rsidRDefault="00A75707">
            <w:pPr>
              <w:pStyle w:val="BodyText"/>
              <w:keepNext/>
              <w:keepLines/>
              <w:spacing w:line="240" w:lineRule="auto"/>
              <w:ind w:left="720" w:firstLine="0"/>
            </w:pPr>
            <w:r>
              <w:t xml:space="preserve">Sarah </w:t>
            </w:r>
            <w:proofErr w:type="spellStart"/>
            <w:r>
              <w:t>Kamman</w:t>
            </w:r>
            <w:proofErr w:type="spellEnd"/>
            <w:r>
              <w:t xml:space="preserve"> Wallace</w:t>
            </w:r>
            <w:r>
              <w:br/>
              <w:t>Vice President and General Counsel</w:t>
            </w:r>
          </w:p>
          <w:p w:rsidR="002F1390" w:rsidRDefault="00A75707">
            <w:pPr>
              <w:pStyle w:val="BodyText"/>
              <w:keepNext/>
              <w:keepLines/>
              <w:spacing w:line="240" w:lineRule="auto"/>
              <w:ind w:left="720" w:firstLine="0"/>
            </w:pPr>
            <w:r>
              <w:t>Pacific Power &amp; Light Company</w:t>
            </w:r>
          </w:p>
          <w:p w:rsidR="002F1390" w:rsidRDefault="00A75707">
            <w:pPr>
              <w:pStyle w:val="BodyText"/>
              <w:keepNext/>
              <w:keepLines/>
              <w:spacing w:line="240" w:lineRule="auto"/>
              <w:ind w:left="720" w:firstLine="0"/>
            </w:pPr>
            <w:r>
              <w:t>Sarah.wallace@pacificorp.com</w:t>
            </w:r>
          </w:p>
          <w:p w:rsidR="002F1390" w:rsidRDefault="002F1390">
            <w:pPr>
              <w:pStyle w:val="BodyText"/>
              <w:keepNext/>
              <w:keepLines/>
              <w:spacing w:line="240" w:lineRule="auto"/>
              <w:rPr>
                <w:i/>
              </w:rPr>
            </w:pPr>
          </w:p>
          <w:p w:rsidR="002F1390" w:rsidRDefault="00A75707">
            <w:pPr>
              <w:pStyle w:val="BodyText"/>
              <w:keepNext/>
              <w:keepLines/>
              <w:spacing w:line="240" w:lineRule="auto"/>
            </w:pPr>
            <w:r>
              <w:rPr>
                <w:i/>
              </w:rPr>
              <w:t>Attorneys for Respondent</w:t>
            </w:r>
          </w:p>
        </w:tc>
      </w:tr>
      <w:bookmarkEnd w:id="10"/>
    </w:tbl>
    <w:p w:rsidR="002F1390" w:rsidRDefault="002F1390">
      <w:pPr>
        <w:spacing w:before="5" w:line="220" w:lineRule="exact"/>
        <w:ind w:left="720"/>
        <w:jc w:val="center"/>
      </w:pPr>
    </w:p>
    <w:sectPr w:rsidR="002F139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707" w:rsidRDefault="00A75707">
      <w:r>
        <w:separator/>
      </w:r>
    </w:p>
  </w:endnote>
  <w:endnote w:type="continuationSeparator" w:id="0">
    <w:p w:rsidR="00A75707" w:rsidRDefault="00A7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43" w:rsidRDefault="007F7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90" w:rsidRDefault="00A75707">
    <w:pPr>
      <w:pStyle w:val="Footer"/>
      <w:ind w:left="720"/>
      <w:rPr>
        <w:rStyle w:val="DocID"/>
        <w:sz w:val="24"/>
      </w:rPr>
    </w:pPr>
    <w:r>
      <w:rPr>
        <w:rStyle w:val="DocID"/>
        <w:sz w:val="24"/>
      </w:rPr>
      <w:t xml:space="preserve">UE-143932—Pacific Power’s Response to the Walla Walla Country Club’s </w:t>
    </w:r>
  </w:p>
  <w:p w:rsidR="002F1390" w:rsidRDefault="00A75707">
    <w:pPr>
      <w:pStyle w:val="Footer"/>
      <w:ind w:left="720"/>
      <w:rPr>
        <w:rStyle w:val="PageNumber"/>
      </w:rPr>
    </w:pPr>
    <w:r>
      <w:rPr>
        <w:rStyle w:val="DocID"/>
        <w:sz w:val="24"/>
      </w:rPr>
      <w:t>Motion to Reject Petition</w:t>
    </w:r>
    <w:r>
      <w:rPr>
        <w:rStyle w:val="DocID"/>
        <w:sz w:val="24"/>
      </w:rPr>
      <w:tab/>
    </w:r>
    <w:r>
      <w:rPr>
        <w:rStyle w:val="DocID"/>
        <w:sz w:val="24"/>
      </w:rPr>
      <w:tab/>
    </w:r>
    <w:r>
      <w:rPr>
        <w:rStyle w:val="DocID"/>
        <w:sz w:val="24"/>
      </w:rPr>
      <w:fldChar w:fldCharType="begin"/>
    </w:r>
    <w:r>
      <w:rPr>
        <w:rStyle w:val="DocID"/>
        <w:sz w:val="24"/>
      </w:rPr>
      <w:instrText xml:space="preserve"> PAGE   \* MERGEFORMAT </w:instrText>
    </w:r>
    <w:r>
      <w:rPr>
        <w:rStyle w:val="DocID"/>
        <w:sz w:val="24"/>
      </w:rPr>
      <w:fldChar w:fldCharType="separate"/>
    </w:r>
    <w:r w:rsidR="002D414E">
      <w:rPr>
        <w:rStyle w:val="DocID"/>
        <w:noProof/>
        <w:sz w:val="24"/>
      </w:rPr>
      <w:t>4</w:t>
    </w:r>
    <w:r>
      <w:rPr>
        <w:rStyle w:val="DocID"/>
        <w:noProof/>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43" w:rsidRDefault="007F7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707" w:rsidRDefault="00A75707">
      <w:r>
        <w:separator/>
      </w:r>
    </w:p>
  </w:footnote>
  <w:footnote w:type="continuationSeparator" w:id="0">
    <w:p w:rsidR="00A75707" w:rsidRDefault="00A75707">
      <w:r>
        <w:continuationSeparator/>
      </w:r>
    </w:p>
  </w:footnote>
  <w:footnote w:id="1">
    <w:p w:rsidR="002F1390" w:rsidRDefault="00A75707">
      <w:pPr>
        <w:pStyle w:val="FootnoteText"/>
        <w:spacing w:after="0"/>
        <w:ind w:left="720" w:firstLine="0"/>
        <w:rPr>
          <w:sz w:val="20"/>
        </w:rPr>
      </w:pPr>
      <w:r>
        <w:rPr>
          <w:rStyle w:val="FootnoteReference"/>
          <w:sz w:val="20"/>
        </w:rPr>
        <w:footnoteRef/>
      </w:r>
      <w:r>
        <w:rPr>
          <w:sz w:val="20"/>
        </w:rPr>
        <w:t xml:space="preserve"> </w:t>
      </w:r>
      <w:proofErr w:type="gramStart"/>
      <w:r>
        <w:rPr>
          <w:sz w:val="20"/>
        </w:rPr>
        <w:t>Declaration of R. Bryce Dalley, p. 1, ¶4.</w:t>
      </w:r>
      <w:proofErr w:type="gramEnd"/>
    </w:p>
  </w:footnote>
  <w:footnote w:id="2">
    <w:p w:rsidR="002F1390" w:rsidRDefault="00A75707">
      <w:pPr>
        <w:pStyle w:val="FootnoteText"/>
        <w:spacing w:after="0"/>
        <w:ind w:left="720" w:firstLine="0"/>
        <w:rPr>
          <w:i/>
          <w:sz w:val="20"/>
        </w:rPr>
      </w:pPr>
      <w:r>
        <w:rPr>
          <w:rStyle w:val="FootnoteReference"/>
          <w:sz w:val="20"/>
        </w:rPr>
        <w:footnoteRef/>
      </w:r>
      <w:r>
        <w:rPr>
          <w:sz w:val="20"/>
        </w:rPr>
        <w:t xml:space="preserve"> </w:t>
      </w:r>
      <w:r>
        <w:rPr>
          <w:i/>
          <w:sz w:val="20"/>
        </w:rPr>
        <w:t>Id.</w:t>
      </w:r>
    </w:p>
  </w:footnote>
  <w:footnote w:id="3">
    <w:p w:rsidR="002F1390" w:rsidRDefault="00A75707">
      <w:pPr>
        <w:pStyle w:val="FootnoteText"/>
        <w:spacing w:after="0"/>
        <w:ind w:left="720" w:firstLine="0"/>
        <w:rPr>
          <w:sz w:val="20"/>
        </w:rPr>
      </w:pPr>
      <w:r>
        <w:rPr>
          <w:rStyle w:val="FootnoteReference"/>
          <w:sz w:val="20"/>
        </w:rPr>
        <w:footnoteRef/>
      </w:r>
      <w:r>
        <w:rPr>
          <w:sz w:val="20"/>
        </w:rPr>
        <w:t xml:space="preserve"> </w:t>
      </w:r>
      <w:proofErr w:type="gramStart"/>
      <w:r>
        <w:rPr>
          <w:i/>
          <w:sz w:val="20"/>
        </w:rPr>
        <w:t xml:space="preserve">Id. at </w:t>
      </w:r>
      <w:r>
        <w:rPr>
          <w:sz w:val="20"/>
        </w:rPr>
        <w:t>¶ 5.</w:t>
      </w:r>
      <w:proofErr w:type="gramEnd"/>
    </w:p>
  </w:footnote>
  <w:footnote w:id="4">
    <w:p w:rsidR="002F1390" w:rsidRDefault="00A75707">
      <w:pPr>
        <w:pStyle w:val="FootnoteText"/>
        <w:spacing w:after="0"/>
        <w:ind w:left="720" w:firstLine="0"/>
        <w:rPr>
          <w:sz w:val="20"/>
        </w:rPr>
      </w:pPr>
      <w:r>
        <w:rPr>
          <w:rStyle w:val="FootnoteReference"/>
          <w:sz w:val="20"/>
        </w:rPr>
        <w:footnoteRef/>
      </w:r>
      <w:r>
        <w:rPr>
          <w:sz w:val="20"/>
        </w:rPr>
        <w:t xml:space="preserve"> </w:t>
      </w:r>
      <w:r>
        <w:rPr>
          <w:i/>
          <w:sz w:val="20"/>
        </w:rPr>
        <w:t>Id.</w:t>
      </w:r>
    </w:p>
  </w:footnote>
  <w:footnote w:id="5">
    <w:p w:rsidR="002F1390" w:rsidRDefault="00A75707">
      <w:pPr>
        <w:pStyle w:val="FootnoteText"/>
        <w:spacing w:after="0"/>
        <w:ind w:left="720" w:firstLine="0"/>
        <w:rPr>
          <w:sz w:val="20"/>
        </w:rPr>
      </w:pPr>
      <w:r>
        <w:rPr>
          <w:rStyle w:val="FootnoteReference"/>
          <w:sz w:val="20"/>
        </w:rPr>
        <w:footnoteRef/>
      </w:r>
      <w:r>
        <w:rPr>
          <w:sz w:val="20"/>
        </w:rPr>
        <w:t xml:space="preserve"> </w:t>
      </w:r>
      <w:proofErr w:type="gramStart"/>
      <w:r>
        <w:rPr>
          <w:i/>
          <w:sz w:val="20"/>
        </w:rPr>
        <w:t>Id.</w:t>
      </w:r>
      <w:r>
        <w:rPr>
          <w:sz w:val="20"/>
        </w:rPr>
        <w:t xml:space="preserve"> at ¶ 6.</w:t>
      </w:r>
      <w:proofErr w:type="gramEnd"/>
    </w:p>
  </w:footnote>
  <w:footnote w:id="6">
    <w:p w:rsidR="002F1390" w:rsidRDefault="00A75707">
      <w:pPr>
        <w:pStyle w:val="FootnoteText"/>
        <w:spacing w:after="0"/>
        <w:ind w:left="720" w:firstLine="0"/>
        <w:rPr>
          <w:sz w:val="20"/>
        </w:rPr>
      </w:pPr>
      <w:r>
        <w:rPr>
          <w:rStyle w:val="FootnoteReference"/>
          <w:sz w:val="20"/>
        </w:rPr>
        <w:footnoteRef/>
      </w:r>
      <w:r>
        <w:rPr>
          <w:sz w:val="20"/>
        </w:rPr>
        <w:t xml:space="preserve"> </w:t>
      </w:r>
      <w:proofErr w:type="gramStart"/>
      <w:r>
        <w:rPr>
          <w:i/>
          <w:sz w:val="20"/>
        </w:rPr>
        <w:t>Id.</w:t>
      </w:r>
      <w:r>
        <w:rPr>
          <w:sz w:val="20"/>
        </w:rPr>
        <w:t>, p. 2, ¶ 7.</w:t>
      </w:r>
      <w:proofErr w:type="gramEnd"/>
    </w:p>
  </w:footnote>
  <w:footnote w:id="7">
    <w:p w:rsidR="002F1390" w:rsidRDefault="00A75707">
      <w:pPr>
        <w:pStyle w:val="FootnoteText"/>
        <w:spacing w:after="0"/>
        <w:ind w:left="720" w:firstLine="0"/>
        <w:rPr>
          <w:sz w:val="20"/>
        </w:rPr>
      </w:pPr>
      <w:r>
        <w:rPr>
          <w:rStyle w:val="FootnoteReference"/>
          <w:sz w:val="20"/>
        </w:rPr>
        <w:footnoteRef/>
      </w:r>
      <w:r>
        <w:rPr>
          <w:sz w:val="20"/>
        </w:rPr>
        <w:t xml:space="preserve"> </w:t>
      </w:r>
      <w:proofErr w:type="gramStart"/>
      <w:r>
        <w:rPr>
          <w:i/>
          <w:sz w:val="20"/>
        </w:rPr>
        <w:t>Id.</w:t>
      </w:r>
      <w:r>
        <w:rPr>
          <w:sz w:val="20"/>
        </w:rPr>
        <w:t xml:space="preserve"> at ¶ 8.</w:t>
      </w:r>
      <w:proofErr w:type="gramEnd"/>
    </w:p>
  </w:footnote>
  <w:footnote w:id="8">
    <w:p w:rsidR="002F1390" w:rsidRDefault="00A75707">
      <w:pPr>
        <w:pStyle w:val="FootnoteText"/>
        <w:spacing w:after="0"/>
        <w:ind w:left="720" w:firstLine="0"/>
        <w:rPr>
          <w:sz w:val="20"/>
        </w:rPr>
      </w:pPr>
      <w:r>
        <w:rPr>
          <w:rStyle w:val="FootnoteReference"/>
          <w:sz w:val="20"/>
        </w:rPr>
        <w:footnoteRef/>
      </w:r>
      <w:r>
        <w:rPr>
          <w:sz w:val="20"/>
        </w:rPr>
        <w:t xml:space="preserve"> </w:t>
      </w:r>
      <w:r>
        <w:rPr>
          <w:i/>
          <w:sz w:val="20"/>
        </w:rPr>
        <w:t>Id.</w:t>
      </w:r>
      <w:r>
        <w:rPr>
          <w:sz w:val="20"/>
        </w:rPr>
        <w:t xml:space="preserve"> at ¶ 9</w:t>
      </w:r>
    </w:p>
  </w:footnote>
  <w:footnote w:id="9">
    <w:p w:rsidR="002F1390" w:rsidRDefault="00A75707">
      <w:pPr>
        <w:pStyle w:val="FootnoteText"/>
        <w:spacing w:after="0"/>
        <w:ind w:left="720" w:firstLine="0"/>
        <w:rPr>
          <w:sz w:val="20"/>
        </w:rPr>
      </w:pPr>
      <w:r>
        <w:rPr>
          <w:rStyle w:val="FootnoteReference"/>
          <w:sz w:val="20"/>
        </w:rPr>
        <w:footnoteRef/>
      </w:r>
      <w:r>
        <w:rPr>
          <w:sz w:val="20"/>
        </w:rPr>
        <w:t xml:space="preserve"> </w:t>
      </w:r>
      <w:proofErr w:type="gramStart"/>
      <w:r>
        <w:rPr>
          <w:i/>
          <w:sz w:val="20"/>
        </w:rPr>
        <w:t>Id.</w:t>
      </w:r>
      <w:r>
        <w:rPr>
          <w:sz w:val="20"/>
        </w:rPr>
        <w:t xml:space="preserve"> at ¶ 10.</w:t>
      </w:r>
      <w:proofErr w:type="gramEnd"/>
    </w:p>
  </w:footnote>
  <w:footnote w:id="10">
    <w:p w:rsidR="002F1390" w:rsidRDefault="00A75707">
      <w:pPr>
        <w:pStyle w:val="FootnoteText"/>
        <w:spacing w:after="0"/>
        <w:ind w:left="720" w:firstLine="0"/>
        <w:rPr>
          <w:sz w:val="20"/>
        </w:rPr>
      </w:pPr>
      <w:r>
        <w:rPr>
          <w:rStyle w:val="FootnoteReference"/>
          <w:sz w:val="20"/>
        </w:rPr>
        <w:footnoteRef/>
      </w:r>
      <w:r>
        <w:rPr>
          <w:sz w:val="20"/>
        </w:rPr>
        <w:t xml:space="preserve"> </w:t>
      </w:r>
      <w:proofErr w:type="gramStart"/>
      <w:r>
        <w:rPr>
          <w:i/>
          <w:sz w:val="20"/>
        </w:rPr>
        <w:t>Id.</w:t>
      </w:r>
      <w:r>
        <w:rPr>
          <w:sz w:val="20"/>
        </w:rPr>
        <w:t xml:space="preserve"> at ¶ 11.</w:t>
      </w:r>
      <w:proofErr w:type="gramEnd"/>
    </w:p>
  </w:footnote>
  <w:footnote w:id="11">
    <w:p w:rsidR="002F1390" w:rsidRDefault="00A75707">
      <w:pPr>
        <w:pStyle w:val="FootnoteText"/>
        <w:spacing w:after="0"/>
        <w:ind w:left="720" w:firstLine="0"/>
        <w:rPr>
          <w:sz w:val="20"/>
        </w:rPr>
      </w:pPr>
      <w:r>
        <w:rPr>
          <w:rStyle w:val="FootnoteReference"/>
          <w:sz w:val="20"/>
        </w:rPr>
        <w:footnoteRef/>
      </w:r>
      <w:r>
        <w:rPr>
          <w:sz w:val="20"/>
        </w:rPr>
        <w:t xml:space="preserve"> </w:t>
      </w:r>
      <w:proofErr w:type="gramStart"/>
      <w:r>
        <w:rPr>
          <w:i/>
          <w:sz w:val="20"/>
        </w:rPr>
        <w:t>Id.</w:t>
      </w:r>
      <w:r>
        <w:rPr>
          <w:sz w:val="20"/>
        </w:rPr>
        <w:t xml:space="preserve"> at ¶ 12.</w:t>
      </w:r>
      <w:proofErr w:type="gramEnd"/>
    </w:p>
  </w:footnote>
  <w:footnote w:id="12">
    <w:p w:rsidR="002F1390" w:rsidRDefault="00A75707">
      <w:pPr>
        <w:pStyle w:val="FootnoteText"/>
        <w:spacing w:after="0"/>
        <w:ind w:left="720" w:firstLine="0"/>
        <w:rPr>
          <w:sz w:val="20"/>
        </w:rPr>
      </w:pPr>
      <w:r>
        <w:rPr>
          <w:rStyle w:val="FootnoteReference"/>
          <w:sz w:val="20"/>
        </w:rPr>
        <w:footnoteRef/>
      </w:r>
      <w:r>
        <w:rPr>
          <w:sz w:val="20"/>
        </w:rPr>
        <w:t xml:space="preserve"> Pacific Power &amp; Light Company’s Response to the Walla Walla Country Club’s Alternative Motion to Extend Filing Date for Answer.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43" w:rsidRDefault="007F70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43" w:rsidRDefault="007F70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43" w:rsidRDefault="007F7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504C9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FAC01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684E6A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C008E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087238E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C60D7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8427E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C4BE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6289F6"/>
    <w:lvl w:ilvl="0">
      <w:start w:val="1"/>
      <w:numFmt w:val="decimal"/>
      <w:pStyle w:val="ListNumber"/>
      <w:lvlText w:val="%1."/>
      <w:lvlJc w:val="left"/>
      <w:pPr>
        <w:tabs>
          <w:tab w:val="num" w:pos="360"/>
        </w:tabs>
        <w:ind w:left="360" w:hanging="360"/>
      </w:pPr>
    </w:lvl>
  </w:abstractNum>
  <w:abstractNum w:abstractNumId="9">
    <w:nsid w:val="FFFFFF89"/>
    <w:multiLevelType w:val="singleLevel"/>
    <w:tmpl w:val="68609B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13A02CF4"/>
    <w:lvl w:ilvl="0">
      <w:start w:val="1"/>
      <w:numFmt w:val="upperRoman"/>
      <w:pStyle w:val="Heading1"/>
      <w:lvlText w:val="%1."/>
      <w:legacy w:legacy="1" w:legacySpace="0" w:legacyIndent="720"/>
      <w:lvlJc w:val="left"/>
      <w:pPr>
        <w:ind w:left="720" w:hanging="720"/>
      </w:pPr>
      <w:rPr>
        <w:b/>
        <w:u w:val="none"/>
      </w:rPr>
    </w:lvl>
    <w:lvl w:ilvl="1">
      <w:start w:val="1"/>
      <w:numFmt w:val="upperLetter"/>
      <w:pStyle w:val="Heading2"/>
      <w:lvlText w:val="%2."/>
      <w:legacy w:legacy="1" w:legacySpace="0" w:legacyIndent="720"/>
      <w:lvlJc w:val="left"/>
      <w:pPr>
        <w:ind w:left="1440" w:hanging="720"/>
      </w:pPr>
      <w:rPr>
        <w:b/>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90"/>
    <w:rsid w:val="00074F34"/>
    <w:rsid w:val="002D414E"/>
    <w:rsid w:val="002F1390"/>
    <w:rsid w:val="007F1D79"/>
    <w:rsid w:val="007F7043"/>
    <w:rsid w:val="00A75707"/>
    <w:rsid w:val="00B6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qFormat="1"/>
    <w:lsdException w:name="page number" w:uiPriority="99"/>
    <w:lsdException w:name="Title" w:qFormat="1"/>
    <w:lsdException w:name="Body Text"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widowControl w:val="0"/>
    </w:pPr>
    <w:rPr>
      <w:sz w:val="24"/>
    </w:rPr>
  </w:style>
  <w:style w:type="paragraph" w:styleId="Heading1">
    <w:name w:val="heading 1"/>
    <w:basedOn w:val="Normal"/>
    <w:next w:val="BodyText"/>
    <w:qFormat/>
    <w:pPr>
      <w:keepNext/>
      <w:keepLines/>
      <w:numPr>
        <w:numId w:val="1"/>
      </w:numPr>
      <w:spacing w:before="240"/>
      <w:ind w:right="720"/>
      <w:outlineLvl w:val="0"/>
    </w:pPr>
    <w:rPr>
      <w:b/>
      <w:u w:val="single"/>
    </w:rPr>
  </w:style>
  <w:style w:type="paragraph" w:styleId="Heading2">
    <w:name w:val="heading 2"/>
    <w:basedOn w:val="Normal"/>
    <w:next w:val="BodyText"/>
    <w:qFormat/>
    <w:pPr>
      <w:keepNext/>
      <w:keepLines/>
      <w:numPr>
        <w:ilvl w:val="1"/>
        <w:numId w:val="2"/>
      </w:numPr>
      <w:spacing w:before="240"/>
      <w:ind w:right="720"/>
      <w:outlineLvl w:val="1"/>
    </w:pPr>
    <w:rPr>
      <w:b/>
      <w:u w:val="single"/>
    </w:rPr>
  </w:style>
  <w:style w:type="paragraph" w:styleId="Heading3">
    <w:name w:val="heading 3"/>
    <w:basedOn w:val="Normal"/>
    <w:next w:val="BodyText"/>
    <w:qFormat/>
    <w:pPr>
      <w:keepNext/>
      <w:keepLines/>
      <w:numPr>
        <w:ilvl w:val="2"/>
        <w:numId w:val="3"/>
      </w:numPr>
      <w:spacing w:before="240"/>
      <w:ind w:right="720"/>
      <w:outlineLvl w:val="2"/>
    </w:pPr>
    <w:rPr>
      <w:u w:val="single"/>
    </w:rPr>
  </w:style>
  <w:style w:type="paragraph" w:styleId="Heading4">
    <w:name w:val="heading 4"/>
    <w:basedOn w:val="Normal"/>
    <w:next w:val="BodyText"/>
    <w:qFormat/>
    <w:pPr>
      <w:keepNext/>
      <w:keepLines/>
      <w:numPr>
        <w:ilvl w:val="3"/>
        <w:numId w:val="4"/>
      </w:numPr>
      <w:spacing w:before="240"/>
      <w:ind w:right="720"/>
      <w:outlineLvl w:val="3"/>
    </w:pPr>
    <w:rPr>
      <w:u w:val="single"/>
    </w:rPr>
  </w:style>
  <w:style w:type="paragraph" w:styleId="Heading5">
    <w:name w:val="heading 5"/>
    <w:basedOn w:val="Normal"/>
    <w:next w:val="BodyText"/>
    <w:qFormat/>
    <w:pPr>
      <w:keepNext/>
      <w:keepLines/>
      <w:numPr>
        <w:ilvl w:val="4"/>
        <w:numId w:val="5"/>
      </w:numPr>
      <w:spacing w:before="240"/>
      <w:ind w:right="720"/>
      <w:outlineLvl w:val="4"/>
    </w:pPr>
  </w:style>
  <w:style w:type="paragraph" w:styleId="Heading6">
    <w:name w:val="heading 6"/>
    <w:basedOn w:val="Normal"/>
    <w:next w:val="BodyText"/>
    <w:qFormat/>
    <w:pPr>
      <w:keepNext/>
      <w:keepLines/>
      <w:numPr>
        <w:ilvl w:val="5"/>
        <w:numId w:val="6"/>
      </w:numPr>
      <w:spacing w:before="240"/>
      <w:ind w:right="720"/>
      <w:outlineLvl w:val="5"/>
    </w:pPr>
  </w:style>
  <w:style w:type="paragraph" w:styleId="Heading7">
    <w:name w:val="heading 7"/>
    <w:basedOn w:val="Normal"/>
    <w:next w:val="BodyText"/>
    <w:qFormat/>
    <w:pPr>
      <w:keepNext/>
      <w:keepLines/>
      <w:numPr>
        <w:ilvl w:val="6"/>
        <w:numId w:val="7"/>
      </w:numPr>
      <w:spacing w:before="240"/>
      <w:ind w:right="720"/>
      <w:outlineLvl w:val="6"/>
    </w:pPr>
  </w:style>
  <w:style w:type="paragraph" w:styleId="Heading8">
    <w:name w:val="heading 8"/>
    <w:basedOn w:val="Normal"/>
    <w:next w:val="BodyText"/>
    <w:qFormat/>
    <w:pPr>
      <w:keepNext/>
      <w:keepLines/>
      <w:numPr>
        <w:ilvl w:val="7"/>
        <w:numId w:val="8"/>
      </w:numPr>
      <w:spacing w:before="240"/>
      <w:ind w:right="720"/>
      <w:outlineLvl w:val="7"/>
    </w:pPr>
  </w:style>
  <w:style w:type="paragraph" w:styleId="Heading9">
    <w:name w:val="heading 9"/>
    <w:basedOn w:val="Normal"/>
    <w:next w:val="BodyText"/>
    <w:qFormat/>
    <w:pPr>
      <w:keepNext/>
      <w:keepLines/>
      <w:numPr>
        <w:ilvl w:val="8"/>
        <w:numId w:val="9"/>
      </w:numPr>
      <w:spacing w:before="240"/>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line="480" w:lineRule="auto"/>
      <w:ind w:firstLine="720"/>
    </w:pPr>
  </w:style>
  <w:style w:type="paragraph" w:styleId="Header">
    <w:name w:val="header"/>
    <w:basedOn w:val="Normal"/>
    <w:pPr>
      <w:tabs>
        <w:tab w:val="center" w:pos="4320"/>
        <w:tab w:val="right" w:pos="9360"/>
      </w:tabs>
    </w:pPr>
  </w:style>
  <w:style w:type="paragraph" w:styleId="Footer">
    <w:name w:val="footer"/>
    <w:basedOn w:val="Normal"/>
    <w:link w:val="FooterChar"/>
    <w:uiPriority w:val="99"/>
    <w:qFormat/>
    <w:pPr>
      <w:tabs>
        <w:tab w:val="center" w:pos="4320"/>
        <w:tab w:val="right" w:pos="9360"/>
      </w:tabs>
    </w:pPr>
  </w:style>
  <w:style w:type="character" w:styleId="PageNumber">
    <w:name w:val="page number"/>
    <w:basedOn w:val="DefaultParagraphFont"/>
    <w:uiPriority w:val="99"/>
  </w:style>
  <w:style w:type="character" w:styleId="Emphasis">
    <w:name w:val="Emphasis"/>
    <w:basedOn w:val="DefaultParagraphFont"/>
    <w:rPr>
      <w:i/>
      <w:iCs/>
    </w:rPr>
  </w:style>
  <w:style w:type="paragraph" w:customStyle="1" w:styleId="AttyIndent">
    <w:name w:val="AttyIndent"/>
    <w:basedOn w:val="Normal"/>
    <w:pPr>
      <w:ind w:left="270"/>
    </w:pPr>
  </w:style>
  <w:style w:type="paragraph" w:customStyle="1" w:styleId="BodyTextContinued">
    <w:name w:val="Body Text Continued"/>
    <w:basedOn w:val="BodyText"/>
    <w:next w:val="BodyText"/>
    <w:pPr>
      <w:ind w:firstLine="0"/>
    </w:pPr>
  </w:style>
  <w:style w:type="paragraph" w:customStyle="1" w:styleId="Centered">
    <w:name w:val="Centered"/>
    <w:basedOn w:val="Normal"/>
    <w:next w:val="BodyText"/>
    <w:pPr>
      <w:spacing w:after="240"/>
      <w:jc w:val="center"/>
    </w:pPr>
  </w:style>
  <w:style w:type="paragraph" w:customStyle="1" w:styleId="DefaultCharacterFont">
    <w:name w:val="Default Character Font"/>
    <w:basedOn w:val="Normal"/>
  </w:style>
  <w:style w:type="character" w:styleId="EndnoteReference">
    <w:name w:val="endnote reference"/>
    <w:basedOn w:val="DefaultParagraphFont"/>
    <w:semiHidden/>
    <w:rPr>
      <w:vertAlign w:val="superscript"/>
    </w:r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120"/>
      <w:ind w:firstLine="720"/>
    </w:pPr>
  </w:style>
  <w:style w:type="paragraph" w:customStyle="1" w:styleId="HeaderNumbers">
    <w:name w:val="HeaderNumbers"/>
    <w:basedOn w:val="Normal"/>
    <w:pPr>
      <w:widowControl/>
      <w:spacing w:line="480" w:lineRule="exact"/>
      <w:jc w:val="right"/>
    </w:pPr>
  </w:style>
  <w:style w:type="paragraph" w:styleId="Index1">
    <w:name w:val="index 1"/>
    <w:basedOn w:val="Normal"/>
    <w:next w:val="Normal"/>
    <w:autoRedefine/>
    <w:semiHidden/>
    <w:pPr>
      <w:tabs>
        <w:tab w:val="right" w:leader="dot" w:pos="9000"/>
      </w:tabs>
      <w:ind w:left="240" w:hanging="240"/>
    </w:pPr>
  </w:style>
  <w:style w:type="paragraph" w:styleId="NormalIndent">
    <w:name w:val="Normal Indent"/>
    <w:basedOn w:val="Normal"/>
    <w:pPr>
      <w:ind w:left="720" w:right="720"/>
    </w:pPr>
  </w:style>
  <w:style w:type="paragraph" w:styleId="Quote">
    <w:name w:val="Quote"/>
    <w:basedOn w:val="Normal"/>
    <w:next w:val="BodyTextContinued"/>
    <w:qFormat/>
    <w:pPr>
      <w:widowControl/>
      <w:spacing w:before="240"/>
      <w:ind w:left="1440" w:right="1440"/>
    </w:pPr>
  </w:style>
  <w:style w:type="paragraph" w:styleId="TableofAuthorities">
    <w:name w:val="table of authorities"/>
    <w:basedOn w:val="Normal"/>
    <w:next w:val="Normal"/>
    <w:semiHidden/>
    <w:pPr>
      <w:tabs>
        <w:tab w:val="right" w:leader="dot" w:pos="9216"/>
      </w:tabs>
      <w:spacing w:after="120"/>
      <w:ind w:left="360" w:right="1440" w:hanging="360"/>
    </w:pPr>
  </w:style>
  <w:style w:type="paragraph" w:styleId="Title">
    <w:name w:val="Title"/>
    <w:basedOn w:val="Normal"/>
    <w:qFormat/>
    <w:pPr>
      <w:spacing w:line="480" w:lineRule="exact"/>
      <w:jc w:val="center"/>
    </w:pPr>
    <w:rPr>
      <w:rFonts w:ascii="Times New Roman Bold" w:hAnsi="Times New Roman Bold"/>
      <w:b/>
      <w:szCs w:val="24"/>
      <w:u w:val="single"/>
    </w:rPr>
  </w:style>
  <w:style w:type="paragraph" w:styleId="TOAHeading">
    <w:name w:val="toa heading"/>
    <w:basedOn w:val="Normal"/>
    <w:next w:val="TableofAuthorities"/>
    <w:semiHidden/>
    <w:pPr>
      <w:keepNext/>
      <w:spacing w:before="480" w:after="120"/>
    </w:pPr>
    <w:rPr>
      <w:b/>
      <w:caps/>
      <w:u w:val="single"/>
    </w:rPr>
  </w:style>
  <w:style w:type="paragraph" w:styleId="TOC1">
    <w:name w:val="toc 1"/>
    <w:basedOn w:val="Normal"/>
    <w:next w:val="Normal"/>
    <w:autoRedefine/>
    <w:uiPriority w:val="39"/>
    <w:unhideWhenUsed/>
    <w:pPr>
      <w:widowControl/>
      <w:tabs>
        <w:tab w:val="left" w:pos="720"/>
        <w:tab w:val="right" w:leader="dot" w:pos="9350"/>
      </w:tabs>
      <w:spacing w:after="240"/>
      <w:ind w:left="720" w:right="720" w:hanging="720"/>
    </w:pPr>
    <w:rPr>
      <w:rFonts w:eastAsiaTheme="minorHAnsi" w:cstheme="minorBidi"/>
      <w:noProof/>
      <w:szCs w:val="24"/>
    </w:rPr>
  </w:style>
  <w:style w:type="paragraph" w:customStyle="1" w:styleId="FooterSmallPrint">
    <w:name w:val="FooterSmallPrint"/>
    <w:basedOn w:val="Normal"/>
    <w:next w:val="Normal"/>
    <w:pPr>
      <w:widowControl/>
    </w:pPr>
    <w:rPr>
      <w:sz w:val="16"/>
    </w:rPr>
  </w:style>
  <w:style w:type="character" w:customStyle="1" w:styleId="Plaintiff">
    <w:name w:val="Plaintiff"/>
    <w:basedOn w:val="DefaultParagraphFont"/>
  </w:style>
  <w:style w:type="paragraph" w:customStyle="1" w:styleId="FirmName">
    <w:name w:val="Firm Name"/>
    <w:basedOn w:val="Normal"/>
    <w:rPr>
      <w:caps/>
      <w:szCs w:val="24"/>
    </w:rPr>
  </w:style>
  <w:style w:type="paragraph" w:customStyle="1" w:styleId="FirmAddressFooter">
    <w:name w:val="FirmAddressFooter"/>
    <w:pPr>
      <w:spacing w:line="120" w:lineRule="exact"/>
      <w:jc w:val="center"/>
    </w:pPr>
    <w:rPr>
      <w:rFonts w:ascii="Arial" w:hAnsi="Arial"/>
      <w:noProof/>
      <w:sz w:val="12"/>
    </w:rPr>
  </w:style>
  <w:style w:type="paragraph" w:customStyle="1" w:styleId="FirmNameFooter">
    <w:name w:val="FirmNameFooter"/>
    <w:next w:val="FirmAddressFooter"/>
    <w:pPr>
      <w:spacing w:line="120" w:lineRule="exact"/>
      <w:jc w:val="center"/>
    </w:pPr>
    <w:rPr>
      <w:rFonts w:ascii="Arial" w:hAnsi="Arial"/>
      <w:caps/>
      <w:noProof/>
      <w:sz w:val="12"/>
    </w:rPr>
  </w:style>
  <w:style w:type="paragraph" w:customStyle="1" w:styleId="Parties">
    <w:name w:val="Parties"/>
    <w:basedOn w:val="Normal"/>
    <w:pPr>
      <w:widowControl/>
    </w:pPr>
  </w:style>
  <w:style w:type="paragraph" w:customStyle="1" w:styleId="PartyType">
    <w:name w:val="Party Type"/>
    <w:basedOn w:val="Normal"/>
    <w:pPr>
      <w:widowControl/>
      <w:ind w:left="1800"/>
    </w:pPr>
  </w:style>
  <w:style w:type="paragraph" w:customStyle="1" w:styleId="versus">
    <w:name w:val="versus"/>
    <w:basedOn w:val="Normal"/>
    <w:pPr>
      <w:widowControl/>
      <w:ind w:left="720"/>
    </w:pPr>
  </w:style>
  <w:style w:type="paragraph" w:customStyle="1" w:styleId="PleadingTitleCentered">
    <w:name w:val="Pleading Title Centered"/>
    <w:basedOn w:val="Normal"/>
    <w:pPr>
      <w:widowControl/>
      <w:spacing w:after="240"/>
      <w:jc w:val="center"/>
    </w:pPr>
    <w:rPr>
      <w:bCs/>
      <w:caps/>
      <w:szCs w:val="24"/>
    </w:rPr>
  </w:style>
  <w:style w:type="paragraph" w:customStyle="1" w:styleId="border">
    <w:name w:val="border"/>
    <w:basedOn w:val="Normal"/>
    <w:pPr>
      <w:jc w:val="center"/>
    </w:pPr>
    <w:rPr>
      <w:b/>
      <w:bCs/>
      <w:szCs w:val="24"/>
    </w:rPr>
  </w:style>
  <w:style w:type="paragraph" w:customStyle="1" w:styleId="PleadingTitle">
    <w:name w:val="Pleading Title"/>
    <w:basedOn w:val="Normal"/>
    <w:pPr>
      <w:widowControl/>
      <w:ind w:left="202"/>
    </w:pPr>
    <w:rPr>
      <w:bCs/>
      <w:caps/>
      <w:szCs w:val="24"/>
    </w:rPr>
  </w:style>
  <w:style w:type="paragraph" w:customStyle="1" w:styleId="PLDCaption2">
    <w:name w:val="PLD Caption2"/>
    <w:basedOn w:val="Normal"/>
    <w:pPr>
      <w:widowControl/>
      <w:ind w:left="202"/>
    </w:pPr>
    <w:rPr>
      <w:szCs w:val="24"/>
    </w:rPr>
  </w:style>
  <w:style w:type="table" w:styleId="TableGrid">
    <w:name w:val="Table Grid"/>
    <w:basedOn w:val="TableNormal"/>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DHearing">
    <w:name w:val="PLD Hearing"/>
    <w:basedOn w:val="Normal"/>
    <w:pPr>
      <w:spacing w:after="240"/>
      <w:jc w:val="center"/>
    </w:pPr>
    <w:rPr>
      <w:u w:val="single"/>
    </w:rPr>
  </w:style>
  <w:style w:type="paragraph" w:customStyle="1" w:styleId="PLDAppeal">
    <w:name w:val="PLD Appeal"/>
    <w:basedOn w:val="Normal"/>
    <w:pPr>
      <w:spacing w:after="240"/>
      <w:jc w:val="center"/>
    </w:pPr>
  </w:style>
  <w:style w:type="paragraph" w:customStyle="1" w:styleId="SingleSpacing">
    <w:name w:val="Single Spacing"/>
    <w:basedOn w:val="Normal"/>
    <w:pPr>
      <w:widowControl/>
    </w:pPr>
    <w:rPr>
      <w:szCs w:val="24"/>
    </w:rPr>
  </w:style>
  <w:style w:type="paragraph" w:customStyle="1" w:styleId="PLDAttorneys">
    <w:name w:val="PLD Attorneys"/>
    <w:basedOn w:val="Normal"/>
    <w:pPr>
      <w:spacing w:after="240"/>
      <w:ind w:left="720"/>
    </w:pPr>
  </w:style>
  <w:style w:type="paragraph" w:customStyle="1" w:styleId="CourtName">
    <w:name w:val="Court Name"/>
    <w:basedOn w:val="Normal"/>
    <w:pPr>
      <w:widowControl/>
      <w:jc w:val="center"/>
    </w:pPr>
    <w:rPr>
      <w:caps/>
      <w:szCs w:val="24"/>
    </w:rPr>
  </w:style>
  <w:style w:type="paragraph" w:customStyle="1" w:styleId="CoverOfficeAddress">
    <w:name w:val="Cover Office Address"/>
    <w:basedOn w:val="Normal"/>
    <w:pPr>
      <w:widowControl/>
    </w:pPr>
    <w:rPr>
      <w:rFonts w:eastAsiaTheme="minorHAnsi" w:cstheme="minorBidi"/>
      <w:szCs w:val="22"/>
    </w:rPr>
  </w:style>
  <w:style w:type="paragraph" w:customStyle="1" w:styleId="PleadingSummary">
    <w:name w:val="PleadingSummary"/>
    <w:basedOn w:val="Normal"/>
    <w:rPr>
      <w:caps/>
    </w:rPr>
  </w:style>
  <w:style w:type="character" w:customStyle="1" w:styleId="DocID">
    <w:name w:val="DocID"/>
    <w:basedOn w:val="DefaultParagraphFont"/>
    <w:uiPriority w:val="1"/>
    <w:rPr>
      <w:sz w:val="16"/>
    </w:rPr>
  </w:style>
  <w:style w:type="paragraph" w:customStyle="1" w:styleId="Quote5">
    <w:name w:val="Quote .5"/>
    <w:basedOn w:val="Normal"/>
    <w:pPr>
      <w:ind w:left="720"/>
    </w:pPr>
  </w:style>
  <w:style w:type="paragraph" w:customStyle="1" w:styleId="CoverAttorneyName">
    <w:name w:val="Cover Attorney Name"/>
    <w:basedOn w:val="Normal"/>
    <w:pPr>
      <w:widowControl/>
    </w:pPr>
  </w:style>
  <w:style w:type="paragraph" w:customStyle="1" w:styleId="To">
    <w:name w:val="To"/>
    <w:basedOn w:val="Normal"/>
    <w:next w:val="Normal"/>
    <w:pPr>
      <w:widowControl/>
      <w:spacing w:before="200" w:after="320"/>
      <w:ind w:left="288"/>
    </w:pPr>
    <w:rPr>
      <w:b/>
      <w:caps/>
      <w:sz w:val="22"/>
      <w:szCs w:val="22"/>
    </w:rPr>
  </w:style>
  <w:style w:type="paragraph" w:customStyle="1" w:styleId="AuthorNameLetterhead">
    <w:name w:val="AuthorNameLetterhead"/>
    <w:basedOn w:val="Normal"/>
    <w:pPr>
      <w:widowControl/>
      <w:spacing w:before="40"/>
      <w:jc w:val="right"/>
    </w:pPr>
    <w:rPr>
      <w:rFonts w:ascii="Arial" w:hAnsi="Arial"/>
      <w:smallCaps/>
      <w:sz w:val="16"/>
    </w:rPr>
  </w:style>
  <w:style w:type="paragraph" w:customStyle="1" w:styleId="Address">
    <w:name w:val="Address"/>
    <w:basedOn w:val="Normal"/>
    <w:pPr>
      <w:widowControl/>
      <w:ind w:left="720"/>
    </w:pPr>
    <w:rPr>
      <w:szCs w:val="24"/>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exact"/>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line="240" w:lineRule="exact"/>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exact"/>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semiHidden/>
    <w:rPr>
      <w:sz w:val="20"/>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0"/>
      </w:numPr>
    </w:pPr>
  </w:style>
  <w:style w:type="paragraph" w:styleId="ListBullet2">
    <w:name w:val="List Bullet 2"/>
    <w:basedOn w:val="Normal"/>
    <w:pPr>
      <w:numPr>
        <w:numId w:val="11"/>
      </w:numPr>
    </w:pPr>
  </w:style>
  <w:style w:type="paragraph" w:styleId="ListBullet3">
    <w:name w:val="List Bullet 3"/>
    <w:basedOn w:val="Normal"/>
    <w:pPr>
      <w:numPr>
        <w:numId w:val="12"/>
      </w:numPr>
    </w:pPr>
  </w:style>
  <w:style w:type="paragraph" w:styleId="ListBullet4">
    <w:name w:val="List Bullet 4"/>
    <w:basedOn w:val="Normal"/>
    <w:pPr>
      <w:numPr>
        <w:numId w:val="13"/>
      </w:numPr>
    </w:pPr>
  </w:style>
  <w:style w:type="paragraph" w:styleId="ListBullet5">
    <w:name w:val="List Bullet 5"/>
    <w:basedOn w:val="Normal"/>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style>
  <w:style w:type="paragraph" w:styleId="TOC2">
    <w:name w:val="toc 2"/>
    <w:basedOn w:val="Normal"/>
    <w:next w:val="Normal"/>
    <w:autoRedefine/>
    <w:uiPriority w:val="39"/>
    <w:unhideWhenUsed/>
    <w:pPr>
      <w:widowControl/>
      <w:tabs>
        <w:tab w:val="left" w:pos="1440"/>
        <w:tab w:val="right" w:leader="dot" w:pos="9350"/>
      </w:tabs>
      <w:spacing w:after="240"/>
      <w:ind w:left="1440" w:right="720" w:hanging="720"/>
    </w:pPr>
    <w:rPr>
      <w:rFonts w:eastAsiaTheme="minorHAnsi" w:cstheme="minorBidi"/>
      <w:noProof/>
      <w:szCs w:val="24"/>
    </w:rPr>
  </w:style>
  <w:style w:type="paragraph" w:styleId="TOC3">
    <w:name w:val="toc 3"/>
    <w:basedOn w:val="Normal"/>
    <w:next w:val="Normal"/>
    <w:autoRedefine/>
    <w:uiPriority w:val="39"/>
    <w:unhideWhenUsed/>
    <w:pPr>
      <w:widowControl/>
      <w:tabs>
        <w:tab w:val="left" w:pos="2160"/>
        <w:tab w:val="right" w:leader="dot" w:pos="9350"/>
      </w:tabs>
      <w:spacing w:after="240"/>
      <w:ind w:left="2160" w:right="720" w:hanging="720"/>
    </w:pPr>
    <w:rPr>
      <w:rFonts w:eastAsiaTheme="minorHAnsi" w:cstheme="minorBidi"/>
      <w:noProof/>
      <w:szCs w:val="24"/>
    </w:rPr>
  </w:style>
  <w:style w:type="paragraph" w:styleId="TOC4">
    <w:name w:val="toc 4"/>
    <w:basedOn w:val="Normal"/>
    <w:next w:val="Normal"/>
    <w:autoRedefine/>
    <w:uiPriority w:val="39"/>
    <w:unhideWhenUsed/>
    <w:pPr>
      <w:widowControl/>
      <w:tabs>
        <w:tab w:val="left" w:pos="2880"/>
        <w:tab w:val="right" w:leader="dot" w:pos="9350"/>
      </w:tabs>
      <w:spacing w:after="240"/>
      <w:ind w:left="2880" w:right="720" w:hanging="720"/>
    </w:pPr>
    <w:rPr>
      <w:rFonts w:eastAsiaTheme="minorHAnsi" w:cstheme="minorBidi"/>
      <w:noProof/>
      <w:szCs w:val="24"/>
    </w:rPr>
  </w:style>
  <w:style w:type="paragraph" w:styleId="TOC5">
    <w:name w:val="toc 5"/>
    <w:basedOn w:val="Normal"/>
    <w:next w:val="Normal"/>
    <w:autoRedefine/>
    <w:uiPriority w:val="39"/>
    <w:unhideWhenUsed/>
    <w:pPr>
      <w:widowControl/>
      <w:tabs>
        <w:tab w:val="left" w:pos="3600"/>
        <w:tab w:val="right" w:leader="dot" w:pos="9350"/>
      </w:tabs>
      <w:spacing w:after="240"/>
      <w:ind w:left="3600" w:right="720" w:hanging="720"/>
    </w:pPr>
    <w:rPr>
      <w:rFonts w:eastAsiaTheme="minorHAnsi" w:cstheme="minorBidi"/>
      <w:noProof/>
      <w:szCs w:val="24"/>
    </w:rPr>
  </w:style>
  <w:style w:type="paragraph" w:styleId="TOC6">
    <w:name w:val="toc 6"/>
    <w:basedOn w:val="Normal"/>
    <w:next w:val="Normal"/>
    <w:autoRedefine/>
    <w:uiPriority w:val="39"/>
    <w:unhideWhenUsed/>
    <w:pPr>
      <w:widowControl/>
      <w:tabs>
        <w:tab w:val="left" w:pos="4320"/>
        <w:tab w:val="right" w:leader="dot" w:pos="9350"/>
      </w:tabs>
      <w:spacing w:after="240"/>
      <w:ind w:left="4320" w:right="720" w:hanging="720"/>
    </w:pPr>
    <w:rPr>
      <w:rFonts w:eastAsiaTheme="minorHAnsi" w:cstheme="minorBidi"/>
      <w:noProof/>
      <w:szCs w:val="24"/>
    </w:rPr>
  </w:style>
  <w:style w:type="paragraph" w:styleId="TOC7">
    <w:name w:val="toc 7"/>
    <w:basedOn w:val="Normal"/>
    <w:next w:val="Normal"/>
    <w:autoRedefine/>
    <w:uiPriority w:val="39"/>
    <w:unhideWhenUsed/>
    <w:pPr>
      <w:widowControl/>
      <w:tabs>
        <w:tab w:val="left" w:pos="5040"/>
        <w:tab w:val="right" w:leader="dot" w:pos="9350"/>
      </w:tabs>
      <w:spacing w:after="240"/>
      <w:ind w:left="5040" w:right="720" w:hanging="720"/>
    </w:pPr>
    <w:rPr>
      <w:rFonts w:eastAsiaTheme="minorHAnsi" w:cstheme="minorBidi"/>
      <w:noProof/>
      <w:szCs w:val="24"/>
    </w:rPr>
  </w:style>
  <w:style w:type="paragraph" w:styleId="TOC8">
    <w:name w:val="toc 8"/>
    <w:basedOn w:val="Normal"/>
    <w:next w:val="Normal"/>
    <w:autoRedefine/>
    <w:uiPriority w:val="39"/>
    <w:unhideWhenUsed/>
    <w:pPr>
      <w:widowControl/>
      <w:tabs>
        <w:tab w:val="left" w:pos="5760"/>
        <w:tab w:val="right" w:leader="dot" w:pos="9350"/>
      </w:tabs>
      <w:spacing w:after="240"/>
      <w:ind w:left="5760" w:right="720" w:hanging="720"/>
    </w:pPr>
    <w:rPr>
      <w:rFonts w:eastAsiaTheme="minorHAnsi" w:cstheme="minorBidi"/>
      <w:noProof/>
      <w:szCs w:val="24"/>
    </w:rPr>
  </w:style>
  <w:style w:type="paragraph" w:styleId="TOC9">
    <w:name w:val="toc 9"/>
    <w:basedOn w:val="Normal"/>
    <w:next w:val="Normal"/>
    <w:autoRedefine/>
    <w:uiPriority w:val="39"/>
    <w:unhideWhenUsed/>
    <w:pPr>
      <w:widowControl/>
      <w:tabs>
        <w:tab w:val="left" w:pos="6480"/>
        <w:tab w:val="right" w:leader="dot" w:pos="9350"/>
      </w:tabs>
      <w:spacing w:after="240"/>
      <w:ind w:left="6480" w:right="720" w:hanging="720"/>
    </w:pPr>
    <w:rPr>
      <w:rFonts w:eastAsiaTheme="minorHAnsi" w:cstheme="minorBidi"/>
      <w:noProof/>
      <w:szCs w:val="24"/>
    </w:rPr>
  </w:style>
  <w:style w:type="paragraph" w:customStyle="1" w:styleId="SigByLine">
    <w:name w:val="Sig By Line"/>
    <w:basedOn w:val="Normal"/>
    <w:next w:val="Normal"/>
    <w:pPr>
      <w:keepNext/>
      <w:keepLines/>
      <w:widowControl/>
      <w:tabs>
        <w:tab w:val="left" w:pos="5040"/>
        <w:tab w:val="left" w:pos="8640"/>
      </w:tabs>
      <w:spacing w:before="720"/>
      <w:ind w:left="4320"/>
    </w:pPr>
    <w:rPr>
      <w:rFonts w:eastAsiaTheme="minorHAnsi" w:cstheme="minorBidi"/>
      <w:szCs w:val="24"/>
    </w:rPr>
  </w:style>
  <w:style w:type="paragraph" w:customStyle="1" w:styleId="SigFirmName">
    <w:name w:val="Sig Firm Name"/>
    <w:basedOn w:val="Normal"/>
    <w:pPr>
      <w:keepNext/>
      <w:keepLines/>
      <w:widowControl/>
      <w:ind w:left="5040"/>
    </w:pPr>
    <w:rPr>
      <w:rFonts w:eastAsiaTheme="minorHAnsi" w:cstheme="minorBidi"/>
      <w:caps/>
      <w:szCs w:val="24"/>
    </w:rPr>
  </w:style>
  <w:style w:type="paragraph" w:customStyle="1" w:styleId="SigAttorneyName">
    <w:name w:val="Sig Attorney Name"/>
    <w:basedOn w:val="Normal"/>
    <w:pPr>
      <w:keepNext/>
      <w:keepLines/>
      <w:widowControl/>
      <w:ind w:left="5040"/>
    </w:pPr>
    <w:rPr>
      <w:rFonts w:eastAsiaTheme="minorHAnsi" w:cstheme="minorBidi"/>
      <w:szCs w:val="24"/>
    </w:rPr>
  </w:style>
  <w:style w:type="paragraph" w:customStyle="1" w:styleId="SigAttorneysFor">
    <w:name w:val="Sig Attorneys For"/>
    <w:basedOn w:val="Normal"/>
    <w:pPr>
      <w:keepNext/>
      <w:keepLines/>
      <w:widowControl/>
      <w:ind w:left="5040"/>
    </w:pPr>
    <w:rPr>
      <w:rFonts w:eastAsiaTheme="minorHAnsi" w:cstheme="minorBidi"/>
      <w:szCs w:val="24"/>
    </w:rPr>
  </w:style>
  <w:style w:type="paragraph" w:customStyle="1" w:styleId="SigOfficeAddress">
    <w:name w:val="Sig Office Address"/>
    <w:basedOn w:val="Normal"/>
    <w:pPr>
      <w:keepLines/>
      <w:widowControl/>
      <w:ind w:left="5040"/>
    </w:pPr>
    <w:rPr>
      <w:szCs w:val="24"/>
    </w:rPr>
  </w:style>
  <w:style w:type="paragraph" w:customStyle="1" w:styleId="CoverFirmName">
    <w:name w:val="Cover Firm Name"/>
    <w:basedOn w:val="Normal"/>
    <w:pPr>
      <w:widowControl/>
    </w:pPr>
    <w:rPr>
      <w:rFonts w:eastAsiaTheme="minorHAnsi"/>
      <w:szCs w:val="22"/>
    </w:rPr>
  </w:style>
  <w:style w:type="paragraph" w:customStyle="1" w:styleId="CoverAttorneysFor">
    <w:name w:val="Cover Attorneys For"/>
    <w:basedOn w:val="Normal"/>
    <w:pPr>
      <w:widowControl/>
      <w:ind w:left="720"/>
    </w:pPr>
    <w:rPr>
      <w:rFonts w:eastAsiaTheme="minorHAnsi"/>
      <w:szCs w:val="22"/>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widowControl w:val="0"/>
      <w:spacing w:line="240" w:lineRule="exact"/>
    </w:pPr>
    <w:rPr>
      <w:sz w:val="24"/>
    </w:rPr>
  </w:style>
  <w:style w:type="paragraph" w:styleId="TOCHeading">
    <w:name w:val="TOC Heading"/>
    <w:basedOn w:val="Normal"/>
    <w:unhideWhenUsed/>
    <w:qFormat/>
    <w:pPr>
      <w:widowControl/>
      <w:spacing w:after="240"/>
      <w:jc w:val="center"/>
    </w:pPr>
    <w:rPr>
      <w:rFonts w:eastAsiaTheme="minorHAnsi" w:cstheme="minorBidi"/>
      <w:b/>
      <w:szCs w:val="24"/>
    </w:rPr>
  </w:style>
  <w:style w:type="paragraph" w:customStyle="1" w:styleId="CertificateSignature">
    <w:name w:val="Certificate Signature"/>
    <w:basedOn w:val="Normal"/>
    <w:pPr>
      <w:keepNext/>
      <w:widowControl/>
      <w:tabs>
        <w:tab w:val="left" w:pos="8640"/>
      </w:tabs>
      <w:spacing w:before="720"/>
      <w:ind w:left="4320"/>
      <w:contextualSpacing/>
    </w:pPr>
    <w:rPr>
      <w:szCs w:val="24"/>
    </w:rPr>
  </w:style>
  <w:style w:type="paragraph" w:customStyle="1" w:styleId="TOCPage">
    <w:name w:val="TOC Page"/>
    <w:basedOn w:val="Normal"/>
    <w:semiHidden/>
    <w:pPr>
      <w:widowControl/>
      <w:spacing w:after="240"/>
      <w:jc w:val="right"/>
    </w:pPr>
    <w:rPr>
      <w:rFonts w:eastAsiaTheme="minorHAnsi" w:cstheme="minorBidi"/>
      <w:b/>
      <w:szCs w:val="24"/>
    </w:rPr>
  </w:style>
  <w:style w:type="paragraph" w:customStyle="1" w:styleId="SigFirmNamePara">
    <w:name w:val="Sig Firm Name Para"/>
    <w:basedOn w:val="Normal"/>
    <w:pPr>
      <w:spacing w:before="240"/>
      <w:ind w:left="4320"/>
    </w:pPr>
    <w:rPr>
      <w:caps/>
    </w:rPr>
  </w:style>
  <w:style w:type="character" w:customStyle="1" w:styleId="BodyTextChar">
    <w:name w:val="Body Text Char"/>
    <w:basedOn w:val="DefaultParagraphFont"/>
    <w:link w:val="BodyText"/>
    <w:rPr>
      <w:sz w:val="24"/>
    </w:rPr>
  </w:style>
  <w:style w:type="character" w:styleId="Hyperlink">
    <w:name w:val="Hyperlink"/>
    <w:basedOn w:val="DefaultParagraphFont"/>
    <w:uiPriority w:val="99"/>
    <w:rPr>
      <w:color w:val="0000FF" w:themeColor="hyperlink"/>
      <w:u w:val="single"/>
    </w:rPr>
  </w:style>
  <w:style w:type="character" w:customStyle="1" w:styleId="FooterChar">
    <w:name w:val="Footer Char"/>
    <w:basedOn w:val="DefaultParagraphFont"/>
    <w:link w:val="Footer"/>
    <w:uiPriority w:val="99"/>
    <w:rPr>
      <w:sz w:val="24"/>
    </w:rPr>
  </w:style>
  <w:style w:type="character" w:styleId="CommentReference">
    <w:name w:val="annotation reference"/>
    <w:basedOn w:val="DefaultParagraphFont"/>
    <w:rPr>
      <w:sz w:val="16"/>
      <w:szCs w:val="16"/>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qFormat="1"/>
    <w:lsdException w:name="page number" w:uiPriority="99"/>
    <w:lsdException w:name="Title" w:qFormat="1"/>
    <w:lsdException w:name="Body Text"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widowControl w:val="0"/>
    </w:pPr>
    <w:rPr>
      <w:sz w:val="24"/>
    </w:rPr>
  </w:style>
  <w:style w:type="paragraph" w:styleId="Heading1">
    <w:name w:val="heading 1"/>
    <w:basedOn w:val="Normal"/>
    <w:next w:val="BodyText"/>
    <w:qFormat/>
    <w:pPr>
      <w:keepNext/>
      <w:keepLines/>
      <w:numPr>
        <w:numId w:val="1"/>
      </w:numPr>
      <w:spacing w:before="240"/>
      <w:ind w:right="720"/>
      <w:outlineLvl w:val="0"/>
    </w:pPr>
    <w:rPr>
      <w:b/>
      <w:u w:val="single"/>
    </w:rPr>
  </w:style>
  <w:style w:type="paragraph" w:styleId="Heading2">
    <w:name w:val="heading 2"/>
    <w:basedOn w:val="Normal"/>
    <w:next w:val="BodyText"/>
    <w:qFormat/>
    <w:pPr>
      <w:keepNext/>
      <w:keepLines/>
      <w:numPr>
        <w:ilvl w:val="1"/>
        <w:numId w:val="2"/>
      </w:numPr>
      <w:spacing w:before="240"/>
      <w:ind w:right="720"/>
      <w:outlineLvl w:val="1"/>
    </w:pPr>
    <w:rPr>
      <w:b/>
      <w:u w:val="single"/>
    </w:rPr>
  </w:style>
  <w:style w:type="paragraph" w:styleId="Heading3">
    <w:name w:val="heading 3"/>
    <w:basedOn w:val="Normal"/>
    <w:next w:val="BodyText"/>
    <w:qFormat/>
    <w:pPr>
      <w:keepNext/>
      <w:keepLines/>
      <w:numPr>
        <w:ilvl w:val="2"/>
        <w:numId w:val="3"/>
      </w:numPr>
      <w:spacing w:before="240"/>
      <w:ind w:right="720"/>
      <w:outlineLvl w:val="2"/>
    </w:pPr>
    <w:rPr>
      <w:u w:val="single"/>
    </w:rPr>
  </w:style>
  <w:style w:type="paragraph" w:styleId="Heading4">
    <w:name w:val="heading 4"/>
    <w:basedOn w:val="Normal"/>
    <w:next w:val="BodyText"/>
    <w:qFormat/>
    <w:pPr>
      <w:keepNext/>
      <w:keepLines/>
      <w:numPr>
        <w:ilvl w:val="3"/>
        <w:numId w:val="4"/>
      </w:numPr>
      <w:spacing w:before="240"/>
      <w:ind w:right="720"/>
      <w:outlineLvl w:val="3"/>
    </w:pPr>
    <w:rPr>
      <w:u w:val="single"/>
    </w:rPr>
  </w:style>
  <w:style w:type="paragraph" w:styleId="Heading5">
    <w:name w:val="heading 5"/>
    <w:basedOn w:val="Normal"/>
    <w:next w:val="BodyText"/>
    <w:qFormat/>
    <w:pPr>
      <w:keepNext/>
      <w:keepLines/>
      <w:numPr>
        <w:ilvl w:val="4"/>
        <w:numId w:val="5"/>
      </w:numPr>
      <w:spacing w:before="240"/>
      <w:ind w:right="720"/>
      <w:outlineLvl w:val="4"/>
    </w:pPr>
  </w:style>
  <w:style w:type="paragraph" w:styleId="Heading6">
    <w:name w:val="heading 6"/>
    <w:basedOn w:val="Normal"/>
    <w:next w:val="BodyText"/>
    <w:qFormat/>
    <w:pPr>
      <w:keepNext/>
      <w:keepLines/>
      <w:numPr>
        <w:ilvl w:val="5"/>
        <w:numId w:val="6"/>
      </w:numPr>
      <w:spacing w:before="240"/>
      <w:ind w:right="720"/>
      <w:outlineLvl w:val="5"/>
    </w:pPr>
  </w:style>
  <w:style w:type="paragraph" w:styleId="Heading7">
    <w:name w:val="heading 7"/>
    <w:basedOn w:val="Normal"/>
    <w:next w:val="BodyText"/>
    <w:qFormat/>
    <w:pPr>
      <w:keepNext/>
      <w:keepLines/>
      <w:numPr>
        <w:ilvl w:val="6"/>
        <w:numId w:val="7"/>
      </w:numPr>
      <w:spacing w:before="240"/>
      <w:ind w:right="720"/>
      <w:outlineLvl w:val="6"/>
    </w:pPr>
  </w:style>
  <w:style w:type="paragraph" w:styleId="Heading8">
    <w:name w:val="heading 8"/>
    <w:basedOn w:val="Normal"/>
    <w:next w:val="BodyText"/>
    <w:qFormat/>
    <w:pPr>
      <w:keepNext/>
      <w:keepLines/>
      <w:numPr>
        <w:ilvl w:val="7"/>
        <w:numId w:val="8"/>
      </w:numPr>
      <w:spacing w:before="240"/>
      <w:ind w:right="720"/>
      <w:outlineLvl w:val="7"/>
    </w:pPr>
  </w:style>
  <w:style w:type="paragraph" w:styleId="Heading9">
    <w:name w:val="heading 9"/>
    <w:basedOn w:val="Normal"/>
    <w:next w:val="BodyText"/>
    <w:qFormat/>
    <w:pPr>
      <w:keepNext/>
      <w:keepLines/>
      <w:numPr>
        <w:ilvl w:val="8"/>
        <w:numId w:val="9"/>
      </w:numPr>
      <w:spacing w:before="240"/>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line="480" w:lineRule="auto"/>
      <w:ind w:firstLine="720"/>
    </w:pPr>
  </w:style>
  <w:style w:type="paragraph" w:styleId="Header">
    <w:name w:val="header"/>
    <w:basedOn w:val="Normal"/>
    <w:pPr>
      <w:tabs>
        <w:tab w:val="center" w:pos="4320"/>
        <w:tab w:val="right" w:pos="9360"/>
      </w:tabs>
    </w:pPr>
  </w:style>
  <w:style w:type="paragraph" w:styleId="Footer">
    <w:name w:val="footer"/>
    <w:basedOn w:val="Normal"/>
    <w:link w:val="FooterChar"/>
    <w:uiPriority w:val="99"/>
    <w:qFormat/>
    <w:pPr>
      <w:tabs>
        <w:tab w:val="center" w:pos="4320"/>
        <w:tab w:val="right" w:pos="9360"/>
      </w:tabs>
    </w:pPr>
  </w:style>
  <w:style w:type="character" w:styleId="PageNumber">
    <w:name w:val="page number"/>
    <w:basedOn w:val="DefaultParagraphFont"/>
    <w:uiPriority w:val="99"/>
  </w:style>
  <w:style w:type="character" w:styleId="Emphasis">
    <w:name w:val="Emphasis"/>
    <w:basedOn w:val="DefaultParagraphFont"/>
    <w:rPr>
      <w:i/>
      <w:iCs/>
    </w:rPr>
  </w:style>
  <w:style w:type="paragraph" w:customStyle="1" w:styleId="AttyIndent">
    <w:name w:val="AttyIndent"/>
    <w:basedOn w:val="Normal"/>
    <w:pPr>
      <w:ind w:left="270"/>
    </w:pPr>
  </w:style>
  <w:style w:type="paragraph" w:customStyle="1" w:styleId="BodyTextContinued">
    <w:name w:val="Body Text Continued"/>
    <w:basedOn w:val="BodyText"/>
    <w:next w:val="BodyText"/>
    <w:pPr>
      <w:ind w:firstLine="0"/>
    </w:pPr>
  </w:style>
  <w:style w:type="paragraph" w:customStyle="1" w:styleId="Centered">
    <w:name w:val="Centered"/>
    <w:basedOn w:val="Normal"/>
    <w:next w:val="BodyText"/>
    <w:pPr>
      <w:spacing w:after="240"/>
      <w:jc w:val="center"/>
    </w:pPr>
  </w:style>
  <w:style w:type="paragraph" w:customStyle="1" w:styleId="DefaultCharacterFont">
    <w:name w:val="Default Character Font"/>
    <w:basedOn w:val="Normal"/>
  </w:style>
  <w:style w:type="character" w:styleId="EndnoteReference">
    <w:name w:val="endnote reference"/>
    <w:basedOn w:val="DefaultParagraphFont"/>
    <w:semiHidden/>
    <w:rPr>
      <w:vertAlign w:val="superscript"/>
    </w:r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120"/>
      <w:ind w:firstLine="720"/>
    </w:pPr>
  </w:style>
  <w:style w:type="paragraph" w:customStyle="1" w:styleId="HeaderNumbers">
    <w:name w:val="HeaderNumbers"/>
    <w:basedOn w:val="Normal"/>
    <w:pPr>
      <w:widowControl/>
      <w:spacing w:line="480" w:lineRule="exact"/>
      <w:jc w:val="right"/>
    </w:pPr>
  </w:style>
  <w:style w:type="paragraph" w:styleId="Index1">
    <w:name w:val="index 1"/>
    <w:basedOn w:val="Normal"/>
    <w:next w:val="Normal"/>
    <w:autoRedefine/>
    <w:semiHidden/>
    <w:pPr>
      <w:tabs>
        <w:tab w:val="right" w:leader="dot" w:pos="9000"/>
      </w:tabs>
      <w:ind w:left="240" w:hanging="240"/>
    </w:pPr>
  </w:style>
  <w:style w:type="paragraph" w:styleId="NormalIndent">
    <w:name w:val="Normal Indent"/>
    <w:basedOn w:val="Normal"/>
    <w:pPr>
      <w:ind w:left="720" w:right="720"/>
    </w:pPr>
  </w:style>
  <w:style w:type="paragraph" w:styleId="Quote">
    <w:name w:val="Quote"/>
    <w:basedOn w:val="Normal"/>
    <w:next w:val="BodyTextContinued"/>
    <w:qFormat/>
    <w:pPr>
      <w:widowControl/>
      <w:spacing w:before="240"/>
      <w:ind w:left="1440" w:right="1440"/>
    </w:pPr>
  </w:style>
  <w:style w:type="paragraph" w:styleId="TableofAuthorities">
    <w:name w:val="table of authorities"/>
    <w:basedOn w:val="Normal"/>
    <w:next w:val="Normal"/>
    <w:semiHidden/>
    <w:pPr>
      <w:tabs>
        <w:tab w:val="right" w:leader="dot" w:pos="9216"/>
      </w:tabs>
      <w:spacing w:after="120"/>
      <w:ind w:left="360" w:right="1440" w:hanging="360"/>
    </w:pPr>
  </w:style>
  <w:style w:type="paragraph" w:styleId="Title">
    <w:name w:val="Title"/>
    <w:basedOn w:val="Normal"/>
    <w:qFormat/>
    <w:pPr>
      <w:spacing w:line="480" w:lineRule="exact"/>
      <w:jc w:val="center"/>
    </w:pPr>
    <w:rPr>
      <w:rFonts w:ascii="Times New Roman Bold" w:hAnsi="Times New Roman Bold"/>
      <w:b/>
      <w:szCs w:val="24"/>
      <w:u w:val="single"/>
    </w:rPr>
  </w:style>
  <w:style w:type="paragraph" w:styleId="TOAHeading">
    <w:name w:val="toa heading"/>
    <w:basedOn w:val="Normal"/>
    <w:next w:val="TableofAuthorities"/>
    <w:semiHidden/>
    <w:pPr>
      <w:keepNext/>
      <w:spacing w:before="480" w:after="120"/>
    </w:pPr>
    <w:rPr>
      <w:b/>
      <w:caps/>
      <w:u w:val="single"/>
    </w:rPr>
  </w:style>
  <w:style w:type="paragraph" w:styleId="TOC1">
    <w:name w:val="toc 1"/>
    <w:basedOn w:val="Normal"/>
    <w:next w:val="Normal"/>
    <w:autoRedefine/>
    <w:uiPriority w:val="39"/>
    <w:unhideWhenUsed/>
    <w:pPr>
      <w:widowControl/>
      <w:tabs>
        <w:tab w:val="left" w:pos="720"/>
        <w:tab w:val="right" w:leader="dot" w:pos="9350"/>
      </w:tabs>
      <w:spacing w:after="240"/>
      <w:ind w:left="720" w:right="720" w:hanging="720"/>
    </w:pPr>
    <w:rPr>
      <w:rFonts w:eastAsiaTheme="minorHAnsi" w:cstheme="minorBidi"/>
      <w:noProof/>
      <w:szCs w:val="24"/>
    </w:rPr>
  </w:style>
  <w:style w:type="paragraph" w:customStyle="1" w:styleId="FooterSmallPrint">
    <w:name w:val="FooterSmallPrint"/>
    <w:basedOn w:val="Normal"/>
    <w:next w:val="Normal"/>
    <w:pPr>
      <w:widowControl/>
    </w:pPr>
    <w:rPr>
      <w:sz w:val="16"/>
    </w:rPr>
  </w:style>
  <w:style w:type="character" w:customStyle="1" w:styleId="Plaintiff">
    <w:name w:val="Plaintiff"/>
    <w:basedOn w:val="DefaultParagraphFont"/>
  </w:style>
  <w:style w:type="paragraph" w:customStyle="1" w:styleId="FirmName">
    <w:name w:val="Firm Name"/>
    <w:basedOn w:val="Normal"/>
    <w:rPr>
      <w:caps/>
      <w:szCs w:val="24"/>
    </w:rPr>
  </w:style>
  <w:style w:type="paragraph" w:customStyle="1" w:styleId="FirmAddressFooter">
    <w:name w:val="FirmAddressFooter"/>
    <w:pPr>
      <w:spacing w:line="120" w:lineRule="exact"/>
      <w:jc w:val="center"/>
    </w:pPr>
    <w:rPr>
      <w:rFonts w:ascii="Arial" w:hAnsi="Arial"/>
      <w:noProof/>
      <w:sz w:val="12"/>
    </w:rPr>
  </w:style>
  <w:style w:type="paragraph" w:customStyle="1" w:styleId="FirmNameFooter">
    <w:name w:val="FirmNameFooter"/>
    <w:next w:val="FirmAddressFooter"/>
    <w:pPr>
      <w:spacing w:line="120" w:lineRule="exact"/>
      <w:jc w:val="center"/>
    </w:pPr>
    <w:rPr>
      <w:rFonts w:ascii="Arial" w:hAnsi="Arial"/>
      <w:caps/>
      <w:noProof/>
      <w:sz w:val="12"/>
    </w:rPr>
  </w:style>
  <w:style w:type="paragraph" w:customStyle="1" w:styleId="Parties">
    <w:name w:val="Parties"/>
    <w:basedOn w:val="Normal"/>
    <w:pPr>
      <w:widowControl/>
    </w:pPr>
  </w:style>
  <w:style w:type="paragraph" w:customStyle="1" w:styleId="PartyType">
    <w:name w:val="Party Type"/>
    <w:basedOn w:val="Normal"/>
    <w:pPr>
      <w:widowControl/>
      <w:ind w:left="1800"/>
    </w:pPr>
  </w:style>
  <w:style w:type="paragraph" w:customStyle="1" w:styleId="versus">
    <w:name w:val="versus"/>
    <w:basedOn w:val="Normal"/>
    <w:pPr>
      <w:widowControl/>
      <w:ind w:left="720"/>
    </w:pPr>
  </w:style>
  <w:style w:type="paragraph" w:customStyle="1" w:styleId="PleadingTitleCentered">
    <w:name w:val="Pleading Title Centered"/>
    <w:basedOn w:val="Normal"/>
    <w:pPr>
      <w:widowControl/>
      <w:spacing w:after="240"/>
      <w:jc w:val="center"/>
    </w:pPr>
    <w:rPr>
      <w:bCs/>
      <w:caps/>
      <w:szCs w:val="24"/>
    </w:rPr>
  </w:style>
  <w:style w:type="paragraph" w:customStyle="1" w:styleId="border">
    <w:name w:val="border"/>
    <w:basedOn w:val="Normal"/>
    <w:pPr>
      <w:jc w:val="center"/>
    </w:pPr>
    <w:rPr>
      <w:b/>
      <w:bCs/>
      <w:szCs w:val="24"/>
    </w:rPr>
  </w:style>
  <w:style w:type="paragraph" w:customStyle="1" w:styleId="PleadingTitle">
    <w:name w:val="Pleading Title"/>
    <w:basedOn w:val="Normal"/>
    <w:pPr>
      <w:widowControl/>
      <w:ind w:left="202"/>
    </w:pPr>
    <w:rPr>
      <w:bCs/>
      <w:caps/>
      <w:szCs w:val="24"/>
    </w:rPr>
  </w:style>
  <w:style w:type="paragraph" w:customStyle="1" w:styleId="PLDCaption2">
    <w:name w:val="PLD Caption2"/>
    <w:basedOn w:val="Normal"/>
    <w:pPr>
      <w:widowControl/>
      <w:ind w:left="202"/>
    </w:pPr>
    <w:rPr>
      <w:szCs w:val="24"/>
    </w:rPr>
  </w:style>
  <w:style w:type="table" w:styleId="TableGrid">
    <w:name w:val="Table Grid"/>
    <w:basedOn w:val="TableNormal"/>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DHearing">
    <w:name w:val="PLD Hearing"/>
    <w:basedOn w:val="Normal"/>
    <w:pPr>
      <w:spacing w:after="240"/>
      <w:jc w:val="center"/>
    </w:pPr>
    <w:rPr>
      <w:u w:val="single"/>
    </w:rPr>
  </w:style>
  <w:style w:type="paragraph" w:customStyle="1" w:styleId="PLDAppeal">
    <w:name w:val="PLD Appeal"/>
    <w:basedOn w:val="Normal"/>
    <w:pPr>
      <w:spacing w:after="240"/>
      <w:jc w:val="center"/>
    </w:pPr>
  </w:style>
  <w:style w:type="paragraph" w:customStyle="1" w:styleId="SingleSpacing">
    <w:name w:val="Single Spacing"/>
    <w:basedOn w:val="Normal"/>
    <w:pPr>
      <w:widowControl/>
    </w:pPr>
    <w:rPr>
      <w:szCs w:val="24"/>
    </w:rPr>
  </w:style>
  <w:style w:type="paragraph" w:customStyle="1" w:styleId="PLDAttorneys">
    <w:name w:val="PLD Attorneys"/>
    <w:basedOn w:val="Normal"/>
    <w:pPr>
      <w:spacing w:after="240"/>
      <w:ind w:left="720"/>
    </w:pPr>
  </w:style>
  <w:style w:type="paragraph" w:customStyle="1" w:styleId="CourtName">
    <w:name w:val="Court Name"/>
    <w:basedOn w:val="Normal"/>
    <w:pPr>
      <w:widowControl/>
      <w:jc w:val="center"/>
    </w:pPr>
    <w:rPr>
      <w:caps/>
      <w:szCs w:val="24"/>
    </w:rPr>
  </w:style>
  <w:style w:type="paragraph" w:customStyle="1" w:styleId="CoverOfficeAddress">
    <w:name w:val="Cover Office Address"/>
    <w:basedOn w:val="Normal"/>
    <w:pPr>
      <w:widowControl/>
    </w:pPr>
    <w:rPr>
      <w:rFonts w:eastAsiaTheme="minorHAnsi" w:cstheme="minorBidi"/>
      <w:szCs w:val="22"/>
    </w:rPr>
  </w:style>
  <w:style w:type="paragraph" w:customStyle="1" w:styleId="PleadingSummary">
    <w:name w:val="PleadingSummary"/>
    <w:basedOn w:val="Normal"/>
    <w:rPr>
      <w:caps/>
    </w:rPr>
  </w:style>
  <w:style w:type="character" w:customStyle="1" w:styleId="DocID">
    <w:name w:val="DocID"/>
    <w:basedOn w:val="DefaultParagraphFont"/>
    <w:uiPriority w:val="1"/>
    <w:rPr>
      <w:sz w:val="16"/>
    </w:rPr>
  </w:style>
  <w:style w:type="paragraph" w:customStyle="1" w:styleId="Quote5">
    <w:name w:val="Quote .5"/>
    <w:basedOn w:val="Normal"/>
    <w:pPr>
      <w:ind w:left="720"/>
    </w:pPr>
  </w:style>
  <w:style w:type="paragraph" w:customStyle="1" w:styleId="CoverAttorneyName">
    <w:name w:val="Cover Attorney Name"/>
    <w:basedOn w:val="Normal"/>
    <w:pPr>
      <w:widowControl/>
    </w:pPr>
  </w:style>
  <w:style w:type="paragraph" w:customStyle="1" w:styleId="To">
    <w:name w:val="To"/>
    <w:basedOn w:val="Normal"/>
    <w:next w:val="Normal"/>
    <w:pPr>
      <w:widowControl/>
      <w:spacing w:before="200" w:after="320"/>
      <w:ind w:left="288"/>
    </w:pPr>
    <w:rPr>
      <w:b/>
      <w:caps/>
      <w:sz w:val="22"/>
      <w:szCs w:val="22"/>
    </w:rPr>
  </w:style>
  <w:style w:type="paragraph" w:customStyle="1" w:styleId="AuthorNameLetterhead">
    <w:name w:val="AuthorNameLetterhead"/>
    <w:basedOn w:val="Normal"/>
    <w:pPr>
      <w:widowControl/>
      <w:spacing w:before="40"/>
      <w:jc w:val="right"/>
    </w:pPr>
    <w:rPr>
      <w:rFonts w:ascii="Arial" w:hAnsi="Arial"/>
      <w:smallCaps/>
      <w:sz w:val="16"/>
    </w:rPr>
  </w:style>
  <w:style w:type="paragraph" w:customStyle="1" w:styleId="Address">
    <w:name w:val="Address"/>
    <w:basedOn w:val="Normal"/>
    <w:pPr>
      <w:widowControl/>
      <w:ind w:left="720"/>
    </w:pPr>
    <w:rPr>
      <w:szCs w:val="24"/>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exact"/>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line="240" w:lineRule="exact"/>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exact"/>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semiHidden/>
    <w:rPr>
      <w:sz w:val="20"/>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0"/>
      </w:numPr>
    </w:pPr>
  </w:style>
  <w:style w:type="paragraph" w:styleId="ListBullet2">
    <w:name w:val="List Bullet 2"/>
    <w:basedOn w:val="Normal"/>
    <w:pPr>
      <w:numPr>
        <w:numId w:val="11"/>
      </w:numPr>
    </w:pPr>
  </w:style>
  <w:style w:type="paragraph" w:styleId="ListBullet3">
    <w:name w:val="List Bullet 3"/>
    <w:basedOn w:val="Normal"/>
    <w:pPr>
      <w:numPr>
        <w:numId w:val="12"/>
      </w:numPr>
    </w:pPr>
  </w:style>
  <w:style w:type="paragraph" w:styleId="ListBullet4">
    <w:name w:val="List Bullet 4"/>
    <w:basedOn w:val="Normal"/>
    <w:pPr>
      <w:numPr>
        <w:numId w:val="13"/>
      </w:numPr>
    </w:pPr>
  </w:style>
  <w:style w:type="paragraph" w:styleId="ListBullet5">
    <w:name w:val="List Bullet 5"/>
    <w:basedOn w:val="Normal"/>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style>
  <w:style w:type="paragraph" w:styleId="TOC2">
    <w:name w:val="toc 2"/>
    <w:basedOn w:val="Normal"/>
    <w:next w:val="Normal"/>
    <w:autoRedefine/>
    <w:uiPriority w:val="39"/>
    <w:unhideWhenUsed/>
    <w:pPr>
      <w:widowControl/>
      <w:tabs>
        <w:tab w:val="left" w:pos="1440"/>
        <w:tab w:val="right" w:leader="dot" w:pos="9350"/>
      </w:tabs>
      <w:spacing w:after="240"/>
      <w:ind w:left="1440" w:right="720" w:hanging="720"/>
    </w:pPr>
    <w:rPr>
      <w:rFonts w:eastAsiaTheme="minorHAnsi" w:cstheme="minorBidi"/>
      <w:noProof/>
      <w:szCs w:val="24"/>
    </w:rPr>
  </w:style>
  <w:style w:type="paragraph" w:styleId="TOC3">
    <w:name w:val="toc 3"/>
    <w:basedOn w:val="Normal"/>
    <w:next w:val="Normal"/>
    <w:autoRedefine/>
    <w:uiPriority w:val="39"/>
    <w:unhideWhenUsed/>
    <w:pPr>
      <w:widowControl/>
      <w:tabs>
        <w:tab w:val="left" w:pos="2160"/>
        <w:tab w:val="right" w:leader="dot" w:pos="9350"/>
      </w:tabs>
      <w:spacing w:after="240"/>
      <w:ind w:left="2160" w:right="720" w:hanging="720"/>
    </w:pPr>
    <w:rPr>
      <w:rFonts w:eastAsiaTheme="minorHAnsi" w:cstheme="minorBidi"/>
      <w:noProof/>
      <w:szCs w:val="24"/>
    </w:rPr>
  </w:style>
  <w:style w:type="paragraph" w:styleId="TOC4">
    <w:name w:val="toc 4"/>
    <w:basedOn w:val="Normal"/>
    <w:next w:val="Normal"/>
    <w:autoRedefine/>
    <w:uiPriority w:val="39"/>
    <w:unhideWhenUsed/>
    <w:pPr>
      <w:widowControl/>
      <w:tabs>
        <w:tab w:val="left" w:pos="2880"/>
        <w:tab w:val="right" w:leader="dot" w:pos="9350"/>
      </w:tabs>
      <w:spacing w:after="240"/>
      <w:ind w:left="2880" w:right="720" w:hanging="720"/>
    </w:pPr>
    <w:rPr>
      <w:rFonts w:eastAsiaTheme="minorHAnsi" w:cstheme="minorBidi"/>
      <w:noProof/>
      <w:szCs w:val="24"/>
    </w:rPr>
  </w:style>
  <w:style w:type="paragraph" w:styleId="TOC5">
    <w:name w:val="toc 5"/>
    <w:basedOn w:val="Normal"/>
    <w:next w:val="Normal"/>
    <w:autoRedefine/>
    <w:uiPriority w:val="39"/>
    <w:unhideWhenUsed/>
    <w:pPr>
      <w:widowControl/>
      <w:tabs>
        <w:tab w:val="left" w:pos="3600"/>
        <w:tab w:val="right" w:leader="dot" w:pos="9350"/>
      </w:tabs>
      <w:spacing w:after="240"/>
      <w:ind w:left="3600" w:right="720" w:hanging="720"/>
    </w:pPr>
    <w:rPr>
      <w:rFonts w:eastAsiaTheme="minorHAnsi" w:cstheme="minorBidi"/>
      <w:noProof/>
      <w:szCs w:val="24"/>
    </w:rPr>
  </w:style>
  <w:style w:type="paragraph" w:styleId="TOC6">
    <w:name w:val="toc 6"/>
    <w:basedOn w:val="Normal"/>
    <w:next w:val="Normal"/>
    <w:autoRedefine/>
    <w:uiPriority w:val="39"/>
    <w:unhideWhenUsed/>
    <w:pPr>
      <w:widowControl/>
      <w:tabs>
        <w:tab w:val="left" w:pos="4320"/>
        <w:tab w:val="right" w:leader="dot" w:pos="9350"/>
      </w:tabs>
      <w:spacing w:after="240"/>
      <w:ind w:left="4320" w:right="720" w:hanging="720"/>
    </w:pPr>
    <w:rPr>
      <w:rFonts w:eastAsiaTheme="minorHAnsi" w:cstheme="minorBidi"/>
      <w:noProof/>
      <w:szCs w:val="24"/>
    </w:rPr>
  </w:style>
  <w:style w:type="paragraph" w:styleId="TOC7">
    <w:name w:val="toc 7"/>
    <w:basedOn w:val="Normal"/>
    <w:next w:val="Normal"/>
    <w:autoRedefine/>
    <w:uiPriority w:val="39"/>
    <w:unhideWhenUsed/>
    <w:pPr>
      <w:widowControl/>
      <w:tabs>
        <w:tab w:val="left" w:pos="5040"/>
        <w:tab w:val="right" w:leader="dot" w:pos="9350"/>
      </w:tabs>
      <w:spacing w:after="240"/>
      <w:ind w:left="5040" w:right="720" w:hanging="720"/>
    </w:pPr>
    <w:rPr>
      <w:rFonts w:eastAsiaTheme="minorHAnsi" w:cstheme="minorBidi"/>
      <w:noProof/>
      <w:szCs w:val="24"/>
    </w:rPr>
  </w:style>
  <w:style w:type="paragraph" w:styleId="TOC8">
    <w:name w:val="toc 8"/>
    <w:basedOn w:val="Normal"/>
    <w:next w:val="Normal"/>
    <w:autoRedefine/>
    <w:uiPriority w:val="39"/>
    <w:unhideWhenUsed/>
    <w:pPr>
      <w:widowControl/>
      <w:tabs>
        <w:tab w:val="left" w:pos="5760"/>
        <w:tab w:val="right" w:leader="dot" w:pos="9350"/>
      </w:tabs>
      <w:spacing w:after="240"/>
      <w:ind w:left="5760" w:right="720" w:hanging="720"/>
    </w:pPr>
    <w:rPr>
      <w:rFonts w:eastAsiaTheme="minorHAnsi" w:cstheme="minorBidi"/>
      <w:noProof/>
      <w:szCs w:val="24"/>
    </w:rPr>
  </w:style>
  <w:style w:type="paragraph" w:styleId="TOC9">
    <w:name w:val="toc 9"/>
    <w:basedOn w:val="Normal"/>
    <w:next w:val="Normal"/>
    <w:autoRedefine/>
    <w:uiPriority w:val="39"/>
    <w:unhideWhenUsed/>
    <w:pPr>
      <w:widowControl/>
      <w:tabs>
        <w:tab w:val="left" w:pos="6480"/>
        <w:tab w:val="right" w:leader="dot" w:pos="9350"/>
      </w:tabs>
      <w:spacing w:after="240"/>
      <w:ind w:left="6480" w:right="720" w:hanging="720"/>
    </w:pPr>
    <w:rPr>
      <w:rFonts w:eastAsiaTheme="minorHAnsi" w:cstheme="minorBidi"/>
      <w:noProof/>
      <w:szCs w:val="24"/>
    </w:rPr>
  </w:style>
  <w:style w:type="paragraph" w:customStyle="1" w:styleId="SigByLine">
    <w:name w:val="Sig By Line"/>
    <w:basedOn w:val="Normal"/>
    <w:next w:val="Normal"/>
    <w:pPr>
      <w:keepNext/>
      <w:keepLines/>
      <w:widowControl/>
      <w:tabs>
        <w:tab w:val="left" w:pos="5040"/>
        <w:tab w:val="left" w:pos="8640"/>
      </w:tabs>
      <w:spacing w:before="720"/>
      <w:ind w:left="4320"/>
    </w:pPr>
    <w:rPr>
      <w:rFonts w:eastAsiaTheme="minorHAnsi" w:cstheme="minorBidi"/>
      <w:szCs w:val="24"/>
    </w:rPr>
  </w:style>
  <w:style w:type="paragraph" w:customStyle="1" w:styleId="SigFirmName">
    <w:name w:val="Sig Firm Name"/>
    <w:basedOn w:val="Normal"/>
    <w:pPr>
      <w:keepNext/>
      <w:keepLines/>
      <w:widowControl/>
      <w:ind w:left="5040"/>
    </w:pPr>
    <w:rPr>
      <w:rFonts w:eastAsiaTheme="minorHAnsi" w:cstheme="minorBidi"/>
      <w:caps/>
      <w:szCs w:val="24"/>
    </w:rPr>
  </w:style>
  <w:style w:type="paragraph" w:customStyle="1" w:styleId="SigAttorneyName">
    <w:name w:val="Sig Attorney Name"/>
    <w:basedOn w:val="Normal"/>
    <w:pPr>
      <w:keepNext/>
      <w:keepLines/>
      <w:widowControl/>
      <w:ind w:left="5040"/>
    </w:pPr>
    <w:rPr>
      <w:rFonts w:eastAsiaTheme="minorHAnsi" w:cstheme="minorBidi"/>
      <w:szCs w:val="24"/>
    </w:rPr>
  </w:style>
  <w:style w:type="paragraph" w:customStyle="1" w:styleId="SigAttorneysFor">
    <w:name w:val="Sig Attorneys For"/>
    <w:basedOn w:val="Normal"/>
    <w:pPr>
      <w:keepNext/>
      <w:keepLines/>
      <w:widowControl/>
      <w:ind w:left="5040"/>
    </w:pPr>
    <w:rPr>
      <w:rFonts w:eastAsiaTheme="minorHAnsi" w:cstheme="minorBidi"/>
      <w:szCs w:val="24"/>
    </w:rPr>
  </w:style>
  <w:style w:type="paragraph" w:customStyle="1" w:styleId="SigOfficeAddress">
    <w:name w:val="Sig Office Address"/>
    <w:basedOn w:val="Normal"/>
    <w:pPr>
      <w:keepLines/>
      <w:widowControl/>
      <w:ind w:left="5040"/>
    </w:pPr>
    <w:rPr>
      <w:szCs w:val="24"/>
    </w:rPr>
  </w:style>
  <w:style w:type="paragraph" w:customStyle="1" w:styleId="CoverFirmName">
    <w:name w:val="Cover Firm Name"/>
    <w:basedOn w:val="Normal"/>
    <w:pPr>
      <w:widowControl/>
    </w:pPr>
    <w:rPr>
      <w:rFonts w:eastAsiaTheme="minorHAnsi"/>
      <w:szCs w:val="22"/>
    </w:rPr>
  </w:style>
  <w:style w:type="paragraph" w:customStyle="1" w:styleId="CoverAttorneysFor">
    <w:name w:val="Cover Attorneys For"/>
    <w:basedOn w:val="Normal"/>
    <w:pPr>
      <w:widowControl/>
      <w:ind w:left="720"/>
    </w:pPr>
    <w:rPr>
      <w:rFonts w:eastAsiaTheme="minorHAnsi"/>
      <w:szCs w:val="22"/>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widowControl w:val="0"/>
      <w:spacing w:line="240" w:lineRule="exact"/>
    </w:pPr>
    <w:rPr>
      <w:sz w:val="24"/>
    </w:rPr>
  </w:style>
  <w:style w:type="paragraph" w:styleId="TOCHeading">
    <w:name w:val="TOC Heading"/>
    <w:basedOn w:val="Normal"/>
    <w:unhideWhenUsed/>
    <w:qFormat/>
    <w:pPr>
      <w:widowControl/>
      <w:spacing w:after="240"/>
      <w:jc w:val="center"/>
    </w:pPr>
    <w:rPr>
      <w:rFonts w:eastAsiaTheme="minorHAnsi" w:cstheme="minorBidi"/>
      <w:b/>
      <w:szCs w:val="24"/>
    </w:rPr>
  </w:style>
  <w:style w:type="paragraph" w:customStyle="1" w:styleId="CertificateSignature">
    <w:name w:val="Certificate Signature"/>
    <w:basedOn w:val="Normal"/>
    <w:pPr>
      <w:keepNext/>
      <w:widowControl/>
      <w:tabs>
        <w:tab w:val="left" w:pos="8640"/>
      </w:tabs>
      <w:spacing w:before="720"/>
      <w:ind w:left="4320"/>
      <w:contextualSpacing/>
    </w:pPr>
    <w:rPr>
      <w:szCs w:val="24"/>
    </w:rPr>
  </w:style>
  <w:style w:type="paragraph" w:customStyle="1" w:styleId="TOCPage">
    <w:name w:val="TOC Page"/>
    <w:basedOn w:val="Normal"/>
    <w:semiHidden/>
    <w:pPr>
      <w:widowControl/>
      <w:spacing w:after="240"/>
      <w:jc w:val="right"/>
    </w:pPr>
    <w:rPr>
      <w:rFonts w:eastAsiaTheme="minorHAnsi" w:cstheme="minorBidi"/>
      <w:b/>
      <w:szCs w:val="24"/>
    </w:rPr>
  </w:style>
  <w:style w:type="paragraph" w:customStyle="1" w:styleId="SigFirmNamePara">
    <w:name w:val="Sig Firm Name Para"/>
    <w:basedOn w:val="Normal"/>
    <w:pPr>
      <w:spacing w:before="240"/>
      <w:ind w:left="4320"/>
    </w:pPr>
    <w:rPr>
      <w:caps/>
    </w:rPr>
  </w:style>
  <w:style w:type="character" w:customStyle="1" w:styleId="BodyTextChar">
    <w:name w:val="Body Text Char"/>
    <w:basedOn w:val="DefaultParagraphFont"/>
    <w:link w:val="BodyText"/>
    <w:rPr>
      <w:sz w:val="24"/>
    </w:rPr>
  </w:style>
  <w:style w:type="character" w:styleId="Hyperlink">
    <w:name w:val="Hyperlink"/>
    <w:basedOn w:val="DefaultParagraphFont"/>
    <w:uiPriority w:val="99"/>
    <w:rPr>
      <w:color w:val="0000FF" w:themeColor="hyperlink"/>
      <w:u w:val="single"/>
    </w:rPr>
  </w:style>
  <w:style w:type="character" w:customStyle="1" w:styleId="FooterChar">
    <w:name w:val="Footer Char"/>
    <w:basedOn w:val="DefaultParagraphFont"/>
    <w:link w:val="Footer"/>
    <w:uiPriority w:val="99"/>
    <w:rPr>
      <w:sz w:val="24"/>
    </w:rPr>
  </w:style>
  <w:style w:type="character" w:styleId="CommentReference">
    <w:name w:val="annotation reference"/>
    <w:basedOn w:val="DefaultParagraphFont"/>
    <w:rPr>
      <w:sz w:val="16"/>
      <w:szCs w:val="16"/>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2016-02-18T08:00:00+00:00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28F4A93-D6DA-4FC3-B900-85C2BC68EE78}"/>
</file>

<file path=customXml/itemProps2.xml><?xml version="1.0" encoding="utf-8"?>
<ds:datastoreItem xmlns:ds="http://schemas.openxmlformats.org/officeDocument/2006/customXml" ds:itemID="{1AD77988-A7BC-498C-AAEF-5E4853BB0199}"/>
</file>

<file path=customXml/itemProps3.xml><?xml version="1.0" encoding="utf-8"?>
<ds:datastoreItem xmlns:ds="http://schemas.openxmlformats.org/officeDocument/2006/customXml" ds:itemID="{7E1765D4-88EF-40A8-ACBA-D14CC1AD2D81}"/>
</file>

<file path=customXml/itemProps4.xml><?xml version="1.0" encoding="utf-8"?>
<ds:datastoreItem xmlns:ds="http://schemas.openxmlformats.org/officeDocument/2006/customXml" ds:itemID="{39D3A990-2E89-47E5-9077-B5FC9BA31E52}"/>
</file>

<file path=docProps/app.xml><?xml version="1.0" encoding="utf-8"?>
<Properties xmlns="http://schemas.openxmlformats.org/officeDocument/2006/extended-properties" xmlns:vt="http://schemas.openxmlformats.org/officeDocument/2006/docPropsVTypes">
  <Template>Normal.dotm</Template>
  <TotalTime>0</TotalTime>
  <Pages>5</Pages>
  <Words>1083</Words>
  <Characters>6174</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2016-02-18T22:20:00Z</dcterms:created>
  <dcterms:modified xsi:type="dcterms:W3CDTF">2016-02-18T22:22:00Z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0x0101006E56B4D1795A2E4DB2F0B01679ED314A006D7A73751226EA419A9CAE5A2849B703</vt:lpwstr>
  </property>
  <property fmtid="{D5CDD505-2E9C-101B-9397-08002B2CF9AE}" pid="3" name="_docset_NoMedatataSyncRequired">
    <vt:lpwstr>False</vt:lpwstr>
  </property>
</Properties>
</file>