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B0" w:rsidRDefault="00F100B0" w:rsidP="00F100B0">
      <w:pPr>
        <w:tabs>
          <w:tab w:val="center" w:pos="4680"/>
        </w:tabs>
        <w:ind w:right="-108" w:hanging="180"/>
        <w:jc w:val="both"/>
      </w:pPr>
      <w:bookmarkStart w:id="0" w:name="_GoBack"/>
      <w:bookmarkEnd w:id="0"/>
    </w:p>
    <w:p w:rsidR="00F100B0" w:rsidRDefault="00F100B0" w:rsidP="00F100B0">
      <w:pPr>
        <w:tabs>
          <w:tab w:val="center" w:pos="4680"/>
        </w:tabs>
        <w:ind w:right="-108" w:hanging="180"/>
        <w:jc w:val="both"/>
      </w:pPr>
    </w:p>
    <w:p w:rsidR="00F100B0" w:rsidRDefault="00F100B0" w:rsidP="00F100B0">
      <w:pPr>
        <w:tabs>
          <w:tab w:val="center" w:pos="4680"/>
        </w:tabs>
        <w:ind w:right="-108" w:hanging="180"/>
        <w:jc w:val="both"/>
      </w:pPr>
    </w:p>
    <w:p w:rsidR="00F100B0" w:rsidRDefault="00F100B0" w:rsidP="00F100B0">
      <w:pPr>
        <w:tabs>
          <w:tab w:val="center" w:pos="4680"/>
        </w:tabs>
        <w:ind w:right="-108" w:hanging="180"/>
        <w:jc w:val="both"/>
      </w:pPr>
    </w:p>
    <w:p w:rsidR="00F100B0" w:rsidRDefault="00F100B0" w:rsidP="00F100B0">
      <w:pPr>
        <w:tabs>
          <w:tab w:val="center" w:pos="4680"/>
        </w:tabs>
        <w:ind w:right="-108" w:hanging="180"/>
        <w:jc w:val="both"/>
      </w:pPr>
    </w:p>
    <w:p w:rsidR="00F100B0" w:rsidRPr="004A2910" w:rsidRDefault="00F100B0" w:rsidP="009F67A5">
      <w:pPr>
        <w:tabs>
          <w:tab w:val="center" w:pos="4680"/>
        </w:tabs>
        <w:ind w:right="-108" w:hanging="180"/>
        <w:jc w:val="center"/>
      </w:pPr>
      <w:r w:rsidRPr="004A2910">
        <w:t xml:space="preserve">BEFORE THE </w:t>
      </w:r>
      <w:smartTag w:uri="urn:schemas-microsoft-com:office:smarttags" w:element="PostalCode">
        <w:smartTag w:uri="urn:schemas-microsoft-com:office:smarttags" w:element="place">
          <w:r w:rsidRPr="004A2910">
            <w:t>WASHINGTON</w:t>
          </w:r>
        </w:smartTag>
      </w:smartTag>
      <w:r w:rsidRPr="004A2910">
        <w:t xml:space="preserve"> UTILITIES AND TRANSPORTATION COMMISSION</w:t>
      </w:r>
    </w:p>
    <w:p w:rsidR="00F100B0" w:rsidRPr="004A2910" w:rsidRDefault="00F100B0" w:rsidP="00F100B0">
      <w:pPr>
        <w:jc w:val="both"/>
      </w:pPr>
    </w:p>
    <w:p w:rsidR="00F100B0" w:rsidRPr="004A2910" w:rsidRDefault="00F100B0" w:rsidP="00F100B0">
      <w:pPr>
        <w:jc w:val="both"/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100B0" w:rsidRPr="004A2910" w:rsidTr="00880370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F100B0" w:rsidRDefault="00F100B0" w:rsidP="00F100B0">
            <w:r>
              <w:t xml:space="preserve">In the Matter of the Petition of </w:t>
            </w:r>
          </w:p>
          <w:p w:rsidR="00F100B0" w:rsidRDefault="00F100B0" w:rsidP="00F100B0"/>
          <w:p w:rsidR="00F100B0" w:rsidRDefault="00F100B0" w:rsidP="00F100B0">
            <w:r>
              <w:t xml:space="preserve">PUGET SOUND ENERGY, INC. </w:t>
            </w:r>
          </w:p>
          <w:p w:rsidR="00F100B0" w:rsidRDefault="00F100B0" w:rsidP="00F100B0"/>
          <w:p w:rsidR="00F100B0" w:rsidRDefault="00F100B0" w:rsidP="00F100B0">
            <w:pPr>
              <w:pBdr>
                <w:bottom w:val="single" w:sz="12" w:space="1" w:color="auto"/>
              </w:pBdr>
            </w:pPr>
            <w:r>
              <w:t xml:space="preserve">For an Accounting Order Authorizing Accounting Treatment Related to Payments for Major Maintenance Activities </w:t>
            </w:r>
          </w:p>
          <w:p w:rsidR="00F100B0" w:rsidRDefault="00F100B0" w:rsidP="00F100B0">
            <w:pPr>
              <w:pBdr>
                <w:bottom w:val="single" w:sz="12" w:space="1" w:color="auto"/>
              </w:pBdr>
            </w:pPr>
          </w:p>
          <w:p w:rsidR="00F100B0" w:rsidRDefault="00F100B0" w:rsidP="00F100B0"/>
          <w:p w:rsidR="00F100B0" w:rsidRPr="00595D41" w:rsidRDefault="00F100B0" w:rsidP="00F100B0">
            <w:r>
              <w:t>WASHINGTON UTILITIES AND TRANSPORTATION COMMISSION,</w:t>
            </w:r>
          </w:p>
          <w:p w:rsidR="00F100B0" w:rsidRPr="00595D41" w:rsidRDefault="00F100B0" w:rsidP="00F100B0"/>
          <w:p w:rsidR="00F100B0" w:rsidRPr="00595D41" w:rsidRDefault="00F100B0" w:rsidP="00F100B0">
            <w:r w:rsidRPr="00595D41">
              <w:tab/>
            </w:r>
            <w:r w:rsidRPr="00595D41">
              <w:tab/>
              <w:t>Complainant,</w:t>
            </w:r>
          </w:p>
          <w:p w:rsidR="00F100B0" w:rsidRPr="00595D41" w:rsidRDefault="00F100B0" w:rsidP="00F100B0"/>
          <w:p w:rsidR="00F100B0" w:rsidRPr="00595D41" w:rsidRDefault="00F100B0" w:rsidP="00F100B0">
            <w:r w:rsidRPr="00595D41">
              <w:t>v.</w:t>
            </w:r>
          </w:p>
          <w:p w:rsidR="00F100B0" w:rsidRDefault="00F100B0" w:rsidP="00F100B0"/>
          <w:p w:rsidR="00F100B0" w:rsidRPr="00595D41" w:rsidRDefault="00F100B0" w:rsidP="00F100B0">
            <w:r>
              <w:t xml:space="preserve">PUGET SOUND ENERGY, INC. </w:t>
            </w:r>
          </w:p>
          <w:p w:rsidR="00F100B0" w:rsidRPr="00595D41" w:rsidRDefault="00F100B0" w:rsidP="00F100B0"/>
          <w:p w:rsidR="00F100B0" w:rsidRDefault="00F100B0" w:rsidP="00F100B0">
            <w:r w:rsidRPr="00595D41">
              <w:tab/>
            </w:r>
            <w:r w:rsidRPr="00595D41">
              <w:tab/>
              <w:t>Respondent.</w:t>
            </w:r>
          </w:p>
          <w:p w:rsidR="00F100B0" w:rsidRDefault="00F100B0" w:rsidP="00F100B0">
            <w:pPr>
              <w:pBdr>
                <w:bottom w:val="single" w:sz="12" w:space="1" w:color="auto"/>
              </w:pBdr>
            </w:pPr>
          </w:p>
          <w:p w:rsidR="00F100B0" w:rsidRDefault="00F100B0" w:rsidP="00F100B0"/>
          <w:p w:rsidR="009F67A5" w:rsidRDefault="009F67A5" w:rsidP="009F67A5">
            <w:r>
              <w:t xml:space="preserve">In the Matter of the Petition of </w:t>
            </w:r>
          </w:p>
          <w:p w:rsidR="009F67A5" w:rsidRDefault="009F67A5" w:rsidP="009F67A5"/>
          <w:p w:rsidR="009F67A5" w:rsidRDefault="009F67A5" w:rsidP="009F67A5">
            <w:r>
              <w:t xml:space="preserve">PUGET SOUND ENERGY, INC. </w:t>
            </w:r>
          </w:p>
          <w:p w:rsidR="009F67A5" w:rsidRDefault="009F67A5" w:rsidP="009F67A5"/>
          <w:p w:rsidR="00F100B0" w:rsidRDefault="009F67A5" w:rsidP="009F67A5">
            <w:r>
              <w:t>For an Accounting Order Authorizing Accounting the Sale of the Water Rights and Associated Assets of the Electron Hydroelectric Project in Accordance with WAC 480-143 and RCW 80.12</w:t>
            </w:r>
          </w:p>
          <w:p w:rsidR="00F100B0" w:rsidRPr="004A2910" w:rsidRDefault="00F100B0" w:rsidP="00F100B0"/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100B0" w:rsidRPr="004A2910" w:rsidRDefault="00F100B0" w:rsidP="00F100B0">
            <w:pPr>
              <w:ind w:firstLine="720"/>
            </w:pPr>
            <w:r>
              <w:t>DOCKET UE-130583</w:t>
            </w:r>
          </w:p>
          <w:p w:rsidR="00F100B0" w:rsidRPr="004A2910" w:rsidRDefault="00F100B0" w:rsidP="00F100B0"/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  <w:r>
              <w:t>DOCKET UE-130617</w:t>
            </w: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9F67A5" w:rsidRDefault="009F67A5" w:rsidP="00F100B0">
            <w:pPr>
              <w:ind w:left="720"/>
            </w:pPr>
            <w:r>
              <w:t xml:space="preserve">DOCKET UE-131099 </w:t>
            </w:r>
          </w:p>
          <w:p w:rsidR="009F67A5" w:rsidRDefault="009F67A5" w:rsidP="00F100B0">
            <w:pPr>
              <w:ind w:left="720"/>
            </w:pPr>
          </w:p>
          <w:p w:rsidR="00F100B0" w:rsidRPr="004A2910" w:rsidRDefault="009F67A5" w:rsidP="00F100B0">
            <w:pPr>
              <w:ind w:left="720"/>
            </w:pPr>
            <w:r>
              <w:t>MOTION FOR CONSOLIDATION</w:t>
            </w:r>
          </w:p>
        </w:tc>
      </w:tr>
    </w:tbl>
    <w:p w:rsidR="00F100B0" w:rsidRDefault="00F100B0" w:rsidP="00F100B0">
      <w:pPr>
        <w:jc w:val="both"/>
      </w:pPr>
    </w:p>
    <w:p w:rsidR="00E666A2" w:rsidRDefault="00E666A2"/>
    <w:p w:rsidR="00E666A2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E666A2">
        <w:t>Commission Staff seek</w:t>
      </w:r>
      <w:r w:rsidR="004E70DA">
        <w:t>s</w:t>
      </w:r>
      <w:r w:rsidR="00E666A2">
        <w:t xml:space="preserve"> a Commission order consolidating </w:t>
      </w:r>
      <w:r w:rsidR="00547AA1">
        <w:t>three matters filed by Puget Sound Energy</w:t>
      </w:r>
      <w:r w:rsidR="007F78F7">
        <w:t>, Inc.</w:t>
      </w:r>
      <w:r w:rsidR="00547AA1">
        <w:t xml:space="preserve"> (</w:t>
      </w:r>
      <w:r w:rsidR="003C2E1E">
        <w:t>“</w:t>
      </w:r>
      <w:r w:rsidR="00547AA1">
        <w:t>PSE</w:t>
      </w:r>
      <w:r w:rsidR="003C2E1E">
        <w:t>”</w:t>
      </w:r>
      <w:r w:rsidR="000155C2">
        <w:t xml:space="preserve"> or “the Company”</w:t>
      </w:r>
      <w:r w:rsidR="00547AA1">
        <w:t xml:space="preserve">): </w:t>
      </w:r>
      <w:r w:rsidR="003236EA">
        <w:t xml:space="preserve">(1) </w:t>
      </w:r>
      <w:r w:rsidR="00E666A2">
        <w:t>Docket UE-130583 (Major Maintenance</w:t>
      </w:r>
      <w:r w:rsidR="00CF1325">
        <w:t xml:space="preserve"> Accounting Petition</w:t>
      </w:r>
      <w:r w:rsidR="00E666A2">
        <w:t>)</w:t>
      </w:r>
      <w:r w:rsidR="003236EA">
        <w:t>; (2) the accounting and ratemaking issues in Docket UE-</w:t>
      </w:r>
      <w:r w:rsidR="003236EA">
        <w:lastRenderedPageBreak/>
        <w:t>131099 (Application Related to Property Transfer – Electron); and (3) Docket UE-130617 (Power Cost Only Rate Case (PCORC)).</w:t>
      </w:r>
      <w:r w:rsidR="00E666A2">
        <w:t xml:space="preserve"> </w:t>
      </w:r>
      <w:r w:rsidR="003236EA">
        <w:t xml:space="preserve"> </w:t>
      </w:r>
      <w:r w:rsidR="007F78F7">
        <w:t xml:space="preserve">The issue of whether to approve the </w:t>
      </w:r>
      <w:r w:rsidR="003236EA">
        <w:t>property transfer in Docket UE-131099 relating to the Electron project</w:t>
      </w:r>
      <w:r w:rsidR="007F78F7">
        <w:t xml:space="preserve"> would remain in that docket for resolution by the Commission</w:t>
      </w:r>
      <w:r w:rsidR="003236EA">
        <w:t>.</w:t>
      </w:r>
    </w:p>
    <w:p w:rsidR="00E666A2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4E70DA">
        <w:t>The a</w:t>
      </w:r>
      <w:r w:rsidR="00E666A2">
        <w:t xml:space="preserve">pplicable Commission rule </w:t>
      </w:r>
      <w:r w:rsidR="004E70DA">
        <w:t>is</w:t>
      </w:r>
      <w:r w:rsidR="00E666A2">
        <w:t xml:space="preserve"> WAC 480-07-320 – Consolidation of Proceedings.  Under that rule, the Commission may, in its discretion, consolidate “two or more proceedings in which the facts or principles of law are related.”</w:t>
      </w:r>
    </w:p>
    <w:p w:rsidR="00E666A2" w:rsidRDefault="004E70DA" w:rsidP="00DC7661">
      <w:pPr>
        <w:spacing w:line="480" w:lineRule="auto"/>
        <w:jc w:val="center"/>
        <w:rPr>
          <w:b/>
        </w:rPr>
      </w:pPr>
      <w:r>
        <w:rPr>
          <w:b/>
        </w:rPr>
        <w:t>I.</w:t>
      </w:r>
      <w:r>
        <w:rPr>
          <w:b/>
        </w:rPr>
        <w:tab/>
      </w:r>
      <w:r w:rsidR="00DC7661">
        <w:rPr>
          <w:b/>
        </w:rPr>
        <w:t>NATURE OF THE DOCKETS</w:t>
      </w:r>
    </w:p>
    <w:p w:rsidR="00E666A2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rPr>
          <w:b/>
        </w:rPr>
        <w:tab/>
      </w:r>
      <w:r w:rsidR="00E666A2" w:rsidRPr="00DC7661">
        <w:rPr>
          <w:b/>
        </w:rPr>
        <w:t xml:space="preserve">Docket UE-130617 (PCORC).  </w:t>
      </w:r>
      <w:r w:rsidR="00E666A2">
        <w:t xml:space="preserve">This docket is </w:t>
      </w:r>
      <w:r w:rsidR="00547AA1">
        <w:t>PSE’s P</w:t>
      </w:r>
      <w:r w:rsidR="00E666A2">
        <w:t>CORC filing</w:t>
      </w:r>
      <w:r w:rsidR="004E70DA">
        <w:t>, in which PSE is seeking a Commission determination of the Company’s power costs for ratemaking purposes.</w:t>
      </w:r>
      <w:r w:rsidR="00E666A2">
        <w:t xml:space="preserve">  This docket is underway, and the parties are currently engaged in the discovery process.</w:t>
      </w:r>
    </w:p>
    <w:p w:rsidR="004E70DA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rPr>
          <w:b/>
        </w:rPr>
        <w:tab/>
      </w:r>
      <w:r w:rsidR="00E666A2" w:rsidRPr="00DC7661">
        <w:rPr>
          <w:b/>
        </w:rPr>
        <w:t>Docket UE-130583 (</w:t>
      </w:r>
      <w:r w:rsidR="00422488" w:rsidRPr="00DC7661">
        <w:rPr>
          <w:b/>
        </w:rPr>
        <w:t xml:space="preserve">Major Maintenance </w:t>
      </w:r>
      <w:r w:rsidR="00E666A2" w:rsidRPr="00DC7661">
        <w:rPr>
          <w:b/>
        </w:rPr>
        <w:t>Accounting Petition</w:t>
      </w:r>
      <w:r w:rsidR="000155C2" w:rsidRPr="00DC7661">
        <w:rPr>
          <w:b/>
        </w:rPr>
        <w:t>)</w:t>
      </w:r>
      <w:r w:rsidR="00DB0908" w:rsidRPr="00DC7661">
        <w:rPr>
          <w:b/>
        </w:rPr>
        <w:t>.</w:t>
      </w:r>
      <w:r w:rsidR="00C82C50" w:rsidRPr="00DC7661">
        <w:rPr>
          <w:b/>
        </w:rPr>
        <w:t xml:space="preserve"> </w:t>
      </w:r>
      <w:r w:rsidR="00E666A2">
        <w:t xml:space="preserve">This docket </w:t>
      </w:r>
      <w:r w:rsidR="00547AA1">
        <w:t xml:space="preserve">was initiated by </w:t>
      </w:r>
      <w:r w:rsidR="00E666A2">
        <w:t xml:space="preserve">a petition PSE filed on April 23, 2013, seeking an accounting order allowing the Company to </w:t>
      </w:r>
      <w:r w:rsidR="004E70DA">
        <w:t xml:space="preserve">defer and amortize certain “major maintenance” costs associated with its Mint Farm </w:t>
      </w:r>
      <w:r w:rsidR="003C2E1E">
        <w:t>Combined Cycle Generating Station (“Mint Farm Facility”)</w:t>
      </w:r>
      <w:r w:rsidR="004E70DA">
        <w:t xml:space="preserve">.  This docket has not </w:t>
      </w:r>
      <w:r w:rsidR="00CF1325">
        <w:t xml:space="preserve">yet </w:t>
      </w:r>
      <w:r w:rsidR="004E70DA">
        <w:t>been presented for action by the Commission.</w:t>
      </w:r>
    </w:p>
    <w:p w:rsidR="00E666A2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rPr>
          <w:b/>
        </w:rPr>
        <w:tab/>
      </w:r>
      <w:r w:rsidR="004E70DA" w:rsidRPr="00DC7661">
        <w:rPr>
          <w:b/>
        </w:rPr>
        <w:t xml:space="preserve">Docket UE-131099 (Property Transfer </w:t>
      </w:r>
      <w:r w:rsidR="00DB0908" w:rsidRPr="00DC7661">
        <w:rPr>
          <w:b/>
        </w:rPr>
        <w:t>Application</w:t>
      </w:r>
      <w:r w:rsidR="004E70DA" w:rsidRPr="00DC7661">
        <w:rPr>
          <w:b/>
        </w:rPr>
        <w:t>– Electron)</w:t>
      </w:r>
      <w:r w:rsidR="004E70DA">
        <w:t xml:space="preserve">.  This docket </w:t>
      </w:r>
      <w:r w:rsidR="00CF1325">
        <w:t xml:space="preserve">was initiated by </w:t>
      </w:r>
      <w:r w:rsidR="004E70DA">
        <w:t>an application PSE filed on June 6, 2013, related to its pending sale of the Company’s Electron Hydroelectric Project (</w:t>
      </w:r>
      <w:r w:rsidR="003C2E1E">
        <w:t>“</w:t>
      </w:r>
      <w:r w:rsidR="004E70DA">
        <w:t>Electron</w:t>
      </w:r>
      <w:r w:rsidR="003C2E1E">
        <w:t>”</w:t>
      </w:r>
      <w:r w:rsidR="004E70DA">
        <w:t xml:space="preserve">).  PSE seeks either a Commission order finding the sale is not subject to the transfer of property statute, RCW 80.12, or </w:t>
      </w:r>
      <w:r w:rsidR="00422FFC">
        <w:t xml:space="preserve">an order </w:t>
      </w:r>
      <w:r w:rsidR="004E70DA">
        <w:t>approv</w:t>
      </w:r>
      <w:r w:rsidR="00422FFC">
        <w:t>ing</w:t>
      </w:r>
      <w:r w:rsidR="004E70DA">
        <w:t xml:space="preserve"> the sale pursuant to that </w:t>
      </w:r>
      <w:r w:rsidR="00422FFC">
        <w:t xml:space="preserve">same </w:t>
      </w:r>
      <w:r w:rsidR="004E70DA">
        <w:t xml:space="preserve">statute.  </w:t>
      </w:r>
      <w:r w:rsidR="00CF1325">
        <w:t>In addition</w:t>
      </w:r>
      <w:r w:rsidR="00422FFC">
        <w:t>,</w:t>
      </w:r>
      <w:r w:rsidR="00CF1325">
        <w:t xml:space="preserve"> </w:t>
      </w:r>
      <w:r w:rsidR="004E70DA">
        <w:t xml:space="preserve">PSE asks the </w:t>
      </w:r>
      <w:r w:rsidR="004E70DA">
        <w:lastRenderedPageBreak/>
        <w:t xml:space="preserve">Commission to approve a specific “accounting and ratemaking treatment” </w:t>
      </w:r>
      <w:r w:rsidR="00CF1325">
        <w:t>for the sale</w:t>
      </w:r>
      <w:r w:rsidR="00D50B57">
        <w:t>,</w:t>
      </w:r>
      <w:r w:rsidR="00D50B57">
        <w:rPr>
          <w:rStyle w:val="FootnoteReference"/>
        </w:rPr>
        <w:footnoteReference w:id="1"/>
      </w:r>
      <w:r w:rsidR="00CF1325">
        <w:t xml:space="preserve"> which is described</w:t>
      </w:r>
      <w:r w:rsidR="004E70DA">
        <w:t xml:space="preserve"> </w:t>
      </w:r>
      <w:r w:rsidR="00547AA1">
        <w:t xml:space="preserve">in more detail </w:t>
      </w:r>
      <w:r w:rsidR="00CF1325">
        <w:t xml:space="preserve">later </w:t>
      </w:r>
      <w:r w:rsidR="004E70DA">
        <w:t>in th</w:t>
      </w:r>
      <w:r w:rsidR="00547AA1">
        <w:t>at</w:t>
      </w:r>
      <w:r w:rsidR="004E70DA">
        <w:t xml:space="preserve"> Application.  This docket has not </w:t>
      </w:r>
      <w:r w:rsidR="00CF1325">
        <w:t xml:space="preserve">yet </w:t>
      </w:r>
      <w:r w:rsidR="004E70DA">
        <w:t>been presented for action by the Commission.</w:t>
      </w:r>
    </w:p>
    <w:p w:rsidR="00DC7661" w:rsidRDefault="004E70DA" w:rsidP="00DC7661">
      <w:pPr>
        <w:jc w:val="center"/>
        <w:rPr>
          <w:b/>
        </w:rPr>
      </w:pPr>
      <w:r>
        <w:rPr>
          <w:b/>
        </w:rPr>
        <w:t>II.</w:t>
      </w:r>
      <w:r>
        <w:rPr>
          <w:b/>
        </w:rPr>
        <w:tab/>
      </w:r>
      <w:r w:rsidR="00DC7661">
        <w:rPr>
          <w:b/>
        </w:rPr>
        <w:t xml:space="preserve">THE THREE DOCKETS HAVE COMMON FACTS </w:t>
      </w:r>
    </w:p>
    <w:p w:rsidR="004E70DA" w:rsidRDefault="00DC7661" w:rsidP="00DC7661">
      <w:pPr>
        <w:jc w:val="center"/>
        <w:rPr>
          <w:b/>
        </w:rPr>
      </w:pPr>
      <w:r>
        <w:rPr>
          <w:b/>
        </w:rPr>
        <w:t>AND PRINCIPLES OF LAW</w:t>
      </w:r>
    </w:p>
    <w:p w:rsidR="00DC7661" w:rsidRDefault="00DC7661" w:rsidP="00DC7661">
      <w:pPr>
        <w:jc w:val="center"/>
        <w:rPr>
          <w:b/>
        </w:rPr>
      </w:pPr>
    </w:p>
    <w:p w:rsidR="00DB0908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4E70DA">
        <w:t>In the PCORC</w:t>
      </w:r>
      <w:r w:rsidR="00D944B5">
        <w:t xml:space="preserve"> docket</w:t>
      </w:r>
      <w:r w:rsidR="004E70DA">
        <w:t xml:space="preserve">, PSE is seeking </w:t>
      </w:r>
      <w:r w:rsidR="00E15CB5">
        <w:t xml:space="preserve">recovery </w:t>
      </w:r>
      <w:r w:rsidR="004E70DA">
        <w:t xml:space="preserve">for </w:t>
      </w:r>
      <w:r w:rsidR="003C2E1E">
        <w:t>“</w:t>
      </w:r>
      <w:r w:rsidR="004E70DA">
        <w:t>major maintenance</w:t>
      </w:r>
      <w:r w:rsidR="003C2E1E">
        <w:t>”</w:t>
      </w:r>
      <w:r w:rsidR="004E70DA">
        <w:t xml:space="preserve"> </w:t>
      </w:r>
      <w:r w:rsidR="00547AA1">
        <w:t xml:space="preserve">costs </w:t>
      </w:r>
      <w:r w:rsidR="00E15CB5">
        <w:t xml:space="preserve">related to </w:t>
      </w:r>
      <w:r w:rsidR="00547AA1">
        <w:t xml:space="preserve">PSE’s </w:t>
      </w:r>
      <w:r w:rsidR="00E15CB5">
        <w:t xml:space="preserve">Mint Farm </w:t>
      </w:r>
      <w:r w:rsidR="003C2E1E">
        <w:t>Facility</w:t>
      </w:r>
      <w:r w:rsidR="001467E5">
        <w:rPr>
          <w:rStyle w:val="FootnoteReference"/>
        </w:rPr>
        <w:footnoteReference w:id="2"/>
      </w:r>
      <w:r w:rsidR="00E15CB5">
        <w:t xml:space="preserve"> </w:t>
      </w:r>
      <w:r w:rsidR="00547AA1">
        <w:t xml:space="preserve">using </w:t>
      </w:r>
      <w:r w:rsidR="004E70DA">
        <w:t>the</w:t>
      </w:r>
      <w:r w:rsidR="00E15CB5">
        <w:t xml:space="preserve"> rate</w:t>
      </w:r>
      <w:r w:rsidR="004E70DA">
        <w:t xml:space="preserve"> treatment PSE</w:t>
      </w:r>
      <w:r w:rsidR="004E70DA" w:rsidRPr="004E70DA">
        <w:t xml:space="preserve"> is requesting </w:t>
      </w:r>
      <w:r w:rsidR="00D50B57">
        <w:t>with</w:t>
      </w:r>
      <w:r w:rsidR="004E70DA" w:rsidRPr="004E70DA">
        <w:t xml:space="preserve">in </w:t>
      </w:r>
      <w:r w:rsidR="00DB0908">
        <w:t>its Major Maintenance A</w:t>
      </w:r>
      <w:r w:rsidR="00D50B57">
        <w:t xml:space="preserve">ccounting </w:t>
      </w:r>
      <w:r w:rsidR="00DB0908">
        <w:t>P</w:t>
      </w:r>
      <w:r w:rsidR="00D50B57">
        <w:t>etition</w:t>
      </w:r>
      <w:r w:rsidR="00DB0908">
        <w:t xml:space="preserve"> in Docket UE-130583</w:t>
      </w:r>
      <w:r w:rsidR="004E70DA">
        <w:t>.</w:t>
      </w:r>
      <w:r w:rsidR="00D944B5">
        <w:t xml:space="preserve">  Thus, these two dockets share common facts.  In addition, these two dockets share common principles of law, because whether to grant the </w:t>
      </w:r>
      <w:r w:rsidR="00CF1325">
        <w:t xml:space="preserve">accounting for </w:t>
      </w:r>
      <w:r w:rsidR="003C2E1E">
        <w:t>“</w:t>
      </w:r>
      <w:r w:rsidR="00D944B5">
        <w:t>major maintenance</w:t>
      </w:r>
      <w:r w:rsidR="003C2E1E">
        <w:t>” costs</w:t>
      </w:r>
      <w:r w:rsidR="00D944B5">
        <w:t xml:space="preserve"> </w:t>
      </w:r>
      <w:r w:rsidR="00CF1325">
        <w:t xml:space="preserve">PSE requests </w:t>
      </w:r>
      <w:r w:rsidR="00D944B5">
        <w:t xml:space="preserve">and whether to implement such accounting </w:t>
      </w:r>
      <w:r w:rsidR="00CF1325">
        <w:t xml:space="preserve">for ratemaking purposes </w:t>
      </w:r>
      <w:r w:rsidR="00D944B5">
        <w:t>depend on the same legal and policy rationales.</w:t>
      </w:r>
      <w:r w:rsidR="003C2E1E">
        <w:t xml:space="preserve">  </w:t>
      </w:r>
    </w:p>
    <w:p w:rsidR="004E70DA" w:rsidRPr="004E70DA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4E70DA">
        <w:t>In the PCORC</w:t>
      </w:r>
      <w:r w:rsidR="00D944B5">
        <w:t xml:space="preserve"> docket</w:t>
      </w:r>
      <w:r w:rsidR="004E70DA">
        <w:t xml:space="preserve">, PSE is seeking </w:t>
      </w:r>
      <w:r w:rsidR="00E15CB5">
        <w:t xml:space="preserve">recovery </w:t>
      </w:r>
      <w:r w:rsidR="004E70DA">
        <w:t xml:space="preserve">for </w:t>
      </w:r>
      <w:r w:rsidR="00D944B5">
        <w:t xml:space="preserve">the </w:t>
      </w:r>
      <w:r w:rsidR="004E70DA">
        <w:t xml:space="preserve">Electron </w:t>
      </w:r>
      <w:r w:rsidR="00D944B5">
        <w:t>sale.</w:t>
      </w:r>
      <w:r w:rsidR="001467E5">
        <w:rPr>
          <w:rStyle w:val="FootnoteReference"/>
        </w:rPr>
        <w:footnoteReference w:id="3"/>
      </w:r>
      <w:r w:rsidR="00D944B5">
        <w:t xml:space="preserve">  I</w:t>
      </w:r>
      <w:r w:rsidR="00D944B5" w:rsidRPr="004E70DA">
        <w:t xml:space="preserve">n </w:t>
      </w:r>
      <w:r w:rsidR="00DB0908">
        <w:t xml:space="preserve">its Property Transfer Application, </w:t>
      </w:r>
      <w:r w:rsidR="00D944B5" w:rsidRPr="004E70DA">
        <w:t>Docket UE-131099</w:t>
      </w:r>
      <w:r w:rsidR="00D944B5">
        <w:t xml:space="preserve">, </w:t>
      </w:r>
      <w:r w:rsidR="00422FFC">
        <w:t xml:space="preserve">among other things, </w:t>
      </w:r>
      <w:r w:rsidR="00D944B5">
        <w:t xml:space="preserve">the Company is asking the Commission to prescribe </w:t>
      </w:r>
      <w:r w:rsidR="00422488">
        <w:t xml:space="preserve">accounting and </w:t>
      </w:r>
      <w:r w:rsidR="00D944B5">
        <w:t xml:space="preserve">ratemaking </w:t>
      </w:r>
      <w:r w:rsidR="004E70DA">
        <w:t xml:space="preserve">treatment </w:t>
      </w:r>
      <w:r w:rsidR="00D944B5">
        <w:t>for the Electron sale.</w:t>
      </w:r>
      <w:r w:rsidR="00C82C50">
        <w:rPr>
          <w:rStyle w:val="FootnoteReference"/>
        </w:rPr>
        <w:footnoteReference w:id="4"/>
      </w:r>
      <w:r w:rsidR="004E70DA" w:rsidRPr="004E70DA">
        <w:t xml:space="preserve"> </w:t>
      </w:r>
      <w:r w:rsidR="00D944B5">
        <w:t xml:space="preserve"> Thus, these two dockets share common facts</w:t>
      </w:r>
      <w:r w:rsidR="003E39F4">
        <w:t xml:space="preserve"> and principles of law regarding appropriate regulatory treatment</w:t>
      </w:r>
      <w:r w:rsidR="00D944B5">
        <w:t>.</w:t>
      </w:r>
    </w:p>
    <w:p w:rsidR="00E666A2" w:rsidRDefault="00422488" w:rsidP="009F67A5">
      <w:pPr>
        <w:spacing w:line="480" w:lineRule="auto"/>
        <w:jc w:val="center"/>
        <w:rPr>
          <w:b/>
        </w:rPr>
      </w:pPr>
      <w:r>
        <w:rPr>
          <w:b/>
        </w:rPr>
        <w:t>III.</w:t>
      </w:r>
      <w:r>
        <w:rPr>
          <w:b/>
        </w:rPr>
        <w:tab/>
      </w:r>
      <w:r w:rsidR="00DC7661">
        <w:rPr>
          <w:b/>
        </w:rPr>
        <w:t>CONSOLIDATION OF THESE DOCKETS PROMOTES EFFICIENCY</w:t>
      </w:r>
    </w:p>
    <w:p w:rsidR="00CF1325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422488">
        <w:t xml:space="preserve">Consolidating these dockets promotes regulatory efficiency by resolving related factual and legal issues in the same proceeding.  Otherwise, for example, if the Commission set the accounting petition for hearing in a separate docket, Staff would not address </w:t>
      </w:r>
      <w:r w:rsidR="00CF1325">
        <w:t>the ratemaking treatment PSE proposes for major maintenance</w:t>
      </w:r>
      <w:r w:rsidR="00422488">
        <w:t xml:space="preserve"> in the PCORC, because th</w:t>
      </w:r>
      <w:r w:rsidR="00CF1325">
        <w:t xml:space="preserve">at </w:t>
      </w:r>
      <w:r w:rsidR="00CF1325">
        <w:lastRenderedPageBreak/>
        <w:t xml:space="preserve">depends on the propriety of the </w:t>
      </w:r>
      <w:r w:rsidR="00422488">
        <w:t>accounting</w:t>
      </w:r>
      <w:r w:rsidR="00CF1325">
        <w:t xml:space="preserve">, which is </w:t>
      </w:r>
      <w:r w:rsidR="00422488">
        <w:t xml:space="preserve">reserved for </w:t>
      </w:r>
      <w:r w:rsidR="003236EA">
        <w:t xml:space="preserve">the accounting application in </w:t>
      </w:r>
      <w:r w:rsidR="00CF1325">
        <w:t>Docket UE-130583</w:t>
      </w:r>
      <w:r w:rsidR="00422488">
        <w:t>.</w:t>
      </w:r>
      <w:r w:rsidR="003E39F4">
        <w:t xml:space="preserve">  </w:t>
      </w:r>
    </w:p>
    <w:p w:rsidR="00CF1325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422488">
        <w:t>As PSE explains</w:t>
      </w:r>
      <w:r w:rsidR="00547AA1">
        <w:t xml:space="preserve"> in </w:t>
      </w:r>
      <w:r w:rsidR="00CB5055">
        <w:t>its</w:t>
      </w:r>
      <w:r w:rsidR="00547AA1">
        <w:t xml:space="preserve"> </w:t>
      </w:r>
      <w:r w:rsidR="00D50B57">
        <w:t>a</w:t>
      </w:r>
      <w:r w:rsidR="00547AA1">
        <w:t xml:space="preserve">ccounting </w:t>
      </w:r>
      <w:r w:rsidR="00D50B57">
        <w:t>p</w:t>
      </w:r>
      <w:r w:rsidR="00547AA1">
        <w:t>etition</w:t>
      </w:r>
      <w:r w:rsidR="00422488">
        <w:t xml:space="preserve">, the Commission has </w:t>
      </w:r>
      <w:r w:rsidR="0029302B">
        <w:t>stated</w:t>
      </w:r>
      <w:r w:rsidR="00422488">
        <w:t xml:space="preserve"> that PSE </w:t>
      </w:r>
      <w:r w:rsidR="0029302B">
        <w:t>may</w:t>
      </w:r>
      <w:r w:rsidR="00422488">
        <w:t xml:space="preserve"> fil</w:t>
      </w:r>
      <w:r w:rsidR="00547AA1">
        <w:t>e</w:t>
      </w:r>
      <w:r w:rsidR="00422488">
        <w:t xml:space="preserve"> an accounting petition</w:t>
      </w:r>
      <w:r w:rsidR="00547AA1">
        <w:t xml:space="preserve"> to “protect itself fr</w:t>
      </w:r>
      <w:r w:rsidR="00F20A72">
        <w:t>o</w:t>
      </w:r>
      <w:r w:rsidR="00547AA1">
        <w:t>m any arguable inability to recover such costs”</w:t>
      </w:r>
      <w:r w:rsidR="00422488">
        <w:t>,</w:t>
      </w:r>
      <w:r w:rsidR="00422488">
        <w:rPr>
          <w:rStyle w:val="FootnoteReference"/>
        </w:rPr>
        <w:footnoteReference w:id="5"/>
      </w:r>
      <w:r w:rsidR="00422488">
        <w:t xml:space="preserve"> and PSE did so in Docket UE-130583.  However, PSE is implementing the Company’s proposed accounting</w:t>
      </w:r>
      <w:r w:rsidR="00D50B57">
        <w:t xml:space="preserve"> treatment</w:t>
      </w:r>
      <w:r w:rsidR="00422488">
        <w:t xml:space="preserve"> in the PCORC, Docket </w:t>
      </w:r>
      <w:r w:rsidR="00DB0908">
        <w:t>UE-</w:t>
      </w:r>
      <w:r w:rsidR="00422488">
        <w:t xml:space="preserve">130617, before having Commission approval for that accounting.  It only makes sense to decide </w:t>
      </w:r>
      <w:r w:rsidR="00CF1325">
        <w:t xml:space="preserve">the major maintenance accounting and ratemaking issues </w:t>
      </w:r>
      <w:r w:rsidR="00422488">
        <w:t>in one proceeding.</w:t>
      </w:r>
    </w:p>
    <w:p w:rsidR="003E39F4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3E39F4">
        <w:t>Moreover, in past PSE dockets,</w:t>
      </w:r>
      <w:r w:rsidR="003E39F4">
        <w:rPr>
          <w:rStyle w:val="FootnoteReference"/>
        </w:rPr>
        <w:footnoteReference w:id="6"/>
      </w:r>
      <w:r w:rsidR="003E39F4">
        <w:t xml:space="preserve"> Staff has opposed deferred accounting for major maintenance, and the Company’s accounting petition provides nothing new that would change Staff’s position.  Accordingly, a hearing is the appropriate vehicle for Commission resolution of this issue.  Consolidation is the most efficient means of resolving this issue.</w:t>
      </w:r>
    </w:p>
    <w:p w:rsidR="00422488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3E39F4">
        <w:t xml:space="preserve">Regarding </w:t>
      </w:r>
      <w:r w:rsidR="00CF1325">
        <w:t xml:space="preserve">the sale of Electron, </w:t>
      </w:r>
      <w:r w:rsidR="007D7FA2">
        <w:t xml:space="preserve">as we have described, </w:t>
      </w:r>
      <w:r w:rsidR="00CF1325">
        <w:t xml:space="preserve">the Company seeks approval of </w:t>
      </w:r>
      <w:r w:rsidR="00DB0908">
        <w:t xml:space="preserve">accounting and </w:t>
      </w:r>
      <w:r w:rsidR="00CF1325">
        <w:t xml:space="preserve">ratemaking treatment in </w:t>
      </w:r>
      <w:r w:rsidR="003E39F4">
        <w:t xml:space="preserve">both </w:t>
      </w:r>
      <w:r w:rsidR="00CF1325">
        <w:t xml:space="preserve">the </w:t>
      </w:r>
      <w:r w:rsidR="003E39F4">
        <w:t xml:space="preserve">transfer of property </w:t>
      </w:r>
      <w:r w:rsidR="00CF1325">
        <w:t xml:space="preserve">docket and </w:t>
      </w:r>
      <w:r w:rsidR="00DB0908">
        <w:t xml:space="preserve">the </w:t>
      </w:r>
      <w:r w:rsidR="00CF1325">
        <w:t xml:space="preserve">PCORC.  </w:t>
      </w:r>
      <w:r w:rsidR="003236EA">
        <w:t xml:space="preserve">The Commission should resolve the accounting and ratemaking issues in </w:t>
      </w:r>
      <w:r w:rsidR="003E39F4">
        <w:t xml:space="preserve">one docket: </w:t>
      </w:r>
      <w:r w:rsidR="003236EA">
        <w:t xml:space="preserve">the PCORC, </w:t>
      </w:r>
      <w:r w:rsidR="003E39F4">
        <w:t xml:space="preserve">because the </w:t>
      </w:r>
      <w:r w:rsidR="003236EA">
        <w:t>PCORC is the docket for addressing ratemaking treatment.  The Commission rarely</w:t>
      </w:r>
      <w:r w:rsidR="003E39F4">
        <w:t xml:space="preserve"> </w:t>
      </w:r>
      <w:r w:rsidR="003236EA">
        <w:t xml:space="preserve">has addressed </w:t>
      </w:r>
      <w:r w:rsidR="003E39F4">
        <w:t xml:space="preserve">accounting and </w:t>
      </w:r>
      <w:r w:rsidR="003236EA">
        <w:t xml:space="preserve">ratemaking treatment in a property transfer docket. </w:t>
      </w:r>
    </w:p>
    <w:p w:rsidR="00CF1325" w:rsidRDefault="00CF1325" w:rsidP="009F67A5">
      <w:pPr>
        <w:spacing w:line="480" w:lineRule="auto"/>
        <w:jc w:val="center"/>
        <w:rPr>
          <w:b/>
        </w:rPr>
      </w:pPr>
      <w:r>
        <w:rPr>
          <w:b/>
        </w:rPr>
        <w:t>III.</w:t>
      </w:r>
      <w:r>
        <w:rPr>
          <w:b/>
        </w:rPr>
        <w:tab/>
      </w:r>
      <w:r w:rsidR="00DC7661">
        <w:rPr>
          <w:b/>
        </w:rPr>
        <w:t>CONCLUSION</w:t>
      </w:r>
    </w:p>
    <w:p w:rsidR="00CF1325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CF1325">
        <w:t>For the foregoing reasons, the Commission should consolidate Docket UE-130583 (</w:t>
      </w:r>
      <w:r w:rsidR="007D7FA2">
        <w:t xml:space="preserve">Major Maintenance </w:t>
      </w:r>
      <w:r w:rsidR="00CF1325">
        <w:t xml:space="preserve">Accounting Petition) and </w:t>
      </w:r>
      <w:r w:rsidR="00DB0908">
        <w:t xml:space="preserve">the accounting and ratemaking issues in </w:t>
      </w:r>
      <w:r w:rsidR="00CF1325">
        <w:t>Docket UE-131099 (Application Related to Property Transfer – Electron) with Docket UE-</w:t>
      </w:r>
      <w:r w:rsidR="00CF1325">
        <w:lastRenderedPageBreak/>
        <w:t>130617 (Power Cost Only Rate Case).</w:t>
      </w:r>
      <w:r w:rsidR="00DB0908">
        <w:t xml:space="preserve"> </w:t>
      </w:r>
      <w:r w:rsidR="00187775">
        <w:t xml:space="preserve"> The issue of whether to approve the property transfer in Docket UE-131099 relating to the Electron project would remain in that docket for resolution by the Commission.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720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 xml:space="preserve">DATED this </w:t>
      </w:r>
      <w:r w:rsidR="007B1A03">
        <w:rPr>
          <w:rFonts w:eastAsia="Times New Roman" w:cs="Times New Roman"/>
          <w:szCs w:val="24"/>
        </w:rPr>
        <w:t>17</w:t>
      </w:r>
      <w:r w:rsidRPr="009F67A5">
        <w:rPr>
          <w:rFonts w:eastAsia="Times New Roman" w:cs="Times New Roman"/>
          <w:szCs w:val="24"/>
          <w:vertAlign w:val="superscript"/>
        </w:rPr>
        <w:t>th</w:t>
      </w:r>
      <w:r>
        <w:rPr>
          <w:rFonts w:eastAsia="Times New Roman" w:cs="Times New Roman"/>
          <w:szCs w:val="24"/>
        </w:rPr>
        <w:t xml:space="preserve"> </w:t>
      </w:r>
      <w:r w:rsidRPr="009F67A5">
        <w:rPr>
          <w:rFonts w:eastAsia="Times New Roman" w:cs="Times New Roman"/>
          <w:szCs w:val="24"/>
        </w:rPr>
        <w:t xml:space="preserve">day of </w:t>
      </w:r>
      <w:r>
        <w:rPr>
          <w:rFonts w:eastAsia="Times New Roman" w:cs="Times New Roman"/>
          <w:szCs w:val="24"/>
        </w:rPr>
        <w:t xml:space="preserve">July </w:t>
      </w:r>
      <w:r w:rsidRPr="009F67A5">
        <w:rPr>
          <w:rFonts w:eastAsia="Times New Roman" w:cs="Times New Roman"/>
          <w:szCs w:val="24"/>
        </w:rPr>
        <w:t>2013.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720"/>
        <w:rPr>
          <w:rFonts w:eastAsia="Times New Roman" w:cs="Times New Roman"/>
          <w:szCs w:val="24"/>
        </w:rPr>
      </w:pP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720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  <w:t xml:space="preserve">Respectfully submitted, </w:t>
      </w:r>
    </w:p>
    <w:p w:rsidR="009F67A5" w:rsidRPr="009F67A5" w:rsidRDefault="009F67A5" w:rsidP="009F67A5">
      <w:pPr>
        <w:ind w:left="686"/>
        <w:rPr>
          <w:rFonts w:eastAsia="Times New Roman" w:cs="Times New Roman"/>
          <w:szCs w:val="24"/>
        </w:rPr>
      </w:pP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504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 xml:space="preserve">ROBERT W. FERGUSON 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firstLine="504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>Attorney General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</w:p>
    <w:p w:rsidR="009F67A5" w:rsidRPr="009F67A5" w:rsidRDefault="009F67A5" w:rsidP="009F67A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</w:p>
    <w:p w:rsidR="009F67A5" w:rsidRPr="009F67A5" w:rsidRDefault="009F67A5" w:rsidP="009F67A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1440" w:firstLine="360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>______________________________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firstLine="50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DONALD T. TROTTER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1440" w:firstLine="360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>Assistant Attorney General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2160" w:firstLine="288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9F67A5">
            <w:rPr>
              <w:rFonts w:eastAsia="Times New Roman" w:cs="Times New Roman"/>
              <w:szCs w:val="24"/>
            </w:rPr>
            <w:t>Washington</w:t>
          </w:r>
        </w:smartTag>
      </w:smartTag>
      <w:r w:rsidRPr="009F67A5">
        <w:rPr>
          <w:rFonts w:eastAsia="Times New Roman" w:cs="Times New Roman"/>
          <w:szCs w:val="24"/>
        </w:rPr>
        <w:t xml:space="preserve"> Utilities and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2880" w:firstLine="216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>Transportation Commission Staff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4"/>
        </w:rPr>
      </w:pPr>
    </w:p>
    <w:p w:rsidR="009F67A5" w:rsidRPr="00CF1325" w:rsidRDefault="009F67A5" w:rsidP="00E666A2">
      <w:pPr>
        <w:spacing w:line="480" w:lineRule="auto"/>
      </w:pPr>
    </w:p>
    <w:sectPr w:rsidR="009F67A5" w:rsidRPr="00CF1325" w:rsidSect="009F67A5">
      <w:footerReference w:type="default" r:id="rId9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6" w:rsidRDefault="00554776" w:rsidP="00422488">
      <w:r>
        <w:separator/>
      </w:r>
    </w:p>
  </w:endnote>
  <w:endnote w:type="continuationSeparator" w:id="0">
    <w:p w:rsidR="00554776" w:rsidRDefault="00554776" w:rsidP="0042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A5" w:rsidRDefault="009F67A5">
    <w:pPr>
      <w:pStyle w:val="Footer"/>
      <w:rPr>
        <w:sz w:val="20"/>
        <w:szCs w:val="20"/>
      </w:rPr>
    </w:pPr>
  </w:p>
  <w:p w:rsidR="009F67A5" w:rsidRPr="009F67A5" w:rsidRDefault="009F67A5">
    <w:pPr>
      <w:pStyle w:val="Footer"/>
      <w:rPr>
        <w:sz w:val="20"/>
        <w:szCs w:val="20"/>
      </w:rPr>
    </w:pPr>
    <w:r>
      <w:rPr>
        <w:sz w:val="20"/>
        <w:szCs w:val="20"/>
      </w:rPr>
      <w:t xml:space="preserve">MOTION FOR CONSOLIDATION - </w:t>
    </w:r>
    <w:r w:rsidRPr="009F67A5">
      <w:rPr>
        <w:sz w:val="20"/>
        <w:szCs w:val="20"/>
      </w:rPr>
      <w:fldChar w:fldCharType="begin"/>
    </w:r>
    <w:r w:rsidRPr="009F67A5">
      <w:rPr>
        <w:sz w:val="20"/>
        <w:szCs w:val="20"/>
      </w:rPr>
      <w:instrText xml:space="preserve"> PAGE   \* MERGEFORMAT </w:instrText>
    </w:r>
    <w:r w:rsidRPr="009F67A5">
      <w:rPr>
        <w:sz w:val="20"/>
        <w:szCs w:val="20"/>
      </w:rPr>
      <w:fldChar w:fldCharType="separate"/>
    </w:r>
    <w:r w:rsidR="003741B2">
      <w:rPr>
        <w:noProof/>
        <w:sz w:val="20"/>
        <w:szCs w:val="20"/>
      </w:rPr>
      <w:t>1</w:t>
    </w:r>
    <w:r w:rsidRPr="009F67A5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6" w:rsidRDefault="00554776" w:rsidP="00422488">
      <w:r>
        <w:separator/>
      </w:r>
    </w:p>
  </w:footnote>
  <w:footnote w:type="continuationSeparator" w:id="0">
    <w:p w:rsidR="00554776" w:rsidRDefault="00554776" w:rsidP="00422488">
      <w:r>
        <w:continuationSeparator/>
      </w:r>
    </w:p>
  </w:footnote>
  <w:footnote w:id="1">
    <w:p w:rsidR="00D50B57" w:rsidRDefault="00D50B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236EA">
        <w:t>Docket UE-</w:t>
      </w:r>
      <w:r w:rsidR="003E39F4">
        <w:t xml:space="preserve">131099: </w:t>
      </w:r>
      <w:r w:rsidRPr="004E70DA">
        <w:t xml:space="preserve">Property Transfer </w:t>
      </w:r>
      <w:r w:rsidR="003E39F4">
        <w:t xml:space="preserve">Application </w:t>
      </w:r>
      <w:r w:rsidRPr="004E70DA">
        <w:t>– Electron</w:t>
      </w:r>
      <w:r>
        <w:t xml:space="preserve"> at 1, </w:t>
      </w:r>
      <w:r>
        <w:rPr>
          <w:rFonts w:cs="Times New Roman"/>
        </w:rPr>
        <w:t xml:space="preserve">¶ </w:t>
      </w:r>
      <w:r>
        <w:t>2</w:t>
      </w:r>
      <w:r w:rsidR="003E39F4">
        <w:t>.</w:t>
      </w:r>
    </w:p>
  </w:footnote>
  <w:footnote w:id="2">
    <w:p w:rsidR="001467E5" w:rsidRDefault="001467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47AA1">
        <w:t>Docket UE-130617</w:t>
      </w:r>
      <w:r w:rsidR="007F78F7">
        <w:t>: PCORC</w:t>
      </w:r>
      <w:r w:rsidR="00547AA1">
        <w:t xml:space="preserve">; PSE witness </w:t>
      </w:r>
      <w:r>
        <w:t>Barnard, Exhibit No. ___ (KJB-9) at 24 – Adjustment 20.</w:t>
      </w:r>
    </w:p>
  </w:footnote>
  <w:footnote w:id="3">
    <w:p w:rsidR="001467E5" w:rsidRDefault="001467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47AA1">
        <w:t>Id.</w:t>
      </w:r>
      <w:r>
        <w:t xml:space="preserve"> at 16 – Adjustment 12.</w:t>
      </w:r>
    </w:p>
  </w:footnote>
  <w:footnote w:id="4">
    <w:p w:rsidR="00C82C50" w:rsidRDefault="00C82C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E39F4">
        <w:t xml:space="preserve">PSE’s </w:t>
      </w:r>
      <w:r w:rsidRPr="004E70DA">
        <w:t>Application Related to Property Transfer – Electron</w:t>
      </w:r>
      <w:r>
        <w:t xml:space="preserve"> at 13, </w:t>
      </w:r>
      <w:r>
        <w:rPr>
          <w:rFonts w:cs="Times New Roman"/>
        </w:rPr>
        <w:t>¶</w:t>
      </w:r>
      <w:r>
        <w:t xml:space="preserve"> 37</w:t>
      </w:r>
    </w:p>
  </w:footnote>
  <w:footnote w:id="5">
    <w:p w:rsidR="00422488" w:rsidRDefault="00422488">
      <w:pPr>
        <w:pStyle w:val="FootnoteText"/>
      </w:pPr>
      <w:r>
        <w:rPr>
          <w:rStyle w:val="FootnoteReference"/>
        </w:rPr>
        <w:footnoteRef/>
      </w:r>
      <w:r>
        <w:t xml:space="preserve"> PSE’s Major Maintenance Accounting Petition, Docket UE-130583 at 7, </w:t>
      </w:r>
      <w:r>
        <w:rPr>
          <w:rFonts w:cs="Times New Roman"/>
        </w:rPr>
        <w:t>¶</w:t>
      </w:r>
      <w:r>
        <w:t xml:space="preserve"> 12.</w:t>
      </w:r>
    </w:p>
  </w:footnote>
  <w:footnote w:id="6">
    <w:p w:rsidR="003E39F4" w:rsidRDefault="003E39F4" w:rsidP="003E39F4">
      <w:pPr>
        <w:pStyle w:val="FootnoteText"/>
      </w:pPr>
      <w:r>
        <w:rPr>
          <w:rStyle w:val="FootnoteReference"/>
        </w:rPr>
        <w:footnoteRef/>
      </w:r>
      <w:r>
        <w:t xml:space="preserve"> Dockets UE-090704 and UE-111048.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7FF"/>
    <w:multiLevelType w:val="hybridMultilevel"/>
    <w:tmpl w:val="524EE17E"/>
    <w:lvl w:ilvl="0" w:tplc="2FB82DD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F3E3E"/>
    <w:multiLevelType w:val="hybridMultilevel"/>
    <w:tmpl w:val="1E9ED676"/>
    <w:lvl w:ilvl="0" w:tplc="109EC64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D4D43"/>
    <w:multiLevelType w:val="hybridMultilevel"/>
    <w:tmpl w:val="9C24AA52"/>
    <w:lvl w:ilvl="0" w:tplc="90AE0D7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A2"/>
    <w:rsid w:val="000155C2"/>
    <w:rsid w:val="000C6CE7"/>
    <w:rsid w:val="001467E5"/>
    <w:rsid w:val="00187775"/>
    <w:rsid w:val="0029302B"/>
    <w:rsid w:val="003236EA"/>
    <w:rsid w:val="003741B2"/>
    <w:rsid w:val="003C2E1E"/>
    <w:rsid w:val="003E39F4"/>
    <w:rsid w:val="003E49F3"/>
    <w:rsid w:val="00422488"/>
    <w:rsid w:val="00422FFC"/>
    <w:rsid w:val="004E70DA"/>
    <w:rsid w:val="00547AA1"/>
    <w:rsid w:val="00554776"/>
    <w:rsid w:val="005A6726"/>
    <w:rsid w:val="00611294"/>
    <w:rsid w:val="00707BBB"/>
    <w:rsid w:val="007B1A03"/>
    <w:rsid w:val="007D7FA2"/>
    <w:rsid w:val="007F78F7"/>
    <w:rsid w:val="008A627F"/>
    <w:rsid w:val="008A750B"/>
    <w:rsid w:val="00986D66"/>
    <w:rsid w:val="00996F42"/>
    <w:rsid w:val="009F67A5"/>
    <w:rsid w:val="00AF6DCF"/>
    <w:rsid w:val="00B74343"/>
    <w:rsid w:val="00BB2CDB"/>
    <w:rsid w:val="00BF08D9"/>
    <w:rsid w:val="00C211D9"/>
    <w:rsid w:val="00C82C50"/>
    <w:rsid w:val="00CB5055"/>
    <w:rsid w:val="00CF1325"/>
    <w:rsid w:val="00D012B9"/>
    <w:rsid w:val="00D50B57"/>
    <w:rsid w:val="00D808C5"/>
    <w:rsid w:val="00D944B5"/>
    <w:rsid w:val="00DB0908"/>
    <w:rsid w:val="00DC7661"/>
    <w:rsid w:val="00E15CB5"/>
    <w:rsid w:val="00E666A2"/>
    <w:rsid w:val="00E83DD7"/>
    <w:rsid w:val="00F100B0"/>
    <w:rsid w:val="00F2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24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4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48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D7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F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100B0"/>
    <w:pPr>
      <w:spacing w:after="12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F100B0"/>
    <w:rPr>
      <w:rFonts w:eastAsia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F6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7A5"/>
  </w:style>
  <w:style w:type="paragraph" w:styleId="Footer">
    <w:name w:val="footer"/>
    <w:basedOn w:val="Normal"/>
    <w:link w:val="FooterChar"/>
    <w:uiPriority w:val="99"/>
    <w:unhideWhenUsed/>
    <w:rsid w:val="009F6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7A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67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67A5"/>
  </w:style>
  <w:style w:type="paragraph" w:styleId="ListParagraph">
    <w:name w:val="List Paragraph"/>
    <w:basedOn w:val="Normal"/>
    <w:uiPriority w:val="34"/>
    <w:qFormat/>
    <w:rsid w:val="00DC7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24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4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48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D7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F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100B0"/>
    <w:pPr>
      <w:spacing w:after="12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F100B0"/>
    <w:rPr>
      <w:rFonts w:eastAsia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F6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7A5"/>
  </w:style>
  <w:style w:type="paragraph" w:styleId="Footer">
    <w:name w:val="footer"/>
    <w:basedOn w:val="Normal"/>
    <w:link w:val="FooterChar"/>
    <w:uiPriority w:val="99"/>
    <w:unhideWhenUsed/>
    <w:rsid w:val="009F6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7A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67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67A5"/>
  </w:style>
  <w:style w:type="paragraph" w:styleId="ListParagraph">
    <w:name w:val="List Paragraph"/>
    <w:basedOn w:val="Normal"/>
    <w:uiPriority w:val="34"/>
    <w:qFormat/>
    <w:rsid w:val="00DC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7A179-8EC9-4255-BFE9-CE22E2DB5BE5}"/>
</file>

<file path=customXml/itemProps2.xml><?xml version="1.0" encoding="utf-8"?>
<ds:datastoreItem xmlns:ds="http://schemas.openxmlformats.org/officeDocument/2006/customXml" ds:itemID="{9E61AB4B-32C0-45EB-BF8A-2B91FFDBBCBD}"/>
</file>

<file path=customXml/itemProps3.xml><?xml version="1.0" encoding="utf-8"?>
<ds:datastoreItem xmlns:ds="http://schemas.openxmlformats.org/officeDocument/2006/customXml" ds:itemID="{1103EFCD-6257-4638-8BFB-0717234AD935}"/>
</file>

<file path=customXml/itemProps4.xml><?xml version="1.0" encoding="utf-8"?>
<ds:datastoreItem xmlns:ds="http://schemas.openxmlformats.org/officeDocument/2006/customXml" ds:itemID="{F20F0A45-211F-46A3-9002-E64C6E188FD6}"/>
</file>

<file path=customXml/itemProps5.xml><?xml version="1.0" encoding="utf-8"?>
<ds:datastoreItem xmlns:ds="http://schemas.openxmlformats.org/officeDocument/2006/customXml" ds:itemID="{9776A4D7-CBFA-480E-83B3-9A09B8F51C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Trotter</dc:creator>
  <cp:lastModifiedBy>Krista Gross</cp:lastModifiedBy>
  <cp:revision>5</cp:revision>
  <cp:lastPrinted>2013-07-17T15:57:00Z</cp:lastPrinted>
  <dcterms:created xsi:type="dcterms:W3CDTF">2013-07-16T16:21:00Z</dcterms:created>
  <dcterms:modified xsi:type="dcterms:W3CDTF">2013-07-17T15:57:00Z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