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046" w:rsidRPr="00727FDC" w:rsidRDefault="00676046" w:rsidP="00676046">
      <w:pPr>
        <w:pStyle w:val="Header"/>
        <w:tabs>
          <w:tab w:val="clear" w:pos="4320"/>
          <w:tab w:val="clear" w:pos="8640"/>
        </w:tabs>
        <w:jc w:val="center"/>
        <w:rPr>
          <w:rFonts w:ascii="Times New Roman" w:hAnsi="Times New Roman"/>
          <w:sz w:val="24"/>
        </w:rPr>
      </w:pPr>
      <w:r w:rsidRPr="00727FDC">
        <w:rPr>
          <w:rFonts w:ascii="Times New Roman" w:hAnsi="Times New Roman"/>
          <w:sz w:val="24"/>
        </w:rPr>
        <w:t>BEFORE THE WASHINGTON UTILITIES AND TRANSPORTATION COMMISSION</w:t>
      </w:r>
    </w:p>
    <w:p w:rsidR="00676046" w:rsidRDefault="00676046" w:rsidP="00676046">
      <w:pPr>
        <w:pStyle w:val="Header"/>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410"/>
        <w:gridCol w:w="4770"/>
      </w:tblGrid>
      <w:tr w:rsidR="00676046" w:rsidRPr="007D5EB2" w:rsidTr="00CF3EC2">
        <w:trPr>
          <w:trHeight w:val="2267"/>
        </w:trPr>
        <w:tc>
          <w:tcPr>
            <w:tcW w:w="4410" w:type="dxa"/>
            <w:tcBorders>
              <w:top w:val="single" w:sz="6" w:space="0" w:color="FFFFFF"/>
              <w:left w:val="single" w:sz="6" w:space="0" w:color="FFFFFF"/>
              <w:bottom w:val="single" w:sz="7" w:space="0" w:color="000000"/>
              <w:right w:val="single" w:sz="6" w:space="0" w:color="FFFFFF"/>
            </w:tcBorders>
          </w:tcPr>
          <w:p w:rsidR="00676046" w:rsidRDefault="002803BA" w:rsidP="003E3A33">
            <w:pPr>
              <w:spacing w:line="240" w:lineRule="atLeast"/>
              <w:rPr>
                <w:rFonts w:ascii="Times New Roman" w:hAnsi="Times New Roman" w:cs="Times New Roman"/>
                <w:sz w:val="24"/>
                <w:szCs w:val="24"/>
              </w:rPr>
            </w:pPr>
            <w:r>
              <w:rPr>
                <w:rFonts w:ascii="Times New Roman" w:hAnsi="Times New Roman" w:cs="Times New Roman"/>
                <w:sz w:val="24"/>
                <w:szCs w:val="24"/>
              </w:rPr>
              <w:t>SHUTTLE EXPRESS, INC.,</w:t>
            </w:r>
          </w:p>
          <w:p w:rsidR="002803BA" w:rsidRPr="00CF3EC2" w:rsidRDefault="002803BA" w:rsidP="003E3A33">
            <w:pPr>
              <w:spacing w:line="240" w:lineRule="atLeast"/>
              <w:rPr>
                <w:rFonts w:ascii="Times New Roman" w:hAnsi="Times New Roman" w:cs="Times New Roman"/>
                <w:sz w:val="20"/>
                <w:szCs w:val="24"/>
              </w:rPr>
            </w:pPr>
          </w:p>
          <w:p w:rsidR="002803BA" w:rsidRDefault="002803BA" w:rsidP="002803BA">
            <w:pPr>
              <w:spacing w:line="240" w:lineRule="atLeast"/>
              <w:ind w:left="1496"/>
              <w:rPr>
                <w:rFonts w:ascii="Times New Roman" w:hAnsi="Times New Roman" w:cs="Times New Roman"/>
                <w:szCs w:val="24"/>
              </w:rPr>
            </w:pPr>
            <w:r w:rsidRPr="002803BA">
              <w:rPr>
                <w:rFonts w:ascii="Times New Roman" w:hAnsi="Times New Roman" w:cs="Times New Roman"/>
                <w:szCs w:val="24"/>
              </w:rPr>
              <w:t>Petitioner and Complainant,</w:t>
            </w:r>
          </w:p>
          <w:p w:rsidR="002803BA" w:rsidRDefault="002803BA" w:rsidP="002803BA">
            <w:pPr>
              <w:spacing w:line="240" w:lineRule="atLeast"/>
              <w:ind w:left="686"/>
              <w:rPr>
                <w:rFonts w:ascii="Times New Roman" w:hAnsi="Times New Roman" w:cs="Times New Roman"/>
                <w:szCs w:val="24"/>
              </w:rPr>
            </w:pPr>
            <w:proofErr w:type="gramStart"/>
            <w:r>
              <w:rPr>
                <w:rFonts w:ascii="Times New Roman" w:hAnsi="Times New Roman" w:cs="Times New Roman"/>
                <w:szCs w:val="24"/>
              </w:rPr>
              <w:t>v</w:t>
            </w:r>
            <w:proofErr w:type="gramEnd"/>
            <w:r>
              <w:rPr>
                <w:rFonts w:ascii="Times New Roman" w:hAnsi="Times New Roman" w:cs="Times New Roman"/>
                <w:szCs w:val="24"/>
              </w:rPr>
              <w:t>.</w:t>
            </w:r>
          </w:p>
          <w:p w:rsidR="00CF3EC2" w:rsidRPr="00CF3EC2" w:rsidRDefault="00CF3EC2" w:rsidP="002803BA">
            <w:pPr>
              <w:spacing w:line="240" w:lineRule="atLeast"/>
              <w:ind w:left="686"/>
              <w:rPr>
                <w:rFonts w:ascii="Times New Roman" w:hAnsi="Times New Roman" w:cs="Times New Roman"/>
                <w:sz w:val="20"/>
                <w:szCs w:val="24"/>
              </w:rPr>
            </w:pPr>
          </w:p>
          <w:p w:rsidR="002803BA" w:rsidRDefault="002803BA" w:rsidP="00727FDC">
            <w:pPr>
              <w:spacing w:line="240" w:lineRule="atLeast"/>
              <w:rPr>
                <w:rFonts w:ascii="Times New Roman" w:hAnsi="Times New Roman" w:cs="Times New Roman"/>
                <w:szCs w:val="24"/>
              </w:rPr>
            </w:pPr>
            <w:r w:rsidRPr="00727FDC">
              <w:rPr>
                <w:rFonts w:ascii="Times New Roman" w:hAnsi="Times New Roman" w:cs="Times New Roman"/>
                <w:sz w:val="24"/>
                <w:szCs w:val="24"/>
              </w:rPr>
              <w:t>SPEEDISHUTTLE</w:t>
            </w:r>
            <w:r>
              <w:rPr>
                <w:rFonts w:ascii="Times New Roman" w:hAnsi="Times New Roman" w:cs="Times New Roman"/>
                <w:szCs w:val="24"/>
              </w:rPr>
              <w:t xml:space="preserve"> </w:t>
            </w:r>
            <w:r w:rsidRPr="00727FDC">
              <w:rPr>
                <w:rFonts w:ascii="Times New Roman" w:hAnsi="Times New Roman" w:cs="Times New Roman"/>
                <w:sz w:val="24"/>
                <w:szCs w:val="24"/>
              </w:rPr>
              <w:t>WASHINGTON</w:t>
            </w:r>
            <w:r>
              <w:rPr>
                <w:rFonts w:ascii="Times New Roman" w:hAnsi="Times New Roman" w:cs="Times New Roman"/>
                <w:szCs w:val="24"/>
              </w:rPr>
              <w:t xml:space="preserve">, </w:t>
            </w:r>
            <w:r w:rsidRPr="00727FDC">
              <w:rPr>
                <w:rFonts w:ascii="Times New Roman" w:hAnsi="Times New Roman" w:cs="Times New Roman"/>
                <w:sz w:val="24"/>
                <w:szCs w:val="24"/>
              </w:rPr>
              <w:t>LLC</w:t>
            </w:r>
            <w:r>
              <w:rPr>
                <w:rFonts w:ascii="Times New Roman" w:hAnsi="Times New Roman" w:cs="Times New Roman"/>
                <w:szCs w:val="24"/>
              </w:rPr>
              <w:t>,</w:t>
            </w:r>
          </w:p>
          <w:p w:rsidR="002803BA" w:rsidRPr="003E3A33" w:rsidRDefault="002803BA" w:rsidP="002803BA">
            <w:pPr>
              <w:spacing w:line="240" w:lineRule="atLeast"/>
              <w:ind w:left="1496"/>
              <w:rPr>
                <w:rFonts w:ascii="Times New Roman" w:hAnsi="Times New Roman" w:cs="Times New Roman"/>
                <w:sz w:val="24"/>
                <w:szCs w:val="24"/>
              </w:rPr>
            </w:pPr>
            <w:r>
              <w:rPr>
                <w:rFonts w:ascii="Times New Roman" w:hAnsi="Times New Roman" w:cs="Times New Roman"/>
                <w:szCs w:val="24"/>
              </w:rPr>
              <w:t>Respondent.</w:t>
            </w:r>
          </w:p>
        </w:tc>
        <w:tc>
          <w:tcPr>
            <w:tcW w:w="4770" w:type="dxa"/>
            <w:tcBorders>
              <w:top w:val="single" w:sz="6" w:space="0" w:color="FFFFFF"/>
              <w:left w:val="single" w:sz="7" w:space="0" w:color="000000"/>
              <w:bottom w:val="single" w:sz="6" w:space="0" w:color="FFFFFF"/>
              <w:right w:val="single" w:sz="6" w:space="0" w:color="FFFFFF"/>
            </w:tcBorders>
          </w:tcPr>
          <w:p w:rsidR="00B34312" w:rsidRDefault="00676046" w:rsidP="008F2228">
            <w:pPr>
              <w:rPr>
                <w:rFonts w:ascii="Times New Roman" w:hAnsi="Times New Roman" w:cs="Times New Roman"/>
                <w:sz w:val="24"/>
                <w:szCs w:val="24"/>
              </w:rPr>
            </w:pPr>
            <w:r w:rsidRPr="004554F5">
              <w:rPr>
                <w:rFonts w:ascii="Times New Roman" w:hAnsi="Times New Roman" w:cs="Times New Roman"/>
                <w:sz w:val="24"/>
                <w:szCs w:val="24"/>
              </w:rPr>
              <w:t>DOCKET</w:t>
            </w:r>
            <w:r w:rsidR="00B34312">
              <w:rPr>
                <w:rFonts w:ascii="Times New Roman" w:hAnsi="Times New Roman" w:cs="Times New Roman"/>
                <w:sz w:val="24"/>
                <w:szCs w:val="24"/>
              </w:rPr>
              <w:t xml:space="preserve"> NOS.</w:t>
            </w:r>
          </w:p>
          <w:p w:rsidR="00676046" w:rsidRPr="004554F5" w:rsidRDefault="00676046" w:rsidP="008F2228">
            <w:pPr>
              <w:rPr>
                <w:rFonts w:ascii="Times New Roman" w:hAnsi="Times New Roman" w:cs="Times New Roman"/>
                <w:sz w:val="24"/>
                <w:szCs w:val="24"/>
              </w:rPr>
            </w:pPr>
            <w:r>
              <w:rPr>
                <w:rFonts w:ascii="Times New Roman" w:hAnsi="Times New Roman" w:cs="Times New Roman"/>
                <w:sz w:val="24"/>
                <w:szCs w:val="24"/>
              </w:rPr>
              <w:t>TC-</w:t>
            </w:r>
            <w:r w:rsidR="00B34312">
              <w:rPr>
                <w:rFonts w:ascii="Times New Roman" w:hAnsi="Times New Roman" w:cs="Times New Roman"/>
                <w:sz w:val="24"/>
                <w:szCs w:val="24"/>
              </w:rPr>
              <w:t>143691 &amp; TC-160516</w:t>
            </w:r>
          </w:p>
          <w:p w:rsidR="00676046" w:rsidRPr="004554F5" w:rsidRDefault="00676046" w:rsidP="008F2228">
            <w:pPr>
              <w:rPr>
                <w:rFonts w:ascii="Times New Roman" w:hAnsi="Times New Roman" w:cs="Times New Roman"/>
                <w:sz w:val="24"/>
                <w:szCs w:val="24"/>
              </w:rPr>
            </w:pPr>
          </w:p>
          <w:p w:rsidR="00676046" w:rsidRPr="004554F5" w:rsidRDefault="00D45300" w:rsidP="008F2228">
            <w:pPr>
              <w:rPr>
                <w:rFonts w:ascii="Times New Roman" w:hAnsi="Times New Roman" w:cs="Times New Roman"/>
                <w:sz w:val="24"/>
                <w:szCs w:val="24"/>
              </w:rPr>
            </w:pPr>
            <w:r>
              <w:rPr>
                <w:rFonts w:ascii="Times New Roman" w:hAnsi="Times New Roman" w:cs="Times New Roman"/>
                <w:sz w:val="24"/>
                <w:szCs w:val="24"/>
              </w:rPr>
              <w:t xml:space="preserve">SPEEDISHUTTLE’S REPLY </w:t>
            </w:r>
            <w:r w:rsidR="00F40024">
              <w:rPr>
                <w:rFonts w:ascii="Times New Roman" w:hAnsi="Times New Roman" w:cs="Times New Roman"/>
                <w:sz w:val="24"/>
                <w:szCs w:val="24"/>
              </w:rPr>
              <w:t>BY LEAVE TO</w:t>
            </w:r>
            <w:r>
              <w:rPr>
                <w:rFonts w:ascii="Times New Roman" w:hAnsi="Times New Roman" w:cs="Times New Roman"/>
                <w:sz w:val="24"/>
                <w:szCs w:val="24"/>
              </w:rPr>
              <w:t xml:space="preserve"> SHUTTLE EXPRESS, INC.</w:t>
            </w:r>
            <w:r w:rsidR="00F40024">
              <w:rPr>
                <w:rFonts w:ascii="Times New Roman" w:hAnsi="Times New Roman" w:cs="Times New Roman"/>
                <w:sz w:val="24"/>
                <w:szCs w:val="24"/>
              </w:rPr>
              <w:t xml:space="preserve">’S ANSWER </w:t>
            </w:r>
            <w:r>
              <w:rPr>
                <w:rFonts w:ascii="Times New Roman" w:hAnsi="Times New Roman" w:cs="Times New Roman"/>
                <w:sz w:val="24"/>
                <w:szCs w:val="24"/>
              </w:rPr>
              <w:t>TO PETITION FOR ADMINISTRATIVE REVIEW OF ORDER 06</w:t>
            </w:r>
            <w:r w:rsidR="00787DD8">
              <w:rPr>
                <w:rFonts w:ascii="Times New Roman" w:hAnsi="Times New Roman" w:cs="Times New Roman"/>
                <w:sz w:val="24"/>
                <w:szCs w:val="24"/>
              </w:rPr>
              <w:t xml:space="preserve"> </w:t>
            </w:r>
          </w:p>
          <w:p w:rsidR="00676046" w:rsidRDefault="00676046" w:rsidP="008F2228"/>
        </w:tc>
      </w:tr>
    </w:tbl>
    <w:p w:rsidR="00024DB7" w:rsidRDefault="00F87248" w:rsidP="004A7238">
      <w:pPr>
        <w:pStyle w:val="Heading1"/>
        <w:tabs>
          <w:tab w:val="left" w:pos="180"/>
        </w:tabs>
        <w:ind w:left="180" w:hanging="180"/>
        <w:rPr>
          <w:b/>
        </w:rPr>
      </w:pPr>
      <w:r>
        <w:rPr>
          <w:b/>
        </w:rPr>
        <w:t>Introduction</w:t>
      </w:r>
    </w:p>
    <w:p w:rsidR="00F87248" w:rsidRDefault="00F87248" w:rsidP="00F87248">
      <w:pPr>
        <w:pStyle w:val="StyleListParagraphLinespacingDouble"/>
      </w:pPr>
      <w:r>
        <w:t xml:space="preserve">Speedishuttle Washington, LLC (“Speedishuttle”) here replies by leave to the </w:t>
      </w:r>
      <w:r w:rsidR="000B7BE2">
        <w:t xml:space="preserve">allegations contained in the Answer of Shuttle Express, Inc. in Opposition to Petition for Review and Partial Challenge of Order 06 (“Shuttle Express Answer”).  </w:t>
      </w:r>
    </w:p>
    <w:p w:rsidR="000B7BE2" w:rsidRDefault="001E7DA4" w:rsidP="000B7BE2">
      <w:pPr>
        <w:pStyle w:val="Heading1"/>
        <w:rPr>
          <w:b/>
        </w:rPr>
      </w:pPr>
      <w:r>
        <w:rPr>
          <w:b/>
        </w:rPr>
        <w:t xml:space="preserve">argument in </w:t>
      </w:r>
      <w:r w:rsidR="000B7BE2" w:rsidRPr="000B7BE2">
        <w:rPr>
          <w:b/>
        </w:rPr>
        <w:t>Reply</w:t>
      </w:r>
    </w:p>
    <w:p w:rsidR="000B7BE2" w:rsidRPr="000B7BE2" w:rsidRDefault="001E7DA4" w:rsidP="00075B19">
      <w:pPr>
        <w:pStyle w:val="Heading2"/>
      </w:pPr>
      <w:r>
        <w:t>The Rehearing Petition as Laid Bare in Shuttle Express’ Latest Answer</w:t>
      </w:r>
      <w:r w:rsidR="00CF3EC2">
        <w:t xml:space="preserve"> Sugges</w:t>
      </w:r>
      <w:r w:rsidR="00A21B25">
        <w:t>ts Shuttle Express wants to U</w:t>
      </w:r>
      <w:r w:rsidR="00CF3EC2">
        <w:t xml:space="preserve">se the Rehearing Process to </w:t>
      </w:r>
      <w:proofErr w:type="gramStart"/>
      <w:r w:rsidR="00CF3EC2">
        <w:t>Further</w:t>
      </w:r>
      <w:proofErr w:type="gramEnd"/>
      <w:r w:rsidR="00CF3EC2">
        <w:t xml:space="preserve"> its Mark</w:t>
      </w:r>
      <w:r w:rsidR="00F567D3">
        <w:t>et</w:t>
      </w:r>
      <w:r w:rsidR="00CF3EC2">
        <w:t xml:space="preserve"> Dominance Position</w:t>
      </w:r>
      <w:r>
        <w:t>.</w:t>
      </w:r>
    </w:p>
    <w:p w:rsidR="00A01164" w:rsidRDefault="00581B05" w:rsidP="003B5EC2">
      <w:pPr>
        <w:pStyle w:val="StyleListParagraphLinespacingDouble"/>
      </w:pPr>
      <w:r>
        <w:t xml:space="preserve">It is time to strip away the pretense of the “formalities of the </w:t>
      </w:r>
      <w:r w:rsidR="00FC00E1">
        <w:t xml:space="preserve">pleading” on the omnibus </w:t>
      </w:r>
      <w:r w:rsidR="00D45300">
        <w:t>and procedurally convoluted</w:t>
      </w:r>
      <w:r w:rsidR="00343C23">
        <w:t>,</w:t>
      </w:r>
      <w:r w:rsidR="00D45300">
        <w:t xml:space="preserve"> </w:t>
      </w:r>
      <w:r w:rsidR="001A4D7F">
        <w:t xml:space="preserve">conjoined </w:t>
      </w:r>
      <w:r w:rsidR="00FC00E1">
        <w:t>Petition for Rehearing and Complaint.</w:t>
      </w:r>
      <w:r w:rsidR="004E5A7B">
        <w:rPr>
          <w:rStyle w:val="FootnoteReference"/>
        </w:rPr>
        <w:footnoteReference w:id="1"/>
      </w:r>
      <w:r w:rsidR="00FC00E1">
        <w:t xml:space="preserve">  What Shuttle Express seeks </w:t>
      </w:r>
      <w:r w:rsidR="00A01164">
        <w:t xml:space="preserve">by its latest Answer </w:t>
      </w:r>
      <w:r w:rsidR="00FC00E1">
        <w:t xml:space="preserve">here is the administrative </w:t>
      </w:r>
      <w:r w:rsidR="001843F9">
        <w:t xml:space="preserve">demise </w:t>
      </w:r>
      <w:r w:rsidR="00FC00E1">
        <w:t xml:space="preserve">of a competitor, or alternatively, the </w:t>
      </w:r>
      <w:r w:rsidR="001A4D7F">
        <w:t xml:space="preserve">radical </w:t>
      </w:r>
      <w:r w:rsidR="00FC00E1">
        <w:t>diminution</w:t>
      </w:r>
      <w:r w:rsidR="00A01164">
        <w:t xml:space="preserve"> of its operating permit f</w:t>
      </w:r>
      <w:r w:rsidR="00F172DC">
        <w:t>o</w:t>
      </w:r>
      <w:r w:rsidR="00A01164">
        <w:t>r</w:t>
      </w:r>
      <w:r w:rsidR="00F172DC">
        <w:t xml:space="preserve"> </w:t>
      </w:r>
      <w:r w:rsidR="00FC00E1">
        <w:t xml:space="preserve">its operations so that </w:t>
      </w:r>
      <w:r w:rsidR="00F172DC">
        <w:t>it will</w:t>
      </w:r>
      <w:r w:rsidR="006D3AAF">
        <w:t xml:space="preserve"> voluntarily withdraw from the marketplace.  An</w:t>
      </w:r>
      <w:r w:rsidR="00A01164">
        <w:t>d</w:t>
      </w:r>
      <w:r w:rsidR="00D45300">
        <w:t>,</w:t>
      </w:r>
      <w:r w:rsidR="006D3AAF">
        <w:t xml:space="preserve"> on what</w:t>
      </w:r>
      <w:r w:rsidR="00343C23">
        <w:t xml:space="preserve"> overarching</w:t>
      </w:r>
      <w:r w:rsidR="006D3AAF">
        <w:t xml:space="preserve"> articulated basis?  </w:t>
      </w:r>
      <w:r w:rsidR="00A01164">
        <w:t>A</w:t>
      </w:r>
      <w:r w:rsidR="006D3AAF">
        <w:t xml:space="preserve"> single point raised in a brief adjudicative proceeding on January 12, 2015 that was directed to the Port of Seattle </w:t>
      </w:r>
      <w:r w:rsidR="00A01164">
        <w:t>c</w:t>
      </w:r>
      <w:r w:rsidR="006D3AAF">
        <w:t xml:space="preserve">oncession </w:t>
      </w:r>
      <w:r w:rsidR="00A01164">
        <w:t>a</w:t>
      </w:r>
      <w:r w:rsidR="00D45300">
        <w:t>greement which the applica</w:t>
      </w:r>
      <w:r w:rsidR="006D3AAF">
        <w:t>n</w:t>
      </w:r>
      <w:r w:rsidR="00D45300">
        <w:t>t</w:t>
      </w:r>
      <w:r w:rsidR="006D3AAF">
        <w:t xml:space="preserve"> erroneously believed would preclude it from offering walkup/on-call service</w:t>
      </w:r>
      <w:r w:rsidR="002A454A">
        <w:t xml:space="preserve"> </w:t>
      </w:r>
      <w:r w:rsidR="001A4D7F">
        <w:t xml:space="preserve">at the airport </w:t>
      </w:r>
      <w:r w:rsidR="002A454A">
        <w:t>under its applied-for certificate</w:t>
      </w:r>
      <w:r w:rsidR="006D3AAF">
        <w:t>.  This was</w:t>
      </w:r>
      <w:r w:rsidR="00A01164">
        <w:t xml:space="preserve"> </w:t>
      </w:r>
      <w:r w:rsidR="006D3AAF">
        <w:t xml:space="preserve">testimony, albeit erroneous, directed to the second prong of what the </w:t>
      </w:r>
      <w:r w:rsidR="00A01164">
        <w:lastRenderedPageBreak/>
        <w:t>C</w:t>
      </w:r>
      <w:r w:rsidR="006D3AAF">
        <w:t xml:space="preserve">ommission itself </w:t>
      </w:r>
      <w:r w:rsidR="002A454A">
        <w:t xml:space="preserve">has </w:t>
      </w:r>
      <w:r w:rsidR="00C02B5C">
        <w:t>acknowledged by F</w:t>
      </w:r>
      <w:r w:rsidR="006D3AAF">
        <w:t xml:space="preserve">inal Order is the </w:t>
      </w:r>
      <w:r w:rsidR="00A01164">
        <w:t>process by which a</w:t>
      </w:r>
      <w:r w:rsidR="00D45300">
        <w:t xml:space="preserve"> Commission-</w:t>
      </w:r>
      <w:r w:rsidR="00A01164">
        <w:t xml:space="preserve">authorized </w:t>
      </w:r>
      <w:r w:rsidR="00343C23">
        <w:t>auto transportation</w:t>
      </w:r>
      <w:r w:rsidR="001A4D7F">
        <w:t xml:space="preserve"> </w:t>
      </w:r>
      <w:r w:rsidR="00A01164">
        <w:t>provider gains access to SeaTac Airport</w:t>
      </w:r>
      <w:r w:rsidR="006D3AAF">
        <w:t xml:space="preserve">.  </w:t>
      </w:r>
    </w:p>
    <w:p w:rsidR="001E7DA4" w:rsidRDefault="001E7DA4" w:rsidP="001E7DA4">
      <w:pPr>
        <w:pStyle w:val="Heading2"/>
      </w:pPr>
      <w:r>
        <w:t>Shuttle Express Intentionally Conflates Certificate Authority from the Commission with Concession Authority from the Port of Seattle.</w:t>
      </w:r>
    </w:p>
    <w:p w:rsidR="00A01164" w:rsidRDefault="006D3AAF" w:rsidP="003B5EC2">
      <w:pPr>
        <w:pStyle w:val="StyleListParagraphLinespacingDouble"/>
      </w:pPr>
      <w:r>
        <w:t>There is in fa</w:t>
      </w:r>
      <w:r w:rsidR="00A01164">
        <w:t>c</w:t>
      </w:r>
      <w:r>
        <w:t xml:space="preserve">t no extrinsic evidence that, by this testimony, the applicant was seeking to restrict or otherwise limit the </w:t>
      </w:r>
      <w:r>
        <w:rPr>
          <w:u w:val="single"/>
        </w:rPr>
        <w:t>certificate authority</w:t>
      </w:r>
      <w:r>
        <w:t xml:space="preserve"> it was then seeking from the Commission</w:t>
      </w:r>
      <w:r w:rsidR="001A4D7F">
        <w:t>,</w:t>
      </w:r>
      <w:r w:rsidR="00D45300">
        <w:t xml:space="preserve"> </w:t>
      </w:r>
      <w:r w:rsidR="001A4D7F">
        <w:t>i</w:t>
      </w:r>
      <w:r>
        <w:t xml:space="preserve">n effect, the </w:t>
      </w:r>
      <w:r w:rsidR="00C02B5C">
        <w:t xml:space="preserve">initial </w:t>
      </w:r>
      <w:r w:rsidR="00D45300">
        <w:t xml:space="preserve">prerequisite </w:t>
      </w:r>
      <w:r>
        <w:t>to operate as an auto transportation company between SeaTac Airport and other named territory</w:t>
      </w:r>
      <w:r w:rsidR="00A01164">
        <w:t xml:space="preserve">. </w:t>
      </w:r>
      <w:r>
        <w:t xml:space="preserve"> </w:t>
      </w:r>
      <w:r w:rsidR="00A01164">
        <w:t>I</w:t>
      </w:r>
      <w:r>
        <w:t>n fact, the applicant well knew how to seek restrictions in applied-for operating authority from the Commission and affirmatively acted to do just that when it sought to remove any authorization in its pending a</w:t>
      </w:r>
      <w:r w:rsidR="00C02B5C">
        <w:t>pplication on December 3, 201</w:t>
      </w:r>
      <w:r w:rsidR="001E7DA4">
        <w:t>4</w:t>
      </w:r>
      <w:r w:rsidR="00C02B5C">
        <w:t xml:space="preserve"> </w:t>
      </w:r>
      <w:r>
        <w:t xml:space="preserve">to perform scheduled service and </w:t>
      </w:r>
      <w:r w:rsidR="00D45300">
        <w:t xml:space="preserve">noted </w:t>
      </w:r>
      <w:r>
        <w:t xml:space="preserve">that </w:t>
      </w:r>
      <w:r w:rsidR="00C02B5C">
        <w:t xml:space="preserve">letter </w:t>
      </w:r>
      <w:r>
        <w:t xml:space="preserve">request on the </w:t>
      </w:r>
      <w:r w:rsidR="00C02B5C">
        <w:t xml:space="preserve">brief adjudicative </w:t>
      </w:r>
      <w:r>
        <w:t>hearing record.</w:t>
      </w:r>
      <w:r w:rsidR="00C02B5C">
        <w:t xml:space="preserve">  (Tr. 34).</w:t>
      </w:r>
      <w:r>
        <w:t xml:space="preserve">  </w:t>
      </w:r>
    </w:p>
    <w:p w:rsidR="009C34C7" w:rsidRDefault="001A4D7F" w:rsidP="003B5EC2">
      <w:pPr>
        <w:pStyle w:val="StyleListParagraphLinespacingDouble"/>
      </w:pPr>
      <w:r>
        <w:t>Indeed, as</w:t>
      </w:r>
      <w:r w:rsidR="006D3AAF">
        <w:t xml:space="preserve"> the Commission has </w:t>
      </w:r>
      <w:r w:rsidR="00A01164">
        <w:t>previously</w:t>
      </w:r>
      <w:r w:rsidR="00A52887">
        <w:t xml:space="preserve"> recognized</w:t>
      </w:r>
      <w:r>
        <w:t>:</w:t>
      </w:r>
    </w:p>
    <w:p w:rsidR="006D3AAF" w:rsidRDefault="00343C23" w:rsidP="006D3AAF">
      <w:pPr>
        <w:pStyle w:val="Quote"/>
      </w:pPr>
      <w:r>
        <w:t>…a grant of authority by the C</w:t>
      </w:r>
      <w:r w:rsidR="006D3AAF">
        <w:t xml:space="preserve">ommission does not direct the Port to take any action; whether it acts within its statutory discretion.  Neither does a grant by the </w:t>
      </w:r>
      <w:r w:rsidR="00437291">
        <w:t>Commission preempt the Port, nor does it give an applicant the authority to enter the airport grounds without whatever permission is required of the Port</w:t>
      </w:r>
      <w:r>
        <w:t xml:space="preserve"> any more than a Commission grant of authority would obviate the need for vehicle or drivers’ licenses</w:t>
      </w:r>
      <w:r w:rsidR="00070026">
        <w:t xml:space="preserve">.  </w:t>
      </w:r>
      <w:r w:rsidR="00437291">
        <w:t xml:space="preserve">Concession authority rests with the Port and obtaining it is a matter for a successful applicant to pursue independently with the Port. </w:t>
      </w:r>
      <w:r w:rsidR="00D45300">
        <w:rPr>
          <w:rStyle w:val="FootnoteReference"/>
        </w:rPr>
        <w:footnoteReference w:id="2"/>
      </w:r>
      <w:r w:rsidR="00437291">
        <w:t xml:space="preserve"> </w:t>
      </w:r>
    </w:p>
    <w:p w:rsidR="000822D5" w:rsidRDefault="00437291" w:rsidP="00EB4A0B">
      <w:pPr>
        <w:pStyle w:val="StyleListParagraphLinespacingDouble"/>
      </w:pPr>
      <w:r>
        <w:t>Shuttle Express has acted</w:t>
      </w:r>
      <w:r w:rsidR="00A01164">
        <w:t xml:space="preserve"> </w:t>
      </w:r>
      <w:r w:rsidR="001A4D7F">
        <w:t xml:space="preserve">concertedly </w:t>
      </w:r>
      <w:r w:rsidR="00A01164">
        <w:t xml:space="preserve">throughout these Post-Order </w:t>
      </w:r>
      <w:r w:rsidR="00343C23">
        <w:t>proceedings</w:t>
      </w:r>
      <w:r>
        <w:t xml:space="preserve"> to blur these </w:t>
      </w:r>
      <w:r w:rsidR="00A52887">
        <w:t xml:space="preserve">separate </w:t>
      </w:r>
      <w:r>
        <w:t>cer</w:t>
      </w:r>
      <w:r w:rsidR="00A01164">
        <w:t>tificate and concession/</w:t>
      </w:r>
      <w:r>
        <w:t>dual jurisdiction lines</w:t>
      </w:r>
      <w:r w:rsidR="00C02B5C">
        <w:t xml:space="preserve"> and</w:t>
      </w:r>
      <w:r w:rsidR="00343C23">
        <w:t xml:space="preserve"> starkly</w:t>
      </w:r>
      <w:r w:rsidR="000822D5">
        <w:t xml:space="preserve"> </w:t>
      </w:r>
      <w:r w:rsidR="00C02B5C">
        <w:t xml:space="preserve">magnified that erroneous commingling by its </w:t>
      </w:r>
      <w:r w:rsidR="00A52887">
        <w:t xml:space="preserve">latest </w:t>
      </w:r>
      <w:r w:rsidR="00C02B5C">
        <w:t>Answer</w:t>
      </w:r>
      <w:r>
        <w:t xml:space="preserve">.  After failing to reopen the hearing record </w:t>
      </w:r>
      <w:r w:rsidRPr="00437291">
        <w:rPr>
          <w:u w:val="single"/>
        </w:rPr>
        <w:t>on testimonial</w:t>
      </w:r>
      <w:r>
        <w:rPr>
          <w:u w:val="single"/>
        </w:rPr>
        <w:t xml:space="preserve"> evidence it already </w:t>
      </w:r>
      <w:r w:rsidRPr="00D45300">
        <w:rPr>
          <w:u w:val="single"/>
        </w:rPr>
        <w:t>had before the final Order</w:t>
      </w:r>
      <w:r>
        <w:t xml:space="preserve">, </w:t>
      </w:r>
      <w:r w:rsidR="001A4D7F">
        <w:t xml:space="preserve">(i.e. not newly-discovered evidence) </w:t>
      </w:r>
      <w:r>
        <w:t xml:space="preserve">and </w:t>
      </w:r>
      <w:r w:rsidR="00C02B5C">
        <w:t xml:space="preserve">ostensibly </w:t>
      </w:r>
      <w:r>
        <w:t xml:space="preserve">trying to block the facilitation of Speedishuttle’s </w:t>
      </w:r>
      <w:r w:rsidR="001843F9">
        <w:t xml:space="preserve">subsequent </w:t>
      </w:r>
      <w:r>
        <w:t xml:space="preserve">uphill attempt to gain access to the airport with the Port of Seattle, it </w:t>
      </w:r>
      <w:r w:rsidR="00A52887">
        <w:t>(</w:t>
      </w:r>
      <w:r w:rsidR="000822D5">
        <w:t>to date</w:t>
      </w:r>
      <w:r w:rsidR="00A52887">
        <w:t>) has</w:t>
      </w:r>
      <w:r w:rsidR="000822D5">
        <w:t xml:space="preserve"> </w:t>
      </w:r>
      <w:r>
        <w:t xml:space="preserve">engineered an </w:t>
      </w:r>
      <w:r w:rsidR="001A4D7F">
        <w:lastRenderedPageBreak/>
        <w:t xml:space="preserve">effective </w:t>
      </w:r>
      <w:r>
        <w:t xml:space="preserve">unprecedented reopening of the previously closed and unappealed hearing record of TC-143691.  </w:t>
      </w:r>
    </w:p>
    <w:p w:rsidR="00EB4A0B" w:rsidRDefault="00C02B5C" w:rsidP="00EB4A0B">
      <w:pPr>
        <w:pStyle w:val="StyleListParagraphLinespacingDouble"/>
      </w:pPr>
      <w:r>
        <w:t xml:space="preserve">On the basis of </w:t>
      </w:r>
      <w:r w:rsidR="004E5A7B">
        <w:t>bench request responses</w:t>
      </w:r>
      <w:r w:rsidR="00EB4A0B">
        <w:t xml:space="preserve"> </w:t>
      </w:r>
      <w:r w:rsidR="00A52887">
        <w:t xml:space="preserve">in a closed record </w:t>
      </w:r>
      <w:r w:rsidR="00EB4A0B">
        <w:t>directed to on-call and by-</w:t>
      </w:r>
      <w:r w:rsidR="00641BCC">
        <w:t>reservation operations at SeaTac in summer 2015</w:t>
      </w:r>
      <w:r w:rsidR="00D45300">
        <w:t>,</w:t>
      </w:r>
      <w:r w:rsidR="00EB4A0B">
        <w:t xml:space="preserve"> </w:t>
      </w:r>
      <w:r w:rsidR="00D45300">
        <w:t xml:space="preserve">Shuttle Express </w:t>
      </w:r>
      <w:r w:rsidR="000822D5">
        <w:t xml:space="preserve">previously </w:t>
      </w:r>
      <w:r w:rsidR="00D45300">
        <w:t>argued for restrictions on</w:t>
      </w:r>
      <w:r w:rsidR="00641BCC">
        <w:t xml:space="preserve"> Speedishuttle’s certificate by </w:t>
      </w:r>
      <w:r>
        <w:t xml:space="preserve">linking </w:t>
      </w:r>
      <w:r w:rsidR="00641BCC">
        <w:t>the lack of defin</w:t>
      </w:r>
      <w:r w:rsidR="00EB4A0B">
        <w:t>itive</w:t>
      </w:r>
      <w:r w:rsidR="00641BCC">
        <w:t xml:space="preserve"> certificate restrictions in Speedishuttle’s new </w:t>
      </w:r>
      <w:r w:rsidR="00D45300">
        <w:t xml:space="preserve">certificate </w:t>
      </w:r>
      <w:r>
        <w:t xml:space="preserve">with </w:t>
      </w:r>
      <w:r w:rsidR="00641BCC">
        <w:t>its opponent’s mistaken assumption and reference in brief testimony on January 12, 2015</w:t>
      </w:r>
      <w:r w:rsidR="001A4D7F">
        <w:t xml:space="preserve"> directed to expectations of the airport concession</w:t>
      </w:r>
      <w:r w:rsidR="00641BCC">
        <w:t>.</w:t>
      </w:r>
      <w:r w:rsidR="00EB4A0B">
        <w:t xml:space="preserve"> </w:t>
      </w:r>
      <w:r>
        <w:t xml:space="preserve">Again, </w:t>
      </w:r>
      <w:r w:rsidR="00EB4A0B">
        <w:t xml:space="preserve">Speedishuttle </w:t>
      </w:r>
      <w:r w:rsidR="001A4D7F">
        <w:t xml:space="preserve">had </w:t>
      </w:r>
      <w:r w:rsidR="00D45300">
        <w:t xml:space="preserve">initially </w:t>
      </w:r>
      <w:r w:rsidR="00EB4A0B">
        <w:t>assumed</w:t>
      </w:r>
      <w:r w:rsidR="00D45300">
        <w:t>,</w:t>
      </w:r>
      <w:r w:rsidR="00EB4A0B">
        <w:t xml:space="preserve"> in good faith</w:t>
      </w:r>
      <w:r w:rsidR="00D45300">
        <w:t>,</w:t>
      </w:r>
      <w:r w:rsidR="00EB4A0B">
        <w:t xml:space="preserve"> it would not be able to offer on-call service due to exclusivity in Shuttle Express’ concession agreement, (</w:t>
      </w:r>
      <w:r w:rsidR="00D45300">
        <w:t xml:space="preserve">which </w:t>
      </w:r>
      <w:r w:rsidR="00EB4A0B">
        <w:t xml:space="preserve">assumption </w:t>
      </w:r>
      <w:r w:rsidR="00D45300">
        <w:t xml:space="preserve">again </w:t>
      </w:r>
      <w:r w:rsidR="00EB4A0B">
        <w:t>was incorrect).</w:t>
      </w:r>
      <w:r w:rsidR="00EB4A0B">
        <w:rPr>
          <w:rStyle w:val="FootnoteReference"/>
        </w:rPr>
        <w:footnoteReference w:id="3"/>
      </w:r>
      <w:r w:rsidR="00823894">
        <w:t xml:space="preserve">  </w:t>
      </w:r>
    </w:p>
    <w:p w:rsidR="00823894" w:rsidRDefault="00823894" w:rsidP="00EB4A0B">
      <w:pPr>
        <w:pStyle w:val="StyleListParagraphLinespacingDouble"/>
      </w:pPr>
      <w:r>
        <w:t xml:space="preserve">Thus, despite the </w:t>
      </w:r>
      <w:r w:rsidR="001A4D7F">
        <w:t xml:space="preserve">broadside </w:t>
      </w:r>
      <w:r w:rsidR="00343C23">
        <w:t>a</w:t>
      </w:r>
      <w:r w:rsidR="00A21B25">
        <w:t>ttack</w:t>
      </w:r>
      <w:r w:rsidR="00343C23">
        <w:t>s</w:t>
      </w:r>
      <w:r>
        <w:t xml:space="preserve"> made by Shuttle Express in its </w:t>
      </w:r>
      <w:r w:rsidR="00343C23">
        <w:t>increasingly</w:t>
      </w:r>
      <w:r w:rsidR="00C02B5C">
        <w:t xml:space="preserve"> </w:t>
      </w:r>
      <w:r>
        <w:t xml:space="preserve">intemperate Answer to the Petition for Administrative Review, there was never any restriction in Speedishuttle’s authorization from the Commission in serving “walk up” customers nor </w:t>
      </w:r>
      <w:r w:rsidR="00C02B5C">
        <w:t xml:space="preserve">again </w:t>
      </w:r>
      <w:r>
        <w:t xml:space="preserve">was any legal or administrative restriction ever requested of the Commission by </w:t>
      </w:r>
      <w:r w:rsidR="00D45300">
        <w:t>Speedishuttle</w:t>
      </w:r>
      <w:r>
        <w:t xml:space="preserve">.  </w:t>
      </w:r>
      <w:r w:rsidR="00D45300">
        <w:t>Again, “t</w:t>
      </w:r>
      <w:r>
        <w:t>he restriction” was the misperception</w:t>
      </w:r>
      <w:r w:rsidR="00343C23">
        <w:t xml:space="preserve"> by it</w:t>
      </w:r>
      <w:r>
        <w:t xml:space="preserve"> that the Port of Seattle at the time of the hearing would not allow Speedishuttle to offer on-call or walk up service under a prospective concession agreement.  That misperception, despite </w:t>
      </w:r>
      <w:r w:rsidR="001A4D7F">
        <w:t xml:space="preserve">a subsequent </w:t>
      </w:r>
      <w:r w:rsidR="00D45300">
        <w:t>understanding</w:t>
      </w:r>
      <w:r>
        <w:t xml:space="preserve"> that </w:t>
      </w:r>
      <w:r w:rsidR="001A4D7F">
        <w:t xml:space="preserve">the </w:t>
      </w:r>
      <w:r w:rsidR="00F567D3">
        <w:t xml:space="preserve">legal </w:t>
      </w:r>
      <w:r w:rsidR="001A4D7F">
        <w:t xml:space="preserve">question </w:t>
      </w:r>
      <w:r>
        <w:t xml:space="preserve">was </w:t>
      </w:r>
      <w:r w:rsidR="001843F9">
        <w:t xml:space="preserve">officially </w:t>
      </w:r>
      <w:r>
        <w:t xml:space="preserve">resolved by the Commission in </w:t>
      </w:r>
      <w:r>
        <w:lastRenderedPageBreak/>
        <w:t>December, 2015</w:t>
      </w:r>
      <w:r w:rsidR="001A4D7F">
        <w:t>,</w:t>
      </w:r>
      <w:r>
        <w:t xml:space="preserve"> is unquestionably the focus and trigger of this entire “Post/Post Order, Petition for Rehearing and Complaint</w:t>
      </w:r>
      <w:r w:rsidR="001A4D7F">
        <w:t>”</w:t>
      </w:r>
      <w:r w:rsidR="00D45300">
        <w:t xml:space="preserve"> process</w:t>
      </w:r>
      <w:r>
        <w:t xml:space="preserve">.  </w:t>
      </w:r>
    </w:p>
    <w:p w:rsidR="001E7DA4" w:rsidRDefault="001E7DA4" w:rsidP="001E7DA4">
      <w:pPr>
        <w:pStyle w:val="Heading2"/>
      </w:pPr>
      <w:r>
        <w:t xml:space="preserve">The Implications of Unlimited Rehearing and the </w:t>
      </w:r>
      <w:r w:rsidR="00343C23">
        <w:t>Misjoinder</w:t>
      </w:r>
      <w:r>
        <w:t xml:space="preserve"> of that Proceeding </w:t>
      </w:r>
      <w:r w:rsidR="00343C23">
        <w:t>with</w:t>
      </w:r>
      <w:r>
        <w:t xml:space="preserve"> the Complaint.</w:t>
      </w:r>
    </w:p>
    <w:p w:rsidR="001A4D7F" w:rsidRDefault="00823894" w:rsidP="00EB4A0B">
      <w:pPr>
        <w:pStyle w:val="StyleListParagraphLinespacingDouble"/>
      </w:pPr>
      <w:r>
        <w:t xml:space="preserve">If the Commission now wants to mandate “process” in the form of expansive discovery, depositions, </w:t>
      </w:r>
      <w:proofErr w:type="spellStart"/>
      <w:r>
        <w:t>prefiled</w:t>
      </w:r>
      <w:proofErr w:type="spellEnd"/>
      <w:r>
        <w:t xml:space="preserve"> testimony</w:t>
      </w:r>
      <w:r w:rsidR="00D45300">
        <w:t>,</w:t>
      </w:r>
      <w:r>
        <w:t xml:space="preserve"> rebuttal and live hearing for cross </w:t>
      </w:r>
      <w:r w:rsidR="00456C61">
        <w:t>examination</w:t>
      </w:r>
      <w:r>
        <w:t xml:space="preserve"> with Pos</w:t>
      </w:r>
      <w:r w:rsidR="00456C61">
        <w:t>t</w:t>
      </w:r>
      <w:r>
        <w:t>-hear</w:t>
      </w:r>
      <w:r w:rsidR="00456C61">
        <w:t xml:space="preserve">ing briefing and multiple tens </w:t>
      </w:r>
      <w:r w:rsidR="00D45300">
        <w:t>(</w:t>
      </w:r>
      <w:r w:rsidR="00456C61">
        <w:t>if not hundreds of thousands</w:t>
      </w:r>
      <w:r w:rsidR="00D45300">
        <w:t>)</w:t>
      </w:r>
      <w:r w:rsidR="00456C61">
        <w:t xml:space="preserve"> in</w:t>
      </w:r>
      <w:r>
        <w:t xml:space="preserve"> </w:t>
      </w:r>
      <w:r w:rsidR="001A4D7F">
        <w:t xml:space="preserve">additional </w:t>
      </w:r>
      <w:r>
        <w:t>legal expense for the aggregate parties on the semi</w:t>
      </w:r>
      <w:r w:rsidR="00456C61">
        <w:t xml:space="preserve">nal allegation of </w:t>
      </w:r>
      <w:r w:rsidR="001A4D7F">
        <w:t xml:space="preserve">a </w:t>
      </w:r>
      <w:r w:rsidR="00456C61">
        <w:t>false</w:t>
      </w:r>
      <w:r>
        <w:t xml:space="preserve"> assertion which </w:t>
      </w:r>
      <w:r w:rsidR="00456C61">
        <w:t xml:space="preserve">has been increasingly escalated by Shuttle Express </w:t>
      </w:r>
      <w:r w:rsidR="001A4D7F">
        <w:t xml:space="preserve">recently </w:t>
      </w:r>
      <w:r w:rsidR="00A52887">
        <w:t xml:space="preserve">to an unprecedented </w:t>
      </w:r>
      <w:r w:rsidR="00D45300">
        <w:t>level</w:t>
      </w:r>
      <w:r w:rsidR="004E5A7B">
        <w:t>,</w:t>
      </w:r>
      <w:r w:rsidR="00456C61">
        <w:t xml:space="preserve"> that is clearly within the Commi</w:t>
      </w:r>
      <w:r w:rsidR="00D45300">
        <w:t>ssion’s discretion under law.  But</w:t>
      </w:r>
      <w:r w:rsidR="001A4D7F">
        <w:t>,</w:t>
      </w:r>
      <w:r w:rsidR="00D45300">
        <w:t xml:space="preserve"> t</w:t>
      </w:r>
      <w:r w:rsidR="00456C61">
        <w:t>hat is</w:t>
      </w:r>
      <w:r w:rsidR="002A454A">
        <w:t xml:space="preserve"> obviously</w:t>
      </w:r>
      <w:r w:rsidR="00456C61">
        <w:t xml:space="preserve"> not what its 2013 Rulemaking envisioned for this evolving industry</w:t>
      </w:r>
      <w:r w:rsidR="00D45300">
        <w:t>,</w:t>
      </w:r>
      <w:r w:rsidR="00456C61">
        <w:t xml:space="preserve"> nor was that the expectation of a willing new applicant in 2014</w:t>
      </w:r>
      <w:r w:rsidR="00FA5F3E">
        <w:t>,</w:t>
      </w:r>
      <w:r w:rsidR="00456C61">
        <w:t xml:space="preserve"> </w:t>
      </w:r>
      <w:r w:rsidR="001A4D7F">
        <w:t xml:space="preserve">seeking </w:t>
      </w:r>
      <w:r w:rsidR="00456C61">
        <w:t xml:space="preserve">to offer its experience and service style that it had </w:t>
      </w:r>
      <w:r w:rsidR="00A52887">
        <w:t xml:space="preserve">previously </w:t>
      </w:r>
      <w:r w:rsidR="00456C61">
        <w:t>d</w:t>
      </w:r>
      <w:r w:rsidR="00D45300">
        <w:t>eveloped in the Hawaiian market</w:t>
      </w:r>
      <w:r w:rsidR="00456C61">
        <w:t xml:space="preserve">place.  </w:t>
      </w:r>
    </w:p>
    <w:p w:rsidR="000822D5" w:rsidRDefault="00117F97" w:rsidP="00CF3EC2">
      <w:pPr>
        <w:pStyle w:val="StyleListParagraphLinespacingDouble"/>
        <w:widowControl w:val="0"/>
      </w:pPr>
      <w:r>
        <w:t xml:space="preserve">Speedishuttle’s </w:t>
      </w:r>
      <w:r w:rsidR="00343C23">
        <w:t xml:space="preserve">business </w:t>
      </w:r>
      <w:r>
        <w:t>reputation, veracity, lawfulness</w:t>
      </w:r>
      <w:r w:rsidR="00FA5F3E">
        <w:t>, goodwill</w:t>
      </w:r>
      <w:r>
        <w:t xml:space="preserve"> and ultimate integrity are now unquestionably under</w:t>
      </w:r>
      <w:r w:rsidR="001E7DA4">
        <w:t xml:space="preserve"> active</w:t>
      </w:r>
      <w:r>
        <w:t xml:space="preserve"> </w:t>
      </w:r>
      <w:r w:rsidR="00FA5F3E">
        <w:t>assault</w:t>
      </w:r>
      <w:r>
        <w:t xml:space="preserve"> by Shuttle Express and </w:t>
      </w:r>
      <w:r w:rsidR="00A52887">
        <w:t xml:space="preserve">its </w:t>
      </w:r>
      <w:r>
        <w:t>c</w:t>
      </w:r>
      <w:r w:rsidR="00A52887">
        <w:t xml:space="preserve">ounsel in the latest pleading. </w:t>
      </w:r>
      <w:r w:rsidR="00FA5F3E">
        <w:t xml:space="preserve"> </w:t>
      </w:r>
      <w:r w:rsidR="00A52887">
        <w:t>N</w:t>
      </w:r>
      <w:r>
        <w:t xml:space="preserve">o administrative </w:t>
      </w:r>
      <w:r w:rsidR="00D45300">
        <w:t xml:space="preserve">and due </w:t>
      </w:r>
      <w:r>
        <w:t>process defense is worth the sacrifice of those qualities</w:t>
      </w:r>
      <w:r w:rsidR="00343C23">
        <w:t xml:space="preserve">, </w:t>
      </w:r>
      <w:r>
        <w:t>values</w:t>
      </w:r>
      <w:r w:rsidR="00343C23">
        <w:t xml:space="preserve"> and resources</w:t>
      </w:r>
      <w:r>
        <w:t xml:space="preserve"> by allowing a competitor </w:t>
      </w:r>
      <w:r w:rsidR="00D45300">
        <w:t>(</w:t>
      </w:r>
      <w:r>
        <w:t>particularly without a protective order</w:t>
      </w:r>
      <w:r w:rsidR="001E7DA4">
        <w:t xml:space="preserve"> or its equivalent</w:t>
      </w:r>
      <w:r w:rsidR="00D45300">
        <w:t>)</w:t>
      </w:r>
      <w:r>
        <w:t xml:space="preserve"> to </w:t>
      </w:r>
      <w:r w:rsidR="00A52887">
        <w:t xml:space="preserve">potentially </w:t>
      </w:r>
      <w:r>
        <w:t xml:space="preserve">obtain customer lists, financial data, market plans, employee lists and other proprietary information to harm it in the marketplace, even if it </w:t>
      </w:r>
      <w:r w:rsidR="0026528A">
        <w:t>should ultimately prevail</w:t>
      </w:r>
      <w:r>
        <w:t xml:space="preserve"> in the </w:t>
      </w:r>
      <w:r w:rsidR="00343C23">
        <w:t xml:space="preserve">prospective </w:t>
      </w:r>
      <w:r>
        <w:t>protracted</w:t>
      </w:r>
      <w:r w:rsidR="0026528A">
        <w:t>,</w:t>
      </w:r>
      <w:r>
        <w:t xml:space="preserve"> expensive administrative litigation with its certificate intact.  That would</w:t>
      </w:r>
      <w:r w:rsidR="00D45300">
        <w:t xml:space="preserve"> </w:t>
      </w:r>
      <w:r w:rsidR="0026528A">
        <w:t xml:space="preserve">amount to </w:t>
      </w:r>
      <w:r w:rsidR="00D45300">
        <w:t>a classic</w:t>
      </w:r>
      <w:r>
        <w:t xml:space="preserve"> “</w:t>
      </w:r>
      <w:proofErr w:type="spellStart"/>
      <w:r>
        <w:t>phy</w:t>
      </w:r>
      <w:r w:rsidR="0093133C">
        <w:t>r</w:t>
      </w:r>
      <w:r>
        <w:t>ric</w:t>
      </w:r>
      <w:proofErr w:type="spellEnd"/>
      <w:r>
        <w:t xml:space="preserve"> victory</w:t>
      </w:r>
      <w:r w:rsidR="00A52887">
        <w:t>,</w:t>
      </w:r>
      <w:r>
        <w:t xml:space="preserve">” and the Commission must realize the risks posed by </w:t>
      </w:r>
      <w:r w:rsidR="001843F9">
        <w:t>an</w:t>
      </w:r>
      <w:r>
        <w:t xml:space="preserve"> unbridled discove</w:t>
      </w:r>
      <w:r w:rsidR="00D45300">
        <w:t>ry process</w:t>
      </w:r>
      <w:r w:rsidR="000822D5">
        <w:t>,</w:t>
      </w:r>
      <w:r w:rsidR="00D45300">
        <w:t xml:space="preserve"> </w:t>
      </w:r>
      <w:r w:rsidR="00343C23">
        <w:t xml:space="preserve">that, </w:t>
      </w:r>
      <w:r w:rsidR="00D45300">
        <w:t xml:space="preserve">as currently mandated </w:t>
      </w:r>
      <w:r>
        <w:t xml:space="preserve">by </w:t>
      </w:r>
      <w:r w:rsidR="00A52887">
        <w:t xml:space="preserve">Initial </w:t>
      </w:r>
      <w:r>
        <w:lastRenderedPageBreak/>
        <w:t>Order 06</w:t>
      </w:r>
      <w:r w:rsidR="00D45300">
        <w:t>,</w:t>
      </w:r>
      <w:r>
        <w:t xml:space="preserve"> does </w:t>
      </w:r>
      <w:r w:rsidR="0026528A">
        <w:t xml:space="preserve">not </w:t>
      </w:r>
      <w:r>
        <w:t>operate in a commercial vacuum.</w:t>
      </w:r>
      <w:r w:rsidR="001E7DA4">
        <w:rPr>
          <w:rStyle w:val="FootnoteReference"/>
        </w:rPr>
        <w:footnoteReference w:id="4"/>
      </w:r>
      <w:r>
        <w:t xml:space="preserve">  </w:t>
      </w:r>
    </w:p>
    <w:p w:rsidR="00A52887" w:rsidRDefault="00D45300" w:rsidP="00EB4A0B">
      <w:pPr>
        <w:pStyle w:val="StyleListParagraphLinespacingDouble"/>
      </w:pPr>
      <w:r>
        <w:t>In light of Shuttle Express’ Answer of September 1, s</w:t>
      </w:r>
      <w:r w:rsidR="00117F97">
        <w:t xml:space="preserve">urely the Commission will now consider the commercially destructive path of no return this currently unconstrained redo of the original application is </w:t>
      </w:r>
      <w:r w:rsidR="001843F9">
        <w:t xml:space="preserve">currently </w:t>
      </w:r>
      <w:r w:rsidR="00117F97">
        <w:t>on, in which a misstatement based on an erroneous perception of another agency’s concession agreement</w:t>
      </w:r>
      <w:r>
        <w:t xml:space="preserve">, serves as </w:t>
      </w:r>
      <w:r w:rsidR="0026528A">
        <w:t xml:space="preserve">a </w:t>
      </w:r>
      <w:r>
        <w:t>spring</w:t>
      </w:r>
      <w:r w:rsidR="00117F97">
        <w:t xml:space="preserve">board </w:t>
      </w:r>
      <w:r w:rsidR="000822D5">
        <w:t xml:space="preserve">and </w:t>
      </w:r>
      <w:r w:rsidR="001843F9">
        <w:t xml:space="preserve">indelible </w:t>
      </w:r>
      <w:r w:rsidR="000822D5">
        <w:t xml:space="preserve">coloration </w:t>
      </w:r>
      <w:r w:rsidR="00A52887">
        <w:t>f</w:t>
      </w:r>
      <w:r w:rsidR="00117F97">
        <w:t xml:space="preserve">or </w:t>
      </w:r>
      <w:r>
        <w:t>R</w:t>
      </w:r>
      <w:r w:rsidR="00117F97">
        <w:t>ehearing and Complaint</w:t>
      </w:r>
      <w:r>
        <w:t>,</w:t>
      </w:r>
      <w:r w:rsidR="00117F97">
        <w:t xml:space="preserve"> ultimately seeking the operational </w:t>
      </w:r>
      <w:r w:rsidR="001843F9">
        <w:t xml:space="preserve">exit </w:t>
      </w:r>
      <w:r w:rsidR="00117F97">
        <w:t xml:space="preserve">of Speedishuttle.  </w:t>
      </w:r>
    </w:p>
    <w:p w:rsidR="00117F97" w:rsidRDefault="00117F97" w:rsidP="00EB4A0B">
      <w:pPr>
        <w:pStyle w:val="StyleListParagraphLinespacingDouble"/>
      </w:pPr>
      <w:r>
        <w:t xml:space="preserve">If </w:t>
      </w:r>
      <w:r w:rsidRPr="004B73C9">
        <w:t>the rehearing and complaint statute</w:t>
      </w:r>
      <w:r w:rsidR="00FA5F3E">
        <w:t>,</w:t>
      </w:r>
      <w:r w:rsidRPr="004B73C9">
        <w:t xml:space="preserve"> in</w:t>
      </w:r>
      <w:r w:rsidR="00FA5F3E">
        <w:t xml:space="preserve"> the C</w:t>
      </w:r>
      <w:r w:rsidRPr="004B73C9">
        <w:t>ommission’s view</w:t>
      </w:r>
      <w:r w:rsidR="00FA5F3E">
        <w:t>,</w:t>
      </w:r>
      <w:r w:rsidRPr="004B73C9">
        <w:t xml:space="preserve"> preordain that omnibus hearing</w:t>
      </w:r>
      <w:r>
        <w:t xml:space="preserve"> process, then the 2013 Rulemaking and administrative finality and decision-making are unquestionably</w:t>
      </w:r>
      <w:r w:rsidR="0026528A">
        <w:t xml:space="preserve"> eroded</w:t>
      </w:r>
      <w:r>
        <w:t>.</w:t>
      </w:r>
      <w:r w:rsidR="001E7DA4">
        <w:rPr>
          <w:rStyle w:val="FootnoteReference"/>
        </w:rPr>
        <w:footnoteReference w:id="5"/>
      </w:r>
      <w:r>
        <w:t xml:space="preserve">  Unrelenting and ostensibly </w:t>
      </w:r>
      <w:r w:rsidR="00A52887">
        <w:t>unlimited-</w:t>
      </w:r>
      <w:r>
        <w:t>fund</w:t>
      </w:r>
      <w:r w:rsidR="00633384">
        <w:t>ed</w:t>
      </w:r>
      <w:r>
        <w:t xml:space="preserve"> challenges by a </w:t>
      </w:r>
      <w:r w:rsidR="004B73C9">
        <w:t>self-styled “</w:t>
      </w:r>
      <w:r w:rsidR="0026528A">
        <w:t xml:space="preserve">qualified exclusivist” prevail </w:t>
      </w:r>
      <w:r w:rsidR="004B73C9">
        <w:t>and future entrants beware.</w:t>
      </w:r>
    </w:p>
    <w:p w:rsidR="00A52887" w:rsidRDefault="00A52887" w:rsidP="00A52887">
      <w:pPr>
        <w:pStyle w:val="Heading2"/>
      </w:pPr>
      <w:r>
        <w:lastRenderedPageBreak/>
        <w:t>Shuttle</w:t>
      </w:r>
      <w:r w:rsidR="004E5A7B">
        <w:t xml:space="preserve"> Express Now Unquestionably Uses</w:t>
      </w:r>
      <w:r>
        <w:t xml:space="preserve"> its Interpretation of RCW 81.68.040 to Collaterally Attack the 2013 Auto Transportation Rule Changes.</w:t>
      </w:r>
    </w:p>
    <w:p w:rsidR="004B73C9" w:rsidRDefault="004B73C9" w:rsidP="00C5087C">
      <w:pPr>
        <w:pStyle w:val="StyleListParagraphLinespacingDouble"/>
      </w:pPr>
      <w:r w:rsidRPr="004B73C9">
        <w:t>Probably</w:t>
      </w:r>
      <w:r w:rsidR="00633384">
        <w:t xml:space="preserve"> even</w:t>
      </w:r>
      <w:r w:rsidRPr="004B73C9">
        <w:t xml:space="preserve"> more revealing in Shuttle Express’ latest pleading is the new argument</w:t>
      </w:r>
      <w:r w:rsidR="00343C23">
        <w:t>s</w:t>
      </w:r>
      <w:r w:rsidRPr="004B73C9">
        <w:t xml:space="preserve"> it raises </w:t>
      </w:r>
      <w:r w:rsidR="0026528A">
        <w:t xml:space="preserve">under </w:t>
      </w:r>
      <w:r w:rsidRPr="004B73C9">
        <w:t>RCW 81.68.040 and the</w:t>
      </w:r>
      <w:r w:rsidR="00633384">
        <w:t xml:space="preserve"> rather</w:t>
      </w:r>
      <w:r w:rsidRPr="004B73C9">
        <w:t xml:space="preserve"> su</w:t>
      </w:r>
      <w:r w:rsidR="00633384">
        <w:t>btle collateral attack</w:t>
      </w:r>
      <w:r>
        <w:t xml:space="preserve"> it makes </w:t>
      </w:r>
      <w:r w:rsidR="0026528A">
        <w:t xml:space="preserve">anew </w:t>
      </w:r>
      <w:r>
        <w:t xml:space="preserve">on the 2013 Rulemaking and the application of WAC 480-30-140 under the statute.   Recall from the very start of this proceeding and the first </w:t>
      </w:r>
      <w:r w:rsidR="00633384">
        <w:t xml:space="preserve">procedural </w:t>
      </w:r>
      <w:r>
        <w:t>skirmish in December, 2014</w:t>
      </w:r>
      <w:r w:rsidR="00633384">
        <w:t>,</w:t>
      </w:r>
      <w:r>
        <w:t xml:space="preserve"> when Shuttle Express </w:t>
      </w:r>
      <w:r w:rsidR="00FA5F3E">
        <w:t>filed</w:t>
      </w:r>
      <w:r>
        <w:t xml:space="preserve"> its “Objection to and Motion to Strike Brief Adjudicative Proceeding,” Speedishuttle ha</w:t>
      </w:r>
      <w:r w:rsidR="0026528A">
        <w:t xml:space="preserve">s characterized Shuttle Express’ persistent </w:t>
      </w:r>
      <w:r>
        <w:t>litigation position as constituting a collateral attack on that rulemaking</w:t>
      </w:r>
      <w:r w:rsidR="00633384">
        <w:t>.</w:t>
      </w:r>
      <w:r>
        <w:t xml:space="preserve"> </w:t>
      </w:r>
    </w:p>
    <w:p w:rsidR="00C5087C" w:rsidRDefault="004E5A7B" w:rsidP="00C5087C">
      <w:pPr>
        <w:pStyle w:val="StyleListParagraphLinespacingDouble"/>
      </w:pPr>
      <w:r>
        <w:t>In confirming that premise</w:t>
      </w:r>
      <w:r w:rsidR="008F0653">
        <w:t>,</w:t>
      </w:r>
      <w:r>
        <w:t xml:space="preserve"> </w:t>
      </w:r>
      <w:r w:rsidR="00C5087C">
        <w:t>Shuttle Express</w:t>
      </w:r>
      <w:r w:rsidR="00633384">
        <w:t xml:space="preserve"> now</w:t>
      </w:r>
      <w:r w:rsidR="00A52887">
        <w:t xml:space="preserve"> here</w:t>
      </w:r>
      <w:r w:rsidR="00C5087C">
        <w:t xml:space="preserve"> argues that both Speedishuttle and </w:t>
      </w:r>
      <w:r w:rsidR="0026528A">
        <w:t xml:space="preserve">ostensibly </w:t>
      </w:r>
      <w:r w:rsidR="00C5087C">
        <w:t xml:space="preserve">the Commission failed to fully </w:t>
      </w:r>
      <w:r w:rsidR="0026528A">
        <w:t xml:space="preserve">comprehend </w:t>
      </w:r>
      <w:r w:rsidR="00C5087C">
        <w:t xml:space="preserve">RCW 81.68.040 and that the restriction against entry in that statute means that WAC 480-30-140 mandates “Respondent should be operating a truly </w:t>
      </w:r>
      <w:r w:rsidR="009F1F9E">
        <w:t xml:space="preserve">different service not </w:t>
      </w:r>
      <w:r w:rsidR="009F1F9E" w:rsidRPr="009F1F9E">
        <w:rPr>
          <w:u w:val="single"/>
        </w:rPr>
        <w:t>the same service</w:t>
      </w:r>
      <w:r w:rsidR="009F1F9E">
        <w:t xml:space="preserve"> as Shuttle Express, as is alleged in the Rehearing Petition.”</w:t>
      </w:r>
      <w:r w:rsidR="00633384">
        <w:rPr>
          <w:rStyle w:val="FootnoteReference"/>
        </w:rPr>
        <w:footnoteReference w:id="6"/>
      </w:r>
    </w:p>
    <w:p w:rsidR="009F1F9E" w:rsidRDefault="009F1F9E" w:rsidP="00C5087C">
      <w:pPr>
        <w:pStyle w:val="StyleListParagraphLinespacingDouble"/>
      </w:pPr>
      <w:r>
        <w:t xml:space="preserve">In so arguing, of course, Shuttle Express </w:t>
      </w:r>
      <w:r w:rsidR="0026528A">
        <w:t>not only posits the converse, e.g. that Sp</w:t>
      </w:r>
      <w:r w:rsidR="000822D5">
        <w:t xml:space="preserve">eedishuttle is </w:t>
      </w:r>
      <w:r w:rsidR="008F0653">
        <w:t>a “wolf in sheep’s clothing” or rather</w:t>
      </w:r>
      <w:r w:rsidR="00827F4B">
        <w:t>,</w:t>
      </w:r>
      <w:r w:rsidR="008F0653">
        <w:t xml:space="preserve"> </w:t>
      </w:r>
      <w:r w:rsidR="000822D5">
        <w:t>Shuttle Express in</w:t>
      </w:r>
      <w:r w:rsidR="0026528A">
        <w:t xml:space="preserve"> disguise, but </w:t>
      </w:r>
      <w:r>
        <w:t xml:space="preserve">omits any reference to the definition of “same service” </w:t>
      </w:r>
      <w:r w:rsidRPr="00A52887">
        <w:t>under the Commission’s rule</w:t>
      </w:r>
      <w:r w:rsidR="001843F9" w:rsidRPr="001843F9">
        <w:t>,</w:t>
      </w:r>
      <w:r w:rsidRPr="001843F9">
        <w:t xml:space="preserve"> </w:t>
      </w:r>
      <w:r w:rsidRPr="009F1F9E">
        <w:rPr>
          <w:u w:val="single"/>
        </w:rPr>
        <w:t>which interprets that statute</w:t>
      </w:r>
      <w:r w:rsidR="00FA5F3E">
        <w:t>:</w:t>
      </w:r>
    </w:p>
    <w:p w:rsidR="009F1F9E" w:rsidRPr="0026528A" w:rsidRDefault="008F0653" w:rsidP="0026528A">
      <w:pPr>
        <w:pStyle w:val="Quote"/>
        <w:spacing w:after="120"/>
        <w:rPr>
          <w:sz w:val="23"/>
          <w:szCs w:val="23"/>
        </w:rPr>
      </w:pPr>
      <w:r>
        <w:rPr>
          <w:sz w:val="23"/>
          <w:szCs w:val="23"/>
        </w:rPr>
        <w:t xml:space="preserve">WAC 480-30-140 </w:t>
      </w:r>
      <w:r w:rsidR="0026528A" w:rsidRPr="0026528A">
        <w:rPr>
          <w:sz w:val="23"/>
          <w:szCs w:val="23"/>
        </w:rPr>
        <w:t xml:space="preserve">(2) </w:t>
      </w:r>
      <w:proofErr w:type="gramStart"/>
      <w:r w:rsidR="0026528A" w:rsidRPr="0026528A">
        <w:rPr>
          <w:sz w:val="23"/>
          <w:szCs w:val="23"/>
        </w:rPr>
        <w:t>Same</w:t>
      </w:r>
      <w:proofErr w:type="gramEnd"/>
      <w:r w:rsidR="0026528A" w:rsidRPr="0026528A">
        <w:rPr>
          <w:sz w:val="23"/>
          <w:szCs w:val="23"/>
        </w:rPr>
        <w:t xml:space="preserve"> service. When determining whether one or more existing certificate holders provide the same service in the territory at issue, the commission may, among other things, consider: </w:t>
      </w:r>
    </w:p>
    <w:p w:rsidR="0026528A" w:rsidRPr="0026528A" w:rsidRDefault="0026528A" w:rsidP="0026528A">
      <w:pPr>
        <w:pStyle w:val="Quote"/>
        <w:spacing w:after="120"/>
        <w:ind w:left="990"/>
        <w:rPr>
          <w:sz w:val="23"/>
          <w:szCs w:val="23"/>
        </w:rPr>
      </w:pPr>
      <w:r w:rsidRPr="0026528A">
        <w:rPr>
          <w:sz w:val="23"/>
          <w:szCs w:val="23"/>
        </w:rPr>
        <w:t>(a) The certificate authority granted to the existing companies and whether or not they are providing service to the full extent of that authority;</w:t>
      </w:r>
    </w:p>
    <w:p w:rsidR="0026528A" w:rsidRPr="0026528A" w:rsidRDefault="0026528A" w:rsidP="0026528A">
      <w:pPr>
        <w:pStyle w:val="Quote"/>
        <w:spacing w:after="120"/>
        <w:ind w:left="990"/>
        <w:rPr>
          <w:sz w:val="23"/>
          <w:szCs w:val="23"/>
        </w:rPr>
      </w:pPr>
      <w:r w:rsidRPr="0026528A">
        <w:rPr>
          <w:sz w:val="23"/>
          <w:szCs w:val="23"/>
        </w:rPr>
        <w:t>(b) The type, means, and methods of service provided;</w:t>
      </w:r>
    </w:p>
    <w:p w:rsidR="0026528A" w:rsidRPr="0026528A" w:rsidRDefault="0026528A" w:rsidP="0026528A">
      <w:pPr>
        <w:pStyle w:val="Quote"/>
        <w:spacing w:after="120"/>
        <w:ind w:left="990"/>
        <w:rPr>
          <w:sz w:val="23"/>
          <w:szCs w:val="23"/>
        </w:rPr>
      </w:pPr>
      <w:r w:rsidRPr="0026528A">
        <w:rPr>
          <w:sz w:val="23"/>
          <w:szCs w:val="23"/>
        </w:rPr>
        <w:t>(c) Whether the type of service provided reasonably serves the market;</w:t>
      </w:r>
    </w:p>
    <w:p w:rsidR="0026528A" w:rsidRPr="0026528A" w:rsidRDefault="0026528A" w:rsidP="0026528A">
      <w:pPr>
        <w:pStyle w:val="Quote"/>
        <w:spacing w:after="120"/>
        <w:ind w:left="990"/>
        <w:rPr>
          <w:sz w:val="23"/>
          <w:szCs w:val="23"/>
        </w:rPr>
      </w:pPr>
      <w:r w:rsidRPr="0026528A">
        <w:rPr>
          <w:sz w:val="23"/>
          <w:szCs w:val="23"/>
        </w:rPr>
        <w:t>(d) Whether the population density warrants additional facilities or transportation;</w:t>
      </w:r>
    </w:p>
    <w:p w:rsidR="0026528A" w:rsidRPr="0026528A" w:rsidRDefault="0026528A" w:rsidP="0026528A">
      <w:pPr>
        <w:pStyle w:val="Quote"/>
        <w:spacing w:after="120"/>
        <w:ind w:left="990"/>
        <w:rPr>
          <w:sz w:val="23"/>
          <w:szCs w:val="23"/>
        </w:rPr>
      </w:pPr>
      <w:r w:rsidRPr="0026528A">
        <w:rPr>
          <w:sz w:val="23"/>
          <w:szCs w:val="23"/>
        </w:rPr>
        <w:t>(e) The topography, character, and condition of the territory in which the objecting company provides service and in which the proposed service would operate;</w:t>
      </w:r>
    </w:p>
    <w:p w:rsidR="0026528A" w:rsidRPr="0026528A" w:rsidRDefault="0026528A" w:rsidP="0026528A">
      <w:pPr>
        <w:pStyle w:val="Quote"/>
        <w:spacing w:after="120"/>
        <w:ind w:left="990"/>
        <w:rPr>
          <w:sz w:val="23"/>
          <w:szCs w:val="23"/>
        </w:rPr>
      </w:pPr>
      <w:r w:rsidRPr="0026528A">
        <w:rPr>
          <w:sz w:val="23"/>
          <w:szCs w:val="23"/>
        </w:rPr>
        <w:lastRenderedPageBreak/>
        <w:t>(f) For scheduled service, the proposed route's relation to the nearest route served by an existing certificate holder. The commission views routes narrowly for the purpose of determining whether service is the same. Alternative routes that may run parallel to an objecting company's route, but which have a convenience benefit to customers, may be considered a separate and different service; and</w:t>
      </w:r>
    </w:p>
    <w:p w:rsidR="0026528A" w:rsidRPr="0026528A" w:rsidRDefault="0026528A" w:rsidP="0026528A">
      <w:pPr>
        <w:pStyle w:val="Quote"/>
        <w:ind w:left="990"/>
        <w:rPr>
          <w:sz w:val="23"/>
          <w:szCs w:val="23"/>
        </w:rPr>
      </w:pPr>
      <w:r w:rsidRPr="0026528A">
        <w:rPr>
          <w:sz w:val="23"/>
          <w:szCs w:val="23"/>
        </w:rPr>
        <w:t>(g) Door-to-door service and scheduled service in the same territory will not be considered the same service.</w:t>
      </w:r>
    </w:p>
    <w:p w:rsidR="0026528A" w:rsidRPr="0026528A" w:rsidRDefault="0026528A" w:rsidP="0026528A">
      <w:pPr>
        <w:pStyle w:val="TextAfterQuote"/>
      </w:pPr>
    </w:p>
    <w:p w:rsidR="009F1F9E" w:rsidRDefault="009F1F9E" w:rsidP="00C5087C">
      <w:pPr>
        <w:pStyle w:val="StyleListParagraphLinespacingDouble"/>
      </w:pPr>
      <w:r>
        <w:t xml:space="preserve">The Commission has </w:t>
      </w:r>
      <w:r w:rsidR="00633384">
        <w:t>previously interpreted</w:t>
      </w:r>
      <w:r>
        <w:t xml:space="preserve"> the content and </w:t>
      </w:r>
      <w:r w:rsidR="00FA5F3E">
        <w:t>application</w:t>
      </w:r>
      <w:r>
        <w:t xml:space="preserve"> of this rule in </w:t>
      </w:r>
      <w:r w:rsidR="00827F4B">
        <w:t xml:space="preserve">this case’s </w:t>
      </w:r>
      <w:r>
        <w:t>Order 04 and</w:t>
      </w:r>
      <w:r w:rsidR="000822D5">
        <w:t>,</w:t>
      </w:r>
      <w:r>
        <w:t xml:space="preserve"> </w:t>
      </w:r>
      <w:r w:rsidR="000822D5">
        <w:t xml:space="preserve">in related aspects, </w:t>
      </w:r>
      <w:r>
        <w:t xml:space="preserve">the earlier </w:t>
      </w:r>
      <w:r>
        <w:rPr>
          <w:i/>
        </w:rPr>
        <w:t xml:space="preserve">Sani </w:t>
      </w:r>
      <w:proofErr w:type="spellStart"/>
      <w:r>
        <w:rPr>
          <w:i/>
        </w:rPr>
        <w:t>Marou</w:t>
      </w:r>
      <w:proofErr w:type="spellEnd"/>
      <w:r>
        <w:t xml:space="preserve"> application case in October, 2014.</w:t>
      </w:r>
      <w:r w:rsidR="000822D5">
        <w:rPr>
          <w:rStyle w:val="FootnoteReference"/>
        </w:rPr>
        <w:footnoteReference w:id="7"/>
      </w:r>
      <w:r>
        <w:t xml:space="preserve">  Shuttle Express </w:t>
      </w:r>
      <w:r w:rsidR="00FA5F3E">
        <w:t xml:space="preserve">implacably </w:t>
      </w:r>
      <w:r w:rsidR="008B0D70">
        <w:t xml:space="preserve">maintains its </w:t>
      </w:r>
      <w:r w:rsidR="0092657C">
        <w:t>rejection</w:t>
      </w:r>
      <w:r w:rsidR="0026528A">
        <w:t xml:space="preserve"> of</w:t>
      </w:r>
      <w:r>
        <w:t xml:space="preserve"> that interpretation</w:t>
      </w:r>
      <w:r w:rsidR="0026528A">
        <w:t xml:space="preserve"> here</w:t>
      </w:r>
      <w:r w:rsidR="00633384">
        <w:t>,</w:t>
      </w:r>
      <w:r>
        <w:t xml:space="preserve"> </w:t>
      </w:r>
      <w:r w:rsidR="00A52887">
        <w:t xml:space="preserve">a </w:t>
      </w:r>
      <w:r w:rsidR="00827F4B">
        <w:t>selective</w:t>
      </w:r>
      <w:r w:rsidR="0092657C">
        <w:t xml:space="preserve"> perception</w:t>
      </w:r>
      <w:r>
        <w:t xml:space="preserve"> </w:t>
      </w:r>
      <w:r w:rsidR="00FA5F3E">
        <w:t xml:space="preserve">that </w:t>
      </w:r>
      <w:r>
        <w:t xml:space="preserve">has already been considered and </w:t>
      </w:r>
      <w:r w:rsidR="005352F1">
        <w:t xml:space="preserve">repeatedly </w:t>
      </w:r>
      <w:r>
        <w:t>rejected</w:t>
      </w:r>
      <w:r w:rsidR="0092657C">
        <w:t xml:space="preserve"> in this record</w:t>
      </w:r>
      <w:r>
        <w:t xml:space="preserve">.  Simply pleading </w:t>
      </w:r>
      <w:r w:rsidR="005352F1">
        <w:t xml:space="preserve">in the alternative </w:t>
      </w:r>
      <w:r>
        <w:t>that there is “new evidence” and that the Commission’s interpre</w:t>
      </w:r>
      <w:r w:rsidR="00186538">
        <w:t>tation of the prior evidence was inconsistent with Shuttle Express’ rendition of “same service</w:t>
      </w:r>
      <w:r w:rsidR="005352F1">
        <w:t>,</w:t>
      </w:r>
      <w:r w:rsidR="00186538">
        <w:t>” is hardly an indicia that this matter justi</w:t>
      </w:r>
      <w:r w:rsidR="00FA5F3E">
        <w:t xml:space="preserve">fies rehearing under either RCW 81.68.040 </w:t>
      </w:r>
      <w:r w:rsidR="00A52887">
        <w:t xml:space="preserve">or RCW 81.04.200 </w:t>
      </w:r>
      <w:r w:rsidR="000822D5">
        <w:t>as the Petitioner now argues</w:t>
      </w:r>
      <w:r w:rsidR="00AF6188">
        <w:t>.</w:t>
      </w:r>
    </w:p>
    <w:p w:rsidR="00186538" w:rsidRDefault="004E5A7B" w:rsidP="00C5087C">
      <w:pPr>
        <w:pStyle w:val="StyleListParagraphLinespacingDouble"/>
      </w:pPr>
      <w:r>
        <w:t>T</w:t>
      </w:r>
      <w:r w:rsidR="00186538">
        <w:t>he 2013 Rulemaking as well as Order 0</w:t>
      </w:r>
      <w:r w:rsidR="00633384">
        <w:t>4</w:t>
      </w:r>
      <w:r w:rsidR="00186538">
        <w:t xml:space="preserve"> addressed the permutations of the statutory reference to “same service” that the Petitioner </w:t>
      </w:r>
      <w:r w:rsidR="00A52887">
        <w:t xml:space="preserve">challenges </w:t>
      </w:r>
      <w:r w:rsidR="00186538">
        <w:t xml:space="preserve">with in its latest </w:t>
      </w:r>
      <w:r w:rsidR="005352F1">
        <w:t xml:space="preserve">rendition in this </w:t>
      </w:r>
      <w:r w:rsidR="00186538">
        <w:t>Answer.</w:t>
      </w:r>
    </w:p>
    <w:p w:rsidR="00186538" w:rsidRDefault="00186538" w:rsidP="00186538">
      <w:pPr>
        <w:pStyle w:val="Quote"/>
      </w:pPr>
      <w:r>
        <w:t xml:space="preserve">The Commission developed the standards and the proposed rules for reviewing applications with the intent to inform existing companies and applicants how the Commission would evaluate applications.  </w:t>
      </w:r>
      <w:r w:rsidRPr="0092657C">
        <w:rPr>
          <w:u w:val="single"/>
        </w:rPr>
        <w:t>The standards are based in part on the Commission’s interpretation of the statutory requirements in RCW 81.68 and applications adjudicated over the past three decades, as well as an effort to increase opportunities to provide new or improved service to consumers within the limits allowed by the statute</w:t>
      </w:r>
      <w:r>
        <w:t>.  The proposed rules are not intended to express a policy service between types of service…rather, the intent is to provide a clear framework for companies to make choices regarding how best to serve consumers and the Commission to evaluate those choices.</w:t>
      </w:r>
    </w:p>
    <w:p w:rsidR="00186538" w:rsidRDefault="00186538" w:rsidP="00186538">
      <w:pPr>
        <w:pStyle w:val="StyleListParagraphLinespacingDouble"/>
        <w:numPr>
          <w:ilvl w:val="0"/>
          <w:numId w:val="0"/>
        </w:numPr>
        <w:ind w:left="360"/>
      </w:pPr>
      <w:r>
        <w:t>General Order 05, R-572,</w:t>
      </w:r>
      <w:r w:rsidR="005352F1" w:rsidRPr="005352F1">
        <w:t xml:space="preserve"> </w:t>
      </w:r>
      <w:r w:rsidR="005352F1">
        <w:t xml:space="preserve">¶35, </w:t>
      </w:r>
      <w:r>
        <w:t>p</w:t>
      </w:r>
      <w:r w:rsidR="005352F1">
        <w:t>.</w:t>
      </w:r>
      <w:r>
        <w:t xml:space="preserve"> 12</w:t>
      </w:r>
      <w:r w:rsidR="00633384">
        <w:t xml:space="preserve"> (2013)</w:t>
      </w:r>
      <w:r>
        <w:t>.</w:t>
      </w:r>
      <w:r w:rsidR="0092657C">
        <w:t xml:space="preserve"> (Emphasis added).</w:t>
      </w:r>
    </w:p>
    <w:p w:rsidR="00FA5F3E" w:rsidRDefault="00186538" w:rsidP="00186538">
      <w:pPr>
        <w:pStyle w:val="StyleListParagraphLinespacingDouble"/>
      </w:pPr>
      <w:r>
        <w:lastRenderedPageBreak/>
        <w:t xml:space="preserve">In </w:t>
      </w:r>
      <w:r w:rsidR="00AF6188">
        <w:t xml:space="preserve">that </w:t>
      </w:r>
      <w:r>
        <w:t>General Order</w:t>
      </w:r>
      <w:r w:rsidR="001843F9">
        <w:t>,</w:t>
      </w:r>
      <w:r>
        <w:t xml:space="preserve"> </w:t>
      </w:r>
      <w:r w:rsidR="005352F1">
        <w:t xml:space="preserve">(the 2013 Rulemaking), </w:t>
      </w:r>
      <w:r>
        <w:t xml:space="preserve">the Commission also </w:t>
      </w:r>
      <w:r w:rsidR="00AF6188">
        <w:t xml:space="preserve">directly </w:t>
      </w:r>
      <w:r w:rsidR="0092657C">
        <w:t>addressed</w:t>
      </w:r>
      <w:r>
        <w:t xml:space="preserve"> critiques by incumbent carriers that the </w:t>
      </w:r>
      <w:r w:rsidR="00633384">
        <w:t>C</w:t>
      </w:r>
      <w:r>
        <w:t xml:space="preserve">ommission’s interpretation of the statutory phrase “same service” </w:t>
      </w:r>
      <w:r w:rsidR="00AF6188">
        <w:t xml:space="preserve">in the rule </w:t>
      </w:r>
      <w:r>
        <w:t xml:space="preserve">was too </w:t>
      </w:r>
      <w:r w:rsidR="00633384">
        <w:t xml:space="preserve">broad </w:t>
      </w:r>
      <w:r>
        <w:t>and advocated the Commission modify the term to read “essentially the same” or “similar.” Shuttle Express’</w:t>
      </w:r>
      <w:r w:rsidR="000822D5">
        <w:t xml:space="preserve"> latest</w:t>
      </w:r>
      <w:r>
        <w:t xml:space="preserve"> </w:t>
      </w:r>
      <w:r w:rsidR="00633384">
        <w:t xml:space="preserve">Answer to the </w:t>
      </w:r>
      <w:r>
        <w:t xml:space="preserve">Petition </w:t>
      </w:r>
      <w:r w:rsidR="00633384">
        <w:t xml:space="preserve">for Administrative Review </w:t>
      </w:r>
      <w:r w:rsidR="00AF6188">
        <w:t>echoes</w:t>
      </w:r>
      <w:r>
        <w:t xml:space="preserve"> </w:t>
      </w:r>
      <w:r w:rsidR="0092657C">
        <w:t>precisely</w:t>
      </w:r>
      <w:r>
        <w:t xml:space="preserve"> </w:t>
      </w:r>
      <w:r w:rsidR="00FA5F3E">
        <w:t xml:space="preserve">those </w:t>
      </w:r>
      <w:r>
        <w:t xml:space="preserve">same service differentiation factors </w:t>
      </w:r>
      <w:r w:rsidR="00FA5F3E">
        <w:t xml:space="preserve">which </w:t>
      </w:r>
      <w:r>
        <w:t xml:space="preserve">were considered and rejected in </w:t>
      </w:r>
      <w:r w:rsidR="005352F1">
        <w:t>the rulemaking</w:t>
      </w:r>
      <w:r>
        <w:t xml:space="preserve"> and </w:t>
      </w:r>
      <w:r w:rsidR="00FA5F3E">
        <w:t xml:space="preserve">also in </w:t>
      </w:r>
      <w:r>
        <w:t xml:space="preserve">Shuttle Express’ previous Petition for Administrative </w:t>
      </w:r>
      <w:r w:rsidR="00633384">
        <w:t xml:space="preserve">Review </w:t>
      </w:r>
      <w:r>
        <w:t xml:space="preserve">of </w:t>
      </w:r>
      <w:r w:rsidR="005352F1">
        <w:t>Initial</w:t>
      </w:r>
      <w:r w:rsidR="000822D5">
        <w:t xml:space="preserve"> Order 02.</w:t>
      </w:r>
      <w:r>
        <w:t xml:space="preserve">  </w:t>
      </w:r>
      <w:r w:rsidR="00AF6188">
        <w:t xml:space="preserve">The </w:t>
      </w:r>
      <w:r>
        <w:t xml:space="preserve">criteria the Commission uses to evaluate same service under the rule is not a finite test nor is it limited to specific factors </w:t>
      </w:r>
      <w:r w:rsidR="00AF6188">
        <w:t xml:space="preserve">identified </w:t>
      </w:r>
      <w:r>
        <w:t>in the rule which</w:t>
      </w:r>
      <w:r w:rsidR="00FA5F3E">
        <w:t>,</w:t>
      </w:r>
      <w:r w:rsidR="005352F1">
        <w:t xml:space="preserve"> to the contrary</w:t>
      </w:r>
      <w:r w:rsidR="00FA5F3E">
        <w:t>,</w:t>
      </w:r>
      <w:r w:rsidR="005352F1">
        <w:t xml:space="preserve"> </w:t>
      </w:r>
      <w:r>
        <w:t xml:space="preserve">clearly says </w:t>
      </w:r>
      <w:r w:rsidR="0092657C">
        <w:t>…</w:t>
      </w:r>
      <w:r w:rsidR="00633384">
        <w:t xml:space="preserve">“the </w:t>
      </w:r>
      <w:r>
        <w:t>commission may, among other things, consider</w:t>
      </w:r>
      <w:r w:rsidR="00827F4B">
        <w:t>…</w:t>
      </w:r>
      <w:r>
        <w:t xml:space="preserve">” which </w:t>
      </w:r>
      <w:r w:rsidR="001843F9">
        <w:t xml:space="preserve">definitional </w:t>
      </w:r>
      <w:r w:rsidR="005352F1">
        <w:t xml:space="preserve">distinction </w:t>
      </w:r>
      <w:r>
        <w:t xml:space="preserve">the Commission highlighted yet again in </w:t>
      </w:r>
      <w:r w:rsidR="00FA5F3E">
        <w:t xml:space="preserve">Final </w:t>
      </w:r>
      <w:r w:rsidR="00AF6188">
        <w:t>Order 04.</w:t>
      </w:r>
      <w:r w:rsidR="00AF6188">
        <w:rPr>
          <w:rStyle w:val="FootnoteReference"/>
        </w:rPr>
        <w:footnoteReference w:id="8"/>
      </w:r>
      <w:r>
        <w:t xml:space="preserve"> </w:t>
      </w:r>
    </w:p>
    <w:p w:rsidR="00186538" w:rsidRDefault="000822D5" w:rsidP="00186538">
      <w:pPr>
        <w:pStyle w:val="StyleListParagraphLinespacingDouble"/>
      </w:pPr>
      <w:r>
        <w:t xml:space="preserve">The 2013 Rulemaking </w:t>
      </w:r>
      <w:r w:rsidR="00827F4B">
        <w:t xml:space="preserve">also </w:t>
      </w:r>
      <w:r w:rsidR="00186538">
        <w:t xml:space="preserve">rejected the kind of subtle restriction </w:t>
      </w:r>
      <w:r w:rsidR="005352F1">
        <w:t xml:space="preserve">and shift </w:t>
      </w:r>
      <w:r w:rsidR="00186538">
        <w:t>in the comparative fact</w:t>
      </w:r>
      <w:r w:rsidR="005352F1">
        <w:t xml:space="preserve">ors for </w:t>
      </w:r>
      <w:r w:rsidR="00FA5F3E">
        <w:t>“</w:t>
      </w:r>
      <w:r w:rsidR="005352F1">
        <w:t>same service</w:t>
      </w:r>
      <w:r w:rsidR="00FA5F3E">
        <w:t>”</w:t>
      </w:r>
      <w:r w:rsidR="005352F1">
        <w:t xml:space="preserve"> advocated under RCW 81.68.040 in the</w:t>
      </w:r>
      <w:r w:rsidR="00FA5F3E">
        <w:t xml:space="preserve"> latest</w:t>
      </w:r>
      <w:r w:rsidR="005352F1">
        <w:t xml:space="preserve"> Answer </w:t>
      </w:r>
      <w:r w:rsidR="00186538">
        <w:t>by Shuttle Express by saying:</w:t>
      </w:r>
    </w:p>
    <w:p w:rsidR="00186538" w:rsidRDefault="00633384" w:rsidP="00186538">
      <w:pPr>
        <w:pStyle w:val="Quote"/>
      </w:pPr>
      <w:r>
        <w:t>[</w:t>
      </w:r>
      <w:proofErr w:type="gramStart"/>
      <w:r>
        <w:t>a]</w:t>
      </w:r>
      <w:proofErr w:type="gramEnd"/>
      <w:r w:rsidR="00186538">
        <w:t xml:space="preserve">s discussed above, the Commission interprets the statute to reflect clearly the </w:t>
      </w:r>
      <w:r>
        <w:t>S</w:t>
      </w:r>
      <w:r w:rsidR="00186538">
        <w:t>tate</w:t>
      </w:r>
      <w:r>
        <w:t>’</w:t>
      </w:r>
      <w:r w:rsidR="00186538">
        <w:t>s</w:t>
      </w:r>
      <w:r>
        <w:t xml:space="preserve"> interest</w:t>
      </w:r>
      <w:r w:rsidR="00186538">
        <w:t xml:space="preserve"> that </w:t>
      </w:r>
      <w:r>
        <w:t xml:space="preserve">it </w:t>
      </w:r>
      <w:r w:rsidR="00186538">
        <w:t xml:space="preserve">should draw a bright line between service offerings.  The proposed rule describes adequately the factors </w:t>
      </w:r>
      <w:r>
        <w:t xml:space="preserve">the Commission </w:t>
      </w:r>
      <w:r w:rsidR="00186538">
        <w:t xml:space="preserve">will consider in determining, on the facts, whether the service proposed is the same as the service currently provided.  As it has in prior cases, the Commission can and must draw distinctions between what is the ‘same’ </w:t>
      </w:r>
      <w:r w:rsidR="005352F1">
        <w:t>service in a particular market…***</w:t>
      </w:r>
      <w:r w:rsidR="00186538" w:rsidRPr="00186538">
        <w:rPr>
          <w:vertAlign w:val="superscript"/>
        </w:rPr>
        <w:footnoteReference w:id="9"/>
      </w:r>
    </w:p>
    <w:p w:rsidR="000B633C" w:rsidRPr="000B633C" w:rsidRDefault="000B633C" w:rsidP="000B633C">
      <w:pPr>
        <w:pStyle w:val="Heading2"/>
      </w:pPr>
      <w:r>
        <w:lastRenderedPageBreak/>
        <w:t>The Service Differentiation Factors Forming the Ba</w:t>
      </w:r>
      <w:r w:rsidR="00827F4B">
        <w:t xml:space="preserve">sis of the Finding in Order 04 </w:t>
      </w:r>
      <w:proofErr w:type="gramStart"/>
      <w:r w:rsidR="00827F4B">
        <w:t>a</w:t>
      </w:r>
      <w:r>
        <w:t>re</w:t>
      </w:r>
      <w:proofErr w:type="gramEnd"/>
      <w:r>
        <w:t xml:space="preserve"> the Law of the Case and Hardly Demonstrate Speedishuttle is a Clone of Shuttle Express as its Latest Theory Propagates.</w:t>
      </w:r>
    </w:p>
    <w:p w:rsidR="00186538" w:rsidRDefault="00186538" w:rsidP="006A1593">
      <w:pPr>
        <w:pStyle w:val="StyleListParagraphLinespacingDouble"/>
      </w:pPr>
      <w:r>
        <w:t>Whether Shuttle Express lik</w:t>
      </w:r>
      <w:r w:rsidR="005352F1">
        <w:t>es it or not, the five criteria</w:t>
      </w:r>
      <w:r>
        <w:t xml:space="preserve"> listed in ¶21 of Order 04 are the </w:t>
      </w:r>
      <w:r w:rsidR="005352F1">
        <w:t xml:space="preserve">service </w:t>
      </w:r>
      <w:r>
        <w:t>differentiation fac</w:t>
      </w:r>
      <w:r w:rsidR="0092657C">
        <w:t>tors the Commission found on this</w:t>
      </w:r>
      <w:r>
        <w:t xml:space="preserve"> application r</w:t>
      </w:r>
      <w:r w:rsidR="005352F1">
        <w:t>ecord.</w:t>
      </w:r>
      <w:r w:rsidR="00F24F86">
        <w:rPr>
          <w:rStyle w:val="FootnoteReference"/>
        </w:rPr>
        <w:footnoteReference w:id="10"/>
      </w:r>
      <w:r w:rsidR="005352F1">
        <w:t xml:space="preserve">  One of those alone</w:t>
      </w:r>
      <w:r>
        <w:t>, the provision of luxury vehicles i.e., the Mercedes Benz Sprinter</w:t>
      </w:r>
      <w:r w:rsidR="005352F1">
        <w:t>s</w:t>
      </w:r>
      <w:r w:rsidR="0092657C">
        <w:t>,</w:t>
      </w:r>
      <w:r>
        <w:t xml:space="preserve"> is not controverted by Shuttle Express</w:t>
      </w:r>
      <w:r w:rsidR="005352F1">
        <w:t>,</w:t>
      </w:r>
      <w:r>
        <w:t xml:space="preserve"> </w:t>
      </w:r>
      <w:r w:rsidR="006A1593">
        <w:t xml:space="preserve">and </w:t>
      </w:r>
      <w:r>
        <w:t>could</w:t>
      </w:r>
      <w:r w:rsidR="00FA5F3E">
        <w:t>,</w:t>
      </w:r>
      <w:r>
        <w:t xml:space="preserve"> </w:t>
      </w:r>
      <w:r w:rsidR="006A1593">
        <w:t>alone</w:t>
      </w:r>
      <w:r w:rsidR="00FA5F3E">
        <w:t>,</w:t>
      </w:r>
      <w:r w:rsidR="006A1593">
        <w:t xml:space="preserve"> </w:t>
      </w:r>
      <w:r>
        <w:t xml:space="preserve">be a basis of a grant of authority here.  Moreover, </w:t>
      </w:r>
      <w:r w:rsidR="006A1593">
        <w:t xml:space="preserve">the </w:t>
      </w:r>
      <w:r>
        <w:t>provision of Wi-Fi and Speedi TV could also be indicia in and of themselves al</w:t>
      </w:r>
      <w:r w:rsidR="005352F1">
        <w:t>lowing Speedishuttle to be granted</w:t>
      </w:r>
      <w:r>
        <w:t xml:space="preserve"> </w:t>
      </w:r>
      <w:r w:rsidR="00FA5F3E">
        <w:t xml:space="preserve">the </w:t>
      </w:r>
      <w:r>
        <w:t xml:space="preserve">certificate it was in 2015.  Tellingly, nowhere in Shuttle Express’ amorphous conjoined Petition and Complaint of May 17, 2016 </w:t>
      </w:r>
      <w:r w:rsidR="006A1593">
        <w:t xml:space="preserve">and new Answer </w:t>
      </w:r>
      <w:r w:rsidR="00DE2A9E">
        <w:t>to the Petition for Administrative Review</w:t>
      </w:r>
      <w:r w:rsidR="008B0D70">
        <w:t>,</w:t>
      </w:r>
      <w:r w:rsidR="00DE2A9E">
        <w:t xml:space="preserve"> </w:t>
      </w:r>
      <w:r>
        <w:t>is there any dispute of the provision of luxury vehicles</w:t>
      </w:r>
      <w:r w:rsidR="00DE2A9E">
        <w:t xml:space="preserve">. </w:t>
      </w:r>
      <w:r>
        <w:t xml:space="preserve"> </w:t>
      </w:r>
      <w:r w:rsidR="00DE2A9E">
        <w:t>A</w:t>
      </w:r>
      <w:r>
        <w:t>s to Wi-Fi and TV service</w:t>
      </w:r>
      <w:r w:rsidR="005352F1">
        <w:t>,</w:t>
      </w:r>
      <w:r>
        <w:t xml:space="preserve"> all </w:t>
      </w:r>
      <w:r w:rsidR="005352F1">
        <w:t xml:space="preserve">Shuttle Express </w:t>
      </w:r>
      <w:r>
        <w:t>says is “it is not presently known if Respondent provides working TV and Wi-Fi in all its vans, [sic] which it had started to install by the time of the hea</w:t>
      </w:r>
      <w:r w:rsidR="006A1593">
        <w:t xml:space="preserve">ring in the application case.” </w:t>
      </w:r>
      <w:r w:rsidR="006A1593">
        <w:rPr>
          <w:rStyle w:val="FootnoteReference"/>
        </w:rPr>
        <w:footnoteReference w:id="11"/>
      </w:r>
    </w:p>
    <w:p w:rsidR="00186538" w:rsidRDefault="00186538" w:rsidP="00186538">
      <w:pPr>
        <w:pStyle w:val="StyleListParagraphLinespacingDouble"/>
      </w:pPr>
      <w:r>
        <w:lastRenderedPageBreak/>
        <w:t xml:space="preserve">All of the above is to underscore </w:t>
      </w:r>
      <w:r w:rsidR="00DE2A9E">
        <w:t xml:space="preserve">the fact </w:t>
      </w:r>
      <w:r>
        <w:t>that the Commission</w:t>
      </w:r>
      <w:r w:rsidR="00DE2A9E">
        <w:t>,</w:t>
      </w:r>
      <w:r>
        <w:t xml:space="preserve"> in Order 04 in interpreting “same service” and in applying its discretionary definitional factors recen</w:t>
      </w:r>
      <w:r w:rsidR="006A1593">
        <w:t xml:space="preserve">tly set forth in WAC 480-30-140, </w:t>
      </w:r>
      <w:r>
        <w:t xml:space="preserve">did </w:t>
      </w:r>
      <w:r w:rsidRPr="006A1593">
        <w:rPr>
          <w:u w:val="single"/>
        </w:rPr>
        <w:t>not</w:t>
      </w:r>
      <w:r>
        <w:t xml:space="preserve"> err</w:t>
      </w:r>
      <w:r w:rsidR="006A1593">
        <w:t xml:space="preserve"> in applying that r</w:t>
      </w:r>
      <w:r w:rsidR="00DE2A9E">
        <w:t>u</w:t>
      </w:r>
      <w:r w:rsidR="006A1593">
        <w:t>le fully consistently with RCW 81.68.040 as the Commission is broadly authorized to do.</w:t>
      </w:r>
      <w:r w:rsidR="000A6216">
        <w:rPr>
          <w:rStyle w:val="FootnoteReference"/>
        </w:rPr>
        <w:footnoteReference w:id="12"/>
      </w:r>
      <w:r>
        <w:t xml:space="preserve">  Moreover, despite Shuttle Express’ obfuscation</w:t>
      </w:r>
      <w:r w:rsidR="00B122B6">
        <w:t>s</w:t>
      </w:r>
      <w:r>
        <w:t xml:space="preserve"> of the differentiation factors </w:t>
      </w:r>
      <w:r w:rsidR="00DE2A9E">
        <w:t>in its latest Answer</w:t>
      </w:r>
      <w:r w:rsidR="00B122B6">
        <w:t>,</w:t>
      </w:r>
      <w:r w:rsidR="000822D5">
        <w:t xml:space="preserve"> </w:t>
      </w:r>
      <w:r w:rsidR="00A56AF7">
        <w:t>these</w:t>
      </w:r>
      <w:r w:rsidR="000822D5">
        <w:t xml:space="preserve"> are</w:t>
      </w:r>
      <w:r w:rsidR="00DE2A9E">
        <w:t xml:space="preserve"> </w:t>
      </w:r>
      <w:r w:rsidR="00B122B6">
        <w:t xml:space="preserve">again </w:t>
      </w:r>
      <w:r>
        <w:t>unequivocally set forth at ¶21, page 7 of Order</w:t>
      </w:r>
      <w:r w:rsidR="006A1593">
        <w:t xml:space="preserve"> 04</w:t>
      </w:r>
      <w:r>
        <w:t xml:space="preserve">: luxury vehicles, significantly increased accessibility for non-English speaking customers; individually tailored customer service, tourism information and Wi-Fi service, </w:t>
      </w:r>
      <w:r w:rsidR="006A1593">
        <w:t>(</w:t>
      </w:r>
      <w:r>
        <w:t xml:space="preserve">any and all of which serve as a basis for </w:t>
      </w:r>
      <w:r w:rsidR="006A1593">
        <w:t xml:space="preserve">the </w:t>
      </w:r>
      <w:r>
        <w:t>finding</w:t>
      </w:r>
      <w:r w:rsidR="00DE2A9E">
        <w:t xml:space="preserve"> that</w:t>
      </w:r>
      <w:r>
        <w:t xml:space="preserve"> Speedishuttle did not proffer the “same service” under rule</w:t>
      </w:r>
      <w:r w:rsidR="000822D5">
        <w:t xml:space="preserve">).  This finding </w:t>
      </w:r>
      <w:r>
        <w:t>contravene</w:t>
      </w:r>
      <w:r w:rsidR="000822D5">
        <w:t>s</w:t>
      </w:r>
      <w:r>
        <w:t xml:space="preserve"> Shuttle Express’ entire position in the Petition for Rehearing</w:t>
      </w:r>
      <w:r w:rsidR="0092657C">
        <w:t xml:space="preserve"> and Shuttle Express knows it</w:t>
      </w:r>
      <w:r>
        <w:t xml:space="preserve">.  In other words, Shuttle Express constantly couches its </w:t>
      </w:r>
      <w:r w:rsidR="0092657C">
        <w:t>challenge</w:t>
      </w:r>
      <w:r>
        <w:t xml:space="preserve"> on the basis of alleged misrepresentation</w:t>
      </w:r>
      <w:r w:rsidR="00DE2A9E">
        <w:t xml:space="preserve"> of</w:t>
      </w:r>
      <w:r>
        <w:t xml:space="preserve"> </w:t>
      </w:r>
      <w:r w:rsidR="006A1593">
        <w:t>“</w:t>
      </w:r>
      <w:r>
        <w:t>on-call service</w:t>
      </w:r>
      <w:r w:rsidR="001843F9">
        <w:t>,</w:t>
      </w:r>
      <w:r>
        <w:t xml:space="preserve">” and </w:t>
      </w:r>
      <w:r w:rsidR="001843F9">
        <w:t xml:space="preserve">on </w:t>
      </w:r>
      <w:r w:rsidR="006A1593">
        <w:t xml:space="preserve">an </w:t>
      </w:r>
      <w:r>
        <w:t xml:space="preserve">alleged </w:t>
      </w:r>
      <w:r w:rsidR="000A6216">
        <w:t>“</w:t>
      </w:r>
      <w:r>
        <w:t>targeted demographic.</w:t>
      </w:r>
      <w:r w:rsidR="000A6216">
        <w:t>”</w:t>
      </w:r>
      <w:r>
        <w:t xml:space="preserve">  </w:t>
      </w:r>
      <w:r w:rsidR="006A1593">
        <w:t>Neither of these accusations encapsulate</w:t>
      </w:r>
      <w:r w:rsidR="006A0DF2">
        <w:t>s</w:t>
      </w:r>
      <w:r w:rsidR="006A1593">
        <w:t xml:space="preserve"> nor </w:t>
      </w:r>
      <w:r w:rsidR="0092657C">
        <w:t xml:space="preserve">otherwise </w:t>
      </w:r>
      <w:r w:rsidR="006A1593">
        <w:t>capture</w:t>
      </w:r>
      <w:r w:rsidR="006A0DF2">
        <w:t>s</w:t>
      </w:r>
      <w:r w:rsidR="006A1593">
        <w:t xml:space="preserve"> the gravamen of the Commission’s decision in Order 04</w:t>
      </w:r>
      <w:r w:rsidR="00DE2A9E">
        <w:t xml:space="preserve"> </w:t>
      </w:r>
      <w:r w:rsidR="000822D5">
        <w:t>on “same service</w:t>
      </w:r>
      <w:r w:rsidR="0092657C">
        <w:t>,</w:t>
      </w:r>
      <w:r w:rsidR="000822D5">
        <w:t xml:space="preserve">” </w:t>
      </w:r>
      <w:r w:rsidR="00DE2A9E">
        <w:t xml:space="preserve">and should therefore be rejected on </w:t>
      </w:r>
      <w:r w:rsidR="0092657C">
        <w:t>their</w:t>
      </w:r>
      <w:r w:rsidR="00DE2A9E">
        <w:t xml:space="preserve"> face.</w:t>
      </w:r>
    </w:p>
    <w:p w:rsidR="000822D5" w:rsidRPr="000822D5" w:rsidRDefault="000822D5" w:rsidP="000822D5">
      <w:pPr>
        <w:pStyle w:val="Heading1"/>
        <w:rPr>
          <w:b/>
        </w:rPr>
      </w:pPr>
      <w:r w:rsidRPr="000822D5">
        <w:rPr>
          <w:b/>
        </w:rPr>
        <w:t>conclusion/prayer for relief</w:t>
      </w:r>
    </w:p>
    <w:p w:rsidR="000A6216" w:rsidRPr="004B73C9" w:rsidRDefault="000A6216" w:rsidP="00186538">
      <w:pPr>
        <w:pStyle w:val="StyleListParagraphLinespacingDouble"/>
      </w:pPr>
      <w:r>
        <w:t xml:space="preserve">For all of the above reasons in Reply to Shuttle Express’ Answer to Petition for Administrative Review, Speedishuttle again asks that, </w:t>
      </w:r>
      <w:r w:rsidR="0092657C">
        <w:t xml:space="preserve">its accompanying Motion, </w:t>
      </w:r>
      <w:r w:rsidR="000822D5">
        <w:t>Petition</w:t>
      </w:r>
      <w:r w:rsidR="0092657C">
        <w:t xml:space="preserve"> for Leave, Reply to Shuttle Express’ Cross Answer</w:t>
      </w:r>
      <w:r w:rsidR="00A56AF7">
        <w:t xml:space="preserve"> and </w:t>
      </w:r>
      <w:r>
        <w:t>its Petition for Administrative Review of Initial Order 06 Granting Rehearing</w:t>
      </w:r>
      <w:r w:rsidR="00B122B6">
        <w:t>,</w:t>
      </w:r>
      <w:r>
        <w:t xml:space="preserve"> be granted.</w:t>
      </w:r>
    </w:p>
    <w:p w:rsidR="00C00B34" w:rsidRDefault="00C00B34" w:rsidP="00581B05"/>
    <w:p w:rsidR="006362FC" w:rsidRDefault="006362FC" w:rsidP="00581B05"/>
    <w:p w:rsidR="006362FC" w:rsidRDefault="006362FC" w:rsidP="00581B05"/>
    <w:p w:rsidR="006362FC" w:rsidRDefault="006362FC" w:rsidP="00581B05"/>
    <w:p w:rsidR="006362FC" w:rsidRDefault="006362FC" w:rsidP="00581B05"/>
    <w:p w:rsidR="006362FC" w:rsidRDefault="006362FC" w:rsidP="00581B05"/>
    <w:p w:rsidR="006362FC" w:rsidRPr="00581B05" w:rsidRDefault="006362FC" w:rsidP="00581B05"/>
    <w:p w:rsidR="006F59AE" w:rsidRPr="00757D1F" w:rsidRDefault="006F59AE" w:rsidP="00430D0C">
      <w:pPr>
        <w:pStyle w:val="StyleListParagraphLinespacingDouble"/>
        <w:numPr>
          <w:ilvl w:val="0"/>
          <w:numId w:val="0"/>
        </w:numPr>
        <w:ind w:left="360"/>
      </w:pPr>
      <w:r w:rsidRPr="00757D1F">
        <w:rPr>
          <w:szCs w:val="24"/>
        </w:rPr>
        <w:lastRenderedPageBreak/>
        <w:t xml:space="preserve">DATED this </w:t>
      </w:r>
      <w:r w:rsidR="00C71410">
        <w:rPr>
          <w:szCs w:val="24"/>
        </w:rPr>
        <w:t>_____</w:t>
      </w:r>
      <w:r w:rsidRPr="00757D1F">
        <w:t>day of</w:t>
      </w:r>
      <w:r w:rsidR="00C71410">
        <w:t xml:space="preserve"> September</w:t>
      </w:r>
      <w:r w:rsidR="00C77D39">
        <w:t>, 2016</w:t>
      </w:r>
      <w:r w:rsidRPr="00757D1F">
        <w:t>.</w:t>
      </w:r>
      <w:r w:rsidR="00F32E6A" w:rsidRPr="00F32E6A">
        <w:rPr>
          <w:rStyle w:val="FootnoteReference"/>
        </w:rPr>
        <w:t xml:space="preserve"> </w:t>
      </w:r>
    </w:p>
    <w:tbl>
      <w:tblPr>
        <w:tblW w:w="0" w:type="auto"/>
        <w:tblLayout w:type="fixed"/>
        <w:tblLook w:val="0000" w:firstRow="0" w:lastRow="0" w:firstColumn="0" w:lastColumn="0" w:noHBand="0" w:noVBand="0"/>
      </w:tblPr>
      <w:tblGrid>
        <w:gridCol w:w="4698"/>
        <w:gridCol w:w="4860"/>
      </w:tblGrid>
      <w:tr w:rsidR="006F59AE" w:rsidRPr="00DD2273" w:rsidTr="008F2228">
        <w:trPr>
          <w:cantSplit/>
        </w:trPr>
        <w:tc>
          <w:tcPr>
            <w:tcW w:w="4698" w:type="dxa"/>
          </w:tcPr>
          <w:p w:rsidR="006F59AE" w:rsidRPr="00712413" w:rsidRDefault="006F59AE" w:rsidP="008F2228">
            <w:pPr>
              <w:keepNext/>
              <w:tabs>
                <w:tab w:val="left" w:pos="432"/>
              </w:tabs>
              <w:spacing w:line="240" w:lineRule="exact"/>
              <w:rPr>
                <w:rFonts w:ascii="Times New Roman" w:hAnsi="Times New Roman"/>
                <w:sz w:val="20"/>
                <w:szCs w:val="20"/>
              </w:rPr>
            </w:pPr>
            <w:bookmarkStart w:id="0" w:name="_GoBack"/>
            <w:bookmarkEnd w:id="0"/>
          </w:p>
        </w:tc>
        <w:tc>
          <w:tcPr>
            <w:tcW w:w="4860" w:type="dxa"/>
          </w:tcPr>
          <w:p w:rsidR="006F59AE" w:rsidRDefault="006F59AE" w:rsidP="008F2228">
            <w:pPr>
              <w:keepNext/>
              <w:spacing w:line="240" w:lineRule="exact"/>
              <w:rPr>
                <w:rFonts w:ascii="Times New Roman" w:hAnsi="Times New Roman"/>
                <w:caps/>
                <w:sz w:val="20"/>
                <w:szCs w:val="20"/>
              </w:rPr>
            </w:pPr>
            <w:r w:rsidRPr="00712413">
              <w:rPr>
                <w:rFonts w:ascii="Times New Roman" w:hAnsi="Times New Roman"/>
                <w:caps/>
              </w:rPr>
              <w:t>RESPECTFULLY sUBMITTED</w:t>
            </w:r>
            <w:r w:rsidRPr="00712413">
              <w:rPr>
                <w:rFonts w:ascii="Times New Roman" w:hAnsi="Times New Roman"/>
                <w:caps/>
                <w:sz w:val="20"/>
                <w:szCs w:val="20"/>
              </w:rPr>
              <w:t>,</w:t>
            </w:r>
          </w:p>
          <w:p w:rsidR="006F59AE" w:rsidRPr="00712413" w:rsidRDefault="006F59AE" w:rsidP="008F2228">
            <w:pPr>
              <w:keepNext/>
              <w:spacing w:line="240" w:lineRule="exact"/>
              <w:rPr>
                <w:rFonts w:ascii="Times New Roman" w:hAnsi="Times New Roman"/>
                <w:caps/>
                <w:sz w:val="20"/>
                <w:szCs w:val="20"/>
              </w:rPr>
            </w:pPr>
          </w:p>
          <w:p w:rsidR="006F59AE" w:rsidRDefault="006F59AE" w:rsidP="008F2228">
            <w:pPr>
              <w:keepNext/>
              <w:spacing w:line="240" w:lineRule="exact"/>
              <w:rPr>
                <w:rFonts w:ascii="Times New Roman" w:hAnsi="Times New Roman"/>
                <w:caps/>
                <w:sz w:val="20"/>
                <w:szCs w:val="20"/>
              </w:rPr>
            </w:pPr>
          </w:p>
          <w:p w:rsidR="006F59AE" w:rsidRPr="00712413" w:rsidRDefault="006F59AE" w:rsidP="008F2228">
            <w:pPr>
              <w:keepNext/>
              <w:tabs>
                <w:tab w:val="right" w:pos="4572"/>
              </w:tabs>
              <w:spacing w:line="240" w:lineRule="exact"/>
              <w:rPr>
                <w:rFonts w:ascii="Times New Roman" w:hAnsi="Times New Roman"/>
                <w:sz w:val="20"/>
                <w:szCs w:val="20"/>
                <w:u w:val="single"/>
              </w:rPr>
            </w:pPr>
            <w:r w:rsidRPr="00712413">
              <w:rPr>
                <w:rFonts w:ascii="Times New Roman" w:hAnsi="Times New Roman"/>
                <w:sz w:val="20"/>
                <w:szCs w:val="20"/>
              </w:rPr>
              <w:t xml:space="preserve">By </w:t>
            </w:r>
            <w:r w:rsidRPr="00712413">
              <w:rPr>
                <w:rFonts w:ascii="Times New Roman" w:hAnsi="Times New Roman"/>
                <w:sz w:val="20"/>
                <w:szCs w:val="20"/>
                <w:u w:val="single"/>
              </w:rPr>
              <w:tab/>
            </w:r>
          </w:p>
          <w:p w:rsidR="006F59AE" w:rsidRDefault="006F59AE" w:rsidP="008F2228">
            <w:pPr>
              <w:keepNext/>
              <w:tabs>
                <w:tab w:val="left" w:pos="432"/>
                <w:tab w:val="right" w:pos="4932"/>
              </w:tabs>
              <w:spacing w:line="240" w:lineRule="exact"/>
              <w:rPr>
                <w:rFonts w:ascii="Times New Roman" w:hAnsi="Times New Roman"/>
              </w:rPr>
            </w:pPr>
            <w:r>
              <w:rPr>
                <w:rFonts w:ascii="Times New Roman" w:hAnsi="Times New Roman"/>
                <w:sz w:val="20"/>
                <w:szCs w:val="20"/>
              </w:rPr>
              <w:t xml:space="preserve">       </w:t>
            </w:r>
            <w:r w:rsidRPr="00712413">
              <w:rPr>
                <w:rFonts w:ascii="Times New Roman" w:hAnsi="Times New Roman"/>
              </w:rPr>
              <w:t xml:space="preserve">David W. Wiley, WSBA #08614 </w:t>
            </w:r>
          </w:p>
          <w:p w:rsidR="00A64020" w:rsidRPr="00712413" w:rsidRDefault="00A64020" w:rsidP="008F2228">
            <w:pPr>
              <w:keepNext/>
              <w:tabs>
                <w:tab w:val="left" w:pos="432"/>
                <w:tab w:val="right" w:pos="4932"/>
              </w:tabs>
              <w:spacing w:line="240" w:lineRule="exact"/>
              <w:rPr>
                <w:rFonts w:ascii="Times New Roman" w:hAnsi="Times New Roman"/>
              </w:rPr>
            </w:pPr>
            <w:r>
              <w:rPr>
                <w:rFonts w:ascii="Times New Roman" w:hAnsi="Times New Roman"/>
              </w:rPr>
              <w:t xml:space="preserve">      Daniel J. Velloth, WSBA #44379</w:t>
            </w:r>
          </w:p>
          <w:p w:rsidR="00C77D39" w:rsidRDefault="006F59AE" w:rsidP="008F2228">
            <w:pPr>
              <w:keepNext/>
              <w:tabs>
                <w:tab w:val="left" w:pos="432"/>
                <w:tab w:val="right" w:pos="4932"/>
              </w:tabs>
              <w:spacing w:line="240" w:lineRule="exact"/>
              <w:rPr>
                <w:rStyle w:val="Hyperlink"/>
                <w:rFonts w:ascii="Times New Roman" w:hAnsi="Times New Roman"/>
                <w:sz w:val="20"/>
                <w:szCs w:val="20"/>
              </w:rPr>
            </w:pPr>
            <w:r w:rsidRPr="00712413">
              <w:rPr>
                <w:rFonts w:ascii="Times New Roman" w:hAnsi="Times New Roman"/>
                <w:sz w:val="20"/>
                <w:szCs w:val="20"/>
              </w:rPr>
              <w:t xml:space="preserve">       </w:t>
            </w:r>
            <w:r w:rsidRPr="000B633C">
              <w:rPr>
                <w:rFonts w:ascii="Times New Roman" w:hAnsi="Times New Roman"/>
                <w:sz w:val="20"/>
                <w:szCs w:val="20"/>
              </w:rPr>
              <w:t>dwiley@williamskastner.com</w:t>
            </w:r>
          </w:p>
          <w:p w:rsidR="00A64020" w:rsidRDefault="000B633C" w:rsidP="008F2228">
            <w:pPr>
              <w:keepNext/>
              <w:tabs>
                <w:tab w:val="left" w:pos="432"/>
                <w:tab w:val="right" w:pos="4932"/>
              </w:tabs>
              <w:spacing w:line="240" w:lineRule="exact"/>
              <w:rPr>
                <w:rStyle w:val="Hyperlink"/>
                <w:rFonts w:ascii="Times New Roman" w:hAnsi="Times New Roman"/>
                <w:sz w:val="20"/>
                <w:szCs w:val="20"/>
              </w:rPr>
            </w:pPr>
            <w:r w:rsidRPr="000B633C">
              <w:rPr>
                <w:rStyle w:val="Hyperlink"/>
                <w:rFonts w:ascii="Times New Roman" w:hAnsi="Times New Roman"/>
                <w:sz w:val="20"/>
                <w:szCs w:val="20"/>
                <w:u w:val="none"/>
              </w:rPr>
              <w:t xml:space="preserve">       </w:t>
            </w:r>
            <w:r w:rsidR="00A64020">
              <w:rPr>
                <w:rStyle w:val="Hyperlink"/>
                <w:rFonts w:ascii="Times New Roman" w:hAnsi="Times New Roman"/>
                <w:sz w:val="20"/>
                <w:szCs w:val="20"/>
              </w:rPr>
              <w:t>dvelloth@williamskastner.com</w:t>
            </w:r>
          </w:p>
          <w:p w:rsidR="006F59AE" w:rsidRPr="00712413" w:rsidRDefault="006F59AE" w:rsidP="00564905">
            <w:pPr>
              <w:keepNext/>
              <w:tabs>
                <w:tab w:val="left" w:pos="432"/>
                <w:tab w:val="right" w:pos="4932"/>
              </w:tabs>
              <w:spacing w:line="240" w:lineRule="exact"/>
              <w:rPr>
                <w:rFonts w:ascii="Times New Roman" w:hAnsi="Times New Roman"/>
              </w:rPr>
            </w:pPr>
            <w:r w:rsidRPr="00712413">
              <w:rPr>
                <w:rFonts w:ascii="Times New Roman" w:hAnsi="Times New Roman"/>
                <w:sz w:val="20"/>
                <w:szCs w:val="20"/>
              </w:rPr>
              <w:t xml:space="preserve"> </w:t>
            </w:r>
            <w:r w:rsidR="00C77D39">
              <w:rPr>
                <w:rFonts w:ascii="Times New Roman" w:hAnsi="Times New Roman"/>
                <w:sz w:val="20"/>
                <w:szCs w:val="20"/>
              </w:rPr>
              <w:t xml:space="preserve">      </w:t>
            </w:r>
            <w:r w:rsidRPr="00712413">
              <w:rPr>
                <w:rFonts w:ascii="Times New Roman" w:hAnsi="Times New Roman"/>
              </w:rPr>
              <w:t>A</w:t>
            </w:r>
            <w:r w:rsidR="00564905">
              <w:rPr>
                <w:rFonts w:ascii="Times New Roman" w:hAnsi="Times New Roman"/>
              </w:rPr>
              <w:t>ttorney</w:t>
            </w:r>
            <w:r w:rsidR="00A64020">
              <w:rPr>
                <w:rFonts w:ascii="Times New Roman" w:hAnsi="Times New Roman"/>
              </w:rPr>
              <w:t>s</w:t>
            </w:r>
            <w:r w:rsidRPr="00712413">
              <w:rPr>
                <w:rFonts w:ascii="Times New Roman" w:hAnsi="Times New Roman"/>
              </w:rPr>
              <w:t xml:space="preserve"> for </w:t>
            </w:r>
            <w:r>
              <w:rPr>
                <w:rFonts w:ascii="Times New Roman" w:hAnsi="Times New Roman"/>
              </w:rPr>
              <w:t>Speedishuttle Washington, LLC</w:t>
            </w:r>
          </w:p>
        </w:tc>
      </w:tr>
      <w:tr w:rsidR="00C77D39" w:rsidRPr="00DD2273" w:rsidTr="008F2228">
        <w:trPr>
          <w:cantSplit/>
        </w:trPr>
        <w:tc>
          <w:tcPr>
            <w:tcW w:w="4698" w:type="dxa"/>
          </w:tcPr>
          <w:p w:rsidR="00C77D39" w:rsidRPr="00712413" w:rsidRDefault="00C77D39" w:rsidP="008F2228">
            <w:pPr>
              <w:keepNext/>
              <w:tabs>
                <w:tab w:val="left" w:pos="432"/>
              </w:tabs>
              <w:spacing w:line="240" w:lineRule="exact"/>
              <w:rPr>
                <w:rFonts w:ascii="Times New Roman" w:hAnsi="Times New Roman"/>
                <w:sz w:val="20"/>
                <w:szCs w:val="20"/>
              </w:rPr>
            </w:pPr>
          </w:p>
        </w:tc>
        <w:tc>
          <w:tcPr>
            <w:tcW w:w="4860" w:type="dxa"/>
          </w:tcPr>
          <w:p w:rsidR="00C77D39" w:rsidRPr="00712413" w:rsidRDefault="00C77D39" w:rsidP="008F2228">
            <w:pPr>
              <w:keepNext/>
              <w:spacing w:line="240" w:lineRule="exact"/>
              <w:rPr>
                <w:rFonts w:ascii="Times New Roman" w:hAnsi="Times New Roman"/>
                <w:caps/>
              </w:rPr>
            </w:pPr>
          </w:p>
        </w:tc>
      </w:tr>
    </w:tbl>
    <w:p w:rsidR="006F59AE" w:rsidRDefault="006F59AE" w:rsidP="006F59AE">
      <w:pPr>
        <w:keepNext/>
        <w:keepLines/>
        <w:jc w:val="center"/>
        <w:rPr>
          <w:rFonts w:ascii="Times New Roman" w:hAnsi="Times New Roman"/>
          <w:sz w:val="24"/>
        </w:rPr>
      </w:pPr>
    </w:p>
    <w:p w:rsidR="00C00B34" w:rsidRDefault="005F3C8E" w:rsidP="00C77CAD">
      <w:pPr>
        <w:pStyle w:val="StyleListParagraphTimesNewRoman12ptLinespacingDouble"/>
        <w:sectPr w:rsidR="00C00B34" w:rsidSect="006362FC">
          <w:headerReference w:type="even" r:id="rId9"/>
          <w:headerReference w:type="default" r:id="rId10"/>
          <w:footerReference w:type="even" r:id="rId11"/>
          <w:footerReference w:type="default" r:id="rId12"/>
          <w:headerReference w:type="first" r:id="rId13"/>
          <w:footerReference w:type="first" r:id="rId14"/>
          <w:pgSz w:w="12240" w:h="15840" w:code="1"/>
          <w:pgMar w:top="1354" w:right="1440" w:bottom="1440" w:left="1440" w:header="720" w:footer="720" w:gutter="0"/>
          <w:paperSrc w:first="261" w:other="261"/>
          <w:cols w:space="720"/>
          <w:docGrid w:linePitch="360"/>
        </w:sectPr>
      </w:pPr>
      <w:r>
        <w:br w:type="page"/>
      </w:r>
    </w:p>
    <w:p w:rsidR="005F3C8E" w:rsidRDefault="005F3C8E" w:rsidP="00C77CAD">
      <w:pPr>
        <w:pStyle w:val="StyleListParagraphTimesNewRoman12ptLinespacingDouble"/>
      </w:pPr>
    </w:p>
    <w:p w:rsidR="00B62D6E" w:rsidRPr="00316687" w:rsidRDefault="00B62D6E" w:rsidP="00B62D6E">
      <w:pPr>
        <w:keepNext/>
        <w:keepLines/>
        <w:jc w:val="center"/>
        <w:rPr>
          <w:rFonts w:ascii="Times New Roman" w:hAnsi="Times New Roman" w:cs="Times New Roman"/>
          <w:b/>
          <w:sz w:val="24"/>
          <w:szCs w:val="24"/>
        </w:rPr>
      </w:pPr>
      <w:r w:rsidRPr="00316687">
        <w:rPr>
          <w:rFonts w:ascii="Times New Roman" w:hAnsi="Times New Roman" w:cs="Times New Roman"/>
          <w:b/>
          <w:sz w:val="24"/>
          <w:szCs w:val="24"/>
        </w:rPr>
        <w:t>CERTIFICATE OF SERVICE</w:t>
      </w:r>
    </w:p>
    <w:p w:rsidR="00B62D6E" w:rsidRPr="008B20AC" w:rsidRDefault="00B62D6E" w:rsidP="00B62D6E">
      <w:pPr>
        <w:keepNext/>
        <w:keepLines/>
        <w:rPr>
          <w:rFonts w:ascii="Times New Roman" w:hAnsi="Times New Roman"/>
          <w:color w:val="0000FF"/>
          <w:sz w:val="24"/>
          <w:u w:val="single"/>
        </w:rPr>
      </w:pPr>
      <w:r w:rsidRPr="00316687">
        <w:rPr>
          <w:rFonts w:ascii="Times New Roman" w:hAnsi="Times New Roman" w:cs="Times New Roman"/>
          <w:sz w:val="24"/>
          <w:szCs w:val="24"/>
        </w:rPr>
        <w:tab/>
      </w:r>
      <w:r w:rsidRPr="008B20AC">
        <w:rPr>
          <w:rFonts w:ascii="Times New Roman" w:hAnsi="Times New Roman"/>
          <w:sz w:val="24"/>
        </w:rPr>
        <w:t xml:space="preserve">I hereby certify that </w:t>
      </w:r>
      <w:r w:rsidR="008B2564">
        <w:rPr>
          <w:rFonts w:ascii="Times New Roman" w:hAnsi="Times New Roman"/>
          <w:sz w:val="24"/>
        </w:rPr>
        <w:t xml:space="preserve">on </w:t>
      </w:r>
      <w:r w:rsidR="00C71410">
        <w:rPr>
          <w:rFonts w:ascii="Times New Roman" w:hAnsi="Times New Roman"/>
          <w:sz w:val="24"/>
        </w:rPr>
        <w:t xml:space="preserve">September 12, </w:t>
      </w:r>
      <w:r w:rsidR="00C77D39">
        <w:rPr>
          <w:rFonts w:ascii="Times New Roman" w:hAnsi="Times New Roman"/>
          <w:sz w:val="24"/>
        </w:rPr>
        <w:t>2016,</w:t>
      </w:r>
      <w:r w:rsidR="008B2564">
        <w:rPr>
          <w:rFonts w:ascii="Times New Roman" w:hAnsi="Times New Roman"/>
          <w:sz w:val="24"/>
        </w:rPr>
        <w:t xml:space="preserve"> I caused to be served the original and </w:t>
      </w:r>
      <w:r w:rsidR="002235B0">
        <w:rPr>
          <w:rFonts w:ascii="Times New Roman" w:hAnsi="Times New Roman"/>
          <w:sz w:val="24"/>
        </w:rPr>
        <w:t xml:space="preserve">three (3) </w:t>
      </w:r>
      <w:r w:rsidR="000A762F">
        <w:rPr>
          <w:rFonts w:ascii="Times New Roman" w:hAnsi="Times New Roman"/>
          <w:sz w:val="24"/>
        </w:rPr>
        <w:t>copies</w:t>
      </w:r>
      <w:r w:rsidR="008B2564">
        <w:rPr>
          <w:rFonts w:ascii="Times New Roman" w:hAnsi="Times New Roman"/>
          <w:sz w:val="24"/>
        </w:rPr>
        <w:t xml:space="preserve"> of the foregoing document to the following address via </w:t>
      </w:r>
      <w:r w:rsidR="005F0478">
        <w:rPr>
          <w:rFonts w:ascii="Times New Roman" w:hAnsi="Times New Roman"/>
          <w:sz w:val="24"/>
        </w:rPr>
        <w:t>Fed Ex</w:t>
      </w:r>
      <w:r w:rsidR="008B2564">
        <w:rPr>
          <w:rFonts w:ascii="Times New Roman" w:hAnsi="Times New Roman"/>
          <w:sz w:val="24"/>
        </w:rPr>
        <w:t>:</w:t>
      </w:r>
      <w:r w:rsidRPr="008B20AC">
        <w:rPr>
          <w:rFonts w:ascii="Times New Roman" w:hAnsi="Times New Roman"/>
          <w:sz w:val="24"/>
        </w:rPr>
        <w:t xml:space="preserve"> </w:t>
      </w:r>
    </w:p>
    <w:p w:rsidR="00B62D6E" w:rsidRPr="008B20AC" w:rsidRDefault="00B62D6E" w:rsidP="00B62D6E">
      <w:pPr>
        <w:rPr>
          <w:rFonts w:ascii="Times New Roman" w:hAnsi="Times New Roman"/>
          <w:sz w:val="24"/>
        </w:rPr>
      </w:pPr>
    </w:p>
    <w:p w:rsidR="00B62D6E" w:rsidRPr="008B20AC" w:rsidRDefault="00B62D6E" w:rsidP="005F3C8E">
      <w:pPr>
        <w:ind w:left="720"/>
        <w:rPr>
          <w:rFonts w:ascii="Times New Roman" w:hAnsi="Times New Roman"/>
          <w:sz w:val="24"/>
        </w:rPr>
      </w:pPr>
      <w:r w:rsidRPr="008B20AC">
        <w:rPr>
          <w:rFonts w:ascii="Times New Roman" w:hAnsi="Times New Roman"/>
          <w:sz w:val="24"/>
        </w:rPr>
        <w:t>Steven V. King, Executive Director and Secretary</w:t>
      </w:r>
    </w:p>
    <w:p w:rsidR="00B62D6E" w:rsidRPr="008B20AC" w:rsidRDefault="00B62D6E" w:rsidP="00B62D6E">
      <w:pPr>
        <w:ind w:firstLine="720"/>
        <w:rPr>
          <w:rFonts w:ascii="Times New Roman" w:hAnsi="Times New Roman"/>
          <w:sz w:val="24"/>
        </w:rPr>
      </w:pPr>
      <w:r w:rsidRPr="008B20AC">
        <w:rPr>
          <w:rFonts w:ascii="Times New Roman" w:hAnsi="Times New Roman"/>
          <w:sz w:val="24"/>
        </w:rPr>
        <w:t>Washington Utilities and Transportation Commission</w:t>
      </w:r>
    </w:p>
    <w:p w:rsidR="00B62D6E" w:rsidRPr="008B20AC" w:rsidRDefault="00B62D6E" w:rsidP="00B62D6E">
      <w:pPr>
        <w:ind w:firstLine="720"/>
        <w:rPr>
          <w:rFonts w:ascii="Times New Roman" w:hAnsi="Times New Roman"/>
          <w:sz w:val="24"/>
        </w:rPr>
      </w:pPr>
      <w:r w:rsidRPr="008B20AC">
        <w:rPr>
          <w:rFonts w:ascii="Times New Roman" w:hAnsi="Times New Roman"/>
          <w:sz w:val="24"/>
        </w:rPr>
        <w:t>Attn.:  Records Center</w:t>
      </w:r>
    </w:p>
    <w:p w:rsidR="00B62D6E" w:rsidRPr="008B20AC" w:rsidRDefault="00B62D6E" w:rsidP="00B62D6E">
      <w:pPr>
        <w:ind w:firstLine="720"/>
        <w:rPr>
          <w:rFonts w:ascii="Times New Roman" w:hAnsi="Times New Roman"/>
          <w:sz w:val="24"/>
        </w:rPr>
      </w:pPr>
      <w:r w:rsidRPr="008B20AC">
        <w:rPr>
          <w:rFonts w:ascii="Times New Roman" w:hAnsi="Times New Roman"/>
          <w:sz w:val="24"/>
        </w:rPr>
        <w:t>P.O. Box 47250</w:t>
      </w:r>
    </w:p>
    <w:p w:rsidR="00B62D6E" w:rsidRPr="008B20AC" w:rsidRDefault="00B62D6E" w:rsidP="00B62D6E">
      <w:pPr>
        <w:ind w:firstLine="720"/>
        <w:rPr>
          <w:rFonts w:ascii="Times New Roman" w:hAnsi="Times New Roman"/>
          <w:sz w:val="24"/>
        </w:rPr>
      </w:pPr>
      <w:r w:rsidRPr="008B20AC">
        <w:rPr>
          <w:rFonts w:ascii="Times New Roman" w:hAnsi="Times New Roman"/>
          <w:sz w:val="24"/>
        </w:rPr>
        <w:t>1300 S. Evergreen Park Dr. SW</w:t>
      </w:r>
    </w:p>
    <w:p w:rsidR="00B62D6E" w:rsidRPr="008B20AC" w:rsidRDefault="00B62D6E" w:rsidP="00B62D6E">
      <w:pPr>
        <w:ind w:firstLine="720"/>
        <w:rPr>
          <w:rFonts w:ascii="Times New Roman" w:hAnsi="Times New Roman"/>
          <w:sz w:val="24"/>
        </w:rPr>
      </w:pPr>
      <w:r w:rsidRPr="008B20AC">
        <w:rPr>
          <w:rFonts w:ascii="Times New Roman" w:hAnsi="Times New Roman"/>
          <w:sz w:val="24"/>
        </w:rPr>
        <w:t>Olympia, WA 98504-7250</w:t>
      </w:r>
    </w:p>
    <w:p w:rsidR="003D60A9" w:rsidRDefault="003D60A9" w:rsidP="003D60A9">
      <w:pPr>
        <w:ind w:firstLine="720"/>
        <w:rPr>
          <w:rFonts w:ascii="Times New Roman" w:hAnsi="Times New Roman"/>
          <w:sz w:val="24"/>
        </w:rPr>
      </w:pPr>
      <w:r>
        <w:rPr>
          <w:rFonts w:ascii="Times New Roman" w:hAnsi="Times New Roman"/>
          <w:sz w:val="24"/>
        </w:rPr>
        <w:t xml:space="preserve">Attn: Greg </w:t>
      </w:r>
      <w:proofErr w:type="spellStart"/>
      <w:r>
        <w:rPr>
          <w:rFonts w:ascii="Times New Roman" w:hAnsi="Times New Roman"/>
          <w:sz w:val="24"/>
        </w:rPr>
        <w:t>Kopta</w:t>
      </w:r>
      <w:proofErr w:type="spellEnd"/>
    </w:p>
    <w:p w:rsidR="00B62D6E" w:rsidRPr="008B20AC" w:rsidRDefault="00B62D6E" w:rsidP="00B62D6E">
      <w:pPr>
        <w:ind w:firstLine="720"/>
        <w:rPr>
          <w:rFonts w:ascii="Times New Roman" w:hAnsi="Times New Roman"/>
          <w:sz w:val="24"/>
        </w:rPr>
      </w:pPr>
    </w:p>
    <w:p w:rsidR="00C77D39" w:rsidRDefault="008B2564" w:rsidP="00C77D39">
      <w:pPr>
        <w:rPr>
          <w:rStyle w:val="Hyperlink"/>
          <w:rFonts w:ascii="Times New Roman" w:hAnsi="Times New Roman"/>
          <w:sz w:val="24"/>
        </w:rPr>
      </w:pPr>
      <w:r w:rsidRPr="008B2564">
        <w:rPr>
          <w:rStyle w:val="Hyperlink"/>
          <w:rFonts w:ascii="Times New Roman" w:hAnsi="Times New Roman"/>
          <w:color w:val="auto"/>
          <w:sz w:val="24"/>
          <w:u w:val="none"/>
        </w:rPr>
        <w:t xml:space="preserve">I further certify that I have also provided to the Washington Utilities and Transportation Commission’s Secretary an official electronic file containing the foregoing </w:t>
      </w:r>
      <w:r>
        <w:rPr>
          <w:rStyle w:val="Hyperlink"/>
          <w:rFonts w:ascii="Times New Roman" w:hAnsi="Times New Roman"/>
          <w:color w:val="auto"/>
          <w:sz w:val="24"/>
          <w:u w:val="none"/>
        </w:rPr>
        <w:t xml:space="preserve">document via </w:t>
      </w:r>
      <w:r w:rsidR="00C77D39" w:rsidRPr="005F0478">
        <w:rPr>
          <w:rStyle w:val="Hyperlink"/>
          <w:rFonts w:ascii="Times New Roman" w:hAnsi="Times New Roman"/>
          <w:color w:val="auto"/>
          <w:sz w:val="24"/>
          <w:u w:val="none"/>
        </w:rPr>
        <w:t>web portal</w:t>
      </w:r>
      <w:r w:rsidR="00C77D39">
        <w:rPr>
          <w:rStyle w:val="Hyperlink"/>
          <w:rFonts w:ascii="Times New Roman" w:hAnsi="Times New Roman"/>
          <w:color w:val="auto"/>
          <w:sz w:val="24"/>
          <w:u w:val="none"/>
        </w:rPr>
        <w:t xml:space="preserve"> </w:t>
      </w:r>
      <w:r>
        <w:rPr>
          <w:rStyle w:val="Hyperlink"/>
          <w:rFonts w:ascii="Times New Roman" w:hAnsi="Times New Roman"/>
          <w:color w:val="auto"/>
          <w:sz w:val="24"/>
          <w:u w:val="none"/>
        </w:rPr>
        <w:t>to:</w:t>
      </w:r>
      <w:r w:rsidR="00C77D39">
        <w:rPr>
          <w:rStyle w:val="Hyperlink"/>
          <w:rFonts w:ascii="Times New Roman" w:hAnsi="Times New Roman"/>
          <w:color w:val="auto"/>
          <w:sz w:val="24"/>
          <w:u w:val="none"/>
        </w:rPr>
        <w:t xml:space="preserve">    </w:t>
      </w:r>
      <w:hyperlink r:id="rId15" w:history="1">
        <w:r w:rsidR="00C77D39" w:rsidRPr="00DD4253">
          <w:rPr>
            <w:rStyle w:val="Hyperlink"/>
            <w:rFonts w:ascii="Times New Roman" w:hAnsi="Times New Roman"/>
            <w:sz w:val="24"/>
          </w:rPr>
          <w:t>records@utc.wa.gov</w:t>
        </w:r>
      </w:hyperlink>
    </w:p>
    <w:p w:rsidR="008B2564" w:rsidRPr="008B2564" w:rsidRDefault="008B2564" w:rsidP="00B62D6E">
      <w:pPr>
        <w:rPr>
          <w:rStyle w:val="Hyperlink"/>
          <w:rFonts w:ascii="Times New Roman" w:hAnsi="Times New Roman"/>
          <w:color w:val="auto"/>
          <w:sz w:val="24"/>
          <w:u w:val="none"/>
        </w:rPr>
      </w:pPr>
    </w:p>
    <w:p w:rsidR="00B62D6E" w:rsidRPr="008B20AC" w:rsidRDefault="00B62D6E" w:rsidP="00B62D6E">
      <w:pPr>
        <w:keepNext/>
        <w:keepLines/>
        <w:rPr>
          <w:rFonts w:ascii="Times New Roman" w:hAnsi="Times New Roman"/>
          <w:sz w:val="24"/>
        </w:rPr>
      </w:pPr>
      <w:proofErr w:type="gramStart"/>
      <w:r w:rsidRPr="008B20AC">
        <w:rPr>
          <w:rFonts w:ascii="Times New Roman" w:hAnsi="Times New Roman"/>
          <w:sz w:val="24"/>
        </w:rPr>
        <w:t>and</w:t>
      </w:r>
      <w:proofErr w:type="gramEnd"/>
      <w:r w:rsidRPr="008B20AC">
        <w:rPr>
          <w:rFonts w:ascii="Times New Roman" w:hAnsi="Times New Roman"/>
          <w:sz w:val="24"/>
        </w:rPr>
        <w:t xml:space="preserve"> served a copy via email and</w:t>
      </w:r>
      <w:r w:rsidR="00075DF4">
        <w:rPr>
          <w:rFonts w:ascii="Times New Roman" w:hAnsi="Times New Roman"/>
          <w:sz w:val="24"/>
        </w:rPr>
        <w:t>/or</w:t>
      </w:r>
      <w:r w:rsidRPr="008B20AC">
        <w:rPr>
          <w:rFonts w:ascii="Times New Roman" w:hAnsi="Times New Roman"/>
          <w:sz w:val="24"/>
        </w:rPr>
        <w:t xml:space="preserve"> first class mail, postage prepaid, to:</w:t>
      </w:r>
      <w:r w:rsidRPr="008B20AC">
        <w:rPr>
          <w:rFonts w:ascii="Times New Roman" w:hAnsi="Times New Roman"/>
          <w:sz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4860"/>
      </w:tblGrid>
      <w:tr w:rsidR="00C77D39" w:rsidRPr="00316687" w:rsidTr="00C8627C">
        <w:tc>
          <w:tcPr>
            <w:tcW w:w="4338" w:type="dxa"/>
            <w:shd w:val="clear" w:color="auto" w:fill="auto"/>
          </w:tcPr>
          <w:p w:rsidR="00C77D39" w:rsidRPr="00316687" w:rsidRDefault="00C77D39" w:rsidP="00C8627C">
            <w:pPr>
              <w:keepNext/>
              <w:keepLines/>
              <w:rPr>
                <w:rFonts w:ascii="Times New Roman" w:hAnsi="Times New Roman" w:cs="Times New Roman"/>
                <w:sz w:val="24"/>
                <w:szCs w:val="24"/>
              </w:rPr>
            </w:pPr>
            <w:r>
              <w:rPr>
                <w:rFonts w:ascii="Times New Roman" w:hAnsi="Times New Roman" w:cs="Times New Roman"/>
                <w:sz w:val="24"/>
                <w:szCs w:val="24"/>
              </w:rPr>
              <w:t>Julian Beattie</w:t>
            </w:r>
          </w:p>
          <w:p w:rsidR="00C77D39" w:rsidRDefault="00C77D39" w:rsidP="00C8627C">
            <w:pPr>
              <w:keepNext/>
              <w:keepLines/>
              <w:rPr>
                <w:rFonts w:ascii="Times New Roman" w:hAnsi="Times New Roman" w:cs="Times New Roman"/>
                <w:sz w:val="24"/>
                <w:szCs w:val="24"/>
              </w:rPr>
            </w:pPr>
            <w:r>
              <w:rPr>
                <w:rFonts w:ascii="Times New Roman" w:hAnsi="Times New Roman" w:cs="Times New Roman"/>
                <w:sz w:val="24"/>
                <w:szCs w:val="24"/>
              </w:rPr>
              <w:t>Office of the Attorney General</w:t>
            </w:r>
          </w:p>
          <w:p w:rsidR="00C77D39" w:rsidRPr="00316687" w:rsidRDefault="00C77D39" w:rsidP="00C8627C">
            <w:pPr>
              <w:keepNext/>
              <w:keepLines/>
              <w:rPr>
                <w:rFonts w:ascii="Times New Roman" w:hAnsi="Times New Roman" w:cs="Times New Roman"/>
                <w:sz w:val="24"/>
                <w:szCs w:val="24"/>
              </w:rPr>
            </w:pPr>
            <w:r>
              <w:rPr>
                <w:rFonts w:ascii="Times New Roman" w:hAnsi="Times New Roman" w:cs="Times New Roman"/>
                <w:sz w:val="24"/>
                <w:szCs w:val="24"/>
              </w:rPr>
              <w:t>Utilities and Transportation Division</w:t>
            </w:r>
          </w:p>
          <w:p w:rsidR="00C77D39" w:rsidRPr="00316687" w:rsidRDefault="00C77D39" w:rsidP="00C8627C">
            <w:pPr>
              <w:keepNext/>
              <w:keepLines/>
              <w:rPr>
                <w:rFonts w:ascii="Times New Roman" w:hAnsi="Times New Roman" w:cs="Times New Roman"/>
                <w:sz w:val="24"/>
                <w:szCs w:val="24"/>
              </w:rPr>
            </w:pPr>
            <w:r w:rsidRPr="00316687">
              <w:rPr>
                <w:rFonts w:ascii="Times New Roman" w:hAnsi="Times New Roman" w:cs="Times New Roman"/>
                <w:sz w:val="24"/>
                <w:szCs w:val="24"/>
              </w:rPr>
              <w:t>1400 S. Evergreen Park Dr. SW</w:t>
            </w:r>
          </w:p>
          <w:p w:rsidR="00C77D39" w:rsidRPr="00316687" w:rsidRDefault="00C77D39" w:rsidP="00C8627C">
            <w:pPr>
              <w:keepNext/>
              <w:keepLines/>
              <w:rPr>
                <w:rFonts w:ascii="Times New Roman" w:hAnsi="Times New Roman" w:cs="Times New Roman"/>
                <w:sz w:val="24"/>
                <w:szCs w:val="24"/>
              </w:rPr>
            </w:pPr>
            <w:r w:rsidRPr="00316687">
              <w:rPr>
                <w:rFonts w:ascii="Times New Roman" w:hAnsi="Times New Roman" w:cs="Times New Roman"/>
                <w:sz w:val="24"/>
                <w:szCs w:val="24"/>
              </w:rPr>
              <w:t>PO Box 40128</w:t>
            </w:r>
          </w:p>
          <w:p w:rsidR="00C77D39" w:rsidRPr="00316687" w:rsidRDefault="00C77D39" w:rsidP="00C8627C">
            <w:pPr>
              <w:keepNext/>
              <w:keepLines/>
              <w:rPr>
                <w:rFonts w:ascii="Times New Roman" w:hAnsi="Times New Roman" w:cs="Times New Roman"/>
                <w:sz w:val="24"/>
                <w:szCs w:val="24"/>
              </w:rPr>
            </w:pPr>
            <w:r w:rsidRPr="00316687">
              <w:rPr>
                <w:rFonts w:ascii="Times New Roman" w:hAnsi="Times New Roman" w:cs="Times New Roman"/>
                <w:sz w:val="24"/>
                <w:szCs w:val="24"/>
              </w:rPr>
              <w:t>Olympia, WA  98504-0128</w:t>
            </w:r>
          </w:p>
          <w:p w:rsidR="00C77D39" w:rsidRPr="00316687" w:rsidRDefault="00C77D39" w:rsidP="00C8627C">
            <w:pPr>
              <w:keepNext/>
              <w:keepLines/>
              <w:rPr>
                <w:rFonts w:ascii="Times New Roman" w:hAnsi="Times New Roman" w:cs="Times New Roman"/>
                <w:sz w:val="24"/>
                <w:szCs w:val="24"/>
              </w:rPr>
            </w:pPr>
            <w:r w:rsidRPr="00316687">
              <w:rPr>
                <w:rFonts w:ascii="Times New Roman" w:hAnsi="Times New Roman" w:cs="Times New Roman"/>
                <w:sz w:val="24"/>
                <w:szCs w:val="24"/>
              </w:rPr>
              <w:t>(360) 664-1192</w:t>
            </w:r>
          </w:p>
          <w:p w:rsidR="00C77D39" w:rsidRPr="00316687" w:rsidRDefault="00C77D39" w:rsidP="00C8627C">
            <w:pPr>
              <w:keepNext/>
              <w:keepLines/>
              <w:rPr>
                <w:rFonts w:ascii="Times New Roman" w:hAnsi="Times New Roman" w:cs="Times New Roman"/>
                <w:sz w:val="24"/>
                <w:szCs w:val="24"/>
              </w:rPr>
            </w:pPr>
            <w:r w:rsidRPr="00316687">
              <w:rPr>
                <w:rFonts w:ascii="Times New Roman" w:hAnsi="Times New Roman" w:cs="Times New Roman"/>
                <w:sz w:val="24"/>
                <w:szCs w:val="24"/>
              </w:rPr>
              <w:t xml:space="preserve">Email: </w:t>
            </w:r>
            <w:hyperlink r:id="rId16" w:history="1">
              <w:r w:rsidRPr="0014570A">
                <w:rPr>
                  <w:rStyle w:val="Hyperlink"/>
                  <w:rFonts w:ascii="Times New Roman" w:hAnsi="Times New Roman" w:cs="Times New Roman"/>
                  <w:sz w:val="24"/>
                  <w:szCs w:val="24"/>
                </w:rPr>
                <w:t>jbeattie@utc.wa.gov</w:t>
              </w:r>
            </w:hyperlink>
          </w:p>
          <w:p w:rsidR="00C77D39" w:rsidRPr="00316687" w:rsidRDefault="00C77D39" w:rsidP="00C8627C">
            <w:pPr>
              <w:keepNext/>
              <w:keepLines/>
              <w:rPr>
                <w:rFonts w:ascii="Times New Roman" w:hAnsi="Times New Roman" w:cs="Times New Roman"/>
                <w:sz w:val="24"/>
                <w:szCs w:val="24"/>
              </w:rPr>
            </w:pPr>
          </w:p>
        </w:tc>
        <w:tc>
          <w:tcPr>
            <w:tcW w:w="4860" w:type="dxa"/>
            <w:shd w:val="clear" w:color="auto" w:fill="auto"/>
          </w:tcPr>
          <w:p w:rsidR="00151F7C" w:rsidRDefault="00151F7C" w:rsidP="00151F7C">
            <w:pPr>
              <w:keepNext/>
              <w:keepLines/>
              <w:rPr>
                <w:rFonts w:ascii="Times New Roman" w:hAnsi="Times New Roman" w:cs="Times New Roman"/>
                <w:sz w:val="24"/>
                <w:szCs w:val="24"/>
              </w:rPr>
            </w:pPr>
            <w:r>
              <w:rPr>
                <w:rFonts w:ascii="Times New Roman" w:hAnsi="Times New Roman" w:cs="Times New Roman"/>
                <w:sz w:val="24"/>
                <w:szCs w:val="24"/>
              </w:rPr>
              <w:t xml:space="preserve">Greg </w:t>
            </w:r>
            <w:proofErr w:type="spellStart"/>
            <w:r>
              <w:rPr>
                <w:rFonts w:ascii="Times New Roman" w:hAnsi="Times New Roman" w:cs="Times New Roman"/>
                <w:sz w:val="24"/>
                <w:szCs w:val="24"/>
              </w:rPr>
              <w:t>Kopta</w:t>
            </w:r>
            <w:proofErr w:type="spellEnd"/>
          </w:p>
          <w:p w:rsidR="005D5773" w:rsidRDefault="005D5773" w:rsidP="005D5773">
            <w:pPr>
              <w:keepNext/>
              <w:keepLines/>
              <w:rPr>
                <w:rFonts w:ascii="Times New Roman" w:hAnsi="Times New Roman" w:cs="Times New Roman"/>
                <w:sz w:val="24"/>
                <w:szCs w:val="24"/>
              </w:rPr>
            </w:pPr>
            <w:r>
              <w:rPr>
                <w:rFonts w:ascii="Times New Roman" w:hAnsi="Times New Roman" w:cs="Times New Roman"/>
                <w:sz w:val="24"/>
                <w:szCs w:val="24"/>
              </w:rPr>
              <w:t>Director/Administrative Law Division</w:t>
            </w:r>
          </w:p>
          <w:p w:rsidR="00151F7C" w:rsidRDefault="00151F7C" w:rsidP="00151F7C">
            <w:pPr>
              <w:keepNext/>
              <w:keepLines/>
              <w:rPr>
                <w:rFonts w:ascii="Times New Roman" w:hAnsi="Times New Roman" w:cs="Times New Roman"/>
                <w:color w:val="000000"/>
                <w:sz w:val="24"/>
                <w:szCs w:val="24"/>
              </w:rPr>
            </w:pPr>
            <w:r>
              <w:rPr>
                <w:rFonts w:ascii="Times New Roman" w:hAnsi="Times New Roman" w:cs="Times New Roman"/>
                <w:color w:val="000000"/>
                <w:sz w:val="24"/>
                <w:szCs w:val="24"/>
              </w:rPr>
              <w:t>1300 S. Evergreen Park Drive SW</w:t>
            </w:r>
          </w:p>
          <w:p w:rsidR="00151F7C" w:rsidRDefault="00151F7C" w:rsidP="00151F7C">
            <w:pPr>
              <w:keepNext/>
              <w:keepLines/>
              <w:rPr>
                <w:rFonts w:ascii="Times New Roman" w:hAnsi="Times New Roman" w:cs="Times New Roman"/>
                <w:color w:val="000000"/>
                <w:sz w:val="24"/>
                <w:szCs w:val="24"/>
              </w:rPr>
            </w:pPr>
            <w:r>
              <w:rPr>
                <w:rFonts w:ascii="Times New Roman" w:hAnsi="Times New Roman" w:cs="Times New Roman"/>
                <w:color w:val="000000"/>
                <w:sz w:val="24"/>
                <w:szCs w:val="24"/>
              </w:rPr>
              <w:t>P.O. Box 47250</w:t>
            </w:r>
          </w:p>
          <w:p w:rsidR="00151F7C" w:rsidRDefault="00151F7C" w:rsidP="00151F7C">
            <w:pPr>
              <w:keepNext/>
              <w:keepLines/>
              <w:rPr>
                <w:rFonts w:ascii="Times New Roman" w:hAnsi="Times New Roman" w:cs="Times New Roman"/>
                <w:color w:val="000000"/>
                <w:sz w:val="24"/>
                <w:szCs w:val="24"/>
              </w:rPr>
            </w:pPr>
            <w:r>
              <w:rPr>
                <w:rFonts w:ascii="Times New Roman" w:hAnsi="Times New Roman" w:cs="Times New Roman"/>
                <w:color w:val="000000"/>
                <w:sz w:val="24"/>
                <w:szCs w:val="24"/>
              </w:rPr>
              <w:t>Olympia, WA 98504-7250</w:t>
            </w:r>
          </w:p>
          <w:p w:rsidR="00151F7C" w:rsidRDefault="00151F7C" w:rsidP="00151F7C">
            <w:pPr>
              <w:keepNext/>
              <w:keepLines/>
              <w:rPr>
                <w:rFonts w:ascii="Times New Roman" w:hAnsi="Times New Roman" w:cs="Times New Roman"/>
                <w:sz w:val="24"/>
                <w:szCs w:val="24"/>
              </w:rPr>
            </w:pPr>
            <w:r>
              <w:rPr>
                <w:rFonts w:ascii="Times New Roman" w:hAnsi="Times New Roman" w:cs="Times New Roman"/>
                <w:color w:val="000000"/>
                <w:sz w:val="24"/>
                <w:szCs w:val="24"/>
              </w:rPr>
              <w:t>(360)-664-1355</w:t>
            </w:r>
          </w:p>
          <w:p w:rsidR="00F62913" w:rsidRPr="00316687" w:rsidRDefault="00151F7C" w:rsidP="00151F7C">
            <w:pPr>
              <w:keepNext/>
              <w:keepLines/>
              <w:rPr>
                <w:rFonts w:ascii="Times New Roman" w:hAnsi="Times New Roman" w:cs="Times New Roman"/>
                <w:sz w:val="24"/>
                <w:szCs w:val="24"/>
              </w:rPr>
            </w:pPr>
            <w:r>
              <w:rPr>
                <w:rFonts w:ascii="Times New Roman" w:hAnsi="Times New Roman" w:cs="Times New Roman"/>
                <w:sz w:val="24"/>
                <w:szCs w:val="24"/>
              </w:rPr>
              <w:t>gkopta@utc.wa.gov</w:t>
            </w:r>
          </w:p>
        </w:tc>
      </w:tr>
      <w:tr w:rsidR="00C77D39" w:rsidRPr="00316687" w:rsidTr="00C8627C">
        <w:tc>
          <w:tcPr>
            <w:tcW w:w="4338" w:type="dxa"/>
            <w:shd w:val="clear" w:color="auto" w:fill="auto"/>
          </w:tcPr>
          <w:p w:rsidR="00C77D39" w:rsidRPr="00316687" w:rsidRDefault="00C77D39" w:rsidP="00C8627C">
            <w:pPr>
              <w:keepNext/>
              <w:keepLines/>
              <w:rPr>
                <w:rFonts w:ascii="Times New Roman" w:hAnsi="Times New Roman" w:cs="Times New Roman"/>
                <w:sz w:val="24"/>
                <w:szCs w:val="24"/>
              </w:rPr>
            </w:pPr>
            <w:r w:rsidRPr="00316687">
              <w:rPr>
                <w:rFonts w:ascii="Times New Roman" w:hAnsi="Times New Roman" w:cs="Times New Roman"/>
                <w:sz w:val="24"/>
                <w:szCs w:val="24"/>
              </w:rPr>
              <w:t>Brooks Harlow</w:t>
            </w:r>
          </w:p>
          <w:p w:rsidR="00C77D39" w:rsidRPr="00316687" w:rsidRDefault="00C77D39" w:rsidP="00C8627C">
            <w:pPr>
              <w:keepNext/>
              <w:keepLines/>
              <w:rPr>
                <w:rFonts w:ascii="Times New Roman" w:hAnsi="Times New Roman" w:cs="Times New Roman"/>
                <w:sz w:val="24"/>
                <w:szCs w:val="24"/>
              </w:rPr>
            </w:pPr>
            <w:r w:rsidRPr="00316687">
              <w:rPr>
                <w:rFonts w:ascii="Times New Roman" w:hAnsi="Times New Roman" w:cs="Times New Roman"/>
                <w:sz w:val="24"/>
                <w:szCs w:val="24"/>
              </w:rPr>
              <w:t>Lukas, Nace, Gutierrez &amp; Sachs, LLP</w:t>
            </w:r>
          </w:p>
          <w:p w:rsidR="00C77D39" w:rsidRPr="00316687" w:rsidRDefault="00C77D39" w:rsidP="00C8627C">
            <w:pPr>
              <w:keepNext/>
              <w:keepLines/>
              <w:rPr>
                <w:rFonts w:ascii="Times New Roman" w:hAnsi="Times New Roman" w:cs="Times New Roman"/>
                <w:sz w:val="24"/>
                <w:szCs w:val="24"/>
              </w:rPr>
            </w:pPr>
            <w:r w:rsidRPr="00316687">
              <w:rPr>
                <w:rFonts w:ascii="Times New Roman" w:hAnsi="Times New Roman" w:cs="Times New Roman"/>
                <w:sz w:val="24"/>
                <w:szCs w:val="24"/>
              </w:rPr>
              <w:t>8300 Greensboro Dr. Suite 1200</w:t>
            </w:r>
          </w:p>
          <w:p w:rsidR="00C77D39" w:rsidRPr="00316687" w:rsidRDefault="00C77D39" w:rsidP="00C8627C">
            <w:pPr>
              <w:keepNext/>
              <w:keepLines/>
              <w:rPr>
                <w:rFonts w:ascii="Times New Roman" w:hAnsi="Times New Roman" w:cs="Times New Roman"/>
                <w:sz w:val="24"/>
                <w:szCs w:val="24"/>
              </w:rPr>
            </w:pPr>
            <w:r w:rsidRPr="00316687">
              <w:rPr>
                <w:rFonts w:ascii="Times New Roman" w:hAnsi="Times New Roman" w:cs="Times New Roman"/>
                <w:sz w:val="24"/>
                <w:szCs w:val="24"/>
              </w:rPr>
              <w:t>McLean, VA 22102</w:t>
            </w:r>
          </w:p>
          <w:p w:rsidR="00C77D39" w:rsidRPr="00316687" w:rsidRDefault="00C77D39" w:rsidP="00C8627C">
            <w:pPr>
              <w:keepNext/>
              <w:keepLines/>
              <w:rPr>
                <w:rFonts w:ascii="Times New Roman" w:hAnsi="Times New Roman" w:cs="Times New Roman"/>
                <w:sz w:val="24"/>
                <w:szCs w:val="24"/>
              </w:rPr>
            </w:pPr>
            <w:r w:rsidRPr="00316687">
              <w:rPr>
                <w:rFonts w:ascii="Times New Roman" w:hAnsi="Times New Roman" w:cs="Times New Roman"/>
                <w:sz w:val="24"/>
                <w:szCs w:val="24"/>
              </w:rPr>
              <w:t>(703) 584-8680</w:t>
            </w:r>
          </w:p>
          <w:p w:rsidR="00C77D39" w:rsidRPr="00316687" w:rsidRDefault="00C77D39" w:rsidP="00C8627C">
            <w:pPr>
              <w:keepNext/>
              <w:keepLines/>
              <w:rPr>
                <w:rFonts w:ascii="Times New Roman" w:hAnsi="Times New Roman" w:cs="Times New Roman"/>
                <w:sz w:val="24"/>
                <w:szCs w:val="24"/>
              </w:rPr>
            </w:pPr>
            <w:r w:rsidRPr="00316687">
              <w:rPr>
                <w:rFonts w:ascii="Times New Roman" w:hAnsi="Times New Roman" w:cs="Times New Roman"/>
                <w:sz w:val="24"/>
                <w:szCs w:val="24"/>
              </w:rPr>
              <w:t xml:space="preserve">Email: </w:t>
            </w:r>
            <w:hyperlink r:id="rId17" w:history="1">
              <w:r w:rsidRPr="00316687">
                <w:rPr>
                  <w:rStyle w:val="Hyperlink"/>
                  <w:rFonts w:ascii="Times New Roman" w:hAnsi="Times New Roman" w:cs="Times New Roman"/>
                  <w:sz w:val="24"/>
                  <w:szCs w:val="24"/>
                </w:rPr>
                <w:t>bharlow@fcclaw.com</w:t>
              </w:r>
            </w:hyperlink>
          </w:p>
          <w:p w:rsidR="00C77D39" w:rsidRPr="00316687" w:rsidRDefault="00C77D39" w:rsidP="00C8627C">
            <w:pPr>
              <w:keepNext/>
              <w:keepLines/>
              <w:rPr>
                <w:rFonts w:ascii="Times New Roman" w:hAnsi="Times New Roman" w:cs="Times New Roman"/>
                <w:sz w:val="24"/>
                <w:szCs w:val="24"/>
              </w:rPr>
            </w:pPr>
          </w:p>
        </w:tc>
        <w:tc>
          <w:tcPr>
            <w:tcW w:w="4860" w:type="dxa"/>
            <w:shd w:val="clear" w:color="auto" w:fill="auto"/>
          </w:tcPr>
          <w:p w:rsidR="00B318AF" w:rsidRPr="00B318AF" w:rsidRDefault="00B318AF" w:rsidP="00C8627C">
            <w:pPr>
              <w:keepNext/>
              <w:keepLines/>
              <w:rPr>
                <w:rFonts w:ascii="Times New Roman" w:hAnsi="Times New Roman" w:cs="Times New Roman"/>
                <w:color w:val="0000FF"/>
                <w:sz w:val="24"/>
                <w:szCs w:val="24"/>
                <w:u w:val="single"/>
              </w:rPr>
            </w:pPr>
          </w:p>
        </w:tc>
      </w:tr>
    </w:tbl>
    <w:p w:rsidR="00B62D6E" w:rsidRDefault="00B62D6E" w:rsidP="00B62D6E">
      <w:pPr>
        <w:keepNext/>
        <w:keepLines/>
        <w:jc w:val="center"/>
        <w:rPr>
          <w:rFonts w:ascii="Times New Roman" w:hAnsi="Times New Roman" w:cs="Times New Roman"/>
          <w:sz w:val="24"/>
          <w:szCs w:val="24"/>
        </w:rPr>
      </w:pP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p>
    <w:p w:rsidR="00B62D6E" w:rsidRDefault="00B62D6E" w:rsidP="00B62D6E">
      <w:pPr>
        <w:keepNext/>
        <w:keepLines/>
        <w:rPr>
          <w:rFonts w:ascii="Times New Roman" w:hAnsi="Times New Roman" w:cs="Times New Roman"/>
          <w:sz w:val="24"/>
          <w:szCs w:val="24"/>
        </w:rPr>
      </w:pPr>
      <w:r>
        <w:rPr>
          <w:rFonts w:ascii="Times New Roman" w:hAnsi="Times New Roman" w:cs="Times New Roman"/>
          <w:sz w:val="24"/>
          <w:szCs w:val="24"/>
        </w:rPr>
        <w:t xml:space="preserve">Dated at </w:t>
      </w:r>
      <w:r w:rsidR="008B2564">
        <w:rPr>
          <w:rFonts w:ascii="Times New Roman" w:hAnsi="Times New Roman" w:cs="Times New Roman"/>
          <w:sz w:val="24"/>
          <w:szCs w:val="24"/>
        </w:rPr>
        <w:t>Seattle</w:t>
      </w:r>
      <w:r>
        <w:rPr>
          <w:rFonts w:ascii="Times New Roman" w:hAnsi="Times New Roman" w:cs="Times New Roman"/>
          <w:sz w:val="24"/>
          <w:szCs w:val="24"/>
        </w:rPr>
        <w:t xml:space="preserve">, Washington this </w:t>
      </w:r>
      <w:r w:rsidR="00075DF4">
        <w:rPr>
          <w:rFonts w:ascii="Times New Roman" w:hAnsi="Times New Roman" w:cs="Times New Roman"/>
          <w:sz w:val="24"/>
          <w:szCs w:val="24"/>
        </w:rPr>
        <w:t>12</w:t>
      </w:r>
      <w:r w:rsidR="00075DF4" w:rsidRPr="00075DF4">
        <w:rPr>
          <w:rFonts w:ascii="Times New Roman" w:hAnsi="Times New Roman" w:cs="Times New Roman"/>
          <w:sz w:val="24"/>
          <w:szCs w:val="24"/>
          <w:vertAlign w:val="superscript"/>
        </w:rPr>
        <w:t>th</w:t>
      </w:r>
      <w:r w:rsidR="00075DF4">
        <w:rPr>
          <w:rFonts w:ascii="Times New Roman" w:hAnsi="Times New Roman" w:cs="Times New Roman"/>
          <w:sz w:val="24"/>
          <w:szCs w:val="24"/>
        </w:rPr>
        <w:t xml:space="preserve"> </w:t>
      </w:r>
      <w:r>
        <w:rPr>
          <w:rFonts w:ascii="Times New Roman" w:hAnsi="Times New Roman" w:cs="Times New Roman"/>
          <w:sz w:val="24"/>
          <w:szCs w:val="24"/>
        </w:rPr>
        <w:t xml:space="preserve">day of </w:t>
      </w:r>
      <w:r w:rsidR="00C71410">
        <w:rPr>
          <w:rFonts w:ascii="Times New Roman" w:hAnsi="Times New Roman" w:cs="Times New Roman"/>
          <w:sz w:val="24"/>
          <w:szCs w:val="24"/>
        </w:rPr>
        <w:t>September</w:t>
      </w:r>
      <w:r>
        <w:rPr>
          <w:rFonts w:ascii="Times New Roman" w:hAnsi="Times New Roman" w:cs="Times New Roman"/>
          <w:sz w:val="24"/>
          <w:szCs w:val="24"/>
        </w:rPr>
        <w:t>, 201</w:t>
      </w:r>
      <w:r w:rsidR="00F2468C">
        <w:rPr>
          <w:rFonts w:ascii="Times New Roman" w:hAnsi="Times New Roman" w:cs="Times New Roman"/>
          <w:sz w:val="24"/>
          <w:szCs w:val="24"/>
        </w:rPr>
        <w:t>6</w:t>
      </w:r>
      <w:r>
        <w:rPr>
          <w:rFonts w:ascii="Times New Roman" w:hAnsi="Times New Roman" w:cs="Times New Roman"/>
          <w:sz w:val="24"/>
          <w:szCs w:val="24"/>
        </w:rPr>
        <w:t>.</w:t>
      </w:r>
    </w:p>
    <w:p w:rsidR="00B62D6E" w:rsidRDefault="00B62D6E" w:rsidP="00B62D6E">
      <w:pPr>
        <w:keepNext/>
        <w:keepLines/>
        <w:rPr>
          <w:rFonts w:ascii="Times New Roman" w:hAnsi="Times New Roman" w:cs="Times New Roman"/>
          <w:sz w:val="20"/>
          <w:szCs w:val="24"/>
        </w:rPr>
      </w:pPr>
    </w:p>
    <w:p w:rsidR="00B318AF" w:rsidRPr="00B318AF" w:rsidRDefault="00B318AF" w:rsidP="00B62D6E">
      <w:pPr>
        <w:keepNext/>
        <w:keepLines/>
        <w:rPr>
          <w:rFonts w:ascii="Times New Roman" w:hAnsi="Times New Roman" w:cs="Times New Roman"/>
          <w:sz w:val="20"/>
          <w:szCs w:val="24"/>
        </w:rPr>
      </w:pPr>
    </w:p>
    <w:p w:rsidR="00B318AF" w:rsidRDefault="00B318AF" w:rsidP="00B318AF">
      <w:pPr>
        <w:keepNext/>
        <w:keepLines/>
        <w:ind w:left="4608"/>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B318AF" w:rsidRDefault="00B318AF" w:rsidP="00B318AF">
      <w:pPr>
        <w:keepNext/>
        <w:keepLines/>
        <w:ind w:left="4608"/>
        <w:rPr>
          <w:rFonts w:ascii="Times New Roman" w:hAnsi="Times New Roman" w:cs="Times New Roman"/>
          <w:sz w:val="24"/>
          <w:szCs w:val="24"/>
        </w:rPr>
      </w:pPr>
      <w:r>
        <w:rPr>
          <w:rFonts w:ascii="Times New Roman" w:hAnsi="Times New Roman" w:cs="Times New Roman"/>
          <w:sz w:val="24"/>
          <w:szCs w:val="24"/>
        </w:rPr>
        <w:t>Maggi Gruber</w:t>
      </w:r>
    </w:p>
    <w:p w:rsidR="00B318AF" w:rsidRDefault="00B318AF" w:rsidP="00B318AF">
      <w:pPr>
        <w:keepNext/>
        <w:keepLines/>
        <w:ind w:left="4608"/>
        <w:rPr>
          <w:rFonts w:ascii="Times New Roman" w:hAnsi="Times New Roman" w:cs="Times New Roman"/>
          <w:sz w:val="24"/>
          <w:szCs w:val="24"/>
        </w:rPr>
      </w:pPr>
      <w:r>
        <w:rPr>
          <w:rFonts w:ascii="Times New Roman" w:hAnsi="Times New Roman" w:cs="Times New Roman"/>
          <w:sz w:val="24"/>
          <w:szCs w:val="24"/>
        </w:rPr>
        <w:t>Legal Assistant</w:t>
      </w:r>
    </w:p>
    <w:sectPr w:rsidR="00B318AF" w:rsidSect="006362FC">
      <w:pgSz w:w="12240" w:h="15840" w:code="1"/>
      <w:pgMar w:top="1354" w:right="1440" w:bottom="1440" w:left="1440" w:header="720" w:footer="720" w:gutter="0"/>
      <w:paperSrc w:first="261" w:other="2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228" w:rsidRDefault="008F2228">
      <w:r>
        <w:separator/>
      </w:r>
    </w:p>
  </w:endnote>
  <w:endnote w:type="continuationSeparator" w:id="0">
    <w:p w:rsidR="008F2228" w:rsidRDefault="008F2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33C" w:rsidRDefault="009313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20" w:type="dxa"/>
      <w:tblInd w:w="91" w:type="dxa"/>
      <w:tblLayout w:type="fixed"/>
      <w:tblCellMar>
        <w:left w:w="91" w:type="dxa"/>
        <w:right w:w="91" w:type="dxa"/>
      </w:tblCellMar>
      <w:tblLook w:val="0000" w:firstRow="0" w:lastRow="0" w:firstColumn="0" w:lastColumn="0" w:noHBand="0" w:noVBand="0"/>
    </w:tblPr>
    <w:tblGrid>
      <w:gridCol w:w="6029"/>
      <w:gridCol w:w="202"/>
      <w:gridCol w:w="3489"/>
    </w:tblGrid>
    <w:tr w:rsidR="008F2228" w:rsidTr="00403A09">
      <w:trPr>
        <w:trHeight w:val="700"/>
      </w:trPr>
      <w:tc>
        <w:tcPr>
          <w:tcW w:w="6029" w:type="dxa"/>
        </w:tcPr>
        <w:p w:rsidR="008F2228" w:rsidRPr="00403A09" w:rsidRDefault="00151F7C" w:rsidP="00151F7C">
          <w:pPr>
            <w:rPr>
              <w:rStyle w:val="PageNumber"/>
              <w:rFonts w:ascii="Times New Roman" w:hAnsi="Times New Roman" w:cs="Times New Roman"/>
              <w:szCs w:val="24"/>
            </w:rPr>
          </w:pPr>
          <w:r w:rsidRPr="00151F7C">
            <w:rPr>
              <w:rFonts w:ascii="Times New Roman" w:hAnsi="Times New Roman" w:cs="Times New Roman"/>
              <w:sz w:val="20"/>
              <w:szCs w:val="24"/>
            </w:rPr>
            <w:t>SPEEDISHUTTLE’S REPLY</w:t>
          </w:r>
          <w:r w:rsidR="00D456D0">
            <w:rPr>
              <w:rFonts w:ascii="Times New Roman" w:hAnsi="Times New Roman" w:cs="Times New Roman"/>
              <w:sz w:val="20"/>
              <w:szCs w:val="24"/>
            </w:rPr>
            <w:t xml:space="preserve"> BY LEAVE</w:t>
          </w:r>
          <w:r w:rsidRPr="00151F7C">
            <w:rPr>
              <w:rFonts w:ascii="Times New Roman" w:hAnsi="Times New Roman" w:cs="Times New Roman"/>
              <w:sz w:val="20"/>
              <w:szCs w:val="24"/>
            </w:rPr>
            <w:t xml:space="preserve"> TO SHUTTLE EXPRESS’ ANSWER TO PETITION FOR ADMINISTRATIVE REVIEW</w:t>
          </w:r>
          <w:r w:rsidRPr="00151F7C">
            <w:rPr>
              <w:rFonts w:ascii="Times New Roman" w:hAnsi="Times New Roman" w:cs="Times New Roman"/>
              <w:sz w:val="8"/>
              <w:szCs w:val="24"/>
            </w:rPr>
            <w:t xml:space="preserve"> </w:t>
          </w:r>
          <w:r w:rsidR="00A0655B" w:rsidRPr="00F77010">
            <w:rPr>
              <w:rFonts w:ascii="Times New Roman" w:hAnsi="Times New Roman" w:cs="Times New Roman"/>
              <w:sz w:val="12"/>
              <w:szCs w:val="24"/>
            </w:rPr>
            <w:t>-</w:t>
          </w:r>
          <w:r w:rsidR="00F25241" w:rsidRPr="00F25241">
            <w:rPr>
              <w:rFonts w:ascii="Times New Roman" w:hAnsi="Times New Roman" w:cs="Times New Roman"/>
              <w:sz w:val="20"/>
              <w:szCs w:val="24"/>
            </w:rPr>
            <w:fldChar w:fldCharType="begin"/>
          </w:r>
          <w:r w:rsidR="00F25241" w:rsidRPr="00F25241">
            <w:rPr>
              <w:rFonts w:ascii="Times New Roman" w:hAnsi="Times New Roman" w:cs="Times New Roman"/>
              <w:sz w:val="20"/>
              <w:szCs w:val="24"/>
            </w:rPr>
            <w:instrText xml:space="preserve"> PAGE   \* MERGEFORMAT </w:instrText>
          </w:r>
          <w:r w:rsidR="00F25241" w:rsidRPr="00F25241">
            <w:rPr>
              <w:rFonts w:ascii="Times New Roman" w:hAnsi="Times New Roman" w:cs="Times New Roman"/>
              <w:sz w:val="20"/>
              <w:szCs w:val="24"/>
            </w:rPr>
            <w:fldChar w:fldCharType="separate"/>
          </w:r>
          <w:r w:rsidR="006362FC">
            <w:rPr>
              <w:rFonts w:ascii="Times New Roman" w:hAnsi="Times New Roman" w:cs="Times New Roman"/>
              <w:noProof/>
              <w:sz w:val="20"/>
              <w:szCs w:val="24"/>
            </w:rPr>
            <w:t>11</w:t>
          </w:r>
          <w:r w:rsidR="00F25241" w:rsidRPr="00F25241">
            <w:rPr>
              <w:rFonts w:ascii="Times New Roman" w:hAnsi="Times New Roman" w:cs="Times New Roman"/>
              <w:noProof/>
              <w:sz w:val="20"/>
              <w:szCs w:val="24"/>
            </w:rPr>
            <w:fldChar w:fldCharType="end"/>
          </w:r>
        </w:p>
      </w:tc>
      <w:tc>
        <w:tcPr>
          <w:tcW w:w="202" w:type="dxa"/>
        </w:tcPr>
        <w:p w:rsidR="008F2228" w:rsidRDefault="008F2228" w:rsidP="008F2228">
          <w:pPr>
            <w:pStyle w:val="FirmName"/>
            <w:spacing w:line="200" w:lineRule="exact"/>
            <w:jc w:val="left"/>
            <w:rPr>
              <w:b/>
              <w:sz w:val="16"/>
            </w:rPr>
          </w:pPr>
        </w:p>
      </w:tc>
      <w:tc>
        <w:tcPr>
          <w:tcW w:w="3489" w:type="dxa"/>
        </w:tcPr>
        <w:p w:rsidR="008F2228" w:rsidRDefault="008F2228" w:rsidP="008F2228">
          <w:pPr>
            <w:pStyle w:val="FirmName"/>
            <w:spacing w:line="240" w:lineRule="auto"/>
            <w:ind w:left="-86"/>
            <w:jc w:val="left"/>
            <w:rPr>
              <w:sz w:val="16"/>
            </w:rPr>
          </w:pPr>
        </w:p>
      </w:tc>
    </w:tr>
  </w:tbl>
  <w:p w:rsidR="008F2228" w:rsidRDefault="008F2228" w:rsidP="00A273DB">
    <w:pPr>
      <w:pStyle w:val="Footer"/>
    </w:pPr>
    <w:r>
      <w:rPr>
        <w:sz w:val="16"/>
      </w:rPr>
      <w:fldChar w:fldCharType="begin"/>
    </w:r>
    <w:r>
      <w:rPr>
        <w:sz w:val="16"/>
      </w:rPr>
      <w:instrText xml:space="preserve"> </w:instrText>
    </w:r>
    <w:r w:rsidRPr="00A273DB">
      <w:rPr>
        <w:sz w:val="16"/>
      </w:rPr>
      <w:instrText>IF "</w:instrText>
    </w:r>
    <w:r w:rsidRPr="00A273DB">
      <w:rPr>
        <w:sz w:val="16"/>
      </w:rPr>
      <w:fldChar w:fldCharType="begin"/>
    </w:r>
    <w:r w:rsidRPr="00A273DB">
      <w:rPr>
        <w:sz w:val="16"/>
      </w:rPr>
      <w:instrText xml:space="preserve"> DOCVARIABLE "SWDocIDLocation" </w:instrText>
    </w:r>
    <w:r w:rsidRPr="00A273DB">
      <w:rPr>
        <w:sz w:val="16"/>
      </w:rPr>
      <w:fldChar w:fldCharType="separate"/>
    </w:r>
    <w:r w:rsidR="006362FC">
      <w:rPr>
        <w:sz w:val="16"/>
      </w:rPr>
      <w:instrText>1</w:instrText>
    </w:r>
    <w:r w:rsidRPr="00A273DB">
      <w:rPr>
        <w:sz w:val="16"/>
      </w:rPr>
      <w:fldChar w:fldCharType="end"/>
    </w:r>
    <w:r w:rsidRPr="00A273DB">
      <w:rPr>
        <w:sz w:val="16"/>
      </w:rPr>
      <w:instrText>" = "1" "</w:instrText>
    </w:r>
    <w:r w:rsidRPr="00A273DB">
      <w:rPr>
        <w:sz w:val="16"/>
      </w:rPr>
      <w:fldChar w:fldCharType="begin"/>
    </w:r>
    <w:r w:rsidRPr="00A273DB">
      <w:rPr>
        <w:sz w:val="16"/>
      </w:rPr>
      <w:instrText xml:space="preserve"> DOCPROPERTY "SWDocID" </w:instrText>
    </w:r>
    <w:r w:rsidRPr="00A273DB">
      <w:rPr>
        <w:sz w:val="16"/>
      </w:rPr>
      <w:fldChar w:fldCharType="separate"/>
    </w:r>
    <w:r w:rsidR="006362FC">
      <w:rPr>
        <w:sz w:val="16"/>
      </w:rPr>
      <w:instrText xml:space="preserve"> 5847146.4</w:instrText>
    </w:r>
    <w:r w:rsidRPr="00A273DB">
      <w:rPr>
        <w:sz w:val="16"/>
      </w:rPr>
      <w:fldChar w:fldCharType="end"/>
    </w:r>
    <w:r w:rsidRPr="00A273DB">
      <w:rPr>
        <w:sz w:val="16"/>
      </w:rPr>
      <w:instrText>" ""</w:instrText>
    </w:r>
    <w:r>
      <w:rPr>
        <w:sz w:val="16"/>
      </w:rPr>
      <w:instrText xml:space="preserve"> </w:instrText>
    </w:r>
    <w:r>
      <w:rPr>
        <w:sz w:val="16"/>
      </w:rPr>
      <w:fldChar w:fldCharType="separate"/>
    </w:r>
    <w:r w:rsidR="006362FC">
      <w:rPr>
        <w:noProof/>
        <w:sz w:val="16"/>
      </w:rPr>
      <w:t xml:space="preserve"> 5847146.4</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33C" w:rsidRDefault="009313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228" w:rsidRDefault="008F2228">
      <w:r>
        <w:separator/>
      </w:r>
    </w:p>
  </w:footnote>
  <w:footnote w:type="continuationSeparator" w:id="0">
    <w:p w:rsidR="008F2228" w:rsidRDefault="008F2228">
      <w:r>
        <w:continuationSeparator/>
      </w:r>
    </w:p>
  </w:footnote>
  <w:footnote w:id="1">
    <w:p w:rsidR="004E5A7B" w:rsidRPr="004E5A7B" w:rsidRDefault="004E5A7B">
      <w:pPr>
        <w:pStyle w:val="FootnoteText"/>
      </w:pPr>
      <w:r>
        <w:rPr>
          <w:rStyle w:val="FootnoteReference"/>
        </w:rPr>
        <w:footnoteRef/>
      </w:r>
      <w:r>
        <w:t xml:space="preserve"> A pleading which the Staff aptly characterized: </w:t>
      </w:r>
      <w:r w:rsidR="00070026">
        <w:t>“Staff wishes to express that it</w:t>
      </w:r>
      <w:r>
        <w:t xml:space="preserve"> disapproves of Shuttle Express’s decision to combine and </w:t>
      </w:r>
      <w:r>
        <w:rPr>
          <w:i/>
        </w:rPr>
        <w:t>enmesh</w:t>
      </w:r>
      <w:r>
        <w:t xml:space="preserve"> these pleadings.  In preparing this Response, Staff was confused as to which allegations and requests for relief applied to the former and which applied to the latter.”  Staff’s Response to Shuttle Express’s Petition for Rehearing, fn. 4, p. 2.</w:t>
      </w:r>
    </w:p>
  </w:footnote>
  <w:footnote w:id="2">
    <w:p w:rsidR="00D45300" w:rsidRDefault="00D45300">
      <w:pPr>
        <w:pStyle w:val="FootnoteText"/>
      </w:pPr>
      <w:r>
        <w:rPr>
          <w:rStyle w:val="FootnoteReference"/>
        </w:rPr>
        <w:footnoteRef/>
      </w:r>
      <w:r>
        <w:t xml:space="preserve"> Docket No. </w:t>
      </w:r>
      <w:r w:rsidR="0093133C">
        <w:t xml:space="preserve">TC-001566, </w:t>
      </w:r>
      <w:r w:rsidR="0093133C" w:rsidRPr="00D45300">
        <w:rPr>
          <w:i/>
        </w:rPr>
        <w:t>In re</w:t>
      </w:r>
      <w:r w:rsidR="0093133C">
        <w:t xml:space="preserve"> </w:t>
      </w:r>
      <w:r w:rsidR="0093133C" w:rsidRPr="007B38DA">
        <w:rPr>
          <w:i/>
        </w:rPr>
        <w:t>Application D-78932 of</w:t>
      </w:r>
      <w:r w:rsidR="0093133C">
        <w:t xml:space="preserve"> </w:t>
      </w:r>
      <w:proofErr w:type="spellStart"/>
      <w:r w:rsidR="0093133C">
        <w:rPr>
          <w:i/>
        </w:rPr>
        <w:t>Valentinetti</w:t>
      </w:r>
      <w:proofErr w:type="spellEnd"/>
      <w:r w:rsidR="0093133C">
        <w:rPr>
          <w:i/>
        </w:rPr>
        <w:t xml:space="preserve">, Steve &amp; Brian Hartley, d/b/a Seattle Super Shuttle </w:t>
      </w:r>
      <w:r w:rsidR="0093133C">
        <w:t xml:space="preserve">(Feb. 2002) ¶38, p. 7. </w:t>
      </w:r>
    </w:p>
  </w:footnote>
  <w:footnote w:id="3">
    <w:p w:rsidR="00EB4A0B" w:rsidRDefault="00EB4A0B">
      <w:pPr>
        <w:pStyle w:val="FootnoteText"/>
      </w:pPr>
      <w:r>
        <w:rPr>
          <w:rStyle w:val="FootnoteReference"/>
        </w:rPr>
        <w:footnoteRef/>
      </w:r>
      <w:r>
        <w:t xml:space="preserve"> The overlapping jurisdictional lines and “two-step approach” to gaining access as a regulated auto transportation provider to SeaTac Airport has </w:t>
      </w:r>
      <w:r w:rsidR="001A4D7F">
        <w:t xml:space="preserve">admittedly </w:t>
      </w:r>
      <w:r>
        <w:t xml:space="preserve">been </w:t>
      </w:r>
      <w:r w:rsidR="00D45300">
        <w:t>the</w:t>
      </w:r>
      <w:r>
        <w:t xml:space="preserve"> source of </w:t>
      </w:r>
      <w:r w:rsidR="001A4D7F">
        <w:t>confusion</w:t>
      </w:r>
      <w:r w:rsidR="000822D5">
        <w:t>,</w:t>
      </w:r>
      <w:r w:rsidR="001A4D7F">
        <w:t xml:space="preserve"> not only to prospective applicants</w:t>
      </w:r>
      <w:r w:rsidR="000822D5">
        <w:t>,</w:t>
      </w:r>
      <w:r w:rsidR="001A4D7F">
        <w:t xml:space="preserve"> but </w:t>
      </w:r>
      <w:r w:rsidR="00C02B5C">
        <w:t xml:space="preserve">some </w:t>
      </w:r>
      <w:r w:rsidR="00A52887">
        <w:t>lingering disagreements</w:t>
      </w:r>
      <w:r>
        <w:t xml:space="preserve"> between the two governments over the years.  In </w:t>
      </w:r>
      <w:r>
        <w:rPr>
          <w:i/>
        </w:rPr>
        <w:t>Port of Seattle v WUTC</w:t>
      </w:r>
      <w:r>
        <w:t xml:space="preserve">, 92 </w:t>
      </w:r>
      <w:proofErr w:type="spellStart"/>
      <w:r>
        <w:t>Wn</w:t>
      </w:r>
      <w:proofErr w:type="spellEnd"/>
      <w:r>
        <w:t>. 2d 789,597 P.2d 383 (1979), the Washington Supreme Court affirmed the right of the WUTC to regulate</w:t>
      </w:r>
      <w:r w:rsidR="00823894">
        <w:t xml:space="preserve"> “the rates, services and practices</w:t>
      </w:r>
      <w:r w:rsidR="00D45300">
        <w:t>”</w:t>
      </w:r>
      <w:r w:rsidR="00823894">
        <w:t xml:space="preserve"> in relation to airport</w:t>
      </w:r>
      <w:r w:rsidR="00C02B5C">
        <w:t xml:space="preserve"> bus service companies</w:t>
      </w:r>
      <w:r w:rsidR="00D45300">
        <w:t>,</w:t>
      </w:r>
      <w:r w:rsidR="00823894">
        <w:t xml:space="preserve"> reject</w:t>
      </w:r>
      <w:r w:rsidR="001A4D7F">
        <w:t>ing the Port’s theory that its</w:t>
      </w:r>
      <w:r w:rsidR="00823894">
        <w:t xml:space="preserve"> right to enter into concession agreements at the Port under RCW 14.08 repealed the auto transportation statute.  This decision appears not to have eliminated all jurisdictional </w:t>
      </w:r>
      <w:r w:rsidR="00C02B5C">
        <w:t>conflict</w:t>
      </w:r>
      <w:r w:rsidR="00823894">
        <w:t xml:space="preserve"> between the two entities with respect to ground access by certificated carriers at the airport nor the need for a separate analysis of legal/definitional restrictions in WUTC certificates </w:t>
      </w:r>
      <w:r w:rsidR="00C02B5C">
        <w:t>versus</w:t>
      </w:r>
      <w:r w:rsidR="00823894">
        <w:t xml:space="preserve"> contractual “impediments” or limitations on service imposed by concession agreements</w:t>
      </w:r>
      <w:r w:rsidR="00C02B5C">
        <w:t xml:space="preserve"> with the Port of Seattle which the Speedishuttle case has </w:t>
      </w:r>
      <w:r w:rsidR="00343C23">
        <w:t>unquestionably</w:t>
      </w:r>
      <w:r w:rsidR="00C02B5C">
        <w:t xml:space="preserve"> now highlighted.</w:t>
      </w:r>
    </w:p>
    <w:p w:rsidR="00343C23" w:rsidRPr="00EB4A0B" w:rsidRDefault="00343C23">
      <w:pPr>
        <w:pStyle w:val="FootnoteText"/>
      </w:pPr>
    </w:p>
  </w:footnote>
  <w:footnote w:id="4">
    <w:p w:rsidR="001E7DA4" w:rsidRDefault="001E7DA4">
      <w:pPr>
        <w:pStyle w:val="FootnoteText"/>
      </w:pPr>
      <w:r>
        <w:rPr>
          <w:rStyle w:val="FootnoteReference"/>
        </w:rPr>
        <w:footnoteRef/>
      </w:r>
      <w:r>
        <w:t xml:space="preserve"> Shuttle Express also now argues </w:t>
      </w:r>
      <w:r w:rsidR="00070026">
        <w:t xml:space="preserve">in its Answer </w:t>
      </w:r>
      <w:r w:rsidR="0085783D">
        <w:t>t</w:t>
      </w:r>
      <w:r>
        <w:t xml:space="preserve">hat there were “two procedural flaws” in Speedishuttle’s </w:t>
      </w:r>
      <w:r w:rsidR="00343C23">
        <w:t xml:space="preserve">review </w:t>
      </w:r>
      <w:r>
        <w:t>approach.  First, that it did not seek review of the Order Denying the Dismissal of the Complaint</w:t>
      </w:r>
      <w:r w:rsidR="00070026">
        <w:t xml:space="preserve"> in June</w:t>
      </w:r>
      <w:r>
        <w:t xml:space="preserve"> nor of the Prehearing Conference Order 02 and 07 in this matter.  Speedishuttle did not appeal denial of its Motion to Dismiss the Complaint because the standard </w:t>
      </w:r>
      <w:r w:rsidR="00F567D3">
        <w:t xml:space="preserve">for </w:t>
      </w:r>
      <w:r>
        <w:t xml:space="preserve">filing </w:t>
      </w:r>
      <w:r w:rsidR="00F567D3">
        <w:t xml:space="preserve">of </w:t>
      </w:r>
      <w:r>
        <w:t>a complaint under RCW 81.04.110 is decidedly different than those in RCW 81.04.200.  Much like the old euphemism about grand juries “indicting a ham sandwich,” it understands that</w:t>
      </w:r>
      <w:r w:rsidR="00343C23">
        <w:t xml:space="preserve"> in</w:t>
      </w:r>
      <w:r>
        <w:t xml:space="preserve"> complaints, because of the breadth of the complaint statute, one public service company can complain about another on almost any articulable basis.  This does not </w:t>
      </w:r>
      <w:r w:rsidR="00343C23">
        <w:t>vitiate</w:t>
      </w:r>
      <w:r>
        <w:t xml:space="preserve"> whatsoever </w:t>
      </w:r>
      <w:proofErr w:type="gramStart"/>
      <w:r>
        <w:t>Speedishuttle’s position about any</w:t>
      </w:r>
      <w:proofErr w:type="gramEnd"/>
      <w:r>
        <w:t xml:space="preserve"> pending discovery under the rehearing petition</w:t>
      </w:r>
      <w:r w:rsidR="00827F4B">
        <w:t xml:space="preserve"> </w:t>
      </w:r>
      <w:r w:rsidR="0085783D">
        <w:t>on</w:t>
      </w:r>
      <w:r w:rsidR="00827F4B">
        <w:t xml:space="preserve"> which Shuttle Express now elaborates</w:t>
      </w:r>
      <w:r>
        <w:t xml:space="preserve">.  Initial Order 06 was an order that by its express terms at page 5 notes: “[t]he action proposed in this Initial Order is not yet effective.”  That means the Petition for Rehearing and all allegations dependent upon the original application proceeding </w:t>
      </w:r>
      <w:r w:rsidRPr="0087267D">
        <w:rPr>
          <w:u w:val="single"/>
        </w:rPr>
        <w:t xml:space="preserve">including discovery related to the </w:t>
      </w:r>
      <w:r>
        <w:rPr>
          <w:u w:val="single"/>
        </w:rPr>
        <w:t xml:space="preserve">original </w:t>
      </w:r>
      <w:r w:rsidRPr="0087267D">
        <w:rPr>
          <w:u w:val="single"/>
        </w:rPr>
        <w:t>application</w:t>
      </w:r>
      <w:r>
        <w:t xml:space="preserve"> are not effective until the Commission enters its Order in review of Initial Order 06.  The Prehearing Conference Order, while simply acknowledging that discovery would be conducted pursuant to WAC 480-07-400 et seq., did not specifically address the issue of what types of discovery would be approp</w:t>
      </w:r>
      <w:r w:rsidR="00827F4B">
        <w:t>riate to which issue in the now-</w:t>
      </w:r>
      <w:r>
        <w:t xml:space="preserve">consolidated proceeding.  Clearly, if the Commission subsequently denies or limits any rehearing that could automatically change the scope and propriety of the pending data requests.  That is yet another reason why the awkward joinder of the Petition and Complaint is so problematic and why the Respondent raised the concern about the prematurity of much of the Petitioner’s discovery requests that the Petitioner </w:t>
      </w:r>
      <w:r w:rsidR="0092657C">
        <w:t xml:space="preserve">has now </w:t>
      </w:r>
      <w:r>
        <w:t>improperly injected into this record.</w:t>
      </w:r>
    </w:p>
    <w:p w:rsidR="0092657C" w:rsidRDefault="0092657C">
      <w:pPr>
        <w:pStyle w:val="FootnoteText"/>
      </w:pPr>
    </w:p>
  </w:footnote>
  <w:footnote w:id="5">
    <w:p w:rsidR="001E7DA4" w:rsidRDefault="001E7DA4">
      <w:pPr>
        <w:pStyle w:val="FootnoteText"/>
      </w:pPr>
      <w:r>
        <w:rPr>
          <w:rStyle w:val="FootnoteReference"/>
        </w:rPr>
        <w:footnoteRef/>
      </w:r>
      <w:r>
        <w:t xml:space="preserve"> A Rulemaking and its effect which up until now</w:t>
      </w:r>
      <w:r w:rsidR="003D40E4">
        <w:t xml:space="preserve"> in this proceeding</w:t>
      </w:r>
      <w:r>
        <w:t xml:space="preserve">, Shuttle Express has been </w:t>
      </w:r>
      <w:r w:rsidR="0085783D">
        <w:t>conspicuously</w:t>
      </w:r>
      <w:r>
        <w:t xml:space="preserve"> silent in addressing.</w:t>
      </w:r>
    </w:p>
    <w:p w:rsidR="0092657C" w:rsidRDefault="0092657C">
      <w:pPr>
        <w:pStyle w:val="FootnoteText"/>
      </w:pPr>
    </w:p>
  </w:footnote>
  <w:footnote w:id="6">
    <w:p w:rsidR="00633384" w:rsidRDefault="00633384">
      <w:pPr>
        <w:pStyle w:val="FootnoteText"/>
      </w:pPr>
      <w:r>
        <w:rPr>
          <w:rStyle w:val="FootnoteReference"/>
        </w:rPr>
        <w:footnoteRef/>
      </w:r>
      <w:r>
        <w:t xml:space="preserve"> </w:t>
      </w:r>
      <w:r w:rsidRPr="00633384">
        <w:t>Answer of Shuttle Express</w:t>
      </w:r>
      <w:r w:rsidR="000822D5">
        <w:t xml:space="preserve"> to Petition for Review</w:t>
      </w:r>
      <w:r w:rsidRPr="00633384">
        <w:t>, ¶15, p. 6.</w:t>
      </w:r>
    </w:p>
  </w:footnote>
  <w:footnote w:id="7">
    <w:p w:rsidR="000822D5" w:rsidRPr="000822D5" w:rsidRDefault="000822D5">
      <w:pPr>
        <w:pStyle w:val="FootnoteText"/>
        <w:rPr>
          <w:i/>
        </w:rPr>
      </w:pPr>
      <w:r>
        <w:rPr>
          <w:rStyle w:val="FootnoteReference"/>
        </w:rPr>
        <w:footnoteRef/>
      </w:r>
      <w:r>
        <w:t xml:space="preserve"> Order 04, Docket No. TC-140399</w:t>
      </w:r>
      <w:proofErr w:type="gramStart"/>
      <w:r>
        <w:t xml:space="preserve">, </w:t>
      </w:r>
      <w:r>
        <w:rPr>
          <w:i/>
        </w:rPr>
        <w:t xml:space="preserve"> In</w:t>
      </w:r>
      <w:proofErr w:type="gramEnd"/>
      <w:r>
        <w:rPr>
          <w:i/>
        </w:rPr>
        <w:t xml:space="preserve"> re Sani </w:t>
      </w:r>
      <w:proofErr w:type="spellStart"/>
      <w:r>
        <w:rPr>
          <w:i/>
        </w:rPr>
        <w:t>Mahama</w:t>
      </w:r>
      <w:proofErr w:type="spellEnd"/>
      <w:r>
        <w:rPr>
          <w:i/>
        </w:rPr>
        <w:t xml:space="preserve"> </w:t>
      </w:r>
      <w:proofErr w:type="spellStart"/>
      <w:r>
        <w:rPr>
          <w:i/>
        </w:rPr>
        <w:t>Marou</w:t>
      </w:r>
      <w:proofErr w:type="spellEnd"/>
      <w:r>
        <w:rPr>
          <w:i/>
        </w:rPr>
        <w:t xml:space="preserve"> d/b/a SeaTac Airport 24 </w:t>
      </w:r>
      <w:r w:rsidRPr="001843F9">
        <w:t>(Oct. 2014).</w:t>
      </w:r>
    </w:p>
  </w:footnote>
  <w:footnote w:id="8">
    <w:p w:rsidR="00AF6188" w:rsidRDefault="00AF6188">
      <w:pPr>
        <w:pStyle w:val="FootnoteText"/>
      </w:pPr>
      <w:r>
        <w:rPr>
          <w:rStyle w:val="FootnoteReference"/>
        </w:rPr>
        <w:footnoteRef/>
      </w:r>
      <w:r w:rsidR="0092657C">
        <w:t xml:space="preserve"> Final Order 04</w:t>
      </w:r>
      <w:r>
        <w:t xml:space="preserve">, </w:t>
      </w:r>
      <w:r>
        <w:rPr>
          <w:rFonts w:cs="Times New Roman"/>
        </w:rPr>
        <w:t>¶</w:t>
      </w:r>
      <w:r>
        <w:t>18,</w:t>
      </w:r>
      <w:r w:rsidR="00B122B6">
        <w:t xml:space="preserve"> p. 6</w:t>
      </w:r>
      <w:r>
        <w:t xml:space="preserve">; </w:t>
      </w:r>
      <w:r>
        <w:rPr>
          <w:rFonts w:cs="Times New Roman"/>
        </w:rPr>
        <w:t>¶</w:t>
      </w:r>
      <w:r>
        <w:t xml:space="preserve">20, pp. 6-7.  </w:t>
      </w:r>
      <w:r w:rsidRPr="004E5A7B">
        <w:rPr>
          <w:u w:val="single"/>
        </w:rPr>
        <w:t>Interestingly, the Commission also found</w:t>
      </w:r>
      <w:r>
        <w:t xml:space="preserve"> (and Shuttle Express nev</w:t>
      </w:r>
      <w:r w:rsidR="00C93901">
        <w:t xml:space="preserve">er </w:t>
      </w:r>
      <w:r w:rsidR="008F0653">
        <w:t xml:space="preserve">heretofore </w:t>
      </w:r>
      <w:r w:rsidR="00C93901">
        <w:t>addresses</w:t>
      </w:r>
      <w:r w:rsidR="00C93901" w:rsidRPr="004E5A7B">
        <w:rPr>
          <w:u w:val="single"/>
        </w:rPr>
        <w:t>) in Order 04 that S</w:t>
      </w:r>
      <w:r w:rsidRPr="004E5A7B">
        <w:rPr>
          <w:u w:val="single"/>
        </w:rPr>
        <w:t>huttle Express did not</w:t>
      </w:r>
      <w:r w:rsidR="00B122B6" w:rsidRPr="004E5A7B">
        <w:rPr>
          <w:u w:val="single"/>
        </w:rPr>
        <w:t xml:space="preserve"> reasonably </w:t>
      </w:r>
      <w:r w:rsidRPr="004E5A7B">
        <w:rPr>
          <w:u w:val="single"/>
        </w:rPr>
        <w:t>serve the entire market.</w:t>
      </w:r>
      <w:r>
        <w:t xml:space="preserve">  As the Commission notes</w:t>
      </w:r>
      <w:r w:rsidR="00B122B6">
        <w:t xml:space="preserve"> “[a]</w:t>
      </w:r>
      <w:proofErr w:type="spellStart"/>
      <w:r w:rsidR="00B122B6">
        <w:t>ll</w:t>
      </w:r>
      <w:proofErr w:type="spellEnd"/>
      <w:r w:rsidR="00B122B6">
        <w:t xml:space="preserve"> three elements must be present for the Commission to deny an application on a given route.”  Order 04, </w:t>
      </w:r>
      <w:r w:rsidR="00B122B6">
        <w:rPr>
          <w:rFonts w:cs="Times New Roman"/>
        </w:rPr>
        <w:t>¶</w:t>
      </w:r>
      <w:r w:rsidR="00B122B6">
        <w:t xml:space="preserve">17, p. 6.  Lest the parties get too bogged down on the “same service” analysis, this </w:t>
      </w:r>
      <w:r w:rsidR="0092657C">
        <w:t>seeming separate</w:t>
      </w:r>
      <w:r w:rsidR="00B122B6">
        <w:t xml:space="preserve"> finding tied as it is to luxury vehicles and Shuttle Express</w:t>
      </w:r>
      <w:r w:rsidR="007B38DA">
        <w:t>’</w:t>
      </w:r>
      <w:r w:rsidR="00A56AF7">
        <w:t xml:space="preserve"> decade-long rescue service</w:t>
      </w:r>
      <w:r w:rsidR="00B122B6">
        <w:t xml:space="preserve"> in violation</w:t>
      </w:r>
      <w:r w:rsidR="00A56AF7">
        <w:t xml:space="preserve"> of WAC 480-30-213</w:t>
      </w:r>
      <w:r w:rsidR="001843F9">
        <w:t>,</w:t>
      </w:r>
      <w:r w:rsidR="00A56AF7">
        <w:t xml:space="preserve"> is and was apparently a </w:t>
      </w:r>
      <w:r w:rsidR="00B122B6">
        <w:t>wholly independent basis of Final Order 04’s grant of authority to Speedishuttle.</w:t>
      </w:r>
    </w:p>
  </w:footnote>
  <w:footnote w:id="9">
    <w:p w:rsidR="00186538" w:rsidRDefault="00186538" w:rsidP="00186538">
      <w:pPr>
        <w:pStyle w:val="FootnoteText"/>
      </w:pPr>
      <w:r>
        <w:rPr>
          <w:rStyle w:val="FootnoteReference"/>
        </w:rPr>
        <w:footnoteRef/>
      </w:r>
      <w:r>
        <w:t xml:space="preserve"> </w:t>
      </w:r>
      <w:r w:rsidR="005352F1">
        <w:t xml:space="preserve">Footnote omitted, General Order R-572, </w:t>
      </w:r>
      <w:r w:rsidR="005352F1">
        <w:rPr>
          <w:rFonts w:cs="Times New Roman"/>
        </w:rPr>
        <w:t>¶</w:t>
      </w:r>
      <w:r w:rsidR="005352F1">
        <w:t>40, pp. 14-15.</w:t>
      </w:r>
    </w:p>
  </w:footnote>
  <w:footnote w:id="10">
    <w:p w:rsidR="00F24F86" w:rsidRDefault="00F24F86">
      <w:pPr>
        <w:pStyle w:val="FootnoteText"/>
      </w:pPr>
      <w:r>
        <w:rPr>
          <w:rStyle w:val="FootnoteReference"/>
        </w:rPr>
        <w:footnoteRef/>
      </w:r>
      <w:r>
        <w:t xml:space="preserve"> </w:t>
      </w:r>
      <w:r w:rsidRPr="00F24F86">
        <w:t>Speedishuttle had been operating in Hawaii since 1999 (</w:t>
      </w:r>
      <w:r>
        <w:t>see, Application of Speedi</w:t>
      </w:r>
      <w:r w:rsidR="000B633C">
        <w:t>shuttle to WUTC (“Application”)</w:t>
      </w:r>
      <w:r>
        <w:t xml:space="preserve"> p.4</w:t>
      </w:r>
      <w:r w:rsidRPr="00F24F86">
        <w:t>) and presented numerous exhibits in the BAP record from supporters who had used their services in Hawaii, like Go Network</w:t>
      </w:r>
      <w:r w:rsidR="000B633C">
        <w:t>, Adventure Travel West, Inc., City-Discovery, Destination America, Expedia, Inc., among others.  See</w:t>
      </w:r>
      <w:r>
        <w:t>, Attachment A</w:t>
      </w:r>
      <w:r w:rsidR="00CA1DD1">
        <w:t xml:space="preserve"> to Application</w:t>
      </w:r>
      <w:r w:rsidR="00F40F60">
        <w:t>; and CW-2, Exhibits A-R</w:t>
      </w:r>
      <w:r w:rsidRPr="00F24F86">
        <w:t xml:space="preserve">.  The provision of luxury vehicles, </w:t>
      </w:r>
      <w:r w:rsidR="000B633C" w:rsidRPr="00F24F86">
        <w:t>Wi-Fi</w:t>
      </w:r>
      <w:r w:rsidRPr="00F24F86">
        <w:t>, multilingual websites and Speedi TV were all aspects of Speedishuttle’s services focused on in testimony at the hearing. When an applicant has never performed regulated services in Washington before and has no basis of operations to draw from</w:t>
      </w:r>
      <w:r w:rsidR="00687346">
        <w:t xml:space="preserve"> here,</w:t>
      </w:r>
      <w:r w:rsidRPr="00F24F86">
        <w:t xml:space="preserve"> there </w:t>
      </w:r>
      <w:r w:rsidR="000B633C">
        <w:t xml:space="preserve">is </w:t>
      </w:r>
      <w:r w:rsidRPr="00F24F86">
        <w:t xml:space="preserve">no actual operations basis </w:t>
      </w:r>
      <w:r w:rsidR="00CA1DD1">
        <w:t xml:space="preserve">in the proposed service area </w:t>
      </w:r>
      <w:r w:rsidRPr="00F24F86">
        <w:t xml:space="preserve">to </w:t>
      </w:r>
      <w:r w:rsidR="00CA1DD1">
        <w:t>present</w:t>
      </w:r>
      <w:r w:rsidRPr="00F24F86">
        <w:t>.  Does this then necessarily mean that those elements of differentiation are false?  Shuttle Express’ ev</w:t>
      </w:r>
      <w:r w:rsidR="00CA1DD1">
        <w:t xml:space="preserve">olving theory on Petition now </w:t>
      </w:r>
      <w:r w:rsidR="00687346">
        <w:t xml:space="preserve">apparently </w:t>
      </w:r>
      <w:r w:rsidR="00CA1DD1">
        <w:t>is</w:t>
      </w:r>
      <w:r w:rsidRPr="00F24F86">
        <w:t xml:space="preserve">, that Speedishuttle’s whole application was a ruse that it always </w:t>
      </w:r>
      <w:r w:rsidR="00687346">
        <w:t>int</w:t>
      </w:r>
      <w:r w:rsidRPr="00F24F86">
        <w:t>ended to be a “mirror image” of Shuttle Express</w:t>
      </w:r>
      <w:r w:rsidR="000B633C">
        <w:t>,</w:t>
      </w:r>
      <w:r w:rsidRPr="00F24F86">
        <w:t xml:space="preserve"> apparently owing to the fact that it competes now with Shuttle Express.  This argument once again belies Shuttle Express’ true motives of eliminating competition here. It is</w:t>
      </w:r>
      <w:r w:rsidR="00827F4B">
        <w:t xml:space="preserve"> seemingly</w:t>
      </w:r>
      <w:r w:rsidR="00687346">
        <w:t xml:space="preserve"> </w:t>
      </w:r>
      <w:r w:rsidRPr="00F24F86">
        <w:t>arrogant to the extent that it believes Shuttle Express</w:t>
      </w:r>
      <w:r w:rsidR="00827F4B">
        <w:t xml:space="preserve"> entire</w:t>
      </w:r>
      <w:r w:rsidRPr="00F24F86">
        <w:t xml:space="preserve"> service </w:t>
      </w:r>
      <w:r w:rsidR="00687346">
        <w:t>model</w:t>
      </w:r>
      <w:r w:rsidRPr="00F24F86">
        <w:t xml:space="preserve"> and record would seek to be mimicked</w:t>
      </w:r>
      <w:r w:rsidR="0085783D">
        <w:t xml:space="preserve"> and replicated</w:t>
      </w:r>
      <w:r w:rsidRPr="00F24F86">
        <w:t>.  It also</w:t>
      </w:r>
      <w:r w:rsidR="000B633C">
        <w:t xml:space="preserve"> </w:t>
      </w:r>
      <w:r w:rsidRPr="00F24F86">
        <w:t xml:space="preserve">minimizes and overlooks the service qualities that Speedishuttle intended to offer in entering and </w:t>
      </w:r>
      <w:r w:rsidR="00CA1DD1" w:rsidRPr="00F24F86">
        <w:t>broadening the</w:t>
      </w:r>
      <w:r w:rsidRPr="00F24F86">
        <w:t xml:space="preserve"> m</w:t>
      </w:r>
      <w:r w:rsidR="00687346">
        <w:t>arket.  By its own admissions at</w:t>
      </w:r>
      <w:r w:rsidRPr="00F24F86">
        <w:t xml:space="preserve"> the hearing </w:t>
      </w:r>
      <w:r w:rsidR="00CA1DD1">
        <w:t xml:space="preserve">and in these recent pleadings, </w:t>
      </w:r>
      <w:r w:rsidRPr="00F24F86">
        <w:t xml:space="preserve">Shuttle Express does not offer luxury vehicles (except </w:t>
      </w:r>
      <w:r w:rsidR="00827F4B">
        <w:t xml:space="preserve">possibly </w:t>
      </w:r>
      <w:r w:rsidRPr="00F24F86">
        <w:t>in its unlawful “rescue servic</w:t>
      </w:r>
      <w:r w:rsidR="00CA1DD1">
        <w:t>e”)</w:t>
      </w:r>
      <w:r w:rsidR="00827F4B">
        <w:t>.</w:t>
      </w:r>
      <w:r w:rsidR="00CA1DD1">
        <w:t xml:space="preserve">  It did not have any free Wi-F</w:t>
      </w:r>
      <w:r w:rsidRPr="00F24F86">
        <w:t xml:space="preserve">i to speak of in its vehicles until after </w:t>
      </w:r>
      <w:r w:rsidR="00827F4B">
        <w:t>the application was granted.  See</w:t>
      </w:r>
      <w:r w:rsidRPr="00F24F86">
        <w:t xml:space="preserve"> Section 23(c) of Petition/Complaint page 10</w:t>
      </w:r>
      <w:r w:rsidR="00CA1DD1">
        <w:t xml:space="preserve"> (in</w:t>
      </w:r>
      <w:r w:rsidRPr="00F24F86">
        <w:t xml:space="preserve"> class</w:t>
      </w:r>
      <w:r w:rsidR="000B633C">
        <w:t>ic post-application improvement indicia</w:t>
      </w:r>
      <w:r w:rsidR="00CA1DD1">
        <w:t xml:space="preserve"> to attack the</w:t>
      </w:r>
      <w:r w:rsidRPr="00F24F86">
        <w:t xml:space="preserve"> need for </w:t>
      </w:r>
      <w:r w:rsidR="00CA1DD1">
        <w:t>a</w:t>
      </w:r>
      <w:r w:rsidRPr="00F24F86">
        <w:t xml:space="preserve"> service), offers no multilingual websites and no TV.  All of these factors according to Order 04 were service differentiation factors and </w:t>
      </w:r>
      <w:r w:rsidR="00827F4B">
        <w:t>demonstrate</w:t>
      </w:r>
      <w:r w:rsidRPr="00F24F86">
        <w:t xml:space="preserve"> that Shuttle Express did not reasonably serve the market.  There </w:t>
      </w:r>
      <w:r w:rsidR="00687346">
        <w:t>i</w:t>
      </w:r>
      <w:r w:rsidRPr="00F24F86">
        <w:t>s nothing misleading about these representations</w:t>
      </w:r>
      <w:r w:rsidR="00687346">
        <w:t>,</w:t>
      </w:r>
      <w:r w:rsidRPr="00F24F86">
        <w:t xml:space="preserve"> all of which are provable should the Commission </w:t>
      </w:r>
      <w:r w:rsidR="000B633C">
        <w:t xml:space="preserve">so </w:t>
      </w:r>
      <w:r>
        <w:t>require.</w:t>
      </w:r>
      <w:r w:rsidRPr="00F24F86">
        <w:t xml:space="preserve"> </w:t>
      </w:r>
    </w:p>
  </w:footnote>
  <w:footnote w:id="11">
    <w:p w:rsidR="006A1593" w:rsidRDefault="006A1593">
      <w:pPr>
        <w:pStyle w:val="FootnoteText"/>
      </w:pPr>
      <w:r>
        <w:rPr>
          <w:rStyle w:val="FootnoteReference"/>
        </w:rPr>
        <w:footnoteRef/>
      </w:r>
      <w:r>
        <w:t xml:space="preserve"> Petition and Complaint of Shuttle Express, ¶23 at page 10.</w:t>
      </w:r>
    </w:p>
  </w:footnote>
  <w:footnote w:id="12">
    <w:p w:rsidR="000A6216" w:rsidRPr="000A6216" w:rsidRDefault="000A6216">
      <w:pPr>
        <w:pStyle w:val="FootnoteText"/>
      </w:pPr>
      <w:r>
        <w:rPr>
          <w:rStyle w:val="FootnoteReference"/>
        </w:rPr>
        <w:footnoteRef/>
      </w:r>
      <w:r>
        <w:t xml:space="preserve"> </w:t>
      </w:r>
      <w:r>
        <w:rPr>
          <w:i/>
        </w:rPr>
        <w:t>Pacific NW Transportation v. Utilities &amp; Transportation Commission,</w:t>
      </w:r>
      <w:r>
        <w:t xml:space="preserve"> 91</w:t>
      </w:r>
      <w:r w:rsidR="00075DF4">
        <w:t xml:space="preserve"> Wash. App. 589, 959 P.2d 160 (</w:t>
      </w:r>
      <w:r>
        <w:t>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33C" w:rsidRDefault="009313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F7C" w:rsidRPr="006362FC" w:rsidRDefault="00151F7C" w:rsidP="006362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33C" w:rsidRDefault="009313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nsid w:val="07893504"/>
    <w:multiLevelType w:val="hybridMultilevel"/>
    <w:tmpl w:val="2842F4AA"/>
    <w:lvl w:ilvl="0" w:tplc="710092F4">
      <w:start w:val="1"/>
      <w:numFmt w:val="upperLetter"/>
      <w:pStyle w:val="Heading3"/>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412C76A5"/>
    <w:multiLevelType w:val="hybridMultilevel"/>
    <w:tmpl w:val="933AAF7A"/>
    <w:lvl w:ilvl="0" w:tplc="54A84378">
      <w:start w:val="1"/>
      <w:numFmt w:val="decimal"/>
      <w:pStyle w:val="StyleListParagraphLinespacingDouble"/>
      <w:lvlText w:val="%1"/>
      <w:lvlJc w:val="left"/>
      <w:pPr>
        <w:ind w:left="360" w:hanging="864"/>
      </w:pPr>
      <w:rPr>
        <w:rFonts w:ascii="Times New Roman" w:hAnsi="Times New Roman" w:hint="default"/>
        <w:b w:val="0"/>
        <w:i/>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73D5291"/>
    <w:multiLevelType w:val="hybridMultilevel"/>
    <w:tmpl w:val="847E363C"/>
    <w:lvl w:ilvl="0" w:tplc="9B5CB192">
      <w:start w:val="1"/>
      <w:numFmt w:val="upperLetter"/>
      <w:pStyle w:val="Heading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ACF31F2"/>
    <w:multiLevelType w:val="multilevel"/>
    <w:tmpl w:val="F1AE26F6"/>
    <w:lvl w:ilvl="0">
      <w:start w:val="1"/>
      <w:numFmt w:val="upperRoman"/>
      <w:pStyle w:val="Heading1"/>
      <w:lvlText w:val="%1."/>
      <w:lvlJc w:val="right"/>
      <w:pPr>
        <w:ind w:left="360" w:hanging="360"/>
      </w:pPr>
      <w:rPr>
        <w:rFonts w:ascii="Times New Roman" w:hAnsi="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720" w:hanging="360"/>
      </w:pPr>
      <w:rPr>
        <w:rFonts w:ascii="9999999" w:hAnsi="9999999"/>
        <w:b/>
        <w:i w:val="0"/>
        <w:caps w:val="0"/>
        <w:strike w:val="0"/>
        <w:dstrike w:val="0"/>
        <w:outline w:val="0"/>
        <w:shadow w:val="0"/>
        <w:emboss w:val="0"/>
        <w:imprint w:val="0"/>
        <w:vanish w:val="0"/>
        <w:color w:val="000000"/>
        <w:sz w:val="24"/>
        <w:u w:val="none"/>
        <w:effect w:val="none"/>
        <w:vertAlign w:val="baseline"/>
      </w:rPr>
    </w:lvl>
    <w:lvl w:ilvl="2">
      <w:start w:val="1"/>
      <w:numFmt w:val="decimal"/>
      <w:suff w:val="nothing"/>
      <w:lvlText w:val="%3)  "/>
      <w:lvlJc w:val="left"/>
      <w:pPr>
        <w:tabs>
          <w:tab w:val="num" w:pos="0"/>
        </w:tabs>
        <w:ind w:left="72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3">
      <w:start w:val="1"/>
      <w:numFmt w:val="none"/>
      <w:pStyle w:val="Heading4"/>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4">
      <w:start w:val="1"/>
      <w:numFmt w:val="none"/>
      <w:pStyle w:val="Heading5"/>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5">
      <w:start w:val="1"/>
      <w:numFmt w:val="none"/>
      <w:pStyle w:val="Heading6"/>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6">
      <w:start w:val="1"/>
      <w:numFmt w:val="none"/>
      <w:pStyle w:val="Heading7"/>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7">
      <w:start w:val="1"/>
      <w:numFmt w:val="none"/>
      <w:pStyle w:val="Heading8"/>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8">
      <w:start w:val="1"/>
      <w:numFmt w:val="none"/>
      <w:pStyle w:val="Heading9"/>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abstractNum>
  <w:abstractNum w:abstractNumId="15">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5"/>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2"/>
  </w:num>
  <w:num w:numId="15">
    <w:abstractNumId w:val="9"/>
  </w:num>
  <w:num w:numId="16">
    <w:abstractNumId w:val="12"/>
    <w:lvlOverride w:ilvl="0">
      <w:startOverride w:val="10"/>
    </w:lvlOverride>
  </w:num>
  <w:num w:numId="17">
    <w:abstractNumId w:val="12"/>
    <w:lvlOverride w:ilvl="0">
      <w:startOverride w:val="15"/>
    </w:lvlOverride>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52"/>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ActiveDesign" w:val="Heading"/>
    <w:docVar w:name="SWAllDesigns" w:val="Heading|"/>
    <w:docVar w:name="SWAllLineBreaks" w:val="Heading~~0|0|0|0|0|0|0|0|0|@@"/>
    <w:docVar w:name="SWDocIDLayout" w:val="10000"/>
    <w:docVar w:name="SWDocIDLocation" w:val="1"/>
  </w:docVars>
  <w:rsids>
    <w:rsidRoot w:val="00676046"/>
    <w:rsid w:val="000039FD"/>
    <w:rsid w:val="00005630"/>
    <w:rsid w:val="000102E3"/>
    <w:rsid w:val="0001097A"/>
    <w:rsid w:val="00012A84"/>
    <w:rsid w:val="000146E8"/>
    <w:rsid w:val="00014DEA"/>
    <w:rsid w:val="00014E0E"/>
    <w:rsid w:val="00024DB7"/>
    <w:rsid w:val="00026207"/>
    <w:rsid w:val="000278A7"/>
    <w:rsid w:val="00030223"/>
    <w:rsid w:val="00040879"/>
    <w:rsid w:val="00041BC6"/>
    <w:rsid w:val="000421C8"/>
    <w:rsid w:val="0004416A"/>
    <w:rsid w:val="00050AD0"/>
    <w:rsid w:val="00051472"/>
    <w:rsid w:val="000532F7"/>
    <w:rsid w:val="00056ADF"/>
    <w:rsid w:val="00056CD3"/>
    <w:rsid w:val="000650F2"/>
    <w:rsid w:val="00070026"/>
    <w:rsid w:val="00075B19"/>
    <w:rsid w:val="00075DF4"/>
    <w:rsid w:val="00076CB8"/>
    <w:rsid w:val="000772AF"/>
    <w:rsid w:val="00077847"/>
    <w:rsid w:val="000822D5"/>
    <w:rsid w:val="00082CE0"/>
    <w:rsid w:val="000835CA"/>
    <w:rsid w:val="00084CC5"/>
    <w:rsid w:val="00086407"/>
    <w:rsid w:val="00091035"/>
    <w:rsid w:val="000927C3"/>
    <w:rsid w:val="0009468C"/>
    <w:rsid w:val="00095DB6"/>
    <w:rsid w:val="000964BA"/>
    <w:rsid w:val="000A1495"/>
    <w:rsid w:val="000A6216"/>
    <w:rsid w:val="000A762F"/>
    <w:rsid w:val="000B4820"/>
    <w:rsid w:val="000B5406"/>
    <w:rsid w:val="000B633C"/>
    <w:rsid w:val="000B6EA1"/>
    <w:rsid w:val="000B7BE2"/>
    <w:rsid w:val="000C5A30"/>
    <w:rsid w:val="000E6609"/>
    <w:rsid w:val="000F25FF"/>
    <w:rsid w:val="000F763B"/>
    <w:rsid w:val="0010102A"/>
    <w:rsid w:val="00106DD0"/>
    <w:rsid w:val="001075DF"/>
    <w:rsid w:val="00110667"/>
    <w:rsid w:val="0011107D"/>
    <w:rsid w:val="001112F5"/>
    <w:rsid w:val="001121AC"/>
    <w:rsid w:val="00117F97"/>
    <w:rsid w:val="00126950"/>
    <w:rsid w:val="001368C7"/>
    <w:rsid w:val="00140930"/>
    <w:rsid w:val="00145935"/>
    <w:rsid w:val="00151F7C"/>
    <w:rsid w:val="0015402E"/>
    <w:rsid w:val="001540F0"/>
    <w:rsid w:val="001573A1"/>
    <w:rsid w:val="001646D6"/>
    <w:rsid w:val="00166E55"/>
    <w:rsid w:val="00170F84"/>
    <w:rsid w:val="0018174D"/>
    <w:rsid w:val="001825F9"/>
    <w:rsid w:val="001843F9"/>
    <w:rsid w:val="00186538"/>
    <w:rsid w:val="0018694B"/>
    <w:rsid w:val="00191174"/>
    <w:rsid w:val="00192199"/>
    <w:rsid w:val="001A3A5E"/>
    <w:rsid w:val="001A4D7F"/>
    <w:rsid w:val="001A6198"/>
    <w:rsid w:val="001B7DBE"/>
    <w:rsid w:val="001C641A"/>
    <w:rsid w:val="001C6E25"/>
    <w:rsid w:val="001D30B2"/>
    <w:rsid w:val="001E3EA3"/>
    <w:rsid w:val="001E53B7"/>
    <w:rsid w:val="001E5AC3"/>
    <w:rsid w:val="001E7DA4"/>
    <w:rsid w:val="001F1801"/>
    <w:rsid w:val="001F28EA"/>
    <w:rsid w:val="001F3F97"/>
    <w:rsid w:val="002010C2"/>
    <w:rsid w:val="00202DCC"/>
    <w:rsid w:val="002050AE"/>
    <w:rsid w:val="00205116"/>
    <w:rsid w:val="002076B7"/>
    <w:rsid w:val="00207F7C"/>
    <w:rsid w:val="00211FE9"/>
    <w:rsid w:val="00221562"/>
    <w:rsid w:val="002235B0"/>
    <w:rsid w:val="002243CA"/>
    <w:rsid w:val="00230872"/>
    <w:rsid w:val="002406FA"/>
    <w:rsid w:val="002425DA"/>
    <w:rsid w:val="00244521"/>
    <w:rsid w:val="00246E3B"/>
    <w:rsid w:val="00252BAF"/>
    <w:rsid w:val="00256251"/>
    <w:rsid w:val="002642CE"/>
    <w:rsid w:val="0026528A"/>
    <w:rsid w:val="00265614"/>
    <w:rsid w:val="00266CA5"/>
    <w:rsid w:val="00266F40"/>
    <w:rsid w:val="00271872"/>
    <w:rsid w:val="00275B59"/>
    <w:rsid w:val="00276A83"/>
    <w:rsid w:val="002775DE"/>
    <w:rsid w:val="002803BA"/>
    <w:rsid w:val="0028185D"/>
    <w:rsid w:val="00285014"/>
    <w:rsid w:val="002852D3"/>
    <w:rsid w:val="0028624B"/>
    <w:rsid w:val="002A454A"/>
    <w:rsid w:val="002A7307"/>
    <w:rsid w:val="002B1949"/>
    <w:rsid w:val="002B2462"/>
    <w:rsid w:val="002B4A89"/>
    <w:rsid w:val="002C0A62"/>
    <w:rsid w:val="002C1AE4"/>
    <w:rsid w:val="002D0485"/>
    <w:rsid w:val="002D679A"/>
    <w:rsid w:val="002D717B"/>
    <w:rsid w:val="002E33BE"/>
    <w:rsid w:val="002E4AC7"/>
    <w:rsid w:val="002E59AF"/>
    <w:rsid w:val="002E5AB5"/>
    <w:rsid w:val="002F32A8"/>
    <w:rsid w:val="002F4BB2"/>
    <w:rsid w:val="002F5618"/>
    <w:rsid w:val="002F76CF"/>
    <w:rsid w:val="00300975"/>
    <w:rsid w:val="003035D6"/>
    <w:rsid w:val="00305F37"/>
    <w:rsid w:val="00311965"/>
    <w:rsid w:val="00312C83"/>
    <w:rsid w:val="00320922"/>
    <w:rsid w:val="00321B7F"/>
    <w:rsid w:val="00321CA8"/>
    <w:rsid w:val="003245E7"/>
    <w:rsid w:val="00326A96"/>
    <w:rsid w:val="00327618"/>
    <w:rsid w:val="00330C8F"/>
    <w:rsid w:val="003339B8"/>
    <w:rsid w:val="0033665F"/>
    <w:rsid w:val="00336DA6"/>
    <w:rsid w:val="00343181"/>
    <w:rsid w:val="00343C23"/>
    <w:rsid w:val="00346B6C"/>
    <w:rsid w:val="00351950"/>
    <w:rsid w:val="00356D6E"/>
    <w:rsid w:val="00360A47"/>
    <w:rsid w:val="003627A8"/>
    <w:rsid w:val="00364A79"/>
    <w:rsid w:val="0036554D"/>
    <w:rsid w:val="00375C67"/>
    <w:rsid w:val="00380471"/>
    <w:rsid w:val="00383E8F"/>
    <w:rsid w:val="00386F54"/>
    <w:rsid w:val="003900CF"/>
    <w:rsid w:val="0039172E"/>
    <w:rsid w:val="00392353"/>
    <w:rsid w:val="00395163"/>
    <w:rsid w:val="00396591"/>
    <w:rsid w:val="003A2E9C"/>
    <w:rsid w:val="003A39AF"/>
    <w:rsid w:val="003A5252"/>
    <w:rsid w:val="003A5740"/>
    <w:rsid w:val="003B34EC"/>
    <w:rsid w:val="003B409E"/>
    <w:rsid w:val="003B4A03"/>
    <w:rsid w:val="003B5EC2"/>
    <w:rsid w:val="003B6866"/>
    <w:rsid w:val="003C0B90"/>
    <w:rsid w:val="003C388B"/>
    <w:rsid w:val="003C7928"/>
    <w:rsid w:val="003D40E4"/>
    <w:rsid w:val="003D5BA7"/>
    <w:rsid w:val="003D60A9"/>
    <w:rsid w:val="003E09F8"/>
    <w:rsid w:val="003E3A33"/>
    <w:rsid w:val="003E4800"/>
    <w:rsid w:val="003F296C"/>
    <w:rsid w:val="003F3DBB"/>
    <w:rsid w:val="003F591F"/>
    <w:rsid w:val="003F77CF"/>
    <w:rsid w:val="004021BA"/>
    <w:rsid w:val="00403A09"/>
    <w:rsid w:val="00403E44"/>
    <w:rsid w:val="004047B1"/>
    <w:rsid w:val="00404FCC"/>
    <w:rsid w:val="00406BA7"/>
    <w:rsid w:val="00410465"/>
    <w:rsid w:val="00414EFF"/>
    <w:rsid w:val="004277BF"/>
    <w:rsid w:val="00430D0C"/>
    <w:rsid w:val="004317E5"/>
    <w:rsid w:val="00437291"/>
    <w:rsid w:val="004377A2"/>
    <w:rsid w:val="00441A1C"/>
    <w:rsid w:val="00441FE5"/>
    <w:rsid w:val="00445647"/>
    <w:rsid w:val="004472F8"/>
    <w:rsid w:val="00450945"/>
    <w:rsid w:val="00450C4A"/>
    <w:rsid w:val="00454E50"/>
    <w:rsid w:val="00455FC1"/>
    <w:rsid w:val="00456C61"/>
    <w:rsid w:val="00457DCD"/>
    <w:rsid w:val="004641B6"/>
    <w:rsid w:val="00475C80"/>
    <w:rsid w:val="00486131"/>
    <w:rsid w:val="004869AC"/>
    <w:rsid w:val="00496201"/>
    <w:rsid w:val="00497A31"/>
    <w:rsid w:val="00497F99"/>
    <w:rsid w:val="004A15AF"/>
    <w:rsid w:val="004A27BD"/>
    <w:rsid w:val="004A5338"/>
    <w:rsid w:val="004A6525"/>
    <w:rsid w:val="004A7238"/>
    <w:rsid w:val="004B0B43"/>
    <w:rsid w:val="004B0B70"/>
    <w:rsid w:val="004B119B"/>
    <w:rsid w:val="004B24C7"/>
    <w:rsid w:val="004B3701"/>
    <w:rsid w:val="004B58D6"/>
    <w:rsid w:val="004B73C9"/>
    <w:rsid w:val="004C00A9"/>
    <w:rsid w:val="004C2A54"/>
    <w:rsid w:val="004C3371"/>
    <w:rsid w:val="004D1B0F"/>
    <w:rsid w:val="004D3556"/>
    <w:rsid w:val="004D4767"/>
    <w:rsid w:val="004E5A7B"/>
    <w:rsid w:val="004E5BDF"/>
    <w:rsid w:val="004F0FC7"/>
    <w:rsid w:val="004F23B2"/>
    <w:rsid w:val="005014B5"/>
    <w:rsid w:val="00505B37"/>
    <w:rsid w:val="00507312"/>
    <w:rsid w:val="00510B57"/>
    <w:rsid w:val="00514EB7"/>
    <w:rsid w:val="00515935"/>
    <w:rsid w:val="00522888"/>
    <w:rsid w:val="005352F1"/>
    <w:rsid w:val="00535F04"/>
    <w:rsid w:val="00551B1D"/>
    <w:rsid w:val="005600C4"/>
    <w:rsid w:val="00564905"/>
    <w:rsid w:val="00564EFF"/>
    <w:rsid w:val="0057518F"/>
    <w:rsid w:val="00581B05"/>
    <w:rsid w:val="00581CB6"/>
    <w:rsid w:val="00594F3A"/>
    <w:rsid w:val="0059621C"/>
    <w:rsid w:val="005A37EA"/>
    <w:rsid w:val="005A7E98"/>
    <w:rsid w:val="005B0C43"/>
    <w:rsid w:val="005B171E"/>
    <w:rsid w:val="005B2159"/>
    <w:rsid w:val="005B603F"/>
    <w:rsid w:val="005B7C55"/>
    <w:rsid w:val="005D5773"/>
    <w:rsid w:val="005D6AA4"/>
    <w:rsid w:val="005E1484"/>
    <w:rsid w:val="005E4EB3"/>
    <w:rsid w:val="005E5F60"/>
    <w:rsid w:val="005F0478"/>
    <w:rsid w:val="005F14E9"/>
    <w:rsid w:val="005F3C8E"/>
    <w:rsid w:val="005F447B"/>
    <w:rsid w:val="00607563"/>
    <w:rsid w:val="0062261B"/>
    <w:rsid w:val="00622B70"/>
    <w:rsid w:val="00625914"/>
    <w:rsid w:val="006307D2"/>
    <w:rsid w:val="006309A4"/>
    <w:rsid w:val="00633384"/>
    <w:rsid w:val="006343B6"/>
    <w:rsid w:val="00634400"/>
    <w:rsid w:val="006362FC"/>
    <w:rsid w:val="00641BCC"/>
    <w:rsid w:val="006446B1"/>
    <w:rsid w:val="00647760"/>
    <w:rsid w:val="0065059A"/>
    <w:rsid w:val="0065658C"/>
    <w:rsid w:val="00661B24"/>
    <w:rsid w:val="00674E18"/>
    <w:rsid w:val="00676046"/>
    <w:rsid w:val="006760F8"/>
    <w:rsid w:val="006821A6"/>
    <w:rsid w:val="006838DF"/>
    <w:rsid w:val="006846C3"/>
    <w:rsid w:val="006860D7"/>
    <w:rsid w:val="00687346"/>
    <w:rsid w:val="006957E2"/>
    <w:rsid w:val="00695886"/>
    <w:rsid w:val="00695921"/>
    <w:rsid w:val="006978E1"/>
    <w:rsid w:val="006A0DF2"/>
    <w:rsid w:val="006A1593"/>
    <w:rsid w:val="006A596E"/>
    <w:rsid w:val="006A762F"/>
    <w:rsid w:val="006B12EC"/>
    <w:rsid w:val="006C10D7"/>
    <w:rsid w:val="006D3AAF"/>
    <w:rsid w:val="006E1237"/>
    <w:rsid w:val="006E2E2F"/>
    <w:rsid w:val="006E56D7"/>
    <w:rsid w:val="006F59AE"/>
    <w:rsid w:val="006F6448"/>
    <w:rsid w:val="006F7CCD"/>
    <w:rsid w:val="007102DE"/>
    <w:rsid w:val="0071495A"/>
    <w:rsid w:val="00717609"/>
    <w:rsid w:val="00720397"/>
    <w:rsid w:val="007214B5"/>
    <w:rsid w:val="007250BE"/>
    <w:rsid w:val="00727FDC"/>
    <w:rsid w:val="007324DB"/>
    <w:rsid w:val="007354CD"/>
    <w:rsid w:val="00743FB6"/>
    <w:rsid w:val="007453C3"/>
    <w:rsid w:val="00747F36"/>
    <w:rsid w:val="00756801"/>
    <w:rsid w:val="00757D1F"/>
    <w:rsid w:val="00761804"/>
    <w:rsid w:val="007711E2"/>
    <w:rsid w:val="007715D4"/>
    <w:rsid w:val="00772495"/>
    <w:rsid w:val="0077249A"/>
    <w:rsid w:val="007773B2"/>
    <w:rsid w:val="00783D80"/>
    <w:rsid w:val="00787DD8"/>
    <w:rsid w:val="00787E9D"/>
    <w:rsid w:val="00797DE9"/>
    <w:rsid w:val="007A3F14"/>
    <w:rsid w:val="007A4314"/>
    <w:rsid w:val="007A62B2"/>
    <w:rsid w:val="007B136F"/>
    <w:rsid w:val="007B38DA"/>
    <w:rsid w:val="007B52F4"/>
    <w:rsid w:val="007B605D"/>
    <w:rsid w:val="007B7FA9"/>
    <w:rsid w:val="007C4507"/>
    <w:rsid w:val="007D1FB7"/>
    <w:rsid w:val="007D2D52"/>
    <w:rsid w:val="007D378F"/>
    <w:rsid w:val="007D51CC"/>
    <w:rsid w:val="007D590C"/>
    <w:rsid w:val="007D741D"/>
    <w:rsid w:val="007E0820"/>
    <w:rsid w:val="007E36A3"/>
    <w:rsid w:val="007F1213"/>
    <w:rsid w:val="007F2242"/>
    <w:rsid w:val="007F7816"/>
    <w:rsid w:val="008019C9"/>
    <w:rsid w:val="008026C8"/>
    <w:rsid w:val="008068F6"/>
    <w:rsid w:val="008078F9"/>
    <w:rsid w:val="00814D8E"/>
    <w:rsid w:val="00820D2B"/>
    <w:rsid w:val="00823894"/>
    <w:rsid w:val="00827F4B"/>
    <w:rsid w:val="00830DA8"/>
    <w:rsid w:val="008335B0"/>
    <w:rsid w:val="00847D2B"/>
    <w:rsid w:val="00851E66"/>
    <w:rsid w:val="0085783D"/>
    <w:rsid w:val="008668E0"/>
    <w:rsid w:val="008765E3"/>
    <w:rsid w:val="00877E63"/>
    <w:rsid w:val="0088064A"/>
    <w:rsid w:val="00887742"/>
    <w:rsid w:val="00891BC2"/>
    <w:rsid w:val="0089354D"/>
    <w:rsid w:val="00895465"/>
    <w:rsid w:val="00895D33"/>
    <w:rsid w:val="008A21B6"/>
    <w:rsid w:val="008B0D70"/>
    <w:rsid w:val="008B2564"/>
    <w:rsid w:val="008B34B0"/>
    <w:rsid w:val="008B6F0C"/>
    <w:rsid w:val="008C6AE9"/>
    <w:rsid w:val="008D3D00"/>
    <w:rsid w:val="008D5274"/>
    <w:rsid w:val="008D5AA4"/>
    <w:rsid w:val="008D6D7B"/>
    <w:rsid w:val="008D7E23"/>
    <w:rsid w:val="008E201A"/>
    <w:rsid w:val="008F0653"/>
    <w:rsid w:val="008F2228"/>
    <w:rsid w:val="008F2926"/>
    <w:rsid w:val="00906212"/>
    <w:rsid w:val="00906326"/>
    <w:rsid w:val="00910531"/>
    <w:rsid w:val="0091569B"/>
    <w:rsid w:val="009201E3"/>
    <w:rsid w:val="0092313C"/>
    <w:rsid w:val="009233A6"/>
    <w:rsid w:val="0092657C"/>
    <w:rsid w:val="0093133C"/>
    <w:rsid w:val="00943DD4"/>
    <w:rsid w:val="0094656B"/>
    <w:rsid w:val="00952124"/>
    <w:rsid w:val="009547BE"/>
    <w:rsid w:val="009550B3"/>
    <w:rsid w:val="00961563"/>
    <w:rsid w:val="0096160C"/>
    <w:rsid w:val="00963C7A"/>
    <w:rsid w:val="00964911"/>
    <w:rsid w:val="009670F5"/>
    <w:rsid w:val="009720F7"/>
    <w:rsid w:val="009736B3"/>
    <w:rsid w:val="00976577"/>
    <w:rsid w:val="009816A6"/>
    <w:rsid w:val="009817A7"/>
    <w:rsid w:val="00986E61"/>
    <w:rsid w:val="00994F90"/>
    <w:rsid w:val="0099694B"/>
    <w:rsid w:val="009A296B"/>
    <w:rsid w:val="009A5EDA"/>
    <w:rsid w:val="009A6157"/>
    <w:rsid w:val="009A620E"/>
    <w:rsid w:val="009A73E2"/>
    <w:rsid w:val="009C34C7"/>
    <w:rsid w:val="009D2EC1"/>
    <w:rsid w:val="009D4E98"/>
    <w:rsid w:val="009D526C"/>
    <w:rsid w:val="009E0F3C"/>
    <w:rsid w:val="009E27A5"/>
    <w:rsid w:val="009E2D47"/>
    <w:rsid w:val="009E7C7C"/>
    <w:rsid w:val="009F0607"/>
    <w:rsid w:val="009F1F9E"/>
    <w:rsid w:val="009F4A13"/>
    <w:rsid w:val="009F50B9"/>
    <w:rsid w:val="00A010E5"/>
    <w:rsid w:val="00A01164"/>
    <w:rsid w:val="00A011FF"/>
    <w:rsid w:val="00A0655B"/>
    <w:rsid w:val="00A06C42"/>
    <w:rsid w:val="00A078BD"/>
    <w:rsid w:val="00A106B0"/>
    <w:rsid w:val="00A11F6F"/>
    <w:rsid w:val="00A12DD0"/>
    <w:rsid w:val="00A13D5D"/>
    <w:rsid w:val="00A21B25"/>
    <w:rsid w:val="00A273DB"/>
    <w:rsid w:val="00A33E17"/>
    <w:rsid w:val="00A34FAB"/>
    <w:rsid w:val="00A469AE"/>
    <w:rsid w:val="00A52887"/>
    <w:rsid w:val="00A54DC8"/>
    <w:rsid w:val="00A55DA7"/>
    <w:rsid w:val="00A56AF7"/>
    <w:rsid w:val="00A64020"/>
    <w:rsid w:val="00A6529C"/>
    <w:rsid w:val="00A81F37"/>
    <w:rsid w:val="00A8462D"/>
    <w:rsid w:val="00A84EB9"/>
    <w:rsid w:val="00A857E5"/>
    <w:rsid w:val="00A86763"/>
    <w:rsid w:val="00A92CB5"/>
    <w:rsid w:val="00A94416"/>
    <w:rsid w:val="00A94C35"/>
    <w:rsid w:val="00A96331"/>
    <w:rsid w:val="00A966D7"/>
    <w:rsid w:val="00AA085D"/>
    <w:rsid w:val="00AA09AB"/>
    <w:rsid w:val="00AA3624"/>
    <w:rsid w:val="00AA593E"/>
    <w:rsid w:val="00AA6D49"/>
    <w:rsid w:val="00AC02F8"/>
    <w:rsid w:val="00AC0E52"/>
    <w:rsid w:val="00AD7339"/>
    <w:rsid w:val="00AE0299"/>
    <w:rsid w:val="00AE09A6"/>
    <w:rsid w:val="00AE1FF3"/>
    <w:rsid w:val="00AE2DCE"/>
    <w:rsid w:val="00AE5D36"/>
    <w:rsid w:val="00AE6D37"/>
    <w:rsid w:val="00AF09EC"/>
    <w:rsid w:val="00AF502E"/>
    <w:rsid w:val="00AF6188"/>
    <w:rsid w:val="00B010CF"/>
    <w:rsid w:val="00B032EA"/>
    <w:rsid w:val="00B046F5"/>
    <w:rsid w:val="00B06C23"/>
    <w:rsid w:val="00B122B6"/>
    <w:rsid w:val="00B16D14"/>
    <w:rsid w:val="00B16D4E"/>
    <w:rsid w:val="00B17003"/>
    <w:rsid w:val="00B1761D"/>
    <w:rsid w:val="00B221C8"/>
    <w:rsid w:val="00B318AF"/>
    <w:rsid w:val="00B32EAF"/>
    <w:rsid w:val="00B34312"/>
    <w:rsid w:val="00B35F9A"/>
    <w:rsid w:val="00B3611C"/>
    <w:rsid w:val="00B37094"/>
    <w:rsid w:val="00B379F7"/>
    <w:rsid w:val="00B47A26"/>
    <w:rsid w:val="00B51E55"/>
    <w:rsid w:val="00B6223F"/>
    <w:rsid w:val="00B62D6E"/>
    <w:rsid w:val="00B65827"/>
    <w:rsid w:val="00B6771B"/>
    <w:rsid w:val="00B67813"/>
    <w:rsid w:val="00B67F62"/>
    <w:rsid w:val="00B700E4"/>
    <w:rsid w:val="00B72C90"/>
    <w:rsid w:val="00B74142"/>
    <w:rsid w:val="00B80F56"/>
    <w:rsid w:val="00B85576"/>
    <w:rsid w:val="00B86416"/>
    <w:rsid w:val="00B87276"/>
    <w:rsid w:val="00B91300"/>
    <w:rsid w:val="00B94DCC"/>
    <w:rsid w:val="00B94F93"/>
    <w:rsid w:val="00B94F9B"/>
    <w:rsid w:val="00B97201"/>
    <w:rsid w:val="00BA4CCB"/>
    <w:rsid w:val="00BA7A13"/>
    <w:rsid w:val="00BC1E60"/>
    <w:rsid w:val="00BC6F5E"/>
    <w:rsid w:val="00BD03A9"/>
    <w:rsid w:val="00BD5108"/>
    <w:rsid w:val="00BD64AC"/>
    <w:rsid w:val="00BD6E77"/>
    <w:rsid w:val="00BE5412"/>
    <w:rsid w:val="00BF0959"/>
    <w:rsid w:val="00BF488F"/>
    <w:rsid w:val="00BF67A1"/>
    <w:rsid w:val="00C00950"/>
    <w:rsid w:val="00C00B34"/>
    <w:rsid w:val="00C02558"/>
    <w:rsid w:val="00C02B5C"/>
    <w:rsid w:val="00C07F5F"/>
    <w:rsid w:val="00C16A6E"/>
    <w:rsid w:val="00C2544B"/>
    <w:rsid w:val="00C26665"/>
    <w:rsid w:val="00C31947"/>
    <w:rsid w:val="00C37B74"/>
    <w:rsid w:val="00C47E2D"/>
    <w:rsid w:val="00C5087C"/>
    <w:rsid w:val="00C54CD9"/>
    <w:rsid w:val="00C60DB0"/>
    <w:rsid w:val="00C62F38"/>
    <w:rsid w:val="00C63D0D"/>
    <w:rsid w:val="00C63F9C"/>
    <w:rsid w:val="00C63FED"/>
    <w:rsid w:val="00C67643"/>
    <w:rsid w:val="00C700B4"/>
    <w:rsid w:val="00C71410"/>
    <w:rsid w:val="00C77CAD"/>
    <w:rsid w:val="00C77D39"/>
    <w:rsid w:val="00C80C1F"/>
    <w:rsid w:val="00C817C6"/>
    <w:rsid w:val="00C85BDC"/>
    <w:rsid w:val="00C8627C"/>
    <w:rsid w:val="00C9223F"/>
    <w:rsid w:val="00C93901"/>
    <w:rsid w:val="00C95AC4"/>
    <w:rsid w:val="00CA1DD1"/>
    <w:rsid w:val="00CA5709"/>
    <w:rsid w:val="00CB0DDA"/>
    <w:rsid w:val="00CB4922"/>
    <w:rsid w:val="00CC5B3C"/>
    <w:rsid w:val="00CC624F"/>
    <w:rsid w:val="00CD18D3"/>
    <w:rsid w:val="00CD341D"/>
    <w:rsid w:val="00CD4F87"/>
    <w:rsid w:val="00CD6E49"/>
    <w:rsid w:val="00CE3C90"/>
    <w:rsid w:val="00CE3EA0"/>
    <w:rsid w:val="00CF3EC2"/>
    <w:rsid w:val="00CF5429"/>
    <w:rsid w:val="00CF746B"/>
    <w:rsid w:val="00D0545D"/>
    <w:rsid w:val="00D14520"/>
    <w:rsid w:val="00D27CA3"/>
    <w:rsid w:val="00D32FA9"/>
    <w:rsid w:val="00D339D5"/>
    <w:rsid w:val="00D33CDE"/>
    <w:rsid w:val="00D34F32"/>
    <w:rsid w:val="00D36B86"/>
    <w:rsid w:val="00D371B1"/>
    <w:rsid w:val="00D403B9"/>
    <w:rsid w:val="00D42FB2"/>
    <w:rsid w:val="00D42FBA"/>
    <w:rsid w:val="00D43F02"/>
    <w:rsid w:val="00D45300"/>
    <w:rsid w:val="00D456D0"/>
    <w:rsid w:val="00D45F4E"/>
    <w:rsid w:val="00D52F9F"/>
    <w:rsid w:val="00D556E8"/>
    <w:rsid w:val="00D57A90"/>
    <w:rsid w:val="00D57EDB"/>
    <w:rsid w:val="00D73A46"/>
    <w:rsid w:val="00D73A5C"/>
    <w:rsid w:val="00D82E36"/>
    <w:rsid w:val="00D878BF"/>
    <w:rsid w:val="00D8790B"/>
    <w:rsid w:val="00D91EC4"/>
    <w:rsid w:val="00D92E96"/>
    <w:rsid w:val="00DB1DCA"/>
    <w:rsid w:val="00DB41E0"/>
    <w:rsid w:val="00DC2282"/>
    <w:rsid w:val="00DD09BC"/>
    <w:rsid w:val="00DD56DE"/>
    <w:rsid w:val="00DE2A9E"/>
    <w:rsid w:val="00DF07B9"/>
    <w:rsid w:val="00DF4276"/>
    <w:rsid w:val="00E0179F"/>
    <w:rsid w:val="00E020E5"/>
    <w:rsid w:val="00E04083"/>
    <w:rsid w:val="00E11940"/>
    <w:rsid w:val="00E12C19"/>
    <w:rsid w:val="00E142CC"/>
    <w:rsid w:val="00E16A79"/>
    <w:rsid w:val="00E24512"/>
    <w:rsid w:val="00E27C7D"/>
    <w:rsid w:val="00E326AB"/>
    <w:rsid w:val="00E400B1"/>
    <w:rsid w:val="00E47DDB"/>
    <w:rsid w:val="00E51685"/>
    <w:rsid w:val="00E52536"/>
    <w:rsid w:val="00E5414D"/>
    <w:rsid w:val="00E54739"/>
    <w:rsid w:val="00E55F9A"/>
    <w:rsid w:val="00E623AE"/>
    <w:rsid w:val="00E64374"/>
    <w:rsid w:val="00E66CE6"/>
    <w:rsid w:val="00E711B2"/>
    <w:rsid w:val="00E722AE"/>
    <w:rsid w:val="00E72B66"/>
    <w:rsid w:val="00E7300D"/>
    <w:rsid w:val="00E74EFF"/>
    <w:rsid w:val="00E845D7"/>
    <w:rsid w:val="00E939FF"/>
    <w:rsid w:val="00E96521"/>
    <w:rsid w:val="00EB19A4"/>
    <w:rsid w:val="00EB4A0B"/>
    <w:rsid w:val="00EB7F03"/>
    <w:rsid w:val="00EC14E4"/>
    <w:rsid w:val="00EC700B"/>
    <w:rsid w:val="00EC7BB2"/>
    <w:rsid w:val="00ED5F40"/>
    <w:rsid w:val="00EE1A93"/>
    <w:rsid w:val="00EE1C12"/>
    <w:rsid w:val="00EE1CD6"/>
    <w:rsid w:val="00EE4A0C"/>
    <w:rsid w:val="00EE4DA8"/>
    <w:rsid w:val="00EF33FB"/>
    <w:rsid w:val="00EF46FE"/>
    <w:rsid w:val="00EF601E"/>
    <w:rsid w:val="00EF6089"/>
    <w:rsid w:val="00EF6E45"/>
    <w:rsid w:val="00F01827"/>
    <w:rsid w:val="00F03B26"/>
    <w:rsid w:val="00F03ECD"/>
    <w:rsid w:val="00F054BE"/>
    <w:rsid w:val="00F07EDB"/>
    <w:rsid w:val="00F172DC"/>
    <w:rsid w:val="00F20156"/>
    <w:rsid w:val="00F21877"/>
    <w:rsid w:val="00F23866"/>
    <w:rsid w:val="00F2468C"/>
    <w:rsid w:val="00F24F86"/>
    <w:rsid w:val="00F25241"/>
    <w:rsid w:val="00F32E6A"/>
    <w:rsid w:val="00F3359B"/>
    <w:rsid w:val="00F33709"/>
    <w:rsid w:val="00F40024"/>
    <w:rsid w:val="00F40F60"/>
    <w:rsid w:val="00F41D6F"/>
    <w:rsid w:val="00F42935"/>
    <w:rsid w:val="00F43421"/>
    <w:rsid w:val="00F47C73"/>
    <w:rsid w:val="00F51184"/>
    <w:rsid w:val="00F567D3"/>
    <w:rsid w:val="00F62913"/>
    <w:rsid w:val="00F66D68"/>
    <w:rsid w:val="00F70823"/>
    <w:rsid w:val="00F73BD1"/>
    <w:rsid w:val="00F75E9D"/>
    <w:rsid w:val="00F77010"/>
    <w:rsid w:val="00F77B65"/>
    <w:rsid w:val="00F84A4C"/>
    <w:rsid w:val="00F855BC"/>
    <w:rsid w:val="00F87248"/>
    <w:rsid w:val="00F90566"/>
    <w:rsid w:val="00F90838"/>
    <w:rsid w:val="00F91696"/>
    <w:rsid w:val="00F943F1"/>
    <w:rsid w:val="00F96B31"/>
    <w:rsid w:val="00FA2C87"/>
    <w:rsid w:val="00FA4464"/>
    <w:rsid w:val="00FA5F3E"/>
    <w:rsid w:val="00FC00E1"/>
    <w:rsid w:val="00FC0179"/>
    <w:rsid w:val="00FC7640"/>
    <w:rsid w:val="00FD0094"/>
    <w:rsid w:val="00FD29A9"/>
    <w:rsid w:val="00FD567C"/>
    <w:rsid w:val="00FE3352"/>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unhideWhenUsed="1"/>
    <w:lsdException w:name="index heading" w:semiHidden="1"/>
    <w:lsdException w:name="caption" w:semiHidden="1" w:unhideWhenUsed="1" w:qFormat="1"/>
    <w:lsdException w:name="table of figures" w:semiHidden="1" w:unhideWhenUsed="1"/>
    <w:lsdException w:name="annotation reference"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Bullet" w:semiHidden="1" w:unhideWhenUsed="1"/>
    <w:lsdException w:name="Title" w:qFormat="1"/>
    <w:lsdException w:name="Body Text" w:qFormat="1"/>
    <w:lsdException w:name="Subtitle" w:qFormat="1"/>
    <w:lsdException w:name="Body Text 2" w:qFormat="1"/>
    <w:lsdException w:name="Strong" w:qFormat="1"/>
    <w:lsdException w:name="Emphasis" w:qFormat="1"/>
    <w:lsdException w:name="Document Map" w:semiHidden="1"/>
    <w:lsdException w:name="annotation subject"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676046"/>
    <w:rPr>
      <w:rFonts w:asciiTheme="minorHAnsi" w:eastAsiaTheme="minorHAnsi" w:hAnsiTheme="minorHAnsi" w:cstheme="minorBidi"/>
      <w:sz w:val="22"/>
      <w:szCs w:val="22"/>
    </w:rPr>
  </w:style>
  <w:style w:type="paragraph" w:styleId="Heading1">
    <w:name w:val="heading 1"/>
    <w:basedOn w:val="Normal"/>
    <w:next w:val="StyleListParagraphLinespacingDouble"/>
    <w:uiPriority w:val="9"/>
    <w:qFormat/>
    <w:rsid w:val="00B06C23"/>
    <w:pPr>
      <w:keepNext/>
      <w:numPr>
        <w:numId w:val="13"/>
      </w:numPr>
      <w:spacing w:after="240"/>
      <w:jc w:val="center"/>
      <w:outlineLvl w:val="0"/>
    </w:pPr>
    <w:rPr>
      <w:rFonts w:ascii="Times New Roman" w:hAnsi="Times New Roman" w:cs="Times New Roman"/>
      <w:bCs/>
      <w:caps/>
      <w:sz w:val="24"/>
      <w:szCs w:val="32"/>
    </w:rPr>
  </w:style>
  <w:style w:type="paragraph" w:styleId="Heading2">
    <w:name w:val="heading 2"/>
    <w:basedOn w:val="Normal"/>
    <w:next w:val="ListParagraph"/>
    <w:uiPriority w:val="9"/>
    <w:qFormat/>
    <w:rsid w:val="00A52887"/>
    <w:pPr>
      <w:keepNext/>
      <w:numPr>
        <w:numId w:val="26"/>
      </w:numPr>
      <w:spacing w:after="240"/>
      <w:outlineLvl w:val="1"/>
    </w:pPr>
    <w:rPr>
      <w:rFonts w:ascii="Times New Roman" w:hAnsi="Times New Roman" w:cs="Times New Roman"/>
      <w:b/>
      <w:bCs/>
      <w:iCs/>
      <w:sz w:val="24"/>
      <w:szCs w:val="28"/>
      <w:u w:val="single"/>
    </w:rPr>
  </w:style>
  <w:style w:type="paragraph" w:styleId="Heading3">
    <w:name w:val="heading 3"/>
    <w:basedOn w:val="Normal"/>
    <w:next w:val="BodyText2"/>
    <w:uiPriority w:val="9"/>
    <w:qFormat/>
    <w:rsid w:val="00BD64AC"/>
    <w:pPr>
      <w:keepNext/>
      <w:numPr>
        <w:numId w:val="15"/>
      </w:numPr>
      <w:spacing w:after="240" w:line="480" w:lineRule="auto"/>
      <w:ind w:left="288" w:firstLine="0"/>
      <w:outlineLvl w:val="2"/>
    </w:pPr>
    <w:rPr>
      <w:rFonts w:ascii="Times New Roman" w:hAnsi="Times New Roman" w:cs="Arial"/>
      <w:bCs/>
      <w:sz w:val="24"/>
      <w:szCs w:val="26"/>
    </w:rPr>
  </w:style>
  <w:style w:type="paragraph" w:styleId="Heading4">
    <w:name w:val="heading 4"/>
    <w:basedOn w:val="Normal"/>
    <w:next w:val="BodyText2"/>
    <w:uiPriority w:val="9"/>
    <w:unhideWhenUsed/>
    <w:qFormat/>
    <w:rsid w:val="00B06C23"/>
    <w:pPr>
      <w:keepNext/>
      <w:numPr>
        <w:ilvl w:val="3"/>
        <w:numId w:val="13"/>
      </w:numPr>
      <w:tabs>
        <w:tab w:val="clear" w:pos="0"/>
      </w:tabs>
      <w:spacing w:before="240" w:after="60"/>
      <w:outlineLvl w:val="3"/>
    </w:pPr>
    <w:rPr>
      <w:b/>
      <w:bCs/>
      <w:sz w:val="28"/>
      <w:szCs w:val="28"/>
    </w:rPr>
  </w:style>
  <w:style w:type="paragraph" w:styleId="Heading5">
    <w:name w:val="heading 5"/>
    <w:basedOn w:val="Normal"/>
    <w:next w:val="BodyText2"/>
    <w:uiPriority w:val="9"/>
    <w:unhideWhenUsed/>
    <w:qFormat/>
    <w:rsid w:val="00B06C23"/>
    <w:pPr>
      <w:numPr>
        <w:ilvl w:val="4"/>
        <w:numId w:val="13"/>
      </w:numPr>
      <w:tabs>
        <w:tab w:val="clear" w:pos="0"/>
      </w:tabs>
      <w:spacing w:before="240" w:after="60"/>
      <w:outlineLvl w:val="4"/>
    </w:pPr>
    <w:rPr>
      <w:b/>
      <w:bCs/>
      <w:i/>
      <w:iCs/>
      <w:sz w:val="26"/>
      <w:szCs w:val="26"/>
    </w:rPr>
  </w:style>
  <w:style w:type="paragraph" w:styleId="Heading6">
    <w:name w:val="heading 6"/>
    <w:basedOn w:val="Normal"/>
    <w:next w:val="BodyText2"/>
    <w:uiPriority w:val="9"/>
    <w:unhideWhenUsed/>
    <w:qFormat/>
    <w:rsid w:val="00B06C23"/>
    <w:pPr>
      <w:numPr>
        <w:ilvl w:val="5"/>
        <w:numId w:val="13"/>
      </w:numPr>
      <w:tabs>
        <w:tab w:val="clear" w:pos="0"/>
      </w:tabs>
      <w:spacing w:before="240" w:after="60"/>
      <w:outlineLvl w:val="5"/>
    </w:pPr>
    <w:rPr>
      <w:b/>
      <w:bCs/>
    </w:rPr>
  </w:style>
  <w:style w:type="paragraph" w:styleId="Heading7">
    <w:name w:val="heading 7"/>
    <w:basedOn w:val="Normal"/>
    <w:next w:val="BodyText2"/>
    <w:uiPriority w:val="9"/>
    <w:unhideWhenUsed/>
    <w:qFormat/>
    <w:rsid w:val="00B06C23"/>
    <w:pPr>
      <w:numPr>
        <w:ilvl w:val="6"/>
        <w:numId w:val="13"/>
      </w:numPr>
      <w:tabs>
        <w:tab w:val="clear" w:pos="0"/>
      </w:tabs>
      <w:spacing w:before="240" w:after="60"/>
      <w:outlineLvl w:val="6"/>
    </w:pPr>
  </w:style>
  <w:style w:type="paragraph" w:styleId="Heading8">
    <w:name w:val="heading 8"/>
    <w:basedOn w:val="Normal"/>
    <w:next w:val="BodyText2"/>
    <w:uiPriority w:val="9"/>
    <w:unhideWhenUsed/>
    <w:qFormat/>
    <w:rsid w:val="00B06C23"/>
    <w:pPr>
      <w:numPr>
        <w:ilvl w:val="7"/>
        <w:numId w:val="13"/>
      </w:numPr>
      <w:tabs>
        <w:tab w:val="clear" w:pos="0"/>
      </w:tabs>
      <w:spacing w:before="240" w:after="60"/>
      <w:outlineLvl w:val="7"/>
    </w:pPr>
    <w:rPr>
      <w:i/>
      <w:iCs/>
    </w:rPr>
  </w:style>
  <w:style w:type="paragraph" w:styleId="Heading9">
    <w:name w:val="heading 9"/>
    <w:basedOn w:val="Normal"/>
    <w:next w:val="BodyText2"/>
    <w:uiPriority w:val="9"/>
    <w:unhideWhenUsed/>
    <w:qFormat/>
    <w:rsid w:val="00B06C23"/>
    <w:pPr>
      <w:numPr>
        <w:ilvl w:val="8"/>
        <w:numId w:val="13"/>
      </w:numPr>
      <w:tabs>
        <w:tab w:val="clear" w:pos="0"/>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8F2228"/>
    <w:pPr>
      <w:spacing w:after="240"/>
      <w:ind w:left="720" w:right="720"/>
    </w:pPr>
    <w:rPr>
      <w:rFonts w:ascii="Times New Roman" w:hAnsi="Times New Roman"/>
      <w:sz w:val="24"/>
    </w:r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link w:val="FooterChar"/>
    <w:rsid w:val="00230872"/>
    <w:pPr>
      <w:tabs>
        <w:tab w:val="center" w:pos="4320"/>
        <w:tab w:val="right" w:pos="8640"/>
      </w:tabs>
    </w:pPr>
  </w:style>
  <w:style w:type="paragraph" w:styleId="FootnoteText">
    <w:name w:val="footnote text"/>
    <w:basedOn w:val="Normal"/>
    <w:unhideWhenUsed/>
    <w:rsid w:val="002F76CF"/>
    <w:rPr>
      <w:rFonts w:ascii="Times New Roman" w:hAnsi="Times New Roman"/>
      <w:sz w:val="20"/>
      <w:szCs w:val="20"/>
    </w:rPr>
  </w:style>
  <w:style w:type="paragraph" w:styleId="Header">
    <w:name w:val="header"/>
    <w:basedOn w:val="Normal"/>
    <w:link w:val="HeaderChar"/>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styleId="NoteHeading">
    <w:name w:val="Note Heading"/>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308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230872"/>
    <w:pPr>
      <w:spacing w:before="240" w:after="60"/>
      <w:jc w:val="center"/>
      <w:outlineLvl w:val="0"/>
    </w:pPr>
    <w:rPr>
      <w:rFonts w:ascii="Arial" w:hAnsi="Arial" w:cs="Arial"/>
      <w:b/>
      <w:bCs/>
      <w:kern w:val="28"/>
      <w:sz w:val="32"/>
      <w:szCs w:val="32"/>
    </w:rPr>
  </w:style>
  <w:style w:type="character" w:styleId="FootnoteReference">
    <w:name w:val="footnote reference"/>
    <w:basedOn w:val="DefaultParagraphFont"/>
    <w:semiHidden/>
    <w:rsid w:val="00AA3624"/>
    <w:rPr>
      <w:vertAlign w:val="superscript"/>
    </w:rPr>
  </w:style>
  <w:style w:type="character" w:customStyle="1" w:styleId="HeaderChar">
    <w:name w:val="Header Char"/>
    <w:basedOn w:val="DefaultParagraphFont"/>
    <w:link w:val="Header"/>
    <w:rsid w:val="00676046"/>
    <w:rPr>
      <w:sz w:val="24"/>
      <w:szCs w:val="24"/>
    </w:rPr>
  </w:style>
  <w:style w:type="paragraph" w:styleId="ListParagraph">
    <w:name w:val="List Paragraph"/>
    <w:basedOn w:val="Normal"/>
    <w:uiPriority w:val="34"/>
    <w:qFormat/>
    <w:rsid w:val="000278A7"/>
    <w:pPr>
      <w:contextualSpacing/>
    </w:pPr>
    <w:rPr>
      <w:rFonts w:ascii="Times New Roman" w:hAnsi="Times New Roman"/>
      <w:sz w:val="24"/>
    </w:rPr>
  </w:style>
  <w:style w:type="character" w:customStyle="1" w:styleId="FooterChar">
    <w:name w:val="Footer Char"/>
    <w:basedOn w:val="DefaultParagraphFont"/>
    <w:link w:val="Footer"/>
    <w:rsid w:val="00403A09"/>
    <w:rPr>
      <w:rFonts w:asciiTheme="minorHAnsi" w:eastAsiaTheme="minorHAnsi" w:hAnsiTheme="minorHAnsi" w:cstheme="minorBidi"/>
      <w:sz w:val="22"/>
      <w:szCs w:val="22"/>
    </w:rPr>
  </w:style>
  <w:style w:type="paragraph" w:customStyle="1" w:styleId="FirmName">
    <w:name w:val="Firm Name"/>
    <w:basedOn w:val="Normal"/>
    <w:semiHidden/>
    <w:rsid w:val="00403A09"/>
    <w:pPr>
      <w:spacing w:line="261" w:lineRule="exact"/>
      <w:jc w:val="center"/>
    </w:pPr>
    <w:rPr>
      <w:rFonts w:ascii="Times New Roman" w:eastAsia="Times New Roman" w:hAnsi="Times New Roman" w:cs="Times New Roman"/>
      <w:sz w:val="24"/>
      <w:szCs w:val="20"/>
    </w:rPr>
  </w:style>
  <w:style w:type="paragraph" w:styleId="BalloonText">
    <w:name w:val="Balloon Text"/>
    <w:basedOn w:val="Normal"/>
    <w:link w:val="BalloonTextChar"/>
    <w:semiHidden/>
    <w:unhideWhenUsed/>
    <w:rsid w:val="00441FE5"/>
    <w:rPr>
      <w:rFonts w:ascii="Tahoma" w:hAnsi="Tahoma" w:cs="Tahoma"/>
      <w:sz w:val="16"/>
      <w:szCs w:val="16"/>
    </w:rPr>
  </w:style>
  <w:style w:type="character" w:customStyle="1" w:styleId="BalloonTextChar">
    <w:name w:val="Balloon Text Char"/>
    <w:basedOn w:val="DefaultParagraphFont"/>
    <w:link w:val="BalloonText"/>
    <w:semiHidden/>
    <w:rsid w:val="00441FE5"/>
    <w:rPr>
      <w:rFonts w:ascii="Tahoma" w:eastAsiaTheme="minorHAnsi" w:hAnsi="Tahoma" w:cs="Tahoma"/>
      <w:sz w:val="16"/>
      <w:szCs w:val="16"/>
    </w:rPr>
  </w:style>
  <w:style w:type="paragraph" w:customStyle="1" w:styleId="StyleListParagraphTimesNewRoman12pt">
    <w:name w:val="Style List Paragraph + Times New Roman 12 pt"/>
    <w:basedOn w:val="ListParagraph"/>
    <w:rsid w:val="00B221C8"/>
  </w:style>
  <w:style w:type="paragraph" w:customStyle="1" w:styleId="StyleListParagraphTimesNewRoman12ptLinespacingDouble">
    <w:name w:val="Style List Paragraph + Times New Roman 12 pt Line spacing:  Double"/>
    <w:basedOn w:val="ListParagraph"/>
    <w:rsid w:val="00C77CAD"/>
    <w:pPr>
      <w:spacing w:line="480" w:lineRule="auto"/>
    </w:pPr>
    <w:rPr>
      <w:rFonts w:eastAsia="Times New Roman" w:cs="Times New Roman"/>
      <w:szCs w:val="20"/>
    </w:rPr>
  </w:style>
  <w:style w:type="paragraph" w:customStyle="1" w:styleId="StyleListParagraphLinespacingDouble">
    <w:name w:val="Style List Paragraph + Line spacing:  Double"/>
    <w:basedOn w:val="ListParagraph"/>
    <w:rsid w:val="00F25241"/>
    <w:pPr>
      <w:numPr>
        <w:numId w:val="14"/>
      </w:numPr>
      <w:spacing w:line="480" w:lineRule="auto"/>
    </w:pPr>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unhideWhenUsed="1"/>
    <w:lsdException w:name="index heading" w:semiHidden="1"/>
    <w:lsdException w:name="caption" w:semiHidden="1" w:unhideWhenUsed="1" w:qFormat="1"/>
    <w:lsdException w:name="table of figures" w:semiHidden="1" w:unhideWhenUsed="1"/>
    <w:lsdException w:name="annotation reference"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Bullet" w:semiHidden="1" w:unhideWhenUsed="1"/>
    <w:lsdException w:name="Title" w:qFormat="1"/>
    <w:lsdException w:name="Body Text" w:qFormat="1"/>
    <w:lsdException w:name="Subtitle" w:qFormat="1"/>
    <w:lsdException w:name="Body Text 2" w:qFormat="1"/>
    <w:lsdException w:name="Strong" w:qFormat="1"/>
    <w:lsdException w:name="Emphasis" w:qFormat="1"/>
    <w:lsdException w:name="Document Map" w:semiHidden="1"/>
    <w:lsdException w:name="annotation subject"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676046"/>
    <w:rPr>
      <w:rFonts w:asciiTheme="minorHAnsi" w:eastAsiaTheme="minorHAnsi" w:hAnsiTheme="minorHAnsi" w:cstheme="minorBidi"/>
      <w:sz w:val="22"/>
      <w:szCs w:val="22"/>
    </w:rPr>
  </w:style>
  <w:style w:type="paragraph" w:styleId="Heading1">
    <w:name w:val="heading 1"/>
    <w:basedOn w:val="Normal"/>
    <w:next w:val="StyleListParagraphLinespacingDouble"/>
    <w:uiPriority w:val="9"/>
    <w:qFormat/>
    <w:rsid w:val="00B06C23"/>
    <w:pPr>
      <w:keepNext/>
      <w:numPr>
        <w:numId w:val="13"/>
      </w:numPr>
      <w:spacing w:after="240"/>
      <w:jc w:val="center"/>
      <w:outlineLvl w:val="0"/>
    </w:pPr>
    <w:rPr>
      <w:rFonts w:ascii="Times New Roman" w:hAnsi="Times New Roman" w:cs="Times New Roman"/>
      <w:bCs/>
      <w:caps/>
      <w:sz w:val="24"/>
      <w:szCs w:val="32"/>
    </w:rPr>
  </w:style>
  <w:style w:type="paragraph" w:styleId="Heading2">
    <w:name w:val="heading 2"/>
    <w:basedOn w:val="Normal"/>
    <w:next w:val="ListParagraph"/>
    <w:uiPriority w:val="9"/>
    <w:qFormat/>
    <w:rsid w:val="00A52887"/>
    <w:pPr>
      <w:keepNext/>
      <w:numPr>
        <w:numId w:val="26"/>
      </w:numPr>
      <w:spacing w:after="240"/>
      <w:outlineLvl w:val="1"/>
    </w:pPr>
    <w:rPr>
      <w:rFonts w:ascii="Times New Roman" w:hAnsi="Times New Roman" w:cs="Times New Roman"/>
      <w:b/>
      <w:bCs/>
      <w:iCs/>
      <w:sz w:val="24"/>
      <w:szCs w:val="28"/>
      <w:u w:val="single"/>
    </w:rPr>
  </w:style>
  <w:style w:type="paragraph" w:styleId="Heading3">
    <w:name w:val="heading 3"/>
    <w:basedOn w:val="Normal"/>
    <w:next w:val="BodyText2"/>
    <w:uiPriority w:val="9"/>
    <w:qFormat/>
    <w:rsid w:val="00BD64AC"/>
    <w:pPr>
      <w:keepNext/>
      <w:numPr>
        <w:numId w:val="15"/>
      </w:numPr>
      <w:spacing w:after="240" w:line="480" w:lineRule="auto"/>
      <w:ind w:left="288" w:firstLine="0"/>
      <w:outlineLvl w:val="2"/>
    </w:pPr>
    <w:rPr>
      <w:rFonts w:ascii="Times New Roman" w:hAnsi="Times New Roman" w:cs="Arial"/>
      <w:bCs/>
      <w:sz w:val="24"/>
      <w:szCs w:val="26"/>
    </w:rPr>
  </w:style>
  <w:style w:type="paragraph" w:styleId="Heading4">
    <w:name w:val="heading 4"/>
    <w:basedOn w:val="Normal"/>
    <w:next w:val="BodyText2"/>
    <w:uiPriority w:val="9"/>
    <w:unhideWhenUsed/>
    <w:qFormat/>
    <w:rsid w:val="00B06C23"/>
    <w:pPr>
      <w:keepNext/>
      <w:numPr>
        <w:ilvl w:val="3"/>
        <w:numId w:val="13"/>
      </w:numPr>
      <w:tabs>
        <w:tab w:val="clear" w:pos="0"/>
      </w:tabs>
      <w:spacing w:before="240" w:after="60"/>
      <w:outlineLvl w:val="3"/>
    </w:pPr>
    <w:rPr>
      <w:b/>
      <w:bCs/>
      <w:sz w:val="28"/>
      <w:szCs w:val="28"/>
    </w:rPr>
  </w:style>
  <w:style w:type="paragraph" w:styleId="Heading5">
    <w:name w:val="heading 5"/>
    <w:basedOn w:val="Normal"/>
    <w:next w:val="BodyText2"/>
    <w:uiPriority w:val="9"/>
    <w:unhideWhenUsed/>
    <w:qFormat/>
    <w:rsid w:val="00B06C23"/>
    <w:pPr>
      <w:numPr>
        <w:ilvl w:val="4"/>
        <w:numId w:val="13"/>
      </w:numPr>
      <w:tabs>
        <w:tab w:val="clear" w:pos="0"/>
      </w:tabs>
      <w:spacing w:before="240" w:after="60"/>
      <w:outlineLvl w:val="4"/>
    </w:pPr>
    <w:rPr>
      <w:b/>
      <w:bCs/>
      <w:i/>
      <w:iCs/>
      <w:sz w:val="26"/>
      <w:szCs w:val="26"/>
    </w:rPr>
  </w:style>
  <w:style w:type="paragraph" w:styleId="Heading6">
    <w:name w:val="heading 6"/>
    <w:basedOn w:val="Normal"/>
    <w:next w:val="BodyText2"/>
    <w:uiPriority w:val="9"/>
    <w:unhideWhenUsed/>
    <w:qFormat/>
    <w:rsid w:val="00B06C23"/>
    <w:pPr>
      <w:numPr>
        <w:ilvl w:val="5"/>
        <w:numId w:val="13"/>
      </w:numPr>
      <w:tabs>
        <w:tab w:val="clear" w:pos="0"/>
      </w:tabs>
      <w:spacing w:before="240" w:after="60"/>
      <w:outlineLvl w:val="5"/>
    </w:pPr>
    <w:rPr>
      <w:b/>
      <w:bCs/>
    </w:rPr>
  </w:style>
  <w:style w:type="paragraph" w:styleId="Heading7">
    <w:name w:val="heading 7"/>
    <w:basedOn w:val="Normal"/>
    <w:next w:val="BodyText2"/>
    <w:uiPriority w:val="9"/>
    <w:unhideWhenUsed/>
    <w:qFormat/>
    <w:rsid w:val="00B06C23"/>
    <w:pPr>
      <w:numPr>
        <w:ilvl w:val="6"/>
        <w:numId w:val="13"/>
      </w:numPr>
      <w:tabs>
        <w:tab w:val="clear" w:pos="0"/>
      </w:tabs>
      <w:spacing w:before="240" w:after="60"/>
      <w:outlineLvl w:val="6"/>
    </w:pPr>
  </w:style>
  <w:style w:type="paragraph" w:styleId="Heading8">
    <w:name w:val="heading 8"/>
    <w:basedOn w:val="Normal"/>
    <w:next w:val="BodyText2"/>
    <w:uiPriority w:val="9"/>
    <w:unhideWhenUsed/>
    <w:qFormat/>
    <w:rsid w:val="00B06C23"/>
    <w:pPr>
      <w:numPr>
        <w:ilvl w:val="7"/>
        <w:numId w:val="13"/>
      </w:numPr>
      <w:tabs>
        <w:tab w:val="clear" w:pos="0"/>
      </w:tabs>
      <w:spacing w:before="240" w:after="60"/>
      <w:outlineLvl w:val="7"/>
    </w:pPr>
    <w:rPr>
      <w:i/>
      <w:iCs/>
    </w:rPr>
  </w:style>
  <w:style w:type="paragraph" w:styleId="Heading9">
    <w:name w:val="heading 9"/>
    <w:basedOn w:val="Normal"/>
    <w:next w:val="BodyText2"/>
    <w:uiPriority w:val="9"/>
    <w:unhideWhenUsed/>
    <w:qFormat/>
    <w:rsid w:val="00B06C23"/>
    <w:pPr>
      <w:numPr>
        <w:ilvl w:val="8"/>
        <w:numId w:val="13"/>
      </w:numPr>
      <w:tabs>
        <w:tab w:val="clear" w:pos="0"/>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8F2228"/>
    <w:pPr>
      <w:spacing w:after="240"/>
      <w:ind w:left="720" w:right="720"/>
    </w:pPr>
    <w:rPr>
      <w:rFonts w:ascii="Times New Roman" w:hAnsi="Times New Roman"/>
      <w:sz w:val="24"/>
    </w:r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link w:val="FooterChar"/>
    <w:rsid w:val="00230872"/>
    <w:pPr>
      <w:tabs>
        <w:tab w:val="center" w:pos="4320"/>
        <w:tab w:val="right" w:pos="8640"/>
      </w:tabs>
    </w:pPr>
  </w:style>
  <w:style w:type="paragraph" w:styleId="FootnoteText">
    <w:name w:val="footnote text"/>
    <w:basedOn w:val="Normal"/>
    <w:unhideWhenUsed/>
    <w:rsid w:val="002F76CF"/>
    <w:rPr>
      <w:rFonts w:ascii="Times New Roman" w:hAnsi="Times New Roman"/>
      <w:sz w:val="20"/>
      <w:szCs w:val="20"/>
    </w:rPr>
  </w:style>
  <w:style w:type="paragraph" w:styleId="Header">
    <w:name w:val="header"/>
    <w:basedOn w:val="Normal"/>
    <w:link w:val="HeaderChar"/>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styleId="NoteHeading">
    <w:name w:val="Note Heading"/>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308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230872"/>
    <w:pPr>
      <w:spacing w:before="240" w:after="60"/>
      <w:jc w:val="center"/>
      <w:outlineLvl w:val="0"/>
    </w:pPr>
    <w:rPr>
      <w:rFonts w:ascii="Arial" w:hAnsi="Arial" w:cs="Arial"/>
      <w:b/>
      <w:bCs/>
      <w:kern w:val="28"/>
      <w:sz w:val="32"/>
      <w:szCs w:val="32"/>
    </w:rPr>
  </w:style>
  <w:style w:type="character" w:styleId="FootnoteReference">
    <w:name w:val="footnote reference"/>
    <w:basedOn w:val="DefaultParagraphFont"/>
    <w:semiHidden/>
    <w:rsid w:val="00AA3624"/>
    <w:rPr>
      <w:vertAlign w:val="superscript"/>
    </w:rPr>
  </w:style>
  <w:style w:type="character" w:customStyle="1" w:styleId="HeaderChar">
    <w:name w:val="Header Char"/>
    <w:basedOn w:val="DefaultParagraphFont"/>
    <w:link w:val="Header"/>
    <w:rsid w:val="00676046"/>
    <w:rPr>
      <w:sz w:val="24"/>
      <w:szCs w:val="24"/>
    </w:rPr>
  </w:style>
  <w:style w:type="paragraph" w:styleId="ListParagraph">
    <w:name w:val="List Paragraph"/>
    <w:basedOn w:val="Normal"/>
    <w:uiPriority w:val="34"/>
    <w:qFormat/>
    <w:rsid w:val="000278A7"/>
    <w:pPr>
      <w:contextualSpacing/>
    </w:pPr>
    <w:rPr>
      <w:rFonts w:ascii="Times New Roman" w:hAnsi="Times New Roman"/>
      <w:sz w:val="24"/>
    </w:rPr>
  </w:style>
  <w:style w:type="character" w:customStyle="1" w:styleId="FooterChar">
    <w:name w:val="Footer Char"/>
    <w:basedOn w:val="DefaultParagraphFont"/>
    <w:link w:val="Footer"/>
    <w:rsid w:val="00403A09"/>
    <w:rPr>
      <w:rFonts w:asciiTheme="minorHAnsi" w:eastAsiaTheme="minorHAnsi" w:hAnsiTheme="minorHAnsi" w:cstheme="minorBidi"/>
      <w:sz w:val="22"/>
      <w:szCs w:val="22"/>
    </w:rPr>
  </w:style>
  <w:style w:type="paragraph" w:customStyle="1" w:styleId="FirmName">
    <w:name w:val="Firm Name"/>
    <w:basedOn w:val="Normal"/>
    <w:semiHidden/>
    <w:rsid w:val="00403A09"/>
    <w:pPr>
      <w:spacing w:line="261" w:lineRule="exact"/>
      <w:jc w:val="center"/>
    </w:pPr>
    <w:rPr>
      <w:rFonts w:ascii="Times New Roman" w:eastAsia="Times New Roman" w:hAnsi="Times New Roman" w:cs="Times New Roman"/>
      <w:sz w:val="24"/>
      <w:szCs w:val="20"/>
    </w:rPr>
  </w:style>
  <w:style w:type="paragraph" w:styleId="BalloonText">
    <w:name w:val="Balloon Text"/>
    <w:basedOn w:val="Normal"/>
    <w:link w:val="BalloonTextChar"/>
    <w:semiHidden/>
    <w:unhideWhenUsed/>
    <w:rsid w:val="00441FE5"/>
    <w:rPr>
      <w:rFonts w:ascii="Tahoma" w:hAnsi="Tahoma" w:cs="Tahoma"/>
      <w:sz w:val="16"/>
      <w:szCs w:val="16"/>
    </w:rPr>
  </w:style>
  <w:style w:type="character" w:customStyle="1" w:styleId="BalloonTextChar">
    <w:name w:val="Balloon Text Char"/>
    <w:basedOn w:val="DefaultParagraphFont"/>
    <w:link w:val="BalloonText"/>
    <w:semiHidden/>
    <w:rsid w:val="00441FE5"/>
    <w:rPr>
      <w:rFonts w:ascii="Tahoma" w:eastAsiaTheme="minorHAnsi" w:hAnsi="Tahoma" w:cs="Tahoma"/>
      <w:sz w:val="16"/>
      <w:szCs w:val="16"/>
    </w:rPr>
  </w:style>
  <w:style w:type="paragraph" w:customStyle="1" w:styleId="StyleListParagraphTimesNewRoman12pt">
    <w:name w:val="Style List Paragraph + Times New Roman 12 pt"/>
    <w:basedOn w:val="ListParagraph"/>
    <w:rsid w:val="00B221C8"/>
  </w:style>
  <w:style w:type="paragraph" w:customStyle="1" w:styleId="StyleListParagraphTimesNewRoman12ptLinespacingDouble">
    <w:name w:val="Style List Paragraph + Times New Roman 12 pt Line spacing:  Double"/>
    <w:basedOn w:val="ListParagraph"/>
    <w:rsid w:val="00C77CAD"/>
    <w:pPr>
      <w:spacing w:line="480" w:lineRule="auto"/>
    </w:pPr>
    <w:rPr>
      <w:rFonts w:eastAsia="Times New Roman" w:cs="Times New Roman"/>
      <w:szCs w:val="20"/>
    </w:rPr>
  </w:style>
  <w:style w:type="paragraph" w:customStyle="1" w:styleId="StyleListParagraphLinespacingDouble">
    <w:name w:val="Style List Paragraph + Line spacing:  Double"/>
    <w:basedOn w:val="ListParagraph"/>
    <w:rsid w:val="00F25241"/>
    <w:pPr>
      <w:numPr>
        <w:numId w:val="14"/>
      </w:numPr>
      <w:spacing w:line="48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38683">
      <w:bodyDiv w:val="1"/>
      <w:marLeft w:val="0"/>
      <w:marRight w:val="0"/>
      <w:marTop w:val="0"/>
      <w:marBottom w:val="0"/>
      <w:divBdr>
        <w:top w:val="none" w:sz="0" w:space="0" w:color="auto"/>
        <w:left w:val="none" w:sz="0" w:space="0" w:color="auto"/>
        <w:bottom w:val="none" w:sz="0" w:space="0" w:color="auto"/>
        <w:right w:val="none" w:sz="0" w:space="0" w:color="auto"/>
      </w:divBdr>
    </w:div>
    <w:div w:id="243997399">
      <w:bodyDiv w:val="1"/>
      <w:marLeft w:val="0"/>
      <w:marRight w:val="0"/>
      <w:marTop w:val="0"/>
      <w:marBottom w:val="0"/>
      <w:divBdr>
        <w:top w:val="none" w:sz="0" w:space="0" w:color="auto"/>
        <w:left w:val="none" w:sz="0" w:space="0" w:color="auto"/>
        <w:bottom w:val="none" w:sz="0" w:space="0" w:color="auto"/>
        <w:right w:val="none" w:sz="0" w:space="0" w:color="auto"/>
      </w:divBdr>
    </w:div>
    <w:div w:id="1492063976">
      <w:bodyDiv w:val="1"/>
      <w:marLeft w:val="0"/>
      <w:marRight w:val="0"/>
      <w:marTop w:val="0"/>
      <w:marBottom w:val="0"/>
      <w:divBdr>
        <w:top w:val="none" w:sz="0" w:space="0" w:color="auto"/>
        <w:left w:val="none" w:sz="0" w:space="0" w:color="auto"/>
        <w:bottom w:val="none" w:sz="0" w:space="0" w:color="auto"/>
        <w:right w:val="none" w:sz="0" w:space="0" w:color="auto"/>
      </w:divBdr>
      <w:divsChild>
        <w:div w:id="1839272313">
          <w:marLeft w:val="0"/>
          <w:marRight w:val="0"/>
          <w:marTop w:val="0"/>
          <w:marBottom w:val="0"/>
          <w:divBdr>
            <w:top w:val="none" w:sz="0" w:space="0" w:color="auto"/>
            <w:left w:val="none" w:sz="0" w:space="0" w:color="auto"/>
            <w:bottom w:val="none" w:sz="0" w:space="0" w:color="auto"/>
            <w:right w:val="none" w:sz="0" w:space="0" w:color="auto"/>
          </w:divBdr>
          <w:divsChild>
            <w:div w:id="715083657">
              <w:marLeft w:val="0"/>
              <w:marRight w:val="0"/>
              <w:marTop w:val="0"/>
              <w:marBottom w:val="0"/>
              <w:divBdr>
                <w:top w:val="none" w:sz="0" w:space="0" w:color="auto"/>
                <w:left w:val="none" w:sz="0" w:space="0" w:color="auto"/>
                <w:bottom w:val="none" w:sz="0" w:space="0" w:color="auto"/>
                <w:right w:val="none" w:sz="0" w:space="0" w:color="auto"/>
              </w:divBdr>
              <w:divsChild>
                <w:div w:id="1446315149">
                  <w:marLeft w:val="0"/>
                  <w:marRight w:val="0"/>
                  <w:marTop w:val="0"/>
                  <w:marBottom w:val="0"/>
                  <w:divBdr>
                    <w:top w:val="none" w:sz="0" w:space="12" w:color="auto"/>
                    <w:left w:val="none" w:sz="0" w:space="12" w:color="auto"/>
                    <w:bottom w:val="none" w:sz="0" w:space="12" w:color="auto"/>
                    <w:right w:val="none" w:sz="0" w:space="12" w:color="auto"/>
                  </w:divBdr>
                  <w:divsChild>
                    <w:div w:id="1687055430">
                      <w:marLeft w:val="0"/>
                      <w:marRight w:val="0"/>
                      <w:marTop w:val="0"/>
                      <w:marBottom w:val="0"/>
                      <w:divBdr>
                        <w:top w:val="none" w:sz="0" w:space="12" w:color="auto"/>
                        <w:left w:val="none" w:sz="0" w:space="12" w:color="auto"/>
                        <w:bottom w:val="none" w:sz="0" w:space="12" w:color="auto"/>
                        <w:right w:val="none" w:sz="0" w:space="12" w:color="auto"/>
                      </w:divBdr>
                      <w:divsChild>
                        <w:div w:id="1468012722">
                          <w:marLeft w:val="0"/>
                          <w:marRight w:val="0"/>
                          <w:marTop w:val="0"/>
                          <w:marBottom w:val="0"/>
                          <w:divBdr>
                            <w:top w:val="none" w:sz="0" w:space="0" w:color="auto"/>
                            <w:left w:val="none" w:sz="0" w:space="0" w:color="auto"/>
                            <w:bottom w:val="none" w:sz="0" w:space="0" w:color="auto"/>
                            <w:right w:val="none" w:sz="0" w:space="0" w:color="auto"/>
                          </w:divBdr>
                          <w:divsChild>
                            <w:div w:id="396171291">
                              <w:marLeft w:val="-225"/>
                              <w:marRight w:val="-225"/>
                              <w:marTop w:val="0"/>
                              <w:marBottom w:val="0"/>
                              <w:divBdr>
                                <w:top w:val="none" w:sz="0" w:space="0" w:color="auto"/>
                                <w:left w:val="none" w:sz="0" w:space="0" w:color="auto"/>
                                <w:bottom w:val="none" w:sz="0" w:space="0" w:color="auto"/>
                                <w:right w:val="none" w:sz="0" w:space="0" w:color="auto"/>
                              </w:divBdr>
                              <w:divsChild>
                                <w:div w:id="364252251">
                                  <w:marLeft w:val="0"/>
                                  <w:marRight w:val="0"/>
                                  <w:marTop w:val="0"/>
                                  <w:marBottom w:val="0"/>
                                  <w:divBdr>
                                    <w:top w:val="none" w:sz="0" w:space="0" w:color="auto"/>
                                    <w:left w:val="none" w:sz="0" w:space="0" w:color="auto"/>
                                    <w:bottom w:val="none" w:sz="0" w:space="0" w:color="auto"/>
                                    <w:right w:val="none" w:sz="0" w:space="0" w:color="auto"/>
                                  </w:divBdr>
                                  <w:divsChild>
                                    <w:div w:id="93139755">
                                      <w:marLeft w:val="0"/>
                                      <w:marRight w:val="0"/>
                                      <w:marTop w:val="0"/>
                                      <w:marBottom w:val="0"/>
                                      <w:divBdr>
                                        <w:top w:val="none" w:sz="0" w:space="0" w:color="auto"/>
                                        <w:left w:val="none" w:sz="0" w:space="0" w:color="auto"/>
                                        <w:bottom w:val="none" w:sz="0" w:space="0" w:color="auto"/>
                                        <w:right w:val="none" w:sz="0" w:space="0" w:color="auto"/>
                                      </w:divBdr>
                                      <w:divsChild>
                                        <w:div w:id="1757631457">
                                          <w:marLeft w:val="0"/>
                                          <w:marRight w:val="0"/>
                                          <w:marTop w:val="0"/>
                                          <w:marBottom w:val="0"/>
                                          <w:divBdr>
                                            <w:top w:val="none" w:sz="0" w:space="0" w:color="auto"/>
                                            <w:left w:val="none" w:sz="0" w:space="0" w:color="auto"/>
                                            <w:bottom w:val="none" w:sz="0" w:space="0" w:color="auto"/>
                                            <w:right w:val="none" w:sz="0" w:space="0" w:color="auto"/>
                                          </w:divBdr>
                                        </w:div>
                                        <w:div w:id="2002468209">
                                          <w:marLeft w:val="0"/>
                                          <w:marRight w:val="0"/>
                                          <w:marTop w:val="0"/>
                                          <w:marBottom w:val="0"/>
                                          <w:divBdr>
                                            <w:top w:val="none" w:sz="0" w:space="0" w:color="auto"/>
                                            <w:left w:val="none" w:sz="0" w:space="0" w:color="auto"/>
                                            <w:bottom w:val="none" w:sz="0" w:space="0" w:color="auto"/>
                                            <w:right w:val="none" w:sz="0" w:space="0" w:color="auto"/>
                                          </w:divBdr>
                                        </w:div>
                                        <w:div w:id="991564462">
                                          <w:marLeft w:val="0"/>
                                          <w:marRight w:val="0"/>
                                          <w:marTop w:val="0"/>
                                          <w:marBottom w:val="0"/>
                                          <w:divBdr>
                                            <w:top w:val="none" w:sz="0" w:space="0" w:color="auto"/>
                                            <w:left w:val="none" w:sz="0" w:space="0" w:color="auto"/>
                                            <w:bottom w:val="none" w:sz="0" w:space="0" w:color="auto"/>
                                            <w:right w:val="none" w:sz="0" w:space="0" w:color="auto"/>
                                          </w:divBdr>
                                        </w:div>
                                        <w:div w:id="423648783">
                                          <w:marLeft w:val="0"/>
                                          <w:marRight w:val="0"/>
                                          <w:marTop w:val="0"/>
                                          <w:marBottom w:val="0"/>
                                          <w:divBdr>
                                            <w:top w:val="none" w:sz="0" w:space="0" w:color="auto"/>
                                            <w:left w:val="none" w:sz="0" w:space="0" w:color="auto"/>
                                            <w:bottom w:val="none" w:sz="0" w:space="0" w:color="auto"/>
                                            <w:right w:val="none" w:sz="0" w:space="0" w:color="auto"/>
                                          </w:divBdr>
                                        </w:div>
                                        <w:div w:id="18550739">
                                          <w:marLeft w:val="0"/>
                                          <w:marRight w:val="0"/>
                                          <w:marTop w:val="0"/>
                                          <w:marBottom w:val="0"/>
                                          <w:divBdr>
                                            <w:top w:val="none" w:sz="0" w:space="0" w:color="auto"/>
                                            <w:left w:val="none" w:sz="0" w:space="0" w:color="auto"/>
                                            <w:bottom w:val="none" w:sz="0" w:space="0" w:color="auto"/>
                                            <w:right w:val="none" w:sz="0" w:space="0" w:color="auto"/>
                                          </w:divBdr>
                                        </w:div>
                                        <w:div w:id="779107750">
                                          <w:marLeft w:val="0"/>
                                          <w:marRight w:val="0"/>
                                          <w:marTop w:val="0"/>
                                          <w:marBottom w:val="0"/>
                                          <w:divBdr>
                                            <w:top w:val="none" w:sz="0" w:space="0" w:color="auto"/>
                                            <w:left w:val="none" w:sz="0" w:space="0" w:color="auto"/>
                                            <w:bottom w:val="none" w:sz="0" w:space="0" w:color="auto"/>
                                            <w:right w:val="none" w:sz="0" w:space="0" w:color="auto"/>
                                          </w:divBdr>
                                        </w:div>
                                        <w:div w:id="57790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bharlow@fcclaw.com" TargetMode="External"/><Relationship Id="rId2" Type="http://schemas.openxmlformats.org/officeDocument/2006/relationships/numbering" Target="numbering.xml"/><Relationship Id="rId16" Type="http://schemas.openxmlformats.org/officeDocument/2006/relationships/hyperlink" Target="mailto:jbeattie@utc.wa.gov"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records@utc.wa.gov" TargetMode="External"/><Relationship Id="rId23" Type="http://schemas.openxmlformats.org/officeDocument/2006/relationships/customXml" Target="../customXml/item5.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ffice14\STARTUP\WK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Response</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2016-09-12T07:00:00+00:00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2B28AA6-397B-48D6-95E3-13941FDBB014}">
  <ds:schemaRefs>
    <ds:schemaRef ds:uri="http://schemas.openxmlformats.org/officeDocument/2006/bibliography"/>
  </ds:schemaRefs>
</ds:datastoreItem>
</file>

<file path=customXml/itemProps2.xml><?xml version="1.0" encoding="utf-8"?>
<ds:datastoreItem xmlns:ds="http://schemas.openxmlformats.org/officeDocument/2006/customXml" ds:itemID="{3CDC517D-5236-47AC-9D06-DADA30DCE860}"/>
</file>

<file path=customXml/itemProps3.xml><?xml version="1.0" encoding="utf-8"?>
<ds:datastoreItem xmlns:ds="http://schemas.openxmlformats.org/officeDocument/2006/customXml" ds:itemID="{92EAE8C3-0A0F-4FC3-86F0-049C126600CD}"/>
</file>

<file path=customXml/itemProps4.xml><?xml version="1.0" encoding="utf-8"?>
<ds:datastoreItem xmlns:ds="http://schemas.openxmlformats.org/officeDocument/2006/customXml" ds:itemID="{70C0774D-AEBD-4085-ACA3-B72DDF1F7215}"/>
</file>

<file path=customXml/itemProps5.xml><?xml version="1.0" encoding="utf-8"?>
<ds:datastoreItem xmlns:ds="http://schemas.openxmlformats.org/officeDocument/2006/customXml" ds:itemID="{6EE8E2D6-52F0-4719-AB69-6B59B9817692}"/>
</file>

<file path=docProps/app.xml><?xml version="1.0" encoding="utf-8"?>
<Properties xmlns="http://schemas.openxmlformats.org/officeDocument/2006/extended-properties" xmlns:vt="http://schemas.openxmlformats.org/officeDocument/2006/docPropsVTypes">
  <Template>WKNormal.dotx</Template>
  <TotalTime>15</TotalTime>
  <Pages>12</Pages>
  <Words>2716</Words>
  <Characters>15389</Characters>
  <Application>Microsoft Office Word</Application>
  <DocSecurity>0</DocSecurity>
  <Lines>295</Lines>
  <Paragraphs>93</Paragraphs>
  <ScaleCrop>false</ScaleCrop>
  <HeadingPairs>
    <vt:vector size="2" baseType="variant">
      <vt:variant>
        <vt:lpstr>Title</vt:lpstr>
      </vt:variant>
      <vt:variant>
        <vt:i4>1</vt:i4>
      </vt:variant>
    </vt:vector>
  </HeadingPairs>
  <TitlesOfParts>
    <vt:vector size="1" baseType="lpstr">
      <vt:lpstr/>
    </vt:vector>
  </TitlesOfParts>
  <Company>Williams, Kastner &amp; Gibbs PLLC</Company>
  <LinksUpToDate>false</LinksUpToDate>
  <CharactersWithSpaces>18125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 Gruber</dc:creator>
  <cp:keywords/>
  <dc:description/>
  <cp:lastModifiedBy>Dave Wiley</cp:lastModifiedBy>
  <cp:revision>19</cp:revision>
  <cp:lastPrinted>2016-09-12T21:41:00Z</cp:lastPrinted>
  <dcterms:created xsi:type="dcterms:W3CDTF">2016-09-12T20:05:00Z</dcterms:created>
  <dcterms:modified xsi:type="dcterms:W3CDTF">2016-09-12T21:42:00Z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5847146.4</vt:lpwstr>
  </property>
  <property fmtid="{D5CDD505-2E9C-101B-9397-08002B2CF9AE}" pid="3" name="ContentTypeId">
    <vt:lpwstr>0x0101006E56B4D1795A2E4DB2F0B01679ED314A005D85FEBC8B8361489F6BD68A68BD8D01</vt:lpwstr>
  </property>
  <property fmtid="{D5CDD505-2E9C-101B-9397-08002B2CF9AE}" pid="4" name="_docset_NoMedatataSyncRequired">
    <vt:lpwstr>False</vt:lpwstr>
  </property>
</Properties>
</file>