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6A" w:rsidRPr="00F021E3" w:rsidRDefault="0047046A" w:rsidP="00EE7676">
      <w:pPr>
        <w:ind w:right="18" w:firstLine="5580"/>
        <w:rPr>
          <w:b/>
          <w:lang w:val="fr-FR"/>
        </w:rPr>
      </w:pPr>
      <w:r w:rsidRPr="00F021E3">
        <w:rPr>
          <w:b/>
        </w:rPr>
        <w:t>Exhibit</w:t>
      </w:r>
      <w:r w:rsidRPr="00F021E3">
        <w:rPr>
          <w:b/>
          <w:lang w:val="fr-FR"/>
        </w:rPr>
        <w:t xml:space="preserve"> No. ___</w:t>
      </w:r>
      <w:r w:rsidR="005024AA">
        <w:rPr>
          <w:b/>
          <w:lang w:val="fr-FR"/>
        </w:rPr>
        <w:t xml:space="preserve"> </w:t>
      </w:r>
      <w:r w:rsidRPr="00F021E3">
        <w:rPr>
          <w:b/>
          <w:lang w:val="fr-FR"/>
        </w:rPr>
        <w:t>T (</w:t>
      </w:r>
      <w:r w:rsidR="00A107D7">
        <w:rPr>
          <w:b/>
          <w:lang w:val="fr-FR"/>
        </w:rPr>
        <w:t>R</w:t>
      </w:r>
      <w:r w:rsidR="00A44F72">
        <w:rPr>
          <w:b/>
          <w:lang w:val="fr-FR"/>
        </w:rPr>
        <w:t>T</w:t>
      </w:r>
      <w:r w:rsidR="00A107D7">
        <w:rPr>
          <w:b/>
          <w:lang w:val="fr-FR"/>
        </w:rPr>
        <w:t>W</w:t>
      </w:r>
      <w:r w:rsidRPr="00F021E3">
        <w:rPr>
          <w:b/>
          <w:lang w:val="fr-FR"/>
        </w:rPr>
        <w:t>-1T)</w:t>
      </w:r>
    </w:p>
    <w:p w:rsidR="00136C92" w:rsidRPr="00136C92" w:rsidRDefault="00396C6F" w:rsidP="00EE7676">
      <w:pPr>
        <w:ind w:firstLine="5580"/>
        <w:rPr>
          <w:b/>
        </w:rPr>
      </w:pPr>
      <w:r w:rsidRPr="00F021E3">
        <w:rPr>
          <w:b/>
        </w:rPr>
        <w:t xml:space="preserve">Docket </w:t>
      </w:r>
      <w:r w:rsidR="00101FFD">
        <w:rPr>
          <w:b/>
        </w:rPr>
        <w:t>UT</w:t>
      </w:r>
      <w:r w:rsidR="00382A95">
        <w:rPr>
          <w:b/>
        </w:rPr>
        <w:t>-</w:t>
      </w:r>
      <w:r w:rsidR="007445BC">
        <w:rPr>
          <w:b/>
        </w:rPr>
        <w:t>111254</w:t>
      </w:r>
    </w:p>
    <w:p w:rsidR="0047046A" w:rsidRDefault="0047046A" w:rsidP="00EE7676">
      <w:pPr>
        <w:ind w:firstLine="5580"/>
        <w:rPr>
          <w:b/>
        </w:rPr>
      </w:pPr>
      <w:r w:rsidRPr="00F021E3">
        <w:rPr>
          <w:b/>
        </w:rPr>
        <w:t xml:space="preserve">Witness:  </w:t>
      </w:r>
      <w:r w:rsidR="00A107D7">
        <w:rPr>
          <w:b/>
        </w:rPr>
        <w:t xml:space="preserve">Robert </w:t>
      </w:r>
      <w:r w:rsidR="00A44F72">
        <w:rPr>
          <w:b/>
        </w:rPr>
        <w:t xml:space="preserve">T. </w:t>
      </w:r>
      <w:r w:rsidR="00A107D7">
        <w:rPr>
          <w:b/>
        </w:rPr>
        <w:t>Williamson</w:t>
      </w:r>
    </w:p>
    <w:p w:rsidR="0047046A" w:rsidRPr="00B27BAC" w:rsidRDefault="0047046A" w:rsidP="009C757F">
      <w:pPr>
        <w:pStyle w:val="BlockText"/>
        <w:spacing w:line="240" w:lineRule="auto"/>
        <w:ind w:left="0"/>
        <w:rPr>
          <w:b/>
        </w:rPr>
      </w:pPr>
    </w:p>
    <w:p w:rsidR="00101FFD" w:rsidRPr="00B27BAC" w:rsidRDefault="00101FFD" w:rsidP="009C757F">
      <w:pPr>
        <w:pStyle w:val="BlockText"/>
        <w:spacing w:line="240" w:lineRule="auto"/>
        <w:ind w:left="0"/>
        <w:rPr>
          <w:b/>
        </w:rPr>
      </w:pPr>
    </w:p>
    <w:p w:rsidR="00101FFD" w:rsidRPr="00B27BAC" w:rsidRDefault="00101FFD" w:rsidP="009C757F">
      <w:pPr>
        <w:pStyle w:val="BlockText"/>
        <w:spacing w:line="240" w:lineRule="auto"/>
        <w:ind w:left="0"/>
        <w:rPr>
          <w:b/>
        </w:rPr>
      </w:pPr>
    </w:p>
    <w:p w:rsidR="00C066B3" w:rsidRPr="004332AC" w:rsidRDefault="00C066B3" w:rsidP="00C066B3">
      <w:pPr>
        <w:tabs>
          <w:tab w:val="center" w:pos="4680"/>
        </w:tabs>
        <w:ind w:right="-108" w:hanging="180"/>
        <w:jc w:val="both"/>
        <w:rPr>
          <w:b/>
        </w:rPr>
      </w:pPr>
      <w:r w:rsidRPr="004332AC">
        <w:rPr>
          <w:b/>
        </w:rPr>
        <w:t>BEFORE THE WASHINGTON UTILITIES AND TRANSPORTATION COMMISSION</w:t>
      </w:r>
    </w:p>
    <w:p w:rsidR="00C066B3" w:rsidRDefault="00C066B3" w:rsidP="00C066B3">
      <w:pPr>
        <w:jc w:val="both"/>
        <w:rPr>
          <w:b/>
        </w:rPr>
      </w:pPr>
    </w:p>
    <w:p w:rsidR="00C066B3" w:rsidRPr="004332AC" w:rsidRDefault="00C066B3" w:rsidP="00C066B3">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066B3" w:rsidRPr="004332AC" w:rsidTr="00A44F72">
        <w:tc>
          <w:tcPr>
            <w:tcW w:w="4590" w:type="dxa"/>
            <w:tcBorders>
              <w:top w:val="single" w:sz="6" w:space="0" w:color="FFFFFF"/>
              <w:left w:val="single" w:sz="6" w:space="0" w:color="FFFFFF"/>
              <w:bottom w:val="single" w:sz="7" w:space="0" w:color="000000"/>
              <w:right w:val="single" w:sz="6" w:space="0" w:color="FFFFFF"/>
            </w:tcBorders>
          </w:tcPr>
          <w:p w:rsidR="00C066B3" w:rsidRPr="004332AC" w:rsidRDefault="00C066B3" w:rsidP="00A44F72">
            <w:pPr>
              <w:rPr>
                <w:b/>
              </w:rPr>
            </w:pPr>
          </w:p>
          <w:p w:rsidR="0041327E" w:rsidRPr="00FB2A42" w:rsidRDefault="0041327E" w:rsidP="00FB5314">
            <w:pPr>
              <w:spacing w:after="19"/>
              <w:rPr>
                <w:b/>
              </w:rPr>
            </w:pPr>
            <w:r>
              <w:rPr>
                <w:b/>
              </w:rPr>
              <w:t xml:space="preserve">In the Matter of </w:t>
            </w:r>
            <w:r w:rsidR="00FB5314">
              <w:rPr>
                <w:b/>
              </w:rPr>
              <w:t>a</w:t>
            </w:r>
            <w:r w:rsidR="00FE0749">
              <w:rPr>
                <w:b/>
              </w:rPr>
              <w:t xml:space="preserve"> Complaint by the Joint CLECs against the Joint Applicants Regarding OSS for Maintenance and Repair</w:t>
            </w:r>
          </w:p>
          <w:p w:rsidR="00C066B3" w:rsidRPr="004332AC" w:rsidRDefault="00C066B3" w:rsidP="00A44F72">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C066B3" w:rsidRPr="004332AC" w:rsidRDefault="00C066B3" w:rsidP="00A44F72">
            <w:pPr>
              <w:ind w:firstLine="720"/>
              <w:rPr>
                <w:b/>
              </w:rPr>
            </w:pPr>
          </w:p>
          <w:p w:rsidR="00C066B3" w:rsidRPr="004332AC" w:rsidRDefault="00C066B3" w:rsidP="00A44F72">
            <w:pPr>
              <w:ind w:firstLine="720"/>
              <w:rPr>
                <w:b/>
              </w:rPr>
            </w:pPr>
            <w:r w:rsidRPr="004332AC">
              <w:rPr>
                <w:b/>
              </w:rPr>
              <w:t>DOCKET UT-</w:t>
            </w:r>
            <w:r w:rsidR="00382A95">
              <w:rPr>
                <w:b/>
              </w:rPr>
              <w:t>1</w:t>
            </w:r>
            <w:r w:rsidR="00FE0749">
              <w:rPr>
                <w:b/>
              </w:rPr>
              <w:t>11254</w:t>
            </w:r>
          </w:p>
          <w:p w:rsidR="00C066B3" w:rsidRPr="004332AC" w:rsidRDefault="00C066B3" w:rsidP="00A44F72">
            <w:pPr>
              <w:rPr>
                <w:b/>
              </w:rPr>
            </w:pPr>
          </w:p>
          <w:p w:rsidR="00C066B3" w:rsidRPr="004332AC" w:rsidRDefault="00C066B3" w:rsidP="00A44F72">
            <w:pPr>
              <w:spacing w:after="19"/>
              <w:ind w:left="720"/>
              <w:rPr>
                <w:b/>
              </w:rPr>
            </w:pPr>
            <w:r w:rsidRPr="004332AC">
              <w:rPr>
                <w:b/>
              </w:rPr>
              <w:t xml:space="preserve"> </w:t>
            </w:r>
          </w:p>
        </w:tc>
      </w:tr>
    </w:tbl>
    <w:p w:rsidR="00C066B3" w:rsidRPr="0002310C" w:rsidRDefault="00C066B3" w:rsidP="00C066B3">
      <w:pPr>
        <w:jc w:val="both"/>
      </w:pPr>
    </w:p>
    <w:p w:rsidR="00C066B3" w:rsidRPr="0002310C" w:rsidRDefault="00C066B3" w:rsidP="00C066B3">
      <w:pPr>
        <w:rPr>
          <w:b/>
          <w:bCs/>
        </w:rPr>
      </w:pPr>
    </w:p>
    <w:p w:rsidR="00C066B3" w:rsidRPr="0002310C" w:rsidRDefault="00C066B3" w:rsidP="00C066B3">
      <w:pPr>
        <w:rPr>
          <w:b/>
          <w:bCs/>
        </w:rPr>
      </w:pPr>
    </w:p>
    <w:p w:rsidR="00C066B3" w:rsidRDefault="00C066B3" w:rsidP="00C066B3">
      <w:pPr>
        <w:tabs>
          <w:tab w:val="center" w:pos="4680"/>
        </w:tabs>
        <w:jc w:val="center"/>
        <w:rPr>
          <w:b/>
        </w:rPr>
      </w:pPr>
    </w:p>
    <w:p w:rsidR="0047046A" w:rsidRDefault="00C066B3" w:rsidP="00C066B3">
      <w:pPr>
        <w:jc w:val="center"/>
        <w:rPr>
          <w:b/>
        </w:rPr>
      </w:pPr>
      <w:r>
        <w:rPr>
          <w:b/>
        </w:rPr>
        <w:t>TESTIMONY</w:t>
      </w:r>
    </w:p>
    <w:p w:rsidR="00C066B3" w:rsidRPr="00F021E3" w:rsidRDefault="00C066B3" w:rsidP="00C066B3">
      <w:pPr>
        <w:jc w:val="center"/>
        <w:rPr>
          <w:b/>
        </w:rPr>
      </w:pPr>
    </w:p>
    <w:p w:rsidR="0047046A" w:rsidRPr="00F021E3" w:rsidRDefault="0047046A" w:rsidP="009C757F">
      <w:pPr>
        <w:jc w:val="center"/>
        <w:rPr>
          <w:b/>
        </w:rPr>
      </w:pPr>
      <w:r w:rsidRPr="00F021E3">
        <w:rPr>
          <w:b/>
        </w:rPr>
        <w:t>OF</w:t>
      </w:r>
    </w:p>
    <w:p w:rsidR="0047046A" w:rsidRPr="00F021E3" w:rsidRDefault="0047046A" w:rsidP="009C757F">
      <w:pPr>
        <w:jc w:val="center"/>
        <w:rPr>
          <w:b/>
        </w:rPr>
      </w:pPr>
    </w:p>
    <w:p w:rsidR="0047046A" w:rsidRPr="00F021E3" w:rsidRDefault="00A107D7" w:rsidP="009C757F">
      <w:pPr>
        <w:tabs>
          <w:tab w:val="center" w:pos="4680"/>
        </w:tabs>
        <w:jc w:val="center"/>
        <w:rPr>
          <w:b/>
        </w:rPr>
      </w:pPr>
      <w:r>
        <w:rPr>
          <w:b/>
        </w:rPr>
        <w:t xml:space="preserve">ROBERT </w:t>
      </w:r>
      <w:r w:rsidR="00A44F72">
        <w:rPr>
          <w:b/>
        </w:rPr>
        <w:t xml:space="preserve">T. </w:t>
      </w:r>
      <w:r>
        <w:rPr>
          <w:b/>
        </w:rPr>
        <w:t>WILLIAMSON</w:t>
      </w:r>
    </w:p>
    <w:p w:rsidR="00396C6F" w:rsidRPr="00F021E3" w:rsidRDefault="00396C6F" w:rsidP="009C757F">
      <w:pPr>
        <w:jc w:val="center"/>
        <w:rPr>
          <w:b/>
        </w:rPr>
      </w:pPr>
    </w:p>
    <w:p w:rsidR="00101FFD" w:rsidRDefault="002E0D2C" w:rsidP="0041327E">
      <w:pPr>
        <w:tabs>
          <w:tab w:val="center" w:pos="4680"/>
        </w:tabs>
        <w:jc w:val="center"/>
        <w:rPr>
          <w:b/>
        </w:rPr>
      </w:pPr>
      <w:r>
        <w:rPr>
          <w:b/>
        </w:rPr>
        <w:t>S</w:t>
      </w:r>
      <w:r w:rsidR="0047046A" w:rsidRPr="00F021E3">
        <w:rPr>
          <w:b/>
        </w:rPr>
        <w:t>TAFF OF</w:t>
      </w:r>
    </w:p>
    <w:p w:rsidR="00101FFD" w:rsidRDefault="0047046A" w:rsidP="009C757F">
      <w:pPr>
        <w:tabs>
          <w:tab w:val="center" w:pos="4680"/>
        </w:tabs>
        <w:jc w:val="center"/>
        <w:rPr>
          <w:b/>
        </w:rPr>
      </w:pPr>
      <w:r w:rsidRPr="00F021E3">
        <w:rPr>
          <w:b/>
        </w:rPr>
        <w:t>WASHINGTON UTILITIES AND</w:t>
      </w:r>
    </w:p>
    <w:p w:rsidR="0047046A" w:rsidRPr="00F021E3" w:rsidRDefault="0047046A" w:rsidP="009C757F">
      <w:pPr>
        <w:tabs>
          <w:tab w:val="center" w:pos="4680"/>
        </w:tabs>
        <w:jc w:val="center"/>
        <w:rPr>
          <w:b/>
        </w:rPr>
      </w:pPr>
      <w:r w:rsidRPr="00F021E3">
        <w:rPr>
          <w:b/>
        </w:rPr>
        <w:t>TRANSPORTATION COMMISSION</w:t>
      </w:r>
    </w:p>
    <w:p w:rsidR="00136C92" w:rsidRDefault="00136C92"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BB18DA" w:rsidP="009C757F">
      <w:pPr>
        <w:tabs>
          <w:tab w:val="center" w:pos="4680"/>
        </w:tabs>
        <w:jc w:val="center"/>
        <w:rPr>
          <w:b/>
        </w:rPr>
      </w:pPr>
      <w:r>
        <w:rPr>
          <w:b/>
        </w:rPr>
        <w:t>November 30</w:t>
      </w:r>
      <w:r w:rsidR="00396C6F" w:rsidRPr="00F021E3">
        <w:rPr>
          <w:b/>
        </w:rPr>
        <w:t>, 20</w:t>
      </w:r>
      <w:r w:rsidR="00382A95">
        <w:rPr>
          <w:b/>
        </w:rPr>
        <w:t>1</w:t>
      </w:r>
      <w:r w:rsidR="000F051E">
        <w:rPr>
          <w:b/>
        </w:rPr>
        <w:t>1</w:t>
      </w:r>
    </w:p>
    <w:p w:rsidR="006D1782" w:rsidRDefault="006D1782" w:rsidP="009C757F">
      <w:pPr>
        <w:tabs>
          <w:tab w:val="center" w:pos="4680"/>
        </w:tabs>
        <w:jc w:val="center"/>
        <w:rPr>
          <w:b/>
        </w:rPr>
      </w:pPr>
    </w:p>
    <w:p w:rsidR="00BB18DA" w:rsidRDefault="00BB18DA" w:rsidP="009C757F">
      <w:pPr>
        <w:tabs>
          <w:tab w:val="center" w:pos="4680"/>
        </w:tabs>
        <w:jc w:val="center"/>
        <w:rPr>
          <w:b/>
        </w:rPr>
        <w:sectPr w:rsidR="00BB18DA" w:rsidSect="00C55AE0">
          <w:pgSz w:w="12240" w:h="15840" w:code="1"/>
          <w:pgMar w:top="1440" w:right="1440" w:bottom="1440" w:left="1872" w:header="720" w:footer="720" w:gutter="0"/>
          <w:pgNumType w:fmt="lowerRoman" w:start="1"/>
          <w:cols w:space="720"/>
          <w:docGrid w:linePitch="360"/>
        </w:sectPr>
      </w:pPr>
    </w:p>
    <w:p w:rsidR="00790D92" w:rsidRDefault="00101FFD" w:rsidP="00101FFD">
      <w:pPr>
        <w:jc w:val="center"/>
        <w:rPr>
          <w:b/>
        </w:rPr>
      </w:pPr>
      <w:r w:rsidRPr="00BB18DA">
        <w:rPr>
          <w:b/>
        </w:rPr>
        <w:lastRenderedPageBreak/>
        <w:t>TABLE OF CONTENTS</w:t>
      </w:r>
    </w:p>
    <w:p w:rsidR="00EE7676" w:rsidRPr="00BB18DA" w:rsidRDefault="00EE7676" w:rsidP="00101FFD">
      <w:pPr>
        <w:jc w:val="center"/>
        <w:rPr>
          <w:b/>
        </w:rPr>
      </w:pPr>
    </w:p>
    <w:p w:rsidR="00CD6772" w:rsidRPr="00BB18DA" w:rsidRDefault="00CD6772" w:rsidP="00442FB9">
      <w:pPr>
        <w:tabs>
          <w:tab w:val="left" w:pos="1890"/>
        </w:tabs>
      </w:pPr>
    </w:p>
    <w:p w:rsidR="00E24CDB" w:rsidRPr="00BB18DA" w:rsidRDefault="00B73716" w:rsidP="00BB18DA">
      <w:pPr>
        <w:pStyle w:val="ListParagraph"/>
        <w:numPr>
          <w:ilvl w:val="0"/>
          <w:numId w:val="39"/>
        </w:numPr>
        <w:tabs>
          <w:tab w:val="left" w:pos="1980"/>
          <w:tab w:val="right" w:leader="dot" w:pos="8910"/>
        </w:tabs>
        <w:ind w:left="720"/>
        <w:contextualSpacing/>
      </w:pPr>
      <w:r>
        <w:t>INTRODUCTION</w:t>
      </w:r>
      <w:r>
        <w:tab/>
      </w:r>
      <w:r w:rsidRPr="00BB18DA">
        <w:t>1</w:t>
      </w:r>
    </w:p>
    <w:p w:rsidR="00E24CDB" w:rsidRPr="00BB18DA" w:rsidRDefault="00E24CDB" w:rsidP="00BB18DA">
      <w:pPr>
        <w:tabs>
          <w:tab w:val="left" w:pos="1980"/>
          <w:tab w:val="right" w:leader="dot" w:pos="8910"/>
        </w:tabs>
      </w:pPr>
    </w:p>
    <w:p w:rsidR="00E24CDB" w:rsidRPr="00BB18DA" w:rsidRDefault="00B73716" w:rsidP="00BB18DA">
      <w:pPr>
        <w:pStyle w:val="ListParagraph"/>
        <w:numPr>
          <w:ilvl w:val="0"/>
          <w:numId w:val="39"/>
        </w:numPr>
        <w:tabs>
          <w:tab w:val="left" w:pos="1260"/>
          <w:tab w:val="right" w:leader="dot" w:pos="8910"/>
        </w:tabs>
        <w:ind w:left="720"/>
        <w:contextualSpacing/>
      </w:pPr>
      <w:r w:rsidRPr="00BB18DA">
        <w:t>THE REQUIREMENTS OF ORDER 14 IN THE MERGER PROCEEDING PERTAINING TO WHOLESALE OSS</w:t>
      </w:r>
      <w:r w:rsidRPr="00BB18DA" w:rsidDel="00524879">
        <w:t xml:space="preserve"> </w:t>
      </w:r>
      <w:r w:rsidRPr="00BB18DA">
        <w:tab/>
      </w:r>
      <w:r>
        <w:t>3</w:t>
      </w:r>
    </w:p>
    <w:p w:rsidR="00687A09" w:rsidRPr="00BB18DA" w:rsidRDefault="00687A09" w:rsidP="00BB18DA">
      <w:pPr>
        <w:pStyle w:val="ListParagraph"/>
        <w:tabs>
          <w:tab w:val="right" w:leader="dot" w:pos="8910"/>
        </w:tabs>
      </w:pPr>
    </w:p>
    <w:p w:rsidR="00687A09" w:rsidRPr="00BB18DA" w:rsidRDefault="00B73716" w:rsidP="00BB18DA">
      <w:pPr>
        <w:pStyle w:val="ListParagraph"/>
        <w:numPr>
          <w:ilvl w:val="0"/>
          <w:numId w:val="39"/>
        </w:numPr>
        <w:tabs>
          <w:tab w:val="left" w:pos="1980"/>
          <w:tab w:val="right" w:leader="dot" w:pos="8910"/>
        </w:tabs>
        <w:ind w:left="720"/>
        <w:contextualSpacing/>
      </w:pPr>
      <w:r w:rsidRPr="00BB18DA">
        <w:t>GENERAL DESCRIPTION OF OSS</w:t>
      </w:r>
      <w:r w:rsidRPr="00BB18DA">
        <w:tab/>
      </w:r>
      <w:r>
        <w:t>7</w:t>
      </w:r>
    </w:p>
    <w:p w:rsidR="00E24CDB" w:rsidRPr="00BB18DA" w:rsidRDefault="00E24CDB" w:rsidP="00BB18DA">
      <w:pPr>
        <w:pStyle w:val="ListParagraph"/>
        <w:tabs>
          <w:tab w:val="left" w:pos="1980"/>
          <w:tab w:val="right" w:leader="dot" w:pos="8910"/>
        </w:tabs>
        <w:ind w:hanging="720"/>
      </w:pPr>
    </w:p>
    <w:p w:rsidR="00E24CDB" w:rsidRPr="00BB18DA" w:rsidRDefault="00B73716" w:rsidP="00BB18DA">
      <w:pPr>
        <w:pStyle w:val="ListParagraph"/>
        <w:numPr>
          <w:ilvl w:val="0"/>
          <w:numId w:val="39"/>
        </w:numPr>
        <w:tabs>
          <w:tab w:val="left" w:pos="1980"/>
          <w:tab w:val="right" w:leader="dot" w:pos="8910"/>
        </w:tabs>
        <w:ind w:left="720"/>
        <w:contextualSpacing/>
      </w:pPr>
      <w:r w:rsidRPr="00BB18DA">
        <w:t>THE JOINT CLECS’ COMPLAINT</w:t>
      </w:r>
      <w:r w:rsidRPr="00BB18DA" w:rsidDel="00524879">
        <w:t xml:space="preserve"> </w:t>
      </w:r>
      <w:r w:rsidRPr="00BB18DA">
        <w:tab/>
      </w:r>
      <w:r>
        <w:t>9</w:t>
      </w:r>
    </w:p>
    <w:p w:rsidR="00E24CDB" w:rsidRPr="00BB18DA" w:rsidRDefault="00E24CDB" w:rsidP="00BB18DA">
      <w:pPr>
        <w:pStyle w:val="ListParagraph"/>
        <w:tabs>
          <w:tab w:val="right" w:leader="dot" w:pos="8910"/>
        </w:tabs>
      </w:pPr>
    </w:p>
    <w:p w:rsidR="00E24CDB" w:rsidRPr="00BB18DA" w:rsidRDefault="00B73716" w:rsidP="00BB18DA">
      <w:pPr>
        <w:pStyle w:val="ListParagraph"/>
        <w:numPr>
          <w:ilvl w:val="0"/>
          <w:numId w:val="39"/>
        </w:numPr>
        <w:tabs>
          <w:tab w:val="left" w:pos="1980"/>
          <w:tab w:val="right" w:leader="dot" w:pos="8910"/>
        </w:tabs>
        <w:ind w:left="720"/>
        <w:contextualSpacing/>
      </w:pPr>
      <w:r w:rsidRPr="00BB18DA">
        <w:t>QWEST/CENTURYLINK’S RESPONSE</w:t>
      </w:r>
      <w:r w:rsidRPr="00BB18DA" w:rsidDel="00524879">
        <w:t xml:space="preserve"> </w:t>
      </w:r>
      <w:r w:rsidRPr="00BB18DA">
        <w:tab/>
        <w:t>1</w:t>
      </w:r>
      <w:r>
        <w:t>4</w:t>
      </w:r>
    </w:p>
    <w:p w:rsidR="00E24CDB" w:rsidRPr="00BB18DA" w:rsidRDefault="00E24CDB" w:rsidP="00BB18DA">
      <w:pPr>
        <w:pStyle w:val="ListParagraph"/>
        <w:tabs>
          <w:tab w:val="right" w:leader="dot" w:pos="8910"/>
        </w:tabs>
      </w:pPr>
    </w:p>
    <w:p w:rsidR="00E24CDB" w:rsidRPr="00BB18DA" w:rsidRDefault="00B73716" w:rsidP="00BB18DA">
      <w:pPr>
        <w:pStyle w:val="ListParagraph"/>
        <w:numPr>
          <w:ilvl w:val="0"/>
          <w:numId w:val="39"/>
        </w:numPr>
        <w:tabs>
          <w:tab w:val="right" w:leader="dot" w:pos="8910"/>
        </w:tabs>
        <w:ind w:left="720"/>
        <w:contextualSpacing/>
      </w:pPr>
      <w:r w:rsidRPr="00BB18DA">
        <w:t>STAFF POSITION</w:t>
      </w:r>
      <w:r w:rsidRPr="00BB18DA" w:rsidDel="00524879">
        <w:t xml:space="preserve"> </w:t>
      </w:r>
      <w:r w:rsidRPr="00BB18DA">
        <w:tab/>
        <w:t>1</w:t>
      </w:r>
      <w:r>
        <w:t>6</w:t>
      </w:r>
    </w:p>
    <w:p w:rsidR="00DF5404" w:rsidRPr="00BB18DA" w:rsidRDefault="00DF5404" w:rsidP="00BB18DA">
      <w:pPr>
        <w:pStyle w:val="ListParagraph"/>
        <w:tabs>
          <w:tab w:val="right" w:leader="dot" w:pos="8910"/>
        </w:tabs>
      </w:pPr>
    </w:p>
    <w:p w:rsidR="00DF5404" w:rsidRPr="00BB18DA" w:rsidRDefault="00B73716" w:rsidP="00BB18DA">
      <w:pPr>
        <w:pStyle w:val="ListParagraph"/>
        <w:numPr>
          <w:ilvl w:val="0"/>
          <w:numId w:val="39"/>
        </w:numPr>
        <w:tabs>
          <w:tab w:val="left" w:pos="1980"/>
          <w:tab w:val="right" w:leader="dot" w:pos="8910"/>
        </w:tabs>
        <w:ind w:left="720"/>
        <w:contextualSpacing/>
      </w:pPr>
      <w:r w:rsidRPr="00BB18DA">
        <w:t>CONCLUSION</w:t>
      </w:r>
      <w:r>
        <w:t>S</w:t>
      </w:r>
      <w:r w:rsidRPr="00BB18DA">
        <w:t xml:space="preserve"> AND RECOMMENDATIONS </w:t>
      </w:r>
      <w:r w:rsidR="00DF5404" w:rsidRPr="00BB18DA">
        <w:tab/>
      </w:r>
      <w:r w:rsidR="00995181" w:rsidRPr="00BB18DA">
        <w:t>2</w:t>
      </w:r>
      <w:r w:rsidR="00972045">
        <w:t>3</w:t>
      </w:r>
    </w:p>
    <w:p w:rsidR="00BB18DA" w:rsidRPr="00BB18DA" w:rsidRDefault="00BB18DA" w:rsidP="00BB18DA">
      <w:pPr>
        <w:pStyle w:val="ListParagraph"/>
      </w:pPr>
    </w:p>
    <w:p w:rsidR="00BB18DA" w:rsidRPr="00BB18DA" w:rsidRDefault="00BB18DA" w:rsidP="00BB18DA">
      <w:pPr>
        <w:tabs>
          <w:tab w:val="left" w:pos="1980"/>
          <w:tab w:val="right" w:leader="dot" w:pos="8910"/>
        </w:tabs>
        <w:contextualSpacing/>
        <w:sectPr w:rsidR="00BB18DA" w:rsidRPr="00BB18DA" w:rsidSect="00C55AE0">
          <w:footerReference w:type="default" r:id="rId9"/>
          <w:pgSz w:w="12240" w:h="15840" w:code="1"/>
          <w:pgMar w:top="1440" w:right="1440" w:bottom="1440" w:left="1872" w:header="720" w:footer="720" w:gutter="0"/>
          <w:pgNumType w:fmt="lowerRoman" w:start="1"/>
          <w:cols w:space="720"/>
          <w:docGrid w:linePitch="360"/>
        </w:sectPr>
      </w:pPr>
    </w:p>
    <w:p w:rsidR="005E3637" w:rsidRDefault="005E3637" w:rsidP="006D1782">
      <w:pPr>
        <w:jc w:val="center"/>
        <w:rPr>
          <w:b/>
        </w:rPr>
      </w:pPr>
      <w:r>
        <w:rPr>
          <w:b/>
        </w:rPr>
        <w:lastRenderedPageBreak/>
        <w:t>EXHIBIT LIST</w:t>
      </w:r>
    </w:p>
    <w:p w:rsidR="00EE7676" w:rsidRDefault="00EE7676" w:rsidP="006D1782">
      <w:pPr>
        <w:jc w:val="center"/>
        <w:rPr>
          <w:b/>
        </w:rPr>
      </w:pPr>
    </w:p>
    <w:p w:rsidR="005E3637" w:rsidRDefault="005E3637" w:rsidP="005E3637">
      <w:pPr>
        <w:rPr>
          <w:b/>
        </w:rPr>
      </w:pPr>
    </w:p>
    <w:p w:rsidR="005E3637" w:rsidRPr="005E3637" w:rsidRDefault="005E3637" w:rsidP="005E3637">
      <w:pPr>
        <w:tabs>
          <w:tab w:val="left" w:pos="1890"/>
        </w:tabs>
      </w:pPr>
      <w:r>
        <w:t>Exhibit No. ___ (RTW-2)</w:t>
      </w:r>
      <w:r>
        <w:tab/>
        <w:t>Qualifications</w:t>
      </w:r>
    </w:p>
    <w:p w:rsidR="00E24CDB" w:rsidRDefault="00E24CDB" w:rsidP="00E24CDB">
      <w:pPr>
        <w:tabs>
          <w:tab w:val="left" w:pos="1980"/>
          <w:tab w:val="right" w:leader="dot" w:pos="9360"/>
        </w:tabs>
        <w:contextualSpacing/>
      </w:pPr>
    </w:p>
    <w:p w:rsidR="009D2CD8" w:rsidRDefault="00541FC7" w:rsidP="0041482D">
      <w:pPr>
        <w:tabs>
          <w:tab w:val="left" w:pos="1440"/>
          <w:tab w:val="left" w:pos="2880"/>
          <w:tab w:val="right" w:pos="8910"/>
        </w:tabs>
      </w:pPr>
      <w:r>
        <w:t>Exhibit No. ___ (RTW-3</w:t>
      </w:r>
      <w:r w:rsidR="00A407B9">
        <w:t>C</w:t>
      </w:r>
      <w:r>
        <w:t>)</w:t>
      </w:r>
      <w:r>
        <w:tab/>
        <w:t>MEDIACC</w:t>
      </w:r>
      <w:r w:rsidR="007B56AA">
        <w:t xml:space="preserve"> Disaster Recovery Plan</w:t>
      </w:r>
    </w:p>
    <w:p w:rsidR="00CD6772" w:rsidRDefault="00E24CDB" w:rsidP="00E24CDB">
      <w:pPr>
        <w:tabs>
          <w:tab w:val="left" w:pos="1440"/>
          <w:tab w:val="right" w:pos="8910"/>
        </w:tabs>
        <w:rPr>
          <w:b/>
        </w:rPr>
        <w:sectPr w:rsidR="00CD6772" w:rsidSect="00C55AE0">
          <w:pgSz w:w="12240" w:h="15840" w:code="1"/>
          <w:pgMar w:top="1440" w:right="1440" w:bottom="1440" w:left="1872" w:header="720" w:footer="720" w:gutter="0"/>
          <w:pgNumType w:fmt="lowerRoman"/>
          <w:cols w:space="720"/>
          <w:docGrid w:linePitch="360"/>
        </w:sectPr>
      </w:pPr>
      <w:r>
        <w:br w:type="page"/>
      </w:r>
    </w:p>
    <w:p w:rsidR="00A44F72" w:rsidRPr="00A44F72" w:rsidRDefault="00A44F72" w:rsidP="00A44F72">
      <w:pPr>
        <w:pStyle w:val="ListParagraph"/>
        <w:numPr>
          <w:ilvl w:val="0"/>
          <w:numId w:val="34"/>
        </w:numPr>
        <w:spacing w:line="480" w:lineRule="auto"/>
        <w:ind w:left="0" w:firstLine="0"/>
        <w:jc w:val="center"/>
        <w:rPr>
          <w:b/>
          <w:bCs/>
        </w:rPr>
      </w:pPr>
      <w:r w:rsidRPr="00A44F72">
        <w:rPr>
          <w:b/>
          <w:bCs/>
        </w:rPr>
        <w:lastRenderedPageBreak/>
        <w:t>INTRODUCTION</w:t>
      </w:r>
    </w:p>
    <w:p w:rsidR="00A44F72" w:rsidRDefault="00A44F72" w:rsidP="00A44F72">
      <w:pPr>
        <w:tabs>
          <w:tab w:val="left" w:pos="720"/>
        </w:tabs>
        <w:spacing w:line="480" w:lineRule="auto"/>
        <w:rPr>
          <w:b/>
          <w:bCs/>
        </w:rPr>
      </w:pPr>
    </w:p>
    <w:p w:rsidR="00A44F72" w:rsidRPr="00A627F4" w:rsidRDefault="00A44F72" w:rsidP="00A44F72">
      <w:pPr>
        <w:tabs>
          <w:tab w:val="left" w:pos="720"/>
        </w:tabs>
        <w:spacing w:line="480" w:lineRule="auto"/>
        <w:rPr>
          <w:b/>
          <w:bCs/>
        </w:rPr>
      </w:pPr>
      <w:r w:rsidRPr="00A627F4">
        <w:rPr>
          <w:b/>
          <w:bCs/>
        </w:rPr>
        <w:t>Q.</w:t>
      </w:r>
      <w:r w:rsidRPr="00A627F4">
        <w:rPr>
          <w:b/>
          <w:bCs/>
        </w:rPr>
        <w:tab/>
        <w:t>Please state your name and business address.</w:t>
      </w:r>
    </w:p>
    <w:p w:rsidR="00A44F72" w:rsidRPr="00A627F4" w:rsidRDefault="00A44F72" w:rsidP="00A44F72">
      <w:pPr>
        <w:tabs>
          <w:tab w:val="left" w:pos="720"/>
        </w:tabs>
        <w:spacing w:line="480" w:lineRule="auto"/>
        <w:ind w:left="720" w:hanging="720"/>
      </w:pPr>
      <w:r w:rsidRPr="00A627F4">
        <w:t>A.</w:t>
      </w:r>
      <w:r w:rsidRPr="00A627F4">
        <w:tab/>
        <w:t xml:space="preserve">My name is Robert Williamson, and my business address is 1300 South Evergreen Park Drive Southwest, P.O. Box 47250, Olympia, Washington, 98504-7250.  My business e-mail address is </w:t>
      </w:r>
      <w:r w:rsidR="004642C5" w:rsidRPr="004642C5">
        <w:t>bwilliam@utc.wa.gov</w:t>
      </w:r>
      <w:r w:rsidRPr="00A627F4">
        <w:t>.</w:t>
      </w:r>
    </w:p>
    <w:p w:rsidR="00A44F72" w:rsidRPr="00A627F4" w:rsidRDefault="00A44F72" w:rsidP="00A44F72">
      <w:pPr>
        <w:spacing w:line="480" w:lineRule="auto"/>
        <w:rPr>
          <w:b/>
        </w:rPr>
      </w:pPr>
    </w:p>
    <w:p w:rsidR="00A44F72" w:rsidRPr="00A627F4" w:rsidRDefault="00A44F72" w:rsidP="00A44F72">
      <w:pPr>
        <w:spacing w:line="480" w:lineRule="auto"/>
        <w:rPr>
          <w:b/>
        </w:rPr>
      </w:pPr>
      <w:r w:rsidRPr="00A627F4">
        <w:rPr>
          <w:b/>
        </w:rPr>
        <w:t>Q.</w:t>
      </w:r>
      <w:r w:rsidRPr="00A627F4">
        <w:rPr>
          <w:b/>
        </w:rPr>
        <w:tab/>
        <w:t>By whom are you employed and in what capacity?</w:t>
      </w:r>
    </w:p>
    <w:p w:rsidR="00A44F72" w:rsidRPr="00A627F4" w:rsidRDefault="00A44F72" w:rsidP="00A44F72">
      <w:pPr>
        <w:tabs>
          <w:tab w:val="left" w:pos="720"/>
        </w:tabs>
        <w:spacing w:line="480" w:lineRule="auto"/>
        <w:ind w:left="720" w:hanging="720"/>
      </w:pPr>
      <w:r w:rsidRPr="00A627F4">
        <w:t>A.</w:t>
      </w:r>
      <w:r w:rsidRPr="00A627F4">
        <w:tab/>
        <w:t xml:space="preserve">I am employed by the Washington Utilities and Transportation Commission </w:t>
      </w:r>
      <w:r w:rsidR="00FB5314">
        <w:t xml:space="preserve">(Commission) </w:t>
      </w:r>
      <w:r w:rsidRPr="00A627F4">
        <w:t>as a Utility Engineer in the Telecommunications Section</w:t>
      </w:r>
      <w:r w:rsidR="00524879">
        <w:t xml:space="preserve"> of the Regulatory </w:t>
      </w:r>
      <w:r w:rsidR="00FB5314">
        <w:t xml:space="preserve">Services </w:t>
      </w:r>
      <w:r w:rsidR="00524879">
        <w:t>Division</w:t>
      </w:r>
      <w:r w:rsidRPr="00A627F4">
        <w:t>.</w:t>
      </w:r>
    </w:p>
    <w:p w:rsidR="00A44F72" w:rsidRPr="00A627F4" w:rsidRDefault="00A44F72" w:rsidP="00A44F72">
      <w:pPr>
        <w:tabs>
          <w:tab w:val="left" w:pos="720"/>
        </w:tabs>
        <w:spacing w:line="480" w:lineRule="auto"/>
        <w:ind w:left="720" w:hanging="720"/>
      </w:pPr>
    </w:p>
    <w:p w:rsidR="00A44F72" w:rsidRPr="00A627F4" w:rsidRDefault="00A44F72" w:rsidP="00A44F72">
      <w:pPr>
        <w:autoSpaceDE w:val="0"/>
        <w:autoSpaceDN w:val="0"/>
        <w:adjustRightInd w:val="0"/>
        <w:spacing w:line="480" w:lineRule="auto"/>
      </w:pPr>
      <w:r w:rsidRPr="00A627F4">
        <w:rPr>
          <w:b/>
          <w:bCs/>
        </w:rPr>
        <w:t>Q.</w:t>
      </w:r>
      <w:r w:rsidRPr="00A627F4">
        <w:rPr>
          <w:b/>
          <w:bCs/>
        </w:rPr>
        <w:tab/>
        <w:t xml:space="preserve">Please state your qualifications to provide testimony in this proceeding. </w:t>
      </w:r>
    </w:p>
    <w:p w:rsidR="00A44F72" w:rsidRPr="00A627F4" w:rsidRDefault="00A44F72" w:rsidP="00A44F72">
      <w:pPr>
        <w:pStyle w:val="BodyTextIndent2"/>
        <w:tabs>
          <w:tab w:val="left" w:pos="-3780"/>
          <w:tab w:val="left" w:pos="-3600"/>
        </w:tabs>
        <w:ind w:left="0" w:firstLine="0"/>
        <w:rPr>
          <w:b/>
          <w:bCs/>
        </w:rPr>
      </w:pPr>
      <w:r w:rsidRPr="00A627F4">
        <w:t>A.</w:t>
      </w:r>
      <w:r w:rsidRPr="00A627F4">
        <w:tab/>
        <w:t xml:space="preserve">I have provided a description of my qualifications as Exhibit No. </w:t>
      </w:r>
      <w:proofErr w:type="gramStart"/>
      <w:r w:rsidRPr="00A627F4">
        <w:t>___ (</w:t>
      </w:r>
      <w:r w:rsidR="00985D5C" w:rsidRPr="00A627F4">
        <w:t>R</w:t>
      </w:r>
      <w:r w:rsidR="00985D5C">
        <w:t>T</w:t>
      </w:r>
      <w:r w:rsidR="00985D5C" w:rsidRPr="00A627F4">
        <w:t>W</w:t>
      </w:r>
      <w:r w:rsidRPr="00A627F4">
        <w:t>-2).</w:t>
      </w:r>
      <w:proofErr w:type="gramEnd"/>
    </w:p>
    <w:p w:rsidR="00A44F72" w:rsidRPr="00A627F4" w:rsidRDefault="00A44F72" w:rsidP="00A44F72">
      <w:pPr>
        <w:pStyle w:val="BodyTextIndent2"/>
        <w:tabs>
          <w:tab w:val="left" w:pos="-3780"/>
          <w:tab w:val="left" w:pos="-3600"/>
        </w:tabs>
        <w:rPr>
          <w:b/>
          <w:bCs/>
        </w:rPr>
      </w:pPr>
    </w:p>
    <w:p w:rsidR="00A44F72" w:rsidRPr="00A44F72" w:rsidRDefault="00A44F72" w:rsidP="00A44F72">
      <w:pPr>
        <w:pStyle w:val="BodyTextIndent2"/>
        <w:tabs>
          <w:tab w:val="left" w:pos="-3780"/>
          <w:tab w:val="left" w:pos="-3600"/>
        </w:tabs>
        <w:ind w:left="0" w:firstLine="0"/>
        <w:rPr>
          <w:b/>
        </w:rPr>
      </w:pPr>
      <w:r w:rsidRPr="00A44F72">
        <w:rPr>
          <w:b/>
        </w:rPr>
        <w:t>Q.</w:t>
      </w:r>
      <w:r w:rsidRPr="00A44F72">
        <w:rPr>
          <w:b/>
        </w:rPr>
        <w:tab/>
        <w:t>Have you presented testimony before this Commission in other cases?</w:t>
      </w:r>
    </w:p>
    <w:p w:rsidR="00804D0D" w:rsidRDefault="00A44F72" w:rsidP="00A44F72">
      <w:pPr>
        <w:pStyle w:val="BodyTextIndent2"/>
        <w:tabs>
          <w:tab w:val="left" w:pos="-3780"/>
          <w:tab w:val="left" w:pos="-3600"/>
        </w:tabs>
        <w:ind w:hanging="720"/>
      </w:pPr>
      <w:r w:rsidRPr="00A627F4">
        <w:t>A.</w:t>
      </w:r>
      <w:r w:rsidRPr="00A627F4">
        <w:tab/>
        <w:t xml:space="preserve">Yes.  I testified in </w:t>
      </w:r>
      <w:r w:rsidR="00E43476">
        <w:t>D</w:t>
      </w:r>
      <w:r w:rsidRPr="00A627F4">
        <w:t xml:space="preserve">ocket UT-011439 concerning a petition for a line extension waiver, </w:t>
      </w:r>
      <w:r w:rsidR="00E43476">
        <w:t>D</w:t>
      </w:r>
      <w:r w:rsidRPr="00A627F4">
        <w:t xml:space="preserve">ocket UT-030614 concerning a petition by Qwest for competitive classification of business services, </w:t>
      </w:r>
      <w:r w:rsidR="00E43476">
        <w:t>D</w:t>
      </w:r>
      <w:r w:rsidRPr="00A627F4">
        <w:t xml:space="preserve">ocket UT-031472 concerning a case referred to the Commission from the U.S. District court </w:t>
      </w:r>
      <w:r w:rsidR="00FB5314">
        <w:t>regarding</w:t>
      </w:r>
      <w:r w:rsidRPr="00A627F4">
        <w:t xml:space="preserve"> a</w:t>
      </w:r>
      <w:r w:rsidR="00E43476">
        <w:t>n</w:t>
      </w:r>
      <w:r w:rsidRPr="00A627F4">
        <w:t xml:space="preserve"> IP-in-the-middle telecommunications company bypassing </w:t>
      </w:r>
      <w:r w:rsidR="00E43476">
        <w:t>a</w:t>
      </w:r>
      <w:r w:rsidRPr="00A627F4">
        <w:t xml:space="preserve">ccess </w:t>
      </w:r>
      <w:r w:rsidR="00E43476">
        <w:t>c</w:t>
      </w:r>
      <w:r w:rsidRPr="00A627F4">
        <w:t xml:space="preserve">harges, </w:t>
      </w:r>
      <w:r w:rsidR="00E43476">
        <w:t>D</w:t>
      </w:r>
      <w:r w:rsidRPr="00A627F4">
        <w:t>ocket UT</w:t>
      </w:r>
      <w:r w:rsidR="00E43476">
        <w:noBreakHyphen/>
      </w:r>
      <w:r w:rsidRPr="00A627F4">
        <w:t xml:space="preserve">063038 concerning </w:t>
      </w:r>
      <w:r>
        <w:t>I</w:t>
      </w:r>
      <w:r w:rsidRPr="00A627F4">
        <w:t>nter-Carrier Compensation for ISP bound traffic</w:t>
      </w:r>
      <w:r w:rsidR="00382A95">
        <w:t>,</w:t>
      </w:r>
      <w:r w:rsidR="000F051E">
        <w:t xml:space="preserve"> </w:t>
      </w:r>
      <w:r w:rsidR="00E43476">
        <w:t>D</w:t>
      </w:r>
      <w:r w:rsidR="00382A95">
        <w:t xml:space="preserve">ocket UT-090842 </w:t>
      </w:r>
      <w:r w:rsidR="00FB5314">
        <w:t>regarding the</w:t>
      </w:r>
      <w:r w:rsidR="00382A95">
        <w:t xml:space="preserve"> transfer of control of Verizon Northwest to Frontier Communications</w:t>
      </w:r>
      <w:r w:rsidR="000F051E">
        <w:t xml:space="preserve">, </w:t>
      </w:r>
      <w:r w:rsidR="000F051E">
        <w:lastRenderedPageBreak/>
        <w:t xml:space="preserve">and in Docket UT-100820 </w:t>
      </w:r>
      <w:r w:rsidR="00FB5314">
        <w:t>regarding the</w:t>
      </w:r>
      <w:r w:rsidR="000F051E">
        <w:t xml:space="preserve"> transfer of control of </w:t>
      </w:r>
      <w:r w:rsidR="00F66804">
        <w:t>Qwest Communications International Inc.</w:t>
      </w:r>
      <w:r w:rsidR="00F871B3">
        <w:t xml:space="preserve"> (</w:t>
      </w:r>
      <w:proofErr w:type="spellStart"/>
      <w:r w:rsidR="00F871B3">
        <w:t>QCII</w:t>
      </w:r>
      <w:proofErr w:type="spellEnd"/>
      <w:r w:rsidR="00F871B3">
        <w:t>)</w:t>
      </w:r>
      <w:r w:rsidR="000F051E">
        <w:t xml:space="preserve"> to CenturyLink</w:t>
      </w:r>
      <w:r w:rsidR="00F66804">
        <w:t>, Inc</w:t>
      </w:r>
      <w:r w:rsidR="007504FB">
        <w:t>.</w:t>
      </w:r>
      <w:r w:rsidR="006A5420">
        <w:t xml:space="preserve"> (CenturyLink)</w:t>
      </w:r>
      <w:r w:rsidR="00382A95">
        <w:t>.</w:t>
      </w:r>
    </w:p>
    <w:p w:rsidR="00A44F72" w:rsidRDefault="00A44F72" w:rsidP="00A44F72">
      <w:pPr>
        <w:pStyle w:val="BodyTextIndent2"/>
        <w:tabs>
          <w:tab w:val="left" w:pos="-3780"/>
          <w:tab w:val="left" w:pos="-3600"/>
        </w:tabs>
        <w:ind w:hanging="720"/>
      </w:pPr>
      <w:r w:rsidRPr="00A627F4">
        <w:t xml:space="preserve"> </w:t>
      </w:r>
    </w:p>
    <w:p w:rsidR="00FE0749" w:rsidRDefault="00FE0749" w:rsidP="00A44F72">
      <w:pPr>
        <w:pStyle w:val="BodyTextIndent2"/>
        <w:tabs>
          <w:tab w:val="left" w:pos="-3780"/>
          <w:tab w:val="left" w:pos="-3600"/>
        </w:tabs>
        <w:ind w:hanging="720"/>
        <w:rPr>
          <w:b/>
        </w:rPr>
      </w:pPr>
      <w:r>
        <w:rPr>
          <w:b/>
        </w:rPr>
        <w:t>Q.</w:t>
      </w:r>
      <w:r>
        <w:rPr>
          <w:b/>
        </w:rPr>
        <w:tab/>
        <w:t xml:space="preserve">Did you testify in </w:t>
      </w:r>
      <w:r w:rsidR="00FB5314">
        <w:rPr>
          <w:b/>
        </w:rPr>
        <w:t>D</w:t>
      </w:r>
      <w:r>
        <w:rPr>
          <w:b/>
        </w:rPr>
        <w:t xml:space="preserve">ocket UT-100820 and participate in the negotiation of </w:t>
      </w:r>
      <w:r w:rsidR="00FB5314">
        <w:rPr>
          <w:b/>
        </w:rPr>
        <w:t xml:space="preserve">any settlement </w:t>
      </w:r>
      <w:r>
        <w:rPr>
          <w:b/>
        </w:rPr>
        <w:t>agreement?</w:t>
      </w:r>
    </w:p>
    <w:p w:rsidR="007323B1" w:rsidRDefault="003E7D27" w:rsidP="00A44F72">
      <w:pPr>
        <w:pStyle w:val="BodyTextIndent2"/>
        <w:tabs>
          <w:tab w:val="left" w:pos="-3780"/>
          <w:tab w:val="left" w:pos="-3600"/>
        </w:tabs>
        <w:ind w:hanging="720"/>
      </w:pPr>
      <w:r>
        <w:t>A.</w:t>
      </w:r>
      <w:r>
        <w:tab/>
      </w:r>
      <w:r w:rsidR="00524879">
        <w:t>Yes</w:t>
      </w:r>
      <w:r w:rsidR="000F0798">
        <w:t>.</w:t>
      </w:r>
      <w:r w:rsidR="00EE7676">
        <w:t xml:space="preserve"> </w:t>
      </w:r>
      <w:r w:rsidR="00961448">
        <w:t xml:space="preserve"> My testimony dealt </w:t>
      </w:r>
      <w:r w:rsidR="000F0798">
        <w:t xml:space="preserve">primarily </w:t>
      </w:r>
      <w:r w:rsidR="00961448">
        <w:t>with Operation</w:t>
      </w:r>
      <w:r w:rsidR="00FB5314">
        <w:t>al</w:t>
      </w:r>
      <w:r w:rsidR="00961448">
        <w:t xml:space="preserve"> Support Syst</w:t>
      </w:r>
      <w:r w:rsidR="00524879">
        <w:t>em</w:t>
      </w:r>
      <w:r w:rsidR="0053056C">
        <w:t>s</w:t>
      </w:r>
      <w:r w:rsidR="00961448">
        <w:t xml:space="preserve"> (OSS)</w:t>
      </w:r>
      <w:r w:rsidR="00524879">
        <w:t xml:space="preserve"> issues</w:t>
      </w:r>
      <w:r w:rsidR="00961448">
        <w:t xml:space="preserve">. </w:t>
      </w:r>
      <w:r w:rsidR="00EE7676">
        <w:t xml:space="preserve"> </w:t>
      </w:r>
      <w:r w:rsidR="00961448">
        <w:t xml:space="preserve">I also participated in </w:t>
      </w:r>
      <w:r w:rsidR="00524879">
        <w:t xml:space="preserve">the </w:t>
      </w:r>
      <w:r w:rsidR="00961448">
        <w:t xml:space="preserve">negotiations with </w:t>
      </w:r>
      <w:r w:rsidR="006A5420">
        <w:t>the pre-merger Qwest Corporation (</w:t>
      </w:r>
      <w:r w:rsidR="003E1D3E">
        <w:t xml:space="preserve">legacy </w:t>
      </w:r>
      <w:r w:rsidR="0053056C">
        <w:t>Qwest</w:t>
      </w:r>
      <w:r w:rsidR="006A5420">
        <w:t>)</w:t>
      </w:r>
      <w:r w:rsidR="0053056C">
        <w:t xml:space="preserve"> and CenturyLink (</w:t>
      </w:r>
      <w:r w:rsidR="006A5420">
        <w:t xml:space="preserve">together </w:t>
      </w:r>
      <w:r w:rsidR="00926334">
        <w:t>“</w:t>
      </w:r>
      <w:r w:rsidR="0053056C">
        <w:t>J</w:t>
      </w:r>
      <w:r w:rsidR="00EC6F6A">
        <w:t xml:space="preserve">oint </w:t>
      </w:r>
      <w:r w:rsidR="0053056C">
        <w:t>A</w:t>
      </w:r>
      <w:r w:rsidR="00EC6F6A">
        <w:t>pplicants</w:t>
      </w:r>
      <w:r w:rsidR="00926334">
        <w:t>” or “merging companies”</w:t>
      </w:r>
      <w:r w:rsidR="0053056C">
        <w:t>)</w:t>
      </w:r>
      <w:r w:rsidR="00EC6F6A">
        <w:t xml:space="preserve">, </w:t>
      </w:r>
      <w:r w:rsidR="006A5420">
        <w:t>the Public Counsel Section of the Washington State Office of Attorney General (</w:t>
      </w:r>
      <w:r w:rsidR="0053056C">
        <w:t>P</w:t>
      </w:r>
      <w:r w:rsidR="00EC6F6A">
        <w:t xml:space="preserve">ublic </w:t>
      </w:r>
      <w:r w:rsidR="0053056C">
        <w:t>C</w:t>
      </w:r>
      <w:r w:rsidR="00EC6F6A">
        <w:t>ounsel</w:t>
      </w:r>
      <w:r w:rsidR="006A5420">
        <w:t>)</w:t>
      </w:r>
      <w:r w:rsidR="00EC6F6A">
        <w:t xml:space="preserve">, and </w:t>
      </w:r>
      <w:r w:rsidR="0053056C">
        <w:t>Commission Staff (S</w:t>
      </w:r>
      <w:r w:rsidR="00EC6F6A">
        <w:t>taff</w:t>
      </w:r>
      <w:r w:rsidR="0053056C">
        <w:t>)</w:t>
      </w:r>
      <w:r w:rsidR="00524879">
        <w:t xml:space="preserve"> that resulted in </w:t>
      </w:r>
      <w:r w:rsidR="006A5420">
        <w:t xml:space="preserve">an </w:t>
      </w:r>
      <w:r w:rsidR="00524879">
        <w:t xml:space="preserve">agreement between </w:t>
      </w:r>
      <w:r w:rsidR="000F0798">
        <w:t>the</w:t>
      </w:r>
      <w:r w:rsidR="006A5420">
        <w:t>se</w:t>
      </w:r>
      <w:r w:rsidR="000F0798">
        <w:t xml:space="preserve"> </w:t>
      </w:r>
      <w:r w:rsidR="00524879">
        <w:t>parties.</w:t>
      </w:r>
    </w:p>
    <w:p w:rsidR="007323B1" w:rsidRPr="00EC7C42" w:rsidRDefault="007323B1" w:rsidP="00A44F72">
      <w:pPr>
        <w:pStyle w:val="BodyTextIndent2"/>
        <w:tabs>
          <w:tab w:val="left" w:pos="-3780"/>
          <w:tab w:val="left" w:pos="-3600"/>
        </w:tabs>
        <w:ind w:hanging="720"/>
        <w:rPr>
          <w:bCs/>
        </w:rPr>
      </w:pPr>
    </w:p>
    <w:p w:rsidR="007323B1" w:rsidRPr="00A44F72" w:rsidRDefault="00A44F72" w:rsidP="0089504B">
      <w:pPr>
        <w:pStyle w:val="BodyTextIndent2"/>
        <w:tabs>
          <w:tab w:val="left" w:pos="-3780"/>
          <w:tab w:val="left" w:pos="-3600"/>
        </w:tabs>
        <w:ind w:hanging="720"/>
        <w:rPr>
          <w:b/>
        </w:rPr>
      </w:pPr>
      <w:r w:rsidRPr="00A44F72">
        <w:rPr>
          <w:b/>
        </w:rPr>
        <w:t>Q.</w:t>
      </w:r>
      <w:r w:rsidRPr="00A44F72">
        <w:rPr>
          <w:b/>
        </w:rPr>
        <w:tab/>
        <w:t>What is the purpose of your testimony?</w:t>
      </w:r>
    </w:p>
    <w:p w:rsidR="00EC6F6A" w:rsidRDefault="00A44F72" w:rsidP="0089504B">
      <w:pPr>
        <w:pStyle w:val="BodyTextIndent2"/>
        <w:tabs>
          <w:tab w:val="left" w:pos="-3780"/>
          <w:tab w:val="left" w:pos="-3600"/>
        </w:tabs>
        <w:ind w:hanging="720"/>
      </w:pPr>
      <w:r w:rsidRPr="00A627F4">
        <w:t>A.</w:t>
      </w:r>
      <w:r w:rsidR="00D65239">
        <w:tab/>
        <w:t>The purpose of my testimony is to address Staff’s position regarding the merging companies</w:t>
      </w:r>
      <w:r w:rsidR="006A5420">
        <w:t>’</w:t>
      </w:r>
      <w:r w:rsidR="009229CF">
        <w:t xml:space="preserve"> </w:t>
      </w:r>
      <w:r w:rsidR="006A5420">
        <w:t xml:space="preserve">obligations with respect to </w:t>
      </w:r>
      <w:r w:rsidR="00D65239">
        <w:t xml:space="preserve">OSS </w:t>
      </w:r>
      <w:r w:rsidR="006A5420">
        <w:t>under settlement a</w:t>
      </w:r>
      <w:r w:rsidR="00D65239">
        <w:t xml:space="preserve">greements </w:t>
      </w:r>
      <w:r w:rsidR="006A5420">
        <w:t>and</w:t>
      </w:r>
      <w:r w:rsidR="00D65239">
        <w:t xml:space="preserve"> </w:t>
      </w:r>
      <w:r w:rsidR="006A5420">
        <w:t xml:space="preserve">Order 14 in Docket </w:t>
      </w:r>
      <w:r w:rsidR="00D65239">
        <w:t>UT-100820</w:t>
      </w:r>
      <w:r w:rsidR="002F00FD">
        <w:t>,</w:t>
      </w:r>
      <w:r w:rsidR="00D65239">
        <w:t xml:space="preserve"> </w:t>
      </w:r>
      <w:r w:rsidR="009229CF">
        <w:t xml:space="preserve">and </w:t>
      </w:r>
      <w:r w:rsidR="0000355E">
        <w:t xml:space="preserve">the </w:t>
      </w:r>
      <w:r w:rsidR="009229CF">
        <w:t xml:space="preserve">proposed changes to </w:t>
      </w:r>
      <w:r w:rsidR="006A5420">
        <w:t xml:space="preserve">the </w:t>
      </w:r>
      <w:r w:rsidR="009229CF">
        <w:t>wholesale OSS</w:t>
      </w:r>
      <w:r w:rsidR="006A5420">
        <w:t xml:space="preserve"> of Qwest Corporation d/b/a CenturyLink (Qwest/CenturyLink</w:t>
      </w:r>
      <w:r w:rsidR="00B00776">
        <w:t xml:space="preserve"> or Qwest</w:t>
      </w:r>
      <w:r w:rsidR="006A5420">
        <w:t>)</w:t>
      </w:r>
      <w:r w:rsidR="009229CF">
        <w:t>.</w:t>
      </w:r>
      <w:r w:rsidR="002F00FD">
        <w:t xml:space="preserve"> </w:t>
      </w:r>
      <w:r w:rsidR="009229CF">
        <w:t xml:space="preserve"> I discuss the </w:t>
      </w:r>
      <w:r w:rsidR="0000355E">
        <w:t xml:space="preserve">risk </w:t>
      </w:r>
      <w:r w:rsidR="009229CF">
        <w:t xml:space="preserve">of possible hardware and software </w:t>
      </w:r>
      <w:r w:rsidR="0000355E">
        <w:t xml:space="preserve">problems </w:t>
      </w:r>
      <w:r w:rsidR="009229CF">
        <w:t xml:space="preserve">of the existing </w:t>
      </w:r>
      <w:r w:rsidR="009229CF" w:rsidRPr="009229CF">
        <w:rPr>
          <w:b/>
        </w:rPr>
        <w:t>Medi</w:t>
      </w:r>
      <w:r w:rsidR="009229CF" w:rsidRPr="002F00FD">
        <w:t>a</w:t>
      </w:r>
      <w:r w:rsidR="009229CF">
        <w:t xml:space="preserve">ted </w:t>
      </w:r>
      <w:r w:rsidR="009229CF">
        <w:rPr>
          <w:b/>
        </w:rPr>
        <w:t>Acc</w:t>
      </w:r>
      <w:r w:rsidR="009229CF" w:rsidRPr="002F00FD">
        <w:t>ess</w:t>
      </w:r>
      <w:r w:rsidR="009229CF">
        <w:rPr>
          <w:b/>
        </w:rPr>
        <w:t xml:space="preserve"> (</w:t>
      </w:r>
      <w:r w:rsidR="009229CF" w:rsidRPr="009229CF">
        <w:t>MEDIACC</w:t>
      </w:r>
      <w:r w:rsidR="009229CF">
        <w:t xml:space="preserve">) and </w:t>
      </w:r>
      <w:r w:rsidR="009229CF" w:rsidRPr="009229CF">
        <w:rPr>
          <w:b/>
        </w:rPr>
        <w:t>C</w:t>
      </w:r>
      <w:r w:rsidR="009229CF">
        <w:t xml:space="preserve">ustomer </w:t>
      </w:r>
      <w:r w:rsidR="009229CF" w:rsidRPr="00AD2661">
        <w:rPr>
          <w:b/>
        </w:rPr>
        <w:t>E</w:t>
      </w:r>
      <w:r w:rsidR="009229CF">
        <w:t xml:space="preserve">lectronic </w:t>
      </w:r>
      <w:r w:rsidR="009229CF" w:rsidRPr="00AD2661">
        <w:rPr>
          <w:b/>
        </w:rPr>
        <w:t>M</w:t>
      </w:r>
      <w:r w:rsidR="009229CF">
        <w:t xml:space="preserve">aintenance and </w:t>
      </w:r>
      <w:r w:rsidR="009229CF" w:rsidRPr="00AD2661">
        <w:rPr>
          <w:b/>
        </w:rPr>
        <w:t>R</w:t>
      </w:r>
      <w:r w:rsidR="009229CF">
        <w:t>epair (</w:t>
      </w:r>
      <w:r w:rsidR="009229CF" w:rsidRPr="009229CF">
        <w:t>CEMR</w:t>
      </w:r>
      <w:r w:rsidR="009229CF">
        <w:t xml:space="preserve">) OSS. </w:t>
      </w:r>
      <w:r w:rsidR="002F00FD">
        <w:t xml:space="preserve"> </w:t>
      </w:r>
      <w:r w:rsidR="009229CF">
        <w:t xml:space="preserve">I further provide recommendations regarding the implementation of </w:t>
      </w:r>
      <w:r w:rsidR="009229CF" w:rsidRPr="00AD2661">
        <w:rPr>
          <w:b/>
        </w:rPr>
        <w:t>M</w:t>
      </w:r>
      <w:r w:rsidR="009229CF">
        <w:t xml:space="preserve">aintenance </w:t>
      </w:r>
      <w:r w:rsidR="009229CF" w:rsidRPr="00AD2661">
        <w:rPr>
          <w:b/>
        </w:rPr>
        <w:t>T</w:t>
      </w:r>
      <w:r w:rsidR="009229CF">
        <w:t xml:space="preserve">icketing </w:t>
      </w:r>
      <w:r w:rsidR="009229CF" w:rsidRPr="00AD2661">
        <w:rPr>
          <w:b/>
        </w:rPr>
        <w:t>G</w:t>
      </w:r>
      <w:r w:rsidR="009229CF">
        <w:t>ateway (MTG)</w:t>
      </w:r>
      <w:proofErr w:type="gramStart"/>
      <w:r w:rsidR="009229CF">
        <w:t>,</w:t>
      </w:r>
      <w:proofErr w:type="gramEnd"/>
      <w:r w:rsidR="009229CF">
        <w:t xml:space="preserve"> a new OSS designed to replace MEDIACC, as well as steps to ensure the stability of CEMR and MEDIACC.</w:t>
      </w:r>
    </w:p>
    <w:p w:rsidR="005B06D4" w:rsidRDefault="005B06D4" w:rsidP="00A44F72">
      <w:pPr>
        <w:pStyle w:val="BodyTextIndent2"/>
        <w:keepNext/>
        <w:keepLines/>
        <w:widowControl w:val="0"/>
        <w:tabs>
          <w:tab w:val="left" w:pos="-3780"/>
          <w:tab w:val="left" w:pos="-3600"/>
        </w:tabs>
        <w:ind w:hanging="720"/>
      </w:pPr>
      <w:r>
        <w:rPr>
          <w:b/>
        </w:rPr>
        <w:lastRenderedPageBreak/>
        <w:t>Q.</w:t>
      </w:r>
      <w:r>
        <w:rPr>
          <w:b/>
        </w:rPr>
        <w:tab/>
        <w:t>How did you reach the opinions and conclusions in your testimony?</w:t>
      </w:r>
    </w:p>
    <w:p w:rsidR="005B06D4" w:rsidRPr="005B06D4" w:rsidRDefault="005B06D4" w:rsidP="00A44F72">
      <w:pPr>
        <w:pStyle w:val="BodyTextIndent2"/>
        <w:keepNext/>
        <w:keepLines/>
        <w:widowControl w:val="0"/>
        <w:tabs>
          <w:tab w:val="left" w:pos="-3780"/>
          <w:tab w:val="left" w:pos="-3600"/>
        </w:tabs>
        <w:ind w:hanging="720"/>
      </w:pPr>
      <w:r>
        <w:t>A.</w:t>
      </w:r>
      <w:r>
        <w:tab/>
      </w:r>
      <w:r w:rsidR="0064271D">
        <w:t>I reached the following conclusions based on my personal engineering knowledge</w:t>
      </w:r>
      <w:r w:rsidR="0000355E">
        <w:t xml:space="preserve"> and</w:t>
      </w:r>
      <w:r w:rsidR="0064271D">
        <w:t xml:space="preserve"> </w:t>
      </w:r>
      <w:r w:rsidR="000F0798">
        <w:t>analysis of the</w:t>
      </w:r>
      <w:r w:rsidR="0064271D">
        <w:t xml:space="preserve"> responses to </w:t>
      </w:r>
      <w:r w:rsidR="007827B8">
        <w:t>data requests propounded by S</w:t>
      </w:r>
      <w:r w:rsidR="0064271D">
        <w:t xml:space="preserve">taff and </w:t>
      </w:r>
      <w:r w:rsidR="007827B8">
        <w:t xml:space="preserve">other </w:t>
      </w:r>
      <w:r w:rsidR="0064271D">
        <w:t>parties</w:t>
      </w:r>
      <w:r w:rsidR="000F0798">
        <w:t>.</w:t>
      </w:r>
      <w:r w:rsidR="002F00FD">
        <w:t xml:space="preserve"> </w:t>
      </w:r>
      <w:r w:rsidR="0064271D">
        <w:t xml:space="preserve"> </w:t>
      </w:r>
      <w:r w:rsidR="000F0798">
        <w:t>I also reviewed</w:t>
      </w:r>
      <w:r w:rsidR="0000355E">
        <w:t xml:space="preserve"> </w:t>
      </w:r>
      <w:r w:rsidR="0064271D">
        <w:t xml:space="preserve">the </w:t>
      </w:r>
      <w:r w:rsidR="00552783">
        <w:t>d</w:t>
      </w:r>
      <w:r w:rsidR="0064271D">
        <w:t xml:space="preserve">irect </w:t>
      </w:r>
      <w:r w:rsidR="00552783">
        <w:t>t</w:t>
      </w:r>
      <w:r w:rsidR="0064271D">
        <w:t xml:space="preserve">estimony of </w:t>
      </w:r>
      <w:r w:rsidR="000A53CD">
        <w:t>Qwest/CenturyLink witnesses Ren</w:t>
      </w:r>
      <w:r w:rsidR="003F4983" w:rsidRPr="003F4983">
        <w:t>é</w:t>
      </w:r>
      <w:r w:rsidR="0064271D">
        <w:t xml:space="preserve">e </w:t>
      </w:r>
      <w:proofErr w:type="spellStart"/>
      <w:r w:rsidR="0064271D">
        <w:t>Albersheim</w:t>
      </w:r>
      <w:proofErr w:type="spellEnd"/>
      <w:r w:rsidR="0064271D">
        <w:t xml:space="preserve"> and Michael </w:t>
      </w:r>
      <w:proofErr w:type="spellStart"/>
      <w:r w:rsidR="0064271D">
        <w:t>Hunsucker</w:t>
      </w:r>
      <w:proofErr w:type="spellEnd"/>
      <w:r w:rsidR="000F0798">
        <w:t>;</w:t>
      </w:r>
      <w:r w:rsidR="0064271D">
        <w:t xml:space="preserve"> Integra witnesses Douglas Denney and </w:t>
      </w:r>
      <w:proofErr w:type="spellStart"/>
      <w:r w:rsidR="0064271D">
        <w:t>Bonney</w:t>
      </w:r>
      <w:proofErr w:type="spellEnd"/>
      <w:r w:rsidR="0064271D">
        <w:t xml:space="preserve"> Johnson</w:t>
      </w:r>
      <w:r w:rsidR="000F0798">
        <w:t>;</w:t>
      </w:r>
      <w:r w:rsidR="0037717A">
        <w:t xml:space="preserve"> </w:t>
      </w:r>
      <w:proofErr w:type="spellStart"/>
      <w:r w:rsidR="0064271D">
        <w:t>tw</w:t>
      </w:r>
      <w:proofErr w:type="spellEnd"/>
      <w:r w:rsidR="0064271D">
        <w:t xml:space="preserve"> telecom witness </w:t>
      </w:r>
      <w:proofErr w:type="spellStart"/>
      <w:r w:rsidR="0064271D">
        <w:t>Lyndall</w:t>
      </w:r>
      <w:proofErr w:type="spellEnd"/>
      <w:r w:rsidR="0064271D">
        <w:t xml:space="preserve"> </w:t>
      </w:r>
      <w:proofErr w:type="spellStart"/>
      <w:r w:rsidR="0064271D">
        <w:t>Nipps</w:t>
      </w:r>
      <w:proofErr w:type="spellEnd"/>
      <w:r w:rsidR="000F0798">
        <w:t>; and</w:t>
      </w:r>
      <w:r w:rsidR="0037717A">
        <w:t xml:space="preserve"> </w:t>
      </w:r>
      <w:proofErr w:type="spellStart"/>
      <w:r w:rsidR="0037717A">
        <w:t>PaeTec</w:t>
      </w:r>
      <w:proofErr w:type="spellEnd"/>
      <w:r w:rsidR="0037717A">
        <w:t xml:space="preserve"> witnesses Christopher Hansen and </w:t>
      </w:r>
      <w:proofErr w:type="spellStart"/>
      <w:r w:rsidR="0037717A">
        <w:t>Justina</w:t>
      </w:r>
      <w:proofErr w:type="spellEnd"/>
      <w:r w:rsidR="0037717A">
        <w:t xml:space="preserve"> Blanchard</w:t>
      </w:r>
      <w:r w:rsidR="0064271D">
        <w:t>.</w:t>
      </w:r>
      <w:r w:rsidR="0037717A">
        <w:t xml:space="preserve"> </w:t>
      </w:r>
      <w:r w:rsidR="00B86DAF">
        <w:t xml:space="preserve"> </w:t>
      </w:r>
      <w:r w:rsidR="0037717A">
        <w:t>I</w:t>
      </w:r>
      <w:r w:rsidR="000F0798">
        <w:t>n addition</w:t>
      </w:r>
      <w:r w:rsidR="002F00FD">
        <w:t>,</w:t>
      </w:r>
      <w:r w:rsidR="000F0798">
        <w:t xml:space="preserve"> I </w:t>
      </w:r>
      <w:r w:rsidR="0037717A">
        <w:t xml:space="preserve">requested and </w:t>
      </w:r>
      <w:r w:rsidR="000F0798">
        <w:t xml:space="preserve">subsequently </w:t>
      </w:r>
      <w:r w:rsidR="0037717A">
        <w:t xml:space="preserve">attended a </w:t>
      </w:r>
      <w:r w:rsidR="002F00FD">
        <w:t>t</w:t>
      </w:r>
      <w:r w:rsidR="0037717A">
        <w:t xml:space="preserve">echnical </w:t>
      </w:r>
      <w:r w:rsidR="002F00FD">
        <w:t>c</w:t>
      </w:r>
      <w:r w:rsidR="0037717A">
        <w:t xml:space="preserve">onference </w:t>
      </w:r>
      <w:r w:rsidR="00552783">
        <w:t xml:space="preserve">on September 15, 2011, </w:t>
      </w:r>
      <w:r w:rsidR="000F0798">
        <w:t>detailing the systems involved</w:t>
      </w:r>
      <w:r w:rsidR="0037717A">
        <w:t>.</w:t>
      </w:r>
      <w:r w:rsidR="002F00FD">
        <w:t xml:space="preserve"> </w:t>
      </w:r>
      <w:r w:rsidR="0037717A">
        <w:t xml:space="preserve"> I have also discussed this complaint with </w:t>
      </w:r>
      <w:r w:rsidR="000F0798">
        <w:t>u</w:t>
      </w:r>
      <w:r w:rsidR="0037717A">
        <w:t xml:space="preserve">tility </w:t>
      </w:r>
      <w:r w:rsidR="000F0798">
        <w:t>c</w:t>
      </w:r>
      <w:r w:rsidR="0037717A">
        <w:t>ommission</w:t>
      </w:r>
      <w:r w:rsidR="008D70B3">
        <w:t>s</w:t>
      </w:r>
      <w:r w:rsidR="00552783">
        <w:t xml:space="preserve"> of other state</w:t>
      </w:r>
      <w:r w:rsidR="00E620AC">
        <w:t>s</w:t>
      </w:r>
      <w:r w:rsidR="0042124E">
        <w:t xml:space="preserve"> in the region</w:t>
      </w:r>
      <w:r w:rsidR="0037717A">
        <w:t>.</w:t>
      </w:r>
    </w:p>
    <w:p w:rsidR="00357622" w:rsidRDefault="00357622" w:rsidP="00A44F72">
      <w:pPr>
        <w:pStyle w:val="BodyTextIndent2"/>
        <w:keepNext/>
        <w:keepLines/>
        <w:widowControl w:val="0"/>
        <w:tabs>
          <w:tab w:val="left" w:pos="-3780"/>
          <w:tab w:val="left" w:pos="-3600"/>
        </w:tabs>
        <w:ind w:hanging="720"/>
      </w:pPr>
    </w:p>
    <w:p w:rsidR="00EE7676" w:rsidRDefault="00357622" w:rsidP="00EE7676">
      <w:pPr>
        <w:pStyle w:val="BodyTextIndent2"/>
        <w:tabs>
          <w:tab w:val="left" w:pos="-3780"/>
          <w:tab w:val="left" w:pos="-3600"/>
        </w:tabs>
        <w:spacing w:line="240" w:lineRule="auto"/>
        <w:ind w:left="0" w:firstLine="0"/>
        <w:jc w:val="center"/>
        <w:rPr>
          <w:b/>
        </w:rPr>
      </w:pPr>
      <w:r w:rsidRPr="00357622">
        <w:rPr>
          <w:b/>
        </w:rPr>
        <w:t>II</w:t>
      </w:r>
      <w:r w:rsidR="00EE7676">
        <w:rPr>
          <w:b/>
        </w:rPr>
        <w:t>.</w:t>
      </w:r>
      <w:r w:rsidR="00EE7676">
        <w:rPr>
          <w:b/>
        </w:rPr>
        <w:tab/>
      </w:r>
      <w:r w:rsidRPr="00357622">
        <w:rPr>
          <w:b/>
        </w:rPr>
        <w:t>THE REQUIREMENTS OF ORER 14 IN THE MERGER</w:t>
      </w:r>
    </w:p>
    <w:p w:rsidR="00357622" w:rsidRDefault="00EE7676" w:rsidP="00C55AE0">
      <w:pPr>
        <w:pStyle w:val="BodyTextIndent2"/>
        <w:tabs>
          <w:tab w:val="left" w:pos="-3780"/>
          <w:tab w:val="left" w:pos="-3600"/>
        </w:tabs>
        <w:spacing w:line="240" w:lineRule="auto"/>
        <w:ind w:left="1800" w:hanging="1800"/>
        <w:rPr>
          <w:b/>
        </w:rPr>
      </w:pPr>
      <w:r>
        <w:rPr>
          <w:b/>
        </w:rPr>
        <w:tab/>
      </w:r>
      <w:r w:rsidR="00357622" w:rsidRPr="00357622">
        <w:rPr>
          <w:b/>
        </w:rPr>
        <w:t>PROCEEDING PERTAINING TO WHOLESALE OSS</w:t>
      </w:r>
    </w:p>
    <w:p w:rsidR="00EE7676" w:rsidRPr="00357622" w:rsidRDefault="00EE7676" w:rsidP="00EE7676">
      <w:pPr>
        <w:pStyle w:val="BodyTextIndent2"/>
        <w:tabs>
          <w:tab w:val="left" w:pos="-3780"/>
          <w:tab w:val="left" w:pos="-3600"/>
        </w:tabs>
        <w:spacing w:line="240" w:lineRule="auto"/>
        <w:ind w:left="1980" w:hanging="1980"/>
        <w:rPr>
          <w:b/>
        </w:rPr>
      </w:pPr>
    </w:p>
    <w:p w:rsidR="00357622" w:rsidRPr="00357622" w:rsidRDefault="00357622" w:rsidP="00445C4A">
      <w:pPr>
        <w:pStyle w:val="BodyTextIndent2"/>
        <w:tabs>
          <w:tab w:val="left" w:pos="-3780"/>
          <w:tab w:val="left" w:pos="-3600"/>
        </w:tabs>
        <w:ind w:hanging="720"/>
        <w:rPr>
          <w:b/>
        </w:rPr>
      </w:pPr>
    </w:p>
    <w:p w:rsidR="004456A8" w:rsidRPr="0090204E" w:rsidRDefault="004456A8" w:rsidP="004456A8">
      <w:pPr>
        <w:pStyle w:val="BodyTextIndent2"/>
        <w:tabs>
          <w:tab w:val="left" w:pos="-3780"/>
          <w:tab w:val="left" w:pos="-3600"/>
        </w:tabs>
        <w:ind w:hanging="720"/>
        <w:rPr>
          <w:b/>
          <w:bCs/>
        </w:rPr>
      </w:pPr>
      <w:r w:rsidRPr="0090204E">
        <w:rPr>
          <w:b/>
        </w:rPr>
        <w:t>Q.</w:t>
      </w:r>
      <w:r w:rsidRPr="0090204E">
        <w:rPr>
          <w:b/>
        </w:rPr>
        <w:tab/>
        <w:t>Please explain the significance of Order 14 in Docket UT-100820.</w:t>
      </w:r>
    </w:p>
    <w:p w:rsidR="004456A8" w:rsidRDefault="004456A8" w:rsidP="004456A8">
      <w:pPr>
        <w:pStyle w:val="BodyTextIndent2"/>
        <w:tabs>
          <w:tab w:val="left" w:pos="-3780"/>
          <w:tab w:val="left" w:pos="-3600"/>
        </w:tabs>
        <w:ind w:hanging="720"/>
      </w:pPr>
      <w:r w:rsidRPr="0090204E">
        <w:t>A.</w:t>
      </w:r>
      <w:r w:rsidRPr="0090204E">
        <w:tab/>
        <w:t>CenturyLink announced its plans to acquire Qwest on April 22, 2010.</w:t>
      </w:r>
      <w:r w:rsidRPr="0090204E">
        <w:rPr>
          <w:rStyle w:val="FootnoteReference"/>
        </w:rPr>
        <w:footnoteReference w:id="1"/>
      </w:r>
      <w:r w:rsidRPr="0090204E">
        <w:t xml:space="preserve"> </w:t>
      </w:r>
      <w:r w:rsidR="002F00FD">
        <w:t xml:space="preserve"> </w:t>
      </w:r>
      <w:r w:rsidRPr="0090204E">
        <w:t xml:space="preserve">The </w:t>
      </w:r>
      <w:r w:rsidR="0000355E">
        <w:t xml:space="preserve">Commission </w:t>
      </w:r>
      <w:r w:rsidRPr="0090204E">
        <w:t xml:space="preserve">received an application requesting approval of an indirect </w:t>
      </w:r>
      <w:r w:rsidR="009414B0">
        <w:t xml:space="preserve">transfer of </w:t>
      </w:r>
      <w:r w:rsidRPr="0090204E">
        <w:t xml:space="preserve">control of </w:t>
      </w:r>
      <w:proofErr w:type="spellStart"/>
      <w:r w:rsidRPr="0090204E">
        <w:t>Q</w:t>
      </w:r>
      <w:r w:rsidR="00D31ADE">
        <w:t>CII</w:t>
      </w:r>
      <w:proofErr w:type="spellEnd"/>
      <w:r w:rsidR="00D31ADE">
        <w:t xml:space="preserve"> subsidiaries </w:t>
      </w:r>
      <w:r w:rsidRPr="0090204E">
        <w:t>to CenturyLink (</w:t>
      </w:r>
      <w:r w:rsidR="009414B0">
        <w:t>d</w:t>
      </w:r>
      <w:r w:rsidR="009414B0" w:rsidRPr="0090204E">
        <w:t xml:space="preserve">ocketed </w:t>
      </w:r>
      <w:r w:rsidRPr="0090204E">
        <w:t xml:space="preserve">as UT-100820, the Washington “merger proceeding” or “merger docket”) on May 13, 2010. </w:t>
      </w:r>
      <w:r w:rsidR="002F00FD">
        <w:t xml:space="preserve"> </w:t>
      </w:r>
      <w:r w:rsidRPr="0090204E">
        <w:t>Order 14, issued March 14, 2011, concluded the merger proceeding.</w:t>
      </w:r>
      <w:r w:rsidRPr="0090204E">
        <w:rPr>
          <w:rStyle w:val="FootnoteReference"/>
        </w:rPr>
        <w:footnoteReference w:id="2"/>
      </w:r>
      <w:r w:rsidRPr="0090204E">
        <w:t xml:space="preserve">  In Order 14, the Commission approved the merger and adopted various settlement agreements subject to conditions.  Two of the settlement agreements that the Commission adopted </w:t>
      </w:r>
      <w:r w:rsidRPr="0090204E">
        <w:lastRenderedPageBreak/>
        <w:t>contain the OSS conditions that are at the heart of the dispute in this case.  Order 14 also included additional OSS conditions, which are relevant to the dispute.  Importantly, the Commission extended the OSS commitment timeframe from 24 to 30 months.</w:t>
      </w:r>
      <w:r w:rsidRPr="0090204E">
        <w:rPr>
          <w:rStyle w:val="FootnoteReference"/>
        </w:rPr>
        <w:footnoteReference w:id="3"/>
      </w:r>
    </w:p>
    <w:p w:rsidR="00627981" w:rsidRDefault="00627981" w:rsidP="004456A8">
      <w:pPr>
        <w:pStyle w:val="BodyTextIndent2"/>
        <w:tabs>
          <w:tab w:val="left" w:pos="-3780"/>
          <w:tab w:val="left" w:pos="-3600"/>
        </w:tabs>
        <w:ind w:hanging="720"/>
      </w:pPr>
      <w:r>
        <w:tab/>
      </w:r>
      <w:r w:rsidR="00BB18DA">
        <w:tab/>
      </w:r>
      <w:r>
        <w:t xml:space="preserve">The Commission </w:t>
      </w:r>
      <w:r w:rsidR="006B26D9">
        <w:t xml:space="preserve">placed </w:t>
      </w:r>
      <w:r>
        <w:t xml:space="preserve">great weight on </w:t>
      </w:r>
      <w:r w:rsidR="000F0798">
        <w:t>w</w:t>
      </w:r>
      <w:r>
        <w:t xml:space="preserve">holesale OSS in its decision modifying the </w:t>
      </w:r>
      <w:r w:rsidR="000F0798">
        <w:t>settlement a</w:t>
      </w:r>
      <w:r>
        <w:t>greements by specifically stipulating that “after acceptance testing and controlled production</w:t>
      </w:r>
      <w:r w:rsidR="002F00FD">
        <w:t xml:space="preserve"> </w:t>
      </w:r>
      <w:r w:rsidR="006B26D9">
        <w:t>. . .</w:t>
      </w:r>
      <w:r w:rsidR="002F00FD">
        <w:t xml:space="preserve"> </w:t>
      </w:r>
      <w:r>
        <w:t>have been completed, and before any replacement OSS is put into actual production, we require the combined company to file a detailed report with the Commission describing, at a minimum, all aspects of the acceptance testing process; identification of all CLEC</w:t>
      </w:r>
      <w:r w:rsidR="004448FD">
        <w:rPr>
          <w:rStyle w:val="FootnoteReference"/>
        </w:rPr>
        <w:footnoteReference w:id="4"/>
      </w:r>
      <w:r>
        <w:t xml:space="preserve"> participants in the testing and </w:t>
      </w:r>
      <w:r w:rsidR="006B26D9">
        <w:t xml:space="preserve">the </w:t>
      </w:r>
      <w:r>
        <w:t>voting process set forth in the settlement condition; the identification and discussion of all disputes that arose between the combined company and CLECs regarding any issue pertaining to the replacement OSS; and a comprehensive synopsis of the outcome.”</w:t>
      </w:r>
      <w:r w:rsidR="002F00FD">
        <w:t xml:space="preserve"> </w:t>
      </w:r>
      <w:r>
        <w:t xml:space="preserve"> The Commission went on to state that the “report shall be filed with the Commission within 60 days prior to the planned OSS replacement” and </w:t>
      </w:r>
      <w:r w:rsidR="000F0798">
        <w:t xml:space="preserve">ordered </w:t>
      </w:r>
      <w:r>
        <w:t>that the “Commission will open a new proceeding and will provide notice to all interested parties</w:t>
      </w:r>
      <w:r w:rsidR="002F00FD">
        <w:t xml:space="preserve"> </w:t>
      </w:r>
      <w:r w:rsidR="006B26D9">
        <w:t>. . .</w:t>
      </w:r>
      <w:r w:rsidR="002F00FD">
        <w:t xml:space="preserve"> </w:t>
      </w:r>
      <w:r w:rsidR="006B761E">
        <w:t>and establish a process to provide feedback on the filing.”</w:t>
      </w:r>
      <w:r w:rsidR="0069522E">
        <w:rPr>
          <w:rStyle w:val="FootnoteReference"/>
        </w:rPr>
        <w:footnoteReference w:id="5"/>
      </w:r>
      <w:r w:rsidR="006B761E">
        <w:t xml:space="preserve"> </w:t>
      </w:r>
      <w:r w:rsidR="002F00FD">
        <w:t xml:space="preserve"> </w:t>
      </w:r>
      <w:r w:rsidR="006B761E">
        <w:t>Based on the information obtained during the new proceeding</w:t>
      </w:r>
      <w:r w:rsidR="000F0798">
        <w:t>,</w:t>
      </w:r>
      <w:r w:rsidR="006B761E">
        <w:t xml:space="preserve"> the Commission may order third-party testing of that replacement OSS before it can be put into full production. </w:t>
      </w:r>
    </w:p>
    <w:p w:rsidR="006B761E" w:rsidRDefault="006B761E" w:rsidP="00EE7676">
      <w:pPr>
        <w:pStyle w:val="BodyTextIndent2"/>
        <w:keepNext/>
        <w:tabs>
          <w:tab w:val="left" w:pos="-3780"/>
          <w:tab w:val="left" w:pos="-3600"/>
        </w:tabs>
        <w:ind w:hanging="720"/>
        <w:rPr>
          <w:b/>
        </w:rPr>
      </w:pPr>
      <w:r>
        <w:rPr>
          <w:b/>
        </w:rPr>
        <w:lastRenderedPageBreak/>
        <w:t>Q.</w:t>
      </w:r>
      <w:r>
        <w:rPr>
          <w:b/>
        </w:rPr>
        <w:tab/>
        <w:t>What does the threat of third</w:t>
      </w:r>
      <w:r w:rsidR="000F0798">
        <w:rPr>
          <w:b/>
        </w:rPr>
        <w:t>-</w:t>
      </w:r>
      <w:r>
        <w:rPr>
          <w:b/>
        </w:rPr>
        <w:t>party testing accomplish?</w:t>
      </w:r>
    </w:p>
    <w:p w:rsidR="006B761E" w:rsidRPr="0089504B" w:rsidRDefault="006B761E" w:rsidP="00EE7676">
      <w:pPr>
        <w:pStyle w:val="BodyTextIndent2"/>
        <w:keepNext/>
        <w:tabs>
          <w:tab w:val="left" w:pos="-3780"/>
          <w:tab w:val="left" w:pos="-3600"/>
        </w:tabs>
        <w:ind w:hanging="720"/>
        <w:rPr>
          <w:color w:val="000000"/>
        </w:rPr>
      </w:pPr>
      <w:r w:rsidRPr="00EE7676">
        <w:t>A.</w:t>
      </w:r>
      <w:r>
        <w:tab/>
        <w:t>Given the cost for third-party testing, this provision provides a strong additional incentive to Qwest/CenturyLink to ensure that any wholesale OSS replacement has been thoroughly tested and vetted by all of the CLECs.</w:t>
      </w:r>
      <w:r w:rsidR="002F00FD">
        <w:t xml:space="preserve"> </w:t>
      </w:r>
      <w:r>
        <w:t xml:space="preserve"> In the end</w:t>
      </w:r>
      <w:r w:rsidR="000F0798">
        <w:t>,</w:t>
      </w:r>
      <w:r>
        <w:t xml:space="preserve"> it provides a safeguard for the </w:t>
      </w:r>
      <w:proofErr w:type="spellStart"/>
      <w:r>
        <w:t>CLECs</w:t>
      </w:r>
      <w:proofErr w:type="spellEnd"/>
      <w:r>
        <w:t xml:space="preserve"> </w:t>
      </w:r>
      <w:r w:rsidR="000F0798">
        <w:t xml:space="preserve">in </w:t>
      </w:r>
      <w:r>
        <w:t>that Qwest/CenturyLink cannot force a poor, or unfairly tested, wholesale OSS replacement on the CLECs.</w:t>
      </w:r>
    </w:p>
    <w:p w:rsidR="00357622" w:rsidRPr="00357622" w:rsidRDefault="00357622" w:rsidP="00357622">
      <w:pPr>
        <w:pStyle w:val="BodyTextIndent2"/>
        <w:keepNext/>
        <w:keepLines/>
        <w:widowControl w:val="0"/>
        <w:tabs>
          <w:tab w:val="left" w:pos="-3780"/>
          <w:tab w:val="left" w:pos="-3600"/>
        </w:tabs>
        <w:ind w:hanging="720"/>
      </w:pPr>
    </w:p>
    <w:p w:rsidR="00357622" w:rsidRPr="00357622" w:rsidRDefault="00357622" w:rsidP="00357622">
      <w:pPr>
        <w:pStyle w:val="BodyTextIndent2"/>
        <w:tabs>
          <w:tab w:val="left" w:pos="-3780"/>
          <w:tab w:val="left" w:pos="-3600"/>
        </w:tabs>
        <w:ind w:hanging="720"/>
        <w:rPr>
          <w:b/>
          <w:color w:val="000000"/>
        </w:rPr>
      </w:pPr>
      <w:r w:rsidRPr="00357622">
        <w:rPr>
          <w:b/>
          <w:color w:val="000000"/>
        </w:rPr>
        <w:t xml:space="preserve">Q. </w:t>
      </w:r>
      <w:r w:rsidRPr="00357622">
        <w:rPr>
          <w:b/>
          <w:color w:val="000000"/>
        </w:rPr>
        <w:tab/>
        <w:t>Which settlement conditions are at issue?</w:t>
      </w:r>
    </w:p>
    <w:p w:rsidR="00357622" w:rsidRPr="00357622" w:rsidRDefault="00357622" w:rsidP="00357622">
      <w:pPr>
        <w:pStyle w:val="BodyTextIndent2"/>
        <w:tabs>
          <w:tab w:val="left" w:pos="-3780"/>
          <w:tab w:val="left" w:pos="-3600"/>
        </w:tabs>
        <w:ind w:hanging="720"/>
      </w:pPr>
      <w:r w:rsidRPr="00357622">
        <w:rPr>
          <w:color w:val="000000"/>
        </w:rPr>
        <w:t>A.</w:t>
      </w:r>
      <w:r w:rsidRPr="00357622">
        <w:rPr>
          <w:color w:val="000000"/>
        </w:rPr>
        <w:tab/>
      </w:r>
      <w:r w:rsidRPr="00357622">
        <w:t xml:space="preserve">The disputed conditions concern commitments the merging companies made pertaining to their wholesale OSS.  These commitments are contained in Condition 12 </w:t>
      </w:r>
      <w:r w:rsidR="00C53533">
        <w:t>of</w:t>
      </w:r>
      <w:r w:rsidR="00C53533" w:rsidRPr="00357622">
        <w:t xml:space="preserve"> </w:t>
      </w:r>
      <w:r w:rsidR="00800183">
        <w:t>the</w:t>
      </w:r>
      <w:r w:rsidR="00800183" w:rsidRPr="00357622">
        <w:t xml:space="preserve"> </w:t>
      </w:r>
      <w:r w:rsidRPr="00357622">
        <w:t xml:space="preserve">settlement agreement the merging companies entered into </w:t>
      </w:r>
      <w:r w:rsidR="00C53533">
        <w:t xml:space="preserve">on </w:t>
      </w:r>
      <w:r w:rsidRPr="00357622">
        <w:t xml:space="preserve">November 6, 2011, with Integra Telecom, Inc. (Integra </w:t>
      </w:r>
      <w:r w:rsidR="0065194D">
        <w:t>Agreement</w:t>
      </w:r>
      <w:r w:rsidRPr="00357622">
        <w:t xml:space="preserve">), and in Condition 23 of a settlement </w:t>
      </w:r>
      <w:r w:rsidR="00C53533">
        <w:t>the companies</w:t>
      </w:r>
      <w:r w:rsidR="00C53533" w:rsidRPr="00357622">
        <w:t xml:space="preserve"> </w:t>
      </w:r>
      <w:r w:rsidRPr="00357622">
        <w:t xml:space="preserve">entered into with Staff and Public Counsel (Staff/PC </w:t>
      </w:r>
      <w:r w:rsidR="0065194D">
        <w:t>Agreement</w:t>
      </w:r>
      <w:r w:rsidRPr="00357622">
        <w:t xml:space="preserve">) </w:t>
      </w:r>
      <w:r w:rsidR="00C53533">
        <w:t xml:space="preserve">on </w:t>
      </w:r>
      <w:r w:rsidRPr="00357622">
        <w:t>December 23, 2011</w:t>
      </w:r>
      <w:r w:rsidR="00926334">
        <w:t xml:space="preserve"> (together “the OSS Settlement Conditions”</w:t>
      </w:r>
      <w:r w:rsidR="007164AA">
        <w:t>)</w:t>
      </w:r>
      <w:r w:rsidRPr="00357622">
        <w:t xml:space="preserve">.  The language in the two conditions </w:t>
      </w:r>
      <w:r w:rsidR="007164AA">
        <w:t>is</w:t>
      </w:r>
      <w:r w:rsidR="007164AA" w:rsidRPr="00357622">
        <w:t xml:space="preserve"> </w:t>
      </w:r>
      <w:r w:rsidRPr="00357622">
        <w:t>nearly identical; however</w:t>
      </w:r>
      <w:r w:rsidR="00C53533">
        <w:t>,</w:t>
      </w:r>
      <w:r w:rsidRPr="00357622">
        <w:t xml:space="preserve"> the Commission adopted the formulation in the Staff/PC </w:t>
      </w:r>
      <w:r w:rsidR="000C5406">
        <w:t>A</w:t>
      </w:r>
      <w:r w:rsidR="00C53533">
        <w:t>greement</w:t>
      </w:r>
      <w:r w:rsidRPr="00357622">
        <w:t xml:space="preserve">.  Condition 23 of the Staff/PC </w:t>
      </w:r>
      <w:r w:rsidR="000C5406">
        <w:t>Agreement</w:t>
      </w:r>
      <w:r w:rsidR="000C5406" w:rsidRPr="00357622">
        <w:t xml:space="preserve"> </w:t>
      </w:r>
      <w:r w:rsidRPr="00357622">
        <w:t>is set forth below:</w:t>
      </w:r>
    </w:p>
    <w:p w:rsidR="00357622" w:rsidRPr="00357622" w:rsidRDefault="00357622" w:rsidP="00357622">
      <w:pPr>
        <w:tabs>
          <w:tab w:val="left" w:pos="360"/>
        </w:tabs>
        <w:ind w:left="1440"/>
        <w:rPr>
          <w:b/>
        </w:rPr>
      </w:pPr>
      <w:r w:rsidRPr="00357622">
        <w:rPr>
          <w:b/>
        </w:rPr>
        <w:t>23.</w:t>
      </w:r>
      <w:r w:rsidRPr="00357622">
        <w:rPr>
          <w:b/>
        </w:rPr>
        <w:tab/>
      </w:r>
      <w:smartTag w:uri="urn:schemas-microsoft-com:office:smarttags" w:element="place">
        <w:smartTag w:uri="urn:schemas-microsoft-com:office:smarttags" w:element="City">
          <w:r w:rsidRPr="00357622">
            <w:rPr>
              <w:b/>
            </w:rPr>
            <w:t>OSS</w:t>
          </w:r>
        </w:smartTag>
      </w:smartTag>
      <w:r w:rsidRPr="00357622">
        <w:rPr>
          <w:b/>
        </w:rPr>
        <w:t xml:space="preserve"> – Wholesale</w:t>
      </w:r>
    </w:p>
    <w:p w:rsidR="00357622" w:rsidRPr="00357622" w:rsidRDefault="00357622" w:rsidP="00357622">
      <w:pPr>
        <w:ind w:left="1440"/>
        <w:rPr>
          <w:b/>
        </w:rPr>
      </w:pPr>
    </w:p>
    <w:p w:rsidR="00357622" w:rsidRPr="00357622" w:rsidRDefault="00357622" w:rsidP="002F00FD">
      <w:pPr>
        <w:pStyle w:val="ListParagraph"/>
        <w:ind w:left="2160"/>
        <w:contextualSpacing/>
      </w:pPr>
      <w:r w:rsidRPr="00357622">
        <w:t xml:space="preserve">In legacy Qwest ILEC service territory, after the Transaction closes, CenturyLink will use and offer to wholesale customers the legacy Qwest Operational Support Systems (OSS) for at least two years, or until July 1, 2013, whichever is later, and thereafter provide a level of wholesale service quality that is not less than that provided by Qwest prior to the Transaction’s closing, with functionally equivalent support, data, functionality, performance, electronic flow through, and electronic bonding.  After the period noted above, CenturyLink will not replace or integrate Qwest systems without first establishing a detailed transition plan and complying with the following procedures: </w:t>
      </w:r>
    </w:p>
    <w:p w:rsidR="00357622" w:rsidRPr="00357622" w:rsidRDefault="00357622" w:rsidP="00357622">
      <w:pPr>
        <w:pStyle w:val="ListParagraph"/>
        <w:ind w:left="1440"/>
        <w:contextualSpacing/>
      </w:pPr>
    </w:p>
    <w:p w:rsidR="00357622" w:rsidRPr="00357622" w:rsidRDefault="00357622" w:rsidP="002F00FD">
      <w:pPr>
        <w:ind w:left="2520" w:hanging="360"/>
      </w:pPr>
      <w:r w:rsidRPr="00357622">
        <w:t>a</w:t>
      </w:r>
      <w:r w:rsidRPr="00357622">
        <w:rPr>
          <w:b/>
        </w:rPr>
        <w:t>.</w:t>
      </w:r>
      <w:r w:rsidRPr="00357622">
        <w:rPr>
          <w:b/>
        </w:rPr>
        <w:tab/>
      </w:r>
      <w:r w:rsidRPr="00357622">
        <w:rPr>
          <w:i/>
          <w:u w:val="single"/>
        </w:rPr>
        <w:t>Detailed Plan</w:t>
      </w:r>
      <w:r w:rsidRPr="00357622">
        <w:t xml:space="preserve">.  CenturyLink will provide notice to the </w:t>
      </w:r>
      <w:proofErr w:type="spellStart"/>
      <w:r w:rsidRPr="00357622">
        <w:t>Wireline</w:t>
      </w:r>
      <w:proofErr w:type="spellEnd"/>
      <w:r w:rsidRPr="00357622">
        <w:t xml:space="preserve"> Competition Bureau of the FCC, the Commission, and the Parties to this agreement at least 270 days before replacing or integrating Qwest OSS system(s).  Upon request, CenturyLink will describe the system to be replaced or integrated, the surviving system, and steps to be taken to ensure data integrity is maintained.  CenturyLink’s plan will also identify planned contingency actions in the event that CenturyLink encounters any significant problems with the planned transition.  The plan submitted by CenturyLink will be prepared by information technology professionals with substantial experience and knowledge regarding legacy CenturyLink and legacy Qwest systems processes and requirements.  CLECs will have the opportunity to comment on CenturyLink’s plan in a forum in which it is filed, if the regulatory body allows comments, as well as in the Qwest Change Management Process.</w:t>
      </w:r>
    </w:p>
    <w:p w:rsidR="00357622" w:rsidRPr="00357622" w:rsidRDefault="00357622" w:rsidP="00357622">
      <w:pPr>
        <w:ind w:left="1800" w:hanging="360"/>
      </w:pPr>
    </w:p>
    <w:p w:rsidR="00357622" w:rsidRPr="00357622" w:rsidRDefault="00357622" w:rsidP="002F00FD">
      <w:pPr>
        <w:ind w:left="2520" w:hanging="360"/>
        <w:rPr>
          <w:color w:val="FFFFFF" w:themeColor="background1"/>
        </w:rPr>
      </w:pPr>
      <w:r w:rsidRPr="00357622">
        <w:t>b</w:t>
      </w:r>
      <w:r w:rsidRPr="00357622">
        <w:rPr>
          <w:b/>
        </w:rPr>
        <w:t>.</w:t>
      </w:r>
      <w:r w:rsidRPr="00357622">
        <w:rPr>
          <w:b/>
        </w:rPr>
        <w:tab/>
      </w:r>
      <w:r w:rsidRPr="00357622">
        <w:rPr>
          <w:i/>
          <w:u w:val="single"/>
        </w:rPr>
        <w:t>CMP</w:t>
      </w:r>
      <w:r w:rsidRPr="00357622">
        <w:t>.  CenturyLink will follow the procedures in the Qwest Change Management Process (“CMP”) Document.</w:t>
      </w:r>
    </w:p>
    <w:p w:rsidR="00357622" w:rsidRPr="00357622" w:rsidRDefault="00357622" w:rsidP="002F00FD">
      <w:pPr>
        <w:ind w:left="2520" w:hanging="360"/>
      </w:pPr>
    </w:p>
    <w:p w:rsidR="00357622" w:rsidRPr="00357622" w:rsidRDefault="00357622" w:rsidP="002F00FD">
      <w:pPr>
        <w:ind w:left="2520" w:hanging="360"/>
        <w:jc w:val="both"/>
        <w:rPr>
          <w:i/>
          <w:iCs/>
        </w:rPr>
      </w:pPr>
      <w:r w:rsidRPr="00357622">
        <w:rPr>
          <w:iCs/>
        </w:rPr>
        <w:t>c.</w:t>
      </w:r>
      <w:r w:rsidRPr="00357622">
        <w:rPr>
          <w:iCs/>
        </w:rPr>
        <w:tab/>
      </w:r>
      <w:r w:rsidRPr="00357622">
        <w:rPr>
          <w:i/>
          <w:iCs/>
          <w:u w:val="single"/>
        </w:rPr>
        <w:t xml:space="preserve">Replacement or Retirement of a Qwest </w:t>
      </w:r>
      <w:smartTag w:uri="urn:schemas-microsoft-com:office:smarttags" w:element="place">
        <w:smartTag w:uri="urn:schemas-microsoft-com:office:smarttags" w:element="City">
          <w:r w:rsidRPr="00357622">
            <w:rPr>
              <w:i/>
              <w:iCs/>
              <w:u w:val="single"/>
            </w:rPr>
            <w:t>OSS</w:t>
          </w:r>
        </w:smartTag>
      </w:smartTag>
      <w:r w:rsidRPr="00357622">
        <w:rPr>
          <w:i/>
          <w:iCs/>
          <w:u w:val="single"/>
        </w:rPr>
        <w:t xml:space="preserve"> Interface</w:t>
      </w:r>
      <w:r w:rsidRPr="00357622">
        <w:rPr>
          <w:i/>
          <w:iCs/>
        </w:rPr>
        <w:t>.</w:t>
      </w:r>
    </w:p>
    <w:p w:rsidR="00357622" w:rsidRPr="00357622" w:rsidRDefault="00357622" w:rsidP="002F00FD">
      <w:pPr>
        <w:numPr>
          <w:ilvl w:val="0"/>
          <w:numId w:val="46"/>
        </w:numPr>
        <w:ind w:left="3060"/>
      </w:pPr>
      <w:r w:rsidRPr="00357622">
        <w:t xml:space="preserve">The replacement or retirement of a Qwest OSS Interface may not occur without sufficient acceptance of the replacement interface by CLECs to help assure that the replacement interface provides the level of wholesale service quality provided by Qwest prior to the Transaction’s closing.  Each party participating in testing will commit adequate resources to complete the acceptance testing within the applicable time period.  The Parties will work together to develop acceptance criteria.  Testing will continue until the acceptance criteria are met.  Sufficient acceptance of a replacement for a Qwest OSS Interface will be determined by a majority vote, no vote to be unreasonably withheld, of the CMP participants (Qwest and CLECs) in testing, subject to any party invoking the CMP’s Dispute Resolution process.  The requirements of this paragraph will remain in place only until completion of Transaction-related </w:t>
      </w:r>
      <w:smartTag w:uri="urn:schemas-microsoft-com:office:smarttags" w:element="place">
        <w:smartTag w:uri="urn:schemas-microsoft-com:office:smarttags" w:element="City">
          <w:r w:rsidRPr="00357622">
            <w:t>OSS</w:t>
          </w:r>
        </w:smartTag>
      </w:smartTag>
      <w:r w:rsidRPr="00357622">
        <w:t xml:space="preserve"> integration and migration activity.  If a dispute arises as to whether such Transaction-related </w:t>
      </w:r>
      <w:smartTag w:uri="urn:schemas-microsoft-com:office:smarttags" w:element="place">
        <w:smartTag w:uri="urn:schemas-microsoft-com:office:smarttags" w:element="City">
          <w:r w:rsidRPr="00357622">
            <w:t>OSS</w:t>
          </w:r>
        </w:smartTag>
      </w:smartTag>
      <w:r w:rsidRPr="00357622">
        <w:t xml:space="preserve"> integration and migration activity is complete, the Commission will determine the completion date.</w:t>
      </w:r>
    </w:p>
    <w:p w:rsidR="00357622" w:rsidRPr="00357622" w:rsidRDefault="00357622" w:rsidP="002F00FD">
      <w:pPr>
        <w:ind w:left="3060" w:hanging="360"/>
      </w:pPr>
    </w:p>
    <w:p w:rsidR="00357622" w:rsidRPr="00357622" w:rsidRDefault="00357622" w:rsidP="002F00FD">
      <w:pPr>
        <w:numPr>
          <w:ilvl w:val="0"/>
          <w:numId w:val="46"/>
        </w:numPr>
        <w:ind w:left="3060"/>
      </w:pPr>
      <w:r w:rsidRPr="00357622">
        <w:t xml:space="preserve">CenturyLink will allow coordinated testing with CLECs, including a stable testing environment that mirrors production, jointly established test cases, and, when </w:t>
      </w:r>
      <w:r w:rsidRPr="00357622">
        <w:lastRenderedPageBreak/>
        <w:t>applicable, controlled production testing, unless otherwise agreed to by the Parties.  Testing described in this paragraph associated with merger-related system replacement or integration will be allowed for the time periods in the CMP Document, or for 120 days, whichever is longer, unless otherwise mutually agreed to by the Parties. </w:t>
      </w:r>
    </w:p>
    <w:p w:rsidR="00357622" w:rsidRPr="00357622" w:rsidRDefault="00357622" w:rsidP="002F00FD">
      <w:pPr>
        <w:ind w:left="3060" w:hanging="360"/>
      </w:pPr>
    </w:p>
    <w:p w:rsidR="00357622" w:rsidRPr="00357622" w:rsidRDefault="00357622" w:rsidP="002F00FD">
      <w:pPr>
        <w:numPr>
          <w:ilvl w:val="0"/>
          <w:numId w:val="46"/>
        </w:numPr>
        <w:ind w:left="3060"/>
      </w:pPr>
      <w:r w:rsidRPr="00357622">
        <w:t xml:space="preserve">CenturyLink will provide the wholesale carriers training and education on any wholesale </w:t>
      </w:r>
      <w:smartTag w:uri="urn:schemas-microsoft-com:office:smarttags" w:element="place">
        <w:smartTag w:uri="urn:schemas-microsoft-com:office:smarttags" w:element="City">
          <w:r w:rsidRPr="00357622">
            <w:t>OSS</w:t>
          </w:r>
        </w:smartTag>
      </w:smartTag>
      <w:r w:rsidRPr="00357622">
        <w:t xml:space="preserve"> implemented by CenturyLink without charge to the wholesale carrier.</w:t>
      </w:r>
    </w:p>
    <w:p w:rsidR="00357622" w:rsidRPr="00357622" w:rsidRDefault="00357622" w:rsidP="00357622">
      <w:pPr>
        <w:ind w:left="2160"/>
      </w:pPr>
    </w:p>
    <w:p w:rsidR="00357622" w:rsidRPr="00357622" w:rsidRDefault="00357622" w:rsidP="002F00FD">
      <w:pPr>
        <w:numPr>
          <w:ilvl w:val="0"/>
          <w:numId w:val="48"/>
        </w:numPr>
        <w:tabs>
          <w:tab w:val="clear" w:pos="720"/>
        </w:tabs>
        <w:ind w:left="2520"/>
      </w:pPr>
      <w:r w:rsidRPr="00357622">
        <w:rPr>
          <w:i/>
          <w:iCs/>
          <w:u w:val="single"/>
        </w:rPr>
        <w:t>Billing Systems</w:t>
      </w:r>
      <w:r w:rsidRPr="00357622">
        <w:t xml:space="preserve">.  CenturyLink will not begin integration of </w:t>
      </w:r>
      <w:proofErr w:type="gramStart"/>
      <w:r w:rsidRPr="00357622">
        <w:t>Billing</w:t>
      </w:r>
      <w:proofErr w:type="gramEnd"/>
      <w:r w:rsidRPr="00357622">
        <w:t xml:space="preserve"> systems before the end of the minimum two year or July 1, 2013 period, whichever is longer, noted above, or without following the above procedures, unless the integration will not impact data, connectivity and system functions that support or affect CLECs and their customers.</w:t>
      </w:r>
    </w:p>
    <w:p w:rsidR="00357622" w:rsidRPr="00357622" w:rsidRDefault="00357622" w:rsidP="00357622">
      <w:pPr>
        <w:ind w:left="2520"/>
        <w:jc w:val="both"/>
      </w:pPr>
    </w:p>
    <w:p w:rsidR="00357622" w:rsidRPr="00357622" w:rsidRDefault="00357622" w:rsidP="002F00FD">
      <w:pPr>
        <w:numPr>
          <w:ilvl w:val="0"/>
          <w:numId w:val="47"/>
        </w:numPr>
        <w:ind w:left="3060" w:hanging="360"/>
      </w:pPr>
      <w:r w:rsidRPr="00357622">
        <w:t xml:space="preserve">Any changes by CenturyLink to the legacy Qwest non-retail </w:t>
      </w:r>
      <w:smartTag w:uri="urn:schemas-microsoft-com:office:smarttags" w:element="City">
        <w:r w:rsidRPr="00357622">
          <w:t>OSS</w:t>
        </w:r>
      </w:smartTag>
      <w:r w:rsidRPr="00357622">
        <w:t xml:space="preserve"> will meet all applicable </w:t>
      </w:r>
      <w:smartTag w:uri="urn:schemas-microsoft-com:office:smarttags" w:element="City">
        <w:r w:rsidRPr="00357622">
          <w:t>ICA</w:t>
        </w:r>
      </w:smartTag>
      <w:r w:rsidRPr="00357622">
        <w:t xml:space="preserve"> provisions related to billing and, to the extent not included in an </w:t>
      </w:r>
      <w:smartTag w:uri="urn:schemas-microsoft-com:office:smarttags" w:element="place">
        <w:smartTag w:uri="urn:schemas-microsoft-com:office:smarttags" w:element="City">
          <w:r w:rsidRPr="00357622">
            <w:t>ICA</w:t>
          </w:r>
        </w:smartTag>
      </w:smartTag>
      <w:r w:rsidRPr="00357622">
        <w:t>, will be Ordering and Billing Forum (OBF) compliant.</w:t>
      </w:r>
    </w:p>
    <w:p w:rsidR="00357622" w:rsidRPr="00357622" w:rsidRDefault="00357622" w:rsidP="002F00FD">
      <w:pPr>
        <w:pStyle w:val="ListParagraph"/>
        <w:ind w:left="3060"/>
        <w:contextualSpacing/>
      </w:pPr>
    </w:p>
    <w:p w:rsidR="00A44F72" w:rsidRDefault="00A44F72" w:rsidP="00F269A4">
      <w:pPr>
        <w:pStyle w:val="BodyTextIndent2"/>
        <w:keepNext/>
        <w:keepLines/>
        <w:widowControl w:val="0"/>
        <w:tabs>
          <w:tab w:val="left" w:pos="-3780"/>
          <w:tab w:val="left" w:pos="-3600"/>
        </w:tabs>
        <w:ind w:left="0" w:firstLine="0"/>
        <w:rPr>
          <w:b/>
          <w:color w:val="000000"/>
        </w:rPr>
      </w:pPr>
    </w:p>
    <w:p w:rsidR="00687A09" w:rsidRDefault="00EE7676" w:rsidP="00F420C4">
      <w:pPr>
        <w:pStyle w:val="BodyTextIndent2"/>
        <w:keepNext/>
        <w:keepLines/>
        <w:widowControl w:val="0"/>
        <w:tabs>
          <w:tab w:val="left" w:pos="-3780"/>
          <w:tab w:val="left" w:pos="-3600"/>
        </w:tabs>
        <w:ind w:left="0" w:firstLine="0"/>
        <w:jc w:val="center"/>
        <w:rPr>
          <w:b/>
          <w:color w:val="000000"/>
        </w:rPr>
      </w:pPr>
      <w:r>
        <w:rPr>
          <w:b/>
          <w:color w:val="000000"/>
        </w:rPr>
        <w:t>I</w:t>
      </w:r>
      <w:r w:rsidR="00687A09">
        <w:rPr>
          <w:b/>
          <w:color w:val="000000"/>
        </w:rPr>
        <w:t>II.</w:t>
      </w:r>
      <w:r w:rsidR="00687A09">
        <w:rPr>
          <w:b/>
          <w:color w:val="000000"/>
        </w:rPr>
        <w:tab/>
        <w:t>GENERAL DESCRIPTION OF OSS</w:t>
      </w:r>
    </w:p>
    <w:p w:rsidR="00EE7676" w:rsidRPr="00A627F4" w:rsidRDefault="00EE7676" w:rsidP="00445C4A">
      <w:pPr>
        <w:pStyle w:val="BodyTextIndent2"/>
        <w:keepNext/>
        <w:keepLines/>
        <w:widowControl w:val="0"/>
        <w:tabs>
          <w:tab w:val="left" w:pos="-3780"/>
          <w:tab w:val="left" w:pos="-3600"/>
        </w:tabs>
        <w:ind w:left="0" w:firstLine="0"/>
        <w:rPr>
          <w:b/>
          <w:color w:val="000000"/>
        </w:rPr>
      </w:pPr>
    </w:p>
    <w:p w:rsidR="00184D2F" w:rsidRDefault="00184D2F" w:rsidP="00FE0749">
      <w:pPr>
        <w:pStyle w:val="BodyTextIndent2"/>
        <w:tabs>
          <w:tab w:val="left" w:pos="-3780"/>
          <w:tab w:val="left" w:pos="-3600"/>
        </w:tabs>
        <w:ind w:hanging="720"/>
        <w:rPr>
          <w:b/>
        </w:rPr>
      </w:pPr>
      <w:r w:rsidRPr="00184D2F">
        <w:rPr>
          <w:b/>
        </w:rPr>
        <w:t>Q.</w:t>
      </w:r>
      <w:r>
        <w:rPr>
          <w:b/>
        </w:rPr>
        <w:tab/>
        <w:t xml:space="preserve">What </w:t>
      </w:r>
      <w:proofErr w:type="gramStart"/>
      <w:r>
        <w:rPr>
          <w:b/>
        </w:rPr>
        <w:t>are</w:t>
      </w:r>
      <w:proofErr w:type="gramEnd"/>
      <w:r>
        <w:rPr>
          <w:b/>
        </w:rPr>
        <w:t xml:space="preserve"> OSS?</w:t>
      </w:r>
    </w:p>
    <w:p w:rsidR="00357622" w:rsidRDefault="00184D2F" w:rsidP="00357622">
      <w:pPr>
        <w:pStyle w:val="BodyTextIndent2"/>
        <w:tabs>
          <w:tab w:val="left" w:pos="-3780"/>
          <w:tab w:val="left" w:pos="-3600"/>
        </w:tabs>
        <w:ind w:hanging="720"/>
        <w:rPr>
          <w:color w:val="000000"/>
        </w:rPr>
      </w:pPr>
      <w:r w:rsidRPr="00EE7676">
        <w:t>A.</w:t>
      </w:r>
      <w:r>
        <w:rPr>
          <w:b/>
        </w:rPr>
        <w:tab/>
      </w:r>
      <w:r w:rsidR="00357622" w:rsidRPr="00A627F4">
        <w:rPr>
          <w:color w:val="000000"/>
        </w:rPr>
        <w:t>Operation</w:t>
      </w:r>
      <w:r w:rsidR="0053056C">
        <w:rPr>
          <w:color w:val="000000"/>
        </w:rPr>
        <w:t>al</w:t>
      </w:r>
      <w:r w:rsidR="00357622" w:rsidRPr="00A627F4">
        <w:rPr>
          <w:color w:val="000000"/>
        </w:rPr>
        <w:t xml:space="preserve"> support systems are generally the computer hardware and software that perform management, ordering, inventory, engineering, planning, repair, and billing functions for telecommunications service providers. </w:t>
      </w:r>
      <w:r w:rsidR="00B86DAF">
        <w:rPr>
          <w:color w:val="000000"/>
        </w:rPr>
        <w:t xml:space="preserve"> </w:t>
      </w:r>
      <w:r w:rsidR="00357622" w:rsidRPr="00A627F4">
        <w:rPr>
          <w:color w:val="000000"/>
        </w:rPr>
        <w:t xml:space="preserve">Originally, most OSS </w:t>
      </w:r>
      <w:proofErr w:type="gramStart"/>
      <w:r w:rsidR="00357622" w:rsidRPr="00A627F4">
        <w:rPr>
          <w:color w:val="000000"/>
        </w:rPr>
        <w:t>were</w:t>
      </w:r>
      <w:proofErr w:type="gramEnd"/>
      <w:r w:rsidR="00357622" w:rsidRPr="00A627F4">
        <w:rPr>
          <w:color w:val="000000"/>
        </w:rPr>
        <w:t xml:space="preserve"> manual systems that were replaced with main-frame based, stand-alone systems designed to support telephone company staff. </w:t>
      </w:r>
      <w:r w:rsidR="00B86DAF">
        <w:rPr>
          <w:color w:val="000000"/>
        </w:rPr>
        <w:t xml:space="preserve"> </w:t>
      </w:r>
      <w:r w:rsidR="00357622" w:rsidRPr="00A627F4">
        <w:rPr>
          <w:color w:val="000000"/>
        </w:rPr>
        <w:t xml:space="preserve">These systems were designed to make manual processes, through which a telephone network was operated, more efficient. Today’s service providers are required to manage a much more complex </w:t>
      </w:r>
      <w:r w:rsidR="00357622">
        <w:rPr>
          <w:color w:val="000000"/>
        </w:rPr>
        <w:t>suite</w:t>
      </w:r>
      <w:r w:rsidR="00357622" w:rsidRPr="00A627F4">
        <w:rPr>
          <w:color w:val="000000"/>
        </w:rPr>
        <w:t xml:space="preserve"> of </w:t>
      </w:r>
      <w:r w:rsidR="00357622" w:rsidRPr="00A627F4">
        <w:rPr>
          <w:color w:val="000000"/>
        </w:rPr>
        <w:lastRenderedPageBreak/>
        <w:t xml:space="preserve">services and network technologies, and in most cases the providers use information technology like routers and servers to host the systems. </w:t>
      </w:r>
    </w:p>
    <w:p w:rsidR="0069035E" w:rsidRDefault="0069035E" w:rsidP="00357622">
      <w:pPr>
        <w:pStyle w:val="BodyTextIndent2"/>
        <w:tabs>
          <w:tab w:val="left" w:pos="-3780"/>
          <w:tab w:val="left" w:pos="-3600"/>
        </w:tabs>
        <w:ind w:hanging="720"/>
        <w:rPr>
          <w:color w:val="000000"/>
        </w:rPr>
      </w:pPr>
    </w:p>
    <w:p w:rsidR="0069035E" w:rsidRDefault="0069035E" w:rsidP="00EE7676">
      <w:pPr>
        <w:pStyle w:val="BodyTextIndent2"/>
        <w:keepNext/>
        <w:tabs>
          <w:tab w:val="left" w:pos="-3780"/>
          <w:tab w:val="left" w:pos="-3600"/>
        </w:tabs>
        <w:ind w:left="0" w:firstLine="0"/>
        <w:rPr>
          <w:b/>
        </w:rPr>
      </w:pPr>
      <w:r>
        <w:rPr>
          <w:b/>
        </w:rPr>
        <w:t xml:space="preserve">Q. </w:t>
      </w:r>
      <w:r>
        <w:rPr>
          <w:b/>
        </w:rPr>
        <w:tab/>
        <w:t>How are OSS categorized?</w:t>
      </w:r>
    </w:p>
    <w:p w:rsidR="0069035E" w:rsidRDefault="0069035E" w:rsidP="00EE7676">
      <w:pPr>
        <w:pStyle w:val="BodyTextIndent2"/>
        <w:keepNext/>
        <w:tabs>
          <w:tab w:val="left" w:pos="-3780"/>
          <w:tab w:val="left" w:pos="-3600"/>
        </w:tabs>
        <w:ind w:left="0" w:firstLine="0"/>
      </w:pPr>
      <w:r w:rsidRPr="00EE7676">
        <w:t>A.</w:t>
      </w:r>
      <w:r>
        <w:t xml:space="preserve"> </w:t>
      </w:r>
      <w:r>
        <w:tab/>
        <w:t>There are basically two broad categories of OSS</w:t>
      </w:r>
      <w:r w:rsidR="002F00FD">
        <w:t>:</w:t>
      </w:r>
    </w:p>
    <w:p w:rsidR="0069035E" w:rsidRDefault="0069035E" w:rsidP="002F00FD">
      <w:pPr>
        <w:pStyle w:val="BodyTextIndent2"/>
        <w:tabs>
          <w:tab w:val="left" w:pos="-3780"/>
          <w:tab w:val="left" w:pos="-3600"/>
        </w:tabs>
        <w:spacing w:line="240" w:lineRule="auto"/>
        <w:ind w:left="1440" w:hanging="720"/>
      </w:pPr>
      <w:r>
        <w:t>1.</w:t>
      </w:r>
      <w:r w:rsidR="00EE7676">
        <w:tab/>
      </w:r>
      <w:r>
        <w:t xml:space="preserve">Retail OSS is used by the </w:t>
      </w:r>
      <w:r w:rsidR="0046573C">
        <w:t>incumbent local exchange carrier (</w:t>
      </w:r>
      <w:r w:rsidRPr="0046573C">
        <w:t>ILEC</w:t>
      </w:r>
      <w:r w:rsidR="0046573C">
        <w:t>)</w:t>
      </w:r>
      <w:r>
        <w:t xml:space="preserve"> itself in its day</w:t>
      </w:r>
      <w:r w:rsidR="0053056C">
        <w:t>-</w:t>
      </w:r>
      <w:r>
        <w:t>to</w:t>
      </w:r>
      <w:r w:rsidR="0053056C">
        <w:t>-</w:t>
      </w:r>
      <w:r>
        <w:t>day interaction with its business and residential customers.</w:t>
      </w:r>
    </w:p>
    <w:p w:rsidR="00EE7676" w:rsidRDefault="00EE7676" w:rsidP="002F00FD">
      <w:pPr>
        <w:pStyle w:val="BodyTextIndent2"/>
        <w:tabs>
          <w:tab w:val="left" w:pos="-3780"/>
          <w:tab w:val="left" w:pos="-3600"/>
        </w:tabs>
        <w:spacing w:line="240" w:lineRule="auto"/>
        <w:ind w:left="1440" w:hanging="720"/>
      </w:pPr>
    </w:p>
    <w:p w:rsidR="0069035E" w:rsidRDefault="0069035E" w:rsidP="002F00FD">
      <w:pPr>
        <w:pStyle w:val="BodyTextIndent2"/>
        <w:tabs>
          <w:tab w:val="left" w:pos="-3780"/>
          <w:tab w:val="left" w:pos="-3600"/>
        </w:tabs>
        <w:spacing w:line="240" w:lineRule="auto"/>
        <w:ind w:left="1440" w:hanging="720"/>
      </w:pPr>
      <w:r>
        <w:t>2.</w:t>
      </w:r>
      <w:r w:rsidR="00EE7676">
        <w:tab/>
      </w:r>
      <w:r>
        <w:t xml:space="preserve">Wholesale OSS was designed to meet the ILEC’s obligation </w:t>
      </w:r>
      <w:r w:rsidR="0046573C">
        <w:t>under</w:t>
      </w:r>
      <w:r>
        <w:t xml:space="preserve"> the </w:t>
      </w:r>
      <w:r w:rsidR="0046573C">
        <w:t xml:space="preserve">Telecommunications Act of </w:t>
      </w:r>
      <w:r w:rsidR="005F009A">
        <w:t>1996</w:t>
      </w:r>
      <w:r w:rsidR="0046573C">
        <w:rPr>
          <w:rStyle w:val="FootnoteReference"/>
        </w:rPr>
        <w:footnoteReference w:id="6"/>
      </w:r>
      <w:r w:rsidR="005F009A">
        <w:t xml:space="preserve"> </w:t>
      </w:r>
      <w:r w:rsidR="0046573C">
        <w:t xml:space="preserve">(Telecommunications Act) </w:t>
      </w:r>
      <w:r>
        <w:t>to provide systems for the CLECs.</w:t>
      </w:r>
      <w:r w:rsidR="0046573C">
        <w:t xml:space="preserve"> </w:t>
      </w:r>
      <w:r>
        <w:t xml:space="preserve"> Regional Bell Operating Companies (RBOCs) like Qwest </w:t>
      </w:r>
      <w:r w:rsidR="00C53533">
        <w:t xml:space="preserve">are required to </w:t>
      </w:r>
      <w:r>
        <w:t xml:space="preserve">have more stringent wholesale requirements, </w:t>
      </w:r>
      <w:r w:rsidR="007B4B1A">
        <w:t>under</w:t>
      </w:r>
      <w:r>
        <w:t xml:space="preserve"> </w:t>
      </w:r>
      <w:r w:rsidR="007B4B1A">
        <w:t>Section</w:t>
      </w:r>
      <w:r>
        <w:t xml:space="preserve"> 271 of the Telecom</w:t>
      </w:r>
      <w:r w:rsidR="0046573C">
        <w:t>munications</w:t>
      </w:r>
      <w:r>
        <w:t xml:space="preserve"> Act, than the smaller </w:t>
      </w:r>
      <w:r w:rsidR="0046573C">
        <w:t>r</w:t>
      </w:r>
      <w:r>
        <w:t xml:space="preserve">ural </w:t>
      </w:r>
      <w:r w:rsidR="0058743C">
        <w:t>local exchange carrier</w:t>
      </w:r>
      <w:r>
        <w:t xml:space="preserve">s. </w:t>
      </w:r>
    </w:p>
    <w:p w:rsidR="007D04F7" w:rsidRDefault="007D04F7" w:rsidP="002F00FD">
      <w:pPr>
        <w:pStyle w:val="BodyTextIndent2"/>
        <w:tabs>
          <w:tab w:val="left" w:pos="-3780"/>
          <w:tab w:val="left" w:pos="-3600"/>
        </w:tabs>
        <w:spacing w:line="240" w:lineRule="auto"/>
        <w:ind w:left="1440" w:hanging="720"/>
      </w:pPr>
    </w:p>
    <w:p w:rsidR="0069035E" w:rsidRDefault="0069035E" w:rsidP="002F00FD">
      <w:pPr>
        <w:pStyle w:val="BodyTextIndent2"/>
        <w:tabs>
          <w:tab w:val="left" w:pos="-3780"/>
          <w:tab w:val="left" w:pos="-3600"/>
        </w:tabs>
        <w:ind w:left="1440" w:hanging="720"/>
        <w:rPr>
          <w:color w:val="000000"/>
        </w:rPr>
      </w:pPr>
    </w:p>
    <w:p w:rsidR="00565477" w:rsidRDefault="00CC71FA" w:rsidP="00357622">
      <w:pPr>
        <w:pStyle w:val="BodyTextIndent2"/>
        <w:tabs>
          <w:tab w:val="left" w:pos="-3780"/>
          <w:tab w:val="left" w:pos="-3600"/>
        </w:tabs>
        <w:ind w:hanging="720"/>
        <w:rPr>
          <w:color w:val="000000"/>
        </w:rPr>
      </w:pPr>
      <w:r>
        <w:rPr>
          <w:b/>
          <w:color w:val="000000"/>
        </w:rPr>
        <w:t>Q.</w:t>
      </w:r>
      <w:r>
        <w:rPr>
          <w:b/>
          <w:color w:val="000000"/>
        </w:rPr>
        <w:tab/>
      </w:r>
      <w:r w:rsidR="004601E9">
        <w:rPr>
          <w:b/>
          <w:color w:val="000000"/>
        </w:rPr>
        <w:t>Does this proceeding raise any concerns for you related to retail OSS?</w:t>
      </w:r>
    </w:p>
    <w:p w:rsidR="00CC71FA" w:rsidRDefault="00CC71FA" w:rsidP="00357622">
      <w:pPr>
        <w:pStyle w:val="BodyTextIndent2"/>
        <w:tabs>
          <w:tab w:val="left" w:pos="-3780"/>
          <w:tab w:val="left" w:pos="-3600"/>
        </w:tabs>
        <w:ind w:hanging="720"/>
        <w:rPr>
          <w:color w:val="000000"/>
        </w:rPr>
      </w:pPr>
      <w:r>
        <w:rPr>
          <w:color w:val="000000"/>
        </w:rPr>
        <w:t>A.</w:t>
      </w:r>
      <w:r>
        <w:rPr>
          <w:color w:val="000000"/>
        </w:rPr>
        <w:tab/>
        <w:t>No.</w:t>
      </w:r>
      <w:r w:rsidR="00EF36F9">
        <w:rPr>
          <w:color w:val="000000"/>
        </w:rPr>
        <w:t xml:space="preserve"> </w:t>
      </w:r>
      <w:r w:rsidR="002F00FD">
        <w:rPr>
          <w:color w:val="000000"/>
        </w:rPr>
        <w:t xml:space="preserve"> </w:t>
      </w:r>
      <w:r w:rsidR="00EF36F9">
        <w:rPr>
          <w:color w:val="000000"/>
        </w:rPr>
        <w:t>None of the is</w:t>
      </w:r>
      <w:r w:rsidR="007C5FCD">
        <w:rPr>
          <w:color w:val="000000"/>
        </w:rPr>
        <w:t>s</w:t>
      </w:r>
      <w:r w:rsidR="00EF36F9">
        <w:rPr>
          <w:color w:val="000000"/>
        </w:rPr>
        <w:t>ues relate to retail OSS.</w:t>
      </w:r>
    </w:p>
    <w:p w:rsidR="00F269A4" w:rsidRPr="00AD2661" w:rsidRDefault="00F269A4" w:rsidP="00357622">
      <w:pPr>
        <w:pStyle w:val="BodyTextIndent2"/>
        <w:tabs>
          <w:tab w:val="left" w:pos="-3780"/>
          <w:tab w:val="left" w:pos="-3600"/>
        </w:tabs>
        <w:ind w:hanging="720"/>
        <w:rPr>
          <w:color w:val="000000"/>
        </w:rPr>
      </w:pPr>
    </w:p>
    <w:p w:rsidR="00565477" w:rsidRPr="00A44F72" w:rsidRDefault="00565477" w:rsidP="00565477">
      <w:pPr>
        <w:pStyle w:val="BodyTextIndent2"/>
        <w:tabs>
          <w:tab w:val="left" w:pos="-3780"/>
          <w:tab w:val="left" w:pos="-3600"/>
        </w:tabs>
        <w:ind w:hanging="720"/>
        <w:rPr>
          <w:b/>
          <w:bCs/>
        </w:rPr>
      </w:pPr>
      <w:r w:rsidRPr="00A44F72">
        <w:rPr>
          <w:b/>
        </w:rPr>
        <w:t xml:space="preserve">Q. </w:t>
      </w:r>
      <w:r w:rsidRPr="00A44F72">
        <w:rPr>
          <w:b/>
        </w:rPr>
        <w:tab/>
        <w:t xml:space="preserve">How </w:t>
      </w:r>
      <w:r>
        <w:rPr>
          <w:b/>
        </w:rPr>
        <w:t>are</w:t>
      </w:r>
      <w:r w:rsidRPr="00A44F72">
        <w:rPr>
          <w:b/>
        </w:rPr>
        <w:t xml:space="preserve"> CLECs that interconnect with and obtain network elements from an </w:t>
      </w:r>
      <w:r w:rsidR="0058743C">
        <w:rPr>
          <w:b/>
        </w:rPr>
        <w:t>ILEC</w:t>
      </w:r>
      <w:r w:rsidRPr="00A44F72">
        <w:rPr>
          <w:b/>
        </w:rPr>
        <w:t xml:space="preserve"> </w:t>
      </w:r>
      <w:r w:rsidR="0069035E">
        <w:rPr>
          <w:b/>
        </w:rPr>
        <w:t xml:space="preserve">like </w:t>
      </w:r>
      <w:r w:rsidR="0069035E" w:rsidRPr="003E1D3E">
        <w:rPr>
          <w:b/>
        </w:rPr>
        <w:t>Qwest</w:t>
      </w:r>
      <w:r w:rsidR="00563CAB">
        <w:rPr>
          <w:b/>
        </w:rPr>
        <w:t>/CenturyLink</w:t>
      </w:r>
      <w:r w:rsidR="0069035E">
        <w:rPr>
          <w:b/>
        </w:rPr>
        <w:t xml:space="preserve"> </w:t>
      </w:r>
      <w:r w:rsidRPr="00A44F72">
        <w:rPr>
          <w:b/>
        </w:rPr>
        <w:t xml:space="preserve">connected with the ILEC’s </w:t>
      </w:r>
      <w:r w:rsidR="00995181">
        <w:rPr>
          <w:b/>
        </w:rPr>
        <w:t>OSS</w:t>
      </w:r>
      <w:r w:rsidRPr="00A44F72">
        <w:rPr>
          <w:b/>
        </w:rPr>
        <w:t>?</w:t>
      </w:r>
    </w:p>
    <w:p w:rsidR="00EE7676" w:rsidRDefault="00565477" w:rsidP="00EE7676">
      <w:pPr>
        <w:autoSpaceDE w:val="0"/>
        <w:autoSpaceDN w:val="0"/>
        <w:adjustRightInd w:val="0"/>
        <w:spacing w:line="480" w:lineRule="auto"/>
        <w:ind w:left="720" w:hanging="720"/>
      </w:pPr>
      <w:r w:rsidRPr="00A627F4">
        <w:t>A.</w:t>
      </w:r>
      <w:r w:rsidRPr="00A627F4">
        <w:tab/>
        <w:t xml:space="preserve">A significant amount of the effort involved in implementing the Telecommunications Act dealt with OSS interconnection. </w:t>
      </w:r>
      <w:r w:rsidR="00B86DAF">
        <w:t xml:space="preserve"> </w:t>
      </w:r>
      <w:r w:rsidRPr="00A627F4">
        <w:t xml:space="preserve">ILECs </w:t>
      </w:r>
      <w:r w:rsidR="0046573C">
        <w:t>must</w:t>
      </w:r>
      <w:r w:rsidRPr="00A627F4">
        <w:t xml:space="preserve"> allow</w:t>
      </w:r>
      <w:r w:rsidR="00926334">
        <w:t xml:space="preserve"> </w:t>
      </w:r>
      <w:proofErr w:type="gramStart"/>
      <w:r w:rsidRPr="00A627F4">
        <w:t>competitors</w:t>
      </w:r>
      <w:proofErr w:type="gramEnd"/>
      <w:r w:rsidRPr="00A627F4">
        <w:t xml:space="preserve"> limited access to their customer databases and various OSS functions such as pre-ordering, ordering, and provisioning. </w:t>
      </w:r>
      <w:r w:rsidR="00B86DAF">
        <w:t xml:space="preserve"> </w:t>
      </w:r>
      <w:r>
        <w:t>Qwest has a</w:t>
      </w:r>
      <w:r>
        <w:rPr>
          <w:rFonts w:ascii="TimesNewRoman" w:hAnsi="TimesNewRoman" w:cs="TimesNewRoman"/>
        </w:rPr>
        <w:t xml:space="preserve"> substantial wholesale business, using systems and processes that were developed, tested, and refined as part of obtaining approval to offer long-distance services as required under Section 271 of the Telecommunications Act.</w:t>
      </w:r>
      <w:r w:rsidR="00926334">
        <w:rPr>
          <w:rFonts w:ascii="TimesNewRoman" w:hAnsi="TimesNewRoman" w:cs="TimesNewRoman"/>
        </w:rPr>
        <w:t xml:space="preserve"> </w:t>
      </w:r>
      <w:r w:rsidRPr="00A627F4">
        <w:t xml:space="preserve"> Most of the larger ILECs, like </w:t>
      </w:r>
      <w:r>
        <w:t>Qwest</w:t>
      </w:r>
      <w:r w:rsidRPr="00A627F4">
        <w:t xml:space="preserve">, have built </w:t>
      </w:r>
      <w:r w:rsidRPr="00A627F4">
        <w:lastRenderedPageBreak/>
        <w:t xml:space="preserve">sophisticated interfaces allowing CLECs </w:t>
      </w:r>
      <w:r>
        <w:t xml:space="preserve">the ability </w:t>
      </w:r>
      <w:r w:rsidRPr="00A627F4">
        <w:t xml:space="preserve">to access </w:t>
      </w:r>
      <w:r>
        <w:t>Qwest’s</w:t>
      </w:r>
      <w:r w:rsidRPr="00A627F4">
        <w:t xml:space="preserve"> OSS in a manner similar to the way th</w:t>
      </w:r>
      <w:r>
        <w:t>at</w:t>
      </w:r>
      <w:r w:rsidRPr="00A627F4">
        <w:t xml:space="preserve"> </w:t>
      </w:r>
      <w:r>
        <w:t>Qwest</w:t>
      </w:r>
      <w:r w:rsidRPr="00A627F4">
        <w:t xml:space="preserve">’s own personnel access </w:t>
      </w:r>
      <w:r w:rsidR="00926334">
        <w:t>the company’s</w:t>
      </w:r>
      <w:r>
        <w:t xml:space="preserve"> </w:t>
      </w:r>
      <w:r w:rsidRPr="00A627F4">
        <w:t xml:space="preserve">OSS. </w:t>
      </w:r>
      <w:r w:rsidR="00926334">
        <w:t xml:space="preserve"> </w:t>
      </w:r>
      <w:r>
        <w:t xml:space="preserve">Qwest’s wholesale systems </w:t>
      </w:r>
      <w:r w:rsidR="00926334">
        <w:t>were</w:t>
      </w:r>
      <w:r>
        <w:t xml:space="preserve"> developed under the auspices of Section 271 proceedings and were fully tested by third parties as required by federal and state regulatory orders. </w:t>
      </w:r>
    </w:p>
    <w:p w:rsidR="00EE7676" w:rsidRDefault="00EE7676" w:rsidP="00EE7676">
      <w:pPr>
        <w:autoSpaceDE w:val="0"/>
        <w:autoSpaceDN w:val="0"/>
        <w:adjustRightInd w:val="0"/>
        <w:spacing w:line="480" w:lineRule="auto"/>
        <w:ind w:left="720" w:hanging="720"/>
      </w:pPr>
    </w:p>
    <w:p w:rsidR="00A44F72" w:rsidRDefault="00EE7676" w:rsidP="00EE7676">
      <w:pPr>
        <w:autoSpaceDE w:val="0"/>
        <w:autoSpaceDN w:val="0"/>
        <w:adjustRightInd w:val="0"/>
        <w:spacing w:line="480" w:lineRule="auto"/>
        <w:ind w:left="720" w:hanging="720"/>
        <w:jc w:val="center"/>
        <w:rPr>
          <w:b/>
        </w:rPr>
      </w:pPr>
      <w:r w:rsidRPr="00EE7676">
        <w:rPr>
          <w:b/>
        </w:rPr>
        <w:t>IV.</w:t>
      </w:r>
      <w:r w:rsidRPr="00EE7676">
        <w:rPr>
          <w:b/>
        </w:rPr>
        <w:tab/>
      </w:r>
      <w:r w:rsidR="00687A09">
        <w:rPr>
          <w:b/>
        </w:rPr>
        <w:t>THE JOINT CLECS’ COMPLAINT</w:t>
      </w:r>
    </w:p>
    <w:p w:rsidR="00EE7676" w:rsidRPr="00EE7676" w:rsidRDefault="00EE7676" w:rsidP="00EE7676">
      <w:pPr>
        <w:autoSpaceDE w:val="0"/>
        <w:autoSpaceDN w:val="0"/>
        <w:adjustRightInd w:val="0"/>
        <w:spacing w:line="480" w:lineRule="auto"/>
        <w:ind w:left="720" w:hanging="720"/>
        <w:jc w:val="center"/>
      </w:pPr>
    </w:p>
    <w:p w:rsidR="00B9040A" w:rsidRDefault="00992EC8">
      <w:pPr>
        <w:pStyle w:val="BodyTextIndent2"/>
        <w:tabs>
          <w:tab w:val="left" w:pos="-3780"/>
          <w:tab w:val="left" w:pos="-3600"/>
        </w:tabs>
        <w:ind w:left="0" w:firstLine="0"/>
        <w:rPr>
          <w:b/>
        </w:rPr>
      </w:pPr>
      <w:r>
        <w:rPr>
          <w:b/>
        </w:rPr>
        <w:t xml:space="preserve">Q. </w:t>
      </w:r>
      <w:r>
        <w:rPr>
          <w:b/>
        </w:rPr>
        <w:tab/>
      </w:r>
      <w:r w:rsidR="00094A6A">
        <w:rPr>
          <w:b/>
        </w:rPr>
        <w:t>What is the subject of this complaint proceeding?</w:t>
      </w:r>
    </w:p>
    <w:p w:rsidR="00B9040A" w:rsidRDefault="00992EC8" w:rsidP="00094A6A">
      <w:pPr>
        <w:pStyle w:val="BodyTextIndent2"/>
        <w:tabs>
          <w:tab w:val="left" w:pos="-3780"/>
          <w:tab w:val="left" w:pos="-3600"/>
        </w:tabs>
        <w:ind w:hanging="720"/>
      </w:pPr>
      <w:r w:rsidRPr="00EE7676">
        <w:t>A.</w:t>
      </w:r>
      <w:r>
        <w:t xml:space="preserve"> </w:t>
      </w:r>
      <w:r>
        <w:tab/>
        <w:t xml:space="preserve"> </w:t>
      </w:r>
      <w:r w:rsidR="00094A6A">
        <w:t xml:space="preserve">The </w:t>
      </w:r>
      <w:r w:rsidR="00926334">
        <w:t>J</w:t>
      </w:r>
      <w:r w:rsidR="00094A6A">
        <w:t xml:space="preserve">oint </w:t>
      </w:r>
      <w:proofErr w:type="spellStart"/>
      <w:r w:rsidR="00094A6A">
        <w:t>CLECs</w:t>
      </w:r>
      <w:proofErr w:type="spellEnd"/>
      <w:r w:rsidR="00094A6A">
        <w:t xml:space="preserve"> contend</w:t>
      </w:r>
      <w:r w:rsidR="00406789">
        <w:t xml:space="preserve"> that Qwest/CenturyLink intended to integrate, retire, and/or replace the </w:t>
      </w:r>
      <w:r w:rsidR="00914C6D">
        <w:t xml:space="preserve">legacy </w:t>
      </w:r>
      <w:r w:rsidR="00406789">
        <w:t>Qwest maintenance and repair OSS without regard to the provisions set forth in the OSS Settlement Conditions that had been agreed to by the merging companies.</w:t>
      </w:r>
      <w:r w:rsidR="006144B4">
        <w:t xml:space="preserve"> </w:t>
      </w:r>
    </w:p>
    <w:p w:rsidR="00A44F72" w:rsidRPr="00A627F4" w:rsidRDefault="00A44F72" w:rsidP="00A44F72">
      <w:pPr>
        <w:pStyle w:val="BodyTextIndent2"/>
        <w:tabs>
          <w:tab w:val="left" w:pos="-3780"/>
          <w:tab w:val="left" w:pos="-3600"/>
          <w:tab w:val="left" w:pos="840"/>
        </w:tabs>
        <w:rPr>
          <w:b/>
          <w:bCs/>
        </w:rPr>
      </w:pPr>
    </w:p>
    <w:p w:rsidR="00A44F72" w:rsidRPr="00A44F72" w:rsidRDefault="00A44F72" w:rsidP="00A44F72">
      <w:pPr>
        <w:pStyle w:val="BodyTextIndent2"/>
        <w:tabs>
          <w:tab w:val="left" w:pos="-3780"/>
          <w:tab w:val="left" w:pos="-3600"/>
        </w:tabs>
        <w:ind w:hanging="720"/>
        <w:rPr>
          <w:b/>
          <w:bCs/>
        </w:rPr>
      </w:pPr>
      <w:r w:rsidRPr="00A44F72">
        <w:rPr>
          <w:b/>
        </w:rPr>
        <w:t xml:space="preserve">Q. </w:t>
      </w:r>
      <w:r w:rsidRPr="00A44F72">
        <w:rPr>
          <w:b/>
        </w:rPr>
        <w:tab/>
      </w:r>
      <w:r w:rsidR="00094A6A">
        <w:rPr>
          <w:b/>
        </w:rPr>
        <w:t>W</w:t>
      </w:r>
      <w:r w:rsidR="00BD47FB">
        <w:rPr>
          <w:b/>
        </w:rPr>
        <w:t>h</w:t>
      </w:r>
      <w:r w:rsidR="00E16933">
        <w:rPr>
          <w:b/>
        </w:rPr>
        <w:t>ich</w:t>
      </w:r>
      <w:r w:rsidR="00BD47FB">
        <w:rPr>
          <w:b/>
        </w:rPr>
        <w:t xml:space="preserve"> </w:t>
      </w:r>
      <w:r w:rsidR="00094A6A">
        <w:rPr>
          <w:b/>
        </w:rPr>
        <w:t xml:space="preserve">OSS </w:t>
      </w:r>
      <w:proofErr w:type="gramStart"/>
      <w:r w:rsidR="00094A6A">
        <w:rPr>
          <w:b/>
        </w:rPr>
        <w:t>are</w:t>
      </w:r>
      <w:proofErr w:type="gramEnd"/>
      <w:r w:rsidR="00094A6A">
        <w:rPr>
          <w:b/>
        </w:rPr>
        <w:t xml:space="preserve"> </w:t>
      </w:r>
      <w:r w:rsidR="00E16933">
        <w:rPr>
          <w:b/>
        </w:rPr>
        <w:t>implicated in th</w:t>
      </w:r>
      <w:r w:rsidR="00E67944">
        <w:rPr>
          <w:b/>
        </w:rPr>
        <w:t>is</w:t>
      </w:r>
      <w:r w:rsidR="00E16933">
        <w:rPr>
          <w:b/>
        </w:rPr>
        <w:t xml:space="preserve"> proceeding</w:t>
      </w:r>
      <w:r w:rsidRPr="00A44F72">
        <w:rPr>
          <w:b/>
        </w:rPr>
        <w:t>?</w:t>
      </w:r>
    </w:p>
    <w:p w:rsidR="000A0B6E" w:rsidRDefault="00A44F72" w:rsidP="00402E76">
      <w:pPr>
        <w:autoSpaceDE w:val="0"/>
        <w:autoSpaceDN w:val="0"/>
        <w:adjustRightInd w:val="0"/>
        <w:spacing w:line="480" w:lineRule="auto"/>
        <w:ind w:left="720" w:hanging="720"/>
      </w:pPr>
      <w:r w:rsidRPr="00A627F4">
        <w:t>A.</w:t>
      </w:r>
      <w:r w:rsidRPr="00A627F4">
        <w:tab/>
      </w:r>
      <w:r w:rsidR="00094A6A">
        <w:t xml:space="preserve">Legacy Qwest submitted a change request to the Change </w:t>
      </w:r>
      <w:r w:rsidR="00BD47FB">
        <w:t>Management Process</w:t>
      </w:r>
      <w:r w:rsidR="00094A6A">
        <w:t xml:space="preserve"> (CMP) in November </w:t>
      </w:r>
      <w:r w:rsidR="006144B4">
        <w:t xml:space="preserve">10, </w:t>
      </w:r>
      <w:r w:rsidR="00094A6A">
        <w:t>2010</w:t>
      </w:r>
      <w:r w:rsidR="003D4187">
        <w:t>,</w:t>
      </w:r>
      <w:r w:rsidR="00094A6A">
        <w:t xml:space="preserve"> stating that Qwest intended to retire </w:t>
      </w:r>
      <w:r w:rsidR="00030740">
        <w:t xml:space="preserve">the </w:t>
      </w:r>
      <w:r w:rsidR="0046486D">
        <w:t xml:space="preserve">legacy maintenance and </w:t>
      </w:r>
      <w:r w:rsidR="00030740">
        <w:t>repair OSS</w:t>
      </w:r>
      <w:r w:rsidR="00BD47FB">
        <w:t xml:space="preserve"> that CLECs use to communicate with Qwest.</w:t>
      </w:r>
      <w:r w:rsidR="002F00FD">
        <w:t xml:space="preserve"> </w:t>
      </w:r>
      <w:r w:rsidR="00BD47FB">
        <w:t xml:space="preserve"> The two OSS involved are MEDIACC and CEMR.</w:t>
      </w:r>
      <w:r w:rsidR="00094A6A">
        <w:t xml:space="preserve">  </w:t>
      </w:r>
    </w:p>
    <w:p w:rsidR="00717EB6" w:rsidRDefault="00717EB6" w:rsidP="00402E76">
      <w:pPr>
        <w:autoSpaceDE w:val="0"/>
        <w:autoSpaceDN w:val="0"/>
        <w:adjustRightInd w:val="0"/>
        <w:spacing w:line="480" w:lineRule="auto"/>
        <w:ind w:left="720" w:hanging="720"/>
      </w:pPr>
    </w:p>
    <w:p w:rsidR="00030740" w:rsidRDefault="00030740" w:rsidP="007D04F7">
      <w:pPr>
        <w:keepNext/>
        <w:autoSpaceDE w:val="0"/>
        <w:autoSpaceDN w:val="0"/>
        <w:adjustRightInd w:val="0"/>
        <w:spacing w:line="480" w:lineRule="auto"/>
        <w:ind w:left="720" w:hanging="720"/>
        <w:rPr>
          <w:b/>
        </w:rPr>
      </w:pPr>
      <w:r>
        <w:rPr>
          <w:b/>
        </w:rPr>
        <w:t>Q.</w:t>
      </w:r>
      <w:r>
        <w:t xml:space="preserve"> </w:t>
      </w:r>
      <w:r>
        <w:tab/>
      </w:r>
      <w:r>
        <w:rPr>
          <w:b/>
        </w:rPr>
        <w:t>What is MEDIACC?</w:t>
      </w:r>
    </w:p>
    <w:p w:rsidR="00030740" w:rsidRDefault="00030740" w:rsidP="00720DE5">
      <w:pPr>
        <w:autoSpaceDE w:val="0"/>
        <w:autoSpaceDN w:val="0"/>
        <w:adjustRightInd w:val="0"/>
        <w:spacing w:line="480" w:lineRule="auto"/>
        <w:ind w:left="720" w:hanging="720"/>
      </w:pPr>
      <w:r w:rsidRPr="00EE7676">
        <w:t>A.</w:t>
      </w:r>
      <w:r w:rsidRPr="00EE7676">
        <w:tab/>
      </w:r>
      <w:r>
        <w:t>MEDIACC is a B2B interface that allows Qwest wholesale customers to submit electronic requests for repair using their own computer systems.</w:t>
      </w:r>
    </w:p>
    <w:p w:rsidR="008E2A64" w:rsidRDefault="008E2A64" w:rsidP="00030740">
      <w:pPr>
        <w:autoSpaceDE w:val="0"/>
        <w:autoSpaceDN w:val="0"/>
        <w:adjustRightInd w:val="0"/>
        <w:spacing w:line="480" w:lineRule="auto"/>
        <w:ind w:left="720" w:hanging="720"/>
      </w:pPr>
    </w:p>
    <w:p w:rsidR="005454E8" w:rsidRDefault="005454E8" w:rsidP="00EE7676">
      <w:pPr>
        <w:keepNext/>
        <w:autoSpaceDE w:val="0"/>
        <w:autoSpaceDN w:val="0"/>
        <w:adjustRightInd w:val="0"/>
        <w:spacing w:line="480" w:lineRule="auto"/>
        <w:ind w:left="720" w:hanging="720"/>
        <w:rPr>
          <w:b/>
        </w:rPr>
      </w:pPr>
      <w:r>
        <w:rPr>
          <w:b/>
        </w:rPr>
        <w:t>Q.</w:t>
      </w:r>
      <w:r>
        <w:tab/>
      </w:r>
      <w:r w:rsidRPr="005454E8">
        <w:rPr>
          <w:b/>
        </w:rPr>
        <w:t>What is a B2B interface?</w:t>
      </w:r>
    </w:p>
    <w:p w:rsidR="008E2A64" w:rsidRDefault="005454E8" w:rsidP="00EE7676">
      <w:pPr>
        <w:keepNext/>
        <w:autoSpaceDE w:val="0"/>
        <w:autoSpaceDN w:val="0"/>
        <w:adjustRightInd w:val="0"/>
        <w:spacing w:line="480" w:lineRule="auto"/>
        <w:ind w:left="720" w:hanging="720"/>
      </w:pPr>
      <w:r w:rsidRPr="00EE7676">
        <w:t>A.</w:t>
      </w:r>
      <w:r w:rsidRPr="00EE7676">
        <w:tab/>
      </w:r>
      <w:r w:rsidR="007B4873">
        <w:t>A B2B interface, sometimes referred to as a computer-to-computer interface, allows one company’s computer system to communicate directly with another company’s computer system and pass information between both systems with no human contact.</w:t>
      </w:r>
      <w:r w:rsidR="002F00FD">
        <w:t xml:space="preserve"> </w:t>
      </w:r>
      <w:r w:rsidR="007B4873">
        <w:t xml:space="preserve"> For this </w:t>
      </w:r>
      <w:r w:rsidR="008E2A64">
        <w:t xml:space="preserve">interface </w:t>
      </w:r>
      <w:r w:rsidR="007B4873">
        <w:t>to function correctly both companies must program their systems to transmit and receive information using the same protocols.</w:t>
      </w:r>
    </w:p>
    <w:p w:rsidR="005454E8" w:rsidRDefault="007B4873" w:rsidP="00402E76">
      <w:pPr>
        <w:autoSpaceDE w:val="0"/>
        <w:autoSpaceDN w:val="0"/>
        <w:adjustRightInd w:val="0"/>
        <w:spacing w:line="480" w:lineRule="auto"/>
        <w:ind w:left="720" w:hanging="720"/>
      </w:pPr>
      <w:r>
        <w:t xml:space="preserve"> </w:t>
      </w:r>
    </w:p>
    <w:p w:rsidR="00030740" w:rsidRDefault="00030740" w:rsidP="00030740">
      <w:pPr>
        <w:autoSpaceDE w:val="0"/>
        <w:autoSpaceDN w:val="0"/>
        <w:adjustRightInd w:val="0"/>
        <w:spacing w:line="480" w:lineRule="auto"/>
        <w:ind w:left="720" w:hanging="720"/>
        <w:rPr>
          <w:b/>
        </w:rPr>
      </w:pPr>
      <w:r>
        <w:rPr>
          <w:b/>
        </w:rPr>
        <w:t>Q.</w:t>
      </w:r>
      <w:r>
        <w:tab/>
      </w:r>
      <w:r w:rsidRPr="001C06F1">
        <w:rPr>
          <w:b/>
        </w:rPr>
        <w:t>What is CEMR</w:t>
      </w:r>
      <w:r>
        <w:rPr>
          <w:b/>
        </w:rPr>
        <w:t>?</w:t>
      </w:r>
    </w:p>
    <w:p w:rsidR="00030740" w:rsidRDefault="00030740" w:rsidP="00030740">
      <w:pPr>
        <w:autoSpaceDE w:val="0"/>
        <w:autoSpaceDN w:val="0"/>
        <w:adjustRightInd w:val="0"/>
        <w:spacing w:line="480" w:lineRule="auto"/>
        <w:ind w:left="720" w:hanging="720"/>
      </w:pPr>
      <w:r w:rsidRPr="00EE7676">
        <w:t>A.</w:t>
      </w:r>
      <w:r w:rsidRPr="00EE7676">
        <w:tab/>
      </w:r>
      <w:r w:rsidRPr="001C06F1">
        <w:t>CEMR</w:t>
      </w:r>
      <w:r>
        <w:t xml:space="preserve"> is a </w:t>
      </w:r>
      <w:r w:rsidR="00487DB1">
        <w:t>Graphical U</w:t>
      </w:r>
      <w:r w:rsidR="00AF1ED5">
        <w:t>ser Interface (</w:t>
      </w:r>
      <w:r>
        <w:t>GUI</w:t>
      </w:r>
      <w:r w:rsidR="00AF1ED5">
        <w:t>)</w:t>
      </w:r>
      <w:r>
        <w:t xml:space="preserve"> that allows Qwest wholesale customers to submit electronic repair requests via the Internet.</w:t>
      </w:r>
      <w:r w:rsidR="008E2A64">
        <w:t xml:space="preserve"> </w:t>
      </w:r>
      <w:r>
        <w:t xml:space="preserve"> CEMR passes information to</w:t>
      </w:r>
      <w:r w:rsidR="00E62D15">
        <w:t xml:space="preserve"> and </w:t>
      </w:r>
      <w:r>
        <w:t>from MEDIACC</w:t>
      </w:r>
      <w:r w:rsidR="00923FED">
        <w:t>, which</w:t>
      </w:r>
      <w:r>
        <w:t xml:space="preserve"> </w:t>
      </w:r>
      <w:r w:rsidR="00923FED">
        <w:t>accesses</w:t>
      </w:r>
      <w:r>
        <w:t xml:space="preserve"> Qwest</w:t>
      </w:r>
      <w:r w:rsidR="00923FED">
        <w:t>’s</w:t>
      </w:r>
      <w:r>
        <w:t xml:space="preserve"> internal OSS.</w:t>
      </w:r>
    </w:p>
    <w:p w:rsidR="008E2A64" w:rsidRDefault="008E2A64" w:rsidP="00030740">
      <w:pPr>
        <w:autoSpaceDE w:val="0"/>
        <w:autoSpaceDN w:val="0"/>
        <w:adjustRightInd w:val="0"/>
        <w:spacing w:line="480" w:lineRule="auto"/>
        <w:ind w:left="720" w:hanging="720"/>
      </w:pPr>
    </w:p>
    <w:p w:rsidR="001C06F1" w:rsidRDefault="001C06F1" w:rsidP="00402E76">
      <w:pPr>
        <w:autoSpaceDE w:val="0"/>
        <w:autoSpaceDN w:val="0"/>
        <w:adjustRightInd w:val="0"/>
        <w:spacing w:line="480" w:lineRule="auto"/>
        <w:ind w:left="720" w:hanging="720"/>
      </w:pPr>
      <w:r>
        <w:rPr>
          <w:b/>
        </w:rPr>
        <w:t>Q.</w:t>
      </w:r>
      <w:r>
        <w:tab/>
      </w:r>
      <w:r w:rsidRPr="001C06F1">
        <w:rPr>
          <w:b/>
        </w:rPr>
        <w:t>What is a Graphical User Interface (GUI)</w:t>
      </w:r>
      <w:r>
        <w:rPr>
          <w:b/>
        </w:rPr>
        <w:t>?</w:t>
      </w:r>
    </w:p>
    <w:p w:rsidR="001C06F1" w:rsidRDefault="001C06F1" w:rsidP="00402E76">
      <w:pPr>
        <w:autoSpaceDE w:val="0"/>
        <w:autoSpaceDN w:val="0"/>
        <w:adjustRightInd w:val="0"/>
        <w:spacing w:line="480" w:lineRule="auto"/>
        <w:ind w:left="720" w:hanging="720"/>
      </w:pPr>
      <w:r w:rsidRPr="00EE7676">
        <w:t>A.</w:t>
      </w:r>
      <w:r w:rsidRPr="00EE7676">
        <w:tab/>
        <w:t>A</w:t>
      </w:r>
      <w:r>
        <w:t xml:space="preserve"> GUI is a human-to-computer interface (as opposed to a computer-to-computer interface)</w:t>
      </w:r>
      <w:r w:rsidR="002F00FD">
        <w:t>,</w:t>
      </w:r>
      <w:r>
        <w:t xml:space="preserve"> which allows a human user to interact with a computer system by navigating screens and/or menus while entering prompted information.</w:t>
      </w:r>
    </w:p>
    <w:p w:rsidR="008E2A64" w:rsidRDefault="008E2A64" w:rsidP="00402E76">
      <w:pPr>
        <w:autoSpaceDE w:val="0"/>
        <w:autoSpaceDN w:val="0"/>
        <w:adjustRightInd w:val="0"/>
        <w:spacing w:line="480" w:lineRule="auto"/>
        <w:ind w:left="720" w:hanging="720"/>
      </w:pPr>
    </w:p>
    <w:p w:rsidR="0085064D" w:rsidRDefault="0085064D" w:rsidP="007D04F7">
      <w:pPr>
        <w:keepNext/>
        <w:autoSpaceDE w:val="0"/>
        <w:autoSpaceDN w:val="0"/>
        <w:adjustRightInd w:val="0"/>
        <w:spacing w:line="480" w:lineRule="auto"/>
        <w:ind w:left="720" w:hanging="720"/>
        <w:rPr>
          <w:b/>
        </w:rPr>
      </w:pPr>
      <w:r>
        <w:rPr>
          <w:b/>
        </w:rPr>
        <w:t>Q.</w:t>
      </w:r>
      <w:r>
        <w:t xml:space="preserve"> </w:t>
      </w:r>
      <w:r>
        <w:tab/>
      </w:r>
      <w:r>
        <w:rPr>
          <w:b/>
        </w:rPr>
        <w:t>What action prompted this complaint by the CLECs?</w:t>
      </w:r>
    </w:p>
    <w:p w:rsidR="0085064D" w:rsidRDefault="0085064D" w:rsidP="007D04F7">
      <w:pPr>
        <w:keepNext/>
        <w:autoSpaceDE w:val="0"/>
        <w:autoSpaceDN w:val="0"/>
        <w:adjustRightInd w:val="0"/>
        <w:spacing w:line="480" w:lineRule="auto"/>
        <w:ind w:left="720" w:hanging="720"/>
      </w:pPr>
      <w:r w:rsidRPr="00EE7676">
        <w:t>A.</w:t>
      </w:r>
      <w:r w:rsidRPr="00EE7676">
        <w:tab/>
      </w:r>
      <w:r>
        <w:t xml:space="preserve">Legacy Qwest submitted a change request </w:t>
      </w:r>
      <w:r w:rsidR="00F33886">
        <w:t>through</w:t>
      </w:r>
      <w:r>
        <w:t xml:space="preserve"> the </w:t>
      </w:r>
      <w:r w:rsidR="00F33886">
        <w:t xml:space="preserve">CMP (Change Management Process) </w:t>
      </w:r>
      <w:r w:rsidR="001228B2">
        <w:t>o</w:t>
      </w:r>
      <w:r>
        <w:t>n November</w:t>
      </w:r>
      <w:r w:rsidR="00E67944">
        <w:t xml:space="preserve"> 10</w:t>
      </w:r>
      <w:r w:rsidR="001228B2">
        <w:t>, 2010</w:t>
      </w:r>
      <w:r w:rsidR="006952FC">
        <w:t>,</w:t>
      </w:r>
      <w:r w:rsidR="003C38E2">
        <w:rPr>
          <w:rStyle w:val="FootnoteReference"/>
        </w:rPr>
        <w:footnoteReference w:id="7"/>
      </w:r>
      <w:r>
        <w:t xml:space="preserve"> to retire both MEDIACC and CEMR</w:t>
      </w:r>
      <w:r w:rsidR="00B71920">
        <w:t xml:space="preserve"> </w:t>
      </w:r>
      <w:r w:rsidR="00800183">
        <w:t xml:space="preserve">and replace them with </w:t>
      </w:r>
      <w:r w:rsidR="00B71920">
        <w:t xml:space="preserve">a new </w:t>
      </w:r>
      <w:r w:rsidR="00800183">
        <w:t xml:space="preserve">maintenance and </w:t>
      </w:r>
      <w:r w:rsidR="00B71920">
        <w:t>repair system</w:t>
      </w:r>
      <w:r w:rsidR="00800183">
        <w:t>,</w:t>
      </w:r>
      <w:r w:rsidR="00B71920">
        <w:t xml:space="preserve"> MTG</w:t>
      </w:r>
      <w:r w:rsidR="008E2A64">
        <w:t xml:space="preserve">. </w:t>
      </w:r>
      <w:r w:rsidR="003C38E2">
        <w:t xml:space="preserve"> </w:t>
      </w:r>
      <w:r w:rsidR="008E2A64">
        <w:t>T</w:t>
      </w:r>
      <w:r w:rsidR="003C38E2">
        <w:t xml:space="preserve">he </w:t>
      </w:r>
      <w:r w:rsidR="00E16933">
        <w:t xml:space="preserve">Joint </w:t>
      </w:r>
      <w:r w:rsidR="003C38E2">
        <w:t xml:space="preserve">CLECs believe </w:t>
      </w:r>
      <w:r w:rsidR="008E2A64">
        <w:t xml:space="preserve">that the </w:t>
      </w:r>
      <w:r w:rsidR="0000355E">
        <w:t>retirement of MEDIACC and CEMR</w:t>
      </w:r>
      <w:r w:rsidR="00800183">
        <w:t>,</w:t>
      </w:r>
      <w:r w:rsidR="0000355E">
        <w:t xml:space="preserve"> and their replacement with MTG</w:t>
      </w:r>
      <w:r w:rsidR="00800183">
        <w:t>,</w:t>
      </w:r>
      <w:r w:rsidR="008E2A64">
        <w:t xml:space="preserve"> </w:t>
      </w:r>
      <w:r w:rsidR="00954F9D">
        <w:t xml:space="preserve">prior </w:t>
      </w:r>
      <w:r w:rsidR="00954F9D">
        <w:lastRenderedPageBreak/>
        <w:t xml:space="preserve">to the completion of the 30 month settlement period would have </w:t>
      </w:r>
      <w:r w:rsidR="003C38E2">
        <w:t>violate</w:t>
      </w:r>
      <w:r w:rsidR="00954F9D">
        <w:t>d</w:t>
      </w:r>
      <w:r w:rsidR="00B732F6">
        <w:t xml:space="preserve"> the </w:t>
      </w:r>
      <w:r w:rsidR="008E2A64">
        <w:t>OSS</w:t>
      </w:r>
      <w:r w:rsidR="003C38E2">
        <w:t xml:space="preserve"> </w:t>
      </w:r>
      <w:r w:rsidR="008E2A64">
        <w:t>S</w:t>
      </w:r>
      <w:r w:rsidR="003C38E2">
        <w:t xml:space="preserve">ettlement </w:t>
      </w:r>
      <w:r w:rsidR="008E2A64">
        <w:t>Conditions and Order 14</w:t>
      </w:r>
      <w:r>
        <w:t>.</w:t>
      </w:r>
      <w:r w:rsidR="00C55AE0">
        <w:t xml:space="preserve"> </w:t>
      </w:r>
      <w:r w:rsidR="006144B4">
        <w:t xml:space="preserve"> </w:t>
      </w:r>
      <w:r w:rsidR="00B71920">
        <w:t>Subsequently</w:t>
      </w:r>
      <w:r w:rsidR="00C55AE0">
        <w:t>,</w:t>
      </w:r>
      <w:r w:rsidR="00B71920">
        <w:t xml:space="preserve"> the CLECs filed the complaint “against the joint applicants regarding OSS for maintenance and repair</w:t>
      </w:r>
      <w:r w:rsidR="00F82B04">
        <w:t>,</w:t>
      </w:r>
      <w:r w:rsidR="00B71920">
        <w:t>” docketed as UT-111254, on July 11, 2011.</w:t>
      </w:r>
    </w:p>
    <w:p w:rsidR="00F33886" w:rsidRDefault="00F33886" w:rsidP="00402E76">
      <w:pPr>
        <w:autoSpaceDE w:val="0"/>
        <w:autoSpaceDN w:val="0"/>
        <w:adjustRightInd w:val="0"/>
        <w:spacing w:line="480" w:lineRule="auto"/>
        <w:ind w:left="720" w:hanging="720"/>
      </w:pPr>
    </w:p>
    <w:p w:rsidR="00F33886" w:rsidRDefault="00F33886" w:rsidP="00F33886">
      <w:pPr>
        <w:autoSpaceDE w:val="0"/>
        <w:autoSpaceDN w:val="0"/>
        <w:adjustRightInd w:val="0"/>
        <w:spacing w:line="480" w:lineRule="auto"/>
        <w:ind w:left="720" w:hanging="720"/>
      </w:pPr>
      <w:r w:rsidRPr="00BD47FB">
        <w:rPr>
          <w:b/>
        </w:rPr>
        <w:t>Q.</w:t>
      </w:r>
      <w:r>
        <w:t xml:space="preserve"> </w:t>
      </w:r>
      <w:r>
        <w:tab/>
      </w:r>
      <w:r w:rsidRPr="005454E8">
        <w:rPr>
          <w:b/>
        </w:rPr>
        <w:t xml:space="preserve">Please </w:t>
      </w:r>
      <w:r w:rsidR="008E2A64">
        <w:rPr>
          <w:b/>
        </w:rPr>
        <w:t xml:space="preserve">briefly </w:t>
      </w:r>
      <w:r w:rsidRPr="005454E8">
        <w:rPr>
          <w:b/>
        </w:rPr>
        <w:t xml:space="preserve">explain </w:t>
      </w:r>
      <w:r w:rsidR="008E2A64">
        <w:rPr>
          <w:b/>
        </w:rPr>
        <w:t xml:space="preserve">the </w:t>
      </w:r>
      <w:r w:rsidRPr="005454E8">
        <w:rPr>
          <w:b/>
        </w:rPr>
        <w:t xml:space="preserve">Change Management Process </w:t>
      </w:r>
      <w:r>
        <w:rPr>
          <w:b/>
        </w:rPr>
        <w:t>(CMP)</w:t>
      </w:r>
      <w:r w:rsidR="008E2A64">
        <w:rPr>
          <w:b/>
        </w:rPr>
        <w:t>.</w:t>
      </w:r>
    </w:p>
    <w:p w:rsidR="00F33886" w:rsidRDefault="00F33886" w:rsidP="00E67944">
      <w:pPr>
        <w:autoSpaceDE w:val="0"/>
        <w:autoSpaceDN w:val="0"/>
        <w:adjustRightInd w:val="0"/>
        <w:spacing w:line="480" w:lineRule="auto"/>
        <w:ind w:left="720" w:hanging="720"/>
      </w:pPr>
      <w:r w:rsidRPr="00EE7676">
        <w:t>A.</w:t>
      </w:r>
      <w:r w:rsidRPr="00EE7676">
        <w:tab/>
      </w:r>
      <w:r w:rsidRPr="00BD47FB">
        <w:t xml:space="preserve">Change </w:t>
      </w:r>
      <w:r w:rsidR="00381DE0">
        <w:t>m</w:t>
      </w:r>
      <w:r w:rsidR="00381DE0" w:rsidRPr="00BD47FB">
        <w:t xml:space="preserve">anagement </w:t>
      </w:r>
      <w:r w:rsidRPr="00BD47FB">
        <w:t>is the process of introducing controlled change</w:t>
      </w:r>
      <w:r>
        <w:rPr>
          <w:b/>
        </w:rPr>
        <w:t xml:space="preserve"> </w:t>
      </w:r>
      <w:r w:rsidRPr="00BD47FB">
        <w:t xml:space="preserve">during a </w:t>
      </w:r>
      <w:r w:rsidR="002A5A08">
        <w:t>system</w:t>
      </w:r>
      <w:r w:rsidR="002A5A08" w:rsidRPr="00BD47FB">
        <w:t xml:space="preserve"> </w:t>
      </w:r>
      <w:r w:rsidRPr="00BD47FB">
        <w:t xml:space="preserve">life cycle. </w:t>
      </w:r>
      <w:r w:rsidR="00B86DAF">
        <w:t xml:space="preserve"> </w:t>
      </w:r>
      <w:r w:rsidRPr="00BD47FB">
        <w:t xml:space="preserve">The intent </w:t>
      </w:r>
      <w:r>
        <w:t xml:space="preserve">is to evaluate risk, at the end-user level, against the urgency and importance of the change. </w:t>
      </w:r>
      <w:r w:rsidR="00B86DAF">
        <w:t xml:space="preserve"> </w:t>
      </w:r>
      <w:r>
        <w:t xml:space="preserve">The specific Change Management Process (CMP) used by legacy Qwest, now </w:t>
      </w:r>
      <w:r w:rsidR="00F82B04">
        <w:t>Qwest/</w:t>
      </w:r>
      <w:r>
        <w:t xml:space="preserve">CenturyLink, was developed to facilitate a fair discussion between </w:t>
      </w:r>
      <w:r w:rsidR="008E2A64">
        <w:t xml:space="preserve">the ILEC </w:t>
      </w:r>
      <w:r>
        <w:t xml:space="preserve">and the CLECs when software </w:t>
      </w:r>
      <w:r w:rsidR="001228B2">
        <w:t xml:space="preserve">or hardware </w:t>
      </w:r>
      <w:r>
        <w:t>changes that might affect the CLECs</w:t>
      </w:r>
      <w:r w:rsidR="008E2A64">
        <w:t>’</w:t>
      </w:r>
      <w:r>
        <w:t xml:space="preserve"> process</w:t>
      </w:r>
      <w:r w:rsidR="00E67944">
        <w:t xml:space="preserve"> were indicated.  Typically</w:t>
      </w:r>
      <w:r w:rsidR="001228B2">
        <w:t>,</w:t>
      </w:r>
      <w:r w:rsidR="00E67944">
        <w:t xml:space="preserve"> </w:t>
      </w:r>
      <w:r w:rsidR="007C1501">
        <w:t xml:space="preserve">legacy Qwest would request </w:t>
      </w:r>
      <w:r w:rsidR="00E67944">
        <w:t xml:space="preserve">such changes </w:t>
      </w:r>
      <w:r>
        <w:t xml:space="preserve">to upgrade or fix issues with OSS. </w:t>
      </w:r>
    </w:p>
    <w:p w:rsidR="00F33886" w:rsidRDefault="00F33886" w:rsidP="00402E76">
      <w:pPr>
        <w:autoSpaceDE w:val="0"/>
        <w:autoSpaceDN w:val="0"/>
        <w:adjustRightInd w:val="0"/>
        <w:spacing w:line="480" w:lineRule="auto"/>
        <w:ind w:left="720" w:hanging="720"/>
      </w:pPr>
    </w:p>
    <w:p w:rsidR="000B0EB7" w:rsidRDefault="000B0EB7" w:rsidP="00402E76">
      <w:pPr>
        <w:autoSpaceDE w:val="0"/>
        <w:autoSpaceDN w:val="0"/>
        <w:adjustRightInd w:val="0"/>
        <w:spacing w:line="480" w:lineRule="auto"/>
        <w:ind w:left="720" w:hanging="720"/>
        <w:rPr>
          <w:b/>
        </w:rPr>
      </w:pPr>
      <w:r>
        <w:rPr>
          <w:b/>
        </w:rPr>
        <w:t>Q.</w:t>
      </w:r>
      <w:r>
        <w:t xml:space="preserve"> </w:t>
      </w:r>
      <w:r>
        <w:tab/>
      </w:r>
      <w:r w:rsidR="00487DB1">
        <w:rPr>
          <w:b/>
        </w:rPr>
        <w:t xml:space="preserve">When did </w:t>
      </w:r>
      <w:r w:rsidR="00E62D15">
        <w:rPr>
          <w:b/>
        </w:rPr>
        <w:t xml:space="preserve">Staff discover </w:t>
      </w:r>
      <w:r>
        <w:rPr>
          <w:b/>
        </w:rPr>
        <w:t>t</w:t>
      </w:r>
      <w:r w:rsidR="00A4386F">
        <w:rPr>
          <w:b/>
        </w:rPr>
        <w:t>he</w:t>
      </w:r>
      <w:r>
        <w:rPr>
          <w:b/>
        </w:rPr>
        <w:t xml:space="preserve"> planned retirement of MEDIACC and CEMR</w:t>
      </w:r>
      <w:r w:rsidR="006C7098">
        <w:rPr>
          <w:b/>
        </w:rPr>
        <w:t>?</w:t>
      </w:r>
    </w:p>
    <w:p w:rsidR="000B0EB7" w:rsidRDefault="000B0EB7" w:rsidP="00402E76">
      <w:pPr>
        <w:autoSpaceDE w:val="0"/>
        <w:autoSpaceDN w:val="0"/>
        <w:adjustRightInd w:val="0"/>
        <w:spacing w:line="480" w:lineRule="auto"/>
        <w:ind w:left="720" w:hanging="720"/>
      </w:pPr>
      <w:r w:rsidRPr="00EE7676">
        <w:t>A.</w:t>
      </w:r>
      <w:r w:rsidRPr="00EE7676">
        <w:tab/>
      </w:r>
      <w:r w:rsidR="00492424">
        <w:t>None of the parties to the merger proceeding discussed t</w:t>
      </w:r>
      <w:r w:rsidR="00800183">
        <w:t xml:space="preserve">he retirement of MEDIACC and CEMR, </w:t>
      </w:r>
      <w:r w:rsidR="00492424">
        <w:t>or</w:t>
      </w:r>
      <w:r w:rsidR="00800183">
        <w:t xml:space="preserve"> its replacement with MTG, during </w:t>
      </w:r>
      <w:r w:rsidR="005206E5">
        <w:t xml:space="preserve">or </w:t>
      </w:r>
      <w:r w:rsidR="00492424">
        <w:t xml:space="preserve">directly </w:t>
      </w:r>
      <w:r w:rsidR="00800183">
        <w:t xml:space="preserve">following </w:t>
      </w:r>
      <w:r w:rsidR="00406789">
        <w:t xml:space="preserve">merger </w:t>
      </w:r>
      <w:r w:rsidR="00800183">
        <w:t xml:space="preserve">negotiations. </w:t>
      </w:r>
      <w:r w:rsidR="00B86DAF">
        <w:t xml:space="preserve"> </w:t>
      </w:r>
      <w:r w:rsidR="003F3577">
        <w:t xml:space="preserve">The issue came to light </w:t>
      </w:r>
      <w:r w:rsidR="00F526AC">
        <w:t xml:space="preserve">months later </w:t>
      </w:r>
      <w:r w:rsidR="00406789">
        <w:t>in</w:t>
      </w:r>
      <w:r w:rsidR="0028747B">
        <w:t xml:space="preserve"> June 2011 </w:t>
      </w:r>
      <w:r w:rsidR="00F526AC">
        <w:t xml:space="preserve">when </w:t>
      </w:r>
      <w:r>
        <w:t xml:space="preserve">a </w:t>
      </w:r>
      <w:r w:rsidR="0028747B">
        <w:t xml:space="preserve">formal </w:t>
      </w:r>
      <w:r>
        <w:t xml:space="preserve">complaint </w:t>
      </w:r>
      <w:r w:rsidR="0000355E">
        <w:t xml:space="preserve">was </w:t>
      </w:r>
      <w:r w:rsidR="00E62D15">
        <w:t>filed at</w:t>
      </w:r>
      <w:r>
        <w:t xml:space="preserve"> the Minnesota </w:t>
      </w:r>
      <w:r w:rsidR="006D3D56">
        <w:t xml:space="preserve">Public Utilities </w:t>
      </w:r>
      <w:r>
        <w:t>Commission.</w:t>
      </w:r>
      <w:r w:rsidR="00196570">
        <w:rPr>
          <w:rStyle w:val="FootnoteReference"/>
        </w:rPr>
        <w:footnoteReference w:id="8"/>
      </w:r>
    </w:p>
    <w:p w:rsidR="00EE7676" w:rsidRDefault="00EE7676" w:rsidP="00402E76">
      <w:pPr>
        <w:autoSpaceDE w:val="0"/>
        <w:autoSpaceDN w:val="0"/>
        <w:adjustRightInd w:val="0"/>
        <w:spacing w:line="480" w:lineRule="auto"/>
        <w:ind w:left="720" w:hanging="720"/>
      </w:pPr>
    </w:p>
    <w:p w:rsidR="00244A85" w:rsidRDefault="00244A85" w:rsidP="00402E76">
      <w:pPr>
        <w:autoSpaceDE w:val="0"/>
        <w:autoSpaceDN w:val="0"/>
        <w:adjustRightInd w:val="0"/>
        <w:spacing w:line="480" w:lineRule="auto"/>
        <w:ind w:left="720" w:hanging="720"/>
      </w:pPr>
      <w:r>
        <w:rPr>
          <w:b/>
        </w:rPr>
        <w:lastRenderedPageBreak/>
        <w:t>Q.</w:t>
      </w:r>
      <w:r>
        <w:tab/>
      </w:r>
      <w:r w:rsidRPr="0089504B">
        <w:rPr>
          <w:b/>
        </w:rPr>
        <w:t>Do you believe that the first</w:t>
      </w:r>
      <w:r>
        <w:t xml:space="preserve"> </w:t>
      </w:r>
      <w:r w:rsidRPr="0089504B">
        <w:rPr>
          <w:b/>
        </w:rPr>
        <w:t>legacy Qwest schedule to replace MEDIACC</w:t>
      </w:r>
      <w:r>
        <w:rPr>
          <w:b/>
        </w:rPr>
        <w:t xml:space="preserve"> and CEMR</w:t>
      </w:r>
      <w:r w:rsidRPr="0089504B">
        <w:rPr>
          <w:b/>
        </w:rPr>
        <w:t xml:space="preserve"> </w:t>
      </w:r>
      <w:r>
        <w:rPr>
          <w:b/>
        </w:rPr>
        <w:t xml:space="preserve">with MTG </w:t>
      </w:r>
      <w:r w:rsidRPr="0089504B">
        <w:rPr>
          <w:b/>
        </w:rPr>
        <w:t>December 31, 2011</w:t>
      </w:r>
      <w:r w:rsidR="002520B8">
        <w:rPr>
          <w:b/>
        </w:rPr>
        <w:t>,</w:t>
      </w:r>
      <w:r w:rsidRPr="0089504B">
        <w:rPr>
          <w:b/>
        </w:rPr>
        <w:t xml:space="preserve"> </w:t>
      </w:r>
      <w:r w:rsidR="008150A8">
        <w:rPr>
          <w:b/>
        </w:rPr>
        <w:t>would have violated the</w:t>
      </w:r>
      <w:r w:rsidR="006C4557">
        <w:rPr>
          <w:b/>
        </w:rPr>
        <w:t xml:space="preserve"> </w:t>
      </w:r>
      <w:r w:rsidR="009C2061">
        <w:rPr>
          <w:b/>
        </w:rPr>
        <w:t xml:space="preserve">OSS </w:t>
      </w:r>
      <w:r w:rsidR="00B03BA0">
        <w:rPr>
          <w:b/>
        </w:rPr>
        <w:t xml:space="preserve">Settlement </w:t>
      </w:r>
      <w:r w:rsidR="009C2061">
        <w:rPr>
          <w:b/>
        </w:rPr>
        <w:t>Conditions</w:t>
      </w:r>
      <w:r w:rsidRPr="0089504B">
        <w:rPr>
          <w:b/>
        </w:rPr>
        <w:t>?</w:t>
      </w:r>
      <w:r>
        <w:t xml:space="preserve"> </w:t>
      </w:r>
    </w:p>
    <w:p w:rsidR="008150A8" w:rsidRPr="00357622" w:rsidRDefault="00244A85" w:rsidP="0089504B">
      <w:pPr>
        <w:autoSpaceDE w:val="0"/>
        <w:autoSpaceDN w:val="0"/>
        <w:adjustRightInd w:val="0"/>
        <w:spacing w:line="480" w:lineRule="auto"/>
        <w:ind w:left="720" w:hanging="720"/>
      </w:pPr>
      <w:r w:rsidRPr="00EE7676">
        <w:t>A.</w:t>
      </w:r>
      <w:r w:rsidRPr="00EE7676">
        <w:tab/>
      </w:r>
      <w:r w:rsidR="008150A8">
        <w:t>Yes</w:t>
      </w:r>
      <w:r w:rsidR="00C55AE0">
        <w:t>.</w:t>
      </w:r>
      <w:r w:rsidR="009F1DAA">
        <w:t xml:space="preserve"> </w:t>
      </w:r>
      <w:r w:rsidR="00C55AE0">
        <w:t xml:space="preserve"> </w:t>
      </w:r>
      <w:r w:rsidR="005206E5">
        <w:t>T</w:t>
      </w:r>
      <w:r>
        <w:t xml:space="preserve">he </w:t>
      </w:r>
      <w:r w:rsidR="00E620AC">
        <w:t>scheduled replacement</w:t>
      </w:r>
      <w:r w:rsidR="005206E5">
        <w:t xml:space="preserve"> of</w:t>
      </w:r>
      <w:r>
        <w:t xml:space="preserve"> MEDIACC and </w:t>
      </w:r>
      <w:r w:rsidR="006C4557">
        <w:t xml:space="preserve">CEMR </w:t>
      </w:r>
      <w:r>
        <w:t>with</w:t>
      </w:r>
      <w:r w:rsidR="006C4557">
        <w:t xml:space="preserve"> MTG </w:t>
      </w:r>
      <w:r w:rsidR="00954F9D">
        <w:t xml:space="preserve">prior to the completion of the 30 month settlement period </w:t>
      </w:r>
      <w:r w:rsidR="001D552A">
        <w:t xml:space="preserve">would have violated </w:t>
      </w:r>
      <w:r w:rsidR="006C4557">
        <w:t xml:space="preserve">the </w:t>
      </w:r>
      <w:r w:rsidR="001D552A">
        <w:t>terms</w:t>
      </w:r>
      <w:r w:rsidR="006C4557">
        <w:t xml:space="preserve"> contained in </w:t>
      </w:r>
      <w:r w:rsidR="00C55AE0">
        <w:t>C</w:t>
      </w:r>
      <w:r w:rsidR="006C4557">
        <w:t>ondition 23 of the Staff/PC agreement</w:t>
      </w:r>
      <w:r w:rsidR="00C55AE0">
        <w:t>,</w:t>
      </w:r>
      <w:r w:rsidR="006C4557">
        <w:t xml:space="preserve"> and </w:t>
      </w:r>
      <w:r w:rsidR="00C55AE0">
        <w:t>C</w:t>
      </w:r>
      <w:r w:rsidR="006C4557">
        <w:t xml:space="preserve">ondition 12 of the Integra Agreement. </w:t>
      </w:r>
    </w:p>
    <w:p w:rsidR="005706E9" w:rsidRDefault="005706E9" w:rsidP="00402E76">
      <w:pPr>
        <w:autoSpaceDE w:val="0"/>
        <w:autoSpaceDN w:val="0"/>
        <w:adjustRightInd w:val="0"/>
        <w:spacing w:line="480" w:lineRule="auto"/>
        <w:ind w:left="720" w:hanging="720"/>
      </w:pPr>
    </w:p>
    <w:p w:rsidR="000B0EB7" w:rsidRDefault="000B0EB7" w:rsidP="00402E76">
      <w:pPr>
        <w:autoSpaceDE w:val="0"/>
        <w:autoSpaceDN w:val="0"/>
        <w:adjustRightInd w:val="0"/>
        <w:spacing w:line="480" w:lineRule="auto"/>
        <w:ind w:left="720" w:hanging="720"/>
        <w:rPr>
          <w:b/>
        </w:rPr>
      </w:pPr>
      <w:r>
        <w:rPr>
          <w:b/>
        </w:rPr>
        <w:t>Q.</w:t>
      </w:r>
      <w:r>
        <w:t xml:space="preserve"> </w:t>
      </w:r>
      <w:r>
        <w:tab/>
      </w:r>
      <w:r w:rsidRPr="000B0EB7">
        <w:rPr>
          <w:b/>
        </w:rPr>
        <w:t>What has changed since the change request was issued at CMP in November 2010?</w:t>
      </w:r>
    </w:p>
    <w:p w:rsidR="000B0EB7" w:rsidRDefault="000B0EB7" w:rsidP="00402E76">
      <w:pPr>
        <w:autoSpaceDE w:val="0"/>
        <w:autoSpaceDN w:val="0"/>
        <w:adjustRightInd w:val="0"/>
        <w:spacing w:line="480" w:lineRule="auto"/>
        <w:ind w:left="720" w:hanging="720"/>
      </w:pPr>
      <w:r w:rsidRPr="00EE7676">
        <w:t>A.</w:t>
      </w:r>
      <w:r w:rsidRPr="00EE7676">
        <w:tab/>
      </w:r>
      <w:r w:rsidR="00562106">
        <w:t>In the May 18, 2011</w:t>
      </w:r>
      <w:r w:rsidR="009C2061">
        <w:t>,</w:t>
      </w:r>
      <w:r w:rsidR="00562106">
        <w:t xml:space="preserve"> </w:t>
      </w:r>
      <w:proofErr w:type="spellStart"/>
      <w:r w:rsidR="00562106">
        <w:t>CMP</w:t>
      </w:r>
      <w:proofErr w:type="spellEnd"/>
      <w:r w:rsidR="00562106">
        <w:t xml:space="preserve"> meeting, Qwest/CenturyLink withdrew the proposed MEDIACC retirement change request.</w:t>
      </w:r>
      <w:r w:rsidR="00F71430">
        <w:rPr>
          <w:rStyle w:val="FootnoteReference"/>
        </w:rPr>
        <w:footnoteReference w:id="9"/>
      </w:r>
      <w:r>
        <w:t xml:space="preserve"> </w:t>
      </w:r>
      <w:r w:rsidR="00C55AE0">
        <w:t xml:space="preserve"> </w:t>
      </w:r>
      <w:r>
        <w:t>It is now Qwest/CenturyLink’s intent</w:t>
      </w:r>
      <w:r w:rsidR="00562106">
        <w:t>ion</w:t>
      </w:r>
      <w:r>
        <w:t xml:space="preserve"> to retire MEDIACC </w:t>
      </w:r>
      <w:r w:rsidR="00562106">
        <w:t>on October 7,</w:t>
      </w:r>
      <w:r w:rsidR="00444835">
        <w:t xml:space="preserve"> </w:t>
      </w:r>
      <w:r>
        <w:t>2013</w:t>
      </w:r>
      <w:r w:rsidR="00444835">
        <w:t>,</w:t>
      </w:r>
      <w:r w:rsidR="00562106">
        <w:rPr>
          <w:rStyle w:val="FootnoteReference"/>
        </w:rPr>
        <w:footnoteReference w:id="10"/>
      </w:r>
      <w:r>
        <w:t xml:space="preserve"> following a vote of approval by the CLECs</w:t>
      </w:r>
      <w:r w:rsidR="00B72D49">
        <w:t xml:space="preserve"> as required by the </w:t>
      </w:r>
      <w:r w:rsidR="005706E9">
        <w:t>OSS Settlement Conditions</w:t>
      </w:r>
      <w:r>
        <w:t>.</w:t>
      </w:r>
      <w:r w:rsidR="00D02540">
        <w:t xml:space="preserve"> </w:t>
      </w:r>
      <w:r w:rsidR="00C55AE0">
        <w:t xml:space="preserve"> </w:t>
      </w:r>
      <w:r w:rsidR="003C38E2">
        <w:t>According to Qwest/CenturyLink</w:t>
      </w:r>
      <w:r w:rsidR="00B72D49">
        <w:t>,</w:t>
      </w:r>
      <w:r w:rsidR="003C38E2">
        <w:t xml:space="preserve"> </w:t>
      </w:r>
      <w:proofErr w:type="spellStart"/>
      <w:r w:rsidR="00D02540">
        <w:t>C</w:t>
      </w:r>
      <w:r w:rsidR="00602E42">
        <w:t>EMR</w:t>
      </w:r>
      <w:proofErr w:type="spellEnd"/>
      <w:r w:rsidR="00602E42">
        <w:t xml:space="preserve"> </w:t>
      </w:r>
      <w:r w:rsidR="00B72D49">
        <w:t>hardware and software have</w:t>
      </w:r>
      <w:r w:rsidR="00602E42">
        <w:t xml:space="preserve"> been upgraded and </w:t>
      </w:r>
      <w:r w:rsidR="006C7098">
        <w:t xml:space="preserve">CEMR </w:t>
      </w:r>
      <w:r w:rsidR="00602E42">
        <w:t>is no longer</w:t>
      </w:r>
      <w:r w:rsidR="00D02540">
        <w:t xml:space="preserve"> scheduled to be retired</w:t>
      </w:r>
      <w:r w:rsidR="003F3577">
        <w:t>.</w:t>
      </w:r>
      <w:r w:rsidR="003C38E2">
        <w:rPr>
          <w:rStyle w:val="FootnoteReference"/>
        </w:rPr>
        <w:footnoteReference w:id="11"/>
      </w:r>
    </w:p>
    <w:p w:rsidR="00297C40" w:rsidRDefault="00297C40" w:rsidP="00402E76">
      <w:pPr>
        <w:autoSpaceDE w:val="0"/>
        <w:autoSpaceDN w:val="0"/>
        <w:adjustRightInd w:val="0"/>
        <w:spacing w:line="480" w:lineRule="auto"/>
        <w:ind w:left="720" w:hanging="720"/>
        <w:rPr>
          <w:b/>
        </w:rPr>
      </w:pPr>
    </w:p>
    <w:p w:rsidR="009F1DAA" w:rsidRDefault="009F1DAA" w:rsidP="00402E76">
      <w:pPr>
        <w:autoSpaceDE w:val="0"/>
        <w:autoSpaceDN w:val="0"/>
        <w:adjustRightInd w:val="0"/>
        <w:spacing w:line="480" w:lineRule="auto"/>
        <w:ind w:left="720" w:hanging="720"/>
        <w:rPr>
          <w:b/>
        </w:rPr>
      </w:pPr>
      <w:r>
        <w:rPr>
          <w:b/>
        </w:rPr>
        <w:t>Q.</w:t>
      </w:r>
      <w:r>
        <w:tab/>
      </w:r>
      <w:r w:rsidRPr="0089504B">
        <w:rPr>
          <w:b/>
        </w:rPr>
        <w:t>Is</w:t>
      </w:r>
      <w:r>
        <w:t xml:space="preserve"> </w:t>
      </w:r>
      <w:r>
        <w:rPr>
          <w:b/>
        </w:rPr>
        <w:t>Qwest/Centu</w:t>
      </w:r>
      <w:r w:rsidR="00B27BAC">
        <w:rPr>
          <w:b/>
        </w:rPr>
        <w:t>r</w:t>
      </w:r>
      <w:r>
        <w:rPr>
          <w:b/>
        </w:rPr>
        <w:t xml:space="preserve">yLink in violation of the </w:t>
      </w:r>
      <w:r w:rsidR="009C2061">
        <w:rPr>
          <w:b/>
        </w:rPr>
        <w:t xml:space="preserve">OSS </w:t>
      </w:r>
      <w:r w:rsidR="00C55AE0">
        <w:rPr>
          <w:b/>
        </w:rPr>
        <w:t>c</w:t>
      </w:r>
      <w:r w:rsidR="009C2061">
        <w:rPr>
          <w:b/>
        </w:rPr>
        <w:t>onditions</w:t>
      </w:r>
      <w:r>
        <w:rPr>
          <w:b/>
        </w:rPr>
        <w:t xml:space="preserve"> following the withdrawal of the CMP change request</w:t>
      </w:r>
      <w:r w:rsidR="00CC73D9">
        <w:rPr>
          <w:b/>
        </w:rPr>
        <w:t>?</w:t>
      </w:r>
    </w:p>
    <w:p w:rsidR="008D0E5C" w:rsidRDefault="009F1DAA" w:rsidP="00402E76">
      <w:pPr>
        <w:autoSpaceDE w:val="0"/>
        <w:autoSpaceDN w:val="0"/>
        <w:adjustRightInd w:val="0"/>
        <w:spacing w:line="480" w:lineRule="auto"/>
        <w:ind w:left="720" w:hanging="720"/>
      </w:pPr>
      <w:r w:rsidRPr="00C55AE0">
        <w:t>A.</w:t>
      </w:r>
      <w:r w:rsidRPr="00C55AE0">
        <w:tab/>
      </w:r>
      <w:r w:rsidR="009424D3">
        <w:t xml:space="preserve">I believe that </w:t>
      </w:r>
      <w:r w:rsidR="00EA1BD2">
        <w:t xml:space="preserve">Qwest/CenturyLink </w:t>
      </w:r>
      <w:r w:rsidR="00503B63">
        <w:t xml:space="preserve">will remain </w:t>
      </w:r>
      <w:r w:rsidR="00EA1BD2">
        <w:t xml:space="preserve">in compliance </w:t>
      </w:r>
      <w:r w:rsidR="00503B63">
        <w:t xml:space="preserve">now that </w:t>
      </w:r>
      <w:r w:rsidR="00F526AC">
        <w:t xml:space="preserve">they </w:t>
      </w:r>
      <w:r w:rsidR="00503B63">
        <w:t xml:space="preserve">have </w:t>
      </w:r>
      <w:r w:rsidR="00F526AC">
        <w:t>withdrawn</w:t>
      </w:r>
      <w:r w:rsidR="00EA1BD2">
        <w:t xml:space="preserve"> </w:t>
      </w:r>
      <w:r w:rsidR="00297C40">
        <w:t>the offending CMP change request</w:t>
      </w:r>
      <w:r w:rsidR="00EA1BD2">
        <w:t xml:space="preserve">. </w:t>
      </w:r>
      <w:r w:rsidR="00C55AE0">
        <w:t xml:space="preserve"> </w:t>
      </w:r>
      <w:r w:rsidR="00EA1BD2">
        <w:t xml:space="preserve">As </w:t>
      </w:r>
      <w:r w:rsidR="00297C40">
        <w:t xml:space="preserve">Mr. </w:t>
      </w:r>
      <w:proofErr w:type="spellStart"/>
      <w:r w:rsidR="00297C40">
        <w:t>Hunsucker</w:t>
      </w:r>
      <w:proofErr w:type="spellEnd"/>
      <w:r w:rsidR="00297C40">
        <w:t xml:space="preserve"> </w:t>
      </w:r>
      <w:r>
        <w:t>testified</w:t>
      </w:r>
      <w:r w:rsidR="00297C40">
        <w:t>:</w:t>
      </w:r>
    </w:p>
    <w:p w:rsidR="009D2CD8" w:rsidRDefault="009F1DAA" w:rsidP="00EE7676">
      <w:pPr>
        <w:autoSpaceDE w:val="0"/>
        <w:autoSpaceDN w:val="0"/>
        <w:adjustRightInd w:val="0"/>
        <w:ind w:left="1440"/>
      </w:pPr>
      <w:r>
        <w:lastRenderedPageBreak/>
        <w:t>Qwest/CenturyLink will continue to ‘use and offer’ MEDIACC</w:t>
      </w:r>
      <w:r w:rsidR="00EA1BD2">
        <w:t xml:space="preserve"> throughout the entire 30-month settlement period in precisely the same way it was used and offered beforehand. </w:t>
      </w:r>
      <w:r w:rsidR="00B86DAF">
        <w:t xml:space="preserve"> </w:t>
      </w:r>
      <w:proofErr w:type="spellStart"/>
      <w:r w:rsidR="00EA1BD2">
        <w:t>MEDIACC</w:t>
      </w:r>
      <w:proofErr w:type="spellEnd"/>
      <w:r w:rsidR="00EA1BD2">
        <w:t xml:space="preserve"> will not be ‘reti</w:t>
      </w:r>
      <w:r w:rsidR="00297C40">
        <w:t>r</w:t>
      </w:r>
      <w:r w:rsidR="00EA1BD2">
        <w:t>ed or replaced’</w:t>
      </w:r>
      <w:r w:rsidR="00297C40">
        <w:t xml:space="preserve"> until af</w:t>
      </w:r>
      <w:r w:rsidR="00EA1BD2">
        <w:t xml:space="preserve">ter the settlement period has expired and </w:t>
      </w:r>
      <w:r w:rsidR="008D0E5C">
        <w:t xml:space="preserve">all </w:t>
      </w:r>
      <w:r w:rsidR="00EA1BD2">
        <w:t>the procedures in the Integra settlement have been followed.</w:t>
      </w:r>
      <w:r w:rsidR="00EA1BD2">
        <w:rPr>
          <w:rStyle w:val="FootnoteReference"/>
        </w:rPr>
        <w:footnoteReference w:id="12"/>
      </w:r>
      <w:r w:rsidR="00EA1BD2">
        <w:t xml:space="preserve"> </w:t>
      </w:r>
    </w:p>
    <w:p w:rsidR="005706E9" w:rsidRDefault="005706E9" w:rsidP="00402E76">
      <w:pPr>
        <w:autoSpaceDE w:val="0"/>
        <w:autoSpaceDN w:val="0"/>
        <w:adjustRightInd w:val="0"/>
        <w:spacing w:line="480" w:lineRule="auto"/>
        <w:ind w:left="720" w:hanging="720"/>
      </w:pPr>
    </w:p>
    <w:p w:rsidR="00602E42" w:rsidRDefault="00602E42" w:rsidP="00AF1BFD">
      <w:pPr>
        <w:keepNext/>
        <w:autoSpaceDE w:val="0"/>
        <w:autoSpaceDN w:val="0"/>
        <w:adjustRightInd w:val="0"/>
        <w:spacing w:line="480" w:lineRule="auto"/>
        <w:ind w:left="720" w:hanging="720"/>
        <w:rPr>
          <w:b/>
        </w:rPr>
      </w:pPr>
      <w:r>
        <w:rPr>
          <w:b/>
        </w:rPr>
        <w:t>Q.</w:t>
      </w:r>
      <w:r>
        <w:tab/>
      </w:r>
      <w:r>
        <w:rPr>
          <w:b/>
        </w:rPr>
        <w:t xml:space="preserve">Why did </w:t>
      </w:r>
      <w:r w:rsidR="006C7098">
        <w:rPr>
          <w:b/>
        </w:rPr>
        <w:t xml:space="preserve">legacy </w:t>
      </w:r>
      <w:r>
        <w:rPr>
          <w:b/>
        </w:rPr>
        <w:t>Qwest want to retire MEDIACC?</w:t>
      </w:r>
    </w:p>
    <w:p w:rsidR="008150A8" w:rsidRDefault="00602E42" w:rsidP="00AF1BFD">
      <w:pPr>
        <w:keepNext/>
        <w:autoSpaceDE w:val="0"/>
        <w:autoSpaceDN w:val="0"/>
        <w:adjustRightInd w:val="0"/>
        <w:spacing w:line="480" w:lineRule="auto"/>
        <w:ind w:left="720" w:hanging="720"/>
      </w:pPr>
      <w:r w:rsidRPr="00AF1BFD">
        <w:t>A.</w:t>
      </w:r>
      <w:r w:rsidRPr="00AF1BFD">
        <w:tab/>
      </w:r>
      <w:r w:rsidR="009B7BA4">
        <w:t xml:space="preserve">Legacy </w:t>
      </w:r>
      <w:r>
        <w:t xml:space="preserve">Qwest </w:t>
      </w:r>
      <w:r w:rsidR="005206E5">
        <w:t xml:space="preserve">has </w:t>
      </w:r>
      <w:r w:rsidR="00562106">
        <w:t xml:space="preserve">completed a </w:t>
      </w:r>
      <w:r w:rsidR="005206E5">
        <w:t xml:space="preserve">number of </w:t>
      </w:r>
      <w:r w:rsidR="00562106">
        <w:t>technical evaluation</w:t>
      </w:r>
      <w:r w:rsidR="005206E5">
        <w:t>s</w:t>
      </w:r>
      <w:r w:rsidR="00562106">
        <w:t xml:space="preserve"> of </w:t>
      </w:r>
      <w:r>
        <w:t xml:space="preserve">the MEDIACC system </w:t>
      </w:r>
      <w:r w:rsidR="005206E5">
        <w:t xml:space="preserve">in the past </w:t>
      </w:r>
      <w:r>
        <w:t>and determined that it is no longer fully supportable by both the hardware and software vendors</w:t>
      </w:r>
      <w:r w:rsidR="002D0CCC">
        <w:t xml:space="preserve"> and </w:t>
      </w:r>
      <w:r w:rsidR="003F3577">
        <w:t>therefore any failure could be an unrecoverable failure</w:t>
      </w:r>
      <w:r w:rsidR="002D0CCC">
        <w:t xml:space="preserve">. </w:t>
      </w:r>
      <w:r w:rsidR="00B86DAF">
        <w:t xml:space="preserve"> </w:t>
      </w:r>
      <w:r w:rsidR="009B7BA4">
        <w:t xml:space="preserve">While </w:t>
      </w:r>
      <w:proofErr w:type="spellStart"/>
      <w:r w:rsidR="009B7BA4">
        <w:t>MEDIACC</w:t>
      </w:r>
      <w:proofErr w:type="spellEnd"/>
      <w:r w:rsidR="009B7BA4">
        <w:t xml:space="preserve"> is stable today</w:t>
      </w:r>
      <w:r w:rsidR="005706E9">
        <w:t>, it</w:t>
      </w:r>
      <w:r w:rsidR="009B7BA4">
        <w:t xml:space="preserve"> is at risk of an unrecoverable failure in the future.</w:t>
      </w:r>
      <w:r w:rsidR="009B7BA4">
        <w:rPr>
          <w:rStyle w:val="FootnoteReference"/>
        </w:rPr>
        <w:footnoteReference w:id="13"/>
      </w:r>
      <w:r w:rsidR="008150A8">
        <w:t xml:space="preserve"> Additionally large non-CLEC wholesale customers of Qwest have requested access to a maintenance and repair XML</w:t>
      </w:r>
      <w:r w:rsidR="00F526AC">
        <w:t xml:space="preserve"> (</w:t>
      </w:r>
      <w:proofErr w:type="spellStart"/>
      <w:r w:rsidR="00F526AC">
        <w:t>eXtensible</w:t>
      </w:r>
      <w:proofErr w:type="spellEnd"/>
      <w:r w:rsidR="00F526AC">
        <w:t xml:space="preserve"> Markup Language)</w:t>
      </w:r>
      <w:r w:rsidR="008150A8">
        <w:t xml:space="preserve"> </w:t>
      </w:r>
      <w:proofErr w:type="gramStart"/>
      <w:r w:rsidR="008150A8">
        <w:t>interface</w:t>
      </w:r>
      <w:proofErr w:type="gramEnd"/>
      <w:r w:rsidR="008150A8">
        <w:t>.</w:t>
      </w:r>
      <w:r w:rsidR="008150A8">
        <w:rPr>
          <w:rStyle w:val="FootnoteReference"/>
        </w:rPr>
        <w:footnoteReference w:id="14"/>
      </w:r>
      <w:r w:rsidR="008150A8">
        <w:t xml:space="preserve"> </w:t>
      </w:r>
    </w:p>
    <w:p w:rsidR="008150A8" w:rsidRPr="009B7BA4" w:rsidRDefault="008150A8" w:rsidP="008150A8">
      <w:pPr>
        <w:autoSpaceDE w:val="0"/>
        <w:autoSpaceDN w:val="0"/>
        <w:adjustRightInd w:val="0"/>
        <w:spacing w:line="480" w:lineRule="auto"/>
        <w:ind w:left="720" w:hanging="720"/>
      </w:pPr>
    </w:p>
    <w:p w:rsidR="009B7BA4" w:rsidRDefault="009B7BA4" w:rsidP="00402E76">
      <w:pPr>
        <w:autoSpaceDE w:val="0"/>
        <w:autoSpaceDN w:val="0"/>
        <w:adjustRightInd w:val="0"/>
        <w:spacing w:line="480" w:lineRule="auto"/>
        <w:ind w:left="720" w:hanging="720"/>
        <w:rPr>
          <w:b/>
        </w:rPr>
      </w:pPr>
      <w:r>
        <w:rPr>
          <w:b/>
        </w:rPr>
        <w:t>Q.</w:t>
      </w:r>
      <w:r>
        <w:t xml:space="preserve"> </w:t>
      </w:r>
      <w:r>
        <w:tab/>
      </w:r>
      <w:r w:rsidRPr="009B7BA4">
        <w:rPr>
          <w:b/>
        </w:rPr>
        <w:t xml:space="preserve">What did </w:t>
      </w:r>
      <w:r w:rsidR="006C7098">
        <w:rPr>
          <w:b/>
        </w:rPr>
        <w:t>l</w:t>
      </w:r>
      <w:r w:rsidR="00EF36F9">
        <w:rPr>
          <w:b/>
        </w:rPr>
        <w:t xml:space="preserve">egacy </w:t>
      </w:r>
      <w:r w:rsidRPr="009B7BA4">
        <w:rPr>
          <w:b/>
        </w:rPr>
        <w:t>Qwest plan to replace MEDIACC with?</w:t>
      </w:r>
    </w:p>
    <w:p w:rsidR="00B61DA3" w:rsidRDefault="009B7BA4" w:rsidP="00402E76">
      <w:pPr>
        <w:autoSpaceDE w:val="0"/>
        <w:autoSpaceDN w:val="0"/>
        <w:adjustRightInd w:val="0"/>
        <w:spacing w:line="480" w:lineRule="auto"/>
        <w:ind w:left="720" w:hanging="720"/>
      </w:pPr>
      <w:r w:rsidRPr="00AF1BFD">
        <w:t>A.</w:t>
      </w:r>
      <w:r>
        <w:tab/>
        <w:t xml:space="preserve">Legacy Qwest has been developing a new system called </w:t>
      </w:r>
      <w:r w:rsidR="00B61DA3">
        <w:t xml:space="preserve">the </w:t>
      </w:r>
      <w:r>
        <w:t xml:space="preserve">Maintenance Ticketing Gateway. </w:t>
      </w:r>
      <w:r w:rsidR="00B86DAF">
        <w:t xml:space="preserve"> </w:t>
      </w:r>
      <w:proofErr w:type="spellStart"/>
      <w:r>
        <w:t>MTG</w:t>
      </w:r>
      <w:proofErr w:type="spellEnd"/>
      <w:r>
        <w:t xml:space="preserve"> will provide the same functionality as MEDIACC but will use a newer interface </w:t>
      </w:r>
      <w:r w:rsidR="00253F91">
        <w:t xml:space="preserve">protocol </w:t>
      </w:r>
      <w:r>
        <w:t xml:space="preserve">XML. </w:t>
      </w:r>
      <w:r w:rsidR="00B86DAF">
        <w:t xml:space="preserve"> </w:t>
      </w:r>
      <w:proofErr w:type="spellStart"/>
      <w:r>
        <w:t>MEDIACC</w:t>
      </w:r>
      <w:proofErr w:type="spellEnd"/>
      <w:r>
        <w:t xml:space="preserve"> </w:t>
      </w:r>
      <w:r w:rsidR="003F3577">
        <w:t xml:space="preserve">currently </w:t>
      </w:r>
      <w:r>
        <w:t xml:space="preserve">uses </w:t>
      </w:r>
      <w:proofErr w:type="spellStart"/>
      <w:r>
        <w:t>CMIP</w:t>
      </w:r>
      <w:proofErr w:type="spellEnd"/>
      <w:r>
        <w:t xml:space="preserve"> </w:t>
      </w:r>
      <w:r w:rsidR="00253F91">
        <w:t xml:space="preserve">(Common Management Information Protocol) </w:t>
      </w:r>
      <w:r w:rsidR="003F3577">
        <w:t>to</w:t>
      </w:r>
      <w:r>
        <w:t xml:space="preserve"> interface </w:t>
      </w:r>
      <w:r w:rsidR="003F3577">
        <w:t>with the CLECs</w:t>
      </w:r>
      <w:r w:rsidR="003E1D3E">
        <w:t>’</w:t>
      </w:r>
      <w:r w:rsidR="003F3577">
        <w:t xml:space="preserve"> B2B systems</w:t>
      </w:r>
      <w:r>
        <w:t>.</w:t>
      </w:r>
      <w:r w:rsidR="009156D2">
        <w:t xml:space="preserve"> </w:t>
      </w:r>
      <w:r w:rsidR="00B86DAF">
        <w:t xml:space="preserve"> </w:t>
      </w:r>
      <w:proofErr w:type="spellStart"/>
      <w:r w:rsidR="009156D2">
        <w:t>MTG</w:t>
      </w:r>
      <w:proofErr w:type="spellEnd"/>
      <w:r w:rsidR="009156D2">
        <w:t xml:space="preserve"> (originally called </w:t>
      </w:r>
      <w:proofErr w:type="spellStart"/>
      <w:r w:rsidR="009156D2">
        <w:t>CTG</w:t>
      </w:r>
      <w:proofErr w:type="spellEnd"/>
      <w:r w:rsidR="003F3577">
        <w:t>)</w:t>
      </w:r>
      <w:r w:rsidR="009156D2">
        <w:t xml:space="preserve"> was </w:t>
      </w:r>
      <w:r w:rsidR="003E1D3E">
        <w:t xml:space="preserve">initially </w:t>
      </w:r>
      <w:r w:rsidR="009156D2">
        <w:t>introduced through the CMP process in 2008</w:t>
      </w:r>
      <w:r w:rsidR="004F4BB3">
        <w:rPr>
          <w:rStyle w:val="FootnoteReference"/>
        </w:rPr>
        <w:footnoteReference w:id="15"/>
      </w:r>
      <w:r w:rsidR="009156D2">
        <w:t xml:space="preserve"> but was put on hold </w:t>
      </w:r>
      <w:r w:rsidR="006C7098">
        <w:t xml:space="preserve">when it </w:t>
      </w:r>
      <w:r w:rsidR="009424D3">
        <w:t>failed</w:t>
      </w:r>
      <w:r w:rsidR="006C7098">
        <w:t xml:space="preserve"> </w:t>
      </w:r>
      <w:r w:rsidR="004F1EFD">
        <w:t xml:space="preserve">to </w:t>
      </w:r>
      <w:r w:rsidR="006C7098">
        <w:t xml:space="preserve">receive internal authorization for </w:t>
      </w:r>
      <w:r w:rsidR="009156D2">
        <w:t>funding</w:t>
      </w:r>
      <w:r w:rsidR="006C7098">
        <w:t>.</w:t>
      </w:r>
      <w:r w:rsidR="006F364E">
        <w:rPr>
          <w:rStyle w:val="FootnoteReference"/>
        </w:rPr>
        <w:footnoteReference w:id="16"/>
      </w:r>
      <w:r w:rsidR="006C7098">
        <w:t xml:space="preserve">  </w:t>
      </w:r>
    </w:p>
    <w:p w:rsidR="00AF1BFD" w:rsidRDefault="00AF1BFD" w:rsidP="00402E76">
      <w:pPr>
        <w:autoSpaceDE w:val="0"/>
        <w:autoSpaceDN w:val="0"/>
        <w:adjustRightInd w:val="0"/>
        <w:spacing w:line="480" w:lineRule="auto"/>
        <w:ind w:left="720" w:hanging="720"/>
      </w:pPr>
    </w:p>
    <w:p w:rsidR="002D0CCC" w:rsidRDefault="002D0CCC" w:rsidP="00402E76">
      <w:pPr>
        <w:autoSpaceDE w:val="0"/>
        <w:autoSpaceDN w:val="0"/>
        <w:adjustRightInd w:val="0"/>
        <w:spacing w:line="480" w:lineRule="auto"/>
        <w:ind w:left="720" w:hanging="720"/>
        <w:rPr>
          <w:b/>
        </w:rPr>
      </w:pPr>
      <w:r>
        <w:rPr>
          <w:b/>
        </w:rPr>
        <w:t>Q.</w:t>
      </w:r>
      <w:r>
        <w:tab/>
      </w:r>
      <w:r w:rsidRPr="002D0CCC">
        <w:rPr>
          <w:b/>
        </w:rPr>
        <w:t>What are</w:t>
      </w:r>
      <w:r>
        <w:t xml:space="preserve"> </w:t>
      </w:r>
      <w:r w:rsidRPr="002D0CCC">
        <w:rPr>
          <w:b/>
        </w:rPr>
        <w:t>XML</w:t>
      </w:r>
      <w:r>
        <w:t xml:space="preserve"> </w:t>
      </w:r>
      <w:r w:rsidRPr="002D0CCC">
        <w:rPr>
          <w:b/>
        </w:rPr>
        <w:t>and</w:t>
      </w:r>
      <w:r>
        <w:t xml:space="preserve"> </w:t>
      </w:r>
      <w:r w:rsidRPr="002D0CCC">
        <w:rPr>
          <w:b/>
        </w:rPr>
        <w:t>CMIP?</w:t>
      </w:r>
    </w:p>
    <w:p w:rsidR="002D0CCC" w:rsidRDefault="00156C97" w:rsidP="00402E76">
      <w:pPr>
        <w:autoSpaceDE w:val="0"/>
        <w:autoSpaceDN w:val="0"/>
        <w:adjustRightInd w:val="0"/>
        <w:spacing w:line="480" w:lineRule="auto"/>
        <w:ind w:left="720" w:hanging="720"/>
      </w:pPr>
      <w:r w:rsidRPr="00AF1BFD">
        <w:t>A</w:t>
      </w:r>
      <w:r w:rsidR="002D0CCC" w:rsidRPr="00AF1BFD">
        <w:t>.</w:t>
      </w:r>
      <w:r w:rsidR="002D0CCC">
        <w:rPr>
          <w:b/>
        </w:rPr>
        <w:tab/>
      </w:r>
      <w:r w:rsidR="002D0CCC">
        <w:t xml:space="preserve">XML </w:t>
      </w:r>
      <w:r w:rsidR="00253F91">
        <w:t>and CMIP</w:t>
      </w:r>
      <w:r w:rsidR="002D0CCC">
        <w:t xml:space="preserve"> are different interface protocols that are commonly used to provide B2B interfaces. </w:t>
      </w:r>
      <w:r w:rsidR="00B86DAF">
        <w:t xml:space="preserve"> </w:t>
      </w:r>
      <w:r w:rsidR="002D0CCC">
        <w:t>Both are still considered standards but XML is the newer and easier to develop of the two.</w:t>
      </w:r>
      <w:r>
        <w:t xml:space="preserve"> </w:t>
      </w:r>
      <w:r w:rsidR="00B86DAF">
        <w:t xml:space="preserve"> </w:t>
      </w:r>
      <w:r>
        <w:t xml:space="preserve">Qwest </w:t>
      </w:r>
      <w:r w:rsidR="003F3577">
        <w:t>converted</w:t>
      </w:r>
      <w:r>
        <w:t xml:space="preserve"> all of its ordering and provisioning B2B interfaces to XML prior to 2006 with CLEC approval</w:t>
      </w:r>
      <w:r w:rsidR="003F3577">
        <w:t>.</w:t>
      </w:r>
      <w:r>
        <w:rPr>
          <w:rStyle w:val="FootnoteReference"/>
        </w:rPr>
        <w:footnoteReference w:id="17"/>
      </w:r>
    </w:p>
    <w:p w:rsidR="00873D16" w:rsidRDefault="00873D16" w:rsidP="00402E76">
      <w:pPr>
        <w:autoSpaceDE w:val="0"/>
        <w:autoSpaceDN w:val="0"/>
        <w:adjustRightInd w:val="0"/>
        <w:spacing w:line="480" w:lineRule="auto"/>
        <w:ind w:left="720" w:hanging="720"/>
      </w:pPr>
    </w:p>
    <w:p w:rsidR="00FC1481" w:rsidRDefault="00FC1481" w:rsidP="00402E76">
      <w:pPr>
        <w:autoSpaceDE w:val="0"/>
        <w:autoSpaceDN w:val="0"/>
        <w:adjustRightInd w:val="0"/>
        <w:spacing w:line="480" w:lineRule="auto"/>
        <w:ind w:left="720" w:hanging="720"/>
        <w:rPr>
          <w:b/>
        </w:rPr>
      </w:pPr>
      <w:r>
        <w:rPr>
          <w:b/>
        </w:rPr>
        <w:t>Q.</w:t>
      </w:r>
      <w:r>
        <w:t xml:space="preserve"> </w:t>
      </w:r>
      <w:r>
        <w:tab/>
      </w:r>
      <w:r w:rsidRPr="00FC1481">
        <w:rPr>
          <w:b/>
        </w:rPr>
        <w:t>When does Qwest/CenturyLink plan to make MTG available?</w:t>
      </w:r>
    </w:p>
    <w:p w:rsidR="00740ABB" w:rsidRDefault="00740ABB" w:rsidP="00402E76">
      <w:pPr>
        <w:autoSpaceDE w:val="0"/>
        <w:autoSpaceDN w:val="0"/>
        <w:adjustRightInd w:val="0"/>
        <w:spacing w:line="480" w:lineRule="auto"/>
        <w:ind w:left="720" w:hanging="720"/>
      </w:pPr>
      <w:r w:rsidRPr="00AF1BFD">
        <w:t>A.</w:t>
      </w:r>
      <w:r w:rsidRPr="00AF1BFD">
        <w:tab/>
      </w:r>
      <w:r>
        <w:t>Qwest/CenturyLink plans to make MTG available to wholesale customers</w:t>
      </w:r>
      <w:r w:rsidR="008150A8">
        <w:t xml:space="preserve"> and </w:t>
      </w:r>
      <w:r w:rsidR="006E4F31">
        <w:t xml:space="preserve">to </w:t>
      </w:r>
      <w:r>
        <w:t>CLECs</w:t>
      </w:r>
      <w:r w:rsidR="008150A8">
        <w:t xml:space="preserve"> as an </w:t>
      </w:r>
      <w:r w:rsidR="008150A8" w:rsidRPr="00F420C4">
        <w:rPr>
          <w:i/>
        </w:rPr>
        <w:t>optional</w:t>
      </w:r>
      <w:r w:rsidR="008150A8">
        <w:t xml:space="preserve"> interface in </w:t>
      </w:r>
      <w:r>
        <w:t>December 2011.</w:t>
      </w:r>
    </w:p>
    <w:p w:rsidR="00873D16" w:rsidRDefault="00873D16" w:rsidP="00402E76">
      <w:pPr>
        <w:autoSpaceDE w:val="0"/>
        <w:autoSpaceDN w:val="0"/>
        <w:adjustRightInd w:val="0"/>
        <w:spacing w:line="480" w:lineRule="auto"/>
        <w:ind w:left="720" w:hanging="720"/>
      </w:pPr>
    </w:p>
    <w:p w:rsidR="00873D16" w:rsidRDefault="00E62D15" w:rsidP="00B463B5">
      <w:pPr>
        <w:autoSpaceDE w:val="0"/>
        <w:autoSpaceDN w:val="0"/>
        <w:adjustRightInd w:val="0"/>
        <w:spacing w:line="480" w:lineRule="auto"/>
        <w:ind w:left="720" w:hanging="720"/>
        <w:jc w:val="center"/>
        <w:rPr>
          <w:b/>
          <w:caps/>
        </w:rPr>
      </w:pPr>
      <w:r>
        <w:rPr>
          <w:b/>
        </w:rPr>
        <w:t>V</w:t>
      </w:r>
      <w:r w:rsidR="00B95AA2">
        <w:rPr>
          <w:b/>
        </w:rPr>
        <w:t>.</w:t>
      </w:r>
      <w:r>
        <w:rPr>
          <w:b/>
        </w:rPr>
        <w:tab/>
      </w:r>
      <w:r w:rsidRPr="00B463B5">
        <w:rPr>
          <w:b/>
          <w:caps/>
        </w:rPr>
        <w:t>Qwest/CenturyLink</w:t>
      </w:r>
      <w:r w:rsidR="00FA36EB" w:rsidRPr="00B463B5">
        <w:rPr>
          <w:b/>
          <w:caps/>
        </w:rPr>
        <w:t>’s</w:t>
      </w:r>
      <w:r w:rsidRPr="00B463B5">
        <w:rPr>
          <w:b/>
          <w:caps/>
        </w:rPr>
        <w:t xml:space="preserve"> Response</w:t>
      </w:r>
    </w:p>
    <w:p w:rsidR="00AF1BFD" w:rsidRPr="00F66804" w:rsidRDefault="00AF1BFD" w:rsidP="00B463B5">
      <w:pPr>
        <w:autoSpaceDE w:val="0"/>
        <w:autoSpaceDN w:val="0"/>
        <w:adjustRightInd w:val="0"/>
        <w:spacing w:line="480" w:lineRule="auto"/>
        <w:ind w:left="720" w:hanging="720"/>
        <w:jc w:val="center"/>
        <w:rPr>
          <w:b/>
        </w:rPr>
      </w:pPr>
    </w:p>
    <w:p w:rsidR="00740ABB" w:rsidRDefault="00740ABB" w:rsidP="00740ABB">
      <w:pPr>
        <w:autoSpaceDE w:val="0"/>
        <w:autoSpaceDN w:val="0"/>
        <w:adjustRightInd w:val="0"/>
        <w:spacing w:line="480" w:lineRule="auto"/>
        <w:ind w:left="720" w:hanging="720"/>
        <w:rPr>
          <w:b/>
        </w:rPr>
      </w:pPr>
      <w:r>
        <w:rPr>
          <w:b/>
        </w:rPr>
        <w:t>Q.</w:t>
      </w:r>
      <w:r>
        <w:tab/>
      </w:r>
      <w:r w:rsidRPr="00156C97">
        <w:rPr>
          <w:b/>
        </w:rPr>
        <w:t xml:space="preserve">Does </w:t>
      </w:r>
      <w:r w:rsidR="004C473A">
        <w:rPr>
          <w:b/>
        </w:rPr>
        <w:t>Qwest/</w:t>
      </w:r>
      <w:r w:rsidRPr="00156C97">
        <w:rPr>
          <w:b/>
        </w:rPr>
        <w:t xml:space="preserve">CenturyLink </w:t>
      </w:r>
      <w:r>
        <w:rPr>
          <w:b/>
        </w:rPr>
        <w:t>believe that offering a new</w:t>
      </w:r>
      <w:r w:rsidRPr="00156C97">
        <w:rPr>
          <w:b/>
        </w:rPr>
        <w:t xml:space="preserve"> OSS violates</w:t>
      </w:r>
      <w:r>
        <w:rPr>
          <w:b/>
        </w:rPr>
        <w:t xml:space="preserve"> the </w:t>
      </w:r>
      <w:r w:rsidR="004F4BB3">
        <w:rPr>
          <w:b/>
        </w:rPr>
        <w:t>OSS Settlement Conditions</w:t>
      </w:r>
      <w:r>
        <w:rPr>
          <w:b/>
        </w:rPr>
        <w:t xml:space="preserve"> and Order </w:t>
      </w:r>
      <w:r w:rsidRPr="00156C97">
        <w:rPr>
          <w:b/>
        </w:rPr>
        <w:t>14?</w:t>
      </w:r>
    </w:p>
    <w:p w:rsidR="00E62D15" w:rsidRDefault="00740ABB" w:rsidP="00740ABB">
      <w:pPr>
        <w:autoSpaceDE w:val="0"/>
        <w:autoSpaceDN w:val="0"/>
        <w:adjustRightInd w:val="0"/>
        <w:spacing w:line="480" w:lineRule="auto"/>
        <w:ind w:left="720" w:hanging="720"/>
      </w:pPr>
      <w:r w:rsidRPr="00AF1BFD">
        <w:t>A.</w:t>
      </w:r>
      <w:r w:rsidRPr="00AF1BFD">
        <w:tab/>
      </w:r>
      <w:r>
        <w:t>No</w:t>
      </w:r>
      <w:r w:rsidR="00AF1BFD">
        <w:t>,</w:t>
      </w:r>
      <w:r>
        <w:t xml:space="preserve"> it does not.</w:t>
      </w:r>
      <w:r w:rsidR="00AF1BFD">
        <w:t xml:space="preserve"> </w:t>
      </w:r>
      <w:r>
        <w:t xml:space="preserve"> According to Qwest/CenturyLink witness Ms. </w:t>
      </w:r>
      <w:proofErr w:type="spellStart"/>
      <w:r>
        <w:t>Albersheim</w:t>
      </w:r>
      <w:proofErr w:type="spellEnd"/>
      <w:r>
        <w:t xml:space="preserve">: “Qwest/CenturyLink will keep the MEDIACC system in place until late 2013, withdrawing it only after complying with our merger commitments and settlement agreements, including </w:t>
      </w:r>
      <w:r w:rsidR="004C473A">
        <w:t xml:space="preserve">obtaining </w:t>
      </w:r>
      <w:proofErr w:type="spellStart"/>
      <w:r>
        <w:t>CLEC</w:t>
      </w:r>
      <w:proofErr w:type="spellEnd"/>
      <w:r>
        <w:t xml:space="preserve"> approval</w:t>
      </w:r>
      <w:r w:rsidR="004C473A">
        <w:t>” and “</w:t>
      </w:r>
      <w:r>
        <w:t xml:space="preserve">Qwest/CenturyLink will continue to </w:t>
      </w:r>
      <w:r w:rsidR="004C473A">
        <w:t>‘</w:t>
      </w:r>
      <w:r>
        <w:t>use and offer</w:t>
      </w:r>
      <w:r w:rsidR="004C473A">
        <w:t>’</w:t>
      </w:r>
      <w:r>
        <w:t xml:space="preserve"> MEDIACC to CLECs for at least 30 months as required by the merger settlements, and MEDIACC will not be ‘retired or replaced’ until all the agreed-upon time periods and procedures are completed.”</w:t>
      </w:r>
      <w:r>
        <w:rPr>
          <w:rStyle w:val="FootnoteReference"/>
        </w:rPr>
        <w:footnoteReference w:id="18"/>
      </w:r>
      <w:r>
        <w:t xml:space="preserve"> </w:t>
      </w:r>
      <w:r w:rsidR="001228B2">
        <w:t xml:space="preserve">For the remainder of </w:t>
      </w:r>
      <w:r w:rsidR="001228B2">
        <w:lastRenderedPageBreak/>
        <w:t>the 30</w:t>
      </w:r>
      <w:r w:rsidR="003018A3">
        <w:t>-</w:t>
      </w:r>
      <w:r w:rsidR="001228B2">
        <w:t xml:space="preserve">month time frame </w:t>
      </w:r>
      <w:r>
        <w:t xml:space="preserve">Qwest/CenturyLink </w:t>
      </w:r>
      <w:r w:rsidR="00CB4DDB">
        <w:t xml:space="preserve">proffers that </w:t>
      </w:r>
      <w:proofErr w:type="spellStart"/>
      <w:r>
        <w:t>MEDIACC</w:t>
      </w:r>
      <w:proofErr w:type="spellEnd"/>
      <w:r>
        <w:t xml:space="preserve"> and </w:t>
      </w:r>
      <w:proofErr w:type="spellStart"/>
      <w:r>
        <w:t>MTG</w:t>
      </w:r>
      <w:proofErr w:type="spellEnd"/>
      <w:r>
        <w:t xml:space="preserve"> </w:t>
      </w:r>
      <w:r w:rsidR="00954F9D">
        <w:t xml:space="preserve">will be available </w:t>
      </w:r>
      <w:r>
        <w:t xml:space="preserve">as parallel </w:t>
      </w:r>
      <w:r w:rsidR="00954F9D">
        <w:t xml:space="preserve">maintenance and repair </w:t>
      </w:r>
      <w:r>
        <w:t>systems</w:t>
      </w:r>
      <w:r w:rsidR="00954F9D">
        <w:t xml:space="preserve"> offering the same service but</w:t>
      </w:r>
      <w:r>
        <w:t xml:space="preserve"> using different protocols for access</w:t>
      </w:r>
      <w:r w:rsidR="00EB7121">
        <w:t xml:space="preserve"> to legacy Qwest internal OS</w:t>
      </w:r>
      <w:r w:rsidR="003F3577">
        <w:t>S</w:t>
      </w:r>
      <w:r w:rsidR="001228B2">
        <w:t xml:space="preserve"> by the CLECs</w:t>
      </w:r>
      <w:r w:rsidR="00EB7121">
        <w:t>.</w:t>
      </w:r>
      <w:r w:rsidR="003018A3">
        <w:t xml:space="preserve"> </w:t>
      </w:r>
      <w:r w:rsidR="00EB7121">
        <w:t xml:space="preserve"> It is Qwest/Century</w:t>
      </w:r>
      <w:r w:rsidR="003F3577">
        <w:t>Link’s</w:t>
      </w:r>
      <w:r w:rsidR="00EB7121">
        <w:t xml:space="preserve"> intent</w:t>
      </w:r>
      <w:r w:rsidR="00B61DA3">
        <w:t>ion</w:t>
      </w:r>
      <w:r w:rsidR="00EB7121">
        <w:t xml:space="preserve"> to offer</w:t>
      </w:r>
      <w:r w:rsidR="00AA674C">
        <w:t xml:space="preserve"> MTG to CLECs and other wholesale customers (</w:t>
      </w:r>
      <w:r w:rsidR="003018A3">
        <w:t>long distance carrier</w:t>
      </w:r>
      <w:r w:rsidR="00AA674C">
        <w:t xml:space="preserve">s and/or Wireless </w:t>
      </w:r>
      <w:r w:rsidR="003018A3">
        <w:t>carriers</w:t>
      </w:r>
      <w:r w:rsidR="00EB7121">
        <w:t xml:space="preserve">) while continuing to </w:t>
      </w:r>
      <w:r w:rsidR="00954F9D">
        <w:t xml:space="preserve">maintain access to </w:t>
      </w:r>
      <w:r w:rsidR="00EB7121">
        <w:t>MEDIACC</w:t>
      </w:r>
      <w:r>
        <w:t>.</w:t>
      </w:r>
      <w:r w:rsidR="00E62D15">
        <w:t xml:space="preserve"> </w:t>
      </w:r>
      <w:r w:rsidR="00B86DAF">
        <w:t xml:space="preserve"> </w:t>
      </w:r>
      <w:r w:rsidR="00E62D15">
        <w:t xml:space="preserve">By keeping </w:t>
      </w:r>
      <w:proofErr w:type="spellStart"/>
      <w:r w:rsidR="00E62D15">
        <w:t>MEDIACC</w:t>
      </w:r>
      <w:proofErr w:type="spellEnd"/>
      <w:r w:rsidR="00E62D15">
        <w:t xml:space="preserve"> in service they believe that they are not in violation of the settlement agreements.</w:t>
      </w:r>
    </w:p>
    <w:p w:rsidR="00306959" w:rsidRDefault="00306959" w:rsidP="00740ABB">
      <w:pPr>
        <w:autoSpaceDE w:val="0"/>
        <w:autoSpaceDN w:val="0"/>
        <w:adjustRightInd w:val="0"/>
        <w:spacing w:line="480" w:lineRule="auto"/>
        <w:ind w:left="720" w:hanging="720"/>
      </w:pPr>
    </w:p>
    <w:p w:rsidR="00306959" w:rsidRDefault="00306959" w:rsidP="00306959">
      <w:pPr>
        <w:autoSpaceDE w:val="0"/>
        <w:autoSpaceDN w:val="0"/>
        <w:adjustRightInd w:val="0"/>
        <w:spacing w:line="480" w:lineRule="auto"/>
        <w:ind w:left="720" w:hanging="720"/>
        <w:rPr>
          <w:b/>
        </w:rPr>
      </w:pPr>
      <w:r>
        <w:rPr>
          <w:b/>
        </w:rPr>
        <w:t>Q.</w:t>
      </w:r>
      <w:r>
        <w:rPr>
          <w:b/>
        </w:rPr>
        <w:tab/>
        <w:t>Do the CLECs agree that offering a new parallel OSS comports with the OSS Settlement Conditions and Order 14?</w:t>
      </w:r>
    </w:p>
    <w:p w:rsidR="00306959" w:rsidRDefault="00306959" w:rsidP="00306959">
      <w:pPr>
        <w:autoSpaceDE w:val="0"/>
        <w:autoSpaceDN w:val="0"/>
        <w:adjustRightInd w:val="0"/>
        <w:spacing w:line="480" w:lineRule="auto"/>
        <w:ind w:left="720" w:hanging="720"/>
      </w:pPr>
      <w:r w:rsidRPr="00AF1BFD">
        <w:t>A.</w:t>
      </w:r>
      <w:r>
        <w:tab/>
        <w:t>No</w:t>
      </w:r>
      <w:r w:rsidR="00AF1BFD">
        <w:t>,</w:t>
      </w:r>
      <w:r>
        <w:t xml:space="preserve"> they do not. </w:t>
      </w:r>
      <w:r w:rsidR="00B86DAF">
        <w:t xml:space="preserve"> </w:t>
      </w:r>
      <w:r>
        <w:t xml:space="preserve">The </w:t>
      </w:r>
      <w:proofErr w:type="spellStart"/>
      <w:r>
        <w:t>CLECs</w:t>
      </w:r>
      <w:proofErr w:type="spellEnd"/>
      <w:r>
        <w:t xml:space="preserve"> argue that during merger negotiations their “goal was to ensure that such OSS changes were precluded during the two-year. . .period” (amended by the Commission’s Order 14 to 30 months) “and that OSS changes, along with the additional steps required by the Joint CLECs’ merger conditions before making such changes, occurred after [this] period.”</w:t>
      </w:r>
      <w:r>
        <w:rPr>
          <w:rStyle w:val="FootnoteReference"/>
        </w:rPr>
        <w:footnoteReference w:id="19"/>
      </w:r>
      <w:r>
        <w:t xml:space="preserve"> Essentially the CLECs are saying that no joint planning, development or testing of new OSS can be done during the 30-month period. </w:t>
      </w:r>
    </w:p>
    <w:p w:rsidR="00306959" w:rsidRDefault="00AF1BFD" w:rsidP="00306959">
      <w:pPr>
        <w:autoSpaceDE w:val="0"/>
        <w:autoSpaceDN w:val="0"/>
        <w:adjustRightInd w:val="0"/>
        <w:spacing w:line="480" w:lineRule="auto"/>
        <w:ind w:left="720"/>
      </w:pPr>
      <w:r>
        <w:tab/>
      </w:r>
      <w:r w:rsidR="00306959">
        <w:t xml:space="preserve">Mr. Denney argues that the Integra Agreement “provides that ‘the replacement </w:t>
      </w:r>
      <w:r w:rsidR="00306959" w:rsidRPr="00F54670">
        <w:rPr>
          <w:b/>
          <w:i/>
        </w:rPr>
        <w:t>or</w:t>
      </w:r>
      <w:r w:rsidR="00306959">
        <w:t xml:space="preserve"> retirement of a Qwest OSS Interface may not occur without sufficient acceptance of the replacement interface by CLECs to help assure that the replacement interface provides the level of wholesale quality provided by Qwest prior to closing date.’”</w:t>
      </w:r>
      <w:r w:rsidR="00306959">
        <w:rPr>
          <w:rStyle w:val="FootnoteReference"/>
        </w:rPr>
        <w:footnoteReference w:id="20"/>
      </w:r>
      <w:r w:rsidR="00306959">
        <w:t xml:space="preserve"> He further contends, “The Merged Company is </w:t>
      </w:r>
      <w:r w:rsidR="00306959" w:rsidRPr="00F54670">
        <w:rPr>
          <w:b/>
          <w:i/>
        </w:rPr>
        <w:t>replacing</w:t>
      </w:r>
      <w:r w:rsidR="00306959">
        <w:t xml:space="preserve"> </w:t>
      </w:r>
      <w:r w:rsidR="00306959">
        <w:lastRenderedPageBreak/>
        <w:t xml:space="preserve">MEDIACC with MTG when it implements MTG in December of 2011, though it is not </w:t>
      </w:r>
      <w:r w:rsidR="00306959" w:rsidRPr="006F2EAB">
        <w:rPr>
          <w:b/>
          <w:i/>
        </w:rPr>
        <w:t>retiring</w:t>
      </w:r>
      <w:r w:rsidR="00306959">
        <w:t xml:space="preserve"> MEDIACC until a later date.”</w:t>
      </w:r>
      <w:r w:rsidR="00306959">
        <w:rPr>
          <w:rStyle w:val="FootnoteReference"/>
        </w:rPr>
        <w:footnoteReference w:id="21"/>
      </w:r>
      <w:r w:rsidR="00306959">
        <w:t xml:space="preserve"> This somewhat tortured interpretation would preclude Qwest/CenturyLink from offering </w:t>
      </w:r>
      <w:proofErr w:type="spellStart"/>
      <w:r w:rsidR="00306959">
        <w:t>MTG</w:t>
      </w:r>
      <w:proofErr w:type="spellEnd"/>
      <w:r w:rsidR="00306959">
        <w:t xml:space="preserve"> to any carrier even if Qwest/CenturyLink continued to offer MEDIACC to those customers who did not want to change to the newer MTG.</w:t>
      </w:r>
    </w:p>
    <w:p w:rsidR="007D04F7" w:rsidRDefault="007D04F7" w:rsidP="00306959">
      <w:pPr>
        <w:autoSpaceDE w:val="0"/>
        <w:autoSpaceDN w:val="0"/>
        <w:adjustRightInd w:val="0"/>
        <w:spacing w:line="480" w:lineRule="auto"/>
        <w:ind w:left="720"/>
      </w:pPr>
    </w:p>
    <w:p w:rsidR="00740ABB" w:rsidRPr="00B463B5" w:rsidRDefault="00E62D15" w:rsidP="00B463B5">
      <w:pPr>
        <w:autoSpaceDE w:val="0"/>
        <w:autoSpaceDN w:val="0"/>
        <w:adjustRightInd w:val="0"/>
        <w:spacing w:line="480" w:lineRule="auto"/>
        <w:ind w:left="720" w:hanging="720"/>
        <w:jc w:val="center"/>
        <w:rPr>
          <w:caps/>
        </w:rPr>
      </w:pPr>
      <w:r w:rsidRPr="00B463B5">
        <w:rPr>
          <w:b/>
          <w:caps/>
        </w:rPr>
        <w:t>VI</w:t>
      </w:r>
      <w:r w:rsidR="0056383E">
        <w:rPr>
          <w:b/>
          <w:caps/>
        </w:rPr>
        <w:t>.</w:t>
      </w:r>
      <w:r w:rsidRPr="00B463B5">
        <w:rPr>
          <w:b/>
          <w:caps/>
        </w:rPr>
        <w:tab/>
        <w:t>Staff Position</w:t>
      </w:r>
    </w:p>
    <w:p w:rsidR="00873D16" w:rsidRDefault="00873D16" w:rsidP="00F54670">
      <w:pPr>
        <w:autoSpaceDE w:val="0"/>
        <w:autoSpaceDN w:val="0"/>
        <w:adjustRightInd w:val="0"/>
        <w:spacing w:line="480" w:lineRule="auto"/>
        <w:ind w:left="720"/>
      </w:pPr>
    </w:p>
    <w:p w:rsidR="001A4EAE" w:rsidRDefault="001A4EAE" w:rsidP="003C34A8">
      <w:pPr>
        <w:autoSpaceDE w:val="0"/>
        <w:autoSpaceDN w:val="0"/>
        <w:adjustRightInd w:val="0"/>
        <w:spacing w:line="480" w:lineRule="auto"/>
        <w:ind w:left="720" w:hanging="720"/>
        <w:rPr>
          <w:b/>
        </w:rPr>
      </w:pPr>
      <w:r w:rsidRPr="001A4EAE">
        <w:rPr>
          <w:b/>
        </w:rPr>
        <w:t>Q.</w:t>
      </w:r>
      <w:r w:rsidRPr="001A4EAE">
        <w:rPr>
          <w:b/>
        </w:rPr>
        <w:tab/>
        <w:t>D</w:t>
      </w:r>
      <w:r>
        <w:rPr>
          <w:b/>
        </w:rPr>
        <w:t>o you agree with Mr. Denney’s interpretation</w:t>
      </w:r>
      <w:r w:rsidR="003C34A8">
        <w:rPr>
          <w:b/>
        </w:rPr>
        <w:t xml:space="preserve"> that Qwest/CenturyLink is replacing </w:t>
      </w:r>
      <w:proofErr w:type="spellStart"/>
      <w:r w:rsidR="003C34A8">
        <w:rPr>
          <w:b/>
        </w:rPr>
        <w:t>MEDIACC</w:t>
      </w:r>
      <w:proofErr w:type="spellEnd"/>
      <w:r w:rsidR="003C34A8">
        <w:rPr>
          <w:b/>
        </w:rPr>
        <w:t xml:space="preserve"> when it implements the new </w:t>
      </w:r>
      <w:r w:rsidR="00381DE0">
        <w:rPr>
          <w:b/>
        </w:rPr>
        <w:t>M</w:t>
      </w:r>
      <w:r w:rsidR="003C34A8">
        <w:rPr>
          <w:b/>
        </w:rPr>
        <w:t xml:space="preserve">TG </w:t>
      </w:r>
      <w:r w:rsidR="00923FED">
        <w:rPr>
          <w:b/>
        </w:rPr>
        <w:t>system</w:t>
      </w:r>
      <w:r>
        <w:rPr>
          <w:b/>
        </w:rPr>
        <w:t>?</w:t>
      </w:r>
    </w:p>
    <w:p w:rsidR="0077706D" w:rsidRDefault="001A4EAE" w:rsidP="001A4EAE">
      <w:pPr>
        <w:autoSpaceDE w:val="0"/>
        <w:autoSpaceDN w:val="0"/>
        <w:adjustRightInd w:val="0"/>
        <w:spacing w:line="480" w:lineRule="auto"/>
        <w:ind w:left="720" w:hanging="720"/>
      </w:pPr>
      <w:r w:rsidRPr="00AF1BFD">
        <w:t>A.</w:t>
      </w:r>
      <w:r>
        <w:tab/>
        <w:t>No</w:t>
      </w:r>
      <w:r w:rsidR="007D04F7">
        <w:t>.</w:t>
      </w:r>
      <w:r>
        <w:t xml:space="preserve"> </w:t>
      </w:r>
      <w:r w:rsidR="007D04F7">
        <w:t xml:space="preserve"> </w:t>
      </w:r>
      <w:r>
        <w:t xml:space="preserve">MEDIACC is not replaced until it is retired and </w:t>
      </w:r>
      <w:r w:rsidR="00954F9D">
        <w:t xml:space="preserve">no longer available. </w:t>
      </w:r>
      <w:r w:rsidR="007D04F7">
        <w:t xml:space="preserve"> </w:t>
      </w:r>
      <w:r w:rsidR="00B61DA3">
        <w:t>When MEDIACC is retired</w:t>
      </w:r>
      <w:r w:rsidR="00954F9D">
        <w:t xml:space="preserve"> </w:t>
      </w:r>
      <w:r>
        <w:t xml:space="preserve">MTG </w:t>
      </w:r>
      <w:r w:rsidR="00954F9D">
        <w:t>will be the only wholesale maintenance and repair system</w:t>
      </w:r>
      <w:r>
        <w:t xml:space="preserve"> provid</w:t>
      </w:r>
      <w:r w:rsidR="00954F9D">
        <w:t>ing</w:t>
      </w:r>
      <w:r>
        <w:t xml:space="preserve"> th</w:t>
      </w:r>
      <w:r w:rsidR="00582D13">
        <w:t>e</w:t>
      </w:r>
      <w:r>
        <w:t xml:space="preserve"> </w:t>
      </w:r>
      <w:r w:rsidR="00582D13">
        <w:t>maintenance and repair</w:t>
      </w:r>
      <w:r w:rsidR="00E62D15">
        <w:t xml:space="preserve"> </w:t>
      </w:r>
      <w:r>
        <w:t xml:space="preserve">function. </w:t>
      </w:r>
      <w:r w:rsidR="007D04F7">
        <w:t xml:space="preserve"> </w:t>
      </w:r>
      <w:r w:rsidR="00127513">
        <w:t>D</w:t>
      </w:r>
      <w:r>
        <w:t xml:space="preserve">esigning a system that will be used as a replacement sometime in the future does not constitute a replacement </w:t>
      </w:r>
      <w:r w:rsidR="00582D13">
        <w:t>if</w:t>
      </w:r>
      <w:r>
        <w:t xml:space="preserve"> the original system is still in use</w:t>
      </w:r>
      <w:r w:rsidR="00582D13">
        <w:t>.</w:t>
      </w:r>
      <w:r w:rsidR="007D04F7">
        <w:t xml:space="preserve"> </w:t>
      </w:r>
      <w:r w:rsidR="00127513">
        <w:t xml:space="preserve"> </w:t>
      </w:r>
      <w:r w:rsidR="00582D13">
        <w:t>O</w:t>
      </w:r>
      <w:r w:rsidR="00127513">
        <w:t xml:space="preserve">ffering </w:t>
      </w:r>
      <w:r w:rsidR="00582D13">
        <w:t>MTG</w:t>
      </w:r>
      <w:r w:rsidR="00127513">
        <w:t xml:space="preserve"> optionally in parallel with the old system</w:t>
      </w:r>
      <w:r w:rsidR="009424D3">
        <w:t xml:space="preserve"> </w:t>
      </w:r>
      <w:r w:rsidR="00582D13">
        <w:t xml:space="preserve">does not constitute the retirement of MEDIACC </w:t>
      </w:r>
      <w:r w:rsidR="009424D3">
        <w:t>as long as access to MEDIACC is maintained</w:t>
      </w:r>
      <w:r w:rsidR="00582D13">
        <w:t xml:space="preserve"> for the 30 month period</w:t>
      </w:r>
      <w:r>
        <w:t>.</w:t>
      </w:r>
    </w:p>
    <w:p w:rsidR="00B27BAC" w:rsidRDefault="00B27BAC" w:rsidP="001A4EAE">
      <w:pPr>
        <w:autoSpaceDE w:val="0"/>
        <w:autoSpaceDN w:val="0"/>
        <w:adjustRightInd w:val="0"/>
        <w:spacing w:line="480" w:lineRule="auto"/>
        <w:ind w:left="720" w:hanging="720"/>
      </w:pPr>
    </w:p>
    <w:p w:rsidR="006F2EAB" w:rsidRDefault="006F2EAB" w:rsidP="001A4EAE">
      <w:pPr>
        <w:autoSpaceDE w:val="0"/>
        <w:autoSpaceDN w:val="0"/>
        <w:adjustRightInd w:val="0"/>
        <w:spacing w:line="480" w:lineRule="auto"/>
        <w:ind w:left="720" w:hanging="720"/>
        <w:rPr>
          <w:b/>
        </w:rPr>
      </w:pPr>
      <w:r w:rsidRPr="006F2EAB">
        <w:rPr>
          <w:b/>
        </w:rPr>
        <w:t>Q.</w:t>
      </w:r>
      <w:r>
        <w:rPr>
          <w:b/>
        </w:rPr>
        <w:tab/>
        <w:t xml:space="preserve">You mentioned earlier the concern from all parties that MEDIACC is at risk of </w:t>
      </w:r>
      <w:r w:rsidRPr="006F2EAB">
        <w:rPr>
          <w:b/>
        </w:rPr>
        <w:t>an unrecoverable failure in the future</w:t>
      </w:r>
      <w:r>
        <w:rPr>
          <w:b/>
        </w:rPr>
        <w:t xml:space="preserve">. </w:t>
      </w:r>
      <w:r w:rsidR="007D04F7">
        <w:rPr>
          <w:b/>
        </w:rPr>
        <w:t xml:space="preserve"> </w:t>
      </w:r>
      <w:r>
        <w:rPr>
          <w:b/>
        </w:rPr>
        <w:t xml:space="preserve">Please explain. </w:t>
      </w:r>
    </w:p>
    <w:p w:rsidR="00CF62EF" w:rsidRDefault="00CF62EF" w:rsidP="001A4EAE">
      <w:pPr>
        <w:autoSpaceDE w:val="0"/>
        <w:autoSpaceDN w:val="0"/>
        <w:adjustRightInd w:val="0"/>
        <w:spacing w:line="480" w:lineRule="auto"/>
        <w:ind w:left="720" w:hanging="720"/>
      </w:pPr>
      <w:r w:rsidRPr="00AF1BFD">
        <w:t>A.</w:t>
      </w:r>
      <w:r w:rsidRPr="00AF1BFD">
        <w:tab/>
      </w:r>
      <w:r w:rsidR="00AF0F6E">
        <w:t>Q</w:t>
      </w:r>
      <w:r>
        <w:t xml:space="preserve">west/CenturyLink </w:t>
      </w:r>
      <w:r w:rsidR="00582D13">
        <w:t>completed technical evaluation</w:t>
      </w:r>
      <w:r w:rsidR="005206E5">
        <w:t>s</w:t>
      </w:r>
      <w:r w:rsidR="00582D13">
        <w:t xml:space="preserve"> of </w:t>
      </w:r>
      <w:r>
        <w:t>MEDIACC</w:t>
      </w:r>
      <w:r w:rsidR="009D64C8">
        <w:rPr>
          <w:rStyle w:val="FootnoteReference"/>
        </w:rPr>
        <w:footnoteReference w:id="22"/>
      </w:r>
      <w:r>
        <w:t xml:space="preserve"> and de</w:t>
      </w:r>
      <w:r w:rsidR="001A4EAE">
        <w:t xml:space="preserve">termined that </w:t>
      </w:r>
      <w:r w:rsidR="00582D13">
        <w:t xml:space="preserve">some </w:t>
      </w:r>
      <w:r w:rsidR="001A4EAE">
        <w:t xml:space="preserve">vendors </w:t>
      </w:r>
      <w:r w:rsidR="00582D13">
        <w:t xml:space="preserve">can </w:t>
      </w:r>
      <w:r w:rsidR="001A4EAE">
        <w:t>no l</w:t>
      </w:r>
      <w:r>
        <w:t xml:space="preserve">onger provide full support for portions of </w:t>
      </w:r>
      <w:r w:rsidR="00220034">
        <w:t xml:space="preserve">the </w:t>
      </w:r>
      <w:r>
        <w:t xml:space="preserve">hardware </w:t>
      </w:r>
      <w:r>
        <w:lastRenderedPageBreak/>
        <w:t>and software.</w:t>
      </w:r>
      <w:r w:rsidR="00164867">
        <w:rPr>
          <w:rStyle w:val="FootnoteReference"/>
        </w:rPr>
        <w:footnoteReference w:id="23"/>
      </w:r>
      <w:r>
        <w:t xml:space="preserve"> </w:t>
      </w:r>
      <w:r w:rsidR="007D04F7">
        <w:t xml:space="preserve"> </w:t>
      </w:r>
      <w:r>
        <w:t xml:space="preserve">Some vendors </w:t>
      </w:r>
      <w:r w:rsidR="005206E5">
        <w:t xml:space="preserve">can </w:t>
      </w:r>
      <w:r>
        <w:t xml:space="preserve">only provide “best effort” support that may not include the availability of spare hardware or software patches. </w:t>
      </w:r>
      <w:r w:rsidR="007D04F7">
        <w:t xml:space="preserve"> </w:t>
      </w:r>
      <w:r>
        <w:t>An unrecoverable MEDIACC failure would be catastrophic to all parties.</w:t>
      </w:r>
      <w:r w:rsidR="00AF0F6E">
        <w:t xml:space="preserve"> </w:t>
      </w:r>
      <w:r w:rsidR="007D04F7">
        <w:t xml:space="preserve"> </w:t>
      </w:r>
      <w:r w:rsidR="00AF0F6E" w:rsidRPr="00AF0F6E">
        <w:t>The lack of Qwest/CenturyLink</w:t>
      </w:r>
      <w:r w:rsidR="007D04F7">
        <w:t>’s</w:t>
      </w:r>
      <w:r w:rsidR="00AF0F6E" w:rsidRPr="00AF0F6E">
        <w:t xml:space="preserve"> </w:t>
      </w:r>
      <w:r w:rsidR="00AF0F6E">
        <w:t xml:space="preserve">due </w:t>
      </w:r>
      <w:r w:rsidR="00AF0F6E" w:rsidRPr="00AF0F6E">
        <w:t>diligence and coordination between its Wholesale, IT, merger planning, and implementation teams</w:t>
      </w:r>
      <w:r w:rsidR="00AF0F6E">
        <w:rPr>
          <w:b/>
        </w:rPr>
        <w:t xml:space="preserve"> </w:t>
      </w:r>
      <w:r w:rsidR="001C1867">
        <w:t xml:space="preserve">has created </w:t>
      </w:r>
      <w:r w:rsidR="005F53F0">
        <w:t xml:space="preserve">a </w:t>
      </w:r>
      <w:r w:rsidR="00CC6270">
        <w:t>conundrum</w:t>
      </w:r>
      <w:r w:rsidR="001C1867">
        <w:t xml:space="preserve"> for all parties</w:t>
      </w:r>
      <w:r w:rsidR="00AF0F6E">
        <w:t>.</w:t>
      </w:r>
      <w:r w:rsidR="00306959">
        <w:t xml:space="preserve"> </w:t>
      </w:r>
    </w:p>
    <w:p w:rsidR="00873D16" w:rsidRDefault="00873D16" w:rsidP="001A4EAE">
      <w:pPr>
        <w:autoSpaceDE w:val="0"/>
        <w:autoSpaceDN w:val="0"/>
        <w:adjustRightInd w:val="0"/>
        <w:spacing w:line="480" w:lineRule="auto"/>
        <w:ind w:left="720" w:hanging="720"/>
      </w:pPr>
    </w:p>
    <w:p w:rsidR="00DB2DDC" w:rsidRDefault="00DB2DDC" w:rsidP="001A4EAE">
      <w:pPr>
        <w:autoSpaceDE w:val="0"/>
        <w:autoSpaceDN w:val="0"/>
        <w:adjustRightInd w:val="0"/>
        <w:spacing w:line="480" w:lineRule="auto"/>
        <w:ind w:left="720" w:hanging="720"/>
        <w:rPr>
          <w:b/>
        </w:rPr>
      </w:pPr>
      <w:r>
        <w:rPr>
          <w:b/>
        </w:rPr>
        <w:t>Q.</w:t>
      </w:r>
      <w:r>
        <w:tab/>
      </w:r>
      <w:r w:rsidRPr="00AD2661">
        <w:rPr>
          <w:b/>
        </w:rPr>
        <w:t>Would a fully developed and working MTG resolve a catastrophic failure of MEDIACC?</w:t>
      </w:r>
    </w:p>
    <w:p w:rsidR="005C366B" w:rsidRDefault="00DB2DDC" w:rsidP="001A4EAE">
      <w:pPr>
        <w:autoSpaceDE w:val="0"/>
        <w:autoSpaceDN w:val="0"/>
        <w:adjustRightInd w:val="0"/>
        <w:spacing w:line="480" w:lineRule="auto"/>
        <w:ind w:left="720" w:hanging="720"/>
      </w:pPr>
      <w:r w:rsidRPr="00AF1BFD">
        <w:t>A.</w:t>
      </w:r>
      <w:r>
        <w:rPr>
          <w:b/>
        </w:rPr>
        <w:tab/>
      </w:r>
      <w:r w:rsidR="001C3AFE" w:rsidRPr="00F420C4">
        <w:t xml:space="preserve">I believe it would but </w:t>
      </w:r>
      <w:r w:rsidR="00FE03A2">
        <w:t xml:space="preserve">only of the CLECs </w:t>
      </w:r>
      <w:proofErr w:type="gramStart"/>
      <w:r w:rsidR="00CB51FA">
        <w:t>are</w:t>
      </w:r>
      <w:proofErr w:type="gramEnd"/>
      <w:r w:rsidR="00CB51FA">
        <w:t xml:space="preserve"> able to </w:t>
      </w:r>
      <w:r w:rsidR="00FE03A2">
        <w:t xml:space="preserve">take advantage of it. </w:t>
      </w:r>
      <w:r w:rsidR="00B86DAF">
        <w:t xml:space="preserve"> </w:t>
      </w:r>
      <w:r w:rsidR="00FE03A2">
        <w:t>A</w:t>
      </w:r>
      <w:r w:rsidR="001C3AFE" w:rsidRPr="00F420C4">
        <w:t>s</w:t>
      </w:r>
      <w:r w:rsidR="001C3AFE">
        <w:rPr>
          <w:b/>
        </w:rPr>
        <w:t xml:space="preserve"> </w:t>
      </w:r>
      <w:r w:rsidR="001C3AFE">
        <w:t>Qwest/</w:t>
      </w:r>
      <w:r>
        <w:t xml:space="preserve">CenturyLink witness </w:t>
      </w:r>
      <w:r w:rsidR="000530E9">
        <w:t xml:space="preserve">Ms. </w:t>
      </w:r>
      <w:proofErr w:type="spellStart"/>
      <w:r>
        <w:t>Albersheim</w:t>
      </w:r>
      <w:proofErr w:type="spellEnd"/>
      <w:r w:rsidR="001C3AFE">
        <w:t xml:space="preserve"> testifies</w:t>
      </w:r>
      <w:r>
        <w:t xml:space="preserve">: </w:t>
      </w:r>
      <w:r w:rsidR="007D04F7">
        <w:t xml:space="preserve"> </w:t>
      </w:r>
      <w:r>
        <w:t xml:space="preserve">“If </w:t>
      </w:r>
      <w:proofErr w:type="spellStart"/>
      <w:r>
        <w:t>CLECs</w:t>
      </w:r>
      <w:proofErr w:type="spellEnd"/>
      <w:r>
        <w:t xml:space="preserve"> have already developed an interface to MTG, they should be able to transition fairly quickly from MEDIACC to MTG.</w:t>
      </w:r>
      <w:r w:rsidR="005C366B">
        <w:t>”</w:t>
      </w:r>
      <w:r w:rsidR="005C366B">
        <w:rPr>
          <w:rStyle w:val="FootnoteReference"/>
        </w:rPr>
        <w:footnoteReference w:id="24"/>
      </w:r>
      <w:r w:rsidR="005C366B">
        <w:t xml:space="preserve">  Ms. </w:t>
      </w:r>
      <w:proofErr w:type="spellStart"/>
      <w:r w:rsidR="005C366B">
        <w:t>Albersheim</w:t>
      </w:r>
      <w:proofErr w:type="spellEnd"/>
      <w:r w:rsidR="005C366B">
        <w:t xml:space="preserve"> further states:</w:t>
      </w:r>
    </w:p>
    <w:p w:rsidR="005C366B" w:rsidRDefault="00DB2DDC" w:rsidP="00AF1BFD">
      <w:pPr>
        <w:autoSpaceDE w:val="0"/>
        <w:autoSpaceDN w:val="0"/>
        <w:adjustRightInd w:val="0"/>
        <w:ind w:left="1440"/>
      </w:pPr>
      <w:r>
        <w:t xml:space="preserve">If a vendor such as </w:t>
      </w:r>
      <w:proofErr w:type="spellStart"/>
      <w:r>
        <w:t>Synchronoss</w:t>
      </w:r>
      <w:proofErr w:type="spellEnd"/>
      <w:r w:rsidR="006B42EB">
        <w:rPr>
          <w:rStyle w:val="FootnoteReference"/>
        </w:rPr>
        <w:footnoteReference w:id="25"/>
      </w:r>
      <w:r>
        <w:t xml:space="preserve"> has developed an interface to MTG, the CLECs who use MEDIACC will have an option of using the vendor interface to MTG.</w:t>
      </w:r>
      <w:r w:rsidR="007D04F7">
        <w:t xml:space="preserve"> </w:t>
      </w:r>
      <w:r>
        <w:t xml:space="preserve"> Those CLECs using MEDIACC who have not developed an interface to </w:t>
      </w:r>
      <w:r w:rsidR="00CA68F4">
        <w:t>M</w:t>
      </w:r>
      <w:r>
        <w:t xml:space="preserve">TG, and do not wish to use a vendor, will have to develop that interface before they </w:t>
      </w:r>
      <w:r w:rsidR="005C366B">
        <w:t xml:space="preserve">can </w:t>
      </w:r>
      <w:r>
        <w:t>transition to MTG.</w:t>
      </w:r>
      <w:r w:rsidR="005C366B">
        <w:rPr>
          <w:rStyle w:val="FootnoteReference"/>
        </w:rPr>
        <w:footnoteReference w:id="26"/>
      </w:r>
    </w:p>
    <w:p w:rsidR="00AF1BFD" w:rsidRDefault="00AF1BFD" w:rsidP="00AF1BFD">
      <w:pPr>
        <w:autoSpaceDE w:val="0"/>
        <w:autoSpaceDN w:val="0"/>
        <w:adjustRightInd w:val="0"/>
        <w:ind w:left="1440"/>
      </w:pPr>
    </w:p>
    <w:p w:rsidR="001C3AFE" w:rsidRDefault="003F5A7F" w:rsidP="00AF1BFD">
      <w:pPr>
        <w:autoSpaceDE w:val="0"/>
        <w:autoSpaceDN w:val="0"/>
        <w:adjustRightInd w:val="0"/>
        <w:spacing w:line="480" w:lineRule="auto"/>
        <w:ind w:left="720"/>
      </w:pPr>
      <w:r w:rsidRPr="005C366B">
        <w:t xml:space="preserve">It would take some time for the CLECs, and other wholesale customers, that had not developed an XML interface to MTG to recover full functionality following a complete failure of MEDIACC. </w:t>
      </w:r>
    </w:p>
    <w:p w:rsidR="00873D16" w:rsidRPr="00DB2DDC" w:rsidRDefault="00873D16" w:rsidP="001A4EAE">
      <w:pPr>
        <w:autoSpaceDE w:val="0"/>
        <w:autoSpaceDN w:val="0"/>
        <w:adjustRightInd w:val="0"/>
        <w:spacing w:line="480" w:lineRule="auto"/>
        <w:ind w:left="720" w:hanging="720"/>
      </w:pPr>
    </w:p>
    <w:p w:rsidR="00CF62EF" w:rsidRDefault="00CF62EF" w:rsidP="00481EBE">
      <w:pPr>
        <w:keepNext/>
        <w:autoSpaceDE w:val="0"/>
        <w:autoSpaceDN w:val="0"/>
        <w:adjustRightInd w:val="0"/>
        <w:spacing w:line="480" w:lineRule="auto"/>
        <w:ind w:left="720" w:hanging="720"/>
        <w:rPr>
          <w:b/>
        </w:rPr>
      </w:pPr>
      <w:r>
        <w:rPr>
          <w:b/>
        </w:rPr>
        <w:lastRenderedPageBreak/>
        <w:t>Q.</w:t>
      </w:r>
      <w:r w:rsidR="00220034">
        <w:tab/>
      </w:r>
      <w:r w:rsidRPr="00CF62EF">
        <w:rPr>
          <w:b/>
        </w:rPr>
        <w:t>If MEDIACC suffers a catastrophic failure</w:t>
      </w:r>
      <w:r w:rsidR="007D04F7">
        <w:rPr>
          <w:b/>
        </w:rPr>
        <w:t>,</w:t>
      </w:r>
      <w:r w:rsidRPr="00CF62EF">
        <w:rPr>
          <w:b/>
        </w:rPr>
        <w:t xml:space="preserve"> what would happen to CEMR?</w:t>
      </w:r>
    </w:p>
    <w:p w:rsidR="001C3AFE" w:rsidRPr="005C366B" w:rsidRDefault="00CF62EF" w:rsidP="00AF1BFD">
      <w:pPr>
        <w:autoSpaceDE w:val="0"/>
        <w:autoSpaceDN w:val="0"/>
        <w:adjustRightInd w:val="0"/>
        <w:spacing w:line="480" w:lineRule="auto"/>
        <w:ind w:left="720" w:hanging="720"/>
      </w:pPr>
      <w:r w:rsidRPr="00AF1BFD">
        <w:t>A.</w:t>
      </w:r>
      <w:r>
        <w:rPr>
          <w:b/>
        </w:rPr>
        <w:tab/>
      </w:r>
      <w:r w:rsidR="003C34A8">
        <w:t>Because</w:t>
      </w:r>
      <w:r>
        <w:t xml:space="preserve"> CEMR communicates with internal legacy Qwest OSS via MEDIACC</w:t>
      </w:r>
      <w:r w:rsidR="00582D13">
        <w:t>,</w:t>
      </w:r>
      <w:r>
        <w:t xml:space="preserve"> all repair communication between the </w:t>
      </w:r>
      <w:proofErr w:type="spellStart"/>
      <w:r>
        <w:t>CLECs</w:t>
      </w:r>
      <w:proofErr w:type="spellEnd"/>
      <w:r>
        <w:t xml:space="preserve"> and </w:t>
      </w:r>
      <w:r w:rsidR="00220034">
        <w:t>Qwest/</w:t>
      </w:r>
      <w:r>
        <w:t xml:space="preserve">CenturyLink would </w:t>
      </w:r>
      <w:r w:rsidR="003C34A8">
        <w:t>revert to manual communication</w:t>
      </w:r>
      <w:r>
        <w:t xml:space="preserve"> by telephone</w:t>
      </w:r>
      <w:r w:rsidR="00923FED">
        <w:t xml:space="preserve">. </w:t>
      </w:r>
      <w:r>
        <w:t xml:space="preserve"> </w:t>
      </w:r>
      <w:r w:rsidR="00923FED">
        <w:t xml:space="preserve">This </w:t>
      </w:r>
      <w:r>
        <w:t xml:space="preserve">would be devastating for both the </w:t>
      </w:r>
      <w:proofErr w:type="spellStart"/>
      <w:r>
        <w:t>CLECs</w:t>
      </w:r>
      <w:proofErr w:type="spellEnd"/>
      <w:r>
        <w:t xml:space="preserve"> and Qwest/CenturyLink.</w:t>
      </w:r>
      <w:r w:rsidR="001C3AFE">
        <w:t xml:space="preserve"> </w:t>
      </w:r>
      <w:r w:rsidR="007D04F7">
        <w:t xml:space="preserve"> </w:t>
      </w:r>
      <w:r w:rsidR="001C3AFE">
        <w:t>However</w:t>
      </w:r>
      <w:r w:rsidR="007D04F7">
        <w:t>,</w:t>
      </w:r>
      <w:r w:rsidR="001C3AFE">
        <w:t xml:space="preserve"> </w:t>
      </w:r>
      <w:r w:rsidR="001C3AFE" w:rsidRPr="005C366B">
        <w:t xml:space="preserve">CLECs could take advantage of a working </w:t>
      </w:r>
      <w:proofErr w:type="spellStart"/>
      <w:r w:rsidR="001C3AFE" w:rsidRPr="005C366B">
        <w:t>CEMR</w:t>
      </w:r>
      <w:proofErr w:type="spellEnd"/>
      <w:r w:rsidR="001C3AFE" w:rsidRPr="005C366B">
        <w:t xml:space="preserve"> if CenturyLink was allowed to move forward with the development of a new CEMR interface to MTG.</w:t>
      </w:r>
    </w:p>
    <w:p w:rsidR="00CF62EF" w:rsidRDefault="00CF62EF" w:rsidP="006F2EAB">
      <w:pPr>
        <w:autoSpaceDE w:val="0"/>
        <w:autoSpaceDN w:val="0"/>
        <w:adjustRightInd w:val="0"/>
        <w:spacing w:line="480" w:lineRule="auto"/>
        <w:ind w:left="450" w:hanging="450"/>
      </w:pPr>
    </w:p>
    <w:p w:rsidR="00C45939" w:rsidRDefault="00C45939" w:rsidP="00AF1BFD">
      <w:pPr>
        <w:keepNext/>
        <w:autoSpaceDE w:val="0"/>
        <w:autoSpaceDN w:val="0"/>
        <w:adjustRightInd w:val="0"/>
        <w:spacing w:line="480" w:lineRule="auto"/>
        <w:ind w:left="720" w:hanging="720"/>
        <w:rPr>
          <w:b/>
        </w:rPr>
      </w:pPr>
      <w:r>
        <w:rPr>
          <w:b/>
        </w:rPr>
        <w:t>Q.</w:t>
      </w:r>
      <w:r>
        <w:rPr>
          <w:b/>
        </w:rPr>
        <w:tab/>
        <w:t xml:space="preserve">Has Qwest/CenturyLink produced an </w:t>
      </w:r>
      <w:proofErr w:type="spellStart"/>
      <w:r>
        <w:rPr>
          <w:b/>
        </w:rPr>
        <w:t>MTG</w:t>
      </w:r>
      <w:proofErr w:type="spellEnd"/>
      <w:r>
        <w:rPr>
          <w:b/>
        </w:rPr>
        <w:t xml:space="preserve"> implementation schedule?</w:t>
      </w:r>
    </w:p>
    <w:p w:rsidR="00C45939" w:rsidRPr="0089504B" w:rsidRDefault="00C45939" w:rsidP="00AF1BFD">
      <w:pPr>
        <w:keepNext/>
        <w:autoSpaceDE w:val="0"/>
        <w:autoSpaceDN w:val="0"/>
        <w:adjustRightInd w:val="0"/>
        <w:spacing w:line="480" w:lineRule="auto"/>
        <w:ind w:left="720" w:hanging="720"/>
      </w:pPr>
      <w:r w:rsidRPr="00AF1BFD">
        <w:t>A.</w:t>
      </w:r>
      <w:r w:rsidRPr="00AF1BFD">
        <w:tab/>
      </w:r>
      <w:r>
        <w:t>Yes.</w:t>
      </w:r>
      <w:r w:rsidR="007D04F7">
        <w:t xml:space="preserve"> </w:t>
      </w:r>
      <w:r>
        <w:t xml:space="preserve"> Exhibit </w:t>
      </w:r>
      <w:r w:rsidR="008B70BF">
        <w:t>No. _</w:t>
      </w:r>
      <w:r w:rsidR="00AF1BFD">
        <w:t>_</w:t>
      </w:r>
      <w:r w:rsidR="008B70BF">
        <w:t>_ (</w:t>
      </w:r>
      <w:r>
        <w:t>RA-12</w:t>
      </w:r>
      <w:r w:rsidR="008B70BF">
        <w:t>)</w:t>
      </w:r>
      <w:r>
        <w:t xml:space="preserve"> to </w:t>
      </w:r>
      <w:r w:rsidR="009F567D">
        <w:t>Ms.</w:t>
      </w:r>
      <w:r>
        <w:t xml:space="preserve"> </w:t>
      </w:r>
      <w:proofErr w:type="spellStart"/>
      <w:r>
        <w:t>Albersheim’s</w:t>
      </w:r>
      <w:proofErr w:type="spellEnd"/>
      <w:r>
        <w:t xml:space="preserve"> Direct Testimony provides Qwest/CenturyLink’s suggested </w:t>
      </w:r>
      <w:proofErr w:type="spellStart"/>
      <w:r>
        <w:t>MTG</w:t>
      </w:r>
      <w:proofErr w:type="spellEnd"/>
      <w:r>
        <w:t xml:space="preserve"> implementation schedule. </w:t>
      </w:r>
      <w:r w:rsidR="007D04F7">
        <w:t xml:space="preserve"> </w:t>
      </w:r>
      <w:r>
        <w:t>That schedule includes optional testing for interested customers beginning December 12, 2011.</w:t>
      </w:r>
      <w:r w:rsidR="007D04F7">
        <w:t xml:space="preserve">  </w:t>
      </w:r>
      <w:r>
        <w:t>The start of normal testing and implementation would begin October 2, 2012.</w:t>
      </w:r>
      <w:r w:rsidR="007D04F7">
        <w:t xml:space="preserve"> </w:t>
      </w:r>
      <w:r>
        <w:t xml:space="preserve"> If allowed to move forward</w:t>
      </w:r>
      <w:r w:rsidR="007D04F7">
        <w:t>,</w:t>
      </w:r>
      <w:r>
        <w:t xml:space="preserve"> the retirement of MEDIACC </w:t>
      </w:r>
      <w:r w:rsidR="005F53F0">
        <w:t>c</w:t>
      </w:r>
      <w:r>
        <w:t>ould occur</w:t>
      </w:r>
      <w:r w:rsidR="005F53F0">
        <w:t>, following the required 30 month period, on</w:t>
      </w:r>
      <w:r>
        <w:t xml:space="preserve"> October 7, 2013</w:t>
      </w:r>
      <w:r w:rsidR="007D04F7">
        <w:t>,</w:t>
      </w:r>
      <w:r>
        <w:t xml:space="preserve"> following test acceptance and an affirmative vote by the CLECs on April 8, 2013.</w:t>
      </w:r>
    </w:p>
    <w:p w:rsidR="00873D16" w:rsidRDefault="00873D16" w:rsidP="00AF1BFD">
      <w:pPr>
        <w:tabs>
          <w:tab w:val="left" w:pos="1530"/>
        </w:tabs>
        <w:autoSpaceDE w:val="0"/>
        <w:autoSpaceDN w:val="0"/>
        <w:adjustRightInd w:val="0"/>
        <w:spacing w:line="480" w:lineRule="auto"/>
        <w:ind w:left="720" w:hanging="720"/>
      </w:pPr>
    </w:p>
    <w:p w:rsidR="00D51007" w:rsidRDefault="00D51007" w:rsidP="00AF1BFD">
      <w:pPr>
        <w:autoSpaceDE w:val="0"/>
        <w:autoSpaceDN w:val="0"/>
        <w:adjustRightInd w:val="0"/>
        <w:spacing w:line="480" w:lineRule="auto"/>
        <w:ind w:left="720" w:hanging="720"/>
        <w:rPr>
          <w:b/>
        </w:rPr>
      </w:pPr>
      <w:r>
        <w:rPr>
          <w:b/>
        </w:rPr>
        <w:t>Q.</w:t>
      </w:r>
      <w:r w:rsidR="00AF1BFD">
        <w:tab/>
      </w:r>
      <w:r>
        <w:rPr>
          <w:b/>
        </w:rPr>
        <w:t xml:space="preserve">Would a fully developed and working MTG resolve </w:t>
      </w:r>
      <w:r w:rsidR="00DB2DDC">
        <w:rPr>
          <w:b/>
        </w:rPr>
        <w:t xml:space="preserve">the issue with CEMR if </w:t>
      </w:r>
      <w:r w:rsidR="00052F7F">
        <w:rPr>
          <w:b/>
        </w:rPr>
        <w:t>a catastrophic failure of MEDIACC</w:t>
      </w:r>
      <w:r w:rsidR="00DB2DDC">
        <w:rPr>
          <w:b/>
        </w:rPr>
        <w:t xml:space="preserve"> occurred</w:t>
      </w:r>
      <w:r>
        <w:rPr>
          <w:b/>
        </w:rPr>
        <w:t>?</w:t>
      </w:r>
    </w:p>
    <w:p w:rsidR="00873D16" w:rsidRDefault="00D51007" w:rsidP="00AF1BFD">
      <w:pPr>
        <w:autoSpaceDE w:val="0"/>
        <w:autoSpaceDN w:val="0"/>
        <w:adjustRightInd w:val="0"/>
        <w:spacing w:line="480" w:lineRule="auto"/>
        <w:ind w:left="720" w:hanging="720"/>
      </w:pPr>
      <w:r w:rsidRPr="00AF1BFD">
        <w:t>A.</w:t>
      </w:r>
      <w:r w:rsidRPr="00AF1BFD">
        <w:tab/>
      </w:r>
      <w:r w:rsidR="00127513" w:rsidRPr="0089504B">
        <w:t>I believe that it should.</w:t>
      </w:r>
      <w:r w:rsidR="00127513">
        <w:rPr>
          <w:b/>
        </w:rPr>
        <w:t xml:space="preserve"> </w:t>
      </w:r>
      <w:r w:rsidR="007D04F7">
        <w:rPr>
          <w:b/>
        </w:rPr>
        <w:t xml:space="preserve"> </w:t>
      </w:r>
      <w:r w:rsidR="00052F7F">
        <w:t>It is Qwest/CenturyLink’s</w:t>
      </w:r>
      <w:r w:rsidR="00CB4DDB">
        <w:t xml:space="preserve"> </w:t>
      </w:r>
      <w:r w:rsidR="00052F7F">
        <w:t>plan to have MTG available as a backup for MEDIACC</w:t>
      </w:r>
      <w:r w:rsidR="007D04F7">
        <w:t>,</w:t>
      </w:r>
      <w:r w:rsidR="00052F7F">
        <w:t xml:space="preserve"> which would protect CEMR from failure as well. </w:t>
      </w:r>
      <w:r w:rsidR="00B86DAF">
        <w:t xml:space="preserve"> </w:t>
      </w:r>
      <w:r w:rsidR="00052F7F">
        <w:t xml:space="preserve">Qwest/CenturyLink plans </w:t>
      </w:r>
      <w:r w:rsidR="00220034">
        <w:t xml:space="preserve">to </w:t>
      </w:r>
      <w:r w:rsidR="001C3AFE">
        <w:t xml:space="preserve">develop </w:t>
      </w:r>
      <w:r w:rsidR="00220034">
        <w:t>a</w:t>
      </w:r>
      <w:r w:rsidR="00052F7F">
        <w:t xml:space="preserve"> CEMR interface </w:t>
      </w:r>
      <w:r w:rsidR="00D346F2">
        <w:t xml:space="preserve">to </w:t>
      </w:r>
      <w:r w:rsidR="00052F7F">
        <w:t>both MEDIACC and MTG.</w:t>
      </w:r>
      <w:r w:rsidR="007D04F7">
        <w:t xml:space="preserve"> </w:t>
      </w:r>
      <w:r w:rsidR="00052F7F">
        <w:t xml:space="preserve"> </w:t>
      </w:r>
      <w:r w:rsidR="00220034">
        <w:t>The</w:t>
      </w:r>
      <w:r w:rsidR="00052F7F">
        <w:t xml:space="preserve"> </w:t>
      </w:r>
      <w:r w:rsidR="00127513">
        <w:t>addition of</w:t>
      </w:r>
      <w:r w:rsidR="00220034">
        <w:t xml:space="preserve"> an </w:t>
      </w:r>
      <w:r w:rsidR="00052F7F">
        <w:t>XML interface</w:t>
      </w:r>
      <w:r w:rsidR="00127513">
        <w:t>,</w:t>
      </w:r>
      <w:r w:rsidR="00052F7F">
        <w:t xml:space="preserve"> </w:t>
      </w:r>
      <w:r w:rsidR="00127513">
        <w:t xml:space="preserve">in parallel with a CMIP interface, </w:t>
      </w:r>
      <w:r w:rsidR="00220034">
        <w:t xml:space="preserve">between </w:t>
      </w:r>
      <w:r w:rsidR="00052F7F">
        <w:lastRenderedPageBreak/>
        <w:t xml:space="preserve">CEMR </w:t>
      </w:r>
      <w:r w:rsidR="00220034">
        <w:t>and</w:t>
      </w:r>
      <w:r w:rsidR="00052F7F">
        <w:t xml:space="preserve"> MTG would </w:t>
      </w:r>
      <w:r w:rsidR="00220034">
        <w:t xml:space="preserve">result in an almost seamless change for GUI users.  </w:t>
      </w:r>
      <w:r w:rsidR="00127513">
        <w:t>According to Qwest/CenturyLink</w:t>
      </w:r>
      <w:r w:rsidR="005206E5">
        <w:t>,</w:t>
      </w:r>
      <w:r w:rsidR="00220034">
        <w:t xml:space="preserve"> </w:t>
      </w:r>
      <w:proofErr w:type="spellStart"/>
      <w:r w:rsidR="00052F7F">
        <w:t>CLECs</w:t>
      </w:r>
      <w:proofErr w:type="spellEnd"/>
      <w:r w:rsidR="00052F7F">
        <w:t xml:space="preserve"> </w:t>
      </w:r>
      <w:r w:rsidR="00220034">
        <w:t xml:space="preserve">would experience </w:t>
      </w:r>
      <w:r w:rsidR="00052F7F">
        <w:t xml:space="preserve">two very minor changes </w:t>
      </w:r>
      <w:r w:rsidR="00220034">
        <w:t xml:space="preserve">to </w:t>
      </w:r>
      <w:r w:rsidR="00052F7F">
        <w:t xml:space="preserve">the data input </w:t>
      </w:r>
      <w:r w:rsidR="00220034">
        <w:t xml:space="preserve">fields when they entered data for </w:t>
      </w:r>
      <w:r w:rsidR="00D346F2">
        <w:t>the CEMR GUI</w:t>
      </w:r>
      <w:r w:rsidR="00052F7F">
        <w:t>.</w:t>
      </w:r>
      <w:r w:rsidR="00127513">
        <w:rPr>
          <w:rStyle w:val="FootnoteReference"/>
        </w:rPr>
        <w:footnoteReference w:id="27"/>
      </w:r>
    </w:p>
    <w:p w:rsidR="00D51007" w:rsidRDefault="00D51007" w:rsidP="00AF1BFD">
      <w:pPr>
        <w:autoSpaceDE w:val="0"/>
        <w:autoSpaceDN w:val="0"/>
        <w:adjustRightInd w:val="0"/>
        <w:spacing w:line="480" w:lineRule="auto"/>
        <w:ind w:left="720" w:hanging="720"/>
      </w:pPr>
    </w:p>
    <w:p w:rsidR="00052F7F" w:rsidRDefault="00052F7F" w:rsidP="00AF1BFD">
      <w:pPr>
        <w:keepNext/>
        <w:autoSpaceDE w:val="0"/>
        <w:autoSpaceDN w:val="0"/>
        <w:adjustRightInd w:val="0"/>
        <w:spacing w:line="480" w:lineRule="auto"/>
        <w:ind w:left="720" w:hanging="720"/>
        <w:rPr>
          <w:b/>
        </w:rPr>
      </w:pPr>
      <w:r>
        <w:rPr>
          <w:b/>
        </w:rPr>
        <w:t>Q</w:t>
      </w:r>
      <w:r w:rsidR="008E7985">
        <w:rPr>
          <w:b/>
        </w:rPr>
        <w:t>.</w:t>
      </w:r>
      <w:r>
        <w:rPr>
          <w:b/>
        </w:rPr>
        <w:tab/>
        <w:t>What is the chance of a catastrophic MEDIACC failure</w:t>
      </w:r>
      <w:r w:rsidR="008E7985">
        <w:rPr>
          <w:b/>
        </w:rPr>
        <w:t xml:space="preserve"> before it can be retired</w:t>
      </w:r>
      <w:r>
        <w:rPr>
          <w:b/>
        </w:rPr>
        <w:t>?</w:t>
      </w:r>
    </w:p>
    <w:p w:rsidR="000C4572" w:rsidRDefault="008E7985" w:rsidP="00AF1BFD">
      <w:pPr>
        <w:keepNext/>
        <w:autoSpaceDE w:val="0"/>
        <w:autoSpaceDN w:val="0"/>
        <w:adjustRightInd w:val="0"/>
        <w:spacing w:line="480" w:lineRule="auto"/>
        <w:ind w:left="720" w:hanging="720"/>
      </w:pPr>
      <w:r w:rsidRPr="00AF1BFD">
        <w:t xml:space="preserve">A. </w:t>
      </w:r>
      <w:r w:rsidRPr="00AF1BFD">
        <w:tab/>
      </w:r>
      <w:r>
        <w:t xml:space="preserve">There is really no way to know. </w:t>
      </w:r>
      <w:r w:rsidR="007D04F7">
        <w:t xml:space="preserve"> </w:t>
      </w:r>
      <w:r>
        <w:t xml:space="preserve">MEDIACC could very well continue to run trouble free until the 30 month </w:t>
      </w:r>
      <w:r w:rsidR="00D34CD0">
        <w:t>period expires</w:t>
      </w:r>
      <w:r>
        <w:t xml:space="preserve"> and MEDIACC can </w:t>
      </w:r>
      <w:r w:rsidR="0098631B">
        <w:t xml:space="preserve">then </w:t>
      </w:r>
      <w:r>
        <w:t>be retired.</w:t>
      </w:r>
      <w:r w:rsidR="007D04F7">
        <w:t xml:space="preserve"> </w:t>
      </w:r>
      <w:r>
        <w:t xml:space="preserve"> However</w:t>
      </w:r>
      <w:r w:rsidR="007D04F7">
        <w:t>,</w:t>
      </w:r>
      <w:r>
        <w:t xml:space="preserve"> neither the </w:t>
      </w:r>
      <w:proofErr w:type="spellStart"/>
      <w:r>
        <w:t>CLECs</w:t>
      </w:r>
      <w:proofErr w:type="spellEnd"/>
      <w:r>
        <w:t xml:space="preserve"> nor Qwest/CenturyLink </w:t>
      </w:r>
      <w:r w:rsidR="00547BD5">
        <w:t>want</w:t>
      </w:r>
      <w:r>
        <w:t xml:space="preserve"> to take that chance.</w:t>
      </w:r>
      <w:r w:rsidR="00A7091B">
        <w:t xml:space="preserve"> </w:t>
      </w:r>
    </w:p>
    <w:p w:rsidR="000C4572" w:rsidRDefault="000C4572" w:rsidP="00AF1BFD">
      <w:pPr>
        <w:autoSpaceDE w:val="0"/>
        <w:autoSpaceDN w:val="0"/>
        <w:adjustRightInd w:val="0"/>
        <w:spacing w:line="480" w:lineRule="auto"/>
        <w:ind w:left="720" w:hanging="720"/>
      </w:pPr>
    </w:p>
    <w:p w:rsidR="000C4572" w:rsidRPr="00B463B5" w:rsidRDefault="000C4572" w:rsidP="00AF1BFD">
      <w:pPr>
        <w:autoSpaceDE w:val="0"/>
        <w:autoSpaceDN w:val="0"/>
        <w:adjustRightInd w:val="0"/>
        <w:spacing w:line="480" w:lineRule="auto"/>
        <w:ind w:left="720" w:hanging="720"/>
        <w:rPr>
          <w:b/>
        </w:rPr>
      </w:pPr>
      <w:r>
        <w:rPr>
          <w:b/>
        </w:rPr>
        <w:t>Q.</w:t>
      </w:r>
      <w:r>
        <w:rPr>
          <w:b/>
        </w:rPr>
        <w:tab/>
      </w:r>
      <w:r w:rsidR="00B16163">
        <w:rPr>
          <w:b/>
        </w:rPr>
        <w:t xml:space="preserve">Does Qwest/CenturyLink have a disaster plan </w:t>
      </w:r>
      <w:r w:rsidR="00B7266E">
        <w:rPr>
          <w:b/>
        </w:rPr>
        <w:t>that addresses</w:t>
      </w:r>
      <w:r w:rsidR="00B16163">
        <w:rPr>
          <w:b/>
        </w:rPr>
        <w:t xml:space="preserve"> MEDIACC failure?</w:t>
      </w:r>
    </w:p>
    <w:p w:rsidR="008E7985" w:rsidRDefault="000C4572" w:rsidP="00AF1BFD">
      <w:pPr>
        <w:autoSpaceDE w:val="0"/>
        <w:autoSpaceDN w:val="0"/>
        <w:adjustRightInd w:val="0"/>
        <w:spacing w:line="480" w:lineRule="auto"/>
        <w:ind w:left="720" w:hanging="720"/>
      </w:pPr>
      <w:r>
        <w:t>A.</w:t>
      </w:r>
      <w:r>
        <w:tab/>
      </w:r>
      <w:r w:rsidR="00B16163">
        <w:t>Yes</w:t>
      </w:r>
      <w:r w:rsidR="00AF1BFD">
        <w:t>.  T</w:t>
      </w:r>
      <w:r w:rsidR="00A438CD">
        <w:t>here is an existing Qwest business continuity and disaster plan  for MEDIACC</w:t>
      </w:r>
      <w:r w:rsidR="00C87D45">
        <w:t xml:space="preserve"> (Disaster Recovery Plan)</w:t>
      </w:r>
      <w:r w:rsidR="00A438CD">
        <w:t xml:space="preserve">, </w:t>
      </w:r>
      <w:r w:rsidR="00A25E4F">
        <w:t xml:space="preserve">last revised July 12, 2011, </w:t>
      </w:r>
      <w:r w:rsidR="00A438CD">
        <w:t>which is designed t</w:t>
      </w:r>
      <w:r w:rsidR="00A7091B">
        <w:t>o help ensure a trouble free MEDIACC and to facilitate its recovery in case of a failure</w:t>
      </w:r>
      <w:r w:rsidR="00A438CD">
        <w:t xml:space="preserve">. </w:t>
      </w:r>
      <w:r w:rsidR="007D04F7">
        <w:t xml:space="preserve"> </w:t>
      </w:r>
      <w:r w:rsidR="00985994">
        <w:t xml:space="preserve">A copy of the </w:t>
      </w:r>
      <w:r w:rsidR="00C87D45">
        <w:t>Disaster Recovery Plan</w:t>
      </w:r>
      <w:r w:rsidR="00985994">
        <w:t xml:space="preserve"> is </w:t>
      </w:r>
      <w:r w:rsidR="008B70BF">
        <w:t>included as</w:t>
      </w:r>
      <w:r w:rsidR="00985994">
        <w:t xml:space="preserve"> Exhibit No. </w:t>
      </w:r>
      <w:proofErr w:type="gramStart"/>
      <w:r w:rsidR="00985994">
        <w:t>_</w:t>
      </w:r>
      <w:r w:rsidR="00AF1BFD">
        <w:t>_</w:t>
      </w:r>
      <w:r w:rsidR="00985994">
        <w:t>_ (RTW-</w:t>
      </w:r>
      <w:r w:rsidR="00F95B92">
        <w:t>3</w:t>
      </w:r>
      <w:r w:rsidR="00A407B9">
        <w:t>C</w:t>
      </w:r>
      <w:r w:rsidR="00985994">
        <w:t>).</w:t>
      </w:r>
      <w:proofErr w:type="gramEnd"/>
      <w:r w:rsidR="00AF1BFD">
        <w:t xml:space="preserve"> </w:t>
      </w:r>
      <w:r w:rsidR="00985994">
        <w:t xml:space="preserve"> </w:t>
      </w:r>
      <w:r w:rsidR="00A438CD">
        <w:t xml:space="preserve">I believe the </w:t>
      </w:r>
      <w:r w:rsidR="0071278A">
        <w:t>Disaster Recovery Plan</w:t>
      </w:r>
      <w:r w:rsidR="0071278A" w:rsidDel="0071278A">
        <w:t xml:space="preserve"> </w:t>
      </w:r>
      <w:r w:rsidR="00A7091B">
        <w:t>should be updated</w:t>
      </w:r>
      <w:r w:rsidR="00E620AC">
        <w:t xml:space="preserve"> on a regular basis</w:t>
      </w:r>
      <w:r w:rsidR="00A438CD">
        <w:t xml:space="preserve"> </w:t>
      </w:r>
      <w:r w:rsidR="00A7091B">
        <w:t>to include any new information such as the location of spare parts and vendor emergency call lists.</w:t>
      </w:r>
      <w:r w:rsidR="00AF1BFD">
        <w:t xml:space="preserve"> </w:t>
      </w:r>
      <w:r w:rsidR="00A7091B">
        <w:t xml:space="preserve"> </w:t>
      </w:r>
      <w:r w:rsidR="004A3E0C">
        <w:t>According to the</w:t>
      </w:r>
      <w:r w:rsidR="00CC6270">
        <w:t xml:space="preserve"> Disaster Recovery Plan</w:t>
      </w:r>
      <w:r w:rsidR="004A3E0C">
        <w:t>,</w:t>
      </w:r>
      <w:r w:rsidR="00CC6270">
        <w:t xml:space="preserve"> </w:t>
      </w:r>
      <w:r w:rsidR="00B3030B">
        <w:t>the last test of the plan was</w:t>
      </w:r>
      <w:r w:rsidR="00C472D6">
        <w:t xml:space="preserve"> </w:t>
      </w:r>
      <w:r w:rsidR="006A3E3A">
        <w:t>completed</w:t>
      </w:r>
      <w:r w:rsidR="00CC6270">
        <w:t xml:space="preserve"> November 17, 2011</w:t>
      </w:r>
      <w:r w:rsidR="007C1801">
        <w:t>.</w:t>
      </w:r>
      <w:r w:rsidR="004A3E0C">
        <w:rPr>
          <w:rStyle w:val="FootnoteReference"/>
        </w:rPr>
        <w:footnoteReference w:id="28"/>
      </w:r>
      <w:r w:rsidR="00AF1BFD">
        <w:t xml:space="preserve"> </w:t>
      </w:r>
      <w:r w:rsidR="007C1801">
        <w:t xml:space="preserve"> </w:t>
      </w:r>
      <w:r w:rsidR="0041243B">
        <w:t>Going forward</w:t>
      </w:r>
      <w:r w:rsidR="001D18AD">
        <w:t>,</w:t>
      </w:r>
      <w:r w:rsidR="0041243B">
        <w:t xml:space="preserve"> </w:t>
      </w:r>
      <w:r w:rsidR="007C1801">
        <w:t>test</w:t>
      </w:r>
      <w:r w:rsidR="00504928">
        <w:t>ing</w:t>
      </w:r>
      <w:r w:rsidR="007C1801">
        <w:t xml:space="preserve"> should be completed </w:t>
      </w:r>
      <w:r w:rsidR="001D18AD">
        <w:t xml:space="preserve">at least </w:t>
      </w:r>
      <w:r w:rsidR="007C1801">
        <w:t xml:space="preserve">annually until MEDIACC is retired. </w:t>
      </w:r>
      <w:r w:rsidR="00AB62D1">
        <w:t xml:space="preserve"> </w:t>
      </w:r>
      <w:r w:rsidR="007C1801">
        <w:t>Results of the</w:t>
      </w:r>
      <w:r w:rsidR="001D18AD">
        <w:t xml:space="preserve">se </w:t>
      </w:r>
      <w:r w:rsidR="00EC248D">
        <w:t>periodic</w:t>
      </w:r>
      <w:r w:rsidR="007C1801">
        <w:t xml:space="preserve"> test</w:t>
      </w:r>
      <w:r w:rsidR="001D18AD">
        <w:t>s</w:t>
      </w:r>
      <w:r w:rsidR="007C1801">
        <w:t xml:space="preserve"> of the Disaster </w:t>
      </w:r>
      <w:r w:rsidR="00504928">
        <w:t xml:space="preserve">Recovery </w:t>
      </w:r>
      <w:r w:rsidR="007C1801">
        <w:t>Plan should be shared with this Commission and with the CLECs at CMP.</w:t>
      </w:r>
    </w:p>
    <w:p w:rsidR="00873D16" w:rsidRDefault="00873D16" w:rsidP="006F2EAB">
      <w:pPr>
        <w:autoSpaceDE w:val="0"/>
        <w:autoSpaceDN w:val="0"/>
        <w:adjustRightInd w:val="0"/>
        <w:spacing w:line="480" w:lineRule="auto"/>
        <w:ind w:left="450" w:hanging="450"/>
      </w:pPr>
    </w:p>
    <w:p w:rsidR="008E7985" w:rsidRDefault="008E7985" w:rsidP="00AF1BFD">
      <w:pPr>
        <w:autoSpaceDE w:val="0"/>
        <w:autoSpaceDN w:val="0"/>
        <w:adjustRightInd w:val="0"/>
        <w:spacing w:line="480" w:lineRule="auto"/>
        <w:ind w:left="720" w:hanging="720"/>
        <w:rPr>
          <w:b/>
        </w:rPr>
      </w:pPr>
      <w:r>
        <w:rPr>
          <w:b/>
        </w:rPr>
        <w:t>Q.</w:t>
      </w:r>
      <w:r>
        <w:tab/>
      </w:r>
      <w:r>
        <w:rPr>
          <w:b/>
        </w:rPr>
        <w:t>Does the development of MTG resolve the hardware/software issues with MEDIACC?</w:t>
      </w:r>
    </w:p>
    <w:p w:rsidR="008E7985" w:rsidRDefault="008E7985" w:rsidP="00AF1BFD">
      <w:pPr>
        <w:autoSpaceDE w:val="0"/>
        <w:autoSpaceDN w:val="0"/>
        <w:adjustRightInd w:val="0"/>
        <w:spacing w:line="480" w:lineRule="auto"/>
        <w:ind w:left="720" w:hanging="720"/>
      </w:pPr>
      <w:r w:rsidRPr="00AF1BFD">
        <w:t>A.</w:t>
      </w:r>
      <w:r w:rsidRPr="00AF1BFD">
        <w:tab/>
      </w:r>
      <w:r>
        <w:t xml:space="preserve">I believe so. </w:t>
      </w:r>
      <w:r w:rsidR="00AB62D1">
        <w:t xml:space="preserve"> </w:t>
      </w:r>
      <w:r>
        <w:t>MTG includes new hardware</w:t>
      </w:r>
      <w:r w:rsidR="00D34CD0">
        <w:t xml:space="preserve"> and</w:t>
      </w:r>
      <w:r>
        <w:t xml:space="preserve"> software and is based on the current XML standard.</w:t>
      </w:r>
      <w:r w:rsidR="00AB62D1">
        <w:t xml:space="preserve"> </w:t>
      </w:r>
      <w:r w:rsidR="008B76ED">
        <w:t xml:space="preserve"> I also believe that migrating to XML</w:t>
      </w:r>
      <w:r w:rsidR="00AF0F6E">
        <w:t xml:space="preserve"> is </w:t>
      </w:r>
      <w:r w:rsidR="00D34CD0">
        <w:t>appropriate</w:t>
      </w:r>
      <w:r w:rsidR="001C3AFE">
        <w:t xml:space="preserve"> </w:t>
      </w:r>
      <w:r w:rsidR="00AF0F6E">
        <w:t xml:space="preserve">and </w:t>
      </w:r>
      <w:r w:rsidR="008B76ED">
        <w:t>ali</w:t>
      </w:r>
      <w:r w:rsidR="00AF0F6E">
        <w:t>g</w:t>
      </w:r>
      <w:r w:rsidR="008B76ED">
        <w:t>n</w:t>
      </w:r>
      <w:r w:rsidR="00AF0F6E">
        <w:t>s</w:t>
      </w:r>
      <w:r w:rsidR="008B76ED">
        <w:t xml:space="preserve"> </w:t>
      </w:r>
      <w:proofErr w:type="spellStart"/>
      <w:r w:rsidR="00D346F2">
        <w:t>MTG</w:t>
      </w:r>
      <w:proofErr w:type="spellEnd"/>
      <w:r w:rsidR="00D346F2">
        <w:t xml:space="preserve"> technically </w:t>
      </w:r>
      <w:r w:rsidR="00AF0F6E">
        <w:t>with Qwest</w:t>
      </w:r>
      <w:r w:rsidR="001C3AFE">
        <w:t>/CenturyLink</w:t>
      </w:r>
      <w:r w:rsidR="00582D13">
        <w:t>’s</w:t>
      </w:r>
      <w:r w:rsidR="001C3AFE">
        <w:t xml:space="preserve"> </w:t>
      </w:r>
      <w:r w:rsidR="00CB4DDB">
        <w:t xml:space="preserve">other </w:t>
      </w:r>
      <w:r w:rsidR="001C3AFE">
        <w:t>wholesale</w:t>
      </w:r>
      <w:r w:rsidR="00AF0F6E">
        <w:t xml:space="preserve"> OSS </w:t>
      </w:r>
      <w:r w:rsidR="00D346F2">
        <w:t xml:space="preserve">that </w:t>
      </w:r>
      <w:r w:rsidR="001C3AFE">
        <w:t xml:space="preserve">have </w:t>
      </w:r>
      <w:r w:rsidR="00D346F2">
        <w:t xml:space="preserve">already </w:t>
      </w:r>
      <w:r w:rsidR="001C3AFE">
        <w:t xml:space="preserve">upgraded to </w:t>
      </w:r>
      <w:r w:rsidR="003F5A7F">
        <w:t xml:space="preserve">the </w:t>
      </w:r>
      <w:r w:rsidR="00D346F2">
        <w:t>XML</w:t>
      </w:r>
      <w:r w:rsidR="003F5A7F">
        <w:t xml:space="preserve"> standard</w:t>
      </w:r>
      <w:r w:rsidR="00AF0F6E">
        <w:t>.</w:t>
      </w:r>
    </w:p>
    <w:p w:rsidR="00873D16" w:rsidRDefault="00873D16" w:rsidP="00AF1BFD">
      <w:pPr>
        <w:autoSpaceDE w:val="0"/>
        <w:autoSpaceDN w:val="0"/>
        <w:adjustRightInd w:val="0"/>
        <w:spacing w:line="480" w:lineRule="auto"/>
        <w:ind w:left="720" w:hanging="720"/>
      </w:pPr>
    </w:p>
    <w:p w:rsidR="008E7985" w:rsidRDefault="008E7985" w:rsidP="00AF1BFD">
      <w:pPr>
        <w:autoSpaceDE w:val="0"/>
        <w:autoSpaceDN w:val="0"/>
        <w:adjustRightInd w:val="0"/>
        <w:spacing w:line="480" w:lineRule="auto"/>
        <w:ind w:left="720" w:hanging="720"/>
        <w:rPr>
          <w:b/>
        </w:rPr>
      </w:pPr>
      <w:r>
        <w:rPr>
          <w:b/>
        </w:rPr>
        <w:t>Q.</w:t>
      </w:r>
      <w:r>
        <w:tab/>
      </w:r>
      <w:r w:rsidRPr="008E7985">
        <w:rPr>
          <w:b/>
        </w:rPr>
        <w:t>If MTG resolves a possible failure</w:t>
      </w:r>
      <w:r>
        <w:rPr>
          <w:b/>
        </w:rPr>
        <w:t xml:space="preserve"> for the </w:t>
      </w:r>
      <w:proofErr w:type="spellStart"/>
      <w:r>
        <w:rPr>
          <w:b/>
        </w:rPr>
        <w:t>CLECs</w:t>
      </w:r>
      <w:proofErr w:type="spellEnd"/>
      <w:r>
        <w:rPr>
          <w:b/>
        </w:rPr>
        <w:t xml:space="preserve"> and Qwest/CenturyLink</w:t>
      </w:r>
      <w:r w:rsidR="00DB55F8">
        <w:rPr>
          <w:b/>
        </w:rPr>
        <w:t xml:space="preserve"> what is the problem?</w:t>
      </w:r>
    </w:p>
    <w:p w:rsidR="00CD36E6" w:rsidRDefault="00DB55F8" w:rsidP="00AF1BFD">
      <w:pPr>
        <w:autoSpaceDE w:val="0"/>
        <w:autoSpaceDN w:val="0"/>
        <w:adjustRightInd w:val="0"/>
        <w:spacing w:line="480" w:lineRule="auto"/>
        <w:ind w:left="720" w:hanging="720"/>
      </w:pPr>
      <w:r w:rsidRPr="00AF1BFD">
        <w:t>A.</w:t>
      </w:r>
      <w:r w:rsidRPr="00AF1BFD">
        <w:tab/>
      </w:r>
      <w:r>
        <w:t xml:space="preserve">The CLECs argue that the Integra Agreement precludes the </w:t>
      </w:r>
      <w:r w:rsidRPr="00DB55F8">
        <w:t>replacement</w:t>
      </w:r>
      <w:r>
        <w:rPr>
          <w:i/>
        </w:rPr>
        <w:t xml:space="preserve"> </w:t>
      </w:r>
      <w:r w:rsidRPr="00DB55F8">
        <w:t>or</w:t>
      </w:r>
      <w:r>
        <w:rPr>
          <w:i/>
        </w:rPr>
        <w:t xml:space="preserve"> </w:t>
      </w:r>
      <w:r w:rsidRPr="00DB55F8">
        <w:t>retirement</w:t>
      </w:r>
      <w:r>
        <w:t xml:space="preserve"> of a Qwest OSS interface without sufficient acceptance of the replacement interface by the CLECs.</w:t>
      </w:r>
      <w:r w:rsidR="00AB62D1">
        <w:t xml:space="preserve"> </w:t>
      </w:r>
      <w:r>
        <w:t xml:space="preserve"> </w:t>
      </w:r>
      <w:r w:rsidR="00E87E0F">
        <w:t>T</w:t>
      </w:r>
      <w:r w:rsidR="00582D13">
        <w:t>hey</w:t>
      </w:r>
      <w:r w:rsidR="00A86BCE">
        <w:t xml:space="preserve"> </w:t>
      </w:r>
      <w:r w:rsidR="006F478A">
        <w:t xml:space="preserve">opine that </w:t>
      </w:r>
      <w:r>
        <w:t xml:space="preserve">the </w:t>
      </w:r>
      <w:r w:rsidR="006F478A">
        <w:t>“</w:t>
      </w:r>
      <w:r>
        <w:t xml:space="preserve">Merged Company is </w:t>
      </w:r>
      <w:r w:rsidRPr="00DB55F8">
        <w:rPr>
          <w:b/>
        </w:rPr>
        <w:t>replacing</w:t>
      </w:r>
      <w:r>
        <w:rPr>
          <w:b/>
        </w:rPr>
        <w:t xml:space="preserve"> </w:t>
      </w:r>
      <w:r>
        <w:t xml:space="preserve">MEDIACC with MTG when it implements MTG in December of 2011, though it is not </w:t>
      </w:r>
      <w:r w:rsidRPr="00DB55F8">
        <w:rPr>
          <w:b/>
        </w:rPr>
        <w:t>retiring</w:t>
      </w:r>
      <w:r>
        <w:t xml:space="preserve"> MEDIACC until a later date.”</w:t>
      </w:r>
      <w:r>
        <w:rPr>
          <w:rStyle w:val="FootnoteReference"/>
        </w:rPr>
        <w:footnoteReference w:id="29"/>
      </w:r>
      <w:r>
        <w:t xml:space="preserve"> </w:t>
      </w:r>
      <w:r w:rsidR="00AB62D1">
        <w:t xml:space="preserve"> </w:t>
      </w:r>
      <w:r w:rsidR="00C37A18">
        <w:t>Additionally t</w:t>
      </w:r>
      <w:r>
        <w:t xml:space="preserve">he CLECs </w:t>
      </w:r>
      <w:r w:rsidR="009D64C8">
        <w:t>argue</w:t>
      </w:r>
      <w:r w:rsidR="00B61DA3">
        <w:t xml:space="preserve"> </w:t>
      </w:r>
      <w:r>
        <w:t xml:space="preserve">that even </w:t>
      </w:r>
      <w:r w:rsidR="00C37A18">
        <w:t xml:space="preserve">the development </w:t>
      </w:r>
      <w:r>
        <w:t xml:space="preserve">and testing </w:t>
      </w:r>
      <w:r w:rsidR="00C37A18">
        <w:t xml:space="preserve">of </w:t>
      </w:r>
      <w:r>
        <w:t xml:space="preserve">MTG before the end of the 30 month </w:t>
      </w:r>
      <w:r w:rsidR="00C37A18">
        <w:t>period</w:t>
      </w:r>
      <w:r>
        <w:t xml:space="preserve"> is prohibited by the agreement. </w:t>
      </w:r>
      <w:r w:rsidR="00B86DAF">
        <w:t xml:space="preserve"> </w:t>
      </w:r>
      <w:r>
        <w:t xml:space="preserve">It is the </w:t>
      </w:r>
      <w:proofErr w:type="spellStart"/>
      <w:r>
        <w:t>CLECs</w:t>
      </w:r>
      <w:proofErr w:type="spellEnd"/>
      <w:r w:rsidR="00842550">
        <w:t>’</w:t>
      </w:r>
      <w:r>
        <w:t xml:space="preserve"> opinion that any </w:t>
      </w:r>
      <w:r w:rsidR="000F646A">
        <w:t xml:space="preserve">development and/or testing would cost them </w:t>
      </w:r>
      <w:r w:rsidR="00C37A18">
        <w:t xml:space="preserve">time and </w:t>
      </w:r>
      <w:r w:rsidR="000F646A">
        <w:t xml:space="preserve">money that they </w:t>
      </w:r>
      <w:r w:rsidR="00B61DA3">
        <w:t>have not</w:t>
      </w:r>
      <w:r w:rsidR="00756022">
        <w:t>,</w:t>
      </w:r>
      <w:r w:rsidR="00B61DA3">
        <w:t xml:space="preserve"> and </w:t>
      </w:r>
      <w:r w:rsidR="00C37A18">
        <w:t>should not have to</w:t>
      </w:r>
      <w:r w:rsidR="00756022">
        <w:t>,</w:t>
      </w:r>
      <w:r w:rsidR="00C37A18">
        <w:t xml:space="preserve"> </w:t>
      </w:r>
      <w:r w:rsidR="00E87E0F">
        <w:t xml:space="preserve">include in their </w:t>
      </w:r>
      <w:r w:rsidR="00C37A18">
        <w:t>budget</w:t>
      </w:r>
      <w:r w:rsidR="00E87E0F">
        <w:t>s</w:t>
      </w:r>
      <w:r w:rsidR="00C37A18">
        <w:t xml:space="preserve"> </w:t>
      </w:r>
      <w:r w:rsidR="000F646A">
        <w:t xml:space="preserve">until the end of the 30 month </w:t>
      </w:r>
      <w:r w:rsidR="008963AE">
        <w:t>period</w:t>
      </w:r>
      <w:r w:rsidR="000F646A">
        <w:t>.</w:t>
      </w:r>
      <w:r w:rsidR="0041243B">
        <w:t xml:space="preserve"> </w:t>
      </w:r>
      <w:r w:rsidR="00AB62D1">
        <w:t xml:space="preserve"> </w:t>
      </w:r>
      <w:r w:rsidR="0041243B">
        <w:t>The CLECs have also voiced a concern that the development of MTG will divert IT resources that should be used to maintain MEDIACC</w:t>
      </w:r>
      <w:r w:rsidR="004A3E0C">
        <w:t>.</w:t>
      </w:r>
    </w:p>
    <w:p w:rsidR="0077706D" w:rsidRDefault="0077706D" w:rsidP="006F2EAB">
      <w:pPr>
        <w:autoSpaceDE w:val="0"/>
        <w:autoSpaceDN w:val="0"/>
        <w:adjustRightInd w:val="0"/>
        <w:spacing w:line="480" w:lineRule="auto"/>
        <w:ind w:left="450" w:hanging="450"/>
      </w:pPr>
    </w:p>
    <w:p w:rsidR="000F646A" w:rsidRDefault="000F646A" w:rsidP="00481EBE">
      <w:pPr>
        <w:keepNext/>
        <w:autoSpaceDE w:val="0"/>
        <w:autoSpaceDN w:val="0"/>
        <w:adjustRightInd w:val="0"/>
        <w:spacing w:line="480" w:lineRule="auto"/>
        <w:ind w:left="720" w:hanging="720"/>
        <w:rPr>
          <w:b/>
        </w:rPr>
      </w:pPr>
      <w:r>
        <w:rPr>
          <w:b/>
        </w:rPr>
        <w:lastRenderedPageBreak/>
        <w:t>Q.</w:t>
      </w:r>
      <w:r>
        <w:rPr>
          <w:i/>
        </w:rPr>
        <w:t xml:space="preserve"> </w:t>
      </w:r>
      <w:r>
        <w:rPr>
          <w:i/>
        </w:rPr>
        <w:tab/>
      </w:r>
      <w:r w:rsidRPr="000F646A">
        <w:rPr>
          <w:b/>
        </w:rPr>
        <w:t>Do you agree with the CLECs</w:t>
      </w:r>
      <w:r>
        <w:rPr>
          <w:b/>
        </w:rPr>
        <w:t>?</w:t>
      </w:r>
    </w:p>
    <w:p w:rsidR="00942269" w:rsidRDefault="000F646A" w:rsidP="003F1A1E">
      <w:pPr>
        <w:autoSpaceDE w:val="0"/>
        <w:autoSpaceDN w:val="0"/>
        <w:adjustRightInd w:val="0"/>
        <w:spacing w:line="480" w:lineRule="auto"/>
        <w:ind w:left="720" w:hanging="720"/>
      </w:pPr>
      <w:r w:rsidRPr="003F1A1E">
        <w:t>A.</w:t>
      </w:r>
      <w:r w:rsidRPr="003F1A1E">
        <w:tab/>
      </w:r>
      <w:r w:rsidR="00EF6EF2" w:rsidRPr="0041482D">
        <w:t>I do not agree with the CLECs but I do understand that they</w:t>
      </w:r>
      <w:r w:rsidR="009308A1">
        <w:t xml:space="preserve"> believe that Qwest/CenturyLink can no longer be trusted </w:t>
      </w:r>
      <w:r w:rsidR="00992D77">
        <w:t xml:space="preserve">after </w:t>
      </w:r>
      <w:r w:rsidR="009308A1">
        <w:t xml:space="preserve">Qwest/CenturyLink tried to retire an existing legacy Qwest OSS, just weeks after signing an agreement that </w:t>
      </w:r>
      <w:r w:rsidR="006A3E3A">
        <w:t xml:space="preserve">the CLECs </w:t>
      </w:r>
      <w:r w:rsidR="009308A1">
        <w:t xml:space="preserve">negotiated to prohibit just that. </w:t>
      </w:r>
      <w:r w:rsidR="00AB62D1">
        <w:t xml:space="preserve"> </w:t>
      </w:r>
      <w:r w:rsidR="00105F38" w:rsidRPr="00F66804">
        <w:t>I can understand the CLECs</w:t>
      </w:r>
      <w:r w:rsidR="00992D77">
        <w:t>’</w:t>
      </w:r>
      <w:r w:rsidR="00105F38" w:rsidRPr="00F66804">
        <w:t xml:space="preserve"> diminished trust </w:t>
      </w:r>
      <w:r w:rsidR="00995B17" w:rsidRPr="00F66804">
        <w:t>in Qwest/CenturyLink</w:t>
      </w:r>
      <w:r w:rsidR="00942269">
        <w:t>.</w:t>
      </w:r>
      <w:r w:rsidR="00942269" w:rsidRPr="00942269">
        <w:t xml:space="preserve"> </w:t>
      </w:r>
      <w:r w:rsidR="00AB62D1">
        <w:t xml:space="preserve"> </w:t>
      </w:r>
      <w:r w:rsidR="00942269">
        <w:t xml:space="preserve">One of Staff’s major concerns during the merger process was that </w:t>
      </w:r>
      <w:r w:rsidR="00992D77">
        <w:t>one</w:t>
      </w:r>
      <w:r w:rsidR="00942269">
        <w:t xml:space="preserve"> merging compan</w:t>
      </w:r>
      <w:r w:rsidR="00992D77">
        <w:t>y</w:t>
      </w:r>
      <w:r w:rsidR="00942269">
        <w:t xml:space="preserve"> would not know what the other merging company was doing</w:t>
      </w:r>
      <w:r w:rsidR="00992D77">
        <w:t>,</w:t>
      </w:r>
      <w:r w:rsidR="00942269">
        <w:t xml:space="preserve"> and I believe that happened here.</w:t>
      </w:r>
      <w:r w:rsidR="00AB62D1">
        <w:t xml:space="preserve"> </w:t>
      </w:r>
      <w:r w:rsidR="00942269">
        <w:t xml:space="preserve"> It is important to note</w:t>
      </w:r>
      <w:r w:rsidR="00EF6EF2">
        <w:t xml:space="preserve"> though</w:t>
      </w:r>
      <w:r w:rsidR="00942269">
        <w:t xml:space="preserve">, that the merger agreements accomplished just what we designed them to do by bringing to light, and halting, the retirement of an existing OSS prior to the end of the 30 month </w:t>
      </w:r>
      <w:r w:rsidR="00992D77">
        <w:t>period</w:t>
      </w:r>
      <w:r w:rsidR="00942269">
        <w:t xml:space="preserve">. </w:t>
      </w:r>
      <w:r w:rsidR="00AB62D1">
        <w:t xml:space="preserve"> </w:t>
      </w:r>
      <w:r w:rsidR="00942269">
        <w:t xml:space="preserve">The CLECs can trust that the merger agreements will continue to ensure fairness for the remainder of the 30 month period. </w:t>
      </w:r>
    </w:p>
    <w:p w:rsidR="000F646A" w:rsidRDefault="003F1A1E" w:rsidP="003F1A1E">
      <w:pPr>
        <w:autoSpaceDE w:val="0"/>
        <w:autoSpaceDN w:val="0"/>
        <w:adjustRightInd w:val="0"/>
        <w:spacing w:line="480" w:lineRule="auto"/>
        <w:ind w:left="720" w:hanging="720"/>
      </w:pPr>
      <w:r>
        <w:tab/>
      </w:r>
      <w:r>
        <w:tab/>
      </w:r>
      <w:r w:rsidR="00EF6EF2">
        <w:t>I</w:t>
      </w:r>
      <w:r w:rsidR="00D346F2">
        <w:t>t seems to me that the CLEC argument</w:t>
      </w:r>
      <w:r w:rsidR="00B909DD">
        <w:t>,</w:t>
      </w:r>
      <w:r w:rsidR="00D346F2">
        <w:t xml:space="preserve"> that MTG cannot be developed and tested before the end of the 30 month </w:t>
      </w:r>
      <w:r w:rsidR="003F5A7F">
        <w:t>period</w:t>
      </w:r>
      <w:r w:rsidR="00105F38">
        <w:t>,</w:t>
      </w:r>
      <w:r w:rsidR="00D346F2">
        <w:t xml:space="preserve"> is completely orthogonal to their concern that there must be a fully functional backup system for MEDIACC in case of its failure.</w:t>
      </w:r>
      <w:r w:rsidR="00AB62D1">
        <w:t xml:space="preserve"> </w:t>
      </w:r>
      <w:r w:rsidR="00D346F2">
        <w:t xml:space="preserve"> </w:t>
      </w:r>
      <w:r w:rsidR="00E81E4C">
        <w:t>Furthermore</w:t>
      </w:r>
      <w:r w:rsidR="00AB62D1">
        <w:t>,</w:t>
      </w:r>
      <w:r w:rsidR="00C37A18">
        <w:t xml:space="preserve"> i</w:t>
      </w:r>
      <w:r w:rsidR="000F646A">
        <w:t>t was never Staff’s intent</w:t>
      </w:r>
      <w:r w:rsidR="00184D2F">
        <w:t>ion</w:t>
      </w:r>
      <w:r w:rsidR="000F646A">
        <w:t xml:space="preserve"> </w:t>
      </w:r>
      <w:r w:rsidR="00E81E4C">
        <w:t xml:space="preserve">during </w:t>
      </w:r>
      <w:r w:rsidR="009D64C8">
        <w:t>negotiations</w:t>
      </w:r>
      <w:r w:rsidR="00E81E4C">
        <w:t xml:space="preserve"> </w:t>
      </w:r>
      <w:r w:rsidR="000F646A">
        <w:t xml:space="preserve">that </w:t>
      </w:r>
      <w:r w:rsidR="00A86BCE">
        <w:t xml:space="preserve">the </w:t>
      </w:r>
      <w:r w:rsidR="000F646A">
        <w:t xml:space="preserve">development and testing of any replacement OSS </w:t>
      </w:r>
      <w:r w:rsidR="00C37A18">
        <w:t xml:space="preserve">would have to </w:t>
      </w:r>
      <w:r w:rsidR="00606899">
        <w:t>wait</w:t>
      </w:r>
      <w:r w:rsidR="000F646A">
        <w:t xml:space="preserve"> until the end of </w:t>
      </w:r>
      <w:r w:rsidR="009D64C8">
        <w:t xml:space="preserve">the </w:t>
      </w:r>
      <w:r w:rsidR="00E81E4C">
        <w:t>settlement</w:t>
      </w:r>
      <w:r w:rsidR="00606899">
        <w:t xml:space="preserve"> </w:t>
      </w:r>
      <w:r w:rsidR="008963AE">
        <w:t>period</w:t>
      </w:r>
      <w:r w:rsidR="000F646A">
        <w:t xml:space="preserve">. </w:t>
      </w:r>
      <w:r w:rsidR="00AB62D1">
        <w:t xml:space="preserve"> </w:t>
      </w:r>
      <w:r w:rsidR="000F646A">
        <w:t xml:space="preserve">It was always </w:t>
      </w:r>
      <w:r w:rsidR="001C3AFE">
        <w:t xml:space="preserve">Staff’s </w:t>
      </w:r>
      <w:r w:rsidR="000F646A">
        <w:t>intent</w:t>
      </w:r>
      <w:r w:rsidR="00184D2F">
        <w:t>ion</w:t>
      </w:r>
      <w:r w:rsidR="000F646A">
        <w:t xml:space="preserve"> that a legacy OSS could be retired and a new OSS brought online </w:t>
      </w:r>
      <w:r w:rsidR="00C37A18">
        <w:t>to replace it</w:t>
      </w:r>
      <w:r w:rsidR="009D64C8">
        <w:t>,</w:t>
      </w:r>
      <w:r w:rsidR="00C37A18">
        <w:t xml:space="preserve"> </w:t>
      </w:r>
      <w:r w:rsidR="000F646A">
        <w:t xml:space="preserve">following the </w:t>
      </w:r>
      <w:r w:rsidR="00E81E4C">
        <w:t>settlement period</w:t>
      </w:r>
      <w:r w:rsidR="00184D2F">
        <w:t xml:space="preserve"> </w:t>
      </w:r>
      <w:r w:rsidR="00A86BCE">
        <w:t>(</w:t>
      </w:r>
      <w:r w:rsidR="00A841C1">
        <w:t xml:space="preserve">pursuant to Order 14, </w:t>
      </w:r>
      <w:r w:rsidR="00A86BCE">
        <w:t>at a minimum of 30 months and 1 day)</w:t>
      </w:r>
      <w:r w:rsidR="000F646A">
        <w:t xml:space="preserve">. </w:t>
      </w:r>
      <w:r w:rsidR="00AB62D1">
        <w:t xml:space="preserve"> </w:t>
      </w:r>
      <w:r w:rsidR="005530CC">
        <w:t>Staff always intended</w:t>
      </w:r>
      <w:r w:rsidR="00A86BCE">
        <w:t xml:space="preserve"> that</w:t>
      </w:r>
      <w:r w:rsidR="000F646A">
        <w:t xml:space="preserve"> development and testing required by the CMP could be completed during the </w:t>
      </w:r>
      <w:r w:rsidR="00E81E4C">
        <w:t>settlement period</w:t>
      </w:r>
      <w:r w:rsidR="000F646A">
        <w:t xml:space="preserve"> window.</w:t>
      </w:r>
      <w:r w:rsidR="009D116F">
        <w:rPr>
          <w:rStyle w:val="FootnoteReference"/>
        </w:rPr>
        <w:footnoteReference w:id="30"/>
      </w:r>
      <w:r w:rsidR="00AB62D1">
        <w:t xml:space="preserve"> </w:t>
      </w:r>
      <w:r w:rsidR="000F646A">
        <w:t xml:space="preserve"> The CMP process requires that the parties </w:t>
      </w:r>
      <w:r w:rsidR="00842550">
        <w:t xml:space="preserve">be </w:t>
      </w:r>
      <w:r w:rsidR="000F646A">
        <w:t xml:space="preserve">notified </w:t>
      </w:r>
      <w:r w:rsidR="00AB62D1">
        <w:t>nine</w:t>
      </w:r>
      <w:r w:rsidR="000F646A">
        <w:t xml:space="preserve"> months before a new OSS can be brought online. </w:t>
      </w:r>
      <w:r w:rsidR="00AB62D1">
        <w:t xml:space="preserve"> </w:t>
      </w:r>
      <w:r w:rsidR="000F646A">
        <w:t xml:space="preserve">Staff, and I believe the </w:t>
      </w:r>
      <w:r w:rsidR="000F646A">
        <w:lastRenderedPageBreak/>
        <w:t xml:space="preserve">Commission, never envisioned that the </w:t>
      </w:r>
      <w:r w:rsidR="008963AE">
        <w:t xml:space="preserve">OSS Settlement Conditions </w:t>
      </w:r>
      <w:r w:rsidR="000F646A">
        <w:t>would require 39 months</w:t>
      </w:r>
      <w:r w:rsidR="009D64C8">
        <w:t>, instead of 30,</w:t>
      </w:r>
      <w:r w:rsidR="000F646A">
        <w:t xml:space="preserve"> to bring a new OSS online</w:t>
      </w:r>
      <w:r w:rsidR="00A86BCE">
        <w:t>.</w:t>
      </w:r>
      <w:r w:rsidR="000F646A">
        <w:t xml:space="preserve"> </w:t>
      </w:r>
    </w:p>
    <w:p w:rsidR="00105F38" w:rsidRDefault="00105F38" w:rsidP="003F1A1E">
      <w:pPr>
        <w:autoSpaceDE w:val="0"/>
        <w:autoSpaceDN w:val="0"/>
        <w:adjustRightInd w:val="0"/>
        <w:spacing w:line="480" w:lineRule="auto"/>
        <w:ind w:left="720" w:hanging="720"/>
      </w:pPr>
    </w:p>
    <w:p w:rsidR="00105F38" w:rsidRDefault="00105F38" w:rsidP="003F1A1E">
      <w:pPr>
        <w:autoSpaceDE w:val="0"/>
        <w:autoSpaceDN w:val="0"/>
        <w:adjustRightInd w:val="0"/>
        <w:spacing w:line="480" w:lineRule="auto"/>
        <w:ind w:left="720" w:hanging="720"/>
      </w:pPr>
      <w:r>
        <w:rPr>
          <w:b/>
        </w:rPr>
        <w:t>Q.</w:t>
      </w:r>
      <w:r>
        <w:rPr>
          <w:b/>
        </w:rPr>
        <w:tab/>
        <w:t xml:space="preserve">Are there any other protections for CLECs </w:t>
      </w:r>
      <w:r w:rsidR="005B79EB">
        <w:rPr>
          <w:b/>
        </w:rPr>
        <w:t xml:space="preserve">and penalties for Qwest/CenturyLink </w:t>
      </w:r>
      <w:r>
        <w:rPr>
          <w:b/>
        </w:rPr>
        <w:t>if there is a failure of MEDIACC before it can be retired?</w:t>
      </w:r>
    </w:p>
    <w:p w:rsidR="00323331" w:rsidRDefault="00105F38" w:rsidP="003F1A1E">
      <w:pPr>
        <w:autoSpaceDE w:val="0"/>
        <w:autoSpaceDN w:val="0"/>
        <w:adjustRightInd w:val="0"/>
        <w:spacing w:line="480" w:lineRule="auto"/>
        <w:ind w:left="720" w:hanging="720"/>
      </w:pPr>
      <w:r w:rsidRPr="003F1A1E">
        <w:t>A.</w:t>
      </w:r>
      <w:r w:rsidRPr="003F1A1E">
        <w:tab/>
      </w:r>
      <w:r>
        <w:t>Yes</w:t>
      </w:r>
      <w:r w:rsidR="00AB62D1">
        <w:t>,</w:t>
      </w:r>
      <w:r>
        <w:t xml:space="preserve"> there </w:t>
      </w:r>
      <w:r w:rsidR="000B459B">
        <w:t>are</w:t>
      </w:r>
      <w:r>
        <w:t xml:space="preserve">. </w:t>
      </w:r>
      <w:r w:rsidR="00B86DAF">
        <w:t xml:space="preserve"> </w:t>
      </w:r>
      <w:r>
        <w:t xml:space="preserve">The Qwest Performance Assurance Program (QPAP) was created to protect the CLECs from poor </w:t>
      </w:r>
      <w:r w:rsidR="00EB4E65">
        <w:t xml:space="preserve">wholesale </w:t>
      </w:r>
      <w:r w:rsidR="002D5F0D">
        <w:t>service</w:t>
      </w:r>
      <w:r>
        <w:t xml:space="preserve"> </w:t>
      </w:r>
      <w:r w:rsidR="005F53F0">
        <w:t xml:space="preserve">quality </w:t>
      </w:r>
      <w:r>
        <w:t>including OSS performance issues</w:t>
      </w:r>
      <w:r w:rsidR="00105042">
        <w:rPr>
          <w:rStyle w:val="FootnoteReference"/>
        </w:rPr>
        <w:footnoteReference w:id="31"/>
      </w:r>
      <w:r>
        <w:t xml:space="preserve"> </w:t>
      </w:r>
      <w:r w:rsidR="003C567E">
        <w:t>and will remain in effect through the term of the Qwest Alternative Form of Regulation</w:t>
      </w:r>
      <w:r w:rsidR="000F4388">
        <w:t xml:space="preserve"> (AFOR)</w:t>
      </w:r>
      <w:r w:rsidR="003C567E">
        <w:t>.</w:t>
      </w:r>
      <w:r w:rsidR="003C567E">
        <w:rPr>
          <w:rStyle w:val="FootnoteReference"/>
        </w:rPr>
        <w:footnoteReference w:id="32"/>
      </w:r>
      <w:r w:rsidR="00AB62D1">
        <w:t xml:space="preserve"> </w:t>
      </w:r>
      <w:r w:rsidR="003C567E">
        <w:t xml:space="preserve"> </w:t>
      </w:r>
      <w:r>
        <w:t xml:space="preserve">QPAP </w:t>
      </w:r>
      <w:r w:rsidR="005F53F0">
        <w:t>provide</w:t>
      </w:r>
      <w:r w:rsidR="00EF6EF2">
        <w:t>s</w:t>
      </w:r>
      <w:r w:rsidR="005F53F0">
        <w:t xml:space="preserve"> a rubric whereby quality</w:t>
      </w:r>
      <w:r>
        <w:t xml:space="preserve"> performance </w:t>
      </w:r>
      <w:r w:rsidR="005F53F0">
        <w:t xml:space="preserve">can be gauged </w:t>
      </w:r>
      <w:r>
        <w:t xml:space="preserve">by monitoring Performance </w:t>
      </w:r>
      <w:proofErr w:type="spellStart"/>
      <w:r>
        <w:t>In</w:t>
      </w:r>
      <w:r w:rsidR="00270D9F">
        <w:t>D</w:t>
      </w:r>
      <w:r>
        <w:t>icators</w:t>
      </w:r>
      <w:proofErr w:type="spellEnd"/>
      <w:r>
        <w:t xml:space="preserve"> (</w:t>
      </w:r>
      <w:proofErr w:type="spellStart"/>
      <w:r>
        <w:t>PIDs</w:t>
      </w:r>
      <w:proofErr w:type="spellEnd"/>
      <w:r>
        <w:t>)</w:t>
      </w:r>
      <w:r w:rsidR="00196570">
        <w:t>.</w:t>
      </w:r>
      <w:r w:rsidR="00AB62D1">
        <w:t xml:space="preserve"> </w:t>
      </w:r>
      <w:r w:rsidR="00196570">
        <w:t xml:space="preserve"> QPAP </w:t>
      </w:r>
      <w:r w:rsidR="00470727">
        <w:t xml:space="preserve">results are reported </w:t>
      </w:r>
      <w:r w:rsidR="002D5F0D">
        <w:t xml:space="preserve">in </w:t>
      </w:r>
      <w:r w:rsidR="00295797">
        <w:t>D</w:t>
      </w:r>
      <w:r w:rsidR="000F6853">
        <w:t>ocket UT-03038</w:t>
      </w:r>
      <w:r w:rsidR="00470727">
        <w:t>8</w:t>
      </w:r>
      <w:r>
        <w:t xml:space="preserve">. </w:t>
      </w:r>
      <w:r w:rsidR="00AB62D1">
        <w:t xml:space="preserve"> </w:t>
      </w:r>
      <w:r>
        <w:t>A failure to meet</w:t>
      </w:r>
      <w:r w:rsidR="000F6853">
        <w:t xml:space="preserve"> a </w:t>
      </w:r>
      <w:proofErr w:type="spellStart"/>
      <w:r w:rsidR="000F6853">
        <w:t>PID</w:t>
      </w:r>
      <w:proofErr w:type="spellEnd"/>
      <w:r w:rsidR="000F6853">
        <w:t xml:space="preserve"> require</w:t>
      </w:r>
      <w:r w:rsidR="00270D9F">
        <w:t>s</w:t>
      </w:r>
      <w:r w:rsidR="000F6853">
        <w:t xml:space="preserve"> Qwest/CenturyLink to make payments as set forth in </w:t>
      </w:r>
      <w:r w:rsidR="002F5E41">
        <w:t>the QPAP</w:t>
      </w:r>
      <w:r w:rsidR="000F6853">
        <w:t>.</w:t>
      </w:r>
      <w:r w:rsidR="00AB62D1">
        <w:t xml:space="preserve"> </w:t>
      </w:r>
      <w:r w:rsidR="000F6853">
        <w:t xml:space="preserve"> In particular</w:t>
      </w:r>
      <w:r w:rsidR="00AB62D1">
        <w:t>,</w:t>
      </w:r>
      <w:r w:rsidR="000F6853">
        <w:t xml:space="preserve"> two Gateway Availability (GA) PIDs, GA-3 and GA-6</w:t>
      </w:r>
      <w:r w:rsidR="002D5F0D">
        <w:t xml:space="preserve">, </w:t>
      </w:r>
      <w:r w:rsidR="00995B17">
        <w:t xml:space="preserve">measure access to </w:t>
      </w:r>
      <w:r w:rsidR="005B79EB">
        <w:t>MEDIACC and CEMR</w:t>
      </w:r>
      <w:r w:rsidR="00995B17">
        <w:t>.</w:t>
      </w:r>
      <w:r w:rsidR="007C1801">
        <w:rPr>
          <w:rStyle w:val="FootnoteReference"/>
        </w:rPr>
        <w:footnoteReference w:id="33"/>
      </w:r>
      <w:r w:rsidR="00995B17">
        <w:t xml:space="preserve"> </w:t>
      </w:r>
      <w:r w:rsidR="00AB62D1">
        <w:t xml:space="preserve"> </w:t>
      </w:r>
      <w:r w:rsidR="000F6853">
        <w:t xml:space="preserve">GA-3 measures access to Electronic Bonding (EB-TA), or MEDIACC, and GA-6 </w:t>
      </w:r>
      <w:proofErr w:type="gramStart"/>
      <w:r w:rsidR="000F6853">
        <w:t>monitors</w:t>
      </w:r>
      <w:proofErr w:type="gramEnd"/>
      <w:r w:rsidR="000F6853">
        <w:t xml:space="preserve"> access to GUI-Repair or CEMR. </w:t>
      </w:r>
      <w:r w:rsidR="00AB62D1">
        <w:t xml:space="preserve"> </w:t>
      </w:r>
      <w:r w:rsidR="000F6853">
        <w:t>QPAP is a region</w:t>
      </w:r>
      <w:r w:rsidR="00295797">
        <w:t>-</w:t>
      </w:r>
      <w:r w:rsidR="000F6853">
        <w:t>wide</w:t>
      </w:r>
      <w:r w:rsidR="00995B17">
        <w:t>,</w:t>
      </w:r>
      <w:r w:rsidR="000F6853">
        <w:t xml:space="preserve"> 14</w:t>
      </w:r>
      <w:r w:rsidR="00DD1726">
        <w:t>-</w:t>
      </w:r>
      <w:r w:rsidR="000F6853">
        <w:t xml:space="preserve">state self-executing remedy plan </w:t>
      </w:r>
      <w:r w:rsidR="00995B17">
        <w:t>designed to</w:t>
      </w:r>
      <w:r w:rsidR="000F6853">
        <w:t xml:space="preserve"> verif</w:t>
      </w:r>
      <w:r w:rsidR="00995B17">
        <w:t>y</w:t>
      </w:r>
      <w:r w:rsidR="000F6853">
        <w:t xml:space="preserve"> that Qwest provide</w:t>
      </w:r>
      <w:r w:rsidR="002D5F0D">
        <w:t>s</w:t>
      </w:r>
      <w:r w:rsidR="000F6853">
        <w:t xml:space="preserve"> parity between the </w:t>
      </w:r>
      <w:r w:rsidR="00995B17">
        <w:t xml:space="preserve">wholesale </w:t>
      </w:r>
      <w:r w:rsidR="000F6853">
        <w:t xml:space="preserve">service it provides to CLECs and the service it provides to its own retail customers.  Failure to meet parity for GA-3 and GA-6 can require </w:t>
      </w:r>
      <w:r w:rsidR="002D5F0D">
        <w:t>payments</w:t>
      </w:r>
      <w:r w:rsidR="000F6853">
        <w:t xml:space="preserve"> of up to $420,000 region</w:t>
      </w:r>
      <w:r w:rsidR="00295797">
        <w:t>-</w:t>
      </w:r>
      <w:r w:rsidR="000F6853">
        <w:t>wide</w:t>
      </w:r>
      <w:r w:rsidR="00995B17">
        <w:t xml:space="preserve"> </w:t>
      </w:r>
      <w:r w:rsidR="00295797">
        <w:t>(</w:t>
      </w:r>
      <w:r w:rsidR="00270D9F">
        <w:t>up</w:t>
      </w:r>
      <w:r w:rsidR="000F6853">
        <w:t xml:space="preserve"> to $30,000 per state</w:t>
      </w:r>
      <w:r w:rsidR="00295797">
        <w:t>)</w:t>
      </w:r>
      <w:r w:rsidR="00995B17">
        <w:t>.</w:t>
      </w:r>
      <w:r w:rsidR="002D5F0D">
        <w:t xml:space="preserve"> </w:t>
      </w:r>
      <w:r w:rsidR="00AB62D1">
        <w:t xml:space="preserve"> </w:t>
      </w:r>
      <w:r w:rsidR="00942269">
        <w:t xml:space="preserve">PIDs GA-3 and GA-6 are Tier 2 performance measures that require payments to each state. </w:t>
      </w:r>
      <w:r w:rsidR="00AB62D1">
        <w:t xml:space="preserve"> </w:t>
      </w:r>
      <w:r w:rsidR="00942269">
        <w:t xml:space="preserve">There are also many Tier 1 measurements that </w:t>
      </w:r>
      <w:r w:rsidR="00942269">
        <w:lastRenderedPageBreak/>
        <w:t xml:space="preserve">would be affected by a catastrophic failure of MEDIACC. </w:t>
      </w:r>
      <w:r w:rsidR="00AB62D1">
        <w:t xml:space="preserve"> </w:t>
      </w:r>
      <w:r w:rsidR="00942269">
        <w:t>Tier 1 performance measure</w:t>
      </w:r>
      <w:r w:rsidR="002A5A08">
        <w:t>ments</w:t>
      </w:r>
      <w:r w:rsidR="00942269">
        <w:t xml:space="preserve"> require payments directly to the affected CLECs.</w:t>
      </w:r>
    </w:p>
    <w:p w:rsidR="0043150F" w:rsidRDefault="0043150F" w:rsidP="006F2EAB">
      <w:pPr>
        <w:autoSpaceDE w:val="0"/>
        <w:autoSpaceDN w:val="0"/>
        <w:adjustRightInd w:val="0"/>
        <w:spacing w:line="480" w:lineRule="auto"/>
        <w:ind w:left="450" w:hanging="450"/>
        <w:rPr>
          <w:i/>
        </w:rPr>
      </w:pPr>
    </w:p>
    <w:p w:rsidR="00052F7F" w:rsidRDefault="003F1A1E" w:rsidP="003F1A1E">
      <w:pPr>
        <w:autoSpaceDE w:val="0"/>
        <w:autoSpaceDN w:val="0"/>
        <w:adjustRightInd w:val="0"/>
        <w:spacing w:line="480" w:lineRule="auto"/>
        <w:jc w:val="center"/>
        <w:rPr>
          <w:b/>
        </w:rPr>
      </w:pPr>
      <w:r>
        <w:rPr>
          <w:b/>
        </w:rPr>
        <w:t>VII.</w:t>
      </w:r>
      <w:r>
        <w:rPr>
          <w:b/>
        </w:rPr>
        <w:tab/>
      </w:r>
      <w:r w:rsidR="007A22E1">
        <w:rPr>
          <w:b/>
        </w:rPr>
        <w:t>CONCLUSION AND RECOMMENDATIONS</w:t>
      </w:r>
    </w:p>
    <w:p w:rsidR="003F1A1E" w:rsidRPr="00CF62EF" w:rsidRDefault="003F1A1E" w:rsidP="003F1A1E">
      <w:pPr>
        <w:autoSpaceDE w:val="0"/>
        <w:autoSpaceDN w:val="0"/>
        <w:adjustRightInd w:val="0"/>
        <w:spacing w:line="480" w:lineRule="auto"/>
        <w:jc w:val="center"/>
      </w:pPr>
    </w:p>
    <w:p w:rsidR="006F2EAB" w:rsidRDefault="006F2EAB" w:rsidP="006F2EAB">
      <w:pPr>
        <w:autoSpaceDE w:val="0"/>
        <w:autoSpaceDN w:val="0"/>
        <w:adjustRightInd w:val="0"/>
        <w:spacing w:line="480" w:lineRule="auto"/>
        <w:ind w:left="450" w:hanging="450"/>
        <w:rPr>
          <w:b/>
        </w:rPr>
      </w:pPr>
      <w:r>
        <w:rPr>
          <w:b/>
        </w:rPr>
        <w:t xml:space="preserve">Q. </w:t>
      </w:r>
      <w:r>
        <w:rPr>
          <w:b/>
        </w:rPr>
        <w:tab/>
        <w:t xml:space="preserve">What </w:t>
      </w:r>
      <w:r w:rsidR="00AB62D1">
        <w:rPr>
          <w:b/>
        </w:rPr>
        <w:t>are</w:t>
      </w:r>
      <w:r>
        <w:rPr>
          <w:b/>
        </w:rPr>
        <w:t xml:space="preserve"> Staff’s </w:t>
      </w:r>
      <w:r w:rsidR="00783421">
        <w:rPr>
          <w:b/>
        </w:rPr>
        <w:t>conclusion</w:t>
      </w:r>
      <w:r w:rsidR="00AB62D1">
        <w:rPr>
          <w:b/>
        </w:rPr>
        <w:t>s</w:t>
      </w:r>
      <w:r w:rsidR="00783421">
        <w:rPr>
          <w:b/>
        </w:rPr>
        <w:t xml:space="preserve"> and </w:t>
      </w:r>
      <w:r w:rsidR="00720AE6">
        <w:rPr>
          <w:b/>
        </w:rPr>
        <w:t>recommendations?</w:t>
      </w:r>
    </w:p>
    <w:p w:rsidR="00C97950" w:rsidRDefault="00783421" w:rsidP="003F1A1E">
      <w:pPr>
        <w:autoSpaceDE w:val="0"/>
        <w:autoSpaceDN w:val="0"/>
        <w:adjustRightInd w:val="0"/>
        <w:spacing w:line="480" w:lineRule="auto"/>
        <w:ind w:left="720" w:hanging="720"/>
      </w:pPr>
      <w:r w:rsidRPr="003F1A1E">
        <w:t>A.</w:t>
      </w:r>
      <w:r w:rsidR="00720AE6" w:rsidRPr="003F1A1E">
        <w:tab/>
      </w:r>
      <w:r w:rsidR="00720AE6">
        <w:t xml:space="preserve">Staff believes that </w:t>
      </w:r>
      <w:r w:rsidR="00E8529D">
        <w:t>legacy Qwest</w:t>
      </w:r>
      <w:r w:rsidR="00720AE6">
        <w:t xml:space="preserve"> could have averted the issue </w:t>
      </w:r>
      <w:r w:rsidR="00F420C4">
        <w:t xml:space="preserve">of a </w:t>
      </w:r>
      <w:r w:rsidR="00720AE6">
        <w:t>CEMR and MEDIACC replacement through a commitment of internal resources far in advance of th</w:t>
      </w:r>
      <w:r w:rsidR="00E8529D">
        <w:t>e m</w:t>
      </w:r>
      <w:r w:rsidR="00720AE6">
        <w:t>erger</w:t>
      </w:r>
      <w:r w:rsidR="00E8529D">
        <w:t xml:space="preserve"> with CenturyLink</w:t>
      </w:r>
      <w:r w:rsidR="00720AE6">
        <w:t xml:space="preserve">. </w:t>
      </w:r>
      <w:r w:rsidR="00AB62D1">
        <w:t xml:space="preserve"> </w:t>
      </w:r>
      <w:r w:rsidR="00540AA0">
        <w:t>In the alternative</w:t>
      </w:r>
      <w:r w:rsidR="00E8529D">
        <w:t>,</w:t>
      </w:r>
      <w:r w:rsidR="00606899">
        <w:t xml:space="preserve"> if legacy</w:t>
      </w:r>
      <w:r w:rsidR="00720AE6">
        <w:t xml:space="preserve"> Qwest </w:t>
      </w:r>
      <w:r w:rsidR="00606899">
        <w:t xml:space="preserve">had </w:t>
      </w:r>
      <w:r w:rsidR="00CB4DDB">
        <w:t>discussed</w:t>
      </w:r>
      <w:r w:rsidR="00720AE6">
        <w:t xml:space="preserve"> this issue during negotiations and/or hearings it could have been resolved in </w:t>
      </w:r>
      <w:r w:rsidR="00E8529D">
        <w:t>settlement agreements or in the Commission’s order</w:t>
      </w:r>
      <w:r w:rsidR="00606899">
        <w:t xml:space="preserve">. </w:t>
      </w:r>
      <w:r w:rsidR="00AB62D1">
        <w:t xml:space="preserve"> </w:t>
      </w:r>
      <w:r w:rsidR="00D26F52">
        <w:t>However</w:t>
      </w:r>
      <w:r w:rsidR="00AB62D1">
        <w:t>,</w:t>
      </w:r>
      <w:r w:rsidR="00D26F52">
        <w:t xml:space="preserve"> due </w:t>
      </w:r>
      <w:r w:rsidR="00540AA0">
        <w:t>to legacy Qwest’s f</w:t>
      </w:r>
      <w:r w:rsidR="00606899">
        <w:t>ail</w:t>
      </w:r>
      <w:r w:rsidR="00540AA0">
        <w:t xml:space="preserve">ures in both of these </w:t>
      </w:r>
      <w:r w:rsidR="00D26F52">
        <w:t>circumstances</w:t>
      </w:r>
      <w:r w:rsidR="00540AA0">
        <w:t xml:space="preserve">, </w:t>
      </w:r>
      <w:r w:rsidR="00720AE6">
        <w:t xml:space="preserve">we are faced with a difficult decision </w:t>
      </w:r>
      <w:r w:rsidR="00842550">
        <w:t>as to</w:t>
      </w:r>
      <w:r w:rsidR="00720AE6">
        <w:t xml:space="preserve"> how to protect </w:t>
      </w:r>
      <w:r w:rsidR="00942269">
        <w:t>healthy competition and the rate payers of this state</w:t>
      </w:r>
      <w:r w:rsidR="00720AE6">
        <w:t xml:space="preserve">. </w:t>
      </w:r>
    </w:p>
    <w:p w:rsidR="00783421" w:rsidRDefault="003F1A1E" w:rsidP="003F1A1E">
      <w:pPr>
        <w:autoSpaceDE w:val="0"/>
        <w:autoSpaceDN w:val="0"/>
        <w:adjustRightInd w:val="0"/>
        <w:spacing w:line="480" w:lineRule="auto"/>
        <w:ind w:left="720" w:hanging="720"/>
      </w:pPr>
      <w:r>
        <w:tab/>
      </w:r>
      <w:r>
        <w:tab/>
      </w:r>
      <w:r w:rsidR="00C97950">
        <w:t>However, e</w:t>
      </w:r>
      <w:r w:rsidR="00D26F52">
        <w:t xml:space="preserve">ven considering Qwest/CenturyLink’s earlier failures, </w:t>
      </w:r>
      <w:r w:rsidR="00720AE6">
        <w:t xml:space="preserve">Staff does not believe that Qwest/CenturyLink </w:t>
      </w:r>
      <w:r w:rsidR="00540AA0">
        <w:t xml:space="preserve">is in violation of the Integra </w:t>
      </w:r>
      <w:r w:rsidR="00C97950">
        <w:t>or Staff</w:t>
      </w:r>
      <w:r w:rsidR="00D00E20">
        <w:t>/PC</w:t>
      </w:r>
      <w:r w:rsidR="00C97950">
        <w:t xml:space="preserve"> </w:t>
      </w:r>
      <w:r w:rsidR="00AB62D1">
        <w:t>a</w:t>
      </w:r>
      <w:r w:rsidR="00540AA0">
        <w:t>greement</w:t>
      </w:r>
      <w:r w:rsidR="00C97950">
        <w:t>s</w:t>
      </w:r>
      <w:r w:rsidR="00540AA0">
        <w:t xml:space="preserve"> </w:t>
      </w:r>
      <w:r w:rsidR="00C97950">
        <w:t>since it has withdrawn</w:t>
      </w:r>
      <w:r w:rsidR="00941551">
        <w:t xml:space="preserve"> </w:t>
      </w:r>
      <w:r w:rsidR="002D2471">
        <w:t>its CMP request to retire CEMR and MEDIACC</w:t>
      </w:r>
      <w:r w:rsidR="00C37A18">
        <w:t xml:space="preserve"> prior to the 30 month period</w:t>
      </w:r>
      <w:r w:rsidR="002D2471">
        <w:t xml:space="preserve">. </w:t>
      </w:r>
      <w:r w:rsidR="00AB62D1">
        <w:t xml:space="preserve"> </w:t>
      </w:r>
      <w:r w:rsidR="002D2471">
        <w:t xml:space="preserve">Staff </w:t>
      </w:r>
      <w:r w:rsidR="00606899">
        <w:t>has concluded</w:t>
      </w:r>
      <w:r w:rsidR="002D2471">
        <w:t xml:space="preserve"> that a migration to XML is </w:t>
      </w:r>
      <w:r w:rsidR="00540AA0">
        <w:t>appropriate</w:t>
      </w:r>
      <w:r w:rsidR="00CB4DDB">
        <w:t>,</w:t>
      </w:r>
      <w:r w:rsidR="00540AA0">
        <w:t xml:space="preserve"> </w:t>
      </w:r>
      <w:r w:rsidR="002D2471">
        <w:t>even thou</w:t>
      </w:r>
      <w:r w:rsidR="00606899">
        <w:t xml:space="preserve">gh it will require </w:t>
      </w:r>
      <w:r w:rsidR="002D2471">
        <w:t>resources from all parties</w:t>
      </w:r>
      <w:r w:rsidR="00CB4DDB">
        <w:t>,</w:t>
      </w:r>
      <w:r w:rsidR="00606899">
        <w:t xml:space="preserve"> and that</w:t>
      </w:r>
      <w:r w:rsidR="002D2471">
        <w:t xml:space="preserve"> the requirements of the </w:t>
      </w:r>
      <w:r w:rsidR="00540AA0">
        <w:t xml:space="preserve">OSS Settlement Conditions </w:t>
      </w:r>
      <w:r w:rsidR="002D2471">
        <w:t>and Order 14</w:t>
      </w:r>
      <w:r w:rsidR="00606899">
        <w:t xml:space="preserve"> must still be met </w:t>
      </w:r>
      <w:r w:rsidR="0089504B">
        <w:t>before MEDIACC can be retired</w:t>
      </w:r>
      <w:r w:rsidR="002D2471">
        <w:t xml:space="preserve">. </w:t>
      </w:r>
      <w:r w:rsidR="00AB62D1">
        <w:t xml:space="preserve"> </w:t>
      </w:r>
      <w:r w:rsidR="002D2471">
        <w:t xml:space="preserve">We further conclude that </w:t>
      </w:r>
      <w:r w:rsidR="00ED7A07">
        <w:t>the use of the</w:t>
      </w:r>
      <w:r w:rsidR="0089504B">
        <w:t xml:space="preserve"> legacy</w:t>
      </w:r>
      <w:r w:rsidR="00ED7A07">
        <w:t xml:space="preserve"> MEDIACC OSS poses </w:t>
      </w:r>
      <w:r w:rsidR="00942269">
        <w:t xml:space="preserve">possible </w:t>
      </w:r>
      <w:r w:rsidR="002D2471">
        <w:t xml:space="preserve">serious risks </w:t>
      </w:r>
      <w:r w:rsidR="00540AA0">
        <w:t xml:space="preserve">with respect to </w:t>
      </w:r>
      <w:r w:rsidR="00942269">
        <w:t xml:space="preserve">wholesale </w:t>
      </w:r>
      <w:r w:rsidR="00540AA0">
        <w:t>system performance</w:t>
      </w:r>
      <w:r w:rsidR="00942269">
        <w:t>.</w:t>
      </w:r>
    </w:p>
    <w:p w:rsidR="002D2471" w:rsidRDefault="003F1A1E" w:rsidP="003F1A1E">
      <w:pPr>
        <w:autoSpaceDE w:val="0"/>
        <w:autoSpaceDN w:val="0"/>
        <w:adjustRightInd w:val="0"/>
        <w:spacing w:line="480" w:lineRule="auto"/>
        <w:ind w:left="720" w:hanging="720"/>
      </w:pPr>
      <w:r>
        <w:lastRenderedPageBreak/>
        <w:tab/>
      </w:r>
      <w:r w:rsidR="002D2471">
        <w:tab/>
        <w:t>Based on our conclusions, Staff recommends that the Commission order the following:</w:t>
      </w:r>
    </w:p>
    <w:p w:rsidR="002D2471" w:rsidRDefault="002D2471" w:rsidP="003F1A1E">
      <w:pPr>
        <w:pStyle w:val="ListParagraph"/>
        <w:numPr>
          <w:ilvl w:val="0"/>
          <w:numId w:val="45"/>
        </w:numPr>
        <w:autoSpaceDE w:val="0"/>
        <w:autoSpaceDN w:val="0"/>
        <w:adjustRightInd w:val="0"/>
        <w:ind w:left="2160" w:hanging="720"/>
      </w:pPr>
      <w:r>
        <w:t xml:space="preserve">Deny </w:t>
      </w:r>
      <w:r w:rsidR="00ED7A07">
        <w:t xml:space="preserve">the Joint </w:t>
      </w:r>
      <w:r>
        <w:t>CLECs</w:t>
      </w:r>
      <w:r w:rsidR="00ED7A07">
        <w:t>’</w:t>
      </w:r>
      <w:r>
        <w:t xml:space="preserve"> request to stop development of MTG.</w:t>
      </w:r>
    </w:p>
    <w:p w:rsidR="003F1A1E" w:rsidRDefault="003F1A1E" w:rsidP="003F1A1E">
      <w:pPr>
        <w:pStyle w:val="ListParagraph"/>
        <w:autoSpaceDE w:val="0"/>
        <w:autoSpaceDN w:val="0"/>
        <w:adjustRightInd w:val="0"/>
        <w:ind w:left="2160"/>
      </w:pPr>
    </w:p>
    <w:p w:rsidR="007167F5" w:rsidRDefault="007167F5" w:rsidP="003F1A1E">
      <w:pPr>
        <w:pStyle w:val="ListParagraph"/>
        <w:numPr>
          <w:ilvl w:val="0"/>
          <w:numId w:val="45"/>
        </w:numPr>
        <w:autoSpaceDE w:val="0"/>
        <w:autoSpaceDN w:val="0"/>
        <w:adjustRightInd w:val="0"/>
        <w:ind w:left="2160" w:hanging="720"/>
      </w:pPr>
      <w:r>
        <w:t xml:space="preserve">Allow Qwest/CenturyLink to </w:t>
      </w:r>
      <w:r w:rsidR="00D26F52">
        <w:t>optionally</w:t>
      </w:r>
      <w:r>
        <w:t xml:space="preserve"> offer MTG to CLECs and wholesale customers while </w:t>
      </w:r>
      <w:r w:rsidR="00CB4DDB">
        <w:t>requiring</w:t>
      </w:r>
      <w:r w:rsidR="0089504B">
        <w:t xml:space="preserve"> </w:t>
      </w:r>
      <w:r w:rsidR="00F420C4">
        <w:t xml:space="preserve">the company </w:t>
      </w:r>
      <w:r w:rsidR="0089504B">
        <w:t>to maintain</w:t>
      </w:r>
      <w:r>
        <w:t xml:space="preserve"> access to MEDIACC for </w:t>
      </w:r>
      <w:r w:rsidR="0089504B">
        <w:t>all CLECs that require it</w:t>
      </w:r>
      <w:r w:rsidR="00C37A18">
        <w:t>,</w:t>
      </w:r>
      <w:r w:rsidR="0089504B">
        <w:t xml:space="preserve"> until </w:t>
      </w:r>
      <w:r w:rsidR="00F420C4">
        <w:t xml:space="preserve">such time that </w:t>
      </w:r>
      <w:r w:rsidR="0089504B">
        <w:t xml:space="preserve">MEDIACC can be retired after </w:t>
      </w:r>
      <w:r w:rsidR="00CB4DDB">
        <w:t xml:space="preserve">having met </w:t>
      </w:r>
      <w:r w:rsidR="0089504B">
        <w:t xml:space="preserve">all of the </w:t>
      </w:r>
      <w:r w:rsidR="00CB4DDB">
        <w:t xml:space="preserve">wholesale OSS </w:t>
      </w:r>
      <w:r w:rsidR="0089504B">
        <w:t xml:space="preserve">conditions </w:t>
      </w:r>
      <w:r w:rsidR="003E72EB">
        <w:t xml:space="preserve">required by </w:t>
      </w:r>
      <w:r w:rsidR="0089504B">
        <w:t>Order 14.</w:t>
      </w:r>
    </w:p>
    <w:p w:rsidR="003F1A1E" w:rsidRDefault="003F1A1E" w:rsidP="003F1A1E">
      <w:pPr>
        <w:autoSpaceDE w:val="0"/>
        <w:autoSpaceDN w:val="0"/>
        <w:adjustRightInd w:val="0"/>
      </w:pPr>
    </w:p>
    <w:p w:rsidR="00AF1A69" w:rsidRDefault="00733BD9" w:rsidP="003F1A1E">
      <w:pPr>
        <w:pStyle w:val="ListParagraph"/>
        <w:numPr>
          <w:ilvl w:val="0"/>
          <w:numId w:val="45"/>
        </w:numPr>
        <w:autoSpaceDE w:val="0"/>
        <w:autoSpaceDN w:val="0"/>
        <w:adjustRightInd w:val="0"/>
        <w:ind w:left="2160" w:hanging="720"/>
      </w:pPr>
      <w:r>
        <w:t xml:space="preserve">Require that Qwest/CenturyLink report to this Commission </w:t>
      </w:r>
      <w:r w:rsidR="001E594A">
        <w:t xml:space="preserve">every </w:t>
      </w:r>
      <w:r w:rsidR="003F1A1E">
        <w:t>90</w:t>
      </w:r>
      <w:r w:rsidR="001E594A">
        <w:t xml:space="preserve"> days</w:t>
      </w:r>
      <w:r w:rsidR="00973518">
        <w:t xml:space="preserve"> </w:t>
      </w:r>
      <w:r w:rsidR="00145D27">
        <w:t>beginning</w:t>
      </w:r>
      <w:r w:rsidR="001E594A">
        <w:t xml:space="preserve"> with the </w:t>
      </w:r>
      <w:r w:rsidR="00145D27">
        <w:t xml:space="preserve">date that </w:t>
      </w:r>
      <w:r w:rsidR="001E594A">
        <w:t>“optional testing/implementation for interested customers”</w:t>
      </w:r>
      <w:r w:rsidR="00270D9F">
        <w:t xml:space="preserve"> </w:t>
      </w:r>
      <w:r w:rsidR="00145D27">
        <w:t>begins</w:t>
      </w:r>
      <w:r w:rsidR="00973518">
        <w:t xml:space="preserve"> and </w:t>
      </w:r>
      <w:r w:rsidR="00C97950">
        <w:t>with the final report due on</w:t>
      </w:r>
      <w:r w:rsidR="00973518">
        <w:t xml:space="preserve"> </w:t>
      </w:r>
      <w:r w:rsidR="00145D27">
        <w:t>the date that</w:t>
      </w:r>
      <w:r w:rsidR="00973518">
        <w:t xml:space="preserve"> joint “testing begins</w:t>
      </w:r>
      <w:r w:rsidR="00FA6DEE">
        <w:t>.</w:t>
      </w:r>
      <w:r w:rsidR="00973518">
        <w:t>”</w:t>
      </w:r>
      <w:r w:rsidR="00973518">
        <w:rPr>
          <w:rStyle w:val="FootnoteReference"/>
        </w:rPr>
        <w:footnoteReference w:id="34"/>
      </w:r>
      <w:r w:rsidR="001E594A">
        <w:t xml:space="preserve"> </w:t>
      </w:r>
      <w:r w:rsidR="003F1A1E">
        <w:t xml:space="preserve"> </w:t>
      </w:r>
      <w:r w:rsidR="00973518">
        <w:t xml:space="preserve">The reports must include </w:t>
      </w:r>
      <w:r>
        <w:t xml:space="preserve">any CLECs and/or other wholesale customers that </w:t>
      </w:r>
      <w:r w:rsidR="00D12E5C">
        <w:t>a</w:t>
      </w:r>
      <w:r w:rsidR="00AF1A69">
        <w:t>re actively testing</w:t>
      </w:r>
      <w:r>
        <w:t xml:space="preserve"> </w:t>
      </w:r>
      <w:r w:rsidR="00145D27">
        <w:t>or using</w:t>
      </w:r>
      <w:r>
        <w:t xml:space="preserve"> MTG prior to the </w:t>
      </w:r>
      <w:r w:rsidR="00AF6928">
        <w:t xml:space="preserve">end of the </w:t>
      </w:r>
      <w:r>
        <w:t xml:space="preserve">30 month period. </w:t>
      </w:r>
      <w:r w:rsidR="00C061DC">
        <w:t xml:space="preserve"> </w:t>
      </w:r>
      <w:r>
        <w:t>The report should contain details of testing that was completed</w:t>
      </w:r>
      <w:r w:rsidR="00973518">
        <w:t>,</w:t>
      </w:r>
      <w:r>
        <w:t xml:space="preserve"> time frames involved</w:t>
      </w:r>
      <w:r w:rsidR="00FC3EDE">
        <w:t>,</w:t>
      </w:r>
      <w:r>
        <w:t xml:space="preserve"> problems encountered</w:t>
      </w:r>
      <w:r w:rsidR="00FC3EDE">
        <w:t>, and when companies began actively using MTG</w:t>
      </w:r>
      <w:r w:rsidR="00AF1A69">
        <w:t>.</w:t>
      </w:r>
      <w:r w:rsidR="003C07EE">
        <w:t xml:space="preserve"> </w:t>
      </w:r>
      <w:r w:rsidR="003F1A1E">
        <w:t xml:space="preserve"> </w:t>
      </w:r>
      <w:r w:rsidR="003C07EE">
        <w:t xml:space="preserve">All testing </w:t>
      </w:r>
      <w:r w:rsidR="00973518">
        <w:t xml:space="preserve">documentation </w:t>
      </w:r>
      <w:r w:rsidR="00145D27">
        <w:t xml:space="preserve">required by this item </w:t>
      </w:r>
      <w:r w:rsidR="00985994">
        <w:t xml:space="preserve">should </w:t>
      </w:r>
      <w:r w:rsidR="003C07EE">
        <w:t xml:space="preserve">be included in the report </w:t>
      </w:r>
      <w:r w:rsidR="00145D27">
        <w:t>called for</w:t>
      </w:r>
      <w:r w:rsidR="00EB4E65">
        <w:t xml:space="preserve"> by</w:t>
      </w:r>
      <w:r w:rsidR="003C07EE">
        <w:t xml:space="preserve"> </w:t>
      </w:r>
      <w:r w:rsidR="00973518">
        <w:t xml:space="preserve">Order 14 </w:t>
      </w:r>
      <w:r w:rsidR="00743503">
        <w:t xml:space="preserve">at </w:t>
      </w:r>
      <w:r w:rsidR="00973518">
        <w:t>paragraph 120</w:t>
      </w:r>
      <w:r w:rsidR="003C07EE">
        <w:t>.</w:t>
      </w:r>
    </w:p>
    <w:p w:rsidR="003F1A1E" w:rsidRDefault="003F1A1E" w:rsidP="003F1A1E">
      <w:pPr>
        <w:autoSpaceDE w:val="0"/>
        <w:autoSpaceDN w:val="0"/>
        <w:adjustRightInd w:val="0"/>
      </w:pPr>
    </w:p>
    <w:p w:rsidR="00733BD9" w:rsidRDefault="00AF1A69" w:rsidP="003F1A1E">
      <w:pPr>
        <w:pStyle w:val="ListParagraph"/>
        <w:numPr>
          <w:ilvl w:val="0"/>
          <w:numId w:val="45"/>
        </w:numPr>
        <w:autoSpaceDE w:val="0"/>
        <w:autoSpaceDN w:val="0"/>
        <w:adjustRightInd w:val="0"/>
        <w:ind w:left="2160" w:hanging="720"/>
      </w:pPr>
      <w:r>
        <w:t>Emphasize that</w:t>
      </w:r>
      <w:r w:rsidR="003F1A1E">
        <w:t>,</w:t>
      </w:r>
      <w:r>
        <w:t xml:space="preserve"> depending on the Commission assessment of the report</w:t>
      </w:r>
      <w:r w:rsidR="00FC3EDE">
        <w:t xml:space="preserve"> required by Order 14 </w:t>
      </w:r>
      <w:r w:rsidR="003F66FF">
        <w:t xml:space="preserve">at </w:t>
      </w:r>
      <w:r w:rsidR="00FC3EDE">
        <w:t>paragraph 120</w:t>
      </w:r>
      <w:r>
        <w:t>, the Commission reserves the right to impose third party testing of any replacement OSS</w:t>
      </w:r>
      <w:r>
        <w:rPr>
          <w:rStyle w:val="FootnoteReference"/>
        </w:rPr>
        <w:footnoteReference w:id="35"/>
      </w:r>
      <w:r w:rsidR="00AF6928">
        <w:t xml:space="preserve"> including MTG.</w:t>
      </w:r>
    </w:p>
    <w:p w:rsidR="007167F5" w:rsidRDefault="007167F5" w:rsidP="003F1A1E">
      <w:pPr>
        <w:pStyle w:val="ListParagraph"/>
        <w:autoSpaceDE w:val="0"/>
        <w:autoSpaceDN w:val="0"/>
        <w:adjustRightInd w:val="0"/>
        <w:ind w:left="2160" w:hanging="720"/>
      </w:pPr>
    </w:p>
    <w:p w:rsidR="009C55CF" w:rsidRDefault="009C55CF" w:rsidP="003F1A1E">
      <w:pPr>
        <w:pStyle w:val="ListParagraph"/>
        <w:numPr>
          <w:ilvl w:val="0"/>
          <w:numId w:val="45"/>
        </w:numPr>
        <w:autoSpaceDE w:val="0"/>
        <w:autoSpaceDN w:val="0"/>
        <w:adjustRightInd w:val="0"/>
        <w:ind w:left="2160" w:hanging="720"/>
      </w:pPr>
      <w:r>
        <w:t>Emphasize that Gateway Availability PIDs GA-3 and GA-6 contained in the Qwest Performance Assurance Plan (QPAP)</w:t>
      </w:r>
      <w:r w:rsidR="00EB4E65">
        <w:t xml:space="preserve">, and any </w:t>
      </w:r>
      <w:r w:rsidR="00C97950">
        <w:t>other PIDs</w:t>
      </w:r>
      <w:r w:rsidR="00EB4E65">
        <w:t xml:space="preserve"> that may apply</w:t>
      </w:r>
      <w:r w:rsidR="00B70C93">
        <w:t>,</w:t>
      </w:r>
      <w:r>
        <w:t xml:space="preserve"> along with </w:t>
      </w:r>
      <w:r w:rsidR="00C97950">
        <w:t>all requi</w:t>
      </w:r>
      <w:r w:rsidR="001C040C">
        <w:t>r</w:t>
      </w:r>
      <w:r w:rsidR="00C97950">
        <w:t xml:space="preserve">ed </w:t>
      </w:r>
      <w:r>
        <w:t>penalties, will continue to be required.</w:t>
      </w:r>
    </w:p>
    <w:p w:rsidR="003F1A1E" w:rsidRDefault="003F1A1E" w:rsidP="003F1A1E">
      <w:pPr>
        <w:autoSpaceDE w:val="0"/>
        <w:autoSpaceDN w:val="0"/>
        <w:adjustRightInd w:val="0"/>
      </w:pPr>
    </w:p>
    <w:p w:rsidR="008B76ED" w:rsidRDefault="008B76ED" w:rsidP="003F1A1E">
      <w:pPr>
        <w:pStyle w:val="ListParagraph"/>
        <w:numPr>
          <w:ilvl w:val="0"/>
          <w:numId w:val="45"/>
        </w:numPr>
        <w:autoSpaceDE w:val="0"/>
        <w:autoSpaceDN w:val="0"/>
        <w:adjustRightInd w:val="0"/>
        <w:ind w:left="2160" w:hanging="720"/>
      </w:pPr>
      <w:r>
        <w:t xml:space="preserve">Require Qwest/CenturyLink to </w:t>
      </w:r>
      <w:r w:rsidR="00E36970">
        <w:t xml:space="preserve">provide </w:t>
      </w:r>
      <w:r w:rsidR="0041243B">
        <w:t xml:space="preserve">a regularly </w:t>
      </w:r>
      <w:r w:rsidR="00270D9F">
        <w:t>updated</w:t>
      </w:r>
      <w:r>
        <w:t xml:space="preserve"> </w:t>
      </w:r>
      <w:r w:rsidR="00D30FCB">
        <w:t xml:space="preserve">Disaster Recovery Plan </w:t>
      </w:r>
      <w:r>
        <w:t>for MEDIACC</w:t>
      </w:r>
      <w:r w:rsidR="00606899">
        <w:t xml:space="preserve"> </w:t>
      </w:r>
      <w:r w:rsidR="003F5A7F">
        <w:t>to enhance its chances of survivability</w:t>
      </w:r>
      <w:r w:rsidR="0041243B">
        <w:t>,</w:t>
      </w:r>
      <w:r w:rsidR="00606899">
        <w:t xml:space="preserve"> </w:t>
      </w:r>
      <w:r w:rsidR="00C97950">
        <w:t>and possible recovery in case of failure</w:t>
      </w:r>
      <w:r w:rsidR="0041243B">
        <w:t>,</w:t>
      </w:r>
      <w:r w:rsidR="00C97950">
        <w:t xml:space="preserve"> </w:t>
      </w:r>
      <w:r w:rsidR="00606899">
        <w:t xml:space="preserve">until </w:t>
      </w:r>
      <w:r w:rsidR="0041243B">
        <w:t>such time that it can be</w:t>
      </w:r>
      <w:r w:rsidR="00606899">
        <w:t xml:space="preserve"> retired</w:t>
      </w:r>
      <w:r>
        <w:t xml:space="preserve">. </w:t>
      </w:r>
      <w:r w:rsidR="00C061DC">
        <w:t xml:space="preserve"> </w:t>
      </w:r>
      <w:r w:rsidR="00E620AC">
        <w:t>At a minimum t</w:t>
      </w:r>
      <w:r w:rsidR="00270D9F">
        <w:t xml:space="preserve">he </w:t>
      </w:r>
      <w:r w:rsidR="00C97950">
        <w:t xml:space="preserve">existing </w:t>
      </w:r>
      <w:r w:rsidR="00D30FCB">
        <w:t>Disaster Recovery Plan</w:t>
      </w:r>
      <w:r w:rsidR="00D30FCB" w:rsidDel="00D30FCB">
        <w:t xml:space="preserve"> </w:t>
      </w:r>
      <w:r w:rsidR="00270D9F">
        <w:t xml:space="preserve">must </w:t>
      </w:r>
      <w:r w:rsidR="00C97950">
        <w:t xml:space="preserve">be updated </w:t>
      </w:r>
      <w:r w:rsidR="002A5A08">
        <w:t xml:space="preserve">every 90 days </w:t>
      </w:r>
      <w:r w:rsidR="00C97950">
        <w:t xml:space="preserve">to include </w:t>
      </w:r>
      <w:r w:rsidR="002A5A08">
        <w:t xml:space="preserve">any new information </w:t>
      </w:r>
      <w:r w:rsidR="0041243B">
        <w:t xml:space="preserve">gained </w:t>
      </w:r>
      <w:r w:rsidR="00740D1C">
        <w:t>since the last update</w:t>
      </w:r>
      <w:r w:rsidR="0041243B">
        <w:t xml:space="preserve">. </w:t>
      </w:r>
      <w:r w:rsidR="00C061DC">
        <w:t xml:space="preserve"> </w:t>
      </w:r>
      <w:r w:rsidR="0041243B">
        <w:t>It</w:t>
      </w:r>
      <w:r w:rsidR="002A5A08">
        <w:t xml:space="preserve"> </w:t>
      </w:r>
      <w:r w:rsidR="00740D1C">
        <w:t xml:space="preserve">should also include </w:t>
      </w:r>
      <w:r w:rsidR="00C97950">
        <w:t>the latest</w:t>
      </w:r>
      <w:r w:rsidR="00740D1C">
        <w:t xml:space="preserve"> </w:t>
      </w:r>
      <w:r w:rsidR="00270D9F">
        <w:t xml:space="preserve">list of the </w:t>
      </w:r>
      <w:r w:rsidR="0041243B">
        <w:t xml:space="preserve">physical </w:t>
      </w:r>
      <w:r w:rsidR="00270D9F">
        <w:t>location of spare parts and emergency vendor contact list</w:t>
      </w:r>
      <w:r w:rsidR="00E36970">
        <w:t>s</w:t>
      </w:r>
      <w:r w:rsidR="00270D9F">
        <w:t xml:space="preserve">. </w:t>
      </w:r>
      <w:r w:rsidR="00C061DC">
        <w:t xml:space="preserve"> </w:t>
      </w:r>
      <w:r w:rsidR="005A7D67">
        <w:t>A test of the Disaster Recovery Plan</w:t>
      </w:r>
      <w:r w:rsidR="0016753B">
        <w:t xml:space="preserve"> should</w:t>
      </w:r>
      <w:r w:rsidR="007504FB">
        <w:t xml:space="preserve"> </w:t>
      </w:r>
      <w:r w:rsidR="005A7D67">
        <w:t>be completed each November</w:t>
      </w:r>
      <w:r w:rsidR="00EF6EF2">
        <w:t xml:space="preserve">, or </w:t>
      </w:r>
      <w:r w:rsidR="0016753B">
        <w:t>more frequently</w:t>
      </w:r>
      <w:r w:rsidR="00EF6EF2">
        <w:t>,</w:t>
      </w:r>
      <w:r w:rsidR="005A7D67">
        <w:t xml:space="preserve"> until MEDIACC is retired. </w:t>
      </w:r>
      <w:r w:rsidR="00C061DC">
        <w:t xml:space="preserve"> </w:t>
      </w:r>
      <w:r w:rsidR="005A7D67">
        <w:t>The results of th</w:t>
      </w:r>
      <w:r w:rsidR="00220CBF">
        <w:t>at</w:t>
      </w:r>
      <w:r w:rsidR="007504FB">
        <w:t xml:space="preserve"> </w:t>
      </w:r>
      <w:r w:rsidR="005A7D67">
        <w:t xml:space="preserve">test must be included in the </w:t>
      </w:r>
      <w:r w:rsidR="0019668F">
        <w:t>subsequent</w:t>
      </w:r>
      <w:r w:rsidR="005A7D67">
        <w:t xml:space="preserve"> 90 day update to the Disaster </w:t>
      </w:r>
      <w:r w:rsidR="005A7D67">
        <w:lastRenderedPageBreak/>
        <w:t xml:space="preserve">Recovery Plan. </w:t>
      </w:r>
      <w:r w:rsidR="00C061DC">
        <w:t xml:space="preserve"> </w:t>
      </w:r>
      <w:r w:rsidR="00ED7A07">
        <w:t xml:space="preserve">The proposed </w:t>
      </w:r>
      <w:r>
        <w:t xml:space="preserve">plan </w:t>
      </w:r>
      <w:r w:rsidR="009454D4">
        <w:t xml:space="preserve">must </w:t>
      </w:r>
      <w:r>
        <w:t xml:space="preserve">be </w:t>
      </w:r>
      <w:r w:rsidR="00ED7A07">
        <w:t xml:space="preserve">made </w:t>
      </w:r>
      <w:r>
        <w:t>available</w:t>
      </w:r>
      <w:r w:rsidR="000B0137">
        <w:t xml:space="preserve"> to this Commission and</w:t>
      </w:r>
      <w:r>
        <w:t xml:space="preserve"> through CMP for comment by the CLECs.</w:t>
      </w:r>
    </w:p>
    <w:p w:rsidR="00AB62D1" w:rsidRDefault="00AB62D1" w:rsidP="00AB62D1">
      <w:pPr>
        <w:pStyle w:val="ListParagraph"/>
      </w:pPr>
    </w:p>
    <w:p w:rsidR="00602E42" w:rsidRPr="00602E42" w:rsidRDefault="00602E42" w:rsidP="00402E76">
      <w:pPr>
        <w:autoSpaceDE w:val="0"/>
        <w:autoSpaceDN w:val="0"/>
        <w:adjustRightInd w:val="0"/>
        <w:spacing w:line="480" w:lineRule="auto"/>
        <w:ind w:left="720" w:hanging="720"/>
        <w:rPr>
          <w:b/>
        </w:rPr>
      </w:pPr>
    </w:p>
    <w:p w:rsidR="00744639" w:rsidRDefault="00744639" w:rsidP="003F1A1E">
      <w:pPr>
        <w:spacing w:line="480" w:lineRule="auto"/>
        <w:ind w:left="720" w:hanging="720"/>
      </w:pPr>
      <w:r>
        <w:rPr>
          <w:b/>
        </w:rPr>
        <w:t>Q.</w:t>
      </w:r>
      <w:r>
        <w:rPr>
          <w:b/>
        </w:rPr>
        <w:tab/>
        <w:t>Does th</w:t>
      </w:r>
      <w:r w:rsidR="003F1A1E">
        <w:rPr>
          <w:b/>
        </w:rPr>
        <w:t>is</w:t>
      </w:r>
      <w:r>
        <w:rPr>
          <w:b/>
        </w:rPr>
        <w:t xml:space="preserve"> conclude your testimony?</w:t>
      </w:r>
    </w:p>
    <w:p w:rsidR="00744639" w:rsidRDefault="00744639" w:rsidP="003F1A1E">
      <w:pPr>
        <w:spacing w:line="480" w:lineRule="auto"/>
        <w:ind w:left="720" w:hanging="720"/>
      </w:pPr>
      <w:r>
        <w:t>A.</w:t>
      </w:r>
      <w:r>
        <w:tab/>
        <w:t>Yes.</w:t>
      </w:r>
    </w:p>
    <w:p w:rsidR="00744639" w:rsidRDefault="00744639" w:rsidP="003F1A1E">
      <w:pPr>
        <w:spacing w:line="480" w:lineRule="auto"/>
        <w:rPr>
          <w:b/>
        </w:rPr>
      </w:pPr>
    </w:p>
    <w:p w:rsidR="00A84EBF" w:rsidRDefault="00A84EBF" w:rsidP="003F1A1E">
      <w:pPr>
        <w:spacing w:line="480" w:lineRule="auto"/>
        <w:ind w:left="720" w:hanging="720"/>
      </w:pPr>
    </w:p>
    <w:p w:rsidR="004C2F48" w:rsidRDefault="004C2F48" w:rsidP="003F1A1E">
      <w:pPr>
        <w:spacing w:line="480" w:lineRule="auto"/>
      </w:pPr>
    </w:p>
    <w:p w:rsidR="00AB62D1" w:rsidRDefault="00AB62D1" w:rsidP="003F1A1E">
      <w:pPr>
        <w:spacing w:line="480" w:lineRule="auto"/>
      </w:pPr>
    </w:p>
    <w:p w:rsidR="00AB62D1" w:rsidRDefault="00AB62D1" w:rsidP="003F1A1E">
      <w:pPr>
        <w:spacing w:line="480" w:lineRule="auto"/>
      </w:pPr>
    </w:p>
    <w:p w:rsidR="00AB62D1" w:rsidRDefault="00AB62D1" w:rsidP="003F1A1E">
      <w:pPr>
        <w:spacing w:line="480" w:lineRule="auto"/>
      </w:pPr>
    </w:p>
    <w:p w:rsidR="00AB62D1" w:rsidRDefault="00AB62D1" w:rsidP="003F1A1E">
      <w:pPr>
        <w:spacing w:line="480" w:lineRule="auto"/>
      </w:pPr>
    </w:p>
    <w:p w:rsidR="00AB62D1" w:rsidRDefault="00AB62D1" w:rsidP="003F1A1E">
      <w:pPr>
        <w:spacing w:line="480" w:lineRule="auto"/>
      </w:pPr>
    </w:p>
    <w:p w:rsidR="00AB62D1" w:rsidRDefault="00AB62D1" w:rsidP="003F1A1E">
      <w:pPr>
        <w:spacing w:line="480" w:lineRule="auto"/>
      </w:pPr>
    </w:p>
    <w:p w:rsidR="00AB62D1" w:rsidRDefault="00AB62D1" w:rsidP="003F1A1E">
      <w:pPr>
        <w:spacing w:line="480" w:lineRule="auto"/>
      </w:pPr>
    </w:p>
    <w:p w:rsidR="00AB62D1" w:rsidRDefault="00AB62D1" w:rsidP="003F1A1E">
      <w:pPr>
        <w:spacing w:line="480" w:lineRule="auto"/>
      </w:pPr>
    </w:p>
    <w:p w:rsidR="00AB62D1" w:rsidRDefault="00AB62D1" w:rsidP="003F1A1E">
      <w:pPr>
        <w:spacing w:line="480" w:lineRule="auto"/>
      </w:pPr>
    </w:p>
    <w:p w:rsidR="00AB62D1" w:rsidRDefault="00AB62D1" w:rsidP="003F1A1E">
      <w:pPr>
        <w:spacing w:line="480" w:lineRule="auto"/>
      </w:pPr>
    </w:p>
    <w:p w:rsidR="00AB62D1" w:rsidRDefault="00AB62D1" w:rsidP="003F1A1E">
      <w:pPr>
        <w:spacing w:line="480" w:lineRule="auto"/>
      </w:pPr>
    </w:p>
    <w:p w:rsidR="00AB62D1" w:rsidRDefault="00AB62D1" w:rsidP="003F1A1E">
      <w:pPr>
        <w:spacing w:line="480" w:lineRule="auto"/>
      </w:pPr>
    </w:p>
    <w:p w:rsidR="00AB62D1" w:rsidRDefault="00AB62D1" w:rsidP="003F1A1E">
      <w:pPr>
        <w:spacing w:line="480" w:lineRule="auto"/>
      </w:pPr>
    </w:p>
    <w:sectPr w:rsidR="00AB62D1" w:rsidSect="00C55AE0">
      <w:footerReference w:type="default" r:id="rId10"/>
      <w:pgSz w:w="12240" w:h="15840"/>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DAF" w:rsidRDefault="00B86DAF">
      <w:r>
        <w:separator/>
      </w:r>
    </w:p>
  </w:endnote>
  <w:endnote w:type="continuationSeparator" w:id="0">
    <w:p w:rsidR="00B86DAF" w:rsidRDefault="00B8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AF" w:rsidRPr="00DC40BC" w:rsidRDefault="00B86DAF" w:rsidP="00BB18DA">
    <w:pPr>
      <w:pStyle w:val="Footer"/>
      <w:tabs>
        <w:tab w:val="clear" w:pos="8640"/>
        <w:tab w:val="right" w:pos="9360"/>
      </w:tabs>
      <w:rPr>
        <w:sz w:val="20"/>
        <w:szCs w:val="20"/>
      </w:rPr>
    </w:pPr>
    <w:r w:rsidRPr="00DC40BC">
      <w:rPr>
        <w:sz w:val="20"/>
        <w:szCs w:val="20"/>
      </w:rPr>
      <w:t>TESTIMONY O</w:t>
    </w:r>
    <w:r>
      <w:rPr>
        <w:sz w:val="20"/>
        <w:szCs w:val="20"/>
      </w:rPr>
      <w:t xml:space="preserve">F ROBERT T. WILLIAMSON </w:t>
    </w:r>
    <w:r>
      <w:rPr>
        <w:sz w:val="20"/>
        <w:szCs w:val="20"/>
      </w:rPr>
      <w:tab/>
    </w:r>
    <w:r>
      <w:rPr>
        <w:sz w:val="20"/>
        <w:szCs w:val="20"/>
      </w:rPr>
      <w:tab/>
      <w:t>Exhibit No. ___ (RTW-1T)</w:t>
    </w:r>
  </w:p>
  <w:p w:rsidR="00B86DAF" w:rsidRPr="00B27BAC" w:rsidRDefault="00B86DAF" w:rsidP="00BB18DA">
    <w:pPr>
      <w:pStyle w:val="Footer"/>
      <w:tabs>
        <w:tab w:val="clear" w:pos="8640"/>
        <w:tab w:val="right" w:pos="9360"/>
      </w:tabs>
      <w:rPr>
        <w:sz w:val="20"/>
        <w:szCs w:val="20"/>
        <w:lang w:val="fr-FR"/>
      </w:rPr>
    </w:pPr>
    <w:r w:rsidRPr="00DC40BC">
      <w:rPr>
        <w:sz w:val="20"/>
        <w:szCs w:val="20"/>
      </w:rPr>
      <w:t>Docket</w:t>
    </w:r>
    <w:r>
      <w:rPr>
        <w:sz w:val="20"/>
        <w:szCs w:val="20"/>
        <w:lang w:val="fr-FR"/>
      </w:rPr>
      <w:t xml:space="preserve"> UT-111254</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4C60FA">
      <w:rPr>
        <w:rStyle w:val="PageNumber"/>
        <w:noProof/>
        <w:sz w:val="20"/>
        <w:szCs w:val="20"/>
        <w:lang w:val="fr-FR"/>
      </w:rPr>
      <w:t>ii</w:t>
    </w:r>
    <w:r w:rsidRPr="00DC40BC">
      <w:rPr>
        <w:rStyle w:val="PageNumber"/>
        <w:sz w:val="20"/>
        <w:szCs w:val="20"/>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AF" w:rsidRDefault="00B86DAF" w:rsidP="00BB18DA">
    <w:pPr>
      <w:pStyle w:val="Footer"/>
      <w:tabs>
        <w:tab w:val="clear" w:pos="8640"/>
        <w:tab w:val="right" w:pos="9360"/>
      </w:tabs>
      <w:rPr>
        <w:sz w:val="20"/>
        <w:szCs w:val="20"/>
      </w:rPr>
    </w:pPr>
  </w:p>
  <w:p w:rsidR="00B86DAF" w:rsidRPr="00DC40BC" w:rsidRDefault="00B86DAF" w:rsidP="00BB18DA">
    <w:pPr>
      <w:pStyle w:val="Footer"/>
      <w:tabs>
        <w:tab w:val="clear" w:pos="8640"/>
        <w:tab w:val="right" w:pos="9360"/>
      </w:tabs>
      <w:rPr>
        <w:sz w:val="20"/>
        <w:szCs w:val="20"/>
      </w:rPr>
    </w:pPr>
    <w:r w:rsidRPr="00DC40BC">
      <w:rPr>
        <w:sz w:val="20"/>
        <w:szCs w:val="20"/>
      </w:rPr>
      <w:t>TESTIMONY O</w:t>
    </w:r>
    <w:r>
      <w:rPr>
        <w:sz w:val="20"/>
        <w:szCs w:val="20"/>
      </w:rPr>
      <w:t xml:space="preserve">F ROBERT T. WILLIAMSON </w:t>
    </w:r>
    <w:r>
      <w:rPr>
        <w:sz w:val="20"/>
        <w:szCs w:val="20"/>
      </w:rPr>
      <w:tab/>
    </w:r>
    <w:r>
      <w:rPr>
        <w:sz w:val="20"/>
        <w:szCs w:val="20"/>
      </w:rPr>
      <w:tab/>
      <w:t>Exhibit No. ___ (RTW-1T)</w:t>
    </w:r>
  </w:p>
  <w:p w:rsidR="00B86DAF" w:rsidRPr="00B27BAC" w:rsidRDefault="00B86DAF" w:rsidP="00BB18DA">
    <w:pPr>
      <w:pStyle w:val="Footer"/>
      <w:tabs>
        <w:tab w:val="clear" w:pos="8640"/>
        <w:tab w:val="right" w:pos="9360"/>
      </w:tabs>
      <w:rPr>
        <w:sz w:val="20"/>
        <w:szCs w:val="20"/>
        <w:lang w:val="fr-FR"/>
      </w:rPr>
    </w:pPr>
    <w:r w:rsidRPr="00DC40BC">
      <w:rPr>
        <w:sz w:val="20"/>
        <w:szCs w:val="20"/>
      </w:rPr>
      <w:t>Docket</w:t>
    </w:r>
    <w:r>
      <w:rPr>
        <w:sz w:val="20"/>
        <w:szCs w:val="20"/>
        <w:lang w:val="fr-FR"/>
      </w:rPr>
      <w:t xml:space="preserve"> UT-111254</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4C60FA">
      <w:rPr>
        <w:rStyle w:val="PageNumber"/>
        <w:noProof/>
        <w:sz w:val="20"/>
        <w:szCs w:val="20"/>
        <w:lang w:val="fr-FR"/>
      </w:rPr>
      <w:t>14</w:t>
    </w:r>
    <w:r w:rsidRPr="00DC40BC">
      <w:rPr>
        <w:rStyle w:val="PageNumber"/>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DAF" w:rsidRDefault="00B86DAF">
      <w:r>
        <w:separator/>
      </w:r>
    </w:p>
  </w:footnote>
  <w:footnote w:type="continuationSeparator" w:id="0">
    <w:p w:rsidR="00B86DAF" w:rsidRDefault="00B86DAF">
      <w:r>
        <w:continuationSeparator/>
      </w:r>
    </w:p>
  </w:footnote>
  <w:footnote w:id="1">
    <w:p w:rsidR="00B86DAF" w:rsidRDefault="00B86DAF" w:rsidP="004456A8">
      <w:pPr>
        <w:pStyle w:val="FootnoteText"/>
        <w:rPr>
          <w:sz w:val="20"/>
        </w:rPr>
      </w:pPr>
      <w:r w:rsidRPr="00BB18DA">
        <w:rPr>
          <w:rStyle w:val="FootnoteReference"/>
          <w:sz w:val="20"/>
        </w:rPr>
        <w:footnoteRef/>
      </w:r>
      <w:r w:rsidRPr="00BB18DA">
        <w:rPr>
          <w:sz w:val="20"/>
        </w:rPr>
        <w:t xml:space="preserve"> http://www.centruylinkqwestmerger.com/downloads/pressreleases/CenturyLink%20Qwest%20Merger%20</w:t>
      </w:r>
    </w:p>
    <w:p w:rsidR="00B86DAF" w:rsidRPr="00BB18DA" w:rsidRDefault="00B86DAF" w:rsidP="004456A8">
      <w:pPr>
        <w:pStyle w:val="FootnoteText"/>
        <w:rPr>
          <w:sz w:val="20"/>
        </w:rPr>
      </w:pPr>
      <w:r w:rsidRPr="00BB18DA">
        <w:rPr>
          <w:sz w:val="20"/>
        </w:rPr>
        <w:t>Press%20Release%204-22-2010.pdf.</w:t>
      </w:r>
    </w:p>
  </w:footnote>
  <w:footnote w:id="2">
    <w:p w:rsidR="00B86DAF" w:rsidRPr="00BB18DA" w:rsidRDefault="00B86DAF" w:rsidP="004456A8">
      <w:pPr>
        <w:pStyle w:val="FootnoteText"/>
        <w:rPr>
          <w:sz w:val="20"/>
        </w:rPr>
      </w:pPr>
      <w:r w:rsidRPr="00BB18DA">
        <w:rPr>
          <w:rStyle w:val="FootnoteReference"/>
          <w:sz w:val="20"/>
        </w:rPr>
        <w:footnoteRef/>
      </w:r>
      <w:r w:rsidRPr="00BB18DA">
        <w:rPr>
          <w:sz w:val="20"/>
        </w:rPr>
        <w:t xml:space="preserve"> </w:t>
      </w:r>
      <w:r w:rsidRPr="00BB18DA">
        <w:rPr>
          <w:i/>
          <w:sz w:val="20"/>
        </w:rPr>
        <w:t xml:space="preserve">In Re Joint Application of Qwest Communications International Inc. and CenturyTel, Inc. for Approval of Indirect Transfer of Control of Qwest Corporation, Qwest Communications Company LLC, and Qwest LD Corp., </w:t>
      </w:r>
      <w:r w:rsidRPr="00BB18DA">
        <w:rPr>
          <w:sz w:val="20"/>
        </w:rPr>
        <w:t>Docket</w:t>
      </w:r>
      <w:r>
        <w:t xml:space="preserve"> </w:t>
      </w:r>
      <w:r w:rsidRPr="00BB18DA">
        <w:rPr>
          <w:sz w:val="20"/>
        </w:rPr>
        <w:t>UT-100820, Order 14, Final Order Approving and Adopting, Subject to Conditions, Multiparty Settlement Agreements and Authorizing Transaction (March 14, 2011).</w:t>
      </w:r>
    </w:p>
  </w:footnote>
  <w:footnote w:id="3">
    <w:p w:rsidR="00B86DAF" w:rsidRPr="00BB18DA" w:rsidRDefault="00B86DAF" w:rsidP="004456A8">
      <w:pPr>
        <w:pStyle w:val="FootnoteText"/>
        <w:rPr>
          <w:sz w:val="20"/>
        </w:rPr>
      </w:pPr>
      <w:r w:rsidRPr="00BB18DA">
        <w:rPr>
          <w:rStyle w:val="FootnoteReference"/>
          <w:sz w:val="20"/>
        </w:rPr>
        <w:footnoteRef/>
      </w:r>
      <w:r w:rsidRPr="00BB18DA">
        <w:rPr>
          <w:sz w:val="20"/>
        </w:rPr>
        <w:t xml:space="preserve"> </w:t>
      </w:r>
      <w:proofErr w:type="gramStart"/>
      <w:r w:rsidRPr="00BB18DA">
        <w:rPr>
          <w:sz w:val="20"/>
        </w:rPr>
        <w:t>Order 14, p. 66</w:t>
      </w:r>
      <w:r>
        <w:rPr>
          <w:sz w:val="20"/>
        </w:rPr>
        <w:t>,</w:t>
      </w:r>
      <w:r w:rsidRPr="00BB18DA">
        <w:rPr>
          <w:sz w:val="20"/>
        </w:rPr>
        <w:t xml:space="preserve"> at ¶ 116.</w:t>
      </w:r>
      <w:proofErr w:type="gramEnd"/>
    </w:p>
  </w:footnote>
  <w:footnote w:id="4">
    <w:p w:rsidR="00B86DAF" w:rsidRPr="00BB18DA" w:rsidRDefault="00B86DAF">
      <w:pPr>
        <w:pStyle w:val="FootnoteText"/>
        <w:rPr>
          <w:sz w:val="20"/>
        </w:rPr>
      </w:pPr>
      <w:r w:rsidRPr="00BB18DA">
        <w:rPr>
          <w:rStyle w:val="FootnoteReference"/>
          <w:sz w:val="20"/>
        </w:rPr>
        <w:footnoteRef/>
      </w:r>
      <w:r w:rsidRPr="00BB18DA">
        <w:rPr>
          <w:sz w:val="20"/>
        </w:rPr>
        <w:t xml:space="preserve"> </w:t>
      </w:r>
      <w:proofErr w:type="gramStart"/>
      <w:r w:rsidRPr="00BB18DA">
        <w:rPr>
          <w:sz w:val="20"/>
        </w:rPr>
        <w:t>Competitive local exchange carriers (CLECs).</w:t>
      </w:r>
      <w:proofErr w:type="gramEnd"/>
    </w:p>
  </w:footnote>
  <w:footnote w:id="5">
    <w:p w:rsidR="00B86DAF" w:rsidRPr="00BB18DA" w:rsidRDefault="00B86DAF">
      <w:pPr>
        <w:pStyle w:val="FootnoteText"/>
        <w:rPr>
          <w:sz w:val="20"/>
        </w:rPr>
      </w:pPr>
      <w:r w:rsidRPr="00BB18DA">
        <w:rPr>
          <w:rStyle w:val="FootnoteReference"/>
          <w:sz w:val="20"/>
        </w:rPr>
        <w:footnoteRef/>
      </w:r>
      <w:r w:rsidRPr="00BB18DA">
        <w:rPr>
          <w:sz w:val="20"/>
        </w:rPr>
        <w:t xml:space="preserve"> </w:t>
      </w:r>
      <w:proofErr w:type="gramStart"/>
      <w:r w:rsidRPr="00BB18DA">
        <w:rPr>
          <w:sz w:val="20"/>
        </w:rPr>
        <w:t>Order 14, pp. 67-68</w:t>
      </w:r>
      <w:r>
        <w:rPr>
          <w:sz w:val="20"/>
        </w:rPr>
        <w:t>,</w:t>
      </w:r>
      <w:r w:rsidRPr="00BB18DA">
        <w:rPr>
          <w:sz w:val="20"/>
        </w:rPr>
        <w:t xml:space="preserve"> at ¶ 120.</w:t>
      </w:r>
      <w:proofErr w:type="gramEnd"/>
    </w:p>
  </w:footnote>
  <w:footnote w:id="6">
    <w:p w:rsidR="00B86DAF" w:rsidRPr="00EE7676" w:rsidRDefault="00B86DAF">
      <w:pPr>
        <w:pStyle w:val="FootnoteText"/>
        <w:rPr>
          <w:sz w:val="20"/>
        </w:rPr>
      </w:pPr>
      <w:r w:rsidRPr="00EE7676">
        <w:rPr>
          <w:rStyle w:val="FootnoteReference"/>
          <w:sz w:val="20"/>
        </w:rPr>
        <w:footnoteRef/>
      </w:r>
      <w:r w:rsidRPr="00EE7676">
        <w:rPr>
          <w:sz w:val="20"/>
        </w:rPr>
        <w:t xml:space="preserve"> </w:t>
      </w:r>
      <w:proofErr w:type="gramStart"/>
      <w:r w:rsidRPr="00EE7676">
        <w:rPr>
          <w:sz w:val="20"/>
        </w:rPr>
        <w:t>Pub.</w:t>
      </w:r>
      <w:proofErr w:type="gramEnd"/>
      <w:r w:rsidRPr="00EE7676">
        <w:rPr>
          <w:sz w:val="20"/>
        </w:rPr>
        <w:t xml:space="preserve"> </w:t>
      </w:r>
      <w:proofErr w:type="gramStart"/>
      <w:r w:rsidRPr="00EE7676">
        <w:rPr>
          <w:sz w:val="20"/>
        </w:rPr>
        <w:t>L. No. 104-104, 110 Stat. 66 (1996).</w:t>
      </w:r>
      <w:proofErr w:type="gramEnd"/>
    </w:p>
  </w:footnote>
  <w:footnote w:id="7">
    <w:p w:rsidR="00B86DAF" w:rsidRPr="00EE7676" w:rsidRDefault="00B86DAF">
      <w:pPr>
        <w:pStyle w:val="FootnoteText"/>
        <w:rPr>
          <w:sz w:val="20"/>
        </w:rPr>
      </w:pPr>
      <w:r w:rsidRPr="00EE7676">
        <w:rPr>
          <w:rStyle w:val="FootnoteReference"/>
          <w:sz w:val="20"/>
        </w:rPr>
        <w:footnoteRef/>
      </w:r>
      <w:r w:rsidRPr="00EE7676">
        <w:rPr>
          <w:sz w:val="20"/>
        </w:rPr>
        <w:t xml:space="preserve"> Direct Testimony of Douglas Denney, Exh</w:t>
      </w:r>
      <w:r>
        <w:rPr>
          <w:sz w:val="20"/>
        </w:rPr>
        <w:t>ibit</w:t>
      </w:r>
      <w:r w:rsidRPr="00EE7676">
        <w:rPr>
          <w:sz w:val="20"/>
        </w:rPr>
        <w:t xml:space="preserve"> No. </w:t>
      </w:r>
      <w:r>
        <w:rPr>
          <w:sz w:val="20"/>
        </w:rPr>
        <w:t>___</w:t>
      </w:r>
      <w:r w:rsidRPr="00EE7676">
        <w:rPr>
          <w:sz w:val="20"/>
        </w:rPr>
        <w:t xml:space="preserve"> (DD-1T) 55:21-25.</w:t>
      </w:r>
    </w:p>
  </w:footnote>
  <w:footnote w:id="8">
    <w:p w:rsidR="00B86DAF" w:rsidRPr="00EE7676" w:rsidRDefault="00B86DAF">
      <w:pPr>
        <w:pStyle w:val="FootnoteText"/>
        <w:rPr>
          <w:sz w:val="20"/>
        </w:rPr>
      </w:pPr>
      <w:r w:rsidRPr="00EE7676">
        <w:rPr>
          <w:rStyle w:val="FootnoteReference"/>
          <w:sz w:val="20"/>
        </w:rPr>
        <w:footnoteRef/>
      </w:r>
      <w:r w:rsidRPr="00EE7676">
        <w:rPr>
          <w:sz w:val="20"/>
        </w:rPr>
        <w:t xml:space="preserve"> </w:t>
      </w:r>
      <w:proofErr w:type="gramStart"/>
      <w:r w:rsidRPr="00EE7676">
        <w:rPr>
          <w:i/>
          <w:sz w:val="20"/>
        </w:rPr>
        <w:t>In the Matter of a Complaint by Joint CLECs against Qwest and CenturyLink Regarding OSS for Maintenance and Repair</w:t>
      </w:r>
      <w:r w:rsidRPr="00EE7676">
        <w:rPr>
          <w:sz w:val="20"/>
        </w:rPr>
        <w:t>, MPUC Docket No.</w:t>
      </w:r>
      <w:proofErr w:type="gramEnd"/>
      <w:r w:rsidRPr="00EE7676">
        <w:rPr>
          <w:sz w:val="20"/>
        </w:rPr>
        <w:t xml:space="preserve"> P-5340/C-11-684, Formal Complaint and Petition (filed June 28, 2011).</w:t>
      </w:r>
    </w:p>
  </w:footnote>
  <w:footnote w:id="9">
    <w:p w:rsidR="00B86DAF" w:rsidRPr="00EE7676" w:rsidRDefault="00B86DAF">
      <w:pPr>
        <w:pStyle w:val="FootnoteText"/>
        <w:rPr>
          <w:sz w:val="20"/>
        </w:rPr>
      </w:pPr>
      <w:r w:rsidRPr="00EE7676">
        <w:rPr>
          <w:rStyle w:val="FootnoteReference"/>
          <w:sz w:val="20"/>
        </w:rPr>
        <w:footnoteRef/>
      </w:r>
      <w:r w:rsidRPr="00EE7676">
        <w:rPr>
          <w:sz w:val="20"/>
        </w:rPr>
        <w:t xml:space="preserve"> Direct Testimony of Renée </w:t>
      </w:r>
      <w:proofErr w:type="spellStart"/>
      <w:r w:rsidRPr="00EE7676">
        <w:rPr>
          <w:sz w:val="20"/>
        </w:rPr>
        <w:t>Albersheim</w:t>
      </w:r>
      <w:proofErr w:type="spellEnd"/>
      <w:r w:rsidRPr="00EE7676">
        <w:rPr>
          <w:sz w:val="20"/>
        </w:rPr>
        <w:t>, Exh</w:t>
      </w:r>
      <w:r>
        <w:rPr>
          <w:sz w:val="20"/>
        </w:rPr>
        <w:t>.</w:t>
      </w:r>
      <w:r w:rsidRPr="00EE7676">
        <w:rPr>
          <w:sz w:val="20"/>
        </w:rPr>
        <w:t xml:space="preserve"> No. </w:t>
      </w:r>
      <w:proofErr w:type="gramStart"/>
      <w:r>
        <w:rPr>
          <w:sz w:val="20"/>
        </w:rPr>
        <w:t>_</w:t>
      </w:r>
      <w:r w:rsidRPr="00EE7676">
        <w:rPr>
          <w:sz w:val="20"/>
        </w:rPr>
        <w:t>_</w:t>
      </w:r>
      <w:r>
        <w:rPr>
          <w:sz w:val="20"/>
        </w:rPr>
        <w:t>_</w:t>
      </w:r>
      <w:r w:rsidRPr="00EE7676">
        <w:rPr>
          <w:sz w:val="20"/>
        </w:rPr>
        <w:t xml:space="preserve"> (RA-2).</w:t>
      </w:r>
      <w:proofErr w:type="gramEnd"/>
    </w:p>
  </w:footnote>
  <w:footnote w:id="10">
    <w:p w:rsidR="00B86DAF" w:rsidRPr="00EE7676" w:rsidRDefault="00B86DAF">
      <w:pPr>
        <w:pStyle w:val="FootnoteText"/>
        <w:rPr>
          <w:sz w:val="20"/>
        </w:rPr>
      </w:pPr>
      <w:r w:rsidRPr="00EE7676">
        <w:rPr>
          <w:rStyle w:val="FootnoteReference"/>
          <w:sz w:val="20"/>
        </w:rPr>
        <w:footnoteRef/>
      </w:r>
      <w:r w:rsidRPr="00EE7676">
        <w:rPr>
          <w:sz w:val="20"/>
        </w:rPr>
        <w:t xml:space="preserve"> </w:t>
      </w:r>
      <w:proofErr w:type="spellStart"/>
      <w:r w:rsidRPr="00EE7676">
        <w:rPr>
          <w:sz w:val="20"/>
        </w:rPr>
        <w:t>Albersheim</w:t>
      </w:r>
      <w:proofErr w:type="spellEnd"/>
      <w:r w:rsidRPr="00EE7676">
        <w:rPr>
          <w:sz w:val="20"/>
        </w:rPr>
        <w:t>, Exh</w:t>
      </w:r>
      <w:r>
        <w:rPr>
          <w:sz w:val="20"/>
        </w:rPr>
        <w:t>.</w:t>
      </w:r>
      <w:r w:rsidRPr="00EE7676">
        <w:rPr>
          <w:sz w:val="20"/>
        </w:rPr>
        <w:t xml:space="preserve"> No. </w:t>
      </w:r>
      <w:proofErr w:type="gramStart"/>
      <w:r>
        <w:rPr>
          <w:sz w:val="20"/>
        </w:rPr>
        <w:t>__</w:t>
      </w:r>
      <w:r w:rsidRPr="00EE7676">
        <w:rPr>
          <w:sz w:val="20"/>
        </w:rPr>
        <w:t>_ (RA-12) (MTG Implementation Timeline Comparison).</w:t>
      </w:r>
      <w:proofErr w:type="gramEnd"/>
    </w:p>
  </w:footnote>
  <w:footnote w:id="11">
    <w:p w:rsidR="00B86DAF" w:rsidRPr="00EE7676" w:rsidRDefault="00B86DAF" w:rsidP="0042524B">
      <w:pPr>
        <w:pStyle w:val="FootnoteText"/>
        <w:rPr>
          <w:sz w:val="20"/>
        </w:rPr>
      </w:pPr>
      <w:r w:rsidRPr="00EE7676">
        <w:rPr>
          <w:rStyle w:val="FootnoteReference"/>
          <w:sz w:val="20"/>
        </w:rPr>
        <w:footnoteRef/>
      </w:r>
      <w:r w:rsidRPr="00EE7676">
        <w:rPr>
          <w:sz w:val="20"/>
        </w:rPr>
        <w:t xml:space="preserve"> </w:t>
      </w:r>
      <w:proofErr w:type="spellStart"/>
      <w:r w:rsidRPr="00EE7676">
        <w:rPr>
          <w:sz w:val="20"/>
        </w:rPr>
        <w:t>Albersheim</w:t>
      </w:r>
      <w:proofErr w:type="spellEnd"/>
      <w:r w:rsidRPr="00EE7676">
        <w:rPr>
          <w:sz w:val="20"/>
        </w:rPr>
        <w:t>, Exh. No. _</w:t>
      </w:r>
      <w:r>
        <w:rPr>
          <w:sz w:val="20"/>
        </w:rPr>
        <w:t>_</w:t>
      </w:r>
      <w:r w:rsidRPr="00EE7676">
        <w:rPr>
          <w:sz w:val="20"/>
        </w:rPr>
        <w:t>_ (RA-1T) 4:16-17 and footnote 2.</w:t>
      </w:r>
    </w:p>
  </w:footnote>
  <w:footnote w:id="12">
    <w:p w:rsidR="00B86DAF" w:rsidRPr="00EE7676" w:rsidRDefault="00B86DAF">
      <w:pPr>
        <w:pStyle w:val="FootnoteText"/>
        <w:rPr>
          <w:sz w:val="20"/>
        </w:rPr>
      </w:pPr>
      <w:r w:rsidRPr="00EE7676">
        <w:rPr>
          <w:rStyle w:val="FootnoteReference"/>
          <w:sz w:val="20"/>
        </w:rPr>
        <w:footnoteRef/>
      </w:r>
      <w:r w:rsidRPr="00EE7676">
        <w:rPr>
          <w:sz w:val="20"/>
        </w:rPr>
        <w:t xml:space="preserve"> Direct Testimony of Michael </w:t>
      </w:r>
      <w:proofErr w:type="spellStart"/>
      <w:r w:rsidRPr="00EE7676">
        <w:rPr>
          <w:sz w:val="20"/>
        </w:rPr>
        <w:t>Hunsucker</w:t>
      </w:r>
      <w:proofErr w:type="spellEnd"/>
      <w:r w:rsidRPr="00EE7676">
        <w:rPr>
          <w:sz w:val="20"/>
        </w:rPr>
        <w:t>, Exh. No. _</w:t>
      </w:r>
      <w:r>
        <w:rPr>
          <w:sz w:val="20"/>
        </w:rPr>
        <w:t>_</w:t>
      </w:r>
      <w:r w:rsidRPr="00EE7676">
        <w:rPr>
          <w:sz w:val="20"/>
        </w:rPr>
        <w:t>_ (MH-1T) 4:1-5.</w:t>
      </w:r>
    </w:p>
  </w:footnote>
  <w:footnote w:id="13">
    <w:p w:rsidR="00B86DAF" w:rsidRPr="00AF1BFD" w:rsidRDefault="00B86DAF">
      <w:pPr>
        <w:pStyle w:val="FootnoteText"/>
        <w:rPr>
          <w:sz w:val="20"/>
        </w:rPr>
      </w:pPr>
      <w:r w:rsidRPr="00AF1BFD">
        <w:rPr>
          <w:rStyle w:val="FootnoteReference"/>
          <w:sz w:val="20"/>
        </w:rPr>
        <w:footnoteRef/>
      </w:r>
      <w:r w:rsidRPr="00AF1BFD">
        <w:rPr>
          <w:sz w:val="20"/>
        </w:rPr>
        <w:t xml:space="preserve"> </w:t>
      </w:r>
      <w:proofErr w:type="spellStart"/>
      <w:r w:rsidRPr="00AF1BFD">
        <w:rPr>
          <w:sz w:val="20"/>
        </w:rPr>
        <w:t>Albersheim</w:t>
      </w:r>
      <w:proofErr w:type="spellEnd"/>
      <w:r w:rsidRPr="00AF1BFD">
        <w:rPr>
          <w:sz w:val="20"/>
        </w:rPr>
        <w:t>, Exh. No. _</w:t>
      </w:r>
      <w:r>
        <w:rPr>
          <w:sz w:val="20"/>
        </w:rPr>
        <w:t>_</w:t>
      </w:r>
      <w:r w:rsidRPr="00AF1BFD">
        <w:rPr>
          <w:sz w:val="20"/>
        </w:rPr>
        <w:t>_ (RA-1T) 6:5-13.</w:t>
      </w:r>
    </w:p>
  </w:footnote>
  <w:footnote w:id="14">
    <w:p w:rsidR="00B86DAF" w:rsidRPr="00AF1BFD" w:rsidRDefault="00B86DAF" w:rsidP="008150A8">
      <w:pPr>
        <w:pStyle w:val="FootnoteText"/>
        <w:rPr>
          <w:sz w:val="20"/>
        </w:rPr>
      </w:pPr>
      <w:r w:rsidRPr="00AF1BFD">
        <w:rPr>
          <w:rStyle w:val="FootnoteReference"/>
          <w:sz w:val="20"/>
        </w:rPr>
        <w:footnoteRef/>
      </w:r>
      <w:r w:rsidRPr="00AF1BFD">
        <w:rPr>
          <w:sz w:val="20"/>
        </w:rPr>
        <w:t xml:space="preserve"> </w:t>
      </w:r>
      <w:r>
        <w:rPr>
          <w:i/>
          <w:sz w:val="20"/>
        </w:rPr>
        <w:t>Id.</w:t>
      </w:r>
      <w:r>
        <w:rPr>
          <w:sz w:val="20"/>
        </w:rPr>
        <w:t xml:space="preserve"> at</w:t>
      </w:r>
      <w:r w:rsidRPr="00AF1BFD">
        <w:rPr>
          <w:sz w:val="20"/>
        </w:rPr>
        <w:t xml:space="preserve"> 10:9-10.</w:t>
      </w:r>
    </w:p>
  </w:footnote>
  <w:footnote w:id="15">
    <w:p w:rsidR="00B86DAF" w:rsidRPr="00AF1BFD" w:rsidRDefault="00B86DAF" w:rsidP="004F4BB3">
      <w:pPr>
        <w:pStyle w:val="FootnoteText"/>
        <w:rPr>
          <w:sz w:val="20"/>
        </w:rPr>
      </w:pPr>
      <w:r w:rsidRPr="00AF1BFD">
        <w:rPr>
          <w:rStyle w:val="FootnoteReference"/>
          <w:sz w:val="20"/>
        </w:rPr>
        <w:footnoteRef/>
      </w:r>
      <w:r w:rsidRPr="00AF1BFD">
        <w:rPr>
          <w:sz w:val="20"/>
        </w:rPr>
        <w:t xml:space="preserve"> </w:t>
      </w:r>
      <w:r w:rsidR="004C60FA">
        <w:rPr>
          <w:i/>
          <w:sz w:val="20"/>
        </w:rPr>
        <w:t>Id.</w:t>
      </w:r>
      <w:r w:rsidR="004C60FA">
        <w:rPr>
          <w:sz w:val="20"/>
        </w:rPr>
        <w:t xml:space="preserve"> at</w:t>
      </w:r>
      <w:r w:rsidRPr="00AF1BFD">
        <w:rPr>
          <w:sz w:val="20"/>
        </w:rPr>
        <w:t xml:space="preserve"> 17:1-2.</w:t>
      </w:r>
    </w:p>
  </w:footnote>
  <w:footnote w:id="16">
    <w:p w:rsidR="00B86DAF" w:rsidRPr="00AF1BFD" w:rsidRDefault="00B86DAF">
      <w:pPr>
        <w:pStyle w:val="FootnoteText"/>
        <w:rPr>
          <w:sz w:val="20"/>
        </w:rPr>
      </w:pPr>
      <w:r w:rsidRPr="00AF1BFD">
        <w:rPr>
          <w:rStyle w:val="FootnoteReference"/>
          <w:sz w:val="20"/>
        </w:rPr>
        <w:footnoteRef/>
      </w:r>
      <w:r w:rsidRPr="00AF1BFD">
        <w:rPr>
          <w:sz w:val="20"/>
        </w:rPr>
        <w:t xml:space="preserve"> </w:t>
      </w:r>
      <w:r w:rsidRPr="00884F60">
        <w:rPr>
          <w:i/>
          <w:sz w:val="20"/>
        </w:rPr>
        <w:t>Id.</w:t>
      </w:r>
      <w:r>
        <w:rPr>
          <w:sz w:val="20"/>
        </w:rPr>
        <w:t xml:space="preserve"> at</w:t>
      </w:r>
      <w:r w:rsidRPr="00AF1BFD">
        <w:rPr>
          <w:sz w:val="20"/>
        </w:rPr>
        <w:t xml:space="preserve"> 5:19-6:1.</w:t>
      </w:r>
    </w:p>
  </w:footnote>
  <w:footnote w:id="17">
    <w:p w:rsidR="00B86DAF" w:rsidRPr="007D04F7" w:rsidRDefault="00B86DAF">
      <w:pPr>
        <w:pStyle w:val="FootnoteText"/>
        <w:rPr>
          <w:sz w:val="20"/>
        </w:rPr>
      </w:pPr>
      <w:r w:rsidRPr="007D04F7">
        <w:rPr>
          <w:rStyle w:val="FootnoteReference"/>
          <w:sz w:val="20"/>
        </w:rPr>
        <w:footnoteRef/>
      </w:r>
      <w:r w:rsidRPr="00884F60">
        <w:rPr>
          <w:i/>
          <w:sz w:val="20"/>
        </w:rPr>
        <w:t>I</w:t>
      </w:r>
      <w:r>
        <w:rPr>
          <w:i/>
          <w:sz w:val="20"/>
        </w:rPr>
        <w:t>d.</w:t>
      </w:r>
      <w:r>
        <w:rPr>
          <w:sz w:val="20"/>
        </w:rPr>
        <w:t xml:space="preserve"> at</w:t>
      </w:r>
      <w:r w:rsidRPr="007D04F7">
        <w:rPr>
          <w:sz w:val="20"/>
        </w:rPr>
        <w:t xml:space="preserve"> 10:16-18.</w:t>
      </w:r>
    </w:p>
  </w:footnote>
  <w:footnote w:id="18">
    <w:p w:rsidR="00B86DAF" w:rsidRPr="007D04F7" w:rsidRDefault="00B86DAF" w:rsidP="00740ABB">
      <w:pPr>
        <w:pStyle w:val="FootnoteText"/>
        <w:rPr>
          <w:sz w:val="20"/>
        </w:rPr>
      </w:pPr>
      <w:r w:rsidRPr="007D04F7">
        <w:rPr>
          <w:rStyle w:val="FootnoteReference"/>
          <w:sz w:val="20"/>
        </w:rPr>
        <w:footnoteRef/>
      </w:r>
      <w:r w:rsidRPr="007D04F7">
        <w:rPr>
          <w:sz w:val="20"/>
        </w:rPr>
        <w:t xml:space="preserve"> </w:t>
      </w:r>
      <w:r w:rsidR="004C60FA">
        <w:rPr>
          <w:i/>
          <w:sz w:val="20"/>
        </w:rPr>
        <w:t>Id.</w:t>
      </w:r>
      <w:r w:rsidR="004C60FA">
        <w:rPr>
          <w:sz w:val="20"/>
        </w:rPr>
        <w:t xml:space="preserve"> </w:t>
      </w:r>
      <w:r w:rsidR="004C60FA">
        <w:rPr>
          <w:sz w:val="20"/>
        </w:rPr>
        <w:t xml:space="preserve">At </w:t>
      </w:r>
      <w:bookmarkStart w:id="0" w:name="_GoBack"/>
      <w:bookmarkEnd w:id="0"/>
      <w:r w:rsidRPr="007D04F7">
        <w:rPr>
          <w:sz w:val="20"/>
        </w:rPr>
        <w:t xml:space="preserve">8:13-19. </w:t>
      </w:r>
    </w:p>
  </w:footnote>
  <w:footnote w:id="19">
    <w:p w:rsidR="00B86DAF" w:rsidRPr="007D04F7" w:rsidRDefault="00B86DAF" w:rsidP="00306959">
      <w:pPr>
        <w:pStyle w:val="FootnoteText"/>
        <w:rPr>
          <w:sz w:val="20"/>
        </w:rPr>
      </w:pPr>
      <w:r w:rsidRPr="007D04F7">
        <w:rPr>
          <w:rStyle w:val="FootnoteReference"/>
          <w:sz w:val="20"/>
        </w:rPr>
        <w:footnoteRef/>
      </w:r>
      <w:r w:rsidRPr="007D04F7">
        <w:rPr>
          <w:sz w:val="20"/>
        </w:rPr>
        <w:t xml:space="preserve"> Denney, Exh. No. __ (DD-1T) 39:8-13.</w:t>
      </w:r>
    </w:p>
  </w:footnote>
  <w:footnote w:id="20">
    <w:p w:rsidR="00B86DAF" w:rsidRPr="007D04F7" w:rsidRDefault="00B86DAF" w:rsidP="00306959">
      <w:pPr>
        <w:pStyle w:val="FootnoteText"/>
        <w:rPr>
          <w:sz w:val="20"/>
        </w:rPr>
      </w:pPr>
      <w:r w:rsidRPr="007D04F7">
        <w:rPr>
          <w:rStyle w:val="FootnoteReference"/>
          <w:sz w:val="20"/>
        </w:rPr>
        <w:footnoteRef/>
      </w:r>
      <w:r w:rsidRPr="007D04F7">
        <w:rPr>
          <w:sz w:val="20"/>
        </w:rPr>
        <w:t xml:space="preserve"> </w:t>
      </w:r>
      <w:r w:rsidRPr="007D04F7">
        <w:rPr>
          <w:i/>
          <w:sz w:val="20"/>
        </w:rPr>
        <w:t>Id.</w:t>
      </w:r>
      <w:r w:rsidRPr="007D04F7">
        <w:rPr>
          <w:sz w:val="20"/>
        </w:rPr>
        <w:t xml:space="preserve"> at 115:3-7.</w:t>
      </w:r>
    </w:p>
  </w:footnote>
  <w:footnote w:id="21">
    <w:p w:rsidR="00B86DAF" w:rsidRPr="007D04F7" w:rsidRDefault="00B86DAF" w:rsidP="00306959">
      <w:pPr>
        <w:pStyle w:val="FootnoteText"/>
        <w:rPr>
          <w:sz w:val="20"/>
        </w:rPr>
      </w:pPr>
      <w:r w:rsidRPr="007D04F7">
        <w:rPr>
          <w:rStyle w:val="FootnoteReference"/>
          <w:sz w:val="20"/>
        </w:rPr>
        <w:footnoteRef/>
      </w:r>
      <w:r w:rsidRPr="007D04F7">
        <w:rPr>
          <w:sz w:val="20"/>
        </w:rPr>
        <w:t xml:space="preserve"> </w:t>
      </w:r>
      <w:r w:rsidRPr="007D04F7">
        <w:rPr>
          <w:i/>
          <w:sz w:val="20"/>
        </w:rPr>
        <w:t>Id.</w:t>
      </w:r>
      <w:r w:rsidRPr="007D04F7">
        <w:rPr>
          <w:sz w:val="20"/>
        </w:rPr>
        <w:t xml:space="preserve"> at 115:10-12.</w:t>
      </w:r>
    </w:p>
  </w:footnote>
  <w:footnote w:id="22">
    <w:p w:rsidR="00B86DAF" w:rsidRPr="007D04F7" w:rsidRDefault="00B86DAF">
      <w:pPr>
        <w:pStyle w:val="FootnoteText"/>
        <w:rPr>
          <w:sz w:val="20"/>
        </w:rPr>
      </w:pPr>
      <w:r w:rsidRPr="00AF1BFD">
        <w:rPr>
          <w:rStyle w:val="FootnoteReference"/>
          <w:sz w:val="20"/>
        </w:rPr>
        <w:footnoteRef/>
      </w:r>
      <w:r w:rsidRPr="00AF1BFD">
        <w:rPr>
          <w:sz w:val="20"/>
        </w:rPr>
        <w:t xml:space="preserve"> </w:t>
      </w:r>
      <w:proofErr w:type="spellStart"/>
      <w:r w:rsidRPr="007D04F7">
        <w:rPr>
          <w:sz w:val="20"/>
        </w:rPr>
        <w:t>Albersheim</w:t>
      </w:r>
      <w:proofErr w:type="spellEnd"/>
      <w:r w:rsidRPr="007D04F7">
        <w:rPr>
          <w:sz w:val="20"/>
        </w:rPr>
        <w:t xml:space="preserve">, Exh. No. </w:t>
      </w:r>
      <w:proofErr w:type="gramStart"/>
      <w:r w:rsidRPr="007D04F7">
        <w:rPr>
          <w:sz w:val="20"/>
        </w:rPr>
        <w:t>___ (RA-8C).</w:t>
      </w:r>
      <w:proofErr w:type="gramEnd"/>
    </w:p>
  </w:footnote>
  <w:footnote w:id="23">
    <w:p w:rsidR="00B86DAF" w:rsidRPr="007D04F7" w:rsidRDefault="00B86DAF">
      <w:pPr>
        <w:pStyle w:val="FootnoteText"/>
        <w:rPr>
          <w:sz w:val="20"/>
        </w:rPr>
      </w:pPr>
      <w:r w:rsidRPr="007D04F7">
        <w:rPr>
          <w:rStyle w:val="FootnoteReference"/>
          <w:sz w:val="20"/>
        </w:rPr>
        <w:footnoteRef/>
      </w:r>
      <w:r w:rsidRPr="007D04F7">
        <w:rPr>
          <w:sz w:val="20"/>
        </w:rPr>
        <w:t xml:space="preserve"> </w:t>
      </w:r>
      <w:proofErr w:type="spellStart"/>
      <w:r w:rsidRPr="007D04F7">
        <w:rPr>
          <w:sz w:val="20"/>
        </w:rPr>
        <w:t>Albersheim</w:t>
      </w:r>
      <w:proofErr w:type="spellEnd"/>
      <w:r w:rsidRPr="007D04F7">
        <w:rPr>
          <w:sz w:val="20"/>
        </w:rPr>
        <w:t>, Exh. No. ___ (RA-</w:t>
      </w:r>
      <w:proofErr w:type="spellStart"/>
      <w:r w:rsidRPr="007D04F7">
        <w:rPr>
          <w:sz w:val="20"/>
        </w:rPr>
        <w:t>1T</w:t>
      </w:r>
      <w:proofErr w:type="spellEnd"/>
      <w:r w:rsidRPr="007D04F7">
        <w:rPr>
          <w:sz w:val="20"/>
        </w:rPr>
        <w:t xml:space="preserve">) 6:5-6; Exh. No. </w:t>
      </w:r>
      <w:proofErr w:type="gramStart"/>
      <w:r w:rsidRPr="007D04F7">
        <w:rPr>
          <w:sz w:val="20"/>
        </w:rPr>
        <w:t>___ (RA-5C).</w:t>
      </w:r>
      <w:proofErr w:type="gramEnd"/>
    </w:p>
  </w:footnote>
  <w:footnote w:id="24">
    <w:p w:rsidR="00B86DAF" w:rsidRPr="007D04F7" w:rsidRDefault="00B86DAF">
      <w:pPr>
        <w:pStyle w:val="FootnoteText"/>
        <w:rPr>
          <w:sz w:val="20"/>
        </w:rPr>
      </w:pPr>
      <w:r w:rsidRPr="007D04F7">
        <w:rPr>
          <w:rStyle w:val="FootnoteReference"/>
          <w:sz w:val="20"/>
        </w:rPr>
        <w:footnoteRef/>
      </w:r>
      <w:r w:rsidRPr="007D04F7">
        <w:rPr>
          <w:sz w:val="20"/>
        </w:rPr>
        <w:t xml:space="preserve"> </w:t>
      </w:r>
      <w:proofErr w:type="spellStart"/>
      <w:r w:rsidRPr="007D04F7">
        <w:rPr>
          <w:sz w:val="20"/>
        </w:rPr>
        <w:t>Albersheim</w:t>
      </w:r>
      <w:proofErr w:type="spellEnd"/>
      <w:r w:rsidRPr="007D04F7">
        <w:rPr>
          <w:sz w:val="20"/>
        </w:rPr>
        <w:t>, Exh. No. _</w:t>
      </w:r>
      <w:r>
        <w:rPr>
          <w:sz w:val="20"/>
        </w:rPr>
        <w:t>_</w:t>
      </w:r>
      <w:r w:rsidRPr="007D04F7">
        <w:rPr>
          <w:sz w:val="20"/>
        </w:rPr>
        <w:t>_ (RA-1T) 24:11-14.</w:t>
      </w:r>
    </w:p>
  </w:footnote>
  <w:footnote w:id="25">
    <w:p w:rsidR="00B86DAF" w:rsidRPr="006B42EB" w:rsidRDefault="00B86DAF">
      <w:pPr>
        <w:pStyle w:val="FootnoteText"/>
        <w:rPr>
          <w:sz w:val="20"/>
        </w:rPr>
      </w:pPr>
      <w:r>
        <w:rPr>
          <w:rStyle w:val="FootnoteReference"/>
        </w:rPr>
        <w:footnoteRef/>
      </w:r>
      <w:r>
        <w:t xml:space="preserve"> </w:t>
      </w:r>
      <w:r w:rsidRPr="006B42EB">
        <w:rPr>
          <w:sz w:val="20"/>
        </w:rPr>
        <w:t xml:space="preserve">At least one </w:t>
      </w:r>
      <w:proofErr w:type="spellStart"/>
      <w:r w:rsidRPr="006B42EB">
        <w:rPr>
          <w:sz w:val="20"/>
        </w:rPr>
        <w:t>CLEC</w:t>
      </w:r>
      <w:proofErr w:type="spellEnd"/>
      <w:r w:rsidRPr="006B42EB">
        <w:rPr>
          <w:sz w:val="20"/>
        </w:rPr>
        <w:t xml:space="preserve"> already </w:t>
      </w:r>
      <w:r>
        <w:rPr>
          <w:sz w:val="20"/>
        </w:rPr>
        <w:t xml:space="preserve">uses </w:t>
      </w:r>
      <w:proofErr w:type="spellStart"/>
      <w:r>
        <w:rPr>
          <w:sz w:val="20"/>
        </w:rPr>
        <w:t>Synchronos</w:t>
      </w:r>
      <w:r w:rsidRPr="006B42EB">
        <w:rPr>
          <w:sz w:val="20"/>
        </w:rPr>
        <w:t>s</w:t>
      </w:r>
      <w:proofErr w:type="spellEnd"/>
      <w:r w:rsidRPr="006B42EB">
        <w:rPr>
          <w:sz w:val="20"/>
        </w:rPr>
        <w:t xml:space="preserve"> as a</w:t>
      </w:r>
      <w:r>
        <w:rPr>
          <w:sz w:val="20"/>
        </w:rPr>
        <w:t>n</w:t>
      </w:r>
      <w:r w:rsidRPr="006B42EB">
        <w:rPr>
          <w:sz w:val="20"/>
        </w:rPr>
        <w:t xml:space="preserve"> XML g</w:t>
      </w:r>
      <w:r>
        <w:rPr>
          <w:sz w:val="20"/>
        </w:rPr>
        <w:t xml:space="preserve">ateway to access MEDIACC.  </w:t>
      </w:r>
      <w:r w:rsidRPr="006B42EB">
        <w:rPr>
          <w:i/>
          <w:sz w:val="20"/>
        </w:rPr>
        <w:t>See</w:t>
      </w:r>
      <w:r>
        <w:rPr>
          <w:sz w:val="20"/>
        </w:rPr>
        <w:t xml:space="preserve"> </w:t>
      </w:r>
      <w:proofErr w:type="spellStart"/>
      <w:r w:rsidRPr="006B42EB">
        <w:rPr>
          <w:sz w:val="20"/>
        </w:rPr>
        <w:t>Albersheim</w:t>
      </w:r>
      <w:proofErr w:type="spellEnd"/>
      <w:r>
        <w:rPr>
          <w:sz w:val="20"/>
        </w:rPr>
        <w:t>, Exh. No. __</w:t>
      </w:r>
      <w:r w:rsidRPr="006B42EB">
        <w:rPr>
          <w:sz w:val="20"/>
        </w:rPr>
        <w:t xml:space="preserve"> (RA-13) </w:t>
      </w:r>
      <w:r>
        <w:rPr>
          <w:sz w:val="20"/>
        </w:rPr>
        <w:t xml:space="preserve">at p. </w:t>
      </w:r>
      <w:r w:rsidRPr="006B42EB">
        <w:rPr>
          <w:sz w:val="20"/>
        </w:rPr>
        <w:t>4</w:t>
      </w:r>
      <w:r>
        <w:rPr>
          <w:sz w:val="20"/>
        </w:rPr>
        <w:t>.</w:t>
      </w:r>
    </w:p>
  </w:footnote>
  <w:footnote w:id="26">
    <w:p w:rsidR="00B86DAF" w:rsidRPr="007D04F7" w:rsidRDefault="00B86DAF">
      <w:pPr>
        <w:pStyle w:val="FootnoteText"/>
        <w:rPr>
          <w:sz w:val="20"/>
        </w:rPr>
      </w:pPr>
      <w:r w:rsidRPr="007D04F7">
        <w:rPr>
          <w:rStyle w:val="FootnoteReference"/>
          <w:sz w:val="20"/>
        </w:rPr>
        <w:footnoteRef/>
      </w:r>
      <w:r w:rsidRPr="007D04F7">
        <w:rPr>
          <w:sz w:val="20"/>
        </w:rPr>
        <w:t xml:space="preserve"> </w:t>
      </w:r>
      <w:proofErr w:type="spellStart"/>
      <w:r w:rsidRPr="007D04F7">
        <w:rPr>
          <w:sz w:val="20"/>
        </w:rPr>
        <w:t>Albersheim</w:t>
      </w:r>
      <w:proofErr w:type="spellEnd"/>
      <w:r w:rsidRPr="007D04F7">
        <w:rPr>
          <w:sz w:val="20"/>
        </w:rPr>
        <w:t>, Exh. No. _</w:t>
      </w:r>
      <w:r>
        <w:rPr>
          <w:sz w:val="20"/>
        </w:rPr>
        <w:t>_</w:t>
      </w:r>
      <w:r w:rsidRPr="007D04F7">
        <w:rPr>
          <w:sz w:val="20"/>
        </w:rPr>
        <w:t>_ (RA-1T) 24:15-19.</w:t>
      </w:r>
    </w:p>
  </w:footnote>
  <w:footnote w:id="27">
    <w:p w:rsidR="00B86DAF" w:rsidRPr="00AF1BFD" w:rsidRDefault="00B86DAF">
      <w:pPr>
        <w:pStyle w:val="FootnoteText"/>
        <w:rPr>
          <w:sz w:val="20"/>
        </w:rPr>
      </w:pPr>
      <w:r>
        <w:rPr>
          <w:rStyle w:val="FootnoteReference"/>
        </w:rPr>
        <w:footnoteRef/>
      </w:r>
      <w:r>
        <w:t xml:space="preserve"> </w:t>
      </w:r>
      <w:proofErr w:type="spellStart"/>
      <w:r w:rsidRPr="00AF1BFD">
        <w:rPr>
          <w:sz w:val="20"/>
        </w:rPr>
        <w:t>Albersheim</w:t>
      </w:r>
      <w:proofErr w:type="spellEnd"/>
      <w:r w:rsidRPr="00AF1BFD">
        <w:rPr>
          <w:sz w:val="20"/>
        </w:rPr>
        <w:t xml:space="preserve">, Exh. No. </w:t>
      </w:r>
      <w:proofErr w:type="gramStart"/>
      <w:r w:rsidRPr="00AF1BFD">
        <w:rPr>
          <w:sz w:val="20"/>
        </w:rPr>
        <w:t>_</w:t>
      </w:r>
      <w:r>
        <w:rPr>
          <w:sz w:val="20"/>
        </w:rPr>
        <w:t>_</w:t>
      </w:r>
      <w:r w:rsidRPr="00AF1BFD">
        <w:rPr>
          <w:sz w:val="20"/>
        </w:rPr>
        <w:t>_ (RA-15C).</w:t>
      </w:r>
      <w:proofErr w:type="gramEnd"/>
    </w:p>
  </w:footnote>
  <w:footnote w:id="28">
    <w:p w:rsidR="00B86DAF" w:rsidRPr="00AB62D1" w:rsidRDefault="00B86DAF">
      <w:pPr>
        <w:pStyle w:val="FootnoteText"/>
        <w:rPr>
          <w:sz w:val="20"/>
        </w:rPr>
      </w:pPr>
      <w:r>
        <w:rPr>
          <w:rStyle w:val="FootnoteReference"/>
        </w:rPr>
        <w:footnoteRef/>
      </w:r>
      <w:r>
        <w:t xml:space="preserve"> </w:t>
      </w:r>
      <w:r w:rsidRPr="009C25E2">
        <w:rPr>
          <w:sz w:val="20"/>
        </w:rPr>
        <w:t xml:space="preserve">Direct Testimony of Robert T. </w:t>
      </w:r>
      <w:r w:rsidRPr="00AB62D1">
        <w:rPr>
          <w:sz w:val="20"/>
        </w:rPr>
        <w:t>Williamson, Exh. No. ___ (RTW-3C) at p. 28.</w:t>
      </w:r>
    </w:p>
  </w:footnote>
  <w:footnote w:id="29">
    <w:p w:rsidR="00B86DAF" w:rsidRPr="00AB62D1" w:rsidRDefault="00B86DAF">
      <w:pPr>
        <w:pStyle w:val="FootnoteText"/>
        <w:rPr>
          <w:sz w:val="20"/>
        </w:rPr>
      </w:pPr>
      <w:r w:rsidRPr="00AB62D1">
        <w:rPr>
          <w:rStyle w:val="FootnoteReference"/>
          <w:sz w:val="20"/>
        </w:rPr>
        <w:footnoteRef/>
      </w:r>
      <w:r w:rsidRPr="00AB62D1">
        <w:rPr>
          <w:sz w:val="20"/>
        </w:rPr>
        <w:t xml:space="preserve"> Denney, Exh. No. ___ (DD-1T) 115:10-12.</w:t>
      </w:r>
    </w:p>
  </w:footnote>
  <w:footnote w:id="30">
    <w:p w:rsidR="00B86DAF" w:rsidRPr="003F1A1E" w:rsidRDefault="00B86DAF">
      <w:pPr>
        <w:pStyle w:val="FootnoteText"/>
        <w:rPr>
          <w:sz w:val="20"/>
        </w:rPr>
      </w:pPr>
      <w:r w:rsidRPr="003F1A1E">
        <w:rPr>
          <w:rStyle w:val="FootnoteReference"/>
          <w:sz w:val="20"/>
        </w:rPr>
        <w:footnoteRef/>
      </w:r>
      <w:r w:rsidRPr="003F1A1E">
        <w:rPr>
          <w:sz w:val="20"/>
        </w:rPr>
        <w:t xml:space="preserve"> </w:t>
      </w:r>
      <w:proofErr w:type="gramStart"/>
      <w:r w:rsidRPr="003F1A1E">
        <w:rPr>
          <w:sz w:val="20"/>
        </w:rPr>
        <w:t>Merger proceeding, Docket UT-100820, Vasconi TR. 271:5-21.</w:t>
      </w:r>
      <w:proofErr w:type="gramEnd"/>
    </w:p>
  </w:footnote>
  <w:footnote w:id="31">
    <w:p w:rsidR="00B86DAF" w:rsidRPr="003F1A1E" w:rsidRDefault="00B86DAF">
      <w:pPr>
        <w:pStyle w:val="FootnoteText"/>
        <w:rPr>
          <w:sz w:val="20"/>
        </w:rPr>
      </w:pPr>
      <w:r w:rsidRPr="003F1A1E">
        <w:rPr>
          <w:rStyle w:val="FootnoteReference"/>
          <w:sz w:val="20"/>
        </w:rPr>
        <w:footnoteRef/>
      </w:r>
      <w:r w:rsidRPr="003F1A1E">
        <w:rPr>
          <w:sz w:val="20"/>
        </w:rPr>
        <w:t xml:space="preserve"> </w:t>
      </w:r>
      <w:r w:rsidRPr="003F1A1E">
        <w:rPr>
          <w:i/>
          <w:sz w:val="20"/>
        </w:rPr>
        <w:t>See</w:t>
      </w:r>
      <w:r w:rsidRPr="003F1A1E">
        <w:rPr>
          <w:sz w:val="20"/>
        </w:rPr>
        <w:t xml:space="preserve"> Exhibit K, Performance Assurance Plan, Qwest Washington SGAT Eighth Revision, </w:t>
      </w:r>
      <w:r>
        <w:rPr>
          <w:sz w:val="20"/>
        </w:rPr>
        <w:t>Twelfth</w:t>
      </w:r>
      <w:r w:rsidRPr="003F1A1E">
        <w:rPr>
          <w:sz w:val="20"/>
        </w:rPr>
        <w:t xml:space="preserve"> Amended</w:t>
      </w:r>
      <w:r>
        <w:rPr>
          <w:sz w:val="20"/>
        </w:rPr>
        <w:t xml:space="preserve"> Exhibit K</w:t>
      </w:r>
      <w:r w:rsidRPr="003F1A1E">
        <w:rPr>
          <w:sz w:val="20"/>
        </w:rPr>
        <w:t xml:space="preserve">, </w:t>
      </w:r>
      <w:r>
        <w:rPr>
          <w:sz w:val="20"/>
        </w:rPr>
        <w:t>January 5, 2009, on file with the Commission and available in Docket UT-073034 (filed February 6, 2009)</w:t>
      </w:r>
      <w:r w:rsidRPr="003F1A1E">
        <w:rPr>
          <w:sz w:val="20"/>
        </w:rPr>
        <w:t>.</w:t>
      </w:r>
    </w:p>
  </w:footnote>
  <w:footnote w:id="32">
    <w:p w:rsidR="00B86DAF" w:rsidRPr="003C567E" w:rsidRDefault="00B86DAF">
      <w:pPr>
        <w:pStyle w:val="FootnoteText"/>
        <w:rPr>
          <w:sz w:val="20"/>
        </w:rPr>
      </w:pPr>
      <w:r>
        <w:rPr>
          <w:rStyle w:val="FootnoteReference"/>
        </w:rPr>
        <w:footnoteRef/>
      </w:r>
      <w:r>
        <w:t xml:space="preserve"> </w:t>
      </w:r>
      <w:r>
        <w:rPr>
          <w:sz w:val="20"/>
        </w:rPr>
        <w:t>Condition 3 of t</w:t>
      </w:r>
      <w:r w:rsidRPr="003C567E">
        <w:rPr>
          <w:sz w:val="20"/>
        </w:rPr>
        <w:t xml:space="preserve">he Staff/PC Agreement </w:t>
      </w:r>
      <w:r>
        <w:rPr>
          <w:sz w:val="20"/>
        </w:rPr>
        <w:t>contemplates</w:t>
      </w:r>
      <w:r w:rsidRPr="003C567E">
        <w:rPr>
          <w:sz w:val="20"/>
        </w:rPr>
        <w:t xml:space="preserve"> extension of the Qwest </w:t>
      </w:r>
      <w:r>
        <w:rPr>
          <w:sz w:val="20"/>
        </w:rPr>
        <w:t xml:space="preserve">AFOR term until at least April 2014. </w:t>
      </w:r>
    </w:p>
  </w:footnote>
  <w:footnote w:id="33">
    <w:p w:rsidR="00B86DAF" w:rsidRPr="003F1A1E" w:rsidRDefault="00B86DAF">
      <w:pPr>
        <w:pStyle w:val="FootnoteText"/>
        <w:rPr>
          <w:sz w:val="20"/>
        </w:rPr>
      </w:pPr>
      <w:r w:rsidRPr="003F1A1E">
        <w:rPr>
          <w:rStyle w:val="FootnoteReference"/>
          <w:sz w:val="20"/>
        </w:rPr>
        <w:footnoteRef/>
      </w:r>
      <w:r w:rsidRPr="003F1A1E">
        <w:rPr>
          <w:sz w:val="20"/>
        </w:rPr>
        <w:t xml:space="preserve"> </w:t>
      </w:r>
      <w:proofErr w:type="spellStart"/>
      <w:r w:rsidRPr="003F1A1E">
        <w:rPr>
          <w:sz w:val="20"/>
        </w:rPr>
        <w:t>Albersheim</w:t>
      </w:r>
      <w:proofErr w:type="spellEnd"/>
      <w:r w:rsidRPr="003F1A1E">
        <w:rPr>
          <w:sz w:val="20"/>
        </w:rPr>
        <w:t>, Exh. No</w:t>
      </w:r>
      <w:r>
        <w:rPr>
          <w:sz w:val="20"/>
        </w:rPr>
        <w:t>. ___</w:t>
      </w:r>
      <w:r w:rsidRPr="003F1A1E">
        <w:rPr>
          <w:sz w:val="20"/>
        </w:rPr>
        <w:t xml:space="preserve"> (RA-9C) at p. 3.</w:t>
      </w:r>
    </w:p>
  </w:footnote>
  <w:footnote w:id="34">
    <w:p w:rsidR="00B86DAF" w:rsidRPr="003F1A1E" w:rsidRDefault="00B86DAF">
      <w:pPr>
        <w:pStyle w:val="FootnoteText"/>
        <w:rPr>
          <w:sz w:val="20"/>
        </w:rPr>
      </w:pPr>
      <w:r w:rsidRPr="003F1A1E">
        <w:rPr>
          <w:rStyle w:val="FootnoteReference"/>
          <w:sz w:val="20"/>
        </w:rPr>
        <w:footnoteRef/>
      </w:r>
      <w:r w:rsidRPr="003F1A1E">
        <w:rPr>
          <w:sz w:val="20"/>
        </w:rPr>
        <w:t xml:space="preserve"> </w:t>
      </w:r>
      <w:proofErr w:type="spellStart"/>
      <w:r w:rsidRPr="003F1A1E">
        <w:rPr>
          <w:sz w:val="20"/>
        </w:rPr>
        <w:t>Albersheim</w:t>
      </w:r>
      <w:proofErr w:type="spellEnd"/>
      <w:r w:rsidRPr="003F1A1E">
        <w:rPr>
          <w:sz w:val="20"/>
        </w:rPr>
        <w:t xml:space="preserve">, Exh. No. </w:t>
      </w:r>
      <w:proofErr w:type="gramStart"/>
      <w:r w:rsidRPr="003F1A1E">
        <w:rPr>
          <w:sz w:val="20"/>
        </w:rPr>
        <w:t>_</w:t>
      </w:r>
      <w:r>
        <w:rPr>
          <w:sz w:val="20"/>
        </w:rPr>
        <w:t>_</w:t>
      </w:r>
      <w:r w:rsidRPr="003F1A1E">
        <w:rPr>
          <w:sz w:val="20"/>
        </w:rPr>
        <w:t>_ (RA-12).</w:t>
      </w:r>
      <w:proofErr w:type="gramEnd"/>
    </w:p>
  </w:footnote>
  <w:footnote w:id="35">
    <w:p w:rsidR="00B86DAF" w:rsidRPr="003F1A1E" w:rsidRDefault="00B86DAF">
      <w:pPr>
        <w:pStyle w:val="FootnoteText"/>
        <w:rPr>
          <w:sz w:val="20"/>
        </w:rPr>
      </w:pPr>
      <w:r w:rsidRPr="003F1A1E">
        <w:rPr>
          <w:rStyle w:val="FootnoteReference"/>
          <w:sz w:val="20"/>
        </w:rPr>
        <w:footnoteRef/>
      </w:r>
      <w:r w:rsidRPr="003F1A1E">
        <w:rPr>
          <w:sz w:val="20"/>
        </w:rPr>
        <w:t xml:space="preserve"> </w:t>
      </w:r>
      <w:proofErr w:type="gramStart"/>
      <w:r w:rsidRPr="003F1A1E">
        <w:rPr>
          <w:sz w:val="20"/>
        </w:rPr>
        <w:t>Order 14, p. 68</w:t>
      </w:r>
      <w:r>
        <w:rPr>
          <w:sz w:val="20"/>
        </w:rPr>
        <w:t>,</w:t>
      </w:r>
      <w:r w:rsidRPr="003F1A1E">
        <w:rPr>
          <w:sz w:val="20"/>
        </w:rPr>
        <w:t xml:space="preserve"> at ¶ 121.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06B"/>
    <w:multiLevelType w:val="hybridMultilevel"/>
    <w:tmpl w:val="A98C07D8"/>
    <w:lvl w:ilvl="0" w:tplc="080E6510">
      <w:start w:val="1"/>
      <w:numFmt w:val="lowerRoman"/>
      <w:lvlText w:val="%1."/>
      <w:lvlJc w:val="left"/>
      <w:pPr>
        <w:ind w:left="1317" w:hanging="720"/>
      </w:pPr>
    </w:lvl>
    <w:lvl w:ilvl="1" w:tplc="04090019">
      <w:start w:val="1"/>
      <w:numFmt w:val="decimal"/>
      <w:lvlText w:val="%2."/>
      <w:lvlJc w:val="left"/>
      <w:pPr>
        <w:tabs>
          <w:tab w:val="num" w:pos="1797"/>
        </w:tabs>
        <w:ind w:left="1797" w:hanging="360"/>
      </w:pPr>
    </w:lvl>
    <w:lvl w:ilvl="2" w:tplc="0409001B">
      <w:start w:val="1"/>
      <w:numFmt w:val="decimal"/>
      <w:lvlText w:val="%3."/>
      <w:lvlJc w:val="left"/>
      <w:pPr>
        <w:tabs>
          <w:tab w:val="num" w:pos="2517"/>
        </w:tabs>
        <w:ind w:left="2517" w:hanging="360"/>
      </w:pPr>
    </w:lvl>
    <w:lvl w:ilvl="3" w:tplc="0409000F">
      <w:start w:val="1"/>
      <w:numFmt w:val="decimal"/>
      <w:lvlText w:val="%4."/>
      <w:lvlJc w:val="left"/>
      <w:pPr>
        <w:tabs>
          <w:tab w:val="num" w:pos="3237"/>
        </w:tabs>
        <w:ind w:left="3237" w:hanging="360"/>
      </w:pPr>
    </w:lvl>
    <w:lvl w:ilvl="4" w:tplc="04090019">
      <w:start w:val="1"/>
      <w:numFmt w:val="decimal"/>
      <w:lvlText w:val="%5."/>
      <w:lvlJc w:val="left"/>
      <w:pPr>
        <w:tabs>
          <w:tab w:val="num" w:pos="3957"/>
        </w:tabs>
        <w:ind w:left="3957" w:hanging="360"/>
      </w:pPr>
    </w:lvl>
    <w:lvl w:ilvl="5" w:tplc="0409001B">
      <w:start w:val="1"/>
      <w:numFmt w:val="decimal"/>
      <w:lvlText w:val="%6."/>
      <w:lvlJc w:val="left"/>
      <w:pPr>
        <w:tabs>
          <w:tab w:val="num" w:pos="4677"/>
        </w:tabs>
        <w:ind w:left="4677" w:hanging="360"/>
      </w:pPr>
    </w:lvl>
    <w:lvl w:ilvl="6" w:tplc="0409000F">
      <w:start w:val="1"/>
      <w:numFmt w:val="decimal"/>
      <w:lvlText w:val="%7."/>
      <w:lvlJc w:val="left"/>
      <w:pPr>
        <w:tabs>
          <w:tab w:val="num" w:pos="5397"/>
        </w:tabs>
        <w:ind w:left="5397" w:hanging="360"/>
      </w:pPr>
    </w:lvl>
    <w:lvl w:ilvl="7" w:tplc="04090019">
      <w:start w:val="1"/>
      <w:numFmt w:val="decimal"/>
      <w:lvlText w:val="%8."/>
      <w:lvlJc w:val="left"/>
      <w:pPr>
        <w:tabs>
          <w:tab w:val="num" w:pos="6117"/>
        </w:tabs>
        <w:ind w:left="6117" w:hanging="360"/>
      </w:pPr>
    </w:lvl>
    <w:lvl w:ilvl="8" w:tplc="0409001B">
      <w:start w:val="1"/>
      <w:numFmt w:val="decimal"/>
      <w:lvlText w:val="%9."/>
      <w:lvlJc w:val="left"/>
      <w:pPr>
        <w:tabs>
          <w:tab w:val="num" w:pos="6837"/>
        </w:tabs>
        <w:ind w:left="6837" w:hanging="360"/>
      </w:pPr>
    </w:lvl>
  </w:abstractNum>
  <w:abstractNum w:abstractNumId="1">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
    <w:nsid w:val="058C72CA"/>
    <w:multiLevelType w:val="hybridMultilevel"/>
    <w:tmpl w:val="E00A9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5">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7">
    <w:nsid w:val="0D453327"/>
    <w:multiLevelType w:val="hybridMultilevel"/>
    <w:tmpl w:val="03FAF6EE"/>
    <w:lvl w:ilvl="0" w:tplc="FD24F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12">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3">
    <w:nsid w:val="16CF4662"/>
    <w:multiLevelType w:val="hybridMultilevel"/>
    <w:tmpl w:val="D85258E2"/>
    <w:lvl w:ilvl="0" w:tplc="388A5012">
      <w:start w:val="4"/>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D35D73"/>
    <w:multiLevelType w:val="hybridMultilevel"/>
    <w:tmpl w:val="7D4C7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6">
    <w:nsid w:val="218C1E3B"/>
    <w:multiLevelType w:val="hybridMultilevel"/>
    <w:tmpl w:val="E88E5000"/>
    <w:lvl w:ilvl="0" w:tplc="04090019">
      <w:start w:val="1"/>
      <w:numFmt w:val="lowerLetter"/>
      <w:lvlText w:val="%1."/>
      <w:lvlJc w:val="left"/>
      <w:pPr>
        <w:ind w:left="1080" w:hanging="360"/>
      </w:pPr>
      <w:rPr>
        <w:rFonts w:ascii="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2F311600"/>
    <w:multiLevelType w:val="hybridMultilevel"/>
    <w:tmpl w:val="0E0C27C6"/>
    <w:lvl w:ilvl="0" w:tplc="CFBCEDD8">
      <w:start w:val="1"/>
      <w:numFmt w:val="upperRoman"/>
      <w:lvlText w:val="%1."/>
      <w:lvlJc w:val="left"/>
      <w:pPr>
        <w:ind w:left="531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CC4260"/>
    <w:multiLevelType w:val="hybridMultilevel"/>
    <w:tmpl w:val="5404A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24">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7">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9">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E3014B"/>
    <w:multiLevelType w:val="hybridMultilevel"/>
    <w:tmpl w:val="A8182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2">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34">
    <w:nsid w:val="5484199E"/>
    <w:multiLevelType w:val="hybridMultilevel"/>
    <w:tmpl w:val="AEE65FBA"/>
    <w:lvl w:ilvl="0" w:tplc="8C52D2A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6">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7">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3408C6"/>
    <w:multiLevelType w:val="hybridMultilevel"/>
    <w:tmpl w:val="C924FFAE"/>
    <w:lvl w:ilvl="0" w:tplc="9F7842FA">
      <w:start w:val="1"/>
      <w:numFmt w:val="upperRoman"/>
      <w:lvlText w:val="%1."/>
      <w:lvlJc w:val="left"/>
      <w:pPr>
        <w:ind w:left="1080" w:hanging="72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40">
    <w:nsid w:val="6B4F02F1"/>
    <w:multiLevelType w:val="hybridMultilevel"/>
    <w:tmpl w:val="FAF4180A"/>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nsid w:val="6C5B39F0"/>
    <w:multiLevelType w:val="hybridMultilevel"/>
    <w:tmpl w:val="FAF4180A"/>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6C956DBF"/>
    <w:multiLevelType w:val="hybridMultilevel"/>
    <w:tmpl w:val="5B6CCC54"/>
    <w:lvl w:ilvl="0" w:tplc="350207A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6">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46"/>
  </w:num>
  <w:num w:numId="2">
    <w:abstractNumId w:val="33"/>
  </w:num>
  <w:num w:numId="3">
    <w:abstractNumId w:val="26"/>
  </w:num>
  <w:num w:numId="4">
    <w:abstractNumId w:val="4"/>
  </w:num>
  <w:num w:numId="5">
    <w:abstractNumId w:val="28"/>
  </w:num>
  <w:num w:numId="6">
    <w:abstractNumId w:val="23"/>
  </w:num>
  <w:num w:numId="7">
    <w:abstractNumId w:val="2"/>
  </w:num>
  <w:num w:numId="8">
    <w:abstractNumId w:val="12"/>
  </w:num>
  <w:num w:numId="9">
    <w:abstractNumId w:val="31"/>
  </w:num>
  <w:num w:numId="10">
    <w:abstractNumId w:val="6"/>
  </w:num>
  <w:num w:numId="11">
    <w:abstractNumId w:val="32"/>
  </w:num>
  <w:num w:numId="12">
    <w:abstractNumId w:val="39"/>
  </w:num>
  <w:num w:numId="13">
    <w:abstractNumId w:val="35"/>
  </w:num>
  <w:num w:numId="14">
    <w:abstractNumId w:val="11"/>
  </w:num>
  <w:num w:numId="15">
    <w:abstractNumId w:val="29"/>
  </w:num>
  <w:num w:numId="16">
    <w:abstractNumId w:val="36"/>
  </w:num>
  <w:num w:numId="17">
    <w:abstractNumId w:val="45"/>
  </w:num>
  <w:num w:numId="18">
    <w:abstractNumId w:val="15"/>
  </w:num>
  <w:num w:numId="19">
    <w:abstractNumId w:val="27"/>
  </w:num>
  <w:num w:numId="20">
    <w:abstractNumId w:val="20"/>
  </w:num>
  <w:num w:numId="21">
    <w:abstractNumId w:val="10"/>
  </w:num>
  <w:num w:numId="22">
    <w:abstractNumId w:val="1"/>
  </w:num>
  <w:num w:numId="23">
    <w:abstractNumId w:val="44"/>
  </w:num>
  <w:num w:numId="24">
    <w:abstractNumId w:val="25"/>
  </w:num>
  <w:num w:numId="25">
    <w:abstractNumId w:val="21"/>
  </w:num>
  <w:num w:numId="26">
    <w:abstractNumId w:val="37"/>
  </w:num>
  <w:num w:numId="27">
    <w:abstractNumId w:val="9"/>
  </w:num>
  <w:num w:numId="28">
    <w:abstractNumId w:val="43"/>
  </w:num>
  <w:num w:numId="29">
    <w:abstractNumId w:val="5"/>
  </w:num>
  <w:num w:numId="30">
    <w:abstractNumId w:val="18"/>
  </w:num>
  <w:num w:numId="31">
    <w:abstractNumId w:val="17"/>
  </w:num>
  <w:num w:numId="32">
    <w:abstractNumId w:val="24"/>
  </w:num>
  <w:num w:numId="33">
    <w:abstractNumId w:val="8"/>
  </w:num>
  <w:num w:numId="34">
    <w:abstractNumId w:val="19"/>
  </w:num>
  <w:num w:numId="35">
    <w:abstractNumId w:val="30"/>
  </w:num>
  <w:num w:numId="36">
    <w:abstractNumId w:val="3"/>
  </w:num>
  <w:num w:numId="37">
    <w:abstractNumId w:val="14"/>
  </w:num>
  <w:num w:numId="38">
    <w:abstractNumId w:val="34"/>
  </w:num>
  <w:num w:numId="39">
    <w:abstractNumId w:val="38"/>
  </w:num>
  <w:num w:numId="40">
    <w:abstractNumId w:val="7"/>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2"/>
  </w:num>
  <w:num w:numId="45">
    <w:abstractNumId w:val="42"/>
  </w:num>
  <w:num w:numId="46">
    <w:abstractNumId w:val="41"/>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714745"/>
    <w:rsid w:val="00000B82"/>
    <w:rsid w:val="00000C41"/>
    <w:rsid w:val="000015BC"/>
    <w:rsid w:val="0000355E"/>
    <w:rsid w:val="00006524"/>
    <w:rsid w:val="0001074A"/>
    <w:rsid w:val="00010BCB"/>
    <w:rsid w:val="00011C15"/>
    <w:rsid w:val="00012C47"/>
    <w:rsid w:val="00013B25"/>
    <w:rsid w:val="0001602D"/>
    <w:rsid w:val="0002210A"/>
    <w:rsid w:val="0002294F"/>
    <w:rsid w:val="00023B8E"/>
    <w:rsid w:val="00024CDF"/>
    <w:rsid w:val="00026C21"/>
    <w:rsid w:val="00026C24"/>
    <w:rsid w:val="00027AEB"/>
    <w:rsid w:val="00030740"/>
    <w:rsid w:val="00031B8D"/>
    <w:rsid w:val="0003254B"/>
    <w:rsid w:val="00033210"/>
    <w:rsid w:val="000333EB"/>
    <w:rsid w:val="00034BAA"/>
    <w:rsid w:val="0004141B"/>
    <w:rsid w:val="000428E6"/>
    <w:rsid w:val="00047B93"/>
    <w:rsid w:val="00050D12"/>
    <w:rsid w:val="00052F7F"/>
    <w:rsid w:val="000530E9"/>
    <w:rsid w:val="00061CC7"/>
    <w:rsid w:val="00062B1E"/>
    <w:rsid w:val="0006604A"/>
    <w:rsid w:val="00067EFA"/>
    <w:rsid w:val="00070168"/>
    <w:rsid w:val="00071A61"/>
    <w:rsid w:val="000768CB"/>
    <w:rsid w:val="00081A18"/>
    <w:rsid w:val="00082DC5"/>
    <w:rsid w:val="0008334E"/>
    <w:rsid w:val="00094A6A"/>
    <w:rsid w:val="00095125"/>
    <w:rsid w:val="0009774D"/>
    <w:rsid w:val="000A0B6E"/>
    <w:rsid w:val="000A0E9D"/>
    <w:rsid w:val="000A2C28"/>
    <w:rsid w:val="000A2F23"/>
    <w:rsid w:val="000A4530"/>
    <w:rsid w:val="000A53CD"/>
    <w:rsid w:val="000B0137"/>
    <w:rsid w:val="000B0EB7"/>
    <w:rsid w:val="000B173E"/>
    <w:rsid w:val="000B189D"/>
    <w:rsid w:val="000B2EEF"/>
    <w:rsid w:val="000B399F"/>
    <w:rsid w:val="000B3DF2"/>
    <w:rsid w:val="000B459B"/>
    <w:rsid w:val="000B4B34"/>
    <w:rsid w:val="000B7B28"/>
    <w:rsid w:val="000C38C8"/>
    <w:rsid w:val="000C3908"/>
    <w:rsid w:val="000C4572"/>
    <w:rsid w:val="000C46F3"/>
    <w:rsid w:val="000C49E5"/>
    <w:rsid w:val="000C5406"/>
    <w:rsid w:val="000D100F"/>
    <w:rsid w:val="000D3530"/>
    <w:rsid w:val="000D3EDC"/>
    <w:rsid w:val="000D40C8"/>
    <w:rsid w:val="000D483A"/>
    <w:rsid w:val="000D541E"/>
    <w:rsid w:val="000D6090"/>
    <w:rsid w:val="000D6A5B"/>
    <w:rsid w:val="000E2ED7"/>
    <w:rsid w:val="000E7D80"/>
    <w:rsid w:val="000F0176"/>
    <w:rsid w:val="000F051E"/>
    <w:rsid w:val="000F0798"/>
    <w:rsid w:val="000F3D92"/>
    <w:rsid w:val="000F4388"/>
    <w:rsid w:val="000F646A"/>
    <w:rsid w:val="000F6853"/>
    <w:rsid w:val="000F69CA"/>
    <w:rsid w:val="000F6B52"/>
    <w:rsid w:val="000F774F"/>
    <w:rsid w:val="00100858"/>
    <w:rsid w:val="00101FFD"/>
    <w:rsid w:val="00103512"/>
    <w:rsid w:val="00105042"/>
    <w:rsid w:val="00105F38"/>
    <w:rsid w:val="00106C33"/>
    <w:rsid w:val="00106CDE"/>
    <w:rsid w:val="00113061"/>
    <w:rsid w:val="00113995"/>
    <w:rsid w:val="00113F62"/>
    <w:rsid w:val="00115ED0"/>
    <w:rsid w:val="001228B2"/>
    <w:rsid w:val="001266DA"/>
    <w:rsid w:val="00127513"/>
    <w:rsid w:val="0013092E"/>
    <w:rsid w:val="00136C92"/>
    <w:rsid w:val="0014184E"/>
    <w:rsid w:val="00145D27"/>
    <w:rsid w:val="001501A4"/>
    <w:rsid w:val="0015062B"/>
    <w:rsid w:val="00152FD2"/>
    <w:rsid w:val="00154470"/>
    <w:rsid w:val="00156C97"/>
    <w:rsid w:val="00157B8E"/>
    <w:rsid w:val="00157DFA"/>
    <w:rsid w:val="0016205A"/>
    <w:rsid w:val="00162F77"/>
    <w:rsid w:val="0016376E"/>
    <w:rsid w:val="00164867"/>
    <w:rsid w:val="0016753B"/>
    <w:rsid w:val="001677A6"/>
    <w:rsid w:val="00170900"/>
    <w:rsid w:val="00171F31"/>
    <w:rsid w:val="00171FCE"/>
    <w:rsid w:val="00174BB0"/>
    <w:rsid w:val="00175695"/>
    <w:rsid w:val="0017652B"/>
    <w:rsid w:val="00176691"/>
    <w:rsid w:val="001812CE"/>
    <w:rsid w:val="001849B0"/>
    <w:rsid w:val="00184D2F"/>
    <w:rsid w:val="001927B4"/>
    <w:rsid w:val="00193421"/>
    <w:rsid w:val="00194585"/>
    <w:rsid w:val="00194BA1"/>
    <w:rsid w:val="00194DDB"/>
    <w:rsid w:val="001954C3"/>
    <w:rsid w:val="00195FE8"/>
    <w:rsid w:val="00196570"/>
    <w:rsid w:val="0019668F"/>
    <w:rsid w:val="001973CA"/>
    <w:rsid w:val="001A222C"/>
    <w:rsid w:val="001A4EAE"/>
    <w:rsid w:val="001A6B1B"/>
    <w:rsid w:val="001A79EF"/>
    <w:rsid w:val="001B0C8A"/>
    <w:rsid w:val="001B2CF7"/>
    <w:rsid w:val="001B7841"/>
    <w:rsid w:val="001B7AB1"/>
    <w:rsid w:val="001C040C"/>
    <w:rsid w:val="001C06F1"/>
    <w:rsid w:val="001C1867"/>
    <w:rsid w:val="001C3AFE"/>
    <w:rsid w:val="001C74B6"/>
    <w:rsid w:val="001D00A1"/>
    <w:rsid w:val="001D00F9"/>
    <w:rsid w:val="001D18AD"/>
    <w:rsid w:val="001D53CF"/>
    <w:rsid w:val="001D552A"/>
    <w:rsid w:val="001D727C"/>
    <w:rsid w:val="001E28AF"/>
    <w:rsid w:val="001E47A2"/>
    <w:rsid w:val="001E4878"/>
    <w:rsid w:val="001E594A"/>
    <w:rsid w:val="001E5DAD"/>
    <w:rsid w:val="001E67C8"/>
    <w:rsid w:val="001E6C82"/>
    <w:rsid w:val="001E6E76"/>
    <w:rsid w:val="001F608D"/>
    <w:rsid w:val="002047FC"/>
    <w:rsid w:val="002051D2"/>
    <w:rsid w:val="00206D3B"/>
    <w:rsid w:val="00210BE0"/>
    <w:rsid w:val="0021277A"/>
    <w:rsid w:val="00213395"/>
    <w:rsid w:val="0021414E"/>
    <w:rsid w:val="0021533F"/>
    <w:rsid w:val="002156E2"/>
    <w:rsid w:val="00217547"/>
    <w:rsid w:val="00220034"/>
    <w:rsid w:val="00220CBF"/>
    <w:rsid w:val="002227CE"/>
    <w:rsid w:val="00223293"/>
    <w:rsid w:val="002245FC"/>
    <w:rsid w:val="0023038B"/>
    <w:rsid w:val="00236C83"/>
    <w:rsid w:val="00237241"/>
    <w:rsid w:val="00242B72"/>
    <w:rsid w:val="00244A85"/>
    <w:rsid w:val="00244A9E"/>
    <w:rsid w:val="00245484"/>
    <w:rsid w:val="002458B3"/>
    <w:rsid w:val="002466CB"/>
    <w:rsid w:val="00247F5A"/>
    <w:rsid w:val="002520B8"/>
    <w:rsid w:val="00252CD9"/>
    <w:rsid w:val="00253F91"/>
    <w:rsid w:val="0025428D"/>
    <w:rsid w:val="00261485"/>
    <w:rsid w:val="00262293"/>
    <w:rsid w:val="002644E8"/>
    <w:rsid w:val="002646EA"/>
    <w:rsid w:val="00265A27"/>
    <w:rsid w:val="00267565"/>
    <w:rsid w:val="00270D9F"/>
    <w:rsid w:val="00276010"/>
    <w:rsid w:val="00281F92"/>
    <w:rsid w:val="00282810"/>
    <w:rsid w:val="002847C8"/>
    <w:rsid w:val="002847D3"/>
    <w:rsid w:val="00285F13"/>
    <w:rsid w:val="0028747B"/>
    <w:rsid w:val="0028785C"/>
    <w:rsid w:val="00287D7E"/>
    <w:rsid w:val="002927E8"/>
    <w:rsid w:val="00293C4F"/>
    <w:rsid w:val="00295797"/>
    <w:rsid w:val="00297C40"/>
    <w:rsid w:val="002A0469"/>
    <w:rsid w:val="002A1943"/>
    <w:rsid w:val="002A1E65"/>
    <w:rsid w:val="002A243A"/>
    <w:rsid w:val="002A4BCC"/>
    <w:rsid w:val="002A5A08"/>
    <w:rsid w:val="002A66B4"/>
    <w:rsid w:val="002B42A0"/>
    <w:rsid w:val="002B7A2B"/>
    <w:rsid w:val="002C016D"/>
    <w:rsid w:val="002C1D2C"/>
    <w:rsid w:val="002C230B"/>
    <w:rsid w:val="002C32C0"/>
    <w:rsid w:val="002C36C4"/>
    <w:rsid w:val="002C408F"/>
    <w:rsid w:val="002C4126"/>
    <w:rsid w:val="002D0CCC"/>
    <w:rsid w:val="002D1242"/>
    <w:rsid w:val="002D2471"/>
    <w:rsid w:val="002D333A"/>
    <w:rsid w:val="002D4D77"/>
    <w:rsid w:val="002D4E27"/>
    <w:rsid w:val="002D5F0D"/>
    <w:rsid w:val="002E0D2C"/>
    <w:rsid w:val="002E17B0"/>
    <w:rsid w:val="002E4B2E"/>
    <w:rsid w:val="002E5F7F"/>
    <w:rsid w:val="002F00FD"/>
    <w:rsid w:val="002F5E41"/>
    <w:rsid w:val="002F71D8"/>
    <w:rsid w:val="002F7C1B"/>
    <w:rsid w:val="003018A3"/>
    <w:rsid w:val="00301E74"/>
    <w:rsid w:val="00305F14"/>
    <w:rsid w:val="00306778"/>
    <w:rsid w:val="00306959"/>
    <w:rsid w:val="003074B4"/>
    <w:rsid w:val="00307CFF"/>
    <w:rsid w:val="00312909"/>
    <w:rsid w:val="00313F92"/>
    <w:rsid w:val="00315A06"/>
    <w:rsid w:val="00322C5A"/>
    <w:rsid w:val="00323331"/>
    <w:rsid w:val="003238C3"/>
    <w:rsid w:val="003271E3"/>
    <w:rsid w:val="003324CA"/>
    <w:rsid w:val="0033638D"/>
    <w:rsid w:val="00341709"/>
    <w:rsid w:val="0034305F"/>
    <w:rsid w:val="00344832"/>
    <w:rsid w:val="0034698C"/>
    <w:rsid w:val="00351D9D"/>
    <w:rsid w:val="00354A3F"/>
    <w:rsid w:val="00357622"/>
    <w:rsid w:val="00361171"/>
    <w:rsid w:val="00361B78"/>
    <w:rsid w:val="00363CA2"/>
    <w:rsid w:val="0036619C"/>
    <w:rsid w:val="00367F40"/>
    <w:rsid w:val="0037717A"/>
    <w:rsid w:val="00381DE0"/>
    <w:rsid w:val="00382066"/>
    <w:rsid w:val="003821CA"/>
    <w:rsid w:val="00382A95"/>
    <w:rsid w:val="003832D9"/>
    <w:rsid w:val="0038649E"/>
    <w:rsid w:val="003906F6"/>
    <w:rsid w:val="00396C6F"/>
    <w:rsid w:val="00396F82"/>
    <w:rsid w:val="003A10A2"/>
    <w:rsid w:val="003A1CF5"/>
    <w:rsid w:val="003A41DC"/>
    <w:rsid w:val="003A5B8E"/>
    <w:rsid w:val="003A6B03"/>
    <w:rsid w:val="003A75C2"/>
    <w:rsid w:val="003B2C52"/>
    <w:rsid w:val="003C07EE"/>
    <w:rsid w:val="003C34A8"/>
    <w:rsid w:val="003C38E2"/>
    <w:rsid w:val="003C4360"/>
    <w:rsid w:val="003C43C4"/>
    <w:rsid w:val="003C567E"/>
    <w:rsid w:val="003C7EC6"/>
    <w:rsid w:val="003D0138"/>
    <w:rsid w:val="003D16CA"/>
    <w:rsid w:val="003D253D"/>
    <w:rsid w:val="003D26B2"/>
    <w:rsid w:val="003D3C63"/>
    <w:rsid w:val="003D4187"/>
    <w:rsid w:val="003D681B"/>
    <w:rsid w:val="003E1D3E"/>
    <w:rsid w:val="003E26C2"/>
    <w:rsid w:val="003E2DE6"/>
    <w:rsid w:val="003E72EB"/>
    <w:rsid w:val="003E7515"/>
    <w:rsid w:val="003E7D27"/>
    <w:rsid w:val="003F1097"/>
    <w:rsid w:val="003F1A1E"/>
    <w:rsid w:val="003F22DF"/>
    <w:rsid w:val="003F3577"/>
    <w:rsid w:val="003F4983"/>
    <w:rsid w:val="003F5A7F"/>
    <w:rsid w:val="003F66FF"/>
    <w:rsid w:val="003F68ED"/>
    <w:rsid w:val="003F7692"/>
    <w:rsid w:val="00400F3B"/>
    <w:rsid w:val="0040105F"/>
    <w:rsid w:val="00402E76"/>
    <w:rsid w:val="00402EF3"/>
    <w:rsid w:val="00406789"/>
    <w:rsid w:val="00407489"/>
    <w:rsid w:val="00407FCA"/>
    <w:rsid w:val="00411538"/>
    <w:rsid w:val="00412200"/>
    <w:rsid w:val="0041243B"/>
    <w:rsid w:val="0041327E"/>
    <w:rsid w:val="004144B7"/>
    <w:rsid w:val="0041482D"/>
    <w:rsid w:val="00415799"/>
    <w:rsid w:val="00415DFE"/>
    <w:rsid w:val="004169F7"/>
    <w:rsid w:val="00417321"/>
    <w:rsid w:val="00420EDD"/>
    <w:rsid w:val="0042124E"/>
    <w:rsid w:val="00422305"/>
    <w:rsid w:val="00424EE4"/>
    <w:rsid w:val="0042524B"/>
    <w:rsid w:val="00426929"/>
    <w:rsid w:val="0043150F"/>
    <w:rsid w:val="004327CC"/>
    <w:rsid w:val="00436949"/>
    <w:rsid w:val="00436FF2"/>
    <w:rsid w:val="00440955"/>
    <w:rsid w:val="0044124A"/>
    <w:rsid w:val="00442FB9"/>
    <w:rsid w:val="0044433C"/>
    <w:rsid w:val="004444A0"/>
    <w:rsid w:val="00444835"/>
    <w:rsid w:val="004448FD"/>
    <w:rsid w:val="00445669"/>
    <w:rsid w:val="004456A8"/>
    <w:rsid w:val="00445C4A"/>
    <w:rsid w:val="004464E3"/>
    <w:rsid w:val="0045243D"/>
    <w:rsid w:val="00454B8B"/>
    <w:rsid w:val="00455266"/>
    <w:rsid w:val="004601E9"/>
    <w:rsid w:val="00462095"/>
    <w:rsid w:val="004642C5"/>
    <w:rsid w:val="0046486D"/>
    <w:rsid w:val="004650E1"/>
    <w:rsid w:val="004655AA"/>
    <w:rsid w:val="0046573C"/>
    <w:rsid w:val="00465C4B"/>
    <w:rsid w:val="004675A9"/>
    <w:rsid w:val="0047046A"/>
    <w:rsid w:val="00470727"/>
    <w:rsid w:val="00470901"/>
    <w:rsid w:val="0047462C"/>
    <w:rsid w:val="00474E69"/>
    <w:rsid w:val="00475D6D"/>
    <w:rsid w:val="004767DD"/>
    <w:rsid w:val="0047703B"/>
    <w:rsid w:val="00481937"/>
    <w:rsid w:val="00481EBE"/>
    <w:rsid w:val="0048259D"/>
    <w:rsid w:val="0048283A"/>
    <w:rsid w:val="00482BD8"/>
    <w:rsid w:val="004877F0"/>
    <w:rsid w:val="00487DB1"/>
    <w:rsid w:val="0049220E"/>
    <w:rsid w:val="00492424"/>
    <w:rsid w:val="00492A03"/>
    <w:rsid w:val="004931CA"/>
    <w:rsid w:val="00497CD4"/>
    <w:rsid w:val="004A05A6"/>
    <w:rsid w:val="004A3181"/>
    <w:rsid w:val="004A3836"/>
    <w:rsid w:val="004A3E0C"/>
    <w:rsid w:val="004B26E8"/>
    <w:rsid w:val="004B456D"/>
    <w:rsid w:val="004B58A9"/>
    <w:rsid w:val="004B6EC9"/>
    <w:rsid w:val="004B7859"/>
    <w:rsid w:val="004B7911"/>
    <w:rsid w:val="004C1FC7"/>
    <w:rsid w:val="004C2016"/>
    <w:rsid w:val="004C2F48"/>
    <w:rsid w:val="004C38F5"/>
    <w:rsid w:val="004C3D46"/>
    <w:rsid w:val="004C473A"/>
    <w:rsid w:val="004C5E3E"/>
    <w:rsid w:val="004C60FA"/>
    <w:rsid w:val="004C681C"/>
    <w:rsid w:val="004D0379"/>
    <w:rsid w:val="004D13B2"/>
    <w:rsid w:val="004D4684"/>
    <w:rsid w:val="004D4CF0"/>
    <w:rsid w:val="004D5BCA"/>
    <w:rsid w:val="004E6D34"/>
    <w:rsid w:val="004E7ADA"/>
    <w:rsid w:val="004F0383"/>
    <w:rsid w:val="004F03B6"/>
    <w:rsid w:val="004F0706"/>
    <w:rsid w:val="004F1C57"/>
    <w:rsid w:val="004F1EFD"/>
    <w:rsid w:val="004F1F14"/>
    <w:rsid w:val="004F4BB3"/>
    <w:rsid w:val="004F5217"/>
    <w:rsid w:val="004F591C"/>
    <w:rsid w:val="004F5CF9"/>
    <w:rsid w:val="00502110"/>
    <w:rsid w:val="005024AA"/>
    <w:rsid w:val="00503222"/>
    <w:rsid w:val="00503B63"/>
    <w:rsid w:val="00503BF7"/>
    <w:rsid w:val="00504928"/>
    <w:rsid w:val="00507E59"/>
    <w:rsid w:val="0051150B"/>
    <w:rsid w:val="00511EB3"/>
    <w:rsid w:val="00514CE5"/>
    <w:rsid w:val="00515BDD"/>
    <w:rsid w:val="005206E5"/>
    <w:rsid w:val="00521EE9"/>
    <w:rsid w:val="00524879"/>
    <w:rsid w:val="0053056C"/>
    <w:rsid w:val="00531A8F"/>
    <w:rsid w:val="00532357"/>
    <w:rsid w:val="00533483"/>
    <w:rsid w:val="00535B6D"/>
    <w:rsid w:val="00537AE5"/>
    <w:rsid w:val="00537B03"/>
    <w:rsid w:val="00537DE0"/>
    <w:rsid w:val="00540AA0"/>
    <w:rsid w:val="00541DB1"/>
    <w:rsid w:val="00541FC7"/>
    <w:rsid w:val="00542828"/>
    <w:rsid w:val="005454E8"/>
    <w:rsid w:val="00545DC0"/>
    <w:rsid w:val="0054677A"/>
    <w:rsid w:val="00547BD5"/>
    <w:rsid w:val="00552783"/>
    <w:rsid w:val="005530CC"/>
    <w:rsid w:val="00553894"/>
    <w:rsid w:val="00554927"/>
    <w:rsid w:val="00562106"/>
    <w:rsid w:val="0056383E"/>
    <w:rsid w:val="00563CAB"/>
    <w:rsid w:val="00565477"/>
    <w:rsid w:val="00565F4C"/>
    <w:rsid w:val="005662B4"/>
    <w:rsid w:val="00566BE1"/>
    <w:rsid w:val="00567D1D"/>
    <w:rsid w:val="005706E9"/>
    <w:rsid w:val="0057293F"/>
    <w:rsid w:val="0057466F"/>
    <w:rsid w:val="00575179"/>
    <w:rsid w:val="00580B0F"/>
    <w:rsid w:val="00580B1A"/>
    <w:rsid w:val="00580DA4"/>
    <w:rsid w:val="00582D13"/>
    <w:rsid w:val="00586262"/>
    <w:rsid w:val="0058743C"/>
    <w:rsid w:val="005906E6"/>
    <w:rsid w:val="00591942"/>
    <w:rsid w:val="00592062"/>
    <w:rsid w:val="00592EB5"/>
    <w:rsid w:val="00593FD8"/>
    <w:rsid w:val="005A03E7"/>
    <w:rsid w:val="005A6E32"/>
    <w:rsid w:val="005A70D5"/>
    <w:rsid w:val="005A7D67"/>
    <w:rsid w:val="005B06D4"/>
    <w:rsid w:val="005B2FDF"/>
    <w:rsid w:val="005B381B"/>
    <w:rsid w:val="005B51D3"/>
    <w:rsid w:val="005B79EB"/>
    <w:rsid w:val="005C17D0"/>
    <w:rsid w:val="005C1F22"/>
    <w:rsid w:val="005C2C21"/>
    <w:rsid w:val="005C366B"/>
    <w:rsid w:val="005C47FD"/>
    <w:rsid w:val="005C6F1B"/>
    <w:rsid w:val="005C75F7"/>
    <w:rsid w:val="005D45E9"/>
    <w:rsid w:val="005D5554"/>
    <w:rsid w:val="005D5A40"/>
    <w:rsid w:val="005E26D6"/>
    <w:rsid w:val="005E2E95"/>
    <w:rsid w:val="005E3637"/>
    <w:rsid w:val="005E3639"/>
    <w:rsid w:val="005E4A92"/>
    <w:rsid w:val="005E6393"/>
    <w:rsid w:val="005F009A"/>
    <w:rsid w:val="005F073B"/>
    <w:rsid w:val="005F0D48"/>
    <w:rsid w:val="005F1B90"/>
    <w:rsid w:val="005F2F01"/>
    <w:rsid w:val="005F4E50"/>
    <w:rsid w:val="005F53F0"/>
    <w:rsid w:val="005F6EFC"/>
    <w:rsid w:val="005F7D15"/>
    <w:rsid w:val="00602E42"/>
    <w:rsid w:val="00603830"/>
    <w:rsid w:val="00603A5F"/>
    <w:rsid w:val="00606899"/>
    <w:rsid w:val="006111D3"/>
    <w:rsid w:val="0061431F"/>
    <w:rsid w:val="006144B4"/>
    <w:rsid w:val="00621F75"/>
    <w:rsid w:val="00627981"/>
    <w:rsid w:val="00627B74"/>
    <w:rsid w:val="00630502"/>
    <w:rsid w:val="00632B9F"/>
    <w:rsid w:val="00635F06"/>
    <w:rsid w:val="006366CE"/>
    <w:rsid w:val="006424C5"/>
    <w:rsid w:val="0064271D"/>
    <w:rsid w:val="0065194D"/>
    <w:rsid w:val="00656157"/>
    <w:rsid w:val="00661DE6"/>
    <w:rsid w:val="00662164"/>
    <w:rsid w:val="006621FE"/>
    <w:rsid w:val="00662E72"/>
    <w:rsid w:val="00663D13"/>
    <w:rsid w:val="00667FF4"/>
    <w:rsid w:val="006700B0"/>
    <w:rsid w:val="00670FDB"/>
    <w:rsid w:val="0067238C"/>
    <w:rsid w:val="00672764"/>
    <w:rsid w:val="0067431A"/>
    <w:rsid w:val="0067519A"/>
    <w:rsid w:val="00675655"/>
    <w:rsid w:val="00675DA8"/>
    <w:rsid w:val="00681CB0"/>
    <w:rsid w:val="0068629B"/>
    <w:rsid w:val="00687A09"/>
    <w:rsid w:val="00687B8E"/>
    <w:rsid w:val="0069035E"/>
    <w:rsid w:val="0069522E"/>
    <w:rsid w:val="006952FC"/>
    <w:rsid w:val="0069616D"/>
    <w:rsid w:val="006A0695"/>
    <w:rsid w:val="006A3E3A"/>
    <w:rsid w:val="006A4D19"/>
    <w:rsid w:val="006A5420"/>
    <w:rsid w:val="006A6851"/>
    <w:rsid w:val="006A7266"/>
    <w:rsid w:val="006A7D42"/>
    <w:rsid w:val="006B0929"/>
    <w:rsid w:val="006B26D9"/>
    <w:rsid w:val="006B30FD"/>
    <w:rsid w:val="006B369C"/>
    <w:rsid w:val="006B42EB"/>
    <w:rsid w:val="006B761E"/>
    <w:rsid w:val="006B7A49"/>
    <w:rsid w:val="006C2310"/>
    <w:rsid w:val="006C4557"/>
    <w:rsid w:val="006C7098"/>
    <w:rsid w:val="006C7414"/>
    <w:rsid w:val="006C770F"/>
    <w:rsid w:val="006D1782"/>
    <w:rsid w:val="006D1D3A"/>
    <w:rsid w:val="006D2242"/>
    <w:rsid w:val="006D2A9D"/>
    <w:rsid w:val="006D3D56"/>
    <w:rsid w:val="006D5DA7"/>
    <w:rsid w:val="006D7AB0"/>
    <w:rsid w:val="006E06C6"/>
    <w:rsid w:val="006E1201"/>
    <w:rsid w:val="006E4F31"/>
    <w:rsid w:val="006E5642"/>
    <w:rsid w:val="006E5DA4"/>
    <w:rsid w:val="006E75E1"/>
    <w:rsid w:val="006E76F3"/>
    <w:rsid w:val="006F1CDA"/>
    <w:rsid w:val="006F22AE"/>
    <w:rsid w:val="006F2EAB"/>
    <w:rsid w:val="006F364E"/>
    <w:rsid w:val="006F478A"/>
    <w:rsid w:val="00700064"/>
    <w:rsid w:val="00700CDF"/>
    <w:rsid w:val="00704F79"/>
    <w:rsid w:val="007056ED"/>
    <w:rsid w:val="00706A68"/>
    <w:rsid w:val="0071278A"/>
    <w:rsid w:val="00714745"/>
    <w:rsid w:val="007152D6"/>
    <w:rsid w:val="00715A30"/>
    <w:rsid w:val="007164AA"/>
    <w:rsid w:val="007167B6"/>
    <w:rsid w:val="007167F5"/>
    <w:rsid w:val="00717B5F"/>
    <w:rsid w:val="00717EB6"/>
    <w:rsid w:val="0072066B"/>
    <w:rsid w:val="00720AE6"/>
    <w:rsid w:val="00720DE5"/>
    <w:rsid w:val="0072165E"/>
    <w:rsid w:val="0072230B"/>
    <w:rsid w:val="00725343"/>
    <w:rsid w:val="007323B1"/>
    <w:rsid w:val="00732550"/>
    <w:rsid w:val="0073309F"/>
    <w:rsid w:val="00733BD9"/>
    <w:rsid w:val="007356EB"/>
    <w:rsid w:val="00737489"/>
    <w:rsid w:val="00740919"/>
    <w:rsid w:val="00740ABB"/>
    <w:rsid w:val="00740D1C"/>
    <w:rsid w:val="00742D2E"/>
    <w:rsid w:val="007434CA"/>
    <w:rsid w:val="00743503"/>
    <w:rsid w:val="007445BC"/>
    <w:rsid w:val="00744639"/>
    <w:rsid w:val="007450BC"/>
    <w:rsid w:val="00745236"/>
    <w:rsid w:val="00746A97"/>
    <w:rsid w:val="007504FB"/>
    <w:rsid w:val="00751929"/>
    <w:rsid w:val="00751DF8"/>
    <w:rsid w:val="0075486A"/>
    <w:rsid w:val="00756022"/>
    <w:rsid w:val="007609D2"/>
    <w:rsid w:val="00765B85"/>
    <w:rsid w:val="00765CC1"/>
    <w:rsid w:val="00766955"/>
    <w:rsid w:val="0077462A"/>
    <w:rsid w:val="00774CAB"/>
    <w:rsid w:val="007765F3"/>
    <w:rsid w:val="0077706D"/>
    <w:rsid w:val="00777751"/>
    <w:rsid w:val="00781953"/>
    <w:rsid w:val="007827B8"/>
    <w:rsid w:val="00783421"/>
    <w:rsid w:val="00784C57"/>
    <w:rsid w:val="00786903"/>
    <w:rsid w:val="007869FF"/>
    <w:rsid w:val="00790D92"/>
    <w:rsid w:val="00791C7F"/>
    <w:rsid w:val="00795C81"/>
    <w:rsid w:val="007A174D"/>
    <w:rsid w:val="007A22E1"/>
    <w:rsid w:val="007A2AF3"/>
    <w:rsid w:val="007A3BD7"/>
    <w:rsid w:val="007A4F36"/>
    <w:rsid w:val="007A611E"/>
    <w:rsid w:val="007A7D39"/>
    <w:rsid w:val="007B130D"/>
    <w:rsid w:val="007B15C6"/>
    <w:rsid w:val="007B2940"/>
    <w:rsid w:val="007B444A"/>
    <w:rsid w:val="007B4873"/>
    <w:rsid w:val="007B4B1A"/>
    <w:rsid w:val="007B4D8E"/>
    <w:rsid w:val="007B56AA"/>
    <w:rsid w:val="007C1501"/>
    <w:rsid w:val="007C1801"/>
    <w:rsid w:val="007C1892"/>
    <w:rsid w:val="007C3B18"/>
    <w:rsid w:val="007C4323"/>
    <w:rsid w:val="007C5FCD"/>
    <w:rsid w:val="007C7E7F"/>
    <w:rsid w:val="007D04F7"/>
    <w:rsid w:val="007D6610"/>
    <w:rsid w:val="007D6895"/>
    <w:rsid w:val="007D7638"/>
    <w:rsid w:val="007D7ADA"/>
    <w:rsid w:val="007E504D"/>
    <w:rsid w:val="007E6770"/>
    <w:rsid w:val="007E742F"/>
    <w:rsid w:val="007E7DCB"/>
    <w:rsid w:val="007F0CE9"/>
    <w:rsid w:val="007F0EB4"/>
    <w:rsid w:val="007F1721"/>
    <w:rsid w:val="007F22A2"/>
    <w:rsid w:val="007F3799"/>
    <w:rsid w:val="007F763D"/>
    <w:rsid w:val="007F7FE3"/>
    <w:rsid w:val="00800183"/>
    <w:rsid w:val="00804D0D"/>
    <w:rsid w:val="00805B06"/>
    <w:rsid w:val="00812742"/>
    <w:rsid w:val="008132E3"/>
    <w:rsid w:val="00813A49"/>
    <w:rsid w:val="008150A8"/>
    <w:rsid w:val="00816081"/>
    <w:rsid w:val="00817385"/>
    <w:rsid w:val="00821A0B"/>
    <w:rsid w:val="00821DAF"/>
    <w:rsid w:val="00823963"/>
    <w:rsid w:val="008247FC"/>
    <w:rsid w:val="008256CD"/>
    <w:rsid w:val="00826FA2"/>
    <w:rsid w:val="00830789"/>
    <w:rsid w:val="00830CE0"/>
    <w:rsid w:val="00842550"/>
    <w:rsid w:val="00843122"/>
    <w:rsid w:val="0084362B"/>
    <w:rsid w:val="00843640"/>
    <w:rsid w:val="00843CE7"/>
    <w:rsid w:val="00850152"/>
    <w:rsid w:val="0085064D"/>
    <w:rsid w:val="0085678F"/>
    <w:rsid w:val="0085683D"/>
    <w:rsid w:val="0086053F"/>
    <w:rsid w:val="0086374A"/>
    <w:rsid w:val="008646D5"/>
    <w:rsid w:val="00864864"/>
    <w:rsid w:val="008714C1"/>
    <w:rsid w:val="00873D16"/>
    <w:rsid w:val="00874334"/>
    <w:rsid w:val="00874AC9"/>
    <w:rsid w:val="00875307"/>
    <w:rsid w:val="00876969"/>
    <w:rsid w:val="00883AC8"/>
    <w:rsid w:val="00884F60"/>
    <w:rsid w:val="00890993"/>
    <w:rsid w:val="0089504B"/>
    <w:rsid w:val="00895AA3"/>
    <w:rsid w:val="00895CC2"/>
    <w:rsid w:val="00895FDD"/>
    <w:rsid w:val="008963AE"/>
    <w:rsid w:val="00897AFF"/>
    <w:rsid w:val="008A0104"/>
    <w:rsid w:val="008A14A3"/>
    <w:rsid w:val="008A5F2D"/>
    <w:rsid w:val="008A6CE9"/>
    <w:rsid w:val="008B140C"/>
    <w:rsid w:val="008B2D89"/>
    <w:rsid w:val="008B4AA8"/>
    <w:rsid w:val="008B5F9C"/>
    <w:rsid w:val="008B70BF"/>
    <w:rsid w:val="008B76ED"/>
    <w:rsid w:val="008C3D6D"/>
    <w:rsid w:val="008C50C6"/>
    <w:rsid w:val="008D0E5C"/>
    <w:rsid w:val="008D13C1"/>
    <w:rsid w:val="008D25C7"/>
    <w:rsid w:val="008D37E8"/>
    <w:rsid w:val="008D47DD"/>
    <w:rsid w:val="008D70B3"/>
    <w:rsid w:val="008D7CBA"/>
    <w:rsid w:val="008E1A78"/>
    <w:rsid w:val="008E2A64"/>
    <w:rsid w:val="008E62BE"/>
    <w:rsid w:val="008E760D"/>
    <w:rsid w:val="008E7985"/>
    <w:rsid w:val="008E7A98"/>
    <w:rsid w:val="008F0DED"/>
    <w:rsid w:val="008F410D"/>
    <w:rsid w:val="008F6B46"/>
    <w:rsid w:val="0090118D"/>
    <w:rsid w:val="009015E1"/>
    <w:rsid w:val="0090204E"/>
    <w:rsid w:val="0090316C"/>
    <w:rsid w:val="0090509C"/>
    <w:rsid w:val="0090612C"/>
    <w:rsid w:val="00911382"/>
    <w:rsid w:val="009124C0"/>
    <w:rsid w:val="009130EC"/>
    <w:rsid w:val="00914C6D"/>
    <w:rsid w:val="009156D2"/>
    <w:rsid w:val="0091618B"/>
    <w:rsid w:val="009169F8"/>
    <w:rsid w:val="0092163C"/>
    <w:rsid w:val="009222DF"/>
    <w:rsid w:val="009229CF"/>
    <w:rsid w:val="00922B53"/>
    <w:rsid w:val="009234CF"/>
    <w:rsid w:val="00923B51"/>
    <w:rsid w:val="00923FED"/>
    <w:rsid w:val="009240B2"/>
    <w:rsid w:val="00926334"/>
    <w:rsid w:val="00926FB2"/>
    <w:rsid w:val="009308A1"/>
    <w:rsid w:val="00931564"/>
    <w:rsid w:val="00933F92"/>
    <w:rsid w:val="009347A3"/>
    <w:rsid w:val="0093761A"/>
    <w:rsid w:val="009414B0"/>
    <w:rsid w:val="00941551"/>
    <w:rsid w:val="00942269"/>
    <w:rsid w:val="009424D3"/>
    <w:rsid w:val="009454D4"/>
    <w:rsid w:val="009474D7"/>
    <w:rsid w:val="00950E27"/>
    <w:rsid w:val="0095293D"/>
    <w:rsid w:val="00954F9D"/>
    <w:rsid w:val="00954FE8"/>
    <w:rsid w:val="0096046A"/>
    <w:rsid w:val="00961448"/>
    <w:rsid w:val="009631A6"/>
    <w:rsid w:val="009638B5"/>
    <w:rsid w:val="009640BF"/>
    <w:rsid w:val="00971B7D"/>
    <w:rsid w:val="00972045"/>
    <w:rsid w:val="00973518"/>
    <w:rsid w:val="0097622D"/>
    <w:rsid w:val="00981BEA"/>
    <w:rsid w:val="00985994"/>
    <w:rsid w:val="00985D5C"/>
    <w:rsid w:val="0098631B"/>
    <w:rsid w:val="00986612"/>
    <w:rsid w:val="00992D77"/>
    <w:rsid w:val="00992EC8"/>
    <w:rsid w:val="00992F5C"/>
    <w:rsid w:val="0099359A"/>
    <w:rsid w:val="00995181"/>
    <w:rsid w:val="00995B17"/>
    <w:rsid w:val="009970D2"/>
    <w:rsid w:val="009A50D8"/>
    <w:rsid w:val="009A53E2"/>
    <w:rsid w:val="009A7D8C"/>
    <w:rsid w:val="009B2B04"/>
    <w:rsid w:val="009B5E44"/>
    <w:rsid w:val="009B7BA4"/>
    <w:rsid w:val="009C1883"/>
    <w:rsid w:val="009C2061"/>
    <w:rsid w:val="009C25E2"/>
    <w:rsid w:val="009C26F0"/>
    <w:rsid w:val="009C55CF"/>
    <w:rsid w:val="009C757F"/>
    <w:rsid w:val="009C799D"/>
    <w:rsid w:val="009D00BE"/>
    <w:rsid w:val="009D116F"/>
    <w:rsid w:val="009D2CD8"/>
    <w:rsid w:val="009D2D9E"/>
    <w:rsid w:val="009D342C"/>
    <w:rsid w:val="009D586D"/>
    <w:rsid w:val="009D64C8"/>
    <w:rsid w:val="009E23FE"/>
    <w:rsid w:val="009E297C"/>
    <w:rsid w:val="009E524A"/>
    <w:rsid w:val="009E6CE4"/>
    <w:rsid w:val="009E7B4F"/>
    <w:rsid w:val="009F0381"/>
    <w:rsid w:val="009F14F6"/>
    <w:rsid w:val="009F1DAA"/>
    <w:rsid w:val="009F3B08"/>
    <w:rsid w:val="009F567D"/>
    <w:rsid w:val="00A0151E"/>
    <w:rsid w:val="00A107D7"/>
    <w:rsid w:val="00A12BC8"/>
    <w:rsid w:val="00A13CF2"/>
    <w:rsid w:val="00A14AED"/>
    <w:rsid w:val="00A164E7"/>
    <w:rsid w:val="00A208F5"/>
    <w:rsid w:val="00A20C70"/>
    <w:rsid w:val="00A214CE"/>
    <w:rsid w:val="00A24023"/>
    <w:rsid w:val="00A2412D"/>
    <w:rsid w:val="00A249A4"/>
    <w:rsid w:val="00A251C0"/>
    <w:rsid w:val="00A2527D"/>
    <w:rsid w:val="00A25E4F"/>
    <w:rsid w:val="00A3011D"/>
    <w:rsid w:val="00A30F42"/>
    <w:rsid w:val="00A32FC4"/>
    <w:rsid w:val="00A3666F"/>
    <w:rsid w:val="00A37ACC"/>
    <w:rsid w:val="00A402DB"/>
    <w:rsid w:val="00A407B9"/>
    <w:rsid w:val="00A415F2"/>
    <w:rsid w:val="00A41EBD"/>
    <w:rsid w:val="00A42274"/>
    <w:rsid w:val="00A42764"/>
    <w:rsid w:val="00A4386F"/>
    <w:rsid w:val="00A438CD"/>
    <w:rsid w:val="00A44A82"/>
    <w:rsid w:val="00A44F72"/>
    <w:rsid w:val="00A45623"/>
    <w:rsid w:val="00A466DE"/>
    <w:rsid w:val="00A52FBA"/>
    <w:rsid w:val="00A5357D"/>
    <w:rsid w:val="00A54D4C"/>
    <w:rsid w:val="00A56755"/>
    <w:rsid w:val="00A56927"/>
    <w:rsid w:val="00A60049"/>
    <w:rsid w:val="00A6360B"/>
    <w:rsid w:val="00A64AAD"/>
    <w:rsid w:val="00A65113"/>
    <w:rsid w:val="00A65131"/>
    <w:rsid w:val="00A65F83"/>
    <w:rsid w:val="00A70306"/>
    <w:rsid w:val="00A7091B"/>
    <w:rsid w:val="00A73F8A"/>
    <w:rsid w:val="00A7490A"/>
    <w:rsid w:val="00A7683F"/>
    <w:rsid w:val="00A804CC"/>
    <w:rsid w:val="00A8188F"/>
    <w:rsid w:val="00A8270B"/>
    <w:rsid w:val="00A841C1"/>
    <w:rsid w:val="00A84807"/>
    <w:rsid w:val="00A84EBF"/>
    <w:rsid w:val="00A86BCE"/>
    <w:rsid w:val="00A87DD1"/>
    <w:rsid w:val="00A90338"/>
    <w:rsid w:val="00A90F9F"/>
    <w:rsid w:val="00A9774B"/>
    <w:rsid w:val="00AA10FC"/>
    <w:rsid w:val="00AA12CE"/>
    <w:rsid w:val="00AA3081"/>
    <w:rsid w:val="00AA6051"/>
    <w:rsid w:val="00AA674C"/>
    <w:rsid w:val="00AB0306"/>
    <w:rsid w:val="00AB04FD"/>
    <w:rsid w:val="00AB0501"/>
    <w:rsid w:val="00AB26A1"/>
    <w:rsid w:val="00AB609B"/>
    <w:rsid w:val="00AB62D1"/>
    <w:rsid w:val="00AB6A70"/>
    <w:rsid w:val="00AB6A73"/>
    <w:rsid w:val="00AC696A"/>
    <w:rsid w:val="00AD25C4"/>
    <w:rsid w:val="00AD2661"/>
    <w:rsid w:val="00AD3A98"/>
    <w:rsid w:val="00AD6B64"/>
    <w:rsid w:val="00AD7BCF"/>
    <w:rsid w:val="00AD7D42"/>
    <w:rsid w:val="00AD7FC7"/>
    <w:rsid w:val="00AE24EF"/>
    <w:rsid w:val="00AE3DB6"/>
    <w:rsid w:val="00AE54F1"/>
    <w:rsid w:val="00AE6439"/>
    <w:rsid w:val="00AF047B"/>
    <w:rsid w:val="00AF0F6E"/>
    <w:rsid w:val="00AF1A69"/>
    <w:rsid w:val="00AF1BFD"/>
    <w:rsid w:val="00AF1ED5"/>
    <w:rsid w:val="00AF4748"/>
    <w:rsid w:val="00AF58EF"/>
    <w:rsid w:val="00AF6644"/>
    <w:rsid w:val="00AF6670"/>
    <w:rsid w:val="00AF6928"/>
    <w:rsid w:val="00B00776"/>
    <w:rsid w:val="00B03BA0"/>
    <w:rsid w:val="00B1350E"/>
    <w:rsid w:val="00B14E1E"/>
    <w:rsid w:val="00B16163"/>
    <w:rsid w:val="00B20533"/>
    <w:rsid w:val="00B22025"/>
    <w:rsid w:val="00B22BFB"/>
    <w:rsid w:val="00B24F78"/>
    <w:rsid w:val="00B26545"/>
    <w:rsid w:val="00B26D99"/>
    <w:rsid w:val="00B26F0B"/>
    <w:rsid w:val="00B2765A"/>
    <w:rsid w:val="00B27BAC"/>
    <w:rsid w:val="00B3030B"/>
    <w:rsid w:val="00B32D4D"/>
    <w:rsid w:val="00B3631B"/>
    <w:rsid w:val="00B36D8C"/>
    <w:rsid w:val="00B36E31"/>
    <w:rsid w:val="00B40496"/>
    <w:rsid w:val="00B42432"/>
    <w:rsid w:val="00B42E83"/>
    <w:rsid w:val="00B432FC"/>
    <w:rsid w:val="00B44758"/>
    <w:rsid w:val="00B456A6"/>
    <w:rsid w:val="00B463B5"/>
    <w:rsid w:val="00B4654B"/>
    <w:rsid w:val="00B478DF"/>
    <w:rsid w:val="00B51C3C"/>
    <w:rsid w:val="00B5217A"/>
    <w:rsid w:val="00B5223D"/>
    <w:rsid w:val="00B53674"/>
    <w:rsid w:val="00B5444F"/>
    <w:rsid w:val="00B6062A"/>
    <w:rsid w:val="00B61DA3"/>
    <w:rsid w:val="00B63E4E"/>
    <w:rsid w:val="00B664B9"/>
    <w:rsid w:val="00B704EF"/>
    <w:rsid w:val="00B7086A"/>
    <w:rsid w:val="00B70C93"/>
    <w:rsid w:val="00B718A0"/>
    <w:rsid w:val="00B71920"/>
    <w:rsid w:val="00B7266E"/>
    <w:rsid w:val="00B72D49"/>
    <w:rsid w:val="00B732F6"/>
    <w:rsid w:val="00B73521"/>
    <w:rsid w:val="00B73716"/>
    <w:rsid w:val="00B74EA5"/>
    <w:rsid w:val="00B764FA"/>
    <w:rsid w:val="00B77138"/>
    <w:rsid w:val="00B77EFC"/>
    <w:rsid w:val="00B8104E"/>
    <w:rsid w:val="00B82492"/>
    <w:rsid w:val="00B82B12"/>
    <w:rsid w:val="00B830BB"/>
    <w:rsid w:val="00B84F95"/>
    <w:rsid w:val="00B86DAF"/>
    <w:rsid w:val="00B872D2"/>
    <w:rsid w:val="00B90313"/>
    <w:rsid w:val="00B9040A"/>
    <w:rsid w:val="00B909DD"/>
    <w:rsid w:val="00B916D8"/>
    <w:rsid w:val="00B92C08"/>
    <w:rsid w:val="00B94C87"/>
    <w:rsid w:val="00B95AA2"/>
    <w:rsid w:val="00BA01F1"/>
    <w:rsid w:val="00BB18DA"/>
    <w:rsid w:val="00BB435E"/>
    <w:rsid w:val="00BB565E"/>
    <w:rsid w:val="00BB6060"/>
    <w:rsid w:val="00BC0B46"/>
    <w:rsid w:val="00BC5E4E"/>
    <w:rsid w:val="00BC6261"/>
    <w:rsid w:val="00BD0D3E"/>
    <w:rsid w:val="00BD28D0"/>
    <w:rsid w:val="00BD398D"/>
    <w:rsid w:val="00BD3CD9"/>
    <w:rsid w:val="00BD4420"/>
    <w:rsid w:val="00BD47FB"/>
    <w:rsid w:val="00BE03AF"/>
    <w:rsid w:val="00BE2225"/>
    <w:rsid w:val="00BE23ED"/>
    <w:rsid w:val="00BE56FD"/>
    <w:rsid w:val="00BE7070"/>
    <w:rsid w:val="00BF6247"/>
    <w:rsid w:val="00C061DC"/>
    <w:rsid w:val="00C066B3"/>
    <w:rsid w:val="00C070CF"/>
    <w:rsid w:val="00C10A1A"/>
    <w:rsid w:val="00C114C7"/>
    <w:rsid w:val="00C14F0F"/>
    <w:rsid w:val="00C14F95"/>
    <w:rsid w:val="00C20053"/>
    <w:rsid w:val="00C22171"/>
    <w:rsid w:val="00C22AD7"/>
    <w:rsid w:val="00C250F5"/>
    <w:rsid w:val="00C26678"/>
    <w:rsid w:val="00C26A5D"/>
    <w:rsid w:val="00C27E6A"/>
    <w:rsid w:val="00C3758F"/>
    <w:rsid w:val="00C37A18"/>
    <w:rsid w:val="00C417CF"/>
    <w:rsid w:val="00C43099"/>
    <w:rsid w:val="00C436AA"/>
    <w:rsid w:val="00C45939"/>
    <w:rsid w:val="00C472D6"/>
    <w:rsid w:val="00C47592"/>
    <w:rsid w:val="00C50911"/>
    <w:rsid w:val="00C50C9C"/>
    <w:rsid w:val="00C53533"/>
    <w:rsid w:val="00C55AE0"/>
    <w:rsid w:val="00C57CF1"/>
    <w:rsid w:val="00C57CFC"/>
    <w:rsid w:val="00C57D4B"/>
    <w:rsid w:val="00C61092"/>
    <w:rsid w:val="00C612C9"/>
    <w:rsid w:val="00C62959"/>
    <w:rsid w:val="00C647DA"/>
    <w:rsid w:val="00C65CB6"/>
    <w:rsid w:val="00C66BE5"/>
    <w:rsid w:val="00C67C64"/>
    <w:rsid w:val="00C70355"/>
    <w:rsid w:val="00C744BA"/>
    <w:rsid w:val="00C76B99"/>
    <w:rsid w:val="00C8389A"/>
    <w:rsid w:val="00C84676"/>
    <w:rsid w:val="00C8595B"/>
    <w:rsid w:val="00C85F41"/>
    <w:rsid w:val="00C87D45"/>
    <w:rsid w:val="00C87F97"/>
    <w:rsid w:val="00C907CB"/>
    <w:rsid w:val="00C923E0"/>
    <w:rsid w:val="00C928A8"/>
    <w:rsid w:val="00C93C09"/>
    <w:rsid w:val="00C94E11"/>
    <w:rsid w:val="00C968DC"/>
    <w:rsid w:val="00C97950"/>
    <w:rsid w:val="00CA4577"/>
    <w:rsid w:val="00CA68F4"/>
    <w:rsid w:val="00CB0A4C"/>
    <w:rsid w:val="00CB2EDA"/>
    <w:rsid w:val="00CB31F4"/>
    <w:rsid w:val="00CB4DDB"/>
    <w:rsid w:val="00CB51FA"/>
    <w:rsid w:val="00CB6B38"/>
    <w:rsid w:val="00CB705F"/>
    <w:rsid w:val="00CC0814"/>
    <w:rsid w:val="00CC0A3C"/>
    <w:rsid w:val="00CC20AE"/>
    <w:rsid w:val="00CC6270"/>
    <w:rsid w:val="00CC63B4"/>
    <w:rsid w:val="00CC68AC"/>
    <w:rsid w:val="00CC71FA"/>
    <w:rsid w:val="00CC73D9"/>
    <w:rsid w:val="00CD26DC"/>
    <w:rsid w:val="00CD36E6"/>
    <w:rsid w:val="00CD4347"/>
    <w:rsid w:val="00CD551E"/>
    <w:rsid w:val="00CD5FD7"/>
    <w:rsid w:val="00CD6772"/>
    <w:rsid w:val="00CE00FC"/>
    <w:rsid w:val="00CE0D3D"/>
    <w:rsid w:val="00CE3ECF"/>
    <w:rsid w:val="00CF62B5"/>
    <w:rsid w:val="00CF62EF"/>
    <w:rsid w:val="00CF7BB2"/>
    <w:rsid w:val="00D00E20"/>
    <w:rsid w:val="00D02540"/>
    <w:rsid w:val="00D02E8A"/>
    <w:rsid w:val="00D12CC1"/>
    <w:rsid w:val="00D12E5C"/>
    <w:rsid w:val="00D13A33"/>
    <w:rsid w:val="00D142E9"/>
    <w:rsid w:val="00D1528C"/>
    <w:rsid w:val="00D15C82"/>
    <w:rsid w:val="00D162DD"/>
    <w:rsid w:val="00D17119"/>
    <w:rsid w:val="00D2221B"/>
    <w:rsid w:val="00D2264A"/>
    <w:rsid w:val="00D26F52"/>
    <w:rsid w:val="00D30225"/>
    <w:rsid w:val="00D30FCB"/>
    <w:rsid w:val="00D31423"/>
    <w:rsid w:val="00D31ADE"/>
    <w:rsid w:val="00D346F2"/>
    <w:rsid w:val="00D34CD0"/>
    <w:rsid w:val="00D35C7A"/>
    <w:rsid w:val="00D40BC0"/>
    <w:rsid w:val="00D428D2"/>
    <w:rsid w:val="00D4443B"/>
    <w:rsid w:val="00D44F8E"/>
    <w:rsid w:val="00D453A9"/>
    <w:rsid w:val="00D4677D"/>
    <w:rsid w:val="00D47414"/>
    <w:rsid w:val="00D50065"/>
    <w:rsid w:val="00D5018C"/>
    <w:rsid w:val="00D51007"/>
    <w:rsid w:val="00D52B13"/>
    <w:rsid w:val="00D558E4"/>
    <w:rsid w:val="00D57C38"/>
    <w:rsid w:val="00D62570"/>
    <w:rsid w:val="00D62B42"/>
    <w:rsid w:val="00D62C02"/>
    <w:rsid w:val="00D635AE"/>
    <w:rsid w:val="00D63F87"/>
    <w:rsid w:val="00D65239"/>
    <w:rsid w:val="00D72AAB"/>
    <w:rsid w:val="00D737CF"/>
    <w:rsid w:val="00D741F3"/>
    <w:rsid w:val="00D7603A"/>
    <w:rsid w:val="00D77338"/>
    <w:rsid w:val="00D80062"/>
    <w:rsid w:val="00D80428"/>
    <w:rsid w:val="00D80B55"/>
    <w:rsid w:val="00D84099"/>
    <w:rsid w:val="00D92EA8"/>
    <w:rsid w:val="00D94B48"/>
    <w:rsid w:val="00D96836"/>
    <w:rsid w:val="00D97BC9"/>
    <w:rsid w:val="00DA187F"/>
    <w:rsid w:val="00DA1C0B"/>
    <w:rsid w:val="00DA280B"/>
    <w:rsid w:val="00DA2ACF"/>
    <w:rsid w:val="00DA329D"/>
    <w:rsid w:val="00DA3FE6"/>
    <w:rsid w:val="00DA4627"/>
    <w:rsid w:val="00DA6421"/>
    <w:rsid w:val="00DB2DDC"/>
    <w:rsid w:val="00DB3916"/>
    <w:rsid w:val="00DB43BC"/>
    <w:rsid w:val="00DB5223"/>
    <w:rsid w:val="00DB55F8"/>
    <w:rsid w:val="00DB5700"/>
    <w:rsid w:val="00DB7343"/>
    <w:rsid w:val="00DC23D5"/>
    <w:rsid w:val="00DC5875"/>
    <w:rsid w:val="00DC6E1E"/>
    <w:rsid w:val="00DC7A1D"/>
    <w:rsid w:val="00DC7C4E"/>
    <w:rsid w:val="00DD0042"/>
    <w:rsid w:val="00DD1726"/>
    <w:rsid w:val="00DD3262"/>
    <w:rsid w:val="00DD5554"/>
    <w:rsid w:val="00DE0B78"/>
    <w:rsid w:val="00DE1314"/>
    <w:rsid w:val="00DF032E"/>
    <w:rsid w:val="00DF0B60"/>
    <w:rsid w:val="00DF180A"/>
    <w:rsid w:val="00DF2446"/>
    <w:rsid w:val="00DF2A3B"/>
    <w:rsid w:val="00DF2D1B"/>
    <w:rsid w:val="00DF3300"/>
    <w:rsid w:val="00DF5404"/>
    <w:rsid w:val="00DF74F3"/>
    <w:rsid w:val="00DF7D37"/>
    <w:rsid w:val="00E02E86"/>
    <w:rsid w:val="00E03D53"/>
    <w:rsid w:val="00E06AA2"/>
    <w:rsid w:val="00E11BAD"/>
    <w:rsid w:val="00E11CC4"/>
    <w:rsid w:val="00E11D05"/>
    <w:rsid w:val="00E11DCD"/>
    <w:rsid w:val="00E15D8F"/>
    <w:rsid w:val="00E16933"/>
    <w:rsid w:val="00E20C0E"/>
    <w:rsid w:val="00E22C5B"/>
    <w:rsid w:val="00E24CDB"/>
    <w:rsid w:val="00E362AC"/>
    <w:rsid w:val="00E36970"/>
    <w:rsid w:val="00E4006D"/>
    <w:rsid w:val="00E40968"/>
    <w:rsid w:val="00E40C6A"/>
    <w:rsid w:val="00E411F8"/>
    <w:rsid w:val="00E42E1D"/>
    <w:rsid w:val="00E43476"/>
    <w:rsid w:val="00E45BC3"/>
    <w:rsid w:val="00E46F89"/>
    <w:rsid w:val="00E47DD9"/>
    <w:rsid w:val="00E506D7"/>
    <w:rsid w:val="00E50859"/>
    <w:rsid w:val="00E50DEC"/>
    <w:rsid w:val="00E52294"/>
    <w:rsid w:val="00E5230C"/>
    <w:rsid w:val="00E5243F"/>
    <w:rsid w:val="00E54086"/>
    <w:rsid w:val="00E620AC"/>
    <w:rsid w:val="00E62D15"/>
    <w:rsid w:val="00E63021"/>
    <w:rsid w:val="00E6629F"/>
    <w:rsid w:val="00E67944"/>
    <w:rsid w:val="00E7069E"/>
    <w:rsid w:val="00E710C6"/>
    <w:rsid w:val="00E773D5"/>
    <w:rsid w:val="00E80DC6"/>
    <w:rsid w:val="00E81E4C"/>
    <w:rsid w:val="00E823B0"/>
    <w:rsid w:val="00E82899"/>
    <w:rsid w:val="00E845CD"/>
    <w:rsid w:val="00E84F5A"/>
    <w:rsid w:val="00E8529D"/>
    <w:rsid w:val="00E87E0F"/>
    <w:rsid w:val="00E90640"/>
    <w:rsid w:val="00E9356F"/>
    <w:rsid w:val="00E94F5F"/>
    <w:rsid w:val="00EA1BD2"/>
    <w:rsid w:val="00EA2947"/>
    <w:rsid w:val="00EA37D5"/>
    <w:rsid w:val="00EA4152"/>
    <w:rsid w:val="00EA4C48"/>
    <w:rsid w:val="00EA53A3"/>
    <w:rsid w:val="00EA5C52"/>
    <w:rsid w:val="00EB088B"/>
    <w:rsid w:val="00EB0DE1"/>
    <w:rsid w:val="00EB2144"/>
    <w:rsid w:val="00EB2B5E"/>
    <w:rsid w:val="00EB342D"/>
    <w:rsid w:val="00EB4E65"/>
    <w:rsid w:val="00EB58D0"/>
    <w:rsid w:val="00EB7121"/>
    <w:rsid w:val="00EC1880"/>
    <w:rsid w:val="00EC248D"/>
    <w:rsid w:val="00EC2E70"/>
    <w:rsid w:val="00EC3054"/>
    <w:rsid w:val="00EC5C5B"/>
    <w:rsid w:val="00EC6F6A"/>
    <w:rsid w:val="00EC7897"/>
    <w:rsid w:val="00EC7C42"/>
    <w:rsid w:val="00ED1147"/>
    <w:rsid w:val="00ED3AE8"/>
    <w:rsid w:val="00ED43DC"/>
    <w:rsid w:val="00ED4D02"/>
    <w:rsid w:val="00ED53B1"/>
    <w:rsid w:val="00ED5ADB"/>
    <w:rsid w:val="00ED5B2C"/>
    <w:rsid w:val="00ED793A"/>
    <w:rsid w:val="00ED7A07"/>
    <w:rsid w:val="00EE23E8"/>
    <w:rsid w:val="00EE3635"/>
    <w:rsid w:val="00EE44C5"/>
    <w:rsid w:val="00EE651A"/>
    <w:rsid w:val="00EE7676"/>
    <w:rsid w:val="00EF05CE"/>
    <w:rsid w:val="00EF36F9"/>
    <w:rsid w:val="00EF47A8"/>
    <w:rsid w:val="00EF5983"/>
    <w:rsid w:val="00EF65DD"/>
    <w:rsid w:val="00EF6630"/>
    <w:rsid w:val="00EF6EF2"/>
    <w:rsid w:val="00F00517"/>
    <w:rsid w:val="00F0113E"/>
    <w:rsid w:val="00F021E3"/>
    <w:rsid w:val="00F03B12"/>
    <w:rsid w:val="00F047A5"/>
    <w:rsid w:val="00F05E46"/>
    <w:rsid w:val="00F0604A"/>
    <w:rsid w:val="00F06402"/>
    <w:rsid w:val="00F06973"/>
    <w:rsid w:val="00F070C0"/>
    <w:rsid w:val="00F1192A"/>
    <w:rsid w:val="00F12079"/>
    <w:rsid w:val="00F13885"/>
    <w:rsid w:val="00F15224"/>
    <w:rsid w:val="00F1566D"/>
    <w:rsid w:val="00F21973"/>
    <w:rsid w:val="00F24765"/>
    <w:rsid w:val="00F25751"/>
    <w:rsid w:val="00F261FA"/>
    <w:rsid w:val="00F269A4"/>
    <w:rsid w:val="00F31252"/>
    <w:rsid w:val="00F33886"/>
    <w:rsid w:val="00F34328"/>
    <w:rsid w:val="00F420C4"/>
    <w:rsid w:val="00F43B97"/>
    <w:rsid w:val="00F44E77"/>
    <w:rsid w:val="00F4521A"/>
    <w:rsid w:val="00F47EA8"/>
    <w:rsid w:val="00F526AC"/>
    <w:rsid w:val="00F52927"/>
    <w:rsid w:val="00F54670"/>
    <w:rsid w:val="00F55877"/>
    <w:rsid w:val="00F607A6"/>
    <w:rsid w:val="00F64E05"/>
    <w:rsid w:val="00F659ED"/>
    <w:rsid w:val="00F66804"/>
    <w:rsid w:val="00F71430"/>
    <w:rsid w:val="00F73192"/>
    <w:rsid w:val="00F75451"/>
    <w:rsid w:val="00F80DB0"/>
    <w:rsid w:val="00F81964"/>
    <w:rsid w:val="00F82B04"/>
    <w:rsid w:val="00F82C32"/>
    <w:rsid w:val="00F871B3"/>
    <w:rsid w:val="00F87E11"/>
    <w:rsid w:val="00F90336"/>
    <w:rsid w:val="00F921E8"/>
    <w:rsid w:val="00F94A79"/>
    <w:rsid w:val="00F95B92"/>
    <w:rsid w:val="00FA1961"/>
    <w:rsid w:val="00FA36EB"/>
    <w:rsid w:val="00FA3CF7"/>
    <w:rsid w:val="00FA5383"/>
    <w:rsid w:val="00FA6DEE"/>
    <w:rsid w:val="00FA7AEE"/>
    <w:rsid w:val="00FB3419"/>
    <w:rsid w:val="00FB3421"/>
    <w:rsid w:val="00FB48FA"/>
    <w:rsid w:val="00FB5314"/>
    <w:rsid w:val="00FB5CC1"/>
    <w:rsid w:val="00FB7E61"/>
    <w:rsid w:val="00FC1481"/>
    <w:rsid w:val="00FC20EE"/>
    <w:rsid w:val="00FC3125"/>
    <w:rsid w:val="00FC3EDE"/>
    <w:rsid w:val="00FC5B27"/>
    <w:rsid w:val="00FC699C"/>
    <w:rsid w:val="00FC6BDA"/>
    <w:rsid w:val="00FD43AA"/>
    <w:rsid w:val="00FD54C4"/>
    <w:rsid w:val="00FD55E6"/>
    <w:rsid w:val="00FD7272"/>
    <w:rsid w:val="00FE03A2"/>
    <w:rsid w:val="00FE0749"/>
    <w:rsid w:val="00FE6C26"/>
    <w:rsid w:val="00FF0A0E"/>
    <w:rsid w:val="00FF1BA2"/>
    <w:rsid w:val="00FF272C"/>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page number" w:uiPriority="99"/>
    <w:lsdException w:name="Title" w:qFormat="1"/>
    <w:lsdException w:name="Default Paragraph Font" w:uiPriority="1"/>
    <w:lsdException w:name="Subtitle" w:qFormat="1"/>
    <w:lsdException w:name="Body Text Indent 2"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link w:val="FooterChar"/>
    <w:uiPriority w:val="99"/>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uiPriority w:val="99"/>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uiPriority w:val="99"/>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ALTS FOOTNOTE"/>
    <w:basedOn w:val="Normal"/>
    <w:link w:val="FootnoteTextChar"/>
    <w:uiPriority w:val="99"/>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rPr>
      <w:rFonts w:ascii="Palatino Linotype" w:hAnsi="Palatino Linotype"/>
      <w:szCs w:val="24"/>
    </w:rPr>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uiPriority w:val="99"/>
    <w:rsid w:val="00627B74"/>
    <w:rPr>
      <w:rFonts w:ascii="Palatino Linotype" w:hAnsi="Palatino Linotype"/>
      <w:sz w:val="24"/>
      <w:szCs w:val="24"/>
    </w:rPr>
  </w:style>
  <w:style w:type="character" w:customStyle="1" w:styleId="FootnoteTextChar">
    <w:name w:val="Footnote Text Char"/>
    <w:aliases w:val="ALTS FOOTNOTE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EndnoteText">
    <w:name w:val="endnote text"/>
    <w:basedOn w:val="Normal"/>
    <w:link w:val="EndnoteTextChar"/>
    <w:rsid w:val="00BB435E"/>
    <w:rPr>
      <w:sz w:val="20"/>
      <w:szCs w:val="20"/>
    </w:rPr>
  </w:style>
  <w:style w:type="character" w:customStyle="1" w:styleId="EndnoteTextChar">
    <w:name w:val="Endnote Text Char"/>
    <w:basedOn w:val="DefaultParagraphFont"/>
    <w:link w:val="EndnoteText"/>
    <w:rsid w:val="00BB435E"/>
  </w:style>
  <w:style w:type="character" w:styleId="EndnoteReference">
    <w:name w:val="endnote reference"/>
    <w:basedOn w:val="DefaultParagraphFont"/>
    <w:rsid w:val="00BB435E"/>
    <w:rPr>
      <w:vertAlign w:val="superscript"/>
    </w:rPr>
  </w:style>
  <w:style w:type="character" w:customStyle="1" w:styleId="FooterChar">
    <w:name w:val="Footer Char"/>
    <w:basedOn w:val="DefaultParagraphFont"/>
    <w:link w:val="Footer"/>
    <w:uiPriority w:val="99"/>
    <w:rsid w:val="00BB18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Body Text Indent 2"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uiPriority w:val="99"/>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ALTS FOOTNOTE"/>
    <w:basedOn w:val="Normal"/>
    <w:link w:val="FootnoteTextChar"/>
    <w:uiPriority w:val="99"/>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rPr>
      <w:rFonts w:ascii="Palatino Linotype" w:hAnsi="Palatino Linotype"/>
      <w:szCs w:val="24"/>
    </w:rPr>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uiPriority w:val="99"/>
    <w:rsid w:val="00627B74"/>
    <w:rPr>
      <w:rFonts w:ascii="Palatino Linotype" w:hAnsi="Palatino Linotype"/>
      <w:sz w:val="24"/>
      <w:szCs w:val="24"/>
    </w:rPr>
  </w:style>
  <w:style w:type="character" w:customStyle="1" w:styleId="FootnoteTextChar">
    <w:name w:val="Footnote Text Char"/>
    <w:aliases w:val="ALTS FOOTNOTE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EndnoteText">
    <w:name w:val="endnote text"/>
    <w:basedOn w:val="Normal"/>
    <w:link w:val="EndnoteTextChar"/>
    <w:rsid w:val="00BB435E"/>
    <w:rPr>
      <w:sz w:val="20"/>
      <w:szCs w:val="20"/>
    </w:rPr>
  </w:style>
  <w:style w:type="character" w:customStyle="1" w:styleId="EndnoteTextChar">
    <w:name w:val="Endnote Text Char"/>
    <w:basedOn w:val="DefaultParagraphFont"/>
    <w:link w:val="EndnoteText"/>
    <w:rsid w:val="00BB435E"/>
  </w:style>
  <w:style w:type="character" w:styleId="EndnoteReference">
    <w:name w:val="endnote reference"/>
    <w:basedOn w:val="DefaultParagraphFont"/>
    <w:rsid w:val="00BB4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83450">
      <w:bodyDiv w:val="1"/>
      <w:marLeft w:val="0"/>
      <w:marRight w:val="0"/>
      <w:marTop w:val="0"/>
      <w:marBottom w:val="0"/>
      <w:divBdr>
        <w:top w:val="none" w:sz="0" w:space="0" w:color="auto"/>
        <w:left w:val="none" w:sz="0" w:space="0" w:color="auto"/>
        <w:bottom w:val="none" w:sz="0" w:space="0" w:color="auto"/>
        <w:right w:val="none" w:sz="0" w:space="0" w:color="auto"/>
      </w:divBdr>
    </w:div>
    <w:div w:id="710692396">
      <w:bodyDiv w:val="1"/>
      <w:marLeft w:val="0"/>
      <w:marRight w:val="0"/>
      <w:marTop w:val="0"/>
      <w:marBottom w:val="0"/>
      <w:divBdr>
        <w:top w:val="none" w:sz="0" w:space="0" w:color="auto"/>
        <w:left w:val="none" w:sz="0" w:space="0" w:color="auto"/>
        <w:bottom w:val="none" w:sz="0" w:space="0" w:color="auto"/>
        <w:right w:val="none" w:sz="0" w:space="0" w:color="auto"/>
      </w:divBdr>
    </w:div>
    <w:div w:id="9093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2011-11-30T08:00:00+00:00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E94D96-1BA4-4836-B39A-4BAEBF72B79D}"/>
</file>

<file path=customXml/itemProps2.xml><?xml version="1.0" encoding="utf-8"?>
<ds:datastoreItem xmlns:ds="http://schemas.openxmlformats.org/officeDocument/2006/customXml" ds:itemID="{63595827-60B9-45EE-BFEA-25E0A03FBE21}"/>
</file>

<file path=customXml/itemProps3.xml><?xml version="1.0" encoding="utf-8"?>
<ds:datastoreItem xmlns:ds="http://schemas.openxmlformats.org/officeDocument/2006/customXml" ds:itemID="{21487ADB-F74D-46D1-BC7D-CC38FAA42476}"/>
</file>

<file path=customXml/itemProps4.xml><?xml version="1.0" encoding="utf-8"?>
<ds:datastoreItem xmlns:ds="http://schemas.openxmlformats.org/officeDocument/2006/customXml" ds:itemID="{F1095CA0-1BE2-4A56-891C-2492831058BC}"/>
</file>

<file path=customXml/itemProps5.xml><?xml version="1.0" encoding="utf-8"?>
<ds:datastoreItem xmlns:ds="http://schemas.openxmlformats.org/officeDocument/2006/customXml" ds:itemID="{56F364CF-CC18-4F89-AF9E-97A57D1D61B4}"/>
</file>

<file path=docProps/app.xml><?xml version="1.0" encoding="utf-8"?>
<Properties xmlns="http://schemas.openxmlformats.org/officeDocument/2006/extended-properties" xmlns:vt="http://schemas.openxmlformats.org/officeDocument/2006/docPropsVTypes">
  <Template>Normal.dotm</Template>
  <TotalTime>0</TotalTime>
  <Pages>28</Pages>
  <Words>5722</Words>
  <Characters>31144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36793</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2011-11-30T00:22:00Z</dcterms:created>
  <dcterms:modified xsi:type="dcterms:W3CDTF">2011-11-30T22:35:00Z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0x0101006E56B4D1795A2E4DB2F0B01679ED314A00E68BCDAA9594F047ABBDF7A5C934CE6C</vt:lpwstr>
  </property>
  <property fmtid="{D5CDD505-2E9C-101B-9397-08002B2CF9AE}" pid="3" name="_docset_NoMedatataSyncRequired">
    <vt:lpwstr>False</vt:lpwstr>
  </property>
</Properties>
</file>