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34B0C" w14:textId="77777777" w:rsidR="00517756" w:rsidRPr="005C0826" w:rsidRDefault="00517756" w:rsidP="00D43D9E">
      <w:pPr>
        <w:spacing w:after="0" w:line="240" w:lineRule="auto"/>
        <w:ind w:right="-450"/>
        <w:outlineLvl w:val="0"/>
        <w:rPr>
          <w:rFonts w:ascii="Modern No. 20" w:eastAsia="Cambria" w:hAnsi="Modern No. 20"/>
          <w:sz w:val="40"/>
          <w:szCs w:val="40"/>
        </w:rPr>
      </w:pPr>
      <w:r w:rsidRPr="005C0826">
        <w:rPr>
          <w:rFonts w:ascii="Modern No. 20" w:eastAsia="Cambria" w:hAnsi="Modern No. 20"/>
          <w:sz w:val="48"/>
          <w:szCs w:val="48"/>
        </w:rPr>
        <w:t>Sanger Law</w:t>
      </w:r>
      <w:r w:rsidRPr="005C0826">
        <w:rPr>
          <w:rFonts w:ascii="Modern No. 20" w:eastAsia="Cambria" w:hAnsi="Modern No. 20"/>
          <w:sz w:val="40"/>
          <w:szCs w:val="40"/>
        </w:rPr>
        <w:t xml:space="preserve"> </w:t>
      </w:r>
      <w:r w:rsidRPr="005C0826">
        <w:rPr>
          <w:rFonts w:ascii="Modern No. 20" w:eastAsia="Cambria" w:hAnsi="Modern No. 20"/>
        </w:rPr>
        <w:t>PC</w:t>
      </w:r>
    </w:p>
    <w:p w14:paraId="1562DB63" w14:textId="77777777" w:rsidR="00517756" w:rsidRPr="005C0826" w:rsidRDefault="00517756" w:rsidP="00517756">
      <w:pPr>
        <w:spacing w:after="0" w:line="240" w:lineRule="auto"/>
        <w:ind w:right="-450"/>
        <w:rPr>
          <w:rFonts w:ascii="Modern No. 20" w:eastAsia="GungsuhChe" w:hAnsi="Modern No. 20" w:cs="Cambria"/>
          <w:color w:val="404040"/>
          <w:sz w:val="16"/>
          <w:szCs w:val="15"/>
        </w:rPr>
      </w:pPr>
      <w:r w:rsidRPr="005C0826">
        <w:rPr>
          <w:rFonts w:ascii="Modern No. 20" w:eastAsia="GungsuhChe" w:hAnsi="Modern No. 20" w:cs="Cambria"/>
          <w:color w:val="404040"/>
          <w:sz w:val="16"/>
          <w:szCs w:val="15"/>
        </w:rPr>
        <w:t xml:space="preserve">1117 SE 53rd Ave. Portland, OR 97215                                                           </w:t>
      </w:r>
      <w:proofErr w:type="spellStart"/>
      <w:r w:rsidRPr="005C0826">
        <w:rPr>
          <w:rFonts w:ascii="Modern No. 20" w:eastAsia="GungsuhChe" w:hAnsi="Modern No. 20" w:cs="Cambria"/>
          <w:color w:val="404040"/>
          <w:sz w:val="16"/>
          <w:szCs w:val="15"/>
        </w:rPr>
        <w:t>tel</w:t>
      </w:r>
      <w:proofErr w:type="spellEnd"/>
      <w:r w:rsidRPr="005C0826">
        <w:rPr>
          <w:rFonts w:ascii="Modern No. 20" w:eastAsia="GungsuhChe" w:hAnsi="Modern No. 20" w:cs="Cambria"/>
          <w:color w:val="404040"/>
          <w:sz w:val="16"/>
          <w:szCs w:val="15"/>
        </w:rPr>
        <w:t xml:space="preserve"> (503) 756-7533    fax (503) 334-2235    irion@sanger-law.com</w:t>
      </w:r>
    </w:p>
    <w:p w14:paraId="0C871825" w14:textId="77777777" w:rsidR="00517756" w:rsidRPr="005C0826" w:rsidRDefault="00517756" w:rsidP="00517756">
      <w:pPr>
        <w:spacing w:after="0" w:line="240" w:lineRule="auto"/>
        <w:ind w:right="-450"/>
        <w:rPr>
          <w:rFonts w:eastAsia="GungsuhChe"/>
          <w:b/>
          <w:sz w:val="16"/>
          <w:szCs w:val="16"/>
          <w:u w:val="single"/>
        </w:rPr>
      </w:pPr>
      <w:r w:rsidRPr="005C0826">
        <w:rPr>
          <w:rFonts w:eastAsia="GungsuhChe"/>
          <w:b/>
          <w:sz w:val="10"/>
          <w:szCs w:val="10"/>
          <w:u w:val="single"/>
        </w:rPr>
        <w:t>__________________________________________________________________________________________________________________________________________________________________________________</w:t>
      </w:r>
    </w:p>
    <w:p w14:paraId="35B5F93E" w14:textId="77777777" w:rsidR="00517756" w:rsidRPr="005C0826" w:rsidRDefault="00517756" w:rsidP="00517756">
      <w:pPr>
        <w:spacing w:after="0" w:line="240" w:lineRule="auto"/>
        <w:ind w:right="-450"/>
        <w:rPr>
          <w:rFonts w:eastAsia="Cambria"/>
        </w:rPr>
      </w:pPr>
    </w:p>
    <w:p w14:paraId="21278309" w14:textId="2E659FC1" w:rsidR="00517756" w:rsidRPr="005C0826" w:rsidRDefault="00517756" w:rsidP="00D43D9E">
      <w:pPr>
        <w:spacing w:after="0" w:line="240" w:lineRule="auto"/>
        <w:ind w:right="-450"/>
        <w:outlineLvl w:val="0"/>
        <w:rPr>
          <w:rFonts w:eastAsia="Cambria"/>
          <w:b/>
        </w:rPr>
      </w:pPr>
      <w:r w:rsidRPr="005C0826">
        <w:rPr>
          <w:rFonts w:eastAsia="Cambria"/>
          <w:b/>
        </w:rPr>
        <w:t>Via Electronic Mail</w:t>
      </w:r>
    </w:p>
    <w:p w14:paraId="03DABD00" w14:textId="77777777" w:rsidR="00517756" w:rsidRPr="005C0826" w:rsidRDefault="00517756" w:rsidP="00517756">
      <w:pPr>
        <w:spacing w:after="0" w:line="240" w:lineRule="auto"/>
        <w:ind w:right="-450"/>
        <w:rPr>
          <w:rFonts w:eastAsia="Cambria"/>
        </w:rPr>
      </w:pPr>
    </w:p>
    <w:p w14:paraId="79915C79" w14:textId="6FDD1A41" w:rsidR="00517756" w:rsidRPr="005C0826" w:rsidRDefault="00D87C07" w:rsidP="00517756">
      <w:pPr>
        <w:spacing w:after="0" w:line="240" w:lineRule="auto"/>
        <w:ind w:right="-450"/>
        <w:rPr>
          <w:rFonts w:eastAsia="Cambria"/>
        </w:rPr>
      </w:pPr>
      <w:r>
        <w:rPr>
          <w:rFonts w:eastAsia="Cambria"/>
        </w:rPr>
        <w:t>February 6</w:t>
      </w:r>
      <w:r w:rsidR="00B903D6">
        <w:rPr>
          <w:rFonts w:eastAsia="Cambria"/>
        </w:rPr>
        <w:t>, 2017</w:t>
      </w:r>
    </w:p>
    <w:p w14:paraId="589585FE" w14:textId="77777777" w:rsidR="00517756" w:rsidRDefault="00517756" w:rsidP="00517756">
      <w:pPr>
        <w:spacing w:after="0" w:line="240" w:lineRule="auto"/>
        <w:ind w:right="-450"/>
        <w:rPr>
          <w:rFonts w:eastAsia="Cambria"/>
        </w:rPr>
      </w:pPr>
    </w:p>
    <w:p w14:paraId="7B423ACF" w14:textId="77777777" w:rsidR="00517756" w:rsidRDefault="00517756" w:rsidP="00517756">
      <w:pPr>
        <w:spacing w:after="0" w:line="240" w:lineRule="auto"/>
        <w:ind w:right="-450"/>
        <w:rPr>
          <w:rFonts w:eastAsia="Cambria"/>
        </w:rPr>
      </w:pPr>
      <w:r>
        <w:rPr>
          <w:rFonts w:eastAsia="Cambria"/>
        </w:rPr>
        <w:t>Chairman David Danner</w:t>
      </w:r>
    </w:p>
    <w:p w14:paraId="36D719BA" w14:textId="77777777" w:rsidR="00517756" w:rsidRDefault="00517756" w:rsidP="00517756">
      <w:pPr>
        <w:spacing w:after="0" w:line="240" w:lineRule="auto"/>
        <w:ind w:right="-450"/>
        <w:rPr>
          <w:rFonts w:eastAsia="Cambria"/>
        </w:rPr>
      </w:pPr>
      <w:r>
        <w:rPr>
          <w:rFonts w:eastAsia="Cambria"/>
        </w:rPr>
        <w:t>Commissioner Philip Jones</w:t>
      </w:r>
    </w:p>
    <w:p w14:paraId="7502B83A" w14:textId="77777777" w:rsidR="00517756" w:rsidRDefault="00517756" w:rsidP="00517756">
      <w:pPr>
        <w:spacing w:after="0" w:line="240" w:lineRule="auto"/>
        <w:ind w:right="-450"/>
        <w:rPr>
          <w:rFonts w:eastAsia="Cambria"/>
        </w:rPr>
      </w:pPr>
      <w:r>
        <w:rPr>
          <w:rFonts w:eastAsia="Cambria"/>
        </w:rPr>
        <w:t xml:space="preserve">Commissioner Ann </w:t>
      </w:r>
      <w:proofErr w:type="spellStart"/>
      <w:r>
        <w:rPr>
          <w:rFonts w:eastAsia="Cambria"/>
        </w:rPr>
        <w:t>Rendahl</w:t>
      </w:r>
      <w:proofErr w:type="spellEnd"/>
    </w:p>
    <w:p w14:paraId="04628A1A" w14:textId="77777777" w:rsidR="00517756" w:rsidRDefault="00517756" w:rsidP="00517756">
      <w:pPr>
        <w:spacing w:after="0" w:line="240" w:lineRule="auto"/>
        <w:ind w:right="-450"/>
        <w:rPr>
          <w:rFonts w:eastAsia="Cambria"/>
        </w:rPr>
      </w:pPr>
      <w:r>
        <w:rPr>
          <w:rFonts w:eastAsia="Cambria"/>
        </w:rPr>
        <w:t>Washington Utilities and Transportation Commission</w:t>
      </w:r>
    </w:p>
    <w:p w14:paraId="5358B2D4" w14:textId="7FB1B349" w:rsidR="00517756" w:rsidRDefault="00373E0A" w:rsidP="00517756">
      <w:pPr>
        <w:spacing w:after="0" w:line="240" w:lineRule="auto"/>
        <w:ind w:right="-450"/>
        <w:rPr>
          <w:rFonts w:eastAsia="Cambria"/>
        </w:rPr>
      </w:pPr>
      <w:r>
        <w:rPr>
          <w:rFonts w:eastAsia="Cambria"/>
        </w:rPr>
        <w:t>1300 S. Evergreen Park Dr. SW</w:t>
      </w:r>
      <w:r w:rsidR="00517756">
        <w:rPr>
          <w:rFonts w:eastAsia="Cambria"/>
        </w:rPr>
        <w:t xml:space="preserve"> </w:t>
      </w:r>
    </w:p>
    <w:p w14:paraId="0CD14F60" w14:textId="77777777" w:rsidR="00517756" w:rsidRDefault="00517756" w:rsidP="00517756">
      <w:pPr>
        <w:spacing w:after="0" w:line="240" w:lineRule="auto"/>
        <w:ind w:right="-450"/>
        <w:rPr>
          <w:rFonts w:eastAsia="Cambria"/>
        </w:rPr>
      </w:pPr>
      <w:r w:rsidRPr="00517756">
        <w:rPr>
          <w:rFonts w:eastAsia="Cambria"/>
        </w:rPr>
        <w:t xml:space="preserve">PO Box 47250 </w:t>
      </w:r>
    </w:p>
    <w:p w14:paraId="54DEDFFA" w14:textId="77777777" w:rsidR="00517756" w:rsidRPr="005C0826" w:rsidRDefault="00517756" w:rsidP="00517756">
      <w:pPr>
        <w:spacing w:after="0" w:line="240" w:lineRule="auto"/>
        <w:ind w:right="-450"/>
        <w:rPr>
          <w:rFonts w:eastAsia="Cambria"/>
        </w:rPr>
      </w:pPr>
      <w:r w:rsidRPr="00517756">
        <w:rPr>
          <w:rFonts w:eastAsia="Cambria"/>
        </w:rPr>
        <w:t>Olympia, WA 98504-7250</w:t>
      </w:r>
    </w:p>
    <w:p w14:paraId="05436C51" w14:textId="77777777" w:rsidR="00517756" w:rsidRDefault="00517756" w:rsidP="00517756">
      <w:pPr>
        <w:tabs>
          <w:tab w:val="left" w:pos="0"/>
        </w:tabs>
        <w:spacing w:after="0" w:line="240" w:lineRule="auto"/>
        <w:ind w:left="720" w:right="-450" w:hanging="720"/>
        <w:rPr>
          <w:rFonts w:eastAsia="Cambria"/>
        </w:rPr>
      </w:pPr>
    </w:p>
    <w:p w14:paraId="069F0186" w14:textId="469D9870" w:rsidR="00517756" w:rsidRPr="00092219" w:rsidRDefault="00517756" w:rsidP="00092219">
      <w:pPr>
        <w:widowControl w:val="0"/>
        <w:autoSpaceDE w:val="0"/>
        <w:autoSpaceDN w:val="0"/>
        <w:adjustRightInd w:val="0"/>
        <w:spacing w:after="0" w:line="240" w:lineRule="auto"/>
        <w:ind w:left="720" w:hanging="720"/>
        <w:rPr>
          <w:rFonts w:eastAsiaTheme="minorEastAsia"/>
          <w:lang w:eastAsia="ja-JP"/>
        </w:rPr>
      </w:pPr>
      <w:r w:rsidRPr="00C40845">
        <w:rPr>
          <w:rFonts w:eastAsia="Cambria"/>
        </w:rPr>
        <w:t xml:space="preserve">Re: </w:t>
      </w:r>
      <w:r w:rsidRPr="00C40845">
        <w:rPr>
          <w:rFonts w:eastAsia="Cambria"/>
        </w:rPr>
        <w:tab/>
      </w:r>
      <w:r w:rsidR="00092219">
        <w:rPr>
          <w:rFonts w:eastAsiaTheme="minorEastAsia"/>
          <w:lang w:eastAsia="ja-JP"/>
        </w:rPr>
        <w:t xml:space="preserve">Advice </w:t>
      </w:r>
      <w:r w:rsidR="003913C0">
        <w:rPr>
          <w:rFonts w:eastAsiaTheme="minorEastAsia"/>
          <w:lang w:eastAsia="ja-JP"/>
        </w:rPr>
        <w:t>2016-31</w:t>
      </w:r>
      <w:r w:rsidR="00092219">
        <w:rPr>
          <w:rFonts w:eastAsiaTheme="minorEastAsia"/>
          <w:lang w:eastAsia="ja-JP"/>
        </w:rPr>
        <w:t>—</w:t>
      </w:r>
      <w:r w:rsidR="008734CF">
        <w:rPr>
          <w:rFonts w:eastAsiaTheme="minorEastAsia"/>
          <w:lang w:eastAsia="ja-JP"/>
        </w:rPr>
        <w:t>Schedule 91 – Cogeneration and Small Power Production</w:t>
      </w:r>
    </w:p>
    <w:p w14:paraId="1D0A1799" w14:textId="0FB9C9A3" w:rsidR="00517756" w:rsidRPr="00C40845" w:rsidRDefault="00342135" w:rsidP="00517756">
      <w:pPr>
        <w:spacing w:after="0" w:line="240" w:lineRule="auto"/>
        <w:ind w:right="-450"/>
        <w:rPr>
          <w:rFonts w:eastAsia="Cambria"/>
        </w:rPr>
      </w:pPr>
      <w:r>
        <w:rPr>
          <w:rFonts w:eastAsia="Cambria"/>
        </w:rPr>
        <w:tab/>
        <w:t>Docket No. UE-</w:t>
      </w:r>
      <w:r w:rsidR="008734CF">
        <w:rPr>
          <w:rFonts w:eastAsia="Cambria"/>
        </w:rPr>
        <w:t>161240</w:t>
      </w:r>
    </w:p>
    <w:p w14:paraId="2737F89D" w14:textId="77777777" w:rsidR="00517756" w:rsidRPr="005C0826" w:rsidRDefault="00517756" w:rsidP="00517756">
      <w:pPr>
        <w:spacing w:after="0" w:line="240" w:lineRule="auto"/>
        <w:ind w:right="-450"/>
        <w:rPr>
          <w:rFonts w:eastAsia="Cambria"/>
        </w:rPr>
      </w:pPr>
    </w:p>
    <w:p w14:paraId="29496312" w14:textId="33A4E847" w:rsidR="00BB4A55" w:rsidRDefault="00517756" w:rsidP="00517756">
      <w:pPr>
        <w:ind w:right="-450"/>
        <w:rPr>
          <w:rFonts w:eastAsia="Cambria"/>
        </w:rPr>
      </w:pPr>
      <w:r>
        <w:rPr>
          <w:rFonts w:eastAsia="Cambria"/>
        </w:rPr>
        <w:t>Dear</w:t>
      </w:r>
      <w:r w:rsidR="00092219">
        <w:rPr>
          <w:rFonts w:eastAsia="Cambria"/>
        </w:rPr>
        <w:t xml:space="preserve"> Commissioners</w:t>
      </w:r>
      <w:r w:rsidR="008E3B28">
        <w:rPr>
          <w:rFonts w:eastAsia="Cambria"/>
        </w:rPr>
        <w:t>:</w:t>
      </w:r>
    </w:p>
    <w:p w14:paraId="153A7089" w14:textId="731F57A6" w:rsidR="00F5676B" w:rsidRDefault="00092219" w:rsidP="00517756">
      <w:pPr>
        <w:ind w:right="-450"/>
        <w:rPr>
          <w:rFonts w:eastAsia="Cambria"/>
        </w:rPr>
      </w:pPr>
      <w:r>
        <w:rPr>
          <w:rFonts w:eastAsia="Cambria"/>
        </w:rPr>
        <w:tab/>
        <w:t>The Renewable Energy Coalition (the “Coalition”) requests that the Washington Utilities and Transportation Commission (the</w:t>
      </w:r>
      <w:r w:rsidR="008E3B28">
        <w:rPr>
          <w:rFonts w:eastAsia="Cambria"/>
        </w:rPr>
        <w:t xml:space="preserve"> “Commission”</w:t>
      </w:r>
      <w:r>
        <w:rPr>
          <w:rFonts w:eastAsia="Cambria"/>
        </w:rPr>
        <w:t xml:space="preserve">) </w:t>
      </w:r>
      <w:r w:rsidR="009D1AA2">
        <w:rPr>
          <w:rFonts w:eastAsia="Cambria"/>
        </w:rPr>
        <w:t xml:space="preserve">reject, </w:t>
      </w:r>
      <w:r w:rsidR="00C022C0">
        <w:rPr>
          <w:rFonts w:eastAsia="Cambria"/>
        </w:rPr>
        <w:t xml:space="preserve">delay its implementation, </w:t>
      </w:r>
      <w:r w:rsidR="009D1AA2">
        <w:rPr>
          <w:rFonts w:eastAsia="Cambria"/>
        </w:rPr>
        <w:t xml:space="preserve">or </w:t>
      </w:r>
      <w:r>
        <w:rPr>
          <w:rFonts w:eastAsia="Cambria"/>
        </w:rPr>
        <w:t xml:space="preserve">suspend and investigate </w:t>
      </w:r>
      <w:r w:rsidR="008734CF">
        <w:rPr>
          <w:rFonts w:eastAsia="Cambria"/>
        </w:rPr>
        <w:t xml:space="preserve">Puget Sound Energy’s (“PSE”) </w:t>
      </w:r>
      <w:r w:rsidR="006E6FC4">
        <w:rPr>
          <w:rFonts w:eastAsia="Cambria"/>
        </w:rPr>
        <w:t>third</w:t>
      </w:r>
      <w:r w:rsidR="00C022C0">
        <w:rPr>
          <w:rFonts w:eastAsia="Cambria"/>
        </w:rPr>
        <w:t xml:space="preserve"> revised </w:t>
      </w:r>
      <w:r w:rsidR="008734CF">
        <w:rPr>
          <w:rFonts w:eastAsia="Cambria"/>
        </w:rPr>
        <w:t>advice filing</w:t>
      </w:r>
      <w:r w:rsidR="00D87C07">
        <w:rPr>
          <w:rFonts w:eastAsia="Cambria"/>
        </w:rPr>
        <w:t xml:space="preserve"> proposing to reduce its Schedule 91 avoided cost rates</w:t>
      </w:r>
      <w:r w:rsidR="00C073EC">
        <w:rPr>
          <w:rFonts w:eastAsia="Cambria"/>
        </w:rPr>
        <w:t xml:space="preserve"> (“2017 Schedule 91”)</w:t>
      </w:r>
      <w:r w:rsidR="00D87C07">
        <w:rPr>
          <w:rFonts w:eastAsia="Cambria"/>
        </w:rPr>
        <w:t xml:space="preserve">. </w:t>
      </w:r>
      <w:r w:rsidR="00B62F07">
        <w:rPr>
          <w:rFonts w:eastAsia="Cambria"/>
        </w:rPr>
        <w:t xml:space="preserve"> </w:t>
      </w:r>
      <w:r w:rsidR="00174C2E">
        <w:rPr>
          <w:rFonts w:eastAsia="Cambria"/>
        </w:rPr>
        <w:t>The</w:t>
      </w:r>
      <w:r w:rsidR="00174C2E">
        <w:t xml:space="preserve"> Coalition opposes the adoption of PSE’s third revised 2017 Schedule 91 because </w:t>
      </w:r>
      <w:r w:rsidR="00D87C07">
        <w:rPr>
          <w:rFonts w:eastAsia="Cambria"/>
        </w:rPr>
        <w:t>the tariff continue</w:t>
      </w:r>
      <w:r w:rsidR="00263374">
        <w:rPr>
          <w:rFonts w:eastAsia="Cambria"/>
        </w:rPr>
        <w:t>s</w:t>
      </w:r>
      <w:r w:rsidR="00D87C07">
        <w:rPr>
          <w:rFonts w:eastAsia="Cambria"/>
        </w:rPr>
        <w:t xml:space="preserve"> to under compensate qualifying facilities (“QF”) for capacity. </w:t>
      </w:r>
      <w:r w:rsidR="00174C2E">
        <w:t xml:space="preserve"> </w:t>
      </w:r>
      <w:r w:rsidR="00EF1483">
        <w:t>The Coalition, however</w:t>
      </w:r>
      <w:r w:rsidR="005B3DD6">
        <w:t xml:space="preserve">, </w:t>
      </w:r>
      <w:r w:rsidR="00E52938">
        <w:t>support</w:t>
      </w:r>
      <w:r w:rsidR="00EF7A51">
        <w:t>s</w:t>
      </w:r>
      <w:r w:rsidR="00E52938">
        <w:t xml:space="preserve"> the</w:t>
      </w:r>
      <w:r w:rsidR="007E1DD1">
        <w:t xml:space="preserve"> Commission approving PSE’s</w:t>
      </w:r>
      <w:r w:rsidR="00174C2E">
        <w:t xml:space="preserve"> proposed 2017</w:t>
      </w:r>
      <w:r w:rsidR="007E1DD1">
        <w:t xml:space="preserve"> form </w:t>
      </w:r>
      <w:r w:rsidR="00B01F06">
        <w:t>power purchase agreements (“Form PPAs”)</w:t>
      </w:r>
      <w:r w:rsidR="003D762A">
        <w:t>.</w:t>
      </w:r>
    </w:p>
    <w:p w14:paraId="1767A41E" w14:textId="6FA17E96" w:rsidR="00D87C07" w:rsidRDefault="00F5676B" w:rsidP="00517756">
      <w:pPr>
        <w:ind w:right="-450"/>
        <w:rPr>
          <w:rFonts w:eastAsia="Cambria"/>
        </w:rPr>
      </w:pPr>
      <w:r>
        <w:rPr>
          <w:rFonts w:eastAsia="Cambria"/>
        </w:rPr>
        <w:tab/>
      </w:r>
      <w:r w:rsidR="00D87C07">
        <w:rPr>
          <w:rFonts w:eastAsia="Cambria"/>
        </w:rPr>
        <w:t xml:space="preserve">Even more important, PSE </w:t>
      </w:r>
      <w:r w:rsidR="00C022C0">
        <w:rPr>
          <w:rFonts w:eastAsia="Cambria"/>
        </w:rPr>
        <w:t>may</w:t>
      </w:r>
      <w:r w:rsidR="00D87C07">
        <w:rPr>
          <w:rFonts w:eastAsia="Cambria"/>
        </w:rPr>
        <w:t xml:space="preserve"> be delaying </w:t>
      </w:r>
      <w:r w:rsidR="00622985">
        <w:rPr>
          <w:rFonts w:eastAsia="Cambria"/>
        </w:rPr>
        <w:t>finalizing</w:t>
      </w:r>
      <w:r w:rsidR="00D87C07">
        <w:rPr>
          <w:rFonts w:eastAsia="Cambria"/>
        </w:rPr>
        <w:t xml:space="preserve"> </w:t>
      </w:r>
      <w:r w:rsidR="00C37FD8">
        <w:rPr>
          <w:rFonts w:eastAsia="Cambria"/>
        </w:rPr>
        <w:t>PPA</w:t>
      </w:r>
      <w:r w:rsidR="00D87C07">
        <w:rPr>
          <w:rFonts w:eastAsia="Cambria"/>
        </w:rPr>
        <w:t xml:space="preserve">s with QFs until the Commission approves the lower </w:t>
      </w:r>
      <w:r w:rsidR="00622985">
        <w:rPr>
          <w:rFonts w:eastAsia="Cambria"/>
        </w:rPr>
        <w:t>2017</w:t>
      </w:r>
      <w:r w:rsidR="00D87C07">
        <w:rPr>
          <w:rFonts w:eastAsia="Cambria"/>
        </w:rPr>
        <w:t xml:space="preserve"> Schedule 91</w:t>
      </w:r>
      <w:r w:rsidR="00622985">
        <w:rPr>
          <w:rFonts w:eastAsia="Cambria"/>
        </w:rPr>
        <w:t xml:space="preserve"> rates</w:t>
      </w:r>
      <w:r w:rsidR="00D87C07">
        <w:rPr>
          <w:rFonts w:eastAsia="Cambria"/>
        </w:rPr>
        <w:t xml:space="preserve">.  </w:t>
      </w:r>
      <w:r w:rsidR="00B132DF">
        <w:t xml:space="preserve">If PSE is waiting to finalize PPAs with QFs until rates drop, then PSE’s actions would be illegal and will result in the filing of numerous complaints before the Commission.  To avoid any unnecessary legal disputes, the </w:t>
      </w:r>
      <w:r w:rsidR="00D87C07">
        <w:rPr>
          <w:rFonts w:eastAsia="Cambria"/>
        </w:rPr>
        <w:t xml:space="preserve">Commission should not allow </w:t>
      </w:r>
      <w:r w:rsidR="00CC62C3">
        <w:rPr>
          <w:rFonts w:eastAsia="Cambria"/>
        </w:rPr>
        <w:t>the</w:t>
      </w:r>
      <w:r w:rsidR="00DD754F">
        <w:rPr>
          <w:rFonts w:eastAsia="Cambria"/>
        </w:rPr>
        <w:t xml:space="preserve"> proposed 2017</w:t>
      </w:r>
      <w:r w:rsidR="00CC62C3">
        <w:rPr>
          <w:rFonts w:eastAsia="Cambria"/>
        </w:rPr>
        <w:t xml:space="preserve"> </w:t>
      </w:r>
      <w:r w:rsidR="00D87C07">
        <w:rPr>
          <w:rFonts w:eastAsia="Cambria"/>
        </w:rPr>
        <w:t xml:space="preserve">Schedule 91 </w:t>
      </w:r>
      <w:r w:rsidR="00CC62C3">
        <w:rPr>
          <w:rFonts w:eastAsia="Cambria"/>
        </w:rPr>
        <w:t xml:space="preserve">rates </w:t>
      </w:r>
      <w:r w:rsidR="00D87C07">
        <w:rPr>
          <w:rFonts w:eastAsia="Cambria"/>
        </w:rPr>
        <w:t>to go into effect</w:t>
      </w:r>
      <w:r w:rsidR="00174C2E">
        <w:rPr>
          <w:rFonts w:eastAsia="Cambria"/>
        </w:rPr>
        <w:t xml:space="preserve"> so that</w:t>
      </w:r>
      <w:r w:rsidR="00D87C07">
        <w:rPr>
          <w:rFonts w:eastAsia="Cambria"/>
        </w:rPr>
        <w:t xml:space="preserve"> </w:t>
      </w:r>
      <w:r w:rsidR="00C022C0">
        <w:rPr>
          <w:rFonts w:eastAsia="Cambria"/>
        </w:rPr>
        <w:t>QFs that PSE has already concluded are</w:t>
      </w:r>
      <w:r w:rsidR="00D87C07">
        <w:rPr>
          <w:rFonts w:eastAsia="Cambria"/>
        </w:rPr>
        <w:t xml:space="preserve"> </w:t>
      </w:r>
      <w:r w:rsidR="00E17F6C">
        <w:rPr>
          <w:rFonts w:eastAsia="Cambria"/>
        </w:rPr>
        <w:t>“</w:t>
      </w:r>
      <w:r w:rsidR="00D87C07">
        <w:rPr>
          <w:rFonts w:eastAsia="Cambria"/>
        </w:rPr>
        <w:t>mature</w:t>
      </w:r>
      <w:r w:rsidR="00E17F6C">
        <w:rPr>
          <w:rFonts w:eastAsia="Cambria"/>
        </w:rPr>
        <w:t>”</w:t>
      </w:r>
      <w:r w:rsidR="00D87C07">
        <w:rPr>
          <w:rFonts w:eastAsia="Cambria"/>
        </w:rPr>
        <w:t xml:space="preserve"> projects</w:t>
      </w:r>
      <w:r w:rsidR="006309A9">
        <w:rPr>
          <w:rFonts w:eastAsia="Cambria"/>
        </w:rPr>
        <w:t xml:space="preserve"> </w:t>
      </w:r>
      <w:r w:rsidR="00174C2E">
        <w:rPr>
          <w:rFonts w:eastAsia="Cambria"/>
        </w:rPr>
        <w:t>can finalize their PPAs</w:t>
      </w:r>
      <w:r w:rsidR="00D87C07">
        <w:rPr>
          <w:rFonts w:eastAsia="Cambria"/>
        </w:rPr>
        <w:t xml:space="preserve">.    </w:t>
      </w:r>
    </w:p>
    <w:p w14:paraId="54357013" w14:textId="218226FF" w:rsidR="00F5676B" w:rsidRDefault="00381064" w:rsidP="00517756">
      <w:pPr>
        <w:ind w:right="-450"/>
      </w:pPr>
      <w:r>
        <w:tab/>
        <w:t>Attached to PSE’s Schedule 91 tariff filings is an Attac</w:t>
      </w:r>
      <w:r w:rsidR="00A908AC">
        <w:t>hment A, with revised standard Form PPA</w:t>
      </w:r>
      <w:r w:rsidR="00D01BE9">
        <w:t xml:space="preserve"> (“2017 Form PPA”)</w:t>
      </w:r>
      <w:r w:rsidR="00A908AC">
        <w:t xml:space="preserve">.  </w:t>
      </w:r>
      <w:r w:rsidR="00E52938">
        <w:t xml:space="preserve">The Coalition supports </w:t>
      </w:r>
      <w:r w:rsidR="00F5676B">
        <w:t xml:space="preserve">adoption of the new 2017 Form PPAs.  </w:t>
      </w:r>
      <w:r>
        <w:t>PSE</w:t>
      </w:r>
      <w:r w:rsidR="0039500A">
        <w:t xml:space="preserve"> is currently refusing</w:t>
      </w:r>
      <w:r>
        <w:t xml:space="preserve"> to execute some PPAs on the grounds that it is waiting for the Commission to approve these new 2017 Form PPAs.  </w:t>
      </w:r>
      <w:r w:rsidR="00224B7F">
        <w:t>Given</w:t>
      </w:r>
      <w:r>
        <w:t xml:space="preserve"> PSE’s position (that it should not sign new PPAs using the current 2016 Form PPAs), </w:t>
      </w:r>
      <w:r w:rsidR="00F5676B">
        <w:t>the</w:t>
      </w:r>
      <w:r>
        <w:t xml:space="preserve"> Commission should delay ruling upon </w:t>
      </w:r>
      <w:r w:rsidR="00224B7F">
        <w:t>PSE’</w:t>
      </w:r>
      <w:r w:rsidR="00174C2E">
        <w:t>s</w:t>
      </w:r>
      <w:r w:rsidR="00224B7F">
        <w:t xml:space="preserve"> </w:t>
      </w:r>
      <w:r>
        <w:t xml:space="preserve">proposed 2017 Schedule 91 </w:t>
      </w:r>
      <w:r w:rsidRPr="00381064">
        <w:rPr>
          <w:b/>
          <w:u w:val="single"/>
        </w:rPr>
        <w:t>rates</w:t>
      </w:r>
      <w:r>
        <w:t xml:space="preserve">, but approve the proposed 2017 </w:t>
      </w:r>
      <w:r w:rsidRPr="00381064">
        <w:rPr>
          <w:b/>
          <w:u w:val="single"/>
        </w:rPr>
        <w:t>Form PPAs</w:t>
      </w:r>
      <w:r>
        <w:t xml:space="preserve">.  This would allow PSE to </w:t>
      </w:r>
      <w:r w:rsidR="00F5676B">
        <w:t>complete negotia</w:t>
      </w:r>
      <w:r w:rsidR="0099548B">
        <w:t xml:space="preserve">tions using the 2017 Form PPAs </w:t>
      </w:r>
      <w:r w:rsidR="00EF7A51">
        <w:t xml:space="preserve">incorporating </w:t>
      </w:r>
      <w:r w:rsidR="0099548B">
        <w:t xml:space="preserve">the current 2016 </w:t>
      </w:r>
      <w:r w:rsidR="00F5676B">
        <w:t>Schedule 91 rates</w:t>
      </w:r>
      <w:r w:rsidR="00EF7A51">
        <w:t xml:space="preserve"> before the proposed 2017 Schedule 91 rates go into effect</w:t>
      </w:r>
      <w:r w:rsidR="00F5676B">
        <w:t>.</w:t>
      </w:r>
    </w:p>
    <w:p w14:paraId="4504ADA3" w14:textId="41BDEBEE" w:rsidR="00381064" w:rsidRPr="00381064" w:rsidRDefault="00F5676B" w:rsidP="00517756">
      <w:pPr>
        <w:ind w:right="-450"/>
      </w:pPr>
      <w:r>
        <w:rPr>
          <w:b/>
        </w:rPr>
        <w:lastRenderedPageBreak/>
        <w:t>1.</w:t>
      </w:r>
      <w:r>
        <w:rPr>
          <w:b/>
        </w:rPr>
        <w:tab/>
        <w:t>Background</w:t>
      </w:r>
      <w:r>
        <w:t xml:space="preserve">  </w:t>
      </w:r>
      <w:r w:rsidR="00381064">
        <w:t xml:space="preserve">  </w:t>
      </w:r>
    </w:p>
    <w:p w14:paraId="067DA71C" w14:textId="1636A02F" w:rsidR="00BD0645" w:rsidRDefault="00E11F42" w:rsidP="00517756">
      <w:pPr>
        <w:ind w:right="-450"/>
        <w:rPr>
          <w:rFonts w:eastAsia="Cambria"/>
        </w:rPr>
      </w:pPr>
      <w:r>
        <w:rPr>
          <w:rFonts w:eastAsia="Cambria"/>
        </w:rPr>
        <w:tab/>
      </w:r>
      <w:r w:rsidR="00BD0645">
        <w:rPr>
          <w:rFonts w:eastAsia="Cambria"/>
        </w:rPr>
        <w:t>The Coalitio</w:t>
      </w:r>
      <w:r w:rsidR="009E6F79">
        <w:rPr>
          <w:rFonts w:eastAsia="Cambria"/>
        </w:rPr>
        <w:t>n is not recounting this background</w:t>
      </w:r>
      <w:r w:rsidR="00BD0645">
        <w:rPr>
          <w:rFonts w:eastAsia="Cambria"/>
        </w:rPr>
        <w:t xml:space="preserve"> for the Commission to memor</w:t>
      </w:r>
      <w:r w:rsidR="00EF7A51">
        <w:rPr>
          <w:rFonts w:eastAsia="Cambria"/>
        </w:rPr>
        <w:t>i</w:t>
      </w:r>
      <w:r w:rsidR="007956BD">
        <w:rPr>
          <w:rFonts w:eastAsia="Cambria"/>
        </w:rPr>
        <w:t>al</w:t>
      </w:r>
      <w:r w:rsidR="00BD0645">
        <w:rPr>
          <w:rFonts w:eastAsia="Cambria"/>
        </w:rPr>
        <w:t xml:space="preserve">ize every change, but to make the point that </w:t>
      </w:r>
      <w:r w:rsidR="00EF7A51">
        <w:rPr>
          <w:rFonts w:eastAsia="Cambria"/>
        </w:rPr>
        <w:t xml:space="preserve">PSE’s </w:t>
      </w:r>
      <w:r w:rsidR="009E6F79">
        <w:rPr>
          <w:rFonts w:eastAsia="Cambria"/>
        </w:rPr>
        <w:t xml:space="preserve">filings have </w:t>
      </w:r>
      <w:r w:rsidR="00224B7F">
        <w:rPr>
          <w:rFonts w:eastAsia="Cambria"/>
        </w:rPr>
        <w:t xml:space="preserve">created </w:t>
      </w:r>
      <w:r w:rsidR="009E6F79">
        <w:rPr>
          <w:rFonts w:eastAsia="Cambria"/>
        </w:rPr>
        <w:t>a</w:t>
      </w:r>
      <w:r w:rsidR="00BD0645">
        <w:rPr>
          <w:rFonts w:eastAsia="Cambria"/>
        </w:rPr>
        <w:t xml:space="preserve"> moving target</w:t>
      </w:r>
      <w:r w:rsidR="00224B7F">
        <w:rPr>
          <w:rFonts w:eastAsia="Cambria"/>
        </w:rPr>
        <w:t xml:space="preserve"> for QFs</w:t>
      </w:r>
      <w:r w:rsidR="00F5676B">
        <w:rPr>
          <w:rFonts w:eastAsia="Cambria"/>
        </w:rPr>
        <w:t>, which</w:t>
      </w:r>
      <w:r w:rsidR="00BD0645">
        <w:rPr>
          <w:rFonts w:eastAsia="Cambria"/>
        </w:rPr>
        <w:t xml:space="preserve"> warrant</w:t>
      </w:r>
      <w:r w:rsidR="00F5676B">
        <w:rPr>
          <w:rFonts w:eastAsia="Cambria"/>
        </w:rPr>
        <w:t>s</w:t>
      </w:r>
      <w:r w:rsidR="00BD0645">
        <w:rPr>
          <w:rFonts w:eastAsia="Cambria"/>
        </w:rPr>
        <w:t xml:space="preserve"> further review prior to their adoption.  </w:t>
      </w:r>
      <w:r w:rsidR="00CC1811">
        <w:rPr>
          <w:rFonts w:eastAsia="Cambria"/>
        </w:rPr>
        <w:t xml:space="preserve">The Coalition also notes that PSE’s changes were made in response to errors and improper adjustments identified by Staff, and the Coalition appreciates Staff’s efforts reviewing the numerous filings.  </w:t>
      </w:r>
    </w:p>
    <w:p w14:paraId="4F8B1EE7" w14:textId="417C5151" w:rsidR="00CC1811" w:rsidRDefault="006771BA" w:rsidP="00BD0645">
      <w:pPr>
        <w:pStyle w:val="ListParagraph"/>
        <w:numPr>
          <w:ilvl w:val="0"/>
          <w:numId w:val="1"/>
        </w:numPr>
        <w:ind w:right="-450"/>
        <w:rPr>
          <w:rFonts w:eastAsia="Cambria"/>
        </w:rPr>
      </w:pPr>
      <w:r>
        <w:rPr>
          <w:rFonts w:eastAsia="Cambria"/>
        </w:rPr>
        <w:t xml:space="preserve">PSE filed lower </w:t>
      </w:r>
      <w:r w:rsidR="00CC1811">
        <w:rPr>
          <w:rFonts w:eastAsia="Cambria"/>
        </w:rPr>
        <w:t>Schedule 91 rates and revised Form PPAs on November 23, 2016</w:t>
      </w:r>
      <w:r w:rsidR="00644599">
        <w:rPr>
          <w:rFonts w:eastAsia="Cambria"/>
        </w:rPr>
        <w:t>,</w:t>
      </w:r>
      <w:r w:rsidR="00CC1811">
        <w:rPr>
          <w:rFonts w:eastAsia="Cambria"/>
        </w:rPr>
        <w:t xml:space="preserve"> with a proposed effective date of December 24, 2016</w:t>
      </w:r>
      <w:r w:rsidR="006309A9">
        <w:rPr>
          <w:rFonts w:eastAsia="Cambria"/>
        </w:rPr>
        <w:t>,</w:t>
      </w:r>
      <w:r w:rsidR="00CC1811">
        <w:rPr>
          <w:rFonts w:eastAsia="Cambria"/>
        </w:rPr>
        <w:t xml:space="preserve"> </w:t>
      </w:r>
      <w:r w:rsidR="00CC1811" w:rsidRPr="00BD0645">
        <w:rPr>
          <w:rFonts w:eastAsia="Cambria"/>
        </w:rPr>
        <w:t xml:space="preserve">making </w:t>
      </w:r>
      <w:r w:rsidR="00CC1811">
        <w:rPr>
          <w:rFonts w:eastAsia="Cambria"/>
        </w:rPr>
        <w:t xml:space="preserve">major </w:t>
      </w:r>
      <w:r w:rsidR="00CC1811" w:rsidRPr="00BD0645">
        <w:rPr>
          <w:rFonts w:eastAsia="Cambria"/>
        </w:rPr>
        <w:t xml:space="preserve">changes </w:t>
      </w:r>
      <w:r w:rsidR="00CC1811">
        <w:rPr>
          <w:rFonts w:eastAsia="Cambria"/>
        </w:rPr>
        <w:t>from the currently effective 2016 Schedule</w:t>
      </w:r>
      <w:r w:rsidR="007956BD">
        <w:rPr>
          <w:rFonts w:eastAsia="Cambria"/>
        </w:rPr>
        <w:t xml:space="preserve"> 91</w:t>
      </w:r>
      <w:r>
        <w:rPr>
          <w:rFonts w:eastAsia="Cambria"/>
        </w:rPr>
        <w:t xml:space="preserve"> </w:t>
      </w:r>
      <w:r w:rsidR="006309A9">
        <w:rPr>
          <w:rFonts w:eastAsia="Cambria"/>
        </w:rPr>
        <w:t>that</w:t>
      </w:r>
      <w:r w:rsidR="00CC1811">
        <w:rPr>
          <w:rFonts w:eastAsia="Cambria"/>
        </w:rPr>
        <w:t xml:space="preserve"> includ</w:t>
      </w:r>
      <w:r w:rsidR="006309A9">
        <w:rPr>
          <w:rFonts w:eastAsia="Cambria"/>
        </w:rPr>
        <w:t>ed</w:t>
      </w:r>
      <w:r>
        <w:rPr>
          <w:rFonts w:eastAsia="Cambria"/>
        </w:rPr>
        <w:t>: 1)</w:t>
      </w:r>
      <w:r w:rsidR="00CC1811">
        <w:rPr>
          <w:rFonts w:eastAsia="Cambria"/>
        </w:rPr>
        <w:t xml:space="preserve"> the elimination of capacity payments during the 2017-2021 period</w:t>
      </w:r>
      <w:r>
        <w:rPr>
          <w:rFonts w:eastAsia="Cambria"/>
        </w:rPr>
        <w:t>;</w:t>
      </w:r>
      <w:r w:rsidR="00CC1811">
        <w:rPr>
          <w:rFonts w:eastAsia="Cambria"/>
        </w:rPr>
        <w:t xml:space="preserve"> and </w:t>
      </w:r>
      <w:r>
        <w:rPr>
          <w:rFonts w:eastAsia="Cambria"/>
        </w:rPr>
        <w:t>2) significantly lower</w:t>
      </w:r>
      <w:r w:rsidR="00CC1811">
        <w:rPr>
          <w:rFonts w:eastAsia="Cambria"/>
        </w:rPr>
        <w:t xml:space="preserve"> ca</w:t>
      </w:r>
      <w:r w:rsidR="00644599">
        <w:rPr>
          <w:rFonts w:eastAsia="Cambria"/>
        </w:rPr>
        <w:t>pacity payments from 2022-2032</w:t>
      </w:r>
      <w:r w:rsidR="00651F90">
        <w:rPr>
          <w:rFonts w:eastAsia="Cambria"/>
        </w:rPr>
        <w:t>,</w:t>
      </w:r>
      <w:r w:rsidR="00644599">
        <w:rPr>
          <w:rFonts w:eastAsia="Cambria"/>
        </w:rPr>
        <w:t xml:space="preserve"> </w:t>
      </w:r>
      <w:r w:rsidR="00CC1811">
        <w:t xml:space="preserve">from $190.01 per kilowatt year (“kW-year”) </w:t>
      </w:r>
      <w:r w:rsidR="00CC1811">
        <w:rPr>
          <w:rFonts w:eastAsia="Cambria"/>
        </w:rPr>
        <w:t>to $</w:t>
      </w:r>
      <w:r w:rsidR="00CC1811" w:rsidRPr="00BD0645">
        <w:rPr>
          <w:rFonts w:eastAsia="Cambria"/>
        </w:rPr>
        <w:t>130.04 kW-year</w:t>
      </w:r>
      <w:r w:rsidR="007956BD">
        <w:rPr>
          <w:rFonts w:eastAsia="Cambria"/>
        </w:rPr>
        <w:t>.</w:t>
      </w:r>
    </w:p>
    <w:p w14:paraId="7AFC0CDE" w14:textId="77777777" w:rsidR="006309A9" w:rsidRDefault="006309A9" w:rsidP="006309A9">
      <w:pPr>
        <w:pStyle w:val="ListParagraph"/>
        <w:ind w:right="-450"/>
        <w:rPr>
          <w:rFonts w:eastAsia="Cambria"/>
        </w:rPr>
      </w:pPr>
    </w:p>
    <w:p w14:paraId="535BBD2B" w14:textId="64B041F7" w:rsidR="006309A9" w:rsidRPr="006309A9" w:rsidRDefault="006E6FC4" w:rsidP="006309A9">
      <w:pPr>
        <w:pStyle w:val="ListParagraph"/>
        <w:numPr>
          <w:ilvl w:val="0"/>
          <w:numId w:val="1"/>
        </w:numPr>
        <w:ind w:right="-450"/>
        <w:rPr>
          <w:rFonts w:eastAsia="Cambria"/>
        </w:rPr>
      </w:pPr>
      <w:r w:rsidRPr="00BD0645">
        <w:rPr>
          <w:rFonts w:eastAsia="Cambria"/>
        </w:rPr>
        <w:t>PSE made a substitute filing on December 19, 2016,</w:t>
      </w:r>
      <w:r w:rsidR="00CC1811">
        <w:rPr>
          <w:rFonts w:eastAsia="Cambria"/>
        </w:rPr>
        <w:t xml:space="preserve"> that</w:t>
      </w:r>
      <w:r w:rsidRPr="00BD0645">
        <w:rPr>
          <w:rFonts w:eastAsia="Cambria"/>
        </w:rPr>
        <w:t>: 1) moved the effective date to January 27, 2017; 2) increas</w:t>
      </w:r>
      <w:r w:rsidR="006309A9">
        <w:rPr>
          <w:rFonts w:eastAsia="Cambria"/>
        </w:rPr>
        <w:t>ed</w:t>
      </w:r>
      <w:r w:rsidRPr="00BD0645">
        <w:rPr>
          <w:rFonts w:eastAsia="Cambria"/>
        </w:rPr>
        <w:t xml:space="preserve"> the zero capacity payment from 2017</w:t>
      </w:r>
      <w:r w:rsidR="007956BD" w:rsidRPr="00BD0645">
        <w:rPr>
          <w:rFonts w:eastAsia="Cambria"/>
        </w:rPr>
        <w:t>-</w:t>
      </w:r>
      <w:r w:rsidRPr="00BD0645">
        <w:rPr>
          <w:rFonts w:eastAsia="Cambria"/>
        </w:rPr>
        <w:t>2021</w:t>
      </w:r>
      <w:r w:rsidR="006771BA">
        <w:rPr>
          <w:rFonts w:eastAsia="Cambria"/>
        </w:rPr>
        <w:t xml:space="preserve"> to almost</w:t>
      </w:r>
      <w:r w:rsidR="00CC1811">
        <w:rPr>
          <w:rFonts w:eastAsia="Cambria"/>
        </w:rPr>
        <w:t xml:space="preserve"> zero ($0.08 kilowatt year); </w:t>
      </w:r>
      <w:r w:rsidRPr="00BD0645">
        <w:rPr>
          <w:rFonts w:eastAsia="Cambria"/>
        </w:rPr>
        <w:t xml:space="preserve">3) </w:t>
      </w:r>
      <w:r w:rsidR="00EF7A51">
        <w:rPr>
          <w:rFonts w:eastAsia="Cambria"/>
        </w:rPr>
        <w:t>incrementally rais</w:t>
      </w:r>
      <w:r w:rsidR="006309A9">
        <w:rPr>
          <w:rFonts w:eastAsia="Cambria"/>
        </w:rPr>
        <w:t>ed</w:t>
      </w:r>
      <w:r w:rsidR="00EF7A51" w:rsidRPr="00BD0645">
        <w:rPr>
          <w:rFonts w:eastAsia="Cambria"/>
        </w:rPr>
        <w:t xml:space="preserve"> </w:t>
      </w:r>
      <w:r w:rsidRPr="00BD0645">
        <w:rPr>
          <w:rFonts w:eastAsia="Cambria"/>
        </w:rPr>
        <w:t>the capacity payment from 2022-2032 t</w:t>
      </w:r>
      <w:r w:rsidR="00784FCA">
        <w:rPr>
          <w:rFonts w:eastAsia="Cambria"/>
        </w:rPr>
        <w:t xml:space="preserve">o $135.04 kW-year; and 4) </w:t>
      </w:r>
      <w:r w:rsidR="00EF7A51">
        <w:rPr>
          <w:rFonts w:eastAsia="Cambria"/>
        </w:rPr>
        <w:t>made some minor changes</w:t>
      </w:r>
      <w:r w:rsidR="00EF7A51" w:rsidRPr="00BD0645">
        <w:rPr>
          <w:rFonts w:eastAsia="Cambria"/>
        </w:rPr>
        <w:t xml:space="preserve"> </w:t>
      </w:r>
      <w:r w:rsidRPr="00BD0645">
        <w:rPr>
          <w:rFonts w:eastAsia="Cambria"/>
        </w:rPr>
        <w:t xml:space="preserve">to the Form PPA. </w:t>
      </w:r>
    </w:p>
    <w:p w14:paraId="11B1216B" w14:textId="77777777" w:rsidR="006309A9" w:rsidRPr="006309A9" w:rsidRDefault="006309A9" w:rsidP="006309A9">
      <w:pPr>
        <w:pStyle w:val="ListParagraph"/>
        <w:ind w:right="-450"/>
        <w:rPr>
          <w:rFonts w:eastAsia="Cambria"/>
        </w:rPr>
      </w:pPr>
    </w:p>
    <w:p w14:paraId="26E2531F" w14:textId="10E6F2A3" w:rsidR="006309A9" w:rsidRPr="006309A9" w:rsidRDefault="00BD0645" w:rsidP="006309A9">
      <w:pPr>
        <w:pStyle w:val="ListParagraph"/>
        <w:numPr>
          <w:ilvl w:val="0"/>
          <w:numId w:val="1"/>
        </w:numPr>
        <w:ind w:right="-450"/>
        <w:rPr>
          <w:rFonts w:eastAsia="Cambria"/>
        </w:rPr>
      </w:pPr>
      <w:r w:rsidRPr="00BD0645">
        <w:rPr>
          <w:rFonts w:eastAsia="Cambria"/>
        </w:rPr>
        <w:t xml:space="preserve">The Coalition submitted comments on January 3, 2017 opposing PSE’s proposed rate change, and will not repeat those comments </w:t>
      </w:r>
      <w:r w:rsidR="007956BD">
        <w:rPr>
          <w:rFonts w:eastAsia="Cambria"/>
        </w:rPr>
        <w:t xml:space="preserve">in their entirety </w:t>
      </w:r>
      <w:r w:rsidRPr="00BD0645">
        <w:rPr>
          <w:rFonts w:eastAsia="Cambria"/>
        </w:rPr>
        <w:t>here.  The Coalition’s January 3, 2017 comments, among other things, objected to PSE’s: 1) decision to no longer pay for capacity during the 2017-</w:t>
      </w:r>
      <w:proofErr w:type="gramStart"/>
      <w:r w:rsidRPr="00BD0645">
        <w:rPr>
          <w:rFonts w:eastAsia="Cambria"/>
        </w:rPr>
        <w:t>2021 time</w:t>
      </w:r>
      <w:proofErr w:type="gramEnd"/>
      <w:r w:rsidRPr="00BD0645">
        <w:rPr>
          <w:rFonts w:eastAsia="Cambria"/>
        </w:rPr>
        <w:t xml:space="preserve"> period; and 2) </w:t>
      </w:r>
      <w:r w:rsidR="00CC1811">
        <w:rPr>
          <w:rFonts w:eastAsia="Cambria"/>
        </w:rPr>
        <w:t xml:space="preserve">reduction in capacity payments from $191.01 per kW-year to </w:t>
      </w:r>
      <w:r>
        <w:t xml:space="preserve">$135.04 per kW-year </w:t>
      </w:r>
      <w:r w:rsidRPr="00C05479">
        <w:t>for the years 2022-2032</w:t>
      </w:r>
      <w:r>
        <w:t xml:space="preserve">.  </w:t>
      </w:r>
    </w:p>
    <w:p w14:paraId="01E4A48E" w14:textId="77777777" w:rsidR="006309A9" w:rsidRPr="00BD0645" w:rsidRDefault="006309A9" w:rsidP="006309A9">
      <w:pPr>
        <w:pStyle w:val="ListParagraph"/>
        <w:ind w:right="-450"/>
        <w:rPr>
          <w:rFonts w:eastAsia="Cambria"/>
        </w:rPr>
      </w:pPr>
    </w:p>
    <w:p w14:paraId="247ADA42" w14:textId="7E73B8CA" w:rsidR="006309A9" w:rsidRPr="006309A9" w:rsidRDefault="006E6FC4" w:rsidP="006309A9">
      <w:pPr>
        <w:pStyle w:val="ListParagraph"/>
        <w:numPr>
          <w:ilvl w:val="0"/>
          <w:numId w:val="1"/>
        </w:numPr>
        <w:ind w:right="-450"/>
        <w:rPr>
          <w:rFonts w:eastAsia="Cambria"/>
        </w:rPr>
      </w:pPr>
      <w:r w:rsidRPr="00BD0645">
        <w:rPr>
          <w:rFonts w:eastAsia="Cambria"/>
        </w:rPr>
        <w:t>PSE made a second substitute filing on January 9</w:t>
      </w:r>
      <w:r w:rsidR="008501E6" w:rsidRPr="00BD0645">
        <w:rPr>
          <w:rFonts w:eastAsia="Cambria"/>
        </w:rPr>
        <w:t>, 2017, making changes that moved the proposed effec</w:t>
      </w:r>
      <w:r w:rsidR="006771BA">
        <w:rPr>
          <w:rFonts w:eastAsia="Cambria"/>
        </w:rPr>
        <w:t>tive date to February 10, 2017.</w:t>
      </w:r>
      <w:r w:rsidR="00BD0645" w:rsidRPr="00BD0645">
        <w:rPr>
          <w:rFonts w:eastAsia="Cambria"/>
        </w:rPr>
        <w:t xml:space="preserve"> </w:t>
      </w:r>
    </w:p>
    <w:p w14:paraId="06F7053A" w14:textId="77777777" w:rsidR="006309A9" w:rsidRPr="00BD0645" w:rsidRDefault="006309A9" w:rsidP="006309A9">
      <w:pPr>
        <w:pStyle w:val="ListParagraph"/>
        <w:ind w:right="-450"/>
        <w:rPr>
          <w:rFonts w:eastAsia="Cambria"/>
        </w:rPr>
      </w:pPr>
    </w:p>
    <w:p w14:paraId="4025AB68" w14:textId="505724F2" w:rsidR="006309A9" w:rsidRPr="006771BA" w:rsidRDefault="00BD0645" w:rsidP="006771BA">
      <w:pPr>
        <w:pStyle w:val="ListParagraph"/>
        <w:numPr>
          <w:ilvl w:val="0"/>
          <w:numId w:val="1"/>
        </w:numPr>
        <w:ind w:right="-450"/>
        <w:rPr>
          <w:rFonts w:eastAsia="Cambria"/>
        </w:rPr>
      </w:pPr>
      <w:r w:rsidRPr="00BD0645">
        <w:rPr>
          <w:rFonts w:eastAsia="Cambria"/>
        </w:rPr>
        <w:t>PSE made a third substitute filing on January 20, 2017</w:t>
      </w:r>
      <w:r w:rsidR="006309A9">
        <w:rPr>
          <w:rFonts w:eastAsia="Cambria"/>
        </w:rPr>
        <w:t>,</w:t>
      </w:r>
      <w:r w:rsidRPr="00BD0645">
        <w:rPr>
          <w:rFonts w:eastAsia="Cambria"/>
        </w:rPr>
        <w:t xml:space="preserve"> increasing the capacity payment from 2017 to 2021 to $135.04 per kW-year, and keeping the February 10, 2017 effective date.  </w:t>
      </w:r>
      <w:r>
        <w:rPr>
          <w:rFonts w:eastAsia="Cambria"/>
        </w:rPr>
        <w:t>PSE’s final proposed capacity payments are approximately 30% lower tha</w:t>
      </w:r>
      <w:r w:rsidR="00EC045A">
        <w:rPr>
          <w:rFonts w:eastAsia="Cambria"/>
        </w:rPr>
        <w:t>n</w:t>
      </w:r>
      <w:r>
        <w:rPr>
          <w:rFonts w:eastAsia="Cambria"/>
        </w:rPr>
        <w:t xml:space="preserve"> the current capacity payments.  </w:t>
      </w:r>
    </w:p>
    <w:p w14:paraId="4A3AA0BC" w14:textId="77777777" w:rsidR="00EE053A" w:rsidRDefault="00EE053A">
      <w:pPr>
        <w:spacing w:after="0" w:line="240" w:lineRule="auto"/>
        <w:rPr>
          <w:b/>
        </w:rPr>
      </w:pPr>
      <w:r>
        <w:rPr>
          <w:b/>
        </w:rPr>
        <w:br w:type="page"/>
      </w:r>
    </w:p>
    <w:p w14:paraId="2377AAD8" w14:textId="2E3534E2" w:rsidR="003203C0" w:rsidRDefault="007956BD" w:rsidP="009E6F79">
      <w:pPr>
        <w:spacing w:after="0" w:line="240" w:lineRule="auto"/>
        <w:ind w:left="720" w:hanging="720"/>
        <w:rPr>
          <w:b/>
        </w:rPr>
      </w:pPr>
      <w:r>
        <w:rPr>
          <w:b/>
        </w:rPr>
        <w:t>2</w:t>
      </w:r>
      <w:r w:rsidR="003203C0">
        <w:rPr>
          <w:b/>
        </w:rPr>
        <w:t>.</w:t>
      </w:r>
      <w:r w:rsidR="003203C0">
        <w:rPr>
          <w:b/>
        </w:rPr>
        <w:tab/>
        <w:t xml:space="preserve">The Commission </w:t>
      </w:r>
      <w:r>
        <w:rPr>
          <w:b/>
        </w:rPr>
        <w:t xml:space="preserve">Should </w:t>
      </w:r>
      <w:r w:rsidR="00F5607E">
        <w:rPr>
          <w:b/>
        </w:rPr>
        <w:t xml:space="preserve">Reject or Delay the </w:t>
      </w:r>
      <w:r w:rsidR="00224B7F">
        <w:rPr>
          <w:b/>
        </w:rPr>
        <w:t xml:space="preserve">2017 </w:t>
      </w:r>
      <w:r>
        <w:rPr>
          <w:b/>
        </w:rPr>
        <w:t xml:space="preserve">Avoided Cost </w:t>
      </w:r>
      <w:r w:rsidR="00F5607E">
        <w:rPr>
          <w:b/>
        </w:rPr>
        <w:t xml:space="preserve">Rate Change </w:t>
      </w:r>
      <w:r w:rsidR="00224B7F">
        <w:rPr>
          <w:b/>
        </w:rPr>
        <w:t xml:space="preserve">While </w:t>
      </w:r>
      <w:r w:rsidR="00D71C79">
        <w:rPr>
          <w:b/>
        </w:rPr>
        <w:t>Approv</w:t>
      </w:r>
      <w:r w:rsidR="00224B7F">
        <w:rPr>
          <w:b/>
        </w:rPr>
        <w:t>ing</w:t>
      </w:r>
      <w:r w:rsidR="00D71C79">
        <w:rPr>
          <w:b/>
        </w:rPr>
        <w:t xml:space="preserve"> the 2017 Form PPA </w:t>
      </w:r>
      <w:r w:rsidR="00F5607E">
        <w:rPr>
          <w:b/>
        </w:rPr>
        <w:t xml:space="preserve">to Allow QFs </w:t>
      </w:r>
      <w:r w:rsidR="00224B7F">
        <w:rPr>
          <w:b/>
        </w:rPr>
        <w:t xml:space="preserve">that </w:t>
      </w:r>
      <w:r w:rsidR="00CC411B">
        <w:rPr>
          <w:b/>
        </w:rPr>
        <w:t xml:space="preserve">PSE Has Determined </w:t>
      </w:r>
      <w:r w:rsidR="00224B7F">
        <w:rPr>
          <w:b/>
        </w:rPr>
        <w:t xml:space="preserve">Have </w:t>
      </w:r>
      <w:r w:rsidR="00CC411B">
        <w:rPr>
          <w:b/>
        </w:rPr>
        <w:t xml:space="preserve">“Mature” </w:t>
      </w:r>
      <w:r w:rsidR="00224B7F">
        <w:rPr>
          <w:b/>
        </w:rPr>
        <w:t xml:space="preserve">Projects </w:t>
      </w:r>
      <w:r w:rsidR="00F5607E">
        <w:rPr>
          <w:b/>
        </w:rPr>
        <w:t>to Execute PPAs</w:t>
      </w:r>
      <w:r>
        <w:rPr>
          <w:b/>
        </w:rPr>
        <w:t xml:space="preserve"> with PSE </w:t>
      </w:r>
    </w:p>
    <w:p w14:paraId="1423B94F" w14:textId="77777777" w:rsidR="009E6F79" w:rsidRPr="009E6F79" w:rsidRDefault="009E6F79" w:rsidP="009E6F79">
      <w:pPr>
        <w:spacing w:after="0" w:line="240" w:lineRule="auto"/>
        <w:rPr>
          <w:b/>
        </w:rPr>
      </w:pPr>
    </w:p>
    <w:p w14:paraId="219AA2AC" w14:textId="4CD23CFD" w:rsidR="00F5607E" w:rsidRDefault="00F5607E" w:rsidP="00517756">
      <w:pPr>
        <w:ind w:right="-450"/>
      </w:pPr>
      <w:r>
        <w:tab/>
      </w:r>
      <w:r w:rsidR="00D71C79">
        <w:t xml:space="preserve">In spite of PSE’s recognition that certain QFs are “mature” enough to qualify for the current </w:t>
      </w:r>
      <w:r w:rsidR="006771BA">
        <w:t xml:space="preserve">2016 </w:t>
      </w:r>
      <w:r w:rsidR="00D71C79">
        <w:t xml:space="preserve">Schedule 91 rates, </w:t>
      </w:r>
      <w:r>
        <w:t>PSE is delaying finali</w:t>
      </w:r>
      <w:r w:rsidR="00AB768A">
        <w:t xml:space="preserve">zing </w:t>
      </w:r>
      <w:r w:rsidR="00AA25D7">
        <w:t>some</w:t>
      </w:r>
      <w:r w:rsidR="00AB768A">
        <w:t xml:space="preserve"> PPAs</w:t>
      </w:r>
      <w:r w:rsidR="00D71C79">
        <w:t xml:space="preserve"> with these QFs</w:t>
      </w:r>
      <w:r w:rsidR="00430FB6">
        <w:t xml:space="preserve">.  </w:t>
      </w:r>
      <w:r w:rsidR="0045680A">
        <w:t>A</w:t>
      </w:r>
      <w:r>
        <w:t xml:space="preserve"> utility cannot delay execution of </w:t>
      </w:r>
      <w:r w:rsidR="007956BD">
        <w:t xml:space="preserve">a </w:t>
      </w:r>
      <w:r>
        <w:t xml:space="preserve">PPA </w:t>
      </w:r>
      <w:r w:rsidR="00061E1D">
        <w:t>to avoid paying</w:t>
      </w:r>
      <w:r w:rsidR="00FF2E46">
        <w:t xml:space="preserve"> currently effective avoided cost rates, or otherwise gain some advantage</w:t>
      </w:r>
      <w:r w:rsidR="00AB768A">
        <w:t xml:space="preserve"> in the PPA negotiation process</w:t>
      </w:r>
      <w:r w:rsidR="00A1384E">
        <w:t>.  The Coalition specifically requ</w:t>
      </w:r>
      <w:r w:rsidR="00AB768A">
        <w:t xml:space="preserve">ests that the Commission defer consideration </w:t>
      </w:r>
      <w:r w:rsidR="00A1384E">
        <w:t xml:space="preserve">of the merits of the </w:t>
      </w:r>
      <w:r w:rsidR="00AB768A">
        <w:t xml:space="preserve">proposed 2017 </w:t>
      </w:r>
      <w:r w:rsidR="00A1384E">
        <w:t>Sche</w:t>
      </w:r>
      <w:r w:rsidR="00061E1D">
        <w:t>dule 91 avoided cost rates for two</w:t>
      </w:r>
      <w:r w:rsidR="00A1384E">
        <w:t xml:space="preserve"> month</w:t>
      </w:r>
      <w:r w:rsidR="00061E1D">
        <w:t>s</w:t>
      </w:r>
      <w:r w:rsidR="00A1384E">
        <w:t xml:space="preserve"> to allow QFs and PSE to execute PPAs.</w:t>
      </w:r>
      <w:r w:rsidR="0056140C">
        <w:t xml:space="preserve"> </w:t>
      </w:r>
      <w:r w:rsidR="00AB768A">
        <w:t xml:space="preserve"> As PSE</w:t>
      </w:r>
      <w:r w:rsidR="0056140C">
        <w:t xml:space="preserve"> </w:t>
      </w:r>
      <w:r w:rsidR="00224B7F">
        <w:t xml:space="preserve">claims </w:t>
      </w:r>
      <w:r w:rsidR="005D4E79">
        <w:t xml:space="preserve">it </w:t>
      </w:r>
      <w:r w:rsidR="00AB768A">
        <w:t xml:space="preserve">is delaying providing PPAs on the grounds that it </w:t>
      </w:r>
      <w:r w:rsidR="00EE053A">
        <w:t>wants to use the 2017 Form PPAs;</w:t>
      </w:r>
      <w:r w:rsidR="00AB768A">
        <w:t xml:space="preserve"> the Coalition recommends that the Commission approve</w:t>
      </w:r>
      <w:r w:rsidR="0045680A">
        <w:t xml:space="preserve"> only</w:t>
      </w:r>
      <w:r w:rsidR="00AB768A">
        <w:t xml:space="preserve"> the 2017 Form PPAs at the February 9, 2017 open meeting.  </w:t>
      </w:r>
      <w:r>
        <w:t xml:space="preserve"> </w:t>
      </w:r>
    </w:p>
    <w:p w14:paraId="2335C1B6" w14:textId="00D49F45" w:rsidR="000D6D33" w:rsidRDefault="00A1384E" w:rsidP="000D6D33">
      <w:pPr>
        <w:ind w:right="-450"/>
      </w:pPr>
      <w:r>
        <w:tab/>
      </w:r>
      <w:r w:rsidR="00F5607E">
        <w:t xml:space="preserve">Over the last few months, several QFs have attempted to finalize their PPAs with PSE under the current </w:t>
      </w:r>
      <w:r w:rsidR="00AB768A">
        <w:t xml:space="preserve">2016 </w:t>
      </w:r>
      <w:r w:rsidR="00F5607E">
        <w:t>Schedule 91 rates.  While the Coalition is not familiar with all of the projects’ circumstances, some of these QFs have been in significant discussions with PSE for almost a year.</w:t>
      </w:r>
      <w:r>
        <w:t xml:space="preserve">  </w:t>
      </w:r>
      <w:r w:rsidR="00E52961">
        <w:t xml:space="preserve">For at least fifteen projects, PSE requested </w:t>
      </w:r>
      <w:r w:rsidR="000D6D33">
        <w:t>documentary support for their project status, and “</w:t>
      </w:r>
      <w:r w:rsidR="000D6D33" w:rsidRPr="000D6D33">
        <w:t>PSE reviewed the responses during the month of January 2017 and has concluded that all fifteen projects have met the requirements for a mature project.</w:t>
      </w:r>
      <w:r w:rsidR="000D6D33">
        <w:t>”</w:t>
      </w:r>
      <w:r w:rsidR="000D6D33">
        <w:rPr>
          <w:rStyle w:val="FootnoteReference"/>
        </w:rPr>
        <w:footnoteReference w:id="1"/>
      </w:r>
      <w:r w:rsidR="000D6D33">
        <w:t xml:space="preserve">  PSE sent letters to these projects</w:t>
      </w:r>
      <w:r w:rsidR="00D15409">
        <w:t xml:space="preserve"> including</w:t>
      </w:r>
      <w:r w:rsidR="000D6D33">
        <w:t xml:space="preserve"> a notice of qualification (“Notice of Qualification”) informing them that they were mature, and that they “</w:t>
      </w:r>
      <w:proofErr w:type="spellStart"/>
      <w:r w:rsidR="000D6D33">
        <w:t>qualif</w:t>
      </w:r>
      <w:proofErr w:type="spellEnd"/>
      <w:r w:rsidR="00CB4303">
        <w:t>[</w:t>
      </w:r>
      <w:r w:rsidR="000D6D33">
        <w:t>y</w:t>
      </w:r>
      <w:r w:rsidR="00CB4303">
        <w:t>]</w:t>
      </w:r>
      <w:r w:rsidR="000D6D33" w:rsidRPr="000100D3">
        <w:t xml:space="preserve"> for pricing under the rates provided in PSE’s Schedule 91 in effect for calendar year 2016.</w:t>
      </w:r>
      <w:r w:rsidR="000D6D33">
        <w:t>”</w:t>
      </w:r>
      <w:r w:rsidR="000D6D33">
        <w:rPr>
          <w:rStyle w:val="FootnoteReference"/>
        </w:rPr>
        <w:footnoteReference w:id="2"/>
      </w:r>
    </w:p>
    <w:p w14:paraId="0ADF0991" w14:textId="0627C62B" w:rsidR="000D6D33" w:rsidRDefault="000D6D33" w:rsidP="000D6D33">
      <w:pPr>
        <w:ind w:right="-450"/>
      </w:pPr>
      <w:r>
        <w:tab/>
        <w:t>PSE’s commitment, however, was equivocal, and PSE retained the unilate</w:t>
      </w:r>
      <w:r w:rsidR="006771BA">
        <w:t>ral right to determined that each</w:t>
      </w:r>
      <w:r>
        <w:t xml:space="preserve"> project would not be paid </w:t>
      </w:r>
      <w:r w:rsidR="00AB768A">
        <w:t xml:space="preserve">the 2016 </w:t>
      </w:r>
      <w:r>
        <w:t xml:space="preserve">Schedule 91 prices.  </w:t>
      </w:r>
      <w:r>
        <w:rPr>
          <w:bCs/>
        </w:rPr>
        <w:t>The No</w:t>
      </w:r>
      <w:r w:rsidR="00AB768A">
        <w:rPr>
          <w:bCs/>
        </w:rPr>
        <w:t xml:space="preserve">tice of Qualification </w:t>
      </w:r>
      <w:r w:rsidR="00D15409">
        <w:rPr>
          <w:bCs/>
        </w:rPr>
        <w:t>states</w:t>
      </w:r>
      <w:r>
        <w:rPr>
          <w:bCs/>
        </w:rPr>
        <w:t xml:space="preserve"> it “neither constitute[s] the formation of a contract between </w:t>
      </w:r>
      <w:r w:rsidRPr="000D6D33">
        <w:rPr>
          <w:bCs/>
        </w:rPr>
        <w:t xml:space="preserve">PSE </w:t>
      </w:r>
      <w:r w:rsidRPr="000D6D33">
        <w:t>an</w:t>
      </w:r>
      <w:r w:rsidR="00AB768A">
        <w:t>d [Insert Name of Developer]</w:t>
      </w:r>
      <w:r w:rsidRPr="000100D3">
        <w:t xml:space="preserve"> </w:t>
      </w:r>
      <w:r>
        <w:rPr>
          <w:bCs/>
        </w:rPr>
        <w:t>nor provides the notice of approval of interconnection</w:t>
      </w:r>
      <w:r w:rsidR="00CB4303">
        <w:rPr>
          <w:bCs/>
        </w:rPr>
        <w:t xml:space="preserve"> . . . .</w:t>
      </w:r>
      <w:r>
        <w:rPr>
          <w:bCs/>
        </w:rPr>
        <w:t>”</w:t>
      </w:r>
      <w:r w:rsidR="00CB4303">
        <w:rPr>
          <w:rStyle w:val="FootnoteReference"/>
          <w:bCs/>
        </w:rPr>
        <w:footnoteReference w:id="3"/>
      </w:r>
      <w:r>
        <w:rPr>
          <w:bCs/>
        </w:rPr>
        <w:t xml:space="preserve">  In addition, each project’s eligibility for current </w:t>
      </w:r>
      <w:r w:rsidR="005D5C5C">
        <w:rPr>
          <w:bCs/>
        </w:rPr>
        <w:t xml:space="preserve">2016 </w:t>
      </w:r>
      <w:r>
        <w:rPr>
          <w:bCs/>
        </w:rPr>
        <w:t>Schedule 91 prices was expressly limited to, completion of the project and interconnection as well as “execution of a written power purchase agreement”</w:t>
      </w:r>
      <w:r w:rsidR="0090685C">
        <w:rPr>
          <w:bCs/>
        </w:rPr>
        <w:t xml:space="preserve"> by December 31, 2018.</w:t>
      </w:r>
      <w:r w:rsidR="00CB4303">
        <w:rPr>
          <w:rStyle w:val="FootnoteReference"/>
          <w:bCs/>
        </w:rPr>
        <w:footnoteReference w:id="4"/>
      </w:r>
      <w:r>
        <w:rPr>
          <w:bCs/>
        </w:rPr>
        <w:t xml:space="preserve">  The Notice of Qualification further clarified the that PSE would not even provide a form PPA until “</w:t>
      </w:r>
      <w:r w:rsidRPr="000100D3">
        <w:t>PSE approves an Interconnection Agreement</w:t>
      </w:r>
      <w:r>
        <w:t xml:space="preserve"> </w:t>
      </w:r>
      <w:r w:rsidR="00CB4303">
        <w:t>. . . .</w:t>
      </w:r>
      <w:r>
        <w:t>”</w:t>
      </w:r>
      <w:r w:rsidR="00CB4303">
        <w:rPr>
          <w:rStyle w:val="FootnoteReference"/>
        </w:rPr>
        <w:footnoteReference w:id="5"/>
      </w:r>
      <w:r>
        <w:t xml:space="preserve"> </w:t>
      </w:r>
      <w:r w:rsidR="0090685C">
        <w:t xml:space="preserve"> </w:t>
      </w:r>
      <w:r w:rsidR="00AB768A">
        <w:t xml:space="preserve">While difficult to parse and follow, </w:t>
      </w:r>
      <w:r w:rsidR="0090685C">
        <w:t>the complex timelines, steps, conditions, and hurdles</w:t>
      </w:r>
      <w:r w:rsidR="008300CD">
        <w:t xml:space="preserve"> in the Notice of Qualification mean that PSE could delay</w:t>
      </w:r>
      <w:r w:rsidR="0090685C">
        <w:t xml:space="preserve"> the interconnection agreement</w:t>
      </w:r>
      <w:r w:rsidR="00D15409">
        <w:t xml:space="preserve">, </w:t>
      </w:r>
      <w:r w:rsidR="0090685C">
        <w:t>PPA negotiations</w:t>
      </w:r>
      <w:r w:rsidR="00D15409">
        <w:t>,</w:t>
      </w:r>
      <w:r w:rsidR="0090685C">
        <w:t xml:space="preserve"> </w:t>
      </w:r>
      <w:r w:rsidR="001B40D6">
        <w:t>or even the inte</w:t>
      </w:r>
      <w:r w:rsidR="008300CD">
        <w:t>rconnection installation</w:t>
      </w:r>
      <w:r w:rsidR="001B40D6">
        <w:t xml:space="preserve"> </w:t>
      </w:r>
      <w:r w:rsidR="0090685C">
        <w:t xml:space="preserve">so that it would be impossible for a project </w:t>
      </w:r>
      <w:r w:rsidR="00D15409">
        <w:t xml:space="preserve">to </w:t>
      </w:r>
      <w:r w:rsidR="0090685C">
        <w:t>qualify</w:t>
      </w:r>
      <w:r w:rsidR="00D15409">
        <w:t xml:space="preserve"> for,</w:t>
      </w:r>
      <w:r w:rsidR="0090685C">
        <w:t xml:space="preserve"> </w:t>
      </w:r>
      <w:r w:rsidR="00AB768A">
        <w:t>or be paid</w:t>
      </w:r>
      <w:r w:rsidR="00D15409">
        <w:t>,</w:t>
      </w:r>
      <w:r w:rsidR="00AB768A">
        <w:t xml:space="preserve"> the</w:t>
      </w:r>
      <w:r w:rsidR="008300CD">
        <w:t xml:space="preserve"> </w:t>
      </w:r>
      <w:r w:rsidR="00AB768A">
        <w:t xml:space="preserve">2016 </w:t>
      </w:r>
      <w:r w:rsidR="0090685C">
        <w:t xml:space="preserve">Schedule 91 prices.   </w:t>
      </w:r>
    </w:p>
    <w:p w14:paraId="449D608C" w14:textId="5298FAB6" w:rsidR="00AB768A" w:rsidRDefault="001B40D6" w:rsidP="000D6D33">
      <w:pPr>
        <w:ind w:right="-450"/>
      </w:pPr>
      <w:r>
        <w:tab/>
      </w:r>
      <w:r w:rsidR="004131C0">
        <w:t>PSE has informed at least one QF project developer that it has changed its position,</w:t>
      </w:r>
      <w:r w:rsidR="00D15409">
        <w:t xml:space="preserve"> </w:t>
      </w:r>
      <w:r w:rsidR="003A35D1">
        <w:t>presumably in</w:t>
      </w:r>
      <w:r w:rsidR="00D15409">
        <w:t xml:space="preserve"> light of a recent </w:t>
      </w:r>
      <w:r w:rsidR="003A35D1">
        <w:t xml:space="preserve">Federal Energy Regulatory Commission’s (“FERC”) </w:t>
      </w:r>
      <w:r w:rsidR="00D15409">
        <w:t>decision</w:t>
      </w:r>
      <w:r w:rsidR="003A35D1">
        <w:t xml:space="preserve"> confirming its illegality.</w:t>
      </w:r>
      <w:r w:rsidR="00C1223B">
        <w:rPr>
          <w:rStyle w:val="FootnoteReference"/>
        </w:rPr>
        <w:footnoteReference w:id="6"/>
      </w:r>
      <w:r w:rsidR="004131C0">
        <w:t xml:space="preserve"> </w:t>
      </w:r>
      <w:r w:rsidR="003A35D1">
        <w:t xml:space="preserve"> PSE now states </w:t>
      </w:r>
      <w:r w:rsidR="004131C0">
        <w:t>that it may be willing to sign a PPA before it approves an interconnection agreement</w:t>
      </w:r>
      <w:r w:rsidR="00AB768A">
        <w:t xml:space="preserve"> and that it will not wait until December 31, 2018 to sign a PPA</w:t>
      </w:r>
      <w:r w:rsidR="004131C0">
        <w:t>.</w:t>
      </w:r>
      <w:r w:rsidR="009A179E">
        <w:rPr>
          <w:rStyle w:val="FootnoteReference"/>
        </w:rPr>
        <w:footnoteReference w:id="7"/>
      </w:r>
      <w:r w:rsidR="004131C0">
        <w:t xml:space="preserve">  However, PSE has raised a previously unmentioned condition that it claims prevents it from </w:t>
      </w:r>
      <w:r w:rsidR="003A35D1">
        <w:t xml:space="preserve">immediately </w:t>
      </w:r>
      <w:r w:rsidR="004131C0">
        <w:t xml:space="preserve">executing a PPA.  Specifically, PSE has stated that it will not sign a PPA using the Commission’s currently approved 2016 Form PPA, </w:t>
      </w:r>
      <w:r w:rsidR="003A35D1">
        <w:t xml:space="preserve">and </w:t>
      </w:r>
      <w:r w:rsidR="004131C0">
        <w:t xml:space="preserve">will wait until after the Commission approves its proposed 2017 Schedule 91 rates and </w:t>
      </w:r>
      <w:r w:rsidR="00E05A70">
        <w:t xml:space="preserve">2017 </w:t>
      </w:r>
      <w:r w:rsidR="004131C0">
        <w:t>Form PPA.</w:t>
      </w:r>
    </w:p>
    <w:p w14:paraId="0F77BB31" w14:textId="778E8E13" w:rsidR="009A179E" w:rsidRDefault="00AB768A" w:rsidP="000D6D33">
      <w:pPr>
        <w:ind w:right="-450"/>
      </w:pPr>
      <w:r>
        <w:tab/>
      </w:r>
      <w:r w:rsidR="00755096">
        <w:t xml:space="preserve">For at least </w:t>
      </w:r>
      <w:r w:rsidR="00E05A70">
        <w:t xml:space="preserve">one developer, </w:t>
      </w:r>
      <w:r w:rsidR="004131C0">
        <w:t xml:space="preserve">PSE claims that it will then provide an executable PPA using a </w:t>
      </w:r>
      <w:r w:rsidR="003A35D1">
        <w:t xml:space="preserve">hybrid </w:t>
      </w:r>
      <w:r w:rsidR="004131C0">
        <w:t>of the</w:t>
      </w:r>
      <w:r w:rsidR="003A35D1">
        <w:t xml:space="preserve"> new 2017 Form PPA</w:t>
      </w:r>
      <w:r w:rsidR="004131C0">
        <w:t xml:space="preserve"> </w:t>
      </w:r>
      <w:r w:rsidR="003A35D1">
        <w:t xml:space="preserve">and the old (and higher) </w:t>
      </w:r>
      <w:r w:rsidR="004131C0">
        <w:t>2016 Schedule 91 rates</w:t>
      </w:r>
      <w:r w:rsidR="009A179E">
        <w:t xml:space="preserve">. </w:t>
      </w:r>
      <w:r>
        <w:t xml:space="preserve"> </w:t>
      </w:r>
      <w:r w:rsidR="009A179E">
        <w:t>PSE’s commitment to pay the currently existing 2016 Schedule 91 rates</w:t>
      </w:r>
      <w:r w:rsidR="003A35D1">
        <w:t xml:space="preserve"> to this one QF developer</w:t>
      </w:r>
      <w:r w:rsidR="009A179E">
        <w:t xml:space="preserve"> is conditioned upon PSE executing a fi</w:t>
      </w:r>
      <w:r w:rsidR="008300CD">
        <w:t>nal PPA, which it may</w:t>
      </w:r>
      <w:r w:rsidR="009A179E">
        <w:t xml:space="preserve"> decide not to do.</w:t>
      </w:r>
      <w:r w:rsidR="00490EB7">
        <w:t xml:space="preserve"> </w:t>
      </w:r>
      <w:r w:rsidR="00100C90">
        <w:t xml:space="preserve"> </w:t>
      </w:r>
      <w:r w:rsidR="00490EB7">
        <w:t xml:space="preserve">PSE may raise other unmentioned concerns regarding the projects or their </w:t>
      </w:r>
      <w:r w:rsidR="008300CD">
        <w:t>specific contract terms</w:t>
      </w:r>
      <w:r w:rsidR="00490EB7">
        <w:t xml:space="preserve"> to delay or refuse to finalize a</w:t>
      </w:r>
      <w:r w:rsidR="003A35D1">
        <w:t>ny</w:t>
      </w:r>
      <w:r w:rsidR="00490EB7">
        <w:t xml:space="preserve"> contract</w:t>
      </w:r>
      <w:r w:rsidR="003A35D1">
        <w:t>s</w:t>
      </w:r>
      <w:r w:rsidR="00490EB7">
        <w:t xml:space="preserve"> using the 2016 Schedule 91 rates.</w:t>
      </w:r>
      <w:r w:rsidR="008300CD">
        <w:rPr>
          <w:rStyle w:val="FootnoteReference"/>
        </w:rPr>
        <w:footnoteReference w:id="8"/>
      </w:r>
      <w:r w:rsidR="00490EB7">
        <w:t xml:space="preserve">  </w:t>
      </w:r>
    </w:p>
    <w:p w14:paraId="1407C711" w14:textId="1248DF43" w:rsidR="001B40D6" w:rsidRDefault="009A179E" w:rsidP="000D6D33">
      <w:pPr>
        <w:ind w:right="-450"/>
      </w:pPr>
      <w:r>
        <w:tab/>
      </w:r>
      <w:r w:rsidR="007530A9">
        <w:t xml:space="preserve">PSE’s various </w:t>
      </w:r>
      <w:r w:rsidR="00AB768A">
        <w:t xml:space="preserve">and changing </w:t>
      </w:r>
      <w:r w:rsidR="007530A9">
        <w:t xml:space="preserve">conditions </w:t>
      </w:r>
      <w:r w:rsidR="00130527">
        <w:t>to finalize</w:t>
      </w:r>
      <w:r w:rsidR="007530A9">
        <w:t xml:space="preserve"> a PPA using the currently eff</w:t>
      </w:r>
      <w:r w:rsidR="00AB768A">
        <w:t xml:space="preserve">ective </w:t>
      </w:r>
      <w:r w:rsidR="00130527">
        <w:t xml:space="preserve">2016 </w:t>
      </w:r>
      <w:r w:rsidR="00AB768A">
        <w:t>Schedule 91 violate the Public Utility Regulatory Policies Act (“PURPA”)</w:t>
      </w:r>
      <w:r w:rsidR="00130527">
        <w:t>, and</w:t>
      </w:r>
      <w:r w:rsidR="007530A9">
        <w:t xml:space="preserve"> </w:t>
      </w:r>
      <w:r w:rsidR="00AB768A">
        <w:t>FERC</w:t>
      </w:r>
      <w:r w:rsidR="00130527">
        <w:t>’s</w:t>
      </w:r>
      <w:r w:rsidR="007530A9">
        <w:t xml:space="preserve"> rules and order</w:t>
      </w:r>
      <w:r w:rsidR="003A35D1">
        <w:t>s</w:t>
      </w:r>
      <w:r w:rsidR="007530A9">
        <w:t xml:space="preserve">.  </w:t>
      </w:r>
      <w:r w:rsidR="007530A9">
        <w:rPr>
          <w:bCs/>
        </w:rPr>
        <w:t>Utilities are not allowed to delay</w:t>
      </w:r>
      <w:r w:rsidR="007530A9" w:rsidRPr="00C67348">
        <w:rPr>
          <w:bCs/>
        </w:rPr>
        <w:t xml:space="preserve"> </w:t>
      </w:r>
      <w:r w:rsidR="007530A9">
        <w:rPr>
          <w:bCs/>
        </w:rPr>
        <w:t>“</w:t>
      </w:r>
      <w:r w:rsidR="007530A9" w:rsidRPr="00C67348">
        <w:rPr>
          <w:bCs/>
        </w:rPr>
        <w:t>the signing of a contract, so that a later and lower avoided cost is applicable.</w:t>
      </w:r>
      <w:r w:rsidR="007530A9">
        <w:rPr>
          <w:bCs/>
        </w:rPr>
        <w:t>”</w:t>
      </w:r>
      <w:r w:rsidR="007530A9">
        <w:rPr>
          <w:rStyle w:val="FootnoteReference"/>
          <w:bCs/>
        </w:rPr>
        <w:footnoteReference w:id="9"/>
      </w:r>
      <w:r w:rsidR="007530A9">
        <w:rPr>
          <w:bCs/>
        </w:rPr>
        <w:t xml:space="preserve">  </w:t>
      </w:r>
      <w:r w:rsidR="007530A9">
        <w:t xml:space="preserve">Similarly, </w:t>
      </w:r>
      <w:r w:rsidR="007530A9">
        <w:rPr>
          <w:bCs/>
        </w:rPr>
        <w:t>FERC has specifically held that a utility cannot refuse to sign a P</w:t>
      </w:r>
      <w:r w:rsidR="00130527">
        <w:rPr>
          <w:bCs/>
        </w:rPr>
        <w:t>PA while it considers approving</w:t>
      </w:r>
      <w:r w:rsidR="007530A9">
        <w:rPr>
          <w:bCs/>
        </w:rPr>
        <w:t xml:space="preserve"> an interconnection agreement.  FERC explained that, such a requirement violates PURPA and its rules “</w:t>
      </w:r>
      <w:r w:rsidR="007530A9" w:rsidRPr="000836DE">
        <w:rPr>
          <w:bCs/>
        </w:rPr>
        <w:t>because the utility can, for example, delay the facilities study and the tendering to the QF of an execu</w:t>
      </w:r>
      <w:r w:rsidR="007530A9">
        <w:rPr>
          <w:bCs/>
        </w:rPr>
        <w:t>table interconnection agreement</w:t>
      </w:r>
      <w:r w:rsidR="00355EEB">
        <w:rPr>
          <w:bCs/>
        </w:rPr>
        <w:t xml:space="preserve">, </w:t>
      </w:r>
      <w:r w:rsidR="007530A9">
        <w:rPr>
          <w:bCs/>
        </w:rPr>
        <w:t xml:space="preserve">the </w:t>
      </w:r>
      <w:r w:rsidR="007530A9" w:rsidRPr="000836DE">
        <w:rPr>
          <w:bCs/>
        </w:rPr>
        <w:t>requir</w:t>
      </w:r>
      <w:r w:rsidR="007530A9">
        <w:rPr>
          <w:bCs/>
        </w:rPr>
        <w:t xml:space="preserve">ement of </w:t>
      </w:r>
      <w:r w:rsidR="007530A9" w:rsidRPr="000836DE">
        <w:rPr>
          <w:bCs/>
        </w:rPr>
        <w:t>a</w:t>
      </w:r>
      <w:r w:rsidR="00355EEB">
        <w:rPr>
          <w:bCs/>
        </w:rPr>
        <w:t xml:space="preserve">n executed </w:t>
      </w:r>
      <w:r w:rsidR="007530A9" w:rsidRPr="000836DE">
        <w:rPr>
          <w:bCs/>
        </w:rPr>
        <w:t xml:space="preserve">interconnection agreement </w:t>
      </w:r>
      <w:r w:rsidR="007530A9">
        <w:rPr>
          <w:bCs/>
        </w:rPr>
        <w:t xml:space="preserve">… </w:t>
      </w:r>
      <w:r w:rsidR="007530A9" w:rsidRPr="000836DE">
        <w:rPr>
          <w:bCs/>
        </w:rPr>
        <w:t>is no different than requiring a utility-signed contract</w:t>
      </w:r>
      <w:r w:rsidR="00355EEB">
        <w:rPr>
          <w:bCs/>
        </w:rPr>
        <w:t xml:space="preserve">, </w:t>
      </w:r>
      <w:r w:rsidR="007530A9" w:rsidRPr="000836DE">
        <w:rPr>
          <w:bCs/>
        </w:rPr>
        <w:t>and equally impermissible.</w:t>
      </w:r>
      <w:r w:rsidR="007530A9">
        <w:rPr>
          <w:bCs/>
        </w:rPr>
        <w:t>”</w:t>
      </w:r>
      <w:r w:rsidR="007530A9">
        <w:rPr>
          <w:rStyle w:val="FootnoteReference"/>
          <w:bCs/>
        </w:rPr>
        <w:footnoteReference w:id="10"/>
      </w:r>
      <w:r w:rsidR="007530A9" w:rsidRPr="00C67348">
        <w:rPr>
          <w:bCs/>
        </w:rPr>
        <w:t xml:space="preserve">   </w:t>
      </w:r>
      <w:r>
        <w:t xml:space="preserve"> </w:t>
      </w:r>
    </w:p>
    <w:p w14:paraId="796934BF" w14:textId="3792BFED" w:rsidR="007530A9" w:rsidRDefault="007530A9" w:rsidP="000D6D33">
      <w:pPr>
        <w:ind w:right="-450"/>
      </w:pPr>
      <w:r>
        <w:tab/>
      </w:r>
      <w:r w:rsidR="00EF36A6">
        <w:t>The Coalition urges the Commission to</w:t>
      </w:r>
      <w:r w:rsidR="00AB768A">
        <w:t xml:space="preserve"> </w:t>
      </w:r>
      <w:r w:rsidR="00D43D9E">
        <w:t>substantiate</w:t>
      </w:r>
      <w:r w:rsidR="00AB768A">
        <w:t xml:space="preserve"> PSE’s</w:t>
      </w:r>
      <w:r w:rsidR="00EF36A6">
        <w:t xml:space="preserve"> claim </w:t>
      </w:r>
      <w:r w:rsidR="00D43D9E">
        <w:t>by requiring</w:t>
      </w:r>
      <w:r w:rsidR="000D4CA7">
        <w:t xml:space="preserve"> PSE </w:t>
      </w:r>
      <w:r w:rsidR="00EF36A6">
        <w:t xml:space="preserve">to provide </w:t>
      </w:r>
      <w:r w:rsidR="00D43D9E">
        <w:t xml:space="preserve">these mature </w:t>
      </w:r>
      <w:r w:rsidR="00EF36A6">
        <w:t>QF projects the currently effective 2016 Schedule 91 rates</w:t>
      </w:r>
      <w:r w:rsidR="000D4CA7">
        <w:t xml:space="preserve">, under the </w:t>
      </w:r>
      <w:r w:rsidR="00AB768A">
        <w:t xml:space="preserve">contract </w:t>
      </w:r>
      <w:r w:rsidR="000D4CA7">
        <w:t>terms and conditions of its proposed 2017 Form PPAs.  T</w:t>
      </w:r>
      <w:r w:rsidR="00D43D9E">
        <w:t>hus, t</w:t>
      </w:r>
      <w:r w:rsidR="000D4CA7">
        <w:t xml:space="preserve">he Commission should approve PSE’s 2017 Form PPAs (that PSE has said that it wants to use), but defer resolution of the proposed 2017 Schedule 91 rates and leave the </w:t>
      </w:r>
      <w:r w:rsidR="00490EB7">
        <w:t>2016 Schedule 91 rates in place</w:t>
      </w:r>
      <w:r w:rsidR="00AB768A">
        <w:t xml:space="preserve"> until consideration at </w:t>
      </w:r>
      <w:r w:rsidR="008F21BC">
        <w:t xml:space="preserve">a </w:t>
      </w:r>
      <w:r w:rsidR="00AB768A">
        <w:t>future open meeting</w:t>
      </w:r>
      <w:r w:rsidR="00490EB7">
        <w:t>.  This will allow PSE to fill project specific information into the 2017 Form PPAs, and provide executable PPAs to the projects.</w:t>
      </w:r>
    </w:p>
    <w:p w14:paraId="47E19F97" w14:textId="5E9AA14E" w:rsidR="00490EB7" w:rsidRDefault="00490EB7" w:rsidP="000D6D33">
      <w:pPr>
        <w:ind w:right="-450"/>
      </w:pPr>
      <w:r>
        <w:tab/>
        <w:t>The Oregon Public Utility Commission has taken a similar approach i</w:t>
      </w:r>
      <w:r w:rsidR="000250AC">
        <w:t>n the past.  For example, in 2013</w:t>
      </w:r>
      <w:r>
        <w:t xml:space="preserve"> Portland General Electric</w:t>
      </w:r>
      <w:r w:rsidR="00C1753F">
        <w:t xml:space="preserve"> Company</w:t>
      </w:r>
      <w:r>
        <w:t xml:space="preserve">’s </w:t>
      </w:r>
      <w:r w:rsidR="00C94323">
        <w:t xml:space="preserve">(“PGE”) </w:t>
      </w:r>
      <w:r>
        <w:t>avoided cost rates were dropping</w:t>
      </w:r>
      <w:r w:rsidR="008F21BC">
        <w:t>,</w:t>
      </w:r>
      <w:r>
        <w:t xml:space="preserve"> and QFs complained that the utility was delaying finalizing PPAs </w:t>
      </w:r>
      <w:r w:rsidR="001A1143">
        <w:t xml:space="preserve">so that it could </w:t>
      </w:r>
      <w:r>
        <w:t xml:space="preserve">pay the </w:t>
      </w:r>
      <w:r w:rsidR="00D43D9E">
        <w:t>soon-to-be-</w:t>
      </w:r>
      <w:r w:rsidR="00130527">
        <w:t>effective lower</w:t>
      </w:r>
      <w:r>
        <w:t xml:space="preserve"> rates.  The Oregon Commission approved the rate chang</w:t>
      </w:r>
      <w:r w:rsidR="00503578">
        <w:t>e, but s</w:t>
      </w:r>
      <w:r w:rsidR="00130527">
        <w:t>et the effective date over four</w:t>
      </w:r>
      <w:r>
        <w:t xml:space="preserve"> months later</w:t>
      </w:r>
      <w:r w:rsidR="00C94323">
        <w:t xml:space="preserve"> than that requested by PGE</w:t>
      </w:r>
      <w:r w:rsidR="00503578">
        <w:t>.</w:t>
      </w:r>
      <w:r w:rsidR="00503578">
        <w:rPr>
          <w:rStyle w:val="FootnoteReference"/>
        </w:rPr>
        <w:footnoteReference w:id="11"/>
      </w:r>
      <w:r w:rsidR="00503578">
        <w:t xml:space="preserve">  The later date was chosen</w:t>
      </w:r>
      <w:r>
        <w:t xml:space="preserve"> to allow QFs sufficient time to complete negotiating their contracts.</w:t>
      </w:r>
    </w:p>
    <w:p w14:paraId="297EBDA5" w14:textId="4E0EE955" w:rsidR="000D6D33" w:rsidRPr="00F5607E" w:rsidRDefault="004131C0" w:rsidP="000D6D33">
      <w:pPr>
        <w:ind w:right="-450"/>
      </w:pPr>
      <w:r>
        <w:tab/>
      </w:r>
      <w:r w:rsidR="006632EB">
        <w:t>In summary, the Coalition urges</w:t>
      </w:r>
      <w:r w:rsidR="003346A5">
        <w:t xml:space="preserve"> the Commission not to approve the lower 2017 Schedule 91 rates, or even address their merits at this time.  Instead, the Coalition recommends that the Commission approve the 2017 </w:t>
      </w:r>
      <w:r w:rsidR="003346A5" w:rsidRPr="00AB768A">
        <w:rPr>
          <w:b/>
          <w:u w:val="single"/>
        </w:rPr>
        <w:t>Form PPAs</w:t>
      </w:r>
      <w:r w:rsidR="003346A5">
        <w:t xml:space="preserve">, and defer resolution of the 2017 Schedule 91 </w:t>
      </w:r>
      <w:r w:rsidR="003346A5" w:rsidRPr="00AB768A">
        <w:rPr>
          <w:b/>
          <w:u w:val="single"/>
        </w:rPr>
        <w:t>rates</w:t>
      </w:r>
      <w:r w:rsidR="003346A5">
        <w:t xml:space="preserve"> until a future open meeting.  This will put PSE’s commitments to the test, because PSE’s last and most recent justification for not signing PPAs with at least one developer is that it will sign PPAs with current 2016 Schedule 91 rates, but only after the Commission approves and allows it to use the proposed 2017 Form PPAs.  </w:t>
      </w:r>
    </w:p>
    <w:p w14:paraId="7FF2A159" w14:textId="151E2F20" w:rsidR="00CB1524" w:rsidRPr="00B47D5A" w:rsidRDefault="007956BD" w:rsidP="00517756">
      <w:pPr>
        <w:ind w:right="-450"/>
        <w:rPr>
          <w:b/>
        </w:rPr>
      </w:pPr>
      <w:r>
        <w:rPr>
          <w:b/>
        </w:rPr>
        <w:t>3</w:t>
      </w:r>
      <w:r w:rsidR="00B47D5A">
        <w:rPr>
          <w:b/>
        </w:rPr>
        <w:t>.</w:t>
      </w:r>
      <w:r w:rsidR="00B47D5A">
        <w:rPr>
          <w:b/>
        </w:rPr>
        <w:tab/>
        <w:t>PSE Has Failed to Justify Its Lower Capacity Payments</w:t>
      </w:r>
    </w:p>
    <w:p w14:paraId="4D263263" w14:textId="10A9C4DD" w:rsidR="00010C92" w:rsidRDefault="00010C92" w:rsidP="00517756">
      <w:pPr>
        <w:ind w:right="-450"/>
      </w:pPr>
      <w:r>
        <w:t xml:space="preserve"> </w:t>
      </w:r>
      <w:r w:rsidR="00B47D5A">
        <w:tab/>
      </w:r>
      <w:r w:rsidR="00537FC5">
        <w:t>As explained above a</w:t>
      </w:r>
      <w:r w:rsidR="00EE091E">
        <w:t>nd in the Coalition’s January 3</w:t>
      </w:r>
      <w:r w:rsidR="00537FC5">
        <w:t>, 2017 letter</w:t>
      </w:r>
      <w:r w:rsidR="000406A9">
        <w:t xml:space="preserve"> to the Commission</w:t>
      </w:r>
      <w:r w:rsidR="00537FC5">
        <w:t>, PSE has proposed to lower its capacity costs significantly</w:t>
      </w:r>
      <w:r w:rsidR="00FA1186">
        <w:t xml:space="preserve"> without evidentiary support</w:t>
      </w:r>
      <w:r w:rsidR="00537FC5">
        <w:t>.</w:t>
      </w:r>
      <w:r w:rsidR="00FA1186">
        <w:t xml:space="preserve">  PSE’s </w:t>
      </w:r>
      <w:proofErr w:type="spellStart"/>
      <w:r w:rsidR="00FA1186">
        <w:t>workpapers</w:t>
      </w:r>
      <w:proofErr w:type="spellEnd"/>
      <w:r w:rsidR="00FA1186">
        <w:t xml:space="preserve"> simply state</w:t>
      </w:r>
      <w:r w:rsidR="000406A9">
        <w:t>d</w:t>
      </w:r>
      <w:r w:rsidR="00FA1186">
        <w:t xml:space="preserve"> that the change</w:t>
      </w:r>
      <w:r w:rsidR="00D43D9E">
        <w:t>s</w:t>
      </w:r>
      <w:r w:rsidR="00FA1186">
        <w:t xml:space="preserve"> are</w:t>
      </w:r>
      <w:r w:rsidR="00D43D9E">
        <w:t xml:space="preserve"> based on</w:t>
      </w:r>
      <w:r w:rsidR="00FA1186">
        <w:t xml:space="preserve"> “</w:t>
      </w:r>
      <w:r w:rsidR="00FA1186" w:rsidRPr="00FA1186">
        <w:t>guidance from the IRP analysts</w:t>
      </w:r>
      <w:r w:rsidR="00D43D9E">
        <w:t xml:space="preserve"> . . . .</w:t>
      </w:r>
      <w:r w:rsidR="00FA1186">
        <w:t>”</w:t>
      </w:r>
      <w:r w:rsidR="00106455">
        <w:t xml:space="preserve">  PSE </w:t>
      </w:r>
      <w:r w:rsidR="003E5B57">
        <w:t>provided additional information in response to data requests from Staff</w:t>
      </w:r>
      <w:r w:rsidR="006364AC">
        <w:t xml:space="preserve">, </w:t>
      </w:r>
      <w:r w:rsidR="000406A9">
        <w:t>which explains that</w:t>
      </w:r>
      <w:r w:rsidR="006364AC">
        <w:t xml:space="preserve"> PSE has lowered its capacity payments because it believes that QFs do not provide the same capacity benefits as demand response</w:t>
      </w:r>
      <w:r w:rsidR="007A168D">
        <w:t xml:space="preserve"> (“DR”)</w:t>
      </w:r>
      <w:r w:rsidR="006364AC">
        <w:t>.</w:t>
      </w:r>
      <w:r w:rsidR="004F690B">
        <w:rPr>
          <w:rStyle w:val="FootnoteReference"/>
        </w:rPr>
        <w:footnoteReference w:id="12"/>
      </w:r>
      <w:r w:rsidR="006364AC">
        <w:t xml:space="preserve">  This is a novel and unsupported claim that departs from </w:t>
      </w:r>
      <w:r w:rsidR="003D1202">
        <w:t xml:space="preserve">PSE’s </w:t>
      </w:r>
      <w:r w:rsidR="006364AC">
        <w:t xml:space="preserve">current methodology for capacity payments and should not be adopted without further investigation and hearing.  </w:t>
      </w:r>
      <w:r w:rsidR="00537FC5">
        <w:t xml:space="preserve"> </w:t>
      </w:r>
    </w:p>
    <w:p w14:paraId="40FBF645" w14:textId="4C7F1FC5" w:rsidR="00E070A7" w:rsidRDefault="00E070A7" w:rsidP="00517756">
      <w:pPr>
        <w:ind w:right="-450"/>
      </w:pPr>
      <w:r>
        <w:tab/>
        <w:t xml:space="preserve">While the Coalition has not had the opportunity to independently investigate PSE’s </w:t>
      </w:r>
      <w:r w:rsidR="005401A2">
        <w:t>filing</w:t>
      </w:r>
      <w:r>
        <w:t xml:space="preserve">, PSE’s current rates appear to be based on </w:t>
      </w:r>
      <w:r w:rsidRPr="00E070A7">
        <w:t xml:space="preserve">a basket of </w:t>
      </w:r>
      <w:r w:rsidR="007A168D">
        <w:t>DR</w:t>
      </w:r>
      <w:r w:rsidRPr="00E070A7">
        <w:t xml:space="preserve"> measures that </w:t>
      </w:r>
      <w:r w:rsidR="00D43D9E">
        <w:t>were</w:t>
      </w:r>
      <w:r w:rsidR="00D43D9E" w:rsidRPr="00E070A7">
        <w:t xml:space="preserve"> </w:t>
      </w:r>
      <w:r w:rsidRPr="00E070A7">
        <w:t xml:space="preserve">identified as the avoidable resource in the 2015 IRP, with a </w:t>
      </w:r>
      <w:proofErr w:type="spellStart"/>
      <w:r w:rsidR="005401A2">
        <w:t>levelized</w:t>
      </w:r>
      <w:proofErr w:type="spellEnd"/>
      <w:r w:rsidR="005401A2">
        <w:t xml:space="preserve"> cost of </w:t>
      </w:r>
      <w:r w:rsidR="004F690B">
        <w:t>$190 per kW-year</w:t>
      </w:r>
      <w:r w:rsidRPr="00E070A7">
        <w:t>.</w:t>
      </w:r>
      <w:r>
        <w:t xml:space="preserve">  </w:t>
      </w:r>
      <w:r w:rsidRPr="00E070A7">
        <w:t xml:space="preserve">PSE </w:t>
      </w:r>
      <w:r>
        <w:t>appears to be basing the reduction of</w:t>
      </w:r>
      <w:r w:rsidRPr="00E070A7">
        <w:t xml:space="preserve"> this avoided capacity cost to</w:t>
      </w:r>
      <w:r w:rsidR="005401A2">
        <w:t xml:space="preserve"> </w:t>
      </w:r>
      <w:r w:rsidR="004F690B">
        <w:t>$135</w:t>
      </w:r>
      <w:r w:rsidR="00F4750D">
        <w:t xml:space="preserve"> per </w:t>
      </w:r>
      <w:r w:rsidR="004F690B">
        <w:t>kW-year</w:t>
      </w:r>
      <w:r w:rsidRPr="00E070A7">
        <w:t xml:space="preserve"> because </w:t>
      </w:r>
      <w:r w:rsidR="005401A2">
        <w:t xml:space="preserve">it claims </w:t>
      </w:r>
      <w:r>
        <w:t>QF</w:t>
      </w:r>
      <w:r w:rsidR="005401A2">
        <w:t>s</w:t>
      </w:r>
      <w:r w:rsidRPr="00E070A7">
        <w:t xml:space="preserve"> </w:t>
      </w:r>
      <w:r w:rsidR="008C4521">
        <w:t>no longer</w:t>
      </w:r>
      <w:r>
        <w:t xml:space="preserve"> provide the same capacity value a</w:t>
      </w:r>
      <w:r w:rsidR="005401A2">
        <w:t xml:space="preserve">s </w:t>
      </w:r>
      <w:r w:rsidR="007A168D">
        <w:t>DR</w:t>
      </w:r>
      <w:r>
        <w:t xml:space="preserve">.  </w:t>
      </w:r>
    </w:p>
    <w:p w14:paraId="2DCCA8FE" w14:textId="4DBD87EB" w:rsidR="007A168D" w:rsidRDefault="00E070A7" w:rsidP="00517756">
      <w:pPr>
        <w:ind w:right="-450"/>
      </w:pPr>
      <w:r>
        <w:tab/>
        <w:t xml:space="preserve">Given the lack of supporting documentation, neither the Coalition nor the Commission can </w:t>
      </w:r>
      <w:r w:rsidR="00C0055E">
        <w:t xml:space="preserve">verify the accuracy of PSE’s claims.  </w:t>
      </w:r>
      <w:r w:rsidR="00482B88">
        <w:t xml:space="preserve">The Coalition has identified </w:t>
      </w:r>
      <w:r w:rsidR="00065F46">
        <w:t>several</w:t>
      </w:r>
      <w:r w:rsidR="00482B88">
        <w:t xml:space="preserve"> concerns and grounds for the Commission not to adopt PSE’s lower capacity payments</w:t>
      </w:r>
      <w:r w:rsidR="005401A2">
        <w:t xml:space="preserve"> at this time</w:t>
      </w:r>
      <w:r w:rsidR="00482B88">
        <w:t>.</w:t>
      </w:r>
      <w:r w:rsidR="00065F46">
        <w:t xml:space="preserve">  </w:t>
      </w:r>
      <w:r w:rsidR="007A168D">
        <w:t>First, PSE has used the $190 per kW-year</w:t>
      </w:r>
      <w:r w:rsidR="007A168D" w:rsidRPr="00E070A7">
        <w:t xml:space="preserve"> for Schedule 91 pricing in the past, and PSE offers nothing </w:t>
      </w:r>
      <w:r w:rsidR="007A168D">
        <w:t>to justify</w:t>
      </w:r>
      <w:r w:rsidR="007A168D" w:rsidRPr="00E070A7">
        <w:t xml:space="preserve"> why it should not continue to use this value, at least until a new avoidable resource is defined in the 2017 IRP.  </w:t>
      </w:r>
      <w:r w:rsidR="007A168D">
        <w:t>If PSE is g</w:t>
      </w:r>
      <w:r w:rsidR="008C4521">
        <w:t>oing to make such a significant</w:t>
      </w:r>
      <w:r w:rsidR="007A168D">
        <w:t xml:space="preserve"> change, it should at least provide advance notice and explanation in its IRP.</w:t>
      </w:r>
    </w:p>
    <w:p w14:paraId="62C2956E" w14:textId="3745B8ED" w:rsidR="00337186" w:rsidRPr="00337186" w:rsidRDefault="00474425" w:rsidP="00517756">
      <w:pPr>
        <w:ind w:right="-450"/>
      </w:pPr>
      <w:r>
        <w:tab/>
        <w:t xml:space="preserve">Second, </w:t>
      </w:r>
      <w:r w:rsidR="00BF7C59">
        <w:t>PSE claim</w:t>
      </w:r>
      <w:r>
        <w:t>s</w:t>
      </w:r>
      <w:r w:rsidR="00BF7C59">
        <w:t xml:space="preserve"> that QF resources cannot displace an entire </w:t>
      </w:r>
      <w:proofErr w:type="spellStart"/>
      <w:r w:rsidR="00BF7C59">
        <w:t>peaker</w:t>
      </w:r>
      <w:proofErr w:type="spellEnd"/>
      <w:r w:rsidR="00BF7C59">
        <w:t xml:space="preserve"> resource </w:t>
      </w:r>
      <w:r w:rsidR="004F690B">
        <w:t>and that small QF</w:t>
      </w:r>
      <w:r w:rsidR="004F690B" w:rsidRPr="00E070A7">
        <w:t xml:space="preserve"> capacity </w:t>
      </w:r>
      <w:r w:rsidR="004F690B">
        <w:t xml:space="preserve">cannot be </w:t>
      </w:r>
      <w:r w:rsidR="004F690B" w:rsidRPr="00E070A7">
        <w:t>added in short periods</w:t>
      </w:r>
      <w:r w:rsidR="004F690B">
        <w:t xml:space="preserve"> or provide other capacity benefits </w:t>
      </w:r>
      <w:r w:rsidR="00D43D9E">
        <w:t xml:space="preserve">that are </w:t>
      </w:r>
      <w:r w:rsidR="004F690B">
        <w:t>a</w:t>
      </w:r>
      <w:r w:rsidR="007A168D">
        <w:t>t least equal to DR</w:t>
      </w:r>
      <w:r w:rsidR="00BF7C59">
        <w:t xml:space="preserve">.  </w:t>
      </w:r>
      <w:r w:rsidR="004F690B">
        <w:t xml:space="preserve">For example, </w:t>
      </w:r>
      <w:r w:rsidR="00BF7C59">
        <w:t>PSE states that: “</w:t>
      </w:r>
      <w:r w:rsidR="00BF7C59" w:rsidRPr="00BF7C59">
        <w:t xml:space="preserve">Currently, the Schedule 91 resources in the total of 36 MW nameplate capacity does not match the firm peak reduction as DSR and do not have the same capacity credit.  At best, they can reduce the size of the </w:t>
      </w:r>
      <w:proofErr w:type="spellStart"/>
      <w:r w:rsidR="00BF7C59" w:rsidRPr="00BF7C59">
        <w:t>peaker</w:t>
      </w:r>
      <w:proofErr w:type="spellEnd"/>
      <w:r w:rsidR="00BF7C59" w:rsidRPr="00BF7C59">
        <w:t xml:space="preserve"> needed in 2022, but there are not enough </w:t>
      </w:r>
      <w:r w:rsidR="00BF7C59" w:rsidRPr="00337186">
        <w:t>resources to completely avoid building resources.”</w:t>
      </w:r>
      <w:r w:rsidR="00C64B5A">
        <w:rPr>
          <w:rStyle w:val="FootnoteReference"/>
        </w:rPr>
        <w:footnoteReference w:id="13"/>
      </w:r>
      <w:r w:rsidR="00BF7C59" w:rsidRPr="00337186">
        <w:t xml:space="preserve">  </w:t>
      </w:r>
    </w:p>
    <w:p w14:paraId="0E406B23" w14:textId="3BEF74AD" w:rsidR="00337186" w:rsidRPr="00337186" w:rsidRDefault="00337186" w:rsidP="00517756">
      <w:pPr>
        <w:ind w:right="-450"/>
      </w:pPr>
      <w:r w:rsidRPr="00337186">
        <w:tab/>
      </w:r>
      <w:r w:rsidR="00BF7C59" w:rsidRPr="00337186">
        <w:t xml:space="preserve">This </w:t>
      </w:r>
      <w:r w:rsidR="00D43D9E">
        <w:t xml:space="preserve">is </w:t>
      </w:r>
      <w:r w:rsidR="00BF7C59" w:rsidRPr="00337186">
        <w:t xml:space="preserve">not how PURPA works.  Small QFs can never by themselves displace an entire </w:t>
      </w:r>
      <w:proofErr w:type="spellStart"/>
      <w:r w:rsidR="00BF7C59" w:rsidRPr="00337186">
        <w:t>peaker</w:t>
      </w:r>
      <w:proofErr w:type="spellEnd"/>
      <w:r w:rsidR="00BF7C59" w:rsidRPr="00337186">
        <w:t xml:space="preserve"> resour</w:t>
      </w:r>
      <w:r w:rsidR="00442B17" w:rsidRPr="00337186">
        <w:t xml:space="preserve">ce.  </w:t>
      </w:r>
      <w:r w:rsidRPr="00337186">
        <w:t>The question is not whether a single or small group of QF</w:t>
      </w:r>
      <w:r w:rsidR="00D43D9E">
        <w:t>s</w:t>
      </w:r>
      <w:r w:rsidRPr="00337186">
        <w:t xml:space="preserve"> </w:t>
      </w:r>
      <w:r w:rsidR="004F690B">
        <w:t xml:space="preserve">that </w:t>
      </w:r>
      <w:r w:rsidR="005401A2">
        <w:t>are</w:t>
      </w:r>
      <w:r w:rsidR="004F690B">
        <w:t xml:space="preserve"> negotiating with </w:t>
      </w:r>
      <w:r w:rsidR="005401A2">
        <w:t xml:space="preserve">the utility </w:t>
      </w:r>
      <w:r w:rsidR="004F690B">
        <w:t xml:space="preserve">at any </w:t>
      </w:r>
      <w:r w:rsidR="005401A2">
        <w:t xml:space="preserve">given </w:t>
      </w:r>
      <w:r w:rsidR="004F690B">
        <w:t xml:space="preserve">moment </w:t>
      </w:r>
      <w:r w:rsidRPr="00337186">
        <w:t>can defer any particular resource, but what inves</w:t>
      </w:r>
      <w:r w:rsidR="005401A2">
        <w:t xml:space="preserve">tments </w:t>
      </w:r>
      <w:r w:rsidR="008C4521">
        <w:t xml:space="preserve">all </w:t>
      </w:r>
      <w:r w:rsidR="005401A2">
        <w:t>QFs in the aggregate would</w:t>
      </w:r>
      <w:r w:rsidRPr="00337186">
        <w:t xml:space="preserve"> allow the utility to avoid</w:t>
      </w:r>
      <w:r w:rsidR="004F690B">
        <w:t xml:space="preserve"> over the life of the deferred resource</w:t>
      </w:r>
      <w:r w:rsidRPr="00337186">
        <w:t>.  FERC’s rules require, to the extent practical, that the Commission consider the aggregate capacity value of small QFs.</w:t>
      </w:r>
      <w:r w:rsidR="00C64B5A">
        <w:rPr>
          <w:rStyle w:val="FootnoteReference"/>
        </w:rPr>
        <w:footnoteReference w:id="14"/>
      </w:r>
      <w:r w:rsidRPr="00337186">
        <w:t xml:space="preserve"> </w:t>
      </w:r>
      <w:r w:rsidR="00C64B5A">
        <w:t xml:space="preserve"> </w:t>
      </w:r>
      <w:r w:rsidR="008C4521">
        <w:t>E</w:t>
      </w:r>
      <w:r w:rsidRPr="00337186">
        <w:t>ven though small amounts of capacity prov</w:t>
      </w:r>
      <w:r w:rsidR="008C4521">
        <w:t xml:space="preserve">ided from QFs </w:t>
      </w:r>
      <w:r w:rsidRPr="00337186">
        <w:t xml:space="preserve">might not enable a purchasing utility to defer or avoid scheduled capacity additions, the aggregate capability of such purchases </w:t>
      </w:r>
      <w:r w:rsidR="00D43D9E">
        <w:t>could</w:t>
      </w:r>
      <w:r w:rsidR="00D43D9E" w:rsidRPr="00337186">
        <w:t xml:space="preserve"> </w:t>
      </w:r>
      <w:r w:rsidRPr="00337186">
        <w:t>permit the deferral or avoidance of a capacity addition.</w:t>
      </w:r>
      <w:r w:rsidR="00C64B5A">
        <w:rPr>
          <w:rStyle w:val="FootnoteReference"/>
        </w:rPr>
        <w:footnoteReference w:id="15"/>
      </w:r>
      <w:r w:rsidR="004F690B">
        <w:t xml:space="preserve">  </w:t>
      </w:r>
      <w:r w:rsidR="00C64B5A">
        <w:t xml:space="preserve">It would </w:t>
      </w:r>
      <w:r w:rsidR="00D43D9E">
        <w:t xml:space="preserve">be </w:t>
      </w:r>
      <w:r w:rsidR="00C64B5A">
        <w:t xml:space="preserve">a radical departure to how avoided cost rates are set to reduce the capacity credit based on </w:t>
      </w:r>
      <w:r w:rsidR="004B25A8">
        <w:t xml:space="preserve">only </w:t>
      </w:r>
      <w:r w:rsidR="00C64B5A">
        <w:t>the number of QFs that were currently negotiating PPAs with the utility.</w:t>
      </w:r>
      <w:r w:rsidR="004F690B">
        <w:t xml:space="preserve">  </w:t>
      </w:r>
      <w:r w:rsidR="0096184F">
        <w:t xml:space="preserve">The Coalition participates in avoided cost rate filings in Washington, Idaho, Oregon, Utah and Wyoming, and is unaware of </w:t>
      </w:r>
      <w:r w:rsidR="0096184F" w:rsidRPr="00F62A45">
        <w:rPr>
          <w:b/>
          <w:u w:val="single"/>
        </w:rPr>
        <w:t>any</w:t>
      </w:r>
      <w:r w:rsidR="0096184F">
        <w:t xml:space="preserve"> Northwest utility that discounts the capacity payment based on only the number or capacity of QFs that have requested contracts.    </w:t>
      </w:r>
      <w:r w:rsidR="0096184F" w:rsidRPr="00337186">
        <w:t xml:space="preserve"> </w:t>
      </w:r>
      <w:r w:rsidR="0096184F">
        <w:t xml:space="preserve"> </w:t>
      </w:r>
    </w:p>
    <w:p w14:paraId="6E9B17AC" w14:textId="790257BB" w:rsidR="00E070A7" w:rsidRDefault="00C64B5A" w:rsidP="00517756">
      <w:pPr>
        <w:ind w:right="-450"/>
      </w:pPr>
      <w:r>
        <w:tab/>
      </w:r>
      <w:r w:rsidR="0096184F">
        <w:t xml:space="preserve">Third, even </w:t>
      </w:r>
      <w:r w:rsidR="0096184F" w:rsidRPr="00E070A7">
        <w:t xml:space="preserve">if </w:t>
      </w:r>
      <w:r w:rsidR="0096184F">
        <w:t xml:space="preserve">QFs </w:t>
      </w:r>
      <w:r w:rsidR="0096184F" w:rsidRPr="00E070A7">
        <w:t>can o</w:t>
      </w:r>
      <w:r w:rsidR="0096184F">
        <w:t>nly displace a portion of the demand response</w:t>
      </w:r>
      <w:r w:rsidR="0096184F" w:rsidRPr="00E070A7">
        <w:t xml:space="preserve"> resources</w:t>
      </w:r>
      <w:r w:rsidR="0096184F">
        <w:t xml:space="preserve"> identified in the 2015 IRP</w:t>
      </w:r>
      <w:r w:rsidR="0096184F" w:rsidRPr="00E070A7">
        <w:t xml:space="preserve">, </w:t>
      </w:r>
      <w:r w:rsidR="0096184F">
        <w:t xml:space="preserve">PSE has not explained why $190 per kW-year is not still the avoided capacity cost.  Demand response resources consist of a large number of DR contracts with customers or DR providers; presumably, the utility could choose not to pursue a portion of these DR resources if its need changes by an amount less than the full capacity of the package of DR resources.  Moreover, </w:t>
      </w:r>
      <w:r w:rsidR="00E070A7" w:rsidRPr="00E070A7">
        <w:t xml:space="preserve">the avoided cost to ratepayers should </w:t>
      </w:r>
      <w:r w:rsidR="0095457A">
        <w:t xml:space="preserve">not be reduced because PSE does not have a newly </w:t>
      </w:r>
      <w:r w:rsidR="00E070A7" w:rsidRPr="00E070A7">
        <w:t xml:space="preserve">completed </w:t>
      </w:r>
      <w:r w:rsidR="0095457A">
        <w:t xml:space="preserve">and acknowledged </w:t>
      </w:r>
      <w:r w:rsidR="00F62A45">
        <w:t xml:space="preserve">IRP that identifies a </w:t>
      </w:r>
      <w:proofErr w:type="spellStart"/>
      <w:r w:rsidR="00F62A45">
        <w:t>peaker</w:t>
      </w:r>
      <w:proofErr w:type="spellEnd"/>
      <w:r w:rsidR="00F62A45">
        <w:t xml:space="preserve"> costing $135 per kW-year</w:t>
      </w:r>
      <w:r w:rsidR="00E070A7" w:rsidRPr="00E070A7">
        <w:t xml:space="preserve"> as the avoidable resource.  </w:t>
      </w:r>
      <w:r w:rsidR="0095457A">
        <w:t xml:space="preserve">Instead, PSE is </w:t>
      </w:r>
      <w:r w:rsidR="00E070A7" w:rsidRPr="00E070A7">
        <w:t>still relying on the 2015 IRP</w:t>
      </w:r>
      <w:r w:rsidR="004B25A8">
        <w:t xml:space="preserve">’s </w:t>
      </w:r>
      <w:r w:rsidR="007A168D">
        <w:t>DR</w:t>
      </w:r>
      <w:r w:rsidR="004B25A8">
        <w:t xml:space="preserve"> as the avoidable capacity resource</w:t>
      </w:r>
      <w:r w:rsidR="00E070A7" w:rsidRPr="00E070A7">
        <w:t>.</w:t>
      </w:r>
    </w:p>
    <w:p w14:paraId="072D3B8B" w14:textId="3786BB19" w:rsidR="00C64B5A" w:rsidRDefault="00C64B5A" w:rsidP="00517756">
      <w:pPr>
        <w:ind w:right="-450"/>
      </w:pPr>
      <w:r>
        <w:tab/>
      </w:r>
      <w:r w:rsidR="00474425">
        <w:t xml:space="preserve">Fourth, </w:t>
      </w:r>
      <w:r>
        <w:t>PSE also inappropriately assumes that its peaking resource will not need any firm p</w:t>
      </w:r>
      <w:r w:rsidR="00160ED0">
        <w:t>ipeline costs.  PSE explain</w:t>
      </w:r>
      <w:r w:rsidR="00F62A45">
        <w:t>e</w:t>
      </w:r>
      <w:r w:rsidR="00160ED0">
        <w:t>d that: “</w:t>
      </w:r>
      <w:r w:rsidR="00160ED0" w:rsidRPr="00160ED0">
        <w:t xml:space="preserve">The $190/kw-year was calculated using the 2015 IRP resource cost and Base power price.  The $135/kw-year was calculated using the 2015 IRP resource cost with </w:t>
      </w:r>
      <w:r w:rsidR="00160ED0" w:rsidRPr="00160ED0">
        <w:rPr>
          <w:b/>
          <w:u w:val="single"/>
        </w:rPr>
        <w:t>no firm pipeline cost</w:t>
      </w:r>
      <w:r w:rsidR="00160ED0" w:rsidRPr="00160ED0">
        <w:t xml:space="preserve"> on the frame </w:t>
      </w:r>
      <w:proofErr w:type="spellStart"/>
      <w:r w:rsidR="00160ED0" w:rsidRPr="00160ED0">
        <w:t>peaker</w:t>
      </w:r>
      <w:proofErr w:type="spellEnd"/>
      <w:r w:rsidR="00160ED0">
        <w:t>”</w:t>
      </w:r>
      <w:r w:rsidR="00160ED0">
        <w:rPr>
          <w:rStyle w:val="FootnoteReference"/>
        </w:rPr>
        <w:footnoteReference w:id="16"/>
      </w:r>
      <w:r w:rsidR="00474425">
        <w:t xml:space="preserve"> and that “</w:t>
      </w:r>
      <w:r w:rsidR="00474425" w:rsidRPr="00474425">
        <w:t xml:space="preserve">the frame </w:t>
      </w:r>
      <w:proofErr w:type="spellStart"/>
      <w:r w:rsidR="00474425" w:rsidRPr="00474425">
        <w:t>peake</w:t>
      </w:r>
      <w:r w:rsidR="00474425">
        <w:t>r</w:t>
      </w:r>
      <w:proofErr w:type="spellEnd"/>
      <w:r w:rsidR="00474425">
        <w:t xml:space="preserve"> has zero firm gas transport.”</w:t>
      </w:r>
      <w:r w:rsidR="00474425">
        <w:rPr>
          <w:rStyle w:val="FootnoteReference"/>
        </w:rPr>
        <w:footnoteReference w:id="17"/>
      </w:r>
      <w:r w:rsidR="00160ED0">
        <w:t xml:space="preserve">  PSE should have to explain how its peaking resource can provide any capacity value without </w:t>
      </w:r>
      <w:r w:rsidR="0096184F">
        <w:t xml:space="preserve">a </w:t>
      </w:r>
      <w:r w:rsidR="00160ED0">
        <w:t xml:space="preserve">guaranteed gas supply.  </w:t>
      </w:r>
    </w:p>
    <w:p w14:paraId="0DC23A76" w14:textId="23C5BE05" w:rsidR="00474425" w:rsidRDefault="00474425" w:rsidP="00517756">
      <w:pPr>
        <w:ind w:right="-450"/>
      </w:pPr>
      <w:r>
        <w:tab/>
        <w:t xml:space="preserve">Finally, additional review and </w:t>
      </w:r>
      <w:r w:rsidR="00F62A45">
        <w:t xml:space="preserve">the opportunity for PSE to conduct </w:t>
      </w:r>
      <w:r>
        <w:t>discovery could identify other concerns with PSE’s capacity cost calculation</w:t>
      </w:r>
      <w:r w:rsidR="00347035">
        <w:t>,</w:t>
      </w:r>
      <w:r>
        <w:t xml:space="preserve"> or other elements of the filing.  </w:t>
      </w:r>
    </w:p>
    <w:p w14:paraId="1D237CC6" w14:textId="716E71B1" w:rsidR="00E070A7" w:rsidRPr="006632EB" w:rsidRDefault="007956BD" w:rsidP="00517756">
      <w:pPr>
        <w:ind w:right="-450"/>
        <w:rPr>
          <w:b/>
        </w:rPr>
      </w:pPr>
      <w:r>
        <w:rPr>
          <w:b/>
        </w:rPr>
        <w:t>4</w:t>
      </w:r>
      <w:r w:rsidR="006632EB">
        <w:rPr>
          <w:b/>
        </w:rPr>
        <w:t>.</w:t>
      </w:r>
      <w:r w:rsidR="006632EB">
        <w:rPr>
          <w:b/>
        </w:rPr>
        <w:tab/>
        <w:t>Conclusion</w:t>
      </w:r>
    </w:p>
    <w:p w14:paraId="53A00C25" w14:textId="080C3E68" w:rsidR="00F62A45" w:rsidRDefault="00291148" w:rsidP="002A5445">
      <w:pPr>
        <w:ind w:right="-450"/>
        <w:rPr>
          <w:rFonts w:eastAsiaTheme="minorEastAsia"/>
        </w:rPr>
      </w:pPr>
      <w:r>
        <w:rPr>
          <w:rFonts w:eastAsiaTheme="minorEastAsia"/>
        </w:rPr>
        <w:tab/>
      </w:r>
      <w:r w:rsidR="00732EDA">
        <w:rPr>
          <w:rFonts w:eastAsiaTheme="minorEastAsia"/>
        </w:rPr>
        <w:t xml:space="preserve">The controversy regarding PSE’s new Schedule 91 filings is entirely of PSE’s creation.  PSE has had more than sufficient </w:t>
      </w:r>
      <w:r w:rsidR="00347035">
        <w:rPr>
          <w:rFonts w:eastAsiaTheme="minorEastAsia"/>
        </w:rPr>
        <w:t xml:space="preserve">time </w:t>
      </w:r>
      <w:r w:rsidR="00732EDA">
        <w:rPr>
          <w:rFonts w:eastAsiaTheme="minorEastAsia"/>
        </w:rPr>
        <w:t xml:space="preserve">to finalize and sign PPAs with the few developers that it has said are sufficiently mature as to warrant contracts with the current 2016 </w:t>
      </w:r>
      <w:bookmarkStart w:id="0" w:name="_GoBack"/>
      <w:r w:rsidR="00732EDA">
        <w:rPr>
          <w:rFonts w:eastAsiaTheme="minorEastAsia"/>
        </w:rPr>
        <w:t>Schedule 91 rates</w:t>
      </w:r>
      <w:r w:rsidR="005B0ADC">
        <w:rPr>
          <w:rFonts w:eastAsiaTheme="minorEastAsia"/>
        </w:rPr>
        <w:t>.</w:t>
      </w:r>
      <w:r w:rsidR="00732EDA">
        <w:rPr>
          <w:rFonts w:eastAsiaTheme="minorEastAsia"/>
        </w:rPr>
        <w:t xml:space="preserve">  PSE also could have easily continued to use the same methodology for </w:t>
      </w:r>
      <w:bookmarkEnd w:id="0"/>
      <w:r w:rsidR="00732EDA">
        <w:rPr>
          <w:rFonts w:eastAsiaTheme="minorEastAsia"/>
        </w:rPr>
        <w:t xml:space="preserve">valuation of QF capacity as it has in the past, which would remove any controversy regarding the calculation of the rates.  </w:t>
      </w:r>
    </w:p>
    <w:p w14:paraId="2AE1B90D" w14:textId="3B07C53F" w:rsidR="00291148" w:rsidRDefault="00F62A45" w:rsidP="002A5445">
      <w:pPr>
        <w:ind w:right="-450"/>
        <w:rPr>
          <w:rFonts w:eastAsiaTheme="minorEastAsia"/>
        </w:rPr>
      </w:pPr>
      <w:r>
        <w:rPr>
          <w:rFonts w:eastAsiaTheme="minorEastAsia"/>
        </w:rPr>
        <w:tab/>
      </w:r>
      <w:r w:rsidR="00732EDA">
        <w:rPr>
          <w:rFonts w:eastAsiaTheme="minorEastAsia"/>
        </w:rPr>
        <w:t xml:space="preserve">The Coalition recommends that the Commission either reject PSE’s 2017 Schedule 91 </w:t>
      </w:r>
      <w:r w:rsidR="00732EDA" w:rsidRPr="004B25A8">
        <w:rPr>
          <w:rFonts w:eastAsiaTheme="minorEastAsia"/>
          <w:b/>
          <w:u w:val="single"/>
        </w:rPr>
        <w:t>rates</w:t>
      </w:r>
      <w:r w:rsidR="00732EDA">
        <w:rPr>
          <w:rFonts w:eastAsiaTheme="minorEastAsia"/>
        </w:rPr>
        <w:t xml:space="preserve">, suspend the rates pending an investigation, or postpone any resolution of the rates until a future open meeting.  However, the Commission should approve the 2017 </w:t>
      </w:r>
      <w:r w:rsidR="00732EDA" w:rsidRPr="004B25A8">
        <w:rPr>
          <w:rFonts w:eastAsiaTheme="minorEastAsia"/>
          <w:b/>
          <w:u w:val="single"/>
        </w:rPr>
        <w:t>Form PPAs</w:t>
      </w:r>
      <w:r w:rsidR="00732EDA">
        <w:rPr>
          <w:rFonts w:eastAsiaTheme="minorEastAsia"/>
        </w:rPr>
        <w:t xml:space="preserve"> because there are no known disputes regarding their terms and conditions, and PSE is claiming that their pending approval is the</w:t>
      </w:r>
      <w:r w:rsidR="004B25A8">
        <w:rPr>
          <w:rFonts w:eastAsiaTheme="minorEastAsia"/>
        </w:rPr>
        <w:t xml:space="preserve"> sole</w:t>
      </w:r>
      <w:r w:rsidR="00732EDA">
        <w:rPr>
          <w:rFonts w:eastAsiaTheme="minorEastAsia"/>
        </w:rPr>
        <w:t xml:space="preserve"> reason why it will not finalize PPAs with at least one </w:t>
      </w:r>
      <w:r w:rsidR="00347035">
        <w:rPr>
          <w:rFonts w:eastAsiaTheme="minorEastAsia"/>
        </w:rPr>
        <w:t xml:space="preserve">QF </w:t>
      </w:r>
      <w:r w:rsidR="00732EDA">
        <w:rPr>
          <w:rFonts w:eastAsiaTheme="minorEastAsia"/>
        </w:rPr>
        <w:t xml:space="preserve">developer.  </w:t>
      </w:r>
    </w:p>
    <w:p w14:paraId="207753F4" w14:textId="77777777" w:rsidR="00D52C6E" w:rsidRDefault="00D52C6E" w:rsidP="002A5445">
      <w:pPr>
        <w:ind w:right="-450"/>
        <w:rPr>
          <w:rFonts w:eastAsiaTheme="minorEastAsia"/>
        </w:rPr>
      </w:pPr>
    </w:p>
    <w:p w14:paraId="557EF95E" w14:textId="1B587091" w:rsidR="008A0FE5" w:rsidRDefault="00291148" w:rsidP="00F55629">
      <w:pPr>
        <w:ind w:right="-45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Sincerely, </w:t>
      </w:r>
    </w:p>
    <w:p w14:paraId="7D2A9717" w14:textId="4EEF110C" w:rsidR="00347035" w:rsidRDefault="00C935FB" w:rsidP="00C935FB">
      <w:pPr>
        <w:ind w:left="2880" w:right="-450"/>
        <w:rPr>
          <w:rFonts w:eastAsiaTheme="minorEastAsia"/>
        </w:rPr>
      </w:pPr>
      <w:r w:rsidRPr="0030765F">
        <w:rPr>
          <w:noProof/>
        </w:rPr>
        <w:drawing>
          <wp:inline distT="0" distB="0" distL="0" distR="0" wp14:anchorId="446DEBB3" wp14:editId="47F812E9">
            <wp:extent cx="1466850" cy="558800"/>
            <wp:effectExtent l="0" t="0" r="635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558800"/>
                    </a:xfrm>
                    <a:prstGeom prst="rect">
                      <a:avLst/>
                    </a:prstGeom>
                    <a:noFill/>
                    <a:ln>
                      <a:noFill/>
                    </a:ln>
                  </pic:spPr>
                </pic:pic>
              </a:graphicData>
            </a:graphic>
          </wp:inline>
        </w:drawing>
      </w:r>
    </w:p>
    <w:p w14:paraId="476D199F" w14:textId="2AE32499" w:rsidR="009D2D0F" w:rsidRDefault="00291148" w:rsidP="00347035">
      <w:pPr>
        <w:ind w:right="-450"/>
        <w:outlineLvl w:val="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Irion A. Sanger</w:t>
      </w:r>
    </w:p>
    <w:p w14:paraId="07CDCB9C" w14:textId="7D08D132" w:rsidR="00F2720F" w:rsidRDefault="00F2720F" w:rsidP="00F55629">
      <w:pPr>
        <w:ind w:right="-450"/>
        <w:rPr>
          <w:rFonts w:eastAsiaTheme="minorEastAsia"/>
        </w:rPr>
      </w:pPr>
      <w:r>
        <w:rPr>
          <w:rFonts w:eastAsiaTheme="minorEastAsia"/>
        </w:rPr>
        <w:tab/>
      </w:r>
    </w:p>
    <w:p w14:paraId="0758F113" w14:textId="1C5A7BE7" w:rsidR="00713539" w:rsidRDefault="00B01928" w:rsidP="00B01928">
      <w:pPr>
        <w:spacing w:after="0"/>
        <w:ind w:right="-446"/>
        <w:rPr>
          <w:rFonts w:eastAsiaTheme="minorEastAsia"/>
        </w:rPr>
      </w:pPr>
      <w:r>
        <w:rPr>
          <w:rFonts w:eastAsiaTheme="minorEastAsia"/>
        </w:rPr>
        <w:t>cc:</w:t>
      </w:r>
      <w:r>
        <w:rPr>
          <w:rFonts w:eastAsiaTheme="minorEastAsia"/>
        </w:rPr>
        <w:tab/>
        <w:t>John Lowe</w:t>
      </w:r>
    </w:p>
    <w:p w14:paraId="66791DC4" w14:textId="77777777" w:rsidR="00815240" w:rsidRDefault="00B01928" w:rsidP="00AC7E58">
      <w:pPr>
        <w:spacing w:after="0"/>
        <w:ind w:right="-446"/>
        <w:rPr>
          <w:rFonts w:eastAsiaTheme="minorEastAsia"/>
        </w:rPr>
      </w:pPr>
      <w:r>
        <w:rPr>
          <w:rFonts w:eastAsiaTheme="minorEastAsia"/>
        </w:rPr>
        <w:tab/>
      </w:r>
      <w:r w:rsidR="00AC7E58">
        <w:rPr>
          <w:rFonts w:eastAsiaTheme="minorEastAsia"/>
        </w:rPr>
        <w:t>David Gomez</w:t>
      </w:r>
    </w:p>
    <w:p w14:paraId="006DE6EC" w14:textId="43C5CA5A" w:rsidR="00AC7E58" w:rsidRDefault="00815240" w:rsidP="00AC7E58">
      <w:pPr>
        <w:spacing w:after="0"/>
        <w:ind w:right="-446"/>
        <w:rPr>
          <w:rFonts w:eastAsiaTheme="minorEastAsia"/>
        </w:rPr>
      </w:pPr>
      <w:r>
        <w:rPr>
          <w:rFonts w:eastAsiaTheme="minorEastAsia"/>
        </w:rPr>
        <w:tab/>
        <w:t>Ken Johnson</w:t>
      </w:r>
      <w:r w:rsidR="00AC7E58">
        <w:rPr>
          <w:rFonts w:eastAsiaTheme="minorEastAsia"/>
        </w:rPr>
        <w:t xml:space="preserve"> </w:t>
      </w:r>
    </w:p>
    <w:p w14:paraId="06A9E794" w14:textId="3367926D" w:rsidR="00157824" w:rsidRPr="009D2D0F" w:rsidRDefault="00AC7E58" w:rsidP="00AC7E58">
      <w:pPr>
        <w:spacing w:after="0"/>
        <w:ind w:right="-446"/>
        <w:rPr>
          <w:rFonts w:eastAsiaTheme="minorEastAsia"/>
        </w:rPr>
      </w:pPr>
      <w:r>
        <w:rPr>
          <w:rFonts w:eastAsiaTheme="minorEastAsia"/>
        </w:rPr>
        <w:tab/>
        <w:t>Jason Kuzma</w:t>
      </w:r>
      <w:r w:rsidR="00B01928">
        <w:rPr>
          <w:rFonts w:eastAsiaTheme="minorEastAsia"/>
        </w:rPr>
        <w:t xml:space="preserve"> </w:t>
      </w:r>
    </w:p>
    <w:sectPr w:rsidR="00157824" w:rsidRPr="009D2D0F" w:rsidSect="00FB31B2">
      <w:head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E9C99" w14:textId="77777777" w:rsidR="007A7B84" w:rsidRDefault="007A7B84" w:rsidP="00200CD1">
      <w:pPr>
        <w:spacing w:after="0" w:line="240" w:lineRule="auto"/>
      </w:pPr>
      <w:r>
        <w:separator/>
      </w:r>
    </w:p>
  </w:endnote>
  <w:endnote w:type="continuationSeparator" w:id="0">
    <w:p w14:paraId="662E70C5" w14:textId="77777777" w:rsidR="007A7B84" w:rsidRDefault="007A7B84" w:rsidP="0020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odern No. 20">
    <w:panose1 w:val="02070704070505020303"/>
    <w:charset w:val="00"/>
    <w:family w:val="auto"/>
    <w:pitch w:val="variable"/>
    <w:sig w:usb0="00000003" w:usb1="00000000" w:usb2="00000000" w:usb3="00000000" w:csb0="00000001" w:csb1="00000000"/>
  </w:font>
  <w:font w:name="GungsuhChe">
    <w:panose1 w:val="02030609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E55BF" w14:textId="77777777" w:rsidR="007A7B84" w:rsidRDefault="007A7B84" w:rsidP="00200CD1">
      <w:pPr>
        <w:spacing w:after="0" w:line="240" w:lineRule="auto"/>
      </w:pPr>
      <w:r>
        <w:separator/>
      </w:r>
    </w:p>
  </w:footnote>
  <w:footnote w:type="continuationSeparator" w:id="0">
    <w:p w14:paraId="5C8E0314" w14:textId="77777777" w:rsidR="007A7B84" w:rsidRDefault="007A7B84" w:rsidP="00200CD1">
      <w:pPr>
        <w:spacing w:after="0" w:line="240" w:lineRule="auto"/>
      </w:pPr>
      <w:r>
        <w:continuationSeparator/>
      </w:r>
    </w:p>
  </w:footnote>
  <w:footnote w:id="1">
    <w:p w14:paraId="4AA9A1C9" w14:textId="6E43805B" w:rsidR="000D6D33" w:rsidRDefault="000D6D33" w:rsidP="00D320A7">
      <w:pPr>
        <w:pStyle w:val="FootnoteText"/>
        <w:ind w:left="720" w:hanging="720"/>
      </w:pPr>
      <w:r>
        <w:rPr>
          <w:rStyle w:val="FootnoteReference"/>
        </w:rPr>
        <w:footnoteRef/>
      </w:r>
      <w:r>
        <w:t xml:space="preserve"> </w:t>
      </w:r>
      <w:r>
        <w:tab/>
        <w:t xml:space="preserve">Attachment A at </w:t>
      </w:r>
      <w:r w:rsidR="00CB4303">
        <w:t xml:space="preserve">2 </w:t>
      </w:r>
      <w:r>
        <w:t>(PS</w:t>
      </w:r>
      <w:r w:rsidR="00EE053A">
        <w:t>E Response to Commission Staff Informal Data Request No.</w:t>
      </w:r>
      <w:r>
        <w:t xml:space="preserve"> 013).</w:t>
      </w:r>
    </w:p>
  </w:footnote>
  <w:footnote w:id="2">
    <w:p w14:paraId="77EB29E2" w14:textId="449308C7" w:rsidR="000D6D33" w:rsidRDefault="000D6D33" w:rsidP="00D320A7">
      <w:pPr>
        <w:pStyle w:val="FootnoteText"/>
        <w:ind w:left="720" w:hanging="720"/>
      </w:pPr>
      <w:r>
        <w:rPr>
          <w:rStyle w:val="FootnoteReference"/>
        </w:rPr>
        <w:footnoteRef/>
      </w:r>
      <w:r>
        <w:t xml:space="preserve"> </w:t>
      </w:r>
      <w:r>
        <w:tab/>
      </w:r>
      <w:r w:rsidR="00347035" w:rsidRPr="006E4FCB">
        <w:rPr>
          <w:u w:val="single"/>
        </w:rPr>
        <w:t>Id.</w:t>
      </w:r>
      <w:r>
        <w:t xml:space="preserve"> at </w:t>
      </w:r>
      <w:r w:rsidR="00CB4303">
        <w:t>6</w:t>
      </w:r>
      <w:r w:rsidR="00347035">
        <w:t>.</w:t>
      </w:r>
    </w:p>
  </w:footnote>
  <w:footnote w:id="3">
    <w:p w14:paraId="26AEBEEB" w14:textId="6B9708E9" w:rsidR="00CB4303" w:rsidRDefault="00CB4303">
      <w:pPr>
        <w:pStyle w:val="FootnoteText"/>
      </w:pPr>
      <w:r>
        <w:rPr>
          <w:rStyle w:val="FootnoteReference"/>
        </w:rPr>
        <w:footnoteRef/>
      </w:r>
      <w:r>
        <w:t xml:space="preserve"> </w:t>
      </w:r>
      <w:r>
        <w:tab/>
      </w:r>
      <w:r w:rsidRPr="006E4FCB">
        <w:rPr>
          <w:u w:val="single"/>
        </w:rPr>
        <w:t>Id.</w:t>
      </w:r>
    </w:p>
  </w:footnote>
  <w:footnote w:id="4">
    <w:p w14:paraId="4C454869" w14:textId="0F53EE0B" w:rsidR="00CB4303" w:rsidRDefault="00CB4303">
      <w:pPr>
        <w:pStyle w:val="FootnoteText"/>
      </w:pPr>
      <w:r>
        <w:rPr>
          <w:rStyle w:val="FootnoteReference"/>
        </w:rPr>
        <w:footnoteRef/>
      </w:r>
      <w:r>
        <w:t xml:space="preserve"> </w:t>
      </w:r>
      <w:r>
        <w:tab/>
      </w:r>
      <w:r w:rsidRPr="006E4FCB">
        <w:rPr>
          <w:u w:val="single"/>
        </w:rPr>
        <w:t>Id.</w:t>
      </w:r>
    </w:p>
  </w:footnote>
  <w:footnote w:id="5">
    <w:p w14:paraId="23E16A21" w14:textId="5540A8B8" w:rsidR="00CB4303" w:rsidRDefault="00CB4303">
      <w:pPr>
        <w:pStyle w:val="FootnoteText"/>
      </w:pPr>
      <w:r>
        <w:rPr>
          <w:rStyle w:val="FootnoteReference"/>
        </w:rPr>
        <w:footnoteRef/>
      </w:r>
      <w:r>
        <w:t xml:space="preserve"> </w:t>
      </w:r>
      <w:r>
        <w:tab/>
      </w:r>
      <w:r w:rsidRPr="006E4FCB">
        <w:rPr>
          <w:u w:val="single"/>
        </w:rPr>
        <w:t>Id.</w:t>
      </w:r>
    </w:p>
  </w:footnote>
  <w:footnote w:id="6">
    <w:p w14:paraId="0E24BEAE" w14:textId="0B307609" w:rsidR="00C1223B" w:rsidRDefault="00C1223B">
      <w:pPr>
        <w:pStyle w:val="FootnoteText"/>
      </w:pPr>
      <w:r>
        <w:rPr>
          <w:rStyle w:val="FootnoteReference"/>
        </w:rPr>
        <w:footnoteRef/>
      </w:r>
      <w:r>
        <w:t xml:space="preserve"> </w:t>
      </w:r>
      <w:r>
        <w:tab/>
      </w:r>
      <w:r>
        <w:rPr>
          <w:u w:val="single"/>
        </w:rPr>
        <w:t>FLS Energy, Inc.</w:t>
      </w:r>
      <w:r>
        <w:t>, 157 FERC ¶ 61,211 at P 26 (2016).</w:t>
      </w:r>
    </w:p>
  </w:footnote>
  <w:footnote w:id="7">
    <w:p w14:paraId="108EE6FC" w14:textId="3F261558" w:rsidR="009A179E" w:rsidRDefault="009A179E" w:rsidP="00D320A7">
      <w:pPr>
        <w:pStyle w:val="FootnoteText"/>
        <w:ind w:left="720" w:hanging="720"/>
      </w:pPr>
      <w:r>
        <w:rPr>
          <w:rStyle w:val="FootnoteReference"/>
        </w:rPr>
        <w:footnoteRef/>
      </w:r>
      <w:r>
        <w:t xml:space="preserve"> </w:t>
      </w:r>
      <w:r>
        <w:tab/>
        <w:t>The Coalition is not aware of whether PSE has informed Staff of this new position in updated data responses.</w:t>
      </w:r>
    </w:p>
  </w:footnote>
  <w:footnote w:id="8">
    <w:p w14:paraId="7DA781BB" w14:textId="2397CB30" w:rsidR="008300CD" w:rsidRPr="00EE19DC" w:rsidRDefault="008300CD" w:rsidP="008300CD">
      <w:pPr>
        <w:pStyle w:val="FootnoteText"/>
        <w:ind w:left="720" w:hanging="720"/>
      </w:pPr>
      <w:r>
        <w:rPr>
          <w:rStyle w:val="FootnoteReference"/>
        </w:rPr>
        <w:footnoteRef/>
      </w:r>
      <w:r>
        <w:t xml:space="preserve"> </w:t>
      </w:r>
      <w:r>
        <w:tab/>
        <w:t xml:space="preserve">As the Commission may be aware, other utilities have provided final draft PPAs or even signed PPAs to QFs in the past, only to challenge the contracts after avoided cost rates dropped or other policy changes were made.  </w:t>
      </w:r>
      <w:r w:rsidRPr="006C26DC">
        <w:rPr>
          <w:u w:val="single"/>
        </w:rPr>
        <w:t>E.g.</w:t>
      </w:r>
      <w:r w:rsidRPr="006C26DC">
        <w:t>,</w:t>
      </w:r>
      <w:r>
        <w:t xml:space="preserve"> </w:t>
      </w:r>
      <w:r>
        <w:rPr>
          <w:u w:val="single"/>
        </w:rPr>
        <w:t>Grouse Creek Wind Park, LLC</w:t>
      </w:r>
      <w:r>
        <w:t xml:space="preserve">, 142 FERC ¶ 61,187 at P 6 (2013) (Idaho Power Company argued that a fully executed PPA no longer qualified for a standard contract based on a change in Idaho state PURPA policy that occurred months after execution); </w:t>
      </w:r>
      <w:r>
        <w:rPr>
          <w:u w:val="single"/>
        </w:rPr>
        <w:t>Murphy Flat Power, LLC</w:t>
      </w:r>
      <w:r>
        <w:t xml:space="preserve">, 141 FERC ¶ 61,145 PP 6, 18 (2012) (Idaho Power Company argued that a fully executed PPA no longer qualified for a standard contract based on a change in Idaho state PURPA policy that occurred after execution); </w:t>
      </w:r>
      <w:r w:rsidRPr="006C26DC">
        <w:t xml:space="preserve"> </w:t>
      </w:r>
      <w:r>
        <w:rPr>
          <w:u w:val="single"/>
        </w:rPr>
        <w:t>Rainbow Ranch Wind, LLC</w:t>
      </w:r>
      <w:r>
        <w:t xml:space="preserve">, 139 FERC ¶ 61,077 at PP 6, 16 (2012) (Idaho Power Company argued that a fully executed PPA no longer qualified for a standard contract based on a change in Idaho state PURPA policy that occurred after execution); </w:t>
      </w:r>
      <w:r w:rsidRPr="004F17C8">
        <w:rPr>
          <w:u w:val="single"/>
        </w:rPr>
        <w:t>Cedar Creek</w:t>
      </w:r>
      <w:r>
        <w:rPr>
          <w:u w:val="single"/>
        </w:rPr>
        <w:t xml:space="preserve"> Wind, LLC</w:t>
      </w:r>
      <w:r w:rsidRPr="00C67348">
        <w:t>, 137 FERC ¶ 61,006 at P</w:t>
      </w:r>
      <w:r>
        <w:t>P</w:t>
      </w:r>
      <w:r w:rsidRPr="00C67348">
        <w:t xml:space="preserve"> </w:t>
      </w:r>
      <w:r>
        <w:t xml:space="preserve">5, 20 (2011) (Rocky Mountain Power/PacifiCorp argued that it should not be bound by PPAs that it delayed executing until after an Idaho state PURPA policy change); </w:t>
      </w:r>
      <w:r w:rsidRPr="003E6E02">
        <w:rPr>
          <w:u w:val="single"/>
        </w:rPr>
        <w:t xml:space="preserve">Re </w:t>
      </w:r>
      <w:r>
        <w:rPr>
          <w:u w:val="single"/>
        </w:rPr>
        <w:t>Farmers Irrigation District v. PacifiCorp, dba Pacific Power</w:t>
      </w:r>
      <w:r>
        <w:t xml:space="preserve">, Docket No. UM 1441, Order No. 10-493 at 2 (Dec. 27, 2010) (PacifiCorp raised a concern regarding a QF’s continued eligibility, refused to sign a new or renewed PPA until after its prices changed, and then offered only the lower rates); </w:t>
      </w:r>
      <w:r>
        <w:rPr>
          <w:u w:val="single"/>
        </w:rPr>
        <w:t xml:space="preserve">Re </w:t>
      </w:r>
      <w:proofErr w:type="spellStart"/>
      <w:r>
        <w:rPr>
          <w:u w:val="single"/>
        </w:rPr>
        <w:t>Swalley</w:t>
      </w:r>
      <w:proofErr w:type="spellEnd"/>
      <w:r>
        <w:rPr>
          <w:u w:val="single"/>
        </w:rPr>
        <w:t xml:space="preserve"> Irrigation District v. PacifiCorp, dba Pacific Power</w:t>
      </w:r>
      <w:r>
        <w:t xml:space="preserve">, Docket No. 1438, Order No. 09-451 at 1 (Nov. 9, 2009) (QF </w:t>
      </w:r>
      <w:r w:rsidRPr="00DD0E99">
        <w:t xml:space="preserve">had taken steps to establish a small power production facility, but </w:t>
      </w:r>
      <w:r>
        <w:t>PacifiCorp</w:t>
      </w:r>
      <w:r w:rsidRPr="00DD0E99">
        <w:t xml:space="preserve"> </w:t>
      </w:r>
      <w:r>
        <w:t xml:space="preserve">refused </w:t>
      </w:r>
      <w:r w:rsidRPr="00DD0E99">
        <w:t>to execute a completed PPA unless the agreement included new, lower rates</w:t>
      </w:r>
      <w:r>
        <w:t xml:space="preserve">); </w:t>
      </w:r>
      <w:r>
        <w:rPr>
          <w:u w:val="single"/>
        </w:rPr>
        <w:t>Re I</w:t>
      </w:r>
      <w:r w:rsidRPr="00552830">
        <w:rPr>
          <w:u w:val="single"/>
        </w:rPr>
        <w:t xml:space="preserve">nternational Paper </w:t>
      </w:r>
      <w:r>
        <w:rPr>
          <w:u w:val="single"/>
        </w:rPr>
        <w:t xml:space="preserve">Co. </w:t>
      </w:r>
      <w:r w:rsidRPr="00552830">
        <w:rPr>
          <w:u w:val="single"/>
        </w:rPr>
        <w:t>v. PacifiCorp</w:t>
      </w:r>
      <w:r>
        <w:rPr>
          <w:u w:val="single"/>
        </w:rPr>
        <w:t>, dba Pacific Power</w:t>
      </w:r>
      <w:r>
        <w:t>, Docket No. UM 1449, Order No. 09-439 at 6-7 (Nov</w:t>
      </w:r>
      <w:r w:rsidR="00EE053A">
        <w:t>.</w:t>
      </w:r>
      <w:r>
        <w:t xml:space="preserve"> 4, 2009) (PacifiCorp refused to execute a PPA during a pending avoided cost rate change and then argued after the rate change that the lower rates should apply); </w:t>
      </w:r>
      <w:r w:rsidRPr="00552830">
        <w:rPr>
          <w:u w:val="single"/>
        </w:rPr>
        <w:t>Snow Mountain Pine Co. v. Maudlin</w:t>
      </w:r>
      <w:r>
        <w:t xml:space="preserve">, 734 P.2d 1366, 1370, 84 Or. App. 590 (1987) (CP National would not execute a PPA prior to an avoided cost rate change and argued that the applicable avoided cost rates should be the avoided cost rates in effect after the rate reduction). </w:t>
      </w:r>
    </w:p>
  </w:footnote>
  <w:footnote w:id="9">
    <w:p w14:paraId="3336256A" w14:textId="52782559" w:rsidR="007530A9" w:rsidRDefault="007530A9" w:rsidP="00D320A7">
      <w:pPr>
        <w:pStyle w:val="FootnoteText"/>
        <w:ind w:left="720" w:hanging="720"/>
      </w:pPr>
      <w:r>
        <w:rPr>
          <w:rStyle w:val="FootnoteReference"/>
        </w:rPr>
        <w:footnoteRef/>
      </w:r>
      <w:r>
        <w:t xml:space="preserve"> </w:t>
      </w:r>
      <w:r>
        <w:tab/>
      </w:r>
      <w:r w:rsidRPr="004F17C8">
        <w:rPr>
          <w:u w:val="single"/>
        </w:rPr>
        <w:t>Cedar Creek</w:t>
      </w:r>
      <w:r>
        <w:rPr>
          <w:u w:val="single"/>
        </w:rPr>
        <w:t xml:space="preserve"> Wind, LLC</w:t>
      </w:r>
      <w:r w:rsidRPr="00C67348">
        <w:t xml:space="preserve">, 137 FERC ¶ 61,006 at P </w:t>
      </w:r>
      <w:r>
        <w:t>36.</w:t>
      </w:r>
    </w:p>
  </w:footnote>
  <w:footnote w:id="10">
    <w:p w14:paraId="7D77AD8B" w14:textId="77777777" w:rsidR="007530A9" w:rsidRDefault="007530A9" w:rsidP="00D320A7">
      <w:pPr>
        <w:pStyle w:val="FootnoteText"/>
        <w:ind w:left="720" w:hanging="720"/>
      </w:pPr>
      <w:r>
        <w:rPr>
          <w:rStyle w:val="FootnoteReference"/>
        </w:rPr>
        <w:footnoteRef/>
      </w:r>
      <w:r>
        <w:t xml:space="preserve"> </w:t>
      </w:r>
      <w:r>
        <w:tab/>
      </w:r>
      <w:r>
        <w:rPr>
          <w:u w:val="single"/>
        </w:rPr>
        <w:t>FLS Energy, Inc.</w:t>
      </w:r>
      <w:r>
        <w:t>, 157 FERC ¶ 61,211 at P 26 (2016).</w:t>
      </w:r>
    </w:p>
  </w:footnote>
  <w:footnote w:id="11">
    <w:p w14:paraId="584CDE42" w14:textId="27C98186" w:rsidR="00503578" w:rsidRPr="00503578" w:rsidRDefault="00503578" w:rsidP="00D320A7">
      <w:pPr>
        <w:pStyle w:val="FootnoteText"/>
        <w:ind w:left="720" w:hanging="720"/>
      </w:pPr>
      <w:r>
        <w:rPr>
          <w:rStyle w:val="FootnoteReference"/>
        </w:rPr>
        <w:footnoteRef/>
      </w:r>
      <w:r>
        <w:t xml:space="preserve"> </w:t>
      </w:r>
      <w:r>
        <w:tab/>
      </w:r>
      <w:r>
        <w:rPr>
          <w:u w:val="single"/>
        </w:rPr>
        <w:t>Re Portland General Electric Company</w:t>
      </w:r>
      <w:r w:rsidR="00355EEB">
        <w:rPr>
          <w:u w:val="single"/>
        </w:rPr>
        <w:t>,</w:t>
      </w:r>
      <w:r>
        <w:rPr>
          <w:u w:val="single"/>
        </w:rPr>
        <w:t xml:space="preserve"> Application</w:t>
      </w:r>
      <w:r w:rsidR="00AF313C">
        <w:rPr>
          <w:u w:val="single"/>
        </w:rPr>
        <w:t xml:space="preserve"> </w:t>
      </w:r>
      <w:r>
        <w:rPr>
          <w:u w:val="single"/>
        </w:rPr>
        <w:t xml:space="preserve">to Update Schedule 201 </w:t>
      </w:r>
      <w:proofErr w:type="spellStart"/>
      <w:r>
        <w:rPr>
          <w:u w:val="single"/>
        </w:rPr>
        <w:t>Q</w:t>
      </w:r>
      <w:r w:rsidR="00355EEB">
        <w:rPr>
          <w:u w:val="single"/>
        </w:rPr>
        <w:t>uaifying</w:t>
      </w:r>
      <w:proofErr w:type="spellEnd"/>
      <w:r w:rsidR="00355EEB">
        <w:rPr>
          <w:u w:val="single"/>
        </w:rPr>
        <w:t xml:space="preserve"> </w:t>
      </w:r>
      <w:r>
        <w:rPr>
          <w:u w:val="single"/>
        </w:rPr>
        <w:t>F</w:t>
      </w:r>
      <w:r w:rsidR="00355EEB">
        <w:rPr>
          <w:u w:val="single"/>
        </w:rPr>
        <w:t>acility</w:t>
      </w:r>
      <w:r>
        <w:rPr>
          <w:u w:val="single"/>
        </w:rPr>
        <w:t xml:space="preserve"> Information</w:t>
      </w:r>
      <w:r>
        <w:t>, Docket No. UM 1664, Order No. 13-378</w:t>
      </w:r>
      <w:r w:rsidR="00355EEB">
        <w:t xml:space="preserve"> at 1</w:t>
      </w:r>
      <w:r>
        <w:t xml:space="preserve"> (Oct. 17, 2013).  </w:t>
      </w:r>
    </w:p>
  </w:footnote>
  <w:footnote w:id="12">
    <w:p w14:paraId="1B571E43" w14:textId="30FAA38A" w:rsidR="004F690B" w:rsidRDefault="004F690B" w:rsidP="00D320A7">
      <w:pPr>
        <w:pStyle w:val="FootnoteText"/>
        <w:ind w:left="720" w:hanging="720"/>
      </w:pPr>
      <w:r>
        <w:rPr>
          <w:rStyle w:val="FootnoteReference"/>
        </w:rPr>
        <w:footnoteRef/>
      </w:r>
      <w:r>
        <w:t xml:space="preserve"> </w:t>
      </w:r>
      <w:r>
        <w:tab/>
        <w:t xml:space="preserve">The Coalition also notes that PSE </w:t>
      </w:r>
      <w:r w:rsidR="004B25A8">
        <w:t xml:space="preserve">repeatedly </w:t>
      </w:r>
      <w:r>
        <w:t xml:space="preserve">refused to provide copies of its responses to Staff’s data requests, and the Coalition only obtained these documents after making a public records request with the Commission. </w:t>
      </w:r>
      <w:r w:rsidR="005401A2">
        <w:t xml:space="preserve"> </w:t>
      </w:r>
      <w:r>
        <w:t xml:space="preserve">The Coalition and its members that are impacted by the reduced Schedule 91 rates should be provided an opportunity to review and vet PSE’s proposed changes.      </w:t>
      </w:r>
    </w:p>
  </w:footnote>
  <w:footnote w:id="13">
    <w:p w14:paraId="1005C2B9" w14:textId="3F04D601" w:rsidR="00C64B5A" w:rsidRDefault="00C64B5A" w:rsidP="00D320A7">
      <w:pPr>
        <w:pStyle w:val="FootnoteText"/>
        <w:ind w:left="720" w:hanging="720"/>
      </w:pPr>
      <w:r>
        <w:rPr>
          <w:rStyle w:val="FootnoteReference"/>
        </w:rPr>
        <w:footnoteRef/>
      </w:r>
      <w:r>
        <w:t xml:space="preserve"> </w:t>
      </w:r>
      <w:r>
        <w:tab/>
        <w:t xml:space="preserve">Attachment A </w:t>
      </w:r>
      <w:r w:rsidR="00355EEB">
        <w:t>at</w:t>
      </w:r>
      <w:r w:rsidR="00EE053A">
        <w:t xml:space="preserve"> 7</w:t>
      </w:r>
      <w:r w:rsidR="00355EEB">
        <w:t xml:space="preserve"> </w:t>
      </w:r>
      <w:r w:rsidR="00EE053A">
        <w:t xml:space="preserve">(PSE Response to Staff Informal Data Request No. </w:t>
      </w:r>
      <w:r>
        <w:t>5)</w:t>
      </w:r>
      <w:r w:rsidR="00160ED0">
        <w:t>.</w:t>
      </w:r>
    </w:p>
  </w:footnote>
  <w:footnote w:id="14">
    <w:p w14:paraId="40B1B8ED" w14:textId="0B75EF02" w:rsidR="00C64B5A" w:rsidRDefault="00C64B5A" w:rsidP="00D320A7">
      <w:pPr>
        <w:pStyle w:val="FootnoteText"/>
        <w:ind w:left="720" w:hanging="720"/>
      </w:pPr>
      <w:r>
        <w:rPr>
          <w:rStyle w:val="FootnoteReference"/>
        </w:rPr>
        <w:footnoteRef/>
      </w:r>
      <w:r>
        <w:t xml:space="preserve"> </w:t>
      </w:r>
      <w:r>
        <w:tab/>
      </w:r>
      <w:r w:rsidRPr="00337186">
        <w:t xml:space="preserve">18 C.F.R. § 292.304(e)(2)(vi).  </w:t>
      </w:r>
    </w:p>
  </w:footnote>
  <w:footnote w:id="15">
    <w:p w14:paraId="59F13FA5" w14:textId="1AD7BCCF" w:rsidR="00C64B5A" w:rsidRDefault="00C64B5A" w:rsidP="00D320A7">
      <w:pPr>
        <w:pStyle w:val="FootnoteText"/>
        <w:ind w:left="720" w:hanging="720"/>
      </w:pPr>
      <w:r>
        <w:rPr>
          <w:rStyle w:val="FootnoteReference"/>
        </w:rPr>
        <w:footnoteRef/>
      </w:r>
      <w:r>
        <w:t xml:space="preserve"> </w:t>
      </w:r>
      <w:r>
        <w:tab/>
      </w:r>
      <w:r w:rsidR="00D52C6E">
        <w:rPr>
          <w:iCs/>
          <w:u w:val="single"/>
        </w:rPr>
        <w:t>Small Power Production</w:t>
      </w:r>
      <w:r w:rsidRPr="00337186">
        <w:rPr>
          <w:iCs/>
          <w:u w:val="single"/>
        </w:rPr>
        <w:t xml:space="preserve"> and Co</w:t>
      </w:r>
      <w:r w:rsidR="00D52C6E">
        <w:rPr>
          <w:iCs/>
          <w:u w:val="single"/>
        </w:rPr>
        <w:t xml:space="preserve">generation Facilities; </w:t>
      </w:r>
      <w:proofErr w:type="spellStart"/>
      <w:r w:rsidR="00D52C6E">
        <w:rPr>
          <w:iCs/>
          <w:u w:val="single"/>
        </w:rPr>
        <w:t>Reg</w:t>
      </w:r>
      <w:r w:rsidRPr="00337186">
        <w:rPr>
          <w:iCs/>
          <w:u w:val="single"/>
        </w:rPr>
        <w:t>s</w:t>
      </w:r>
      <w:r w:rsidR="00D52C6E">
        <w:rPr>
          <w:iCs/>
          <w:u w:val="single"/>
        </w:rPr>
        <w:t>ulations</w:t>
      </w:r>
      <w:proofErr w:type="spellEnd"/>
      <w:r w:rsidR="00D52C6E">
        <w:rPr>
          <w:iCs/>
          <w:u w:val="single"/>
        </w:rPr>
        <w:t xml:space="preserve"> Implementing Section 210 of the Public Utility Regulatory Policies</w:t>
      </w:r>
      <w:r w:rsidRPr="00337186">
        <w:rPr>
          <w:iCs/>
          <w:u w:val="single"/>
        </w:rPr>
        <w:t xml:space="preserve"> Act of 1978</w:t>
      </w:r>
      <w:r w:rsidRPr="00337186">
        <w:t xml:space="preserve">, Order No. 69, 45 Fed. Reg. 12,214, 12,227 (Feb. 25, 1980).  </w:t>
      </w:r>
    </w:p>
  </w:footnote>
  <w:footnote w:id="16">
    <w:p w14:paraId="625B47BC" w14:textId="42BF7B60" w:rsidR="00160ED0" w:rsidRDefault="00160ED0" w:rsidP="00D320A7">
      <w:pPr>
        <w:pStyle w:val="FootnoteText"/>
        <w:ind w:left="720" w:hanging="720"/>
      </w:pPr>
      <w:r>
        <w:rPr>
          <w:rStyle w:val="FootnoteReference"/>
        </w:rPr>
        <w:footnoteRef/>
      </w:r>
      <w:r>
        <w:t xml:space="preserve"> </w:t>
      </w:r>
      <w:r>
        <w:tab/>
        <w:t xml:space="preserve">Attachment A </w:t>
      </w:r>
      <w:r w:rsidR="00347035">
        <w:t xml:space="preserve">at </w:t>
      </w:r>
      <w:r w:rsidR="00355EEB">
        <w:t xml:space="preserve">8 </w:t>
      </w:r>
      <w:r w:rsidR="00EE053A">
        <w:t xml:space="preserve">(PSE Response to Staff Informal Data Request No. </w:t>
      </w:r>
      <w:r>
        <w:t>5).</w:t>
      </w:r>
    </w:p>
  </w:footnote>
  <w:footnote w:id="17">
    <w:p w14:paraId="1D3E2A61" w14:textId="1A66F72E" w:rsidR="00474425" w:rsidRDefault="00474425" w:rsidP="00D320A7">
      <w:pPr>
        <w:pStyle w:val="FootnoteText"/>
        <w:ind w:left="720" w:hanging="720"/>
      </w:pPr>
      <w:r>
        <w:rPr>
          <w:rStyle w:val="FootnoteReference"/>
        </w:rPr>
        <w:footnoteRef/>
      </w:r>
      <w:r w:rsidR="00AF313C">
        <w:t xml:space="preserve"> </w:t>
      </w:r>
      <w:r w:rsidR="00AF313C">
        <w:tab/>
      </w:r>
      <w:r w:rsidR="00AF313C" w:rsidRPr="00AF313C">
        <w:rPr>
          <w:u w:val="single"/>
        </w:rPr>
        <w:t>Id.</w:t>
      </w:r>
      <w:r w:rsidR="00355EEB">
        <w:t xml:space="preserve"> </w:t>
      </w:r>
      <w:r>
        <w:t>(</w:t>
      </w:r>
      <w:r w:rsidR="00355EEB">
        <w:t xml:space="preserve">citing </w:t>
      </w:r>
      <w:r w:rsidR="00EE053A">
        <w:t xml:space="preserve">PSE Response to Staff Informal Data Request No. </w:t>
      </w:r>
      <w:r>
        <w:t>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EDD84" w14:textId="2F88BEDE" w:rsidR="00227DCF" w:rsidRDefault="00227DCF">
    <w:pPr>
      <w:pStyle w:val="Header"/>
    </w:pPr>
    <w:r>
      <w:t>PSE Avoided Costs Revision</w:t>
    </w:r>
  </w:p>
  <w:p w14:paraId="0562B3C5" w14:textId="10955A00" w:rsidR="00227DCF" w:rsidRDefault="00227DCF">
    <w:pPr>
      <w:pStyle w:val="Header"/>
    </w:pPr>
    <w:r>
      <w:t>Docket No. UE-161240</w:t>
    </w:r>
  </w:p>
  <w:p w14:paraId="4477E758" w14:textId="280F9ABA" w:rsidR="00227DCF" w:rsidRDefault="00691F1D">
    <w:pPr>
      <w:pStyle w:val="Header"/>
    </w:pPr>
    <w:r>
      <w:t>February 6</w:t>
    </w:r>
    <w:r w:rsidR="00227DCF">
      <w:t>, 2017</w:t>
    </w:r>
  </w:p>
  <w:p w14:paraId="6F7BB3D4" w14:textId="56AD0B91" w:rsidR="00227DCF" w:rsidRDefault="00227DCF">
    <w:pPr>
      <w:pStyle w:val="Header"/>
    </w:pPr>
    <w:r>
      <w:t xml:space="preserve">Page </w:t>
    </w:r>
    <w:r>
      <w:fldChar w:fldCharType="begin"/>
    </w:r>
    <w:r>
      <w:instrText xml:space="preserve"> PAGE </w:instrText>
    </w:r>
    <w:r>
      <w:fldChar w:fldCharType="separate"/>
    </w:r>
    <w:r w:rsidR="006C2EAF">
      <w:rPr>
        <w:noProof/>
      </w:rPr>
      <w:t>6</w:t>
    </w:r>
    <w:r>
      <w:fldChar w:fldCharType="end"/>
    </w:r>
    <w:r>
      <w:t xml:space="preserve"> of </w:t>
    </w:r>
    <w:fldSimple w:instr=" NUMPAGES ">
      <w:r w:rsidR="006C2EAF">
        <w:rPr>
          <w:noProof/>
        </w:rPr>
        <w:t>8</w:t>
      </w:r>
    </w:fldSimple>
  </w:p>
  <w:p w14:paraId="47A1AC8A" w14:textId="77777777" w:rsidR="00227DCF" w:rsidRDefault="00227D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5F7605"/>
    <w:multiLevelType w:val="hybridMultilevel"/>
    <w:tmpl w:val="F8F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56"/>
    <w:rsid w:val="00010C92"/>
    <w:rsid w:val="00020289"/>
    <w:rsid w:val="000250AC"/>
    <w:rsid w:val="0003167C"/>
    <w:rsid w:val="000370F1"/>
    <w:rsid w:val="000406A9"/>
    <w:rsid w:val="00042262"/>
    <w:rsid w:val="0004626D"/>
    <w:rsid w:val="00055DDE"/>
    <w:rsid w:val="00061E1D"/>
    <w:rsid w:val="00065F46"/>
    <w:rsid w:val="00075595"/>
    <w:rsid w:val="000762FD"/>
    <w:rsid w:val="00082F85"/>
    <w:rsid w:val="00087755"/>
    <w:rsid w:val="00092219"/>
    <w:rsid w:val="00095CB8"/>
    <w:rsid w:val="000A79AB"/>
    <w:rsid w:val="000B108A"/>
    <w:rsid w:val="000D0B11"/>
    <w:rsid w:val="000D4CA7"/>
    <w:rsid w:val="000D6D33"/>
    <w:rsid w:val="000E4654"/>
    <w:rsid w:val="000E6B58"/>
    <w:rsid w:val="000F63C1"/>
    <w:rsid w:val="00100C90"/>
    <w:rsid w:val="00101B05"/>
    <w:rsid w:val="00101DEC"/>
    <w:rsid w:val="00106455"/>
    <w:rsid w:val="00111624"/>
    <w:rsid w:val="00112B34"/>
    <w:rsid w:val="001153F3"/>
    <w:rsid w:val="00124EAA"/>
    <w:rsid w:val="00130527"/>
    <w:rsid w:val="00151461"/>
    <w:rsid w:val="00157824"/>
    <w:rsid w:val="00160ED0"/>
    <w:rsid w:val="00174C2E"/>
    <w:rsid w:val="00184133"/>
    <w:rsid w:val="001A1143"/>
    <w:rsid w:val="001B1331"/>
    <w:rsid w:val="001B3616"/>
    <w:rsid w:val="001B40D6"/>
    <w:rsid w:val="001C0B6B"/>
    <w:rsid w:val="001C16A3"/>
    <w:rsid w:val="001D728C"/>
    <w:rsid w:val="001F4CFF"/>
    <w:rsid w:val="00200CD1"/>
    <w:rsid w:val="00205C4E"/>
    <w:rsid w:val="00224B7F"/>
    <w:rsid w:val="00227DCF"/>
    <w:rsid w:val="00232CA9"/>
    <w:rsid w:val="00240F3E"/>
    <w:rsid w:val="00263374"/>
    <w:rsid w:val="00270039"/>
    <w:rsid w:val="002707F5"/>
    <w:rsid w:val="0027341B"/>
    <w:rsid w:val="00274F9D"/>
    <w:rsid w:val="00291148"/>
    <w:rsid w:val="002A4072"/>
    <w:rsid w:val="002A4314"/>
    <w:rsid w:val="002A5445"/>
    <w:rsid w:val="002A761C"/>
    <w:rsid w:val="002B0FC4"/>
    <w:rsid w:val="002B131F"/>
    <w:rsid w:val="002B6AA9"/>
    <w:rsid w:val="002E2EAB"/>
    <w:rsid w:val="002F1C71"/>
    <w:rsid w:val="002F6D17"/>
    <w:rsid w:val="0030416B"/>
    <w:rsid w:val="0030617B"/>
    <w:rsid w:val="003203C0"/>
    <w:rsid w:val="003346A5"/>
    <w:rsid w:val="00337186"/>
    <w:rsid w:val="00342135"/>
    <w:rsid w:val="00342582"/>
    <w:rsid w:val="00347035"/>
    <w:rsid w:val="0035292C"/>
    <w:rsid w:val="00354FFB"/>
    <w:rsid w:val="00355EEB"/>
    <w:rsid w:val="00360238"/>
    <w:rsid w:val="0036105B"/>
    <w:rsid w:val="0036760D"/>
    <w:rsid w:val="00372420"/>
    <w:rsid w:val="00373E0A"/>
    <w:rsid w:val="00374663"/>
    <w:rsid w:val="00381064"/>
    <w:rsid w:val="003846AB"/>
    <w:rsid w:val="003913C0"/>
    <w:rsid w:val="00393987"/>
    <w:rsid w:val="00394278"/>
    <w:rsid w:val="0039500A"/>
    <w:rsid w:val="003A1190"/>
    <w:rsid w:val="003A35D1"/>
    <w:rsid w:val="003B1DD2"/>
    <w:rsid w:val="003B3EE8"/>
    <w:rsid w:val="003B7321"/>
    <w:rsid w:val="003D00D4"/>
    <w:rsid w:val="003D1202"/>
    <w:rsid w:val="003D762A"/>
    <w:rsid w:val="003E5B57"/>
    <w:rsid w:val="003E6E02"/>
    <w:rsid w:val="00400564"/>
    <w:rsid w:val="00406EE7"/>
    <w:rsid w:val="004131C0"/>
    <w:rsid w:val="0042209C"/>
    <w:rsid w:val="00430FB6"/>
    <w:rsid w:val="0043222D"/>
    <w:rsid w:val="004363A3"/>
    <w:rsid w:val="004406BB"/>
    <w:rsid w:val="004428DF"/>
    <w:rsid w:val="00442B17"/>
    <w:rsid w:val="0045362C"/>
    <w:rsid w:val="0045680A"/>
    <w:rsid w:val="004621C9"/>
    <w:rsid w:val="00474425"/>
    <w:rsid w:val="00482B88"/>
    <w:rsid w:val="00486AE0"/>
    <w:rsid w:val="00490EB7"/>
    <w:rsid w:val="00491063"/>
    <w:rsid w:val="00491B38"/>
    <w:rsid w:val="004A2691"/>
    <w:rsid w:val="004B25A8"/>
    <w:rsid w:val="004B4777"/>
    <w:rsid w:val="004C25C6"/>
    <w:rsid w:val="004C650D"/>
    <w:rsid w:val="004D65D2"/>
    <w:rsid w:val="004F5A0C"/>
    <w:rsid w:val="004F690B"/>
    <w:rsid w:val="00501440"/>
    <w:rsid w:val="00501544"/>
    <w:rsid w:val="00501E63"/>
    <w:rsid w:val="00503578"/>
    <w:rsid w:val="00517756"/>
    <w:rsid w:val="00526E93"/>
    <w:rsid w:val="00537174"/>
    <w:rsid w:val="00537FC5"/>
    <w:rsid w:val="005401A2"/>
    <w:rsid w:val="00550A69"/>
    <w:rsid w:val="00552830"/>
    <w:rsid w:val="0055607F"/>
    <w:rsid w:val="0056140C"/>
    <w:rsid w:val="0057338C"/>
    <w:rsid w:val="00577A34"/>
    <w:rsid w:val="00591BFC"/>
    <w:rsid w:val="0059362E"/>
    <w:rsid w:val="005A3D90"/>
    <w:rsid w:val="005A6BCD"/>
    <w:rsid w:val="005B0ADC"/>
    <w:rsid w:val="005B3DD6"/>
    <w:rsid w:val="005D4E79"/>
    <w:rsid w:val="005D5C5C"/>
    <w:rsid w:val="005E2969"/>
    <w:rsid w:val="005E6720"/>
    <w:rsid w:val="005F7865"/>
    <w:rsid w:val="005F7A6D"/>
    <w:rsid w:val="00602EE2"/>
    <w:rsid w:val="00604EF0"/>
    <w:rsid w:val="0061473F"/>
    <w:rsid w:val="00622985"/>
    <w:rsid w:val="006309A9"/>
    <w:rsid w:val="00630EE6"/>
    <w:rsid w:val="00634D7C"/>
    <w:rsid w:val="006364AC"/>
    <w:rsid w:val="00644599"/>
    <w:rsid w:val="00651F90"/>
    <w:rsid w:val="006531CD"/>
    <w:rsid w:val="00656DC3"/>
    <w:rsid w:val="00662B22"/>
    <w:rsid w:val="006632EB"/>
    <w:rsid w:val="006771BA"/>
    <w:rsid w:val="00691639"/>
    <w:rsid w:val="00691F1D"/>
    <w:rsid w:val="00697B86"/>
    <w:rsid w:val="006C26DC"/>
    <w:rsid w:val="006C2EAF"/>
    <w:rsid w:val="006C6377"/>
    <w:rsid w:val="006D5C31"/>
    <w:rsid w:val="006E4FCB"/>
    <w:rsid w:val="006E6FC4"/>
    <w:rsid w:val="006F06B2"/>
    <w:rsid w:val="0070027A"/>
    <w:rsid w:val="007034E4"/>
    <w:rsid w:val="0070476C"/>
    <w:rsid w:val="007053BE"/>
    <w:rsid w:val="00706C0B"/>
    <w:rsid w:val="00707C99"/>
    <w:rsid w:val="00713539"/>
    <w:rsid w:val="00732EDA"/>
    <w:rsid w:val="00745089"/>
    <w:rsid w:val="007530A9"/>
    <w:rsid w:val="00755096"/>
    <w:rsid w:val="0077778A"/>
    <w:rsid w:val="007801E1"/>
    <w:rsid w:val="00784FCA"/>
    <w:rsid w:val="007956BD"/>
    <w:rsid w:val="007A168D"/>
    <w:rsid w:val="007A7B84"/>
    <w:rsid w:val="007D2DAC"/>
    <w:rsid w:val="007D3236"/>
    <w:rsid w:val="007E1DD1"/>
    <w:rsid w:val="007F306B"/>
    <w:rsid w:val="007F3FFE"/>
    <w:rsid w:val="007F5AE3"/>
    <w:rsid w:val="00814207"/>
    <w:rsid w:val="00815240"/>
    <w:rsid w:val="00816EE3"/>
    <w:rsid w:val="0082011D"/>
    <w:rsid w:val="008300CD"/>
    <w:rsid w:val="008302A7"/>
    <w:rsid w:val="008302CF"/>
    <w:rsid w:val="008338BA"/>
    <w:rsid w:val="00834D4E"/>
    <w:rsid w:val="00836CF1"/>
    <w:rsid w:val="00844588"/>
    <w:rsid w:val="008501E6"/>
    <w:rsid w:val="00853431"/>
    <w:rsid w:val="00866ABE"/>
    <w:rsid w:val="008734CF"/>
    <w:rsid w:val="00894273"/>
    <w:rsid w:val="008A0FE5"/>
    <w:rsid w:val="008A203C"/>
    <w:rsid w:val="008B0267"/>
    <w:rsid w:val="008C147E"/>
    <w:rsid w:val="008C1C4B"/>
    <w:rsid w:val="008C4521"/>
    <w:rsid w:val="008C459A"/>
    <w:rsid w:val="008E3B28"/>
    <w:rsid w:val="008F21BC"/>
    <w:rsid w:val="0090685C"/>
    <w:rsid w:val="009263C7"/>
    <w:rsid w:val="009516CE"/>
    <w:rsid w:val="009524B9"/>
    <w:rsid w:val="0095457A"/>
    <w:rsid w:val="0096184F"/>
    <w:rsid w:val="009832F0"/>
    <w:rsid w:val="0099548B"/>
    <w:rsid w:val="00997B5A"/>
    <w:rsid w:val="009A11B6"/>
    <w:rsid w:val="009A179E"/>
    <w:rsid w:val="009D09EF"/>
    <w:rsid w:val="009D1AA2"/>
    <w:rsid w:val="009D2D0F"/>
    <w:rsid w:val="009D56E3"/>
    <w:rsid w:val="009E1760"/>
    <w:rsid w:val="009E6F79"/>
    <w:rsid w:val="009F204F"/>
    <w:rsid w:val="00A1384E"/>
    <w:rsid w:val="00A51A8D"/>
    <w:rsid w:val="00A55438"/>
    <w:rsid w:val="00A65DE8"/>
    <w:rsid w:val="00A8747C"/>
    <w:rsid w:val="00A908AC"/>
    <w:rsid w:val="00A9529F"/>
    <w:rsid w:val="00AA25D7"/>
    <w:rsid w:val="00AB2EA7"/>
    <w:rsid w:val="00AB33F4"/>
    <w:rsid w:val="00AB60FC"/>
    <w:rsid w:val="00AB768A"/>
    <w:rsid w:val="00AC7E58"/>
    <w:rsid w:val="00AE6BCD"/>
    <w:rsid w:val="00AF1CD2"/>
    <w:rsid w:val="00AF313C"/>
    <w:rsid w:val="00B01928"/>
    <w:rsid w:val="00B01F06"/>
    <w:rsid w:val="00B132DF"/>
    <w:rsid w:val="00B220D9"/>
    <w:rsid w:val="00B47D5A"/>
    <w:rsid w:val="00B62F07"/>
    <w:rsid w:val="00B675D2"/>
    <w:rsid w:val="00B726EF"/>
    <w:rsid w:val="00B81937"/>
    <w:rsid w:val="00B835BC"/>
    <w:rsid w:val="00B86909"/>
    <w:rsid w:val="00B903D6"/>
    <w:rsid w:val="00BB4A55"/>
    <w:rsid w:val="00BD0645"/>
    <w:rsid w:val="00BD10F5"/>
    <w:rsid w:val="00BE27A4"/>
    <w:rsid w:val="00BF7C59"/>
    <w:rsid w:val="00C0055E"/>
    <w:rsid w:val="00C022C0"/>
    <w:rsid w:val="00C038A7"/>
    <w:rsid w:val="00C04E4A"/>
    <w:rsid w:val="00C05479"/>
    <w:rsid w:val="00C073EC"/>
    <w:rsid w:val="00C1223B"/>
    <w:rsid w:val="00C13CA4"/>
    <w:rsid w:val="00C16379"/>
    <w:rsid w:val="00C1753F"/>
    <w:rsid w:val="00C37FD8"/>
    <w:rsid w:val="00C45AB4"/>
    <w:rsid w:val="00C6039A"/>
    <w:rsid w:val="00C62E72"/>
    <w:rsid w:val="00C64B5A"/>
    <w:rsid w:val="00C70B6D"/>
    <w:rsid w:val="00C92A40"/>
    <w:rsid w:val="00C935FB"/>
    <w:rsid w:val="00C94323"/>
    <w:rsid w:val="00C97C99"/>
    <w:rsid w:val="00CA14F6"/>
    <w:rsid w:val="00CA6029"/>
    <w:rsid w:val="00CB1524"/>
    <w:rsid w:val="00CB344A"/>
    <w:rsid w:val="00CB3526"/>
    <w:rsid w:val="00CB4303"/>
    <w:rsid w:val="00CC1811"/>
    <w:rsid w:val="00CC411B"/>
    <w:rsid w:val="00CC62C3"/>
    <w:rsid w:val="00CD3FBB"/>
    <w:rsid w:val="00CD6141"/>
    <w:rsid w:val="00CE665C"/>
    <w:rsid w:val="00CE68D2"/>
    <w:rsid w:val="00CF082C"/>
    <w:rsid w:val="00CF2E5F"/>
    <w:rsid w:val="00CF49C0"/>
    <w:rsid w:val="00D01BE9"/>
    <w:rsid w:val="00D15409"/>
    <w:rsid w:val="00D320A7"/>
    <w:rsid w:val="00D43D9E"/>
    <w:rsid w:val="00D50428"/>
    <w:rsid w:val="00D52C6E"/>
    <w:rsid w:val="00D57DAA"/>
    <w:rsid w:val="00D64A48"/>
    <w:rsid w:val="00D71C79"/>
    <w:rsid w:val="00D76FB6"/>
    <w:rsid w:val="00D77C92"/>
    <w:rsid w:val="00D8667F"/>
    <w:rsid w:val="00D87C07"/>
    <w:rsid w:val="00D908FB"/>
    <w:rsid w:val="00DA0A20"/>
    <w:rsid w:val="00DA161F"/>
    <w:rsid w:val="00DB2E74"/>
    <w:rsid w:val="00DB6BA3"/>
    <w:rsid w:val="00DB7834"/>
    <w:rsid w:val="00DD0E99"/>
    <w:rsid w:val="00DD6A2C"/>
    <w:rsid w:val="00DD754F"/>
    <w:rsid w:val="00DE4340"/>
    <w:rsid w:val="00DF40FD"/>
    <w:rsid w:val="00E01CE6"/>
    <w:rsid w:val="00E05A70"/>
    <w:rsid w:val="00E070A7"/>
    <w:rsid w:val="00E11F42"/>
    <w:rsid w:val="00E17F6C"/>
    <w:rsid w:val="00E32319"/>
    <w:rsid w:val="00E44C7C"/>
    <w:rsid w:val="00E5176B"/>
    <w:rsid w:val="00E52938"/>
    <w:rsid w:val="00E52961"/>
    <w:rsid w:val="00E63445"/>
    <w:rsid w:val="00E732F5"/>
    <w:rsid w:val="00E93160"/>
    <w:rsid w:val="00E94DC3"/>
    <w:rsid w:val="00EA0BF2"/>
    <w:rsid w:val="00EB5732"/>
    <w:rsid w:val="00EB6AE2"/>
    <w:rsid w:val="00EC045A"/>
    <w:rsid w:val="00EC57B4"/>
    <w:rsid w:val="00EE053A"/>
    <w:rsid w:val="00EE091E"/>
    <w:rsid w:val="00EE19DC"/>
    <w:rsid w:val="00EF1483"/>
    <w:rsid w:val="00EF22B8"/>
    <w:rsid w:val="00EF36A6"/>
    <w:rsid w:val="00EF7A51"/>
    <w:rsid w:val="00F029EA"/>
    <w:rsid w:val="00F12A79"/>
    <w:rsid w:val="00F20066"/>
    <w:rsid w:val="00F20AE2"/>
    <w:rsid w:val="00F2720F"/>
    <w:rsid w:val="00F474DD"/>
    <w:rsid w:val="00F4750D"/>
    <w:rsid w:val="00F5240A"/>
    <w:rsid w:val="00F55629"/>
    <w:rsid w:val="00F5607E"/>
    <w:rsid w:val="00F5676B"/>
    <w:rsid w:val="00F62A45"/>
    <w:rsid w:val="00F66A8B"/>
    <w:rsid w:val="00F736E9"/>
    <w:rsid w:val="00F7783E"/>
    <w:rsid w:val="00FA1186"/>
    <w:rsid w:val="00FA2973"/>
    <w:rsid w:val="00FA2C20"/>
    <w:rsid w:val="00FB12C1"/>
    <w:rsid w:val="00FB31B2"/>
    <w:rsid w:val="00FF025C"/>
    <w:rsid w:val="00FF1C08"/>
    <w:rsid w:val="00FF298D"/>
    <w:rsid w:val="00FF2E46"/>
    <w:rsid w:val="00FF649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30C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7756"/>
    <w:pPr>
      <w:spacing w:after="160" w:line="259" w:lineRule="auto"/>
    </w:pPr>
    <w:rPr>
      <w:rFonts w:ascii="Times New Roman" w:eastAsiaTheme="minorHAnsi"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649B"/>
    <w:rPr>
      <w:sz w:val="18"/>
      <w:szCs w:val="18"/>
    </w:rPr>
  </w:style>
  <w:style w:type="paragraph" w:styleId="CommentText">
    <w:name w:val="annotation text"/>
    <w:basedOn w:val="Normal"/>
    <w:link w:val="CommentTextChar"/>
    <w:uiPriority w:val="99"/>
    <w:semiHidden/>
    <w:unhideWhenUsed/>
    <w:rsid w:val="00FF649B"/>
    <w:pPr>
      <w:overflowPunct w:val="0"/>
      <w:autoSpaceDE w:val="0"/>
      <w:autoSpaceDN w:val="0"/>
      <w:adjustRightInd w:val="0"/>
      <w:spacing w:after="0" w:line="240" w:lineRule="auto"/>
      <w:textAlignment w:val="baseline"/>
    </w:pPr>
    <w:rPr>
      <w:rFonts w:eastAsia="Times New Roman"/>
    </w:rPr>
  </w:style>
  <w:style w:type="character" w:customStyle="1" w:styleId="CommentTextChar">
    <w:name w:val="Comment Text Char"/>
    <w:basedOn w:val="DefaultParagraphFont"/>
    <w:link w:val="CommentText"/>
    <w:uiPriority w:val="99"/>
    <w:semiHidden/>
    <w:rsid w:val="00FF649B"/>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FF649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49B"/>
    <w:rPr>
      <w:rFonts w:ascii="Lucida Grande" w:eastAsiaTheme="minorHAnsi" w:hAnsi="Lucida Grande" w:cs="Lucida Grande"/>
      <w:sz w:val="18"/>
      <w:szCs w:val="18"/>
      <w:lang w:eastAsia="en-US"/>
    </w:rPr>
  </w:style>
  <w:style w:type="paragraph" w:styleId="NormalWeb">
    <w:name w:val="Normal (Web)"/>
    <w:basedOn w:val="Normal"/>
    <w:uiPriority w:val="99"/>
    <w:semiHidden/>
    <w:unhideWhenUsed/>
    <w:rsid w:val="00F55629"/>
  </w:style>
  <w:style w:type="paragraph" w:styleId="Header">
    <w:name w:val="header"/>
    <w:basedOn w:val="Normal"/>
    <w:link w:val="HeaderChar"/>
    <w:uiPriority w:val="99"/>
    <w:unhideWhenUsed/>
    <w:rsid w:val="00200C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0CD1"/>
    <w:rPr>
      <w:rFonts w:ascii="Times New Roman" w:eastAsiaTheme="minorHAnsi" w:hAnsi="Times New Roman" w:cs="Times New Roman"/>
      <w:lang w:eastAsia="en-US"/>
    </w:rPr>
  </w:style>
  <w:style w:type="paragraph" w:styleId="Footer">
    <w:name w:val="footer"/>
    <w:basedOn w:val="Normal"/>
    <w:link w:val="FooterChar"/>
    <w:uiPriority w:val="99"/>
    <w:unhideWhenUsed/>
    <w:rsid w:val="00200C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0CD1"/>
    <w:rPr>
      <w:rFonts w:ascii="Times New Roman" w:eastAsiaTheme="minorHAnsi" w:hAnsi="Times New Roman" w:cs="Times New Roman"/>
      <w:lang w:eastAsia="en-US"/>
    </w:rPr>
  </w:style>
  <w:style w:type="paragraph" w:styleId="FootnoteText">
    <w:name w:val="footnote text"/>
    <w:basedOn w:val="Normal"/>
    <w:link w:val="FootnoteTextChar"/>
    <w:uiPriority w:val="99"/>
    <w:unhideWhenUsed/>
    <w:rsid w:val="00FF025C"/>
    <w:pPr>
      <w:spacing w:after="0" w:line="240" w:lineRule="auto"/>
    </w:pPr>
  </w:style>
  <w:style w:type="character" w:customStyle="1" w:styleId="FootnoteTextChar">
    <w:name w:val="Footnote Text Char"/>
    <w:basedOn w:val="DefaultParagraphFont"/>
    <w:link w:val="FootnoteText"/>
    <w:uiPriority w:val="99"/>
    <w:rsid w:val="00FF025C"/>
    <w:rPr>
      <w:rFonts w:ascii="Times New Roman" w:eastAsiaTheme="minorHAnsi" w:hAnsi="Times New Roman" w:cs="Times New Roman"/>
      <w:lang w:eastAsia="en-US"/>
    </w:rPr>
  </w:style>
  <w:style w:type="character" w:styleId="FootnoteReference">
    <w:name w:val="footnote reference"/>
    <w:basedOn w:val="DefaultParagraphFont"/>
    <w:uiPriority w:val="99"/>
    <w:unhideWhenUsed/>
    <w:rsid w:val="00FF025C"/>
    <w:rPr>
      <w:vertAlign w:val="superscript"/>
    </w:rPr>
  </w:style>
  <w:style w:type="paragraph" w:styleId="CommentSubject">
    <w:name w:val="annotation subject"/>
    <w:basedOn w:val="CommentText"/>
    <w:next w:val="CommentText"/>
    <w:link w:val="CommentSubjectChar"/>
    <w:uiPriority w:val="99"/>
    <w:semiHidden/>
    <w:unhideWhenUsed/>
    <w:rsid w:val="00FF1C08"/>
    <w:pPr>
      <w:overflowPunct/>
      <w:autoSpaceDE/>
      <w:autoSpaceDN/>
      <w:adjustRightInd/>
      <w:spacing w:after="160"/>
      <w:textAlignment w:val="auto"/>
    </w:pPr>
    <w:rPr>
      <w:rFonts w:eastAsiaTheme="minorHAnsi"/>
      <w:b/>
      <w:bCs/>
      <w:sz w:val="20"/>
      <w:szCs w:val="20"/>
    </w:rPr>
  </w:style>
  <w:style w:type="character" w:customStyle="1" w:styleId="CommentSubjectChar">
    <w:name w:val="Comment Subject Char"/>
    <w:basedOn w:val="CommentTextChar"/>
    <w:link w:val="CommentSubject"/>
    <w:uiPriority w:val="99"/>
    <w:semiHidden/>
    <w:rsid w:val="00FF1C08"/>
    <w:rPr>
      <w:rFonts w:ascii="Times New Roman" w:eastAsiaTheme="minorHAnsi" w:hAnsi="Times New Roman" w:cs="Times New Roman"/>
      <w:b/>
      <w:bCs/>
      <w:sz w:val="20"/>
      <w:szCs w:val="20"/>
      <w:lang w:eastAsia="en-US"/>
    </w:rPr>
  </w:style>
  <w:style w:type="paragraph" w:styleId="ListParagraph">
    <w:name w:val="List Paragraph"/>
    <w:basedOn w:val="Normal"/>
    <w:uiPriority w:val="34"/>
    <w:qFormat/>
    <w:rsid w:val="00BD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617">
      <w:bodyDiv w:val="1"/>
      <w:marLeft w:val="0"/>
      <w:marRight w:val="0"/>
      <w:marTop w:val="0"/>
      <w:marBottom w:val="0"/>
      <w:divBdr>
        <w:top w:val="none" w:sz="0" w:space="0" w:color="auto"/>
        <w:left w:val="none" w:sz="0" w:space="0" w:color="auto"/>
        <w:bottom w:val="none" w:sz="0" w:space="0" w:color="auto"/>
        <w:right w:val="none" w:sz="0" w:space="0" w:color="auto"/>
      </w:divBdr>
    </w:div>
    <w:div w:id="62605520">
      <w:bodyDiv w:val="1"/>
      <w:marLeft w:val="0"/>
      <w:marRight w:val="0"/>
      <w:marTop w:val="0"/>
      <w:marBottom w:val="0"/>
      <w:divBdr>
        <w:top w:val="none" w:sz="0" w:space="0" w:color="auto"/>
        <w:left w:val="none" w:sz="0" w:space="0" w:color="auto"/>
        <w:bottom w:val="none" w:sz="0" w:space="0" w:color="auto"/>
        <w:right w:val="none" w:sz="0" w:space="0" w:color="auto"/>
      </w:divBdr>
    </w:div>
    <w:div w:id="85659971">
      <w:bodyDiv w:val="1"/>
      <w:marLeft w:val="0"/>
      <w:marRight w:val="0"/>
      <w:marTop w:val="0"/>
      <w:marBottom w:val="0"/>
      <w:divBdr>
        <w:top w:val="none" w:sz="0" w:space="0" w:color="auto"/>
        <w:left w:val="none" w:sz="0" w:space="0" w:color="auto"/>
        <w:bottom w:val="none" w:sz="0" w:space="0" w:color="auto"/>
        <w:right w:val="none" w:sz="0" w:space="0" w:color="auto"/>
      </w:divBdr>
    </w:div>
    <w:div w:id="187529390">
      <w:bodyDiv w:val="1"/>
      <w:marLeft w:val="0"/>
      <w:marRight w:val="0"/>
      <w:marTop w:val="0"/>
      <w:marBottom w:val="0"/>
      <w:divBdr>
        <w:top w:val="none" w:sz="0" w:space="0" w:color="auto"/>
        <w:left w:val="none" w:sz="0" w:space="0" w:color="auto"/>
        <w:bottom w:val="none" w:sz="0" w:space="0" w:color="auto"/>
        <w:right w:val="none" w:sz="0" w:space="0" w:color="auto"/>
      </w:divBdr>
    </w:div>
    <w:div w:id="293800047">
      <w:bodyDiv w:val="1"/>
      <w:marLeft w:val="0"/>
      <w:marRight w:val="0"/>
      <w:marTop w:val="0"/>
      <w:marBottom w:val="0"/>
      <w:divBdr>
        <w:top w:val="none" w:sz="0" w:space="0" w:color="auto"/>
        <w:left w:val="none" w:sz="0" w:space="0" w:color="auto"/>
        <w:bottom w:val="none" w:sz="0" w:space="0" w:color="auto"/>
        <w:right w:val="none" w:sz="0" w:space="0" w:color="auto"/>
      </w:divBdr>
    </w:div>
    <w:div w:id="350760330">
      <w:bodyDiv w:val="1"/>
      <w:marLeft w:val="0"/>
      <w:marRight w:val="0"/>
      <w:marTop w:val="0"/>
      <w:marBottom w:val="0"/>
      <w:divBdr>
        <w:top w:val="none" w:sz="0" w:space="0" w:color="auto"/>
        <w:left w:val="none" w:sz="0" w:space="0" w:color="auto"/>
        <w:bottom w:val="none" w:sz="0" w:space="0" w:color="auto"/>
        <w:right w:val="none" w:sz="0" w:space="0" w:color="auto"/>
      </w:divBdr>
      <w:divsChild>
        <w:div w:id="1839928619">
          <w:marLeft w:val="0"/>
          <w:marRight w:val="0"/>
          <w:marTop w:val="0"/>
          <w:marBottom w:val="0"/>
          <w:divBdr>
            <w:top w:val="none" w:sz="0" w:space="0" w:color="auto"/>
            <w:left w:val="none" w:sz="0" w:space="0" w:color="auto"/>
            <w:bottom w:val="none" w:sz="0" w:space="0" w:color="auto"/>
            <w:right w:val="none" w:sz="0" w:space="0" w:color="auto"/>
          </w:divBdr>
          <w:divsChild>
            <w:div w:id="1017196640">
              <w:marLeft w:val="0"/>
              <w:marRight w:val="0"/>
              <w:marTop w:val="0"/>
              <w:marBottom w:val="0"/>
              <w:divBdr>
                <w:top w:val="none" w:sz="0" w:space="0" w:color="auto"/>
                <w:left w:val="none" w:sz="0" w:space="0" w:color="auto"/>
                <w:bottom w:val="none" w:sz="0" w:space="0" w:color="auto"/>
                <w:right w:val="none" w:sz="0" w:space="0" w:color="auto"/>
              </w:divBdr>
              <w:divsChild>
                <w:div w:id="15462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6206">
      <w:bodyDiv w:val="1"/>
      <w:marLeft w:val="0"/>
      <w:marRight w:val="0"/>
      <w:marTop w:val="0"/>
      <w:marBottom w:val="0"/>
      <w:divBdr>
        <w:top w:val="none" w:sz="0" w:space="0" w:color="auto"/>
        <w:left w:val="none" w:sz="0" w:space="0" w:color="auto"/>
        <w:bottom w:val="none" w:sz="0" w:space="0" w:color="auto"/>
        <w:right w:val="none" w:sz="0" w:space="0" w:color="auto"/>
      </w:divBdr>
    </w:div>
    <w:div w:id="422117956">
      <w:bodyDiv w:val="1"/>
      <w:marLeft w:val="0"/>
      <w:marRight w:val="0"/>
      <w:marTop w:val="0"/>
      <w:marBottom w:val="0"/>
      <w:divBdr>
        <w:top w:val="none" w:sz="0" w:space="0" w:color="auto"/>
        <w:left w:val="none" w:sz="0" w:space="0" w:color="auto"/>
        <w:bottom w:val="none" w:sz="0" w:space="0" w:color="auto"/>
        <w:right w:val="none" w:sz="0" w:space="0" w:color="auto"/>
      </w:divBdr>
    </w:div>
    <w:div w:id="573052277">
      <w:bodyDiv w:val="1"/>
      <w:marLeft w:val="0"/>
      <w:marRight w:val="0"/>
      <w:marTop w:val="0"/>
      <w:marBottom w:val="0"/>
      <w:divBdr>
        <w:top w:val="none" w:sz="0" w:space="0" w:color="auto"/>
        <w:left w:val="none" w:sz="0" w:space="0" w:color="auto"/>
        <w:bottom w:val="none" w:sz="0" w:space="0" w:color="auto"/>
        <w:right w:val="none" w:sz="0" w:space="0" w:color="auto"/>
      </w:divBdr>
    </w:div>
    <w:div w:id="641351264">
      <w:bodyDiv w:val="1"/>
      <w:marLeft w:val="0"/>
      <w:marRight w:val="0"/>
      <w:marTop w:val="0"/>
      <w:marBottom w:val="0"/>
      <w:divBdr>
        <w:top w:val="none" w:sz="0" w:space="0" w:color="auto"/>
        <w:left w:val="none" w:sz="0" w:space="0" w:color="auto"/>
        <w:bottom w:val="none" w:sz="0" w:space="0" w:color="auto"/>
        <w:right w:val="none" w:sz="0" w:space="0" w:color="auto"/>
      </w:divBdr>
    </w:div>
    <w:div w:id="671101144">
      <w:bodyDiv w:val="1"/>
      <w:marLeft w:val="0"/>
      <w:marRight w:val="0"/>
      <w:marTop w:val="0"/>
      <w:marBottom w:val="0"/>
      <w:divBdr>
        <w:top w:val="none" w:sz="0" w:space="0" w:color="auto"/>
        <w:left w:val="none" w:sz="0" w:space="0" w:color="auto"/>
        <w:bottom w:val="none" w:sz="0" w:space="0" w:color="auto"/>
        <w:right w:val="none" w:sz="0" w:space="0" w:color="auto"/>
      </w:divBdr>
    </w:div>
    <w:div w:id="712343184">
      <w:bodyDiv w:val="1"/>
      <w:marLeft w:val="0"/>
      <w:marRight w:val="0"/>
      <w:marTop w:val="0"/>
      <w:marBottom w:val="0"/>
      <w:divBdr>
        <w:top w:val="none" w:sz="0" w:space="0" w:color="auto"/>
        <w:left w:val="none" w:sz="0" w:space="0" w:color="auto"/>
        <w:bottom w:val="none" w:sz="0" w:space="0" w:color="auto"/>
        <w:right w:val="none" w:sz="0" w:space="0" w:color="auto"/>
      </w:divBdr>
    </w:div>
    <w:div w:id="834802274">
      <w:bodyDiv w:val="1"/>
      <w:marLeft w:val="0"/>
      <w:marRight w:val="0"/>
      <w:marTop w:val="0"/>
      <w:marBottom w:val="0"/>
      <w:divBdr>
        <w:top w:val="none" w:sz="0" w:space="0" w:color="auto"/>
        <w:left w:val="none" w:sz="0" w:space="0" w:color="auto"/>
        <w:bottom w:val="none" w:sz="0" w:space="0" w:color="auto"/>
        <w:right w:val="none" w:sz="0" w:space="0" w:color="auto"/>
      </w:divBdr>
    </w:div>
    <w:div w:id="920333784">
      <w:bodyDiv w:val="1"/>
      <w:marLeft w:val="0"/>
      <w:marRight w:val="0"/>
      <w:marTop w:val="0"/>
      <w:marBottom w:val="0"/>
      <w:divBdr>
        <w:top w:val="none" w:sz="0" w:space="0" w:color="auto"/>
        <w:left w:val="none" w:sz="0" w:space="0" w:color="auto"/>
        <w:bottom w:val="none" w:sz="0" w:space="0" w:color="auto"/>
        <w:right w:val="none" w:sz="0" w:space="0" w:color="auto"/>
      </w:divBdr>
    </w:div>
    <w:div w:id="938755719">
      <w:bodyDiv w:val="1"/>
      <w:marLeft w:val="0"/>
      <w:marRight w:val="0"/>
      <w:marTop w:val="0"/>
      <w:marBottom w:val="0"/>
      <w:divBdr>
        <w:top w:val="none" w:sz="0" w:space="0" w:color="auto"/>
        <w:left w:val="none" w:sz="0" w:space="0" w:color="auto"/>
        <w:bottom w:val="none" w:sz="0" w:space="0" w:color="auto"/>
        <w:right w:val="none" w:sz="0" w:space="0" w:color="auto"/>
      </w:divBdr>
      <w:divsChild>
        <w:div w:id="754327219">
          <w:marLeft w:val="0"/>
          <w:marRight w:val="0"/>
          <w:marTop w:val="0"/>
          <w:marBottom w:val="0"/>
          <w:divBdr>
            <w:top w:val="none" w:sz="0" w:space="0" w:color="auto"/>
            <w:left w:val="none" w:sz="0" w:space="0" w:color="auto"/>
            <w:bottom w:val="none" w:sz="0" w:space="0" w:color="auto"/>
            <w:right w:val="none" w:sz="0" w:space="0" w:color="auto"/>
          </w:divBdr>
          <w:divsChild>
            <w:div w:id="2000767446">
              <w:marLeft w:val="0"/>
              <w:marRight w:val="0"/>
              <w:marTop w:val="0"/>
              <w:marBottom w:val="0"/>
              <w:divBdr>
                <w:top w:val="none" w:sz="0" w:space="0" w:color="auto"/>
                <w:left w:val="none" w:sz="0" w:space="0" w:color="auto"/>
                <w:bottom w:val="none" w:sz="0" w:space="0" w:color="auto"/>
                <w:right w:val="none" w:sz="0" w:space="0" w:color="auto"/>
              </w:divBdr>
              <w:divsChild>
                <w:div w:id="1065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15469">
      <w:bodyDiv w:val="1"/>
      <w:marLeft w:val="0"/>
      <w:marRight w:val="0"/>
      <w:marTop w:val="0"/>
      <w:marBottom w:val="0"/>
      <w:divBdr>
        <w:top w:val="none" w:sz="0" w:space="0" w:color="auto"/>
        <w:left w:val="none" w:sz="0" w:space="0" w:color="auto"/>
        <w:bottom w:val="none" w:sz="0" w:space="0" w:color="auto"/>
        <w:right w:val="none" w:sz="0" w:space="0" w:color="auto"/>
      </w:divBdr>
    </w:div>
    <w:div w:id="1158766770">
      <w:bodyDiv w:val="1"/>
      <w:marLeft w:val="0"/>
      <w:marRight w:val="0"/>
      <w:marTop w:val="0"/>
      <w:marBottom w:val="0"/>
      <w:divBdr>
        <w:top w:val="none" w:sz="0" w:space="0" w:color="auto"/>
        <w:left w:val="none" w:sz="0" w:space="0" w:color="auto"/>
        <w:bottom w:val="none" w:sz="0" w:space="0" w:color="auto"/>
        <w:right w:val="none" w:sz="0" w:space="0" w:color="auto"/>
      </w:divBdr>
    </w:div>
    <w:div w:id="1204363659">
      <w:bodyDiv w:val="1"/>
      <w:marLeft w:val="0"/>
      <w:marRight w:val="0"/>
      <w:marTop w:val="0"/>
      <w:marBottom w:val="0"/>
      <w:divBdr>
        <w:top w:val="none" w:sz="0" w:space="0" w:color="auto"/>
        <w:left w:val="none" w:sz="0" w:space="0" w:color="auto"/>
        <w:bottom w:val="none" w:sz="0" w:space="0" w:color="auto"/>
        <w:right w:val="none" w:sz="0" w:space="0" w:color="auto"/>
      </w:divBdr>
      <w:divsChild>
        <w:div w:id="1422678368">
          <w:marLeft w:val="0"/>
          <w:marRight w:val="0"/>
          <w:marTop w:val="0"/>
          <w:marBottom w:val="0"/>
          <w:divBdr>
            <w:top w:val="none" w:sz="0" w:space="0" w:color="auto"/>
            <w:left w:val="none" w:sz="0" w:space="0" w:color="auto"/>
            <w:bottom w:val="none" w:sz="0" w:space="0" w:color="auto"/>
            <w:right w:val="none" w:sz="0" w:space="0" w:color="auto"/>
          </w:divBdr>
          <w:divsChild>
            <w:div w:id="637029483">
              <w:marLeft w:val="0"/>
              <w:marRight w:val="0"/>
              <w:marTop w:val="0"/>
              <w:marBottom w:val="0"/>
              <w:divBdr>
                <w:top w:val="none" w:sz="0" w:space="0" w:color="auto"/>
                <w:left w:val="none" w:sz="0" w:space="0" w:color="auto"/>
                <w:bottom w:val="none" w:sz="0" w:space="0" w:color="auto"/>
                <w:right w:val="none" w:sz="0" w:space="0" w:color="auto"/>
              </w:divBdr>
              <w:divsChild>
                <w:div w:id="14264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50828">
      <w:bodyDiv w:val="1"/>
      <w:marLeft w:val="0"/>
      <w:marRight w:val="0"/>
      <w:marTop w:val="0"/>
      <w:marBottom w:val="0"/>
      <w:divBdr>
        <w:top w:val="none" w:sz="0" w:space="0" w:color="auto"/>
        <w:left w:val="none" w:sz="0" w:space="0" w:color="auto"/>
        <w:bottom w:val="none" w:sz="0" w:space="0" w:color="auto"/>
        <w:right w:val="none" w:sz="0" w:space="0" w:color="auto"/>
      </w:divBdr>
    </w:div>
    <w:div w:id="1290018344">
      <w:bodyDiv w:val="1"/>
      <w:marLeft w:val="0"/>
      <w:marRight w:val="0"/>
      <w:marTop w:val="0"/>
      <w:marBottom w:val="0"/>
      <w:divBdr>
        <w:top w:val="none" w:sz="0" w:space="0" w:color="auto"/>
        <w:left w:val="none" w:sz="0" w:space="0" w:color="auto"/>
        <w:bottom w:val="none" w:sz="0" w:space="0" w:color="auto"/>
        <w:right w:val="none" w:sz="0" w:space="0" w:color="auto"/>
      </w:divBdr>
    </w:div>
    <w:div w:id="1327826984">
      <w:bodyDiv w:val="1"/>
      <w:marLeft w:val="0"/>
      <w:marRight w:val="0"/>
      <w:marTop w:val="0"/>
      <w:marBottom w:val="0"/>
      <w:divBdr>
        <w:top w:val="none" w:sz="0" w:space="0" w:color="auto"/>
        <w:left w:val="none" w:sz="0" w:space="0" w:color="auto"/>
        <w:bottom w:val="none" w:sz="0" w:space="0" w:color="auto"/>
        <w:right w:val="none" w:sz="0" w:space="0" w:color="auto"/>
      </w:divBdr>
      <w:divsChild>
        <w:div w:id="612203567">
          <w:marLeft w:val="0"/>
          <w:marRight w:val="0"/>
          <w:marTop w:val="0"/>
          <w:marBottom w:val="0"/>
          <w:divBdr>
            <w:top w:val="none" w:sz="0" w:space="0" w:color="auto"/>
            <w:left w:val="none" w:sz="0" w:space="0" w:color="auto"/>
            <w:bottom w:val="none" w:sz="0" w:space="0" w:color="auto"/>
            <w:right w:val="none" w:sz="0" w:space="0" w:color="auto"/>
          </w:divBdr>
          <w:divsChild>
            <w:div w:id="811867202">
              <w:marLeft w:val="0"/>
              <w:marRight w:val="0"/>
              <w:marTop w:val="0"/>
              <w:marBottom w:val="0"/>
              <w:divBdr>
                <w:top w:val="none" w:sz="0" w:space="0" w:color="auto"/>
                <w:left w:val="none" w:sz="0" w:space="0" w:color="auto"/>
                <w:bottom w:val="none" w:sz="0" w:space="0" w:color="auto"/>
                <w:right w:val="none" w:sz="0" w:space="0" w:color="auto"/>
              </w:divBdr>
              <w:divsChild>
                <w:div w:id="1458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78467">
      <w:bodyDiv w:val="1"/>
      <w:marLeft w:val="0"/>
      <w:marRight w:val="0"/>
      <w:marTop w:val="0"/>
      <w:marBottom w:val="0"/>
      <w:divBdr>
        <w:top w:val="none" w:sz="0" w:space="0" w:color="auto"/>
        <w:left w:val="none" w:sz="0" w:space="0" w:color="auto"/>
        <w:bottom w:val="none" w:sz="0" w:space="0" w:color="auto"/>
        <w:right w:val="none" w:sz="0" w:space="0" w:color="auto"/>
      </w:divBdr>
      <w:divsChild>
        <w:div w:id="1172332646">
          <w:marLeft w:val="0"/>
          <w:marRight w:val="0"/>
          <w:marTop w:val="0"/>
          <w:marBottom w:val="0"/>
          <w:divBdr>
            <w:top w:val="none" w:sz="0" w:space="0" w:color="auto"/>
            <w:left w:val="none" w:sz="0" w:space="0" w:color="auto"/>
            <w:bottom w:val="none" w:sz="0" w:space="0" w:color="auto"/>
            <w:right w:val="none" w:sz="0" w:space="0" w:color="auto"/>
          </w:divBdr>
          <w:divsChild>
            <w:div w:id="1101412094">
              <w:marLeft w:val="0"/>
              <w:marRight w:val="0"/>
              <w:marTop w:val="0"/>
              <w:marBottom w:val="0"/>
              <w:divBdr>
                <w:top w:val="none" w:sz="0" w:space="0" w:color="auto"/>
                <w:left w:val="none" w:sz="0" w:space="0" w:color="auto"/>
                <w:bottom w:val="none" w:sz="0" w:space="0" w:color="auto"/>
                <w:right w:val="none" w:sz="0" w:space="0" w:color="auto"/>
              </w:divBdr>
              <w:divsChild>
                <w:div w:id="19857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51943">
      <w:bodyDiv w:val="1"/>
      <w:marLeft w:val="0"/>
      <w:marRight w:val="0"/>
      <w:marTop w:val="0"/>
      <w:marBottom w:val="0"/>
      <w:divBdr>
        <w:top w:val="none" w:sz="0" w:space="0" w:color="auto"/>
        <w:left w:val="none" w:sz="0" w:space="0" w:color="auto"/>
        <w:bottom w:val="none" w:sz="0" w:space="0" w:color="auto"/>
        <w:right w:val="none" w:sz="0" w:space="0" w:color="auto"/>
      </w:divBdr>
    </w:div>
    <w:div w:id="1432508191">
      <w:bodyDiv w:val="1"/>
      <w:marLeft w:val="0"/>
      <w:marRight w:val="0"/>
      <w:marTop w:val="0"/>
      <w:marBottom w:val="0"/>
      <w:divBdr>
        <w:top w:val="none" w:sz="0" w:space="0" w:color="auto"/>
        <w:left w:val="none" w:sz="0" w:space="0" w:color="auto"/>
        <w:bottom w:val="none" w:sz="0" w:space="0" w:color="auto"/>
        <w:right w:val="none" w:sz="0" w:space="0" w:color="auto"/>
      </w:divBdr>
    </w:div>
    <w:div w:id="1562592435">
      <w:bodyDiv w:val="1"/>
      <w:marLeft w:val="0"/>
      <w:marRight w:val="0"/>
      <w:marTop w:val="0"/>
      <w:marBottom w:val="0"/>
      <w:divBdr>
        <w:top w:val="none" w:sz="0" w:space="0" w:color="auto"/>
        <w:left w:val="none" w:sz="0" w:space="0" w:color="auto"/>
        <w:bottom w:val="none" w:sz="0" w:space="0" w:color="auto"/>
        <w:right w:val="none" w:sz="0" w:space="0" w:color="auto"/>
      </w:divBdr>
    </w:div>
    <w:div w:id="1570188210">
      <w:bodyDiv w:val="1"/>
      <w:marLeft w:val="0"/>
      <w:marRight w:val="0"/>
      <w:marTop w:val="0"/>
      <w:marBottom w:val="0"/>
      <w:divBdr>
        <w:top w:val="none" w:sz="0" w:space="0" w:color="auto"/>
        <w:left w:val="none" w:sz="0" w:space="0" w:color="auto"/>
        <w:bottom w:val="none" w:sz="0" w:space="0" w:color="auto"/>
        <w:right w:val="none" w:sz="0" w:space="0" w:color="auto"/>
      </w:divBdr>
      <w:divsChild>
        <w:div w:id="52126112">
          <w:marLeft w:val="0"/>
          <w:marRight w:val="0"/>
          <w:marTop w:val="0"/>
          <w:marBottom w:val="0"/>
          <w:divBdr>
            <w:top w:val="none" w:sz="0" w:space="0" w:color="auto"/>
            <w:left w:val="none" w:sz="0" w:space="0" w:color="auto"/>
            <w:bottom w:val="none" w:sz="0" w:space="0" w:color="auto"/>
            <w:right w:val="none" w:sz="0" w:space="0" w:color="auto"/>
          </w:divBdr>
          <w:divsChild>
            <w:div w:id="2071803207">
              <w:marLeft w:val="0"/>
              <w:marRight w:val="0"/>
              <w:marTop w:val="0"/>
              <w:marBottom w:val="0"/>
              <w:divBdr>
                <w:top w:val="none" w:sz="0" w:space="0" w:color="auto"/>
                <w:left w:val="none" w:sz="0" w:space="0" w:color="auto"/>
                <w:bottom w:val="none" w:sz="0" w:space="0" w:color="auto"/>
                <w:right w:val="none" w:sz="0" w:space="0" w:color="auto"/>
              </w:divBdr>
              <w:divsChild>
                <w:div w:id="18348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3378">
      <w:bodyDiv w:val="1"/>
      <w:marLeft w:val="0"/>
      <w:marRight w:val="0"/>
      <w:marTop w:val="0"/>
      <w:marBottom w:val="0"/>
      <w:divBdr>
        <w:top w:val="none" w:sz="0" w:space="0" w:color="auto"/>
        <w:left w:val="none" w:sz="0" w:space="0" w:color="auto"/>
        <w:bottom w:val="none" w:sz="0" w:space="0" w:color="auto"/>
        <w:right w:val="none" w:sz="0" w:space="0" w:color="auto"/>
      </w:divBdr>
      <w:divsChild>
        <w:div w:id="310910063">
          <w:marLeft w:val="0"/>
          <w:marRight w:val="0"/>
          <w:marTop w:val="0"/>
          <w:marBottom w:val="0"/>
          <w:divBdr>
            <w:top w:val="none" w:sz="0" w:space="0" w:color="auto"/>
            <w:left w:val="none" w:sz="0" w:space="0" w:color="auto"/>
            <w:bottom w:val="none" w:sz="0" w:space="0" w:color="auto"/>
            <w:right w:val="none" w:sz="0" w:space="0" w:color="auto"/>
          </w:divBdr>
          <w:divsChild>
            <w:div w:id="786895794">
              <w:marLeft w:val="0"/>
              <w:marRight w:val="0"/>
              <w:marTop w:val="0"/>
              <w:marBottom w:val="0"/>
              <w:divBdr>
                <w:top w:val="none" w:sz="0" w:space="0" w:color="auto"/>
                <w:left w:val="none" w:sz="0" w:space="0" w:color="auto"/>
                <w:bottom w:val="none" w:sz="0" w:space="0" w:color="auto"/>
                <w:right w:val="none" w:sz="0" w:space="0" w:color="auto"/>
              </w:divBdr>
              <w:divsChild>
                <w:div w:id="14843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49837">
      <w:bodyDiv w:val="1"/>
      <w:marLeft w:val="0"/>
      <w:marRight w:val="0"/>
      <w:marTop w:val="0"/>
      <w:marBottom w:val="0"/>
      <w:divBdr>
        <w:top w:val="none" w:sz="0" w:space="0" w:color="auto"/>
        <w:left w:val="none" w:sz="0" w:space="0" w:color="auto"/>
        <w:bottom w:val="none" w:sz="0" w:space="0" w:color="auto"/>
        <w:right w:val="none" w:sz="0" w:space="0" w:color="auto"/>
      </w:divBdr>
    </w:div>
    <w:div w:id="1725520190">
      <w:bodyDiv w:val="1"/>
      <w:marLeft w:val="0"/>
      <w:marRight w:val="0"/>
      <w:marTop w:val="0"/>
      <w:marBottom w:val="0"/>
      <w:divBdr>
        <w:top w:val="none" w:sz="0" w:space="0" w:color="auto"/>
        <w:left w:val="none" w:sz="0" w:space="0" w:color="auto"/>
        <w:bottom w:val="none" w:sz="0" w:space="0" w:color="auto"/>
        <w:right w:val="none" w:sz="0" w:space="0" w:color="auto"/>
      </w:divBdr>
      <w:divsChild>
        <w:div w:id="1962488481">
          <w:marLeft w:val="0"/>
          <w:marRight w:val="0"/>
          <w:marTop w:val="0"/>
          <w:marBottom w:val="0"/>
          <w:divBdr>
            <w:top w:val="none" w:sz="0" w:space="0" w:color="auto"/>
            <w:left w:val="none" w:sz="0" w:space="0" w:color="auto"/>
            <w:bottom w:val="none" w:sz="0" w:space="0" w:color="auto"/>
            <w:right w:val="none" w:sz="0" w:space="0" w:color="auto"/>
          </w:divBdr>
          <w:divsChild>
            <w:div w:id="1445150070">
              <w:marLeft w:val="0"/>
              <w:marRight w:val="0"/>
              <w:marTop w:val="0"/>
              <w:marBottom w:val="0"/>
              <w:divBdr>
                <w:top w:val="none" w:sz="0" w:space="0" w:color="auto"/>
                <w:left w:val="none" w:sz="0" w:space="0" w:color="auto"/>
                <w:bottom w:val="none" w:sz="0" w:space="0" w:color="auto"/>
                <w:right w:val="none" w:sz="0" w:space="0" w:color="auto"/>
              </w:divBdr>
              <w:divsChild>
                <w:div w:id="15001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1684">
      <w:bodyDiv w:val="1"/>
      <w:marLeft w:val="0"/>
      <w:marRight w:val="0"/>
      <w:marTop w:val="0"/>
      <w:marBottom w:val="0"/>
      <w:divBdr>
        <w:top w:val="none" w:sz="0" w:space="0" w:color="auto"/>
        <w:left w:val="none" w:sz="0" w:space="0" w:color="auto"/>
        <w:bottom w:val="none" w:sz="0" w:space="0" w:color="auto"/>
        <w:right w:val="none" w:sz="0" w:space="0" w:color="auto"/>
      </w:divBdr>
    </w:div>
    <w:div w:id="1903128996">
      <w:bodyDiv w:val="1"/>
      <w:marLeft w:val="0"/>
      <w:marRight w:val="0"/>
      <w:marTop w:val="0"/>
      <w:marBottom w:val="0"/>
      <w:divBdr>
        <w:top w:val="none" w:sz="0" w:space="0" w:color="auto"/>
        <w:left w:val="none" w:sz="0" w:space="0" w:color="auto"/>
        <w:bottom w:val="none" w:sz="0" w:space="0" w:color="auto"/>
        <w:right w:val="none" w:sz="0" w:space="0" w:color="auto"/>
      </w:divBdr>
    </w:div>
    <w:div w:id="1957329895">
      <w:bodyDiv w:val="1"/>
      <w:marLeft w:val="0"/>
      <w:marRight w:val="0"/>
      <w:marTop w:val="0"/>
      <w:marBottom w:val="0"/>
      <w:divBdr>
        <w:top w:val="none" w:sz="0" w:space="0" w:color="auto"/>
        <w:left w:val="none" w:sz="0" w:space="0" w:color="auto"/>
        <w:bottom w:val="none" w:sz="0" w:space="0" w:color="auto"/>
        <w:right w:val="none" w:sz="0" w:space="0" w:color="auto"/>
      </w:divBdr>
      <w:divsChild>
        <w:div w:id="1694376532">
          <w:marLeft w:val="0"/>
          <w:marRight w:val="0"/>
          <w:marTop w:val="0"/>
          <w:marBottom w:val="0"/>
          <w:divBdr>
            <w:top w:val="none" w:sz="0" w:space="0" w:color="auto"/>
            <w:left w:val="none" w:sz="0" w:space="0" w:color="auto"/>
            <w:bottom w:val="none" w:sz="0" w:space="0" w:color="auto"/>
            <w:right w:val="none" w:sz="0" w:space="0" w:color="auto"/>
          </w:divBdr>
          <w:divsChild>
            <w:div w:id="451944323">
              <w:marLeft w:val="0"/>
              <w:marRight w:val="0"/>
              <w:marTop w:val="0"/>
              <w:marBottom w:val="0"/>
              <w:divBdr>
                <w:top w:val="none" w:sz="0" w:space="0" w:color="auto"/>
                <w:left w:val="none" w:sz="0" w:space="0" w:color="auto"/>
                <w:bottom w:val="none" w:sz="0" w:space="0" w:color="auto"/>
                <w:right w:val="none" w:sz="0" w:space="0" w:color="auto"/>
              </w:divBdr>
              <w:divsChild>
                <w:div w:id="325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4814">
      <w:bodyDiv w:val="1"/>
      <w:marLeft w:val="0"/>
      <w:marRight w:val="0"/>
      <w:marTop w:val="0"/>
      <w:marBottom w:val="0"/>
      <w:divBdr>
        <w:top w:val="none" w:sz="0" w:space="0" w:color="auto"/>
        <w:left w:val="none" w:sz="0" w:space="0" w:color="auto"/>
        <w:bottom w:val="none" w:sz="0" w:space="0" w:color="auto"/>
        <w:right w:val="none" w:sz="0" w:space="0" w:color="auto"/>
      </w:divBdr>
    </w:div>
    <w:div w:id="2027750982">
      <w:bodyDiv w:val="1"/>
      <w:marLeft w:val="0"/>
      <w:marRight w:val="0"/>
      <w:marTop w:val="0"/>
      <w:marBottom w:val="0"/>
      <w:divBdr>
        <w:top w:val="none" w:sz="0" w:space="0" w:color="auto"/>
        <w:left w:val="none" w:sz="0" w:space="0" w:color="auto"/>
        <w:bottom w:val="none" w:sz="0" w:space="0" w:color="auto"/>
        <w:right w:val="none" w:sz="0" w:space="0" w:color="auto"/>
      </w:divBdr>
    </w:div>
    <w:div w:id="2128884835">
      <w:bodyDiv w:val="1"/>
      <w:marLeft w:val="0"/>
      <w:marRight w:val="0"/>
      <w:marTop w:val="0"/>
      <w:marBottom w:val="0"/>
      <w:divBdr>
        <w:top w:val="none" w:sz="0" w:space="0" w:color="auto"/>
        <w:left w:val="none" w:sz="0" w:space="0" w:color="auto"/>
        <w:bottom w:val="none" w:sz="0" w:space="0" w:color="auto"/>
        <w:right w:val="none" w:sz="0" w:space="0" w:color="auto"/>
      </w:divBdr>
      <w:divsChild>
        <w:div w:id="837114886">
          <w:marLeft w:val="0"/>
          <w:marRight w:val="0"/>
          <w:marTop w:val="0"/>
          <w:marBottom w:val="0"/>
          <w:divBdr>
            <w:top w:val="none" w:sz="0" w:space="0" w:color="auto"/>
            <w:left w:val="none" w:sz="0" w:space="0" w:color="auto"/>
            <w:bottom w:val="none" w:sz="0" w:space="0" w:color="auto"/>
            <w:right w:val="none" w:sz="0" w:space="0" w:color="auto"/>
          </w:divBdr>
          <w:divsChild>
            <w:div w:id="1081292698">
              <w:marLeft w:val="0"/>
              <w:marRight w:val="0"/>
              <w:marTop w:val="0"/>
              <w:marBottom w:val="0"/>
              <w:divBdr>
                <w:top w:val="none" w:sz="0" w:space="0" w:color="auto"/>
                <w:left w:val="none" w:sz="0" w:space="0" w:color="auto"/>
                <w:bottom w:val="none" w:sz="0" w:space="0" w:color="auto"/>
                <w:right w:val="none" w:sz="0" w:space="0" w:color="auto"/>
              </w:divBdr>
              <w:divsChild>
                <w:div w:id="5267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18729">
      <w:bodyDiv w:val="1"/>
      <w:marLeft w:val="0"/>
      <w:marRight w:val="0"/>
      <w:marTop w:val="0"/>
      <w:marBottom w:val="0"/>
      <w:divBdr>
        <w:top w:val="none" w:sz="0" w:space="0" w:color="auto"/>
        <w:left w:val="none" w:sz="0" w:space="0" w:color="auto"/>
        <w:bottom w:val="none" w:sz="0" w:space="0" w:color="auto"/>
        <w:right w:val="none" w:sz="0" w:space="0" w:color="auto"/>
      </w:divBdr>
      <w:divsChild>
        <w:div w:id="1936547309">
          <w:marLeft w:val="0"/>
          <w:marRight w:val="0"/>
          <w:marTop w:val="0"/>
          <w:marBottom w:val="0"/>
          <w:divBdr>
            <w:top w:val="none" w:sz="0" w:space="0" w:color="auto"/>
            <w:left w:val="none" w:sz="0" w:space="0" w:color="auto"/>
            <w:bottom w:val="none" w:sz="0" w:space="0" w:color="auto"/>
            <w:right w:val="none" w:sz="0" w:space="0" w:color="auto"/>
          </w:divBdr>
          <w:divsChild>
            <w:div w:id="571813063">
              <w:marLeft w:val="0"/>
              <w:marRight w:val="0"/>
              <w:marTop w:val="0"/>
              <w:marBottom w:val="0"/>
              <w:divBdr>
                <w:top w:val="none" w:sz="0" w:space="0" w:color="auto"/>
                <w:left w:val="none" w:sz="0" w:space="0" w:color="auto"/>
                <w:bottom w:val="none" w:sz="0" w:space="0" w:color="auto"/>
                <w:right w:val="none" w:sz="0" w:space="0" w:color="auto"/>
              </w:divBdr>
              <w:divsChild>
                <w:div w:id="21382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Pending</CaseStatus>
    <OpenedDate xmlns="dc463f71-b30c-4ab2-9473-d307f9d35888">2016-11-23T08:00:00+00:00</OpenedDate>
    <Date1 xmlns="dc463f71-b30c-4ab2-9473-d307f9d35888">2017-02-06T08:00:00+00:00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161240</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1646A78-8DDA-7B41-A8BD-277DF13D302D}">
  <ds:schemaRefs>
    <ds:schemaRef ds:uri="http://schemas.openxmlformats.org/officeDocument/2006/bibliography"/>
  </ds:schemaRefs>
</ds:datastoreItem>
</file>

<file path=customXml/itemProps2.xml><?xml version="1.0" encoding="utf-8"?>
<ds:datastoreItem xmlns:ds="http://schemas.openxmlformats.org/officeDocument/2006/customXml" ds:itemID="{7F5A0C40-6B2A-4B78-BF54-3C0296AECD84}"/>
</file>

<file path=customXml/itemProps3.xml><?xml version="1.0" encoding="utf-8"?>
<ds:datastoreItem xmlns:ds="http://schemas.openxmlformats.org/officeDocument/2006/customXml" ds:itemID="{1AD9447F-BC35-4D70-82C4-4542748E665D}"/>
</file>

<file path=customXml/itemProps4.xml><?xml version="1.0" encoding="utf-8"?>
<ds:datastoreItem xmlns:ds="http://schemas.openxmlformats.org/officeDocument/2006/customXml" ds:itemID="{1BCA9A26-E0DC-4404-A736-A5F31C35450C}"/>
</file>

<file path=customXml/itemProps5.xml><?xml version="1.0" encoding="utf-8"?>
<ds:datastoreItem xmlns:ds="http://schemas.openxmlformats.org/officeDocument/2006/customXml" ds:itemID="{9E02EBB6-54AC-4320-82AA-FED460922E26}"/>
</file>

<file path=docProps/app.xml><?xml version="1.0" encoding="utf-8"?>
<Properties xmlns="http://schemas.openxmlformats.org/officeDocument/2006/extended-properties" xmlns:vt="http://schemas.openxmlformats.org/officeDocument/2006/docPropsVTypes">
  <Template>Normal.dotm</Template>
  <TotalTime>142</TotalTime>
  <Pages>8</Pages>
  <Words>2574</Words>
  <Characters>14677</Characters>
  <Application>Microsoft Macintosh Word</Application>
  <DocSecurity>0</DocSecurity>
  <Lines>122</Lines>
  <Paragraphs>34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Sanger Law PC</vt:lpstr>
      <vt:lpstr>Via Electronic Mail</vt:lpstr>
      <vt:lpstr>Irion A. Sanger</vt:lpstr>
    </vt:vector>
  </TitlesOfParts>
  <Company/>
  <LinksUpToDate>false</LinksUpToDate>
  <CharactersWithSpaces>17217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Irion  Sanger</dc:creator>
  <cp:keywords/>
  <dc:description/>
  <cp:lastModifiedBy>sidney villanueva</cp:lastModifiedBy>
  <cp:revision>15</cp:revision>
  <cp:lastPrinted>2017-02-06T22:57:00Z</cp:lastPrinted>
  <dcterms:created xsi:type="dcterms:W3CDTF">2017-02-05T23:06:00Z</dcterms:created>
  <dcterms:modified xsi:type="dcterms:W3CDTF">2017-02-06T22:58:00Z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0x0101006E56B4D1795A2E4DB2F0B01679ED314A00597D2DEB09BDD449912049BA471E4D34</vt:lpwstr>
  </property>
  <property fmtid="{D5CDD505-2E9C-101B-9397-08002B2CF9AE}" pid="3" name="_docset_NoMedatataSyncRequired">
    <vt:lpwstr>False</vt:lpwstr>
  </property>
  <property fmtid="{D5CDD505-2E9C-101B-9397-08002B2CF9AE}" pid="4" name="IsEFSEC">
    <vt:bool>false</vt:bool>
  </property>
</Properties>
</file>