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B1D" w:rsidRDefault="000A7B1D" w:rsidP="000A7B1D">
      <w:pPr>
        <w:jc w:val="center"/>
      </w:pPr>
      <w:r>
        <w:rPr>
          <w:noProof/>
        </w:rPr>
        <w:drawing>
          <wp:inline distT="0" distB="0" distL="0" distR="0">
            <wp:extent cx="2266950" cy="619125"/>
            <wp:effectExtent l="1905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0A7B1D" w:rsidRDefault="000A7B1D" w:rsidP="000A7B1D">
      <w:pPr>
        <w:jc w:val="center"/>
        <w:rPr>
          <w:sz w:val="20"/>
        </w:rPr>
      </w:pPr>
      <w:r>
        <w:rPr>
          <w:sz w:val="20"/>
        </w:rPr>
        <w:t xml:space="preserve">TEL (503) 241-7242     ●     FAX (503) 241-8160     ●     </w:t>
      </w:r>
      <w:r w:rsidR="00CC6FAD">
        <w:rPr>
          <w:sz w:val="20"/>
        </w:rPr>
        <w:t>tcp</w:t>
      </w:r>
      <w:r>
        <w:rPr>
          <w:sz w:val="20"/>
        </w:rPr>
        <w:t>@dvclaw.com</w:t>
      </w:r>
    </w:p>
    <w:p w:rsidR="000A7B1D" w:rsidRDefault="000A7B1D" w:rsidP="000A7B1D">
      <w:pPr>
        <w:jc w:val="center"/>
        <w:rPr>
          <w:sz w:val="20"/>
        </w:rPr>
      </w:pPr>
      <w:smartTag w:uri="urn:schemas-microsoft-com:office:smarttags" w:element="stockticker">
        <w:smartTag w:uri="urn:schemas-microsoft-com:office:smarttags" w:element="date">
          <w:r>
            <w:rPr>
              <w:sz w:val="20"/>
            </w:rPr>
            <w:t>Suite</w:t>
          </w:r>
        </w:smartTag>
        <w:r>
          <w:rPr>
            <w:sz w:val="20"/>
          </w:rPr>
          <w:t xml:space="preserve"> 400</w:t>
        </w:r>
      </w:smartTag>
    </w:p>
    <w:p w:rsidR="000A7B1D" w:rsidRDefault="000A7B1D" w:rsidP="000A7B1D">
      <w:pPr>
        <w:jc w:val="center"/>
        <w:rPr>
          <w:sz w:val="20"/>
        </w:rPr>
      </w:pPr>
      <w:r>
        <w:rPr>
          <w:sz w:val="20"/>
        </w:rPr>
        <w:t xml:space="preserve">333 S.W. </w:t>
      </w:r>
      <w:smartTag w:uri="urn:schemas-microsoft-com:office:smarttags" w:element="City">
        <w:smartTag w:uri="urn:schemas-microsoft-com:office:smarttags" w:element="place">
          <w:r>
            <w:rPr>
              <w:sz w:val="20"/>
            </w:rPr>
            <w:t>Taylor</w:t>
          </w:r>
        </w:smartTag>
      </w:smartTag>
    </w:p>
    <w:p w:rsidR="000A7B1D" w:rsidRDefault="000A7B1D" w:rsidP="000A7B1D">
      <w:pPr>
        <w:jc w:val="center"/>
        <w:rPr>
          <w:sz w:val="20"/>
        </w:rPr>
      </w:pP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97204</w:t>
          </w:r>
        </w:smartTag>
      </w:smartTag>
    </w:p>
    <w:p w:rsidR="000A7B1D" w:rsidRDefault="000A7B1D" w:rsidP="000A7B1D">
      <w:pPr>
        <w:rPr>
          <w:sz w:val="20"/>
        </w:rPr>
      </w:pPr>
    </w:p>
    <w:p w:rsidR="000A7B1D" w:rsidRDefault="000A7B1D" w:rsidP="000A7B1D"/>
    <w:p w:rsidR="00703CFF" w:rsidRDefault="000331B1" w:rsidP="00703CFF">
      <w:pPr>
        <w:jc w:val="center"/>
      </w:pPr>
      <w:r>
        <w:t>March 2, 2016</w:t>
      </w:r>
    </w:p>
    <w:p w:rsidR="00703CFF" w:rsidRDefault="00703CFF" w:rsidP="00703CFF">
      <w:pPr>
        <w:pStyle w:val="Heading1"/>
      </w:pPr>
    </w:p>
    <w:p w:rsidR="00703CFF" w:rsidRDefault="005D4070" w:rsidP="00703CFF">
      <w:pPr>
        <w:pStyle w:val="Heading3"/>
        <w:rPr>
          <w:sz w:val="24"/>
        </w:rPr>
      </w:pPr>
      <w:r>
        <w:rPr>
          <w:sz w:val="24"/>
        </w:rPr>
        <w:t>Via E</w:t>
      </w:r>
      <w:r w:rsidR="007E38CA">
        <w:rPr>
          <w:sz w:val="24"/>
        </w:rPr>
        <w:t>lectronic Filing</w:t>
      </w:r>
    </w:p>
    <w:p w:rsidR="00703CFF" w:rsidRDefault="00703CFF" w:rsidP="00703CFF"/>
    <w:p w:rsidR="00703CFF" w:rsidRPr="00827F6C" w:rsidRDefault="00703CFF" w:rsidP="00703CFF">
      <w:r>
        <w:t>Mr. Steven V. King</w:t>
      </w:r>
    </w:p>
    <w:p w:rsidR="00703CFF" w:rsidRPr="00827F6C" w:rsidRDefault="00703CFF" w:rsidP="00703CFF">
      <w:r>
        <w:t>Executive Director</w:t>
      </w:r>
    </w:p>
    <w:p w:rsidR="00703CFF" w:rsidRPr="00827F6C" w:rsidRDefault="00703CFF" w:rsidP="00703CFF">
      <w:r w:rsidRPr="00827F6C">
        <w:t>Washington Utilities &amp; Transportation Commission</w:t>
      </w:r>
    </w:p>
    <w:p w:rsidR="00703CFF" w:rsidRPr="00827F6C" w:rsidRDefault="00703CFF" w:rsidP="00703CFF">
      <w:r w:rsidRPr="00827F6C">
        <w:t>1300 S. Evergreen Pk. Dr. S.W.</w:t>
      </w:r>
    </w:p>
    <w:p w:rsidR="00703CFF" w:rsidRPr="00827F6C" w:rsidRDefault="00703CFF" w:rsidP="00703CFF">
      <w:r w:rsidRPr="00827F6C">
        <w:t>P. O. Box 47250</w:t>
      </w:r>
    </w:p>
    <w:p w:rsidR="00703CFF" w:rsidRPr="00827F6C" w:rsidRDefault="00703CFF" w:rsidP="00703CFF">
      <w:r w:rsidRPr="00827F6C">
        <w:t>Olympia, WA  98504-7250</w:t>
      </w:r>
    </w:p>
    <w:p w:rsidR="00703CFF" w:rsidRDefault="00703CFF" w:rsidP="00703CFF"/>
    <w:p w:rsidR="005D4070" w:rsidRPr="008B369E" w:rsidRDefault="00703CFF" w:rsidP="008B369E">
      <w:pPr>
        <w:ind w:firstLine="720"/>
      </w:pPr>
      <w:r w:rsidRPr="00CB32E7">
        <w:t>Re:</w:t>
      </w:r>
      <w:r w:rsidRPr="00CB32E7">
        <w:tab/>
      </w:r>
      <w:r w:rsidR="005D4070" w:rsidRPr="00990226">
        <w:t xml:space="preserve">In the Matter of </w:t>
      </w:r>
      <w:r w:rsidR="00794998">
        <w:t>Puget Sound Energy Advice No. 2016-04</w:t>
      </w:r>
      <w:r w:rsidR="00990226" w:rsidRPr="00990226">
        <w:tab/>
      </w:r>
      <w:r w:rsidR="00990226">
        <w:tab/>
      </w:r>
    </w:p>
    <w:p w:rsidR="005D4070" w:rsidRPr="00060B75" w:rsidRDefault="005D4070" w:rsidP="005D4070">
      <w:pPr>
        <w:ind w:left="720" w:firstLine="720"/>
        <w:rPr>
          <w:snapToGrid w:val="0"/>
          <w:szCs w:val="20"/>
        </w:rPr>
      </w:pPr>
      <w:r w:rsidRPr="00975408">
        <w:rPr>
          <w:b/>
          <w:bCs/>
        </w:rPr>
        <w:t xml:space="preserve">Docket No. </w:t>
      </w:r>
      <w:r>
        <w:rPr>
          <w:b/>
          <w:bCs/>
        </w:rPr>
        <w:t>UE-1</w:t>
      </w:r>
      <w:r w:rsidR="00794998">
        <w:rPr>
          <w:b/>
          <w:bCs/>
        </w:rPr>
        <w:t>60199</w:t>
      </w:r>
    </w:p>
    <w:p w:rsidR="00703CFF" w:rsidRDefault="00703CFF" w:rsidP="005D4070">
      <w:pPr>
        <w:ind w:firstLine="720"/>
      </w:pPr>
    </w:p>
    <w:p w:rsidR="00703CFF" w:rsidRDefault="00703CFF" w:rsidP="00703CFF">
      <w:pPr>
        <w:ind w:left="720" w:hanging="720"/>
      </w:pPr>
      <w:r>
        <w:t>Dear Mr. King:</w:t>
      </w:r>
    </w:p>
    <w:p w:rsidR="00703CFF" w:rsidRDefault="00703CFF" w:rsidP="00703CFF">
      <w:pPr>
        <w:ind w:left="720" w:hanging="720"/>
      </w:pPr>
    </w:p>
    <w:p w:rsidR="00703CFF" w:rsidRDefault="00703CFF" w:rsidP="00703CFF">
      <w:pPr>
        <w:pStyle w:val="BodyText"/>
      </w:pPr>
      <w:r>
        <w:tab/>
      </w:r>
      <w:r>
        <w:tab/>
      </w:r>
      <w:r w:rsidR="00794998">
        <w:t>On February 11, 2016, Puget Sound Energy (</w:t>
      </w:r>
      <w:r w:rsidR="00CC6FAD">
        <w:t xml:space="preserve">“PSE” or </w:t>
      </w:r>
      <w:r w:rsidR="00794998">
        <w:t>the “Company”) filed in the above-referenced docket revisions to its Schedule 448 and Schedule 449 tariffs in order to align those tariffs with the changes it is concurrently proposing to its open access transmission tariff (“OATT”) at the Federal Energy Regulatory Commission (“FERC”).  The revisions to its OATT will enable the Company to participate in the California-ISO’s (“CAISO”) Energy Imbalance Market (“EIM”).  The Industrial Customers of Northwest Utilities (“ICNU”) represents a number of PSE customers taking service on Schedule 449 (there are no Schedule 448 customers), which allows these customers to purchase their energy supply from a third party and obtain retail wheeling service from the Company.</w:t>
      </w:r>
    </w:p>
    <w:p w:rsidR="00794998" w:rsidRDefault="00794998" w:rsidP="00703CFF">
      <w:pPr>
        <w:pStyle w:val="BodyText"/>
      </w:pPr>
    </w:p>
    <w:p w:rsidR="00794998" w:rsidRDefault="00794998" w:rsidP="00794998">
      <w:pPr>
        <w:pStyle w:val="BodyText"/>
        <w:ind w:firstLine="1440"/>
      </w:pPr>
      <w:r>
        <w:t>ICNU negotiated the revisions to the Schedule 448 and 449 tariffs with the Company and is writing to confirm for the Washington Utilities and Transportation Commission (“Commission”) that, as the Company indicated,</w:t>
      </w:r>
      <w:r w:rsidR="00CC6FAD" w:rsidRPr="00CC6FAD">
        <w:rPr>
          <w:rStyle w:val="FootnoteReference"/>
          <w:u w:val="single"/>
        </w:rPr>
        <w:footnoteReference w:id="1"/>
      </w:r>
      <w:r w:rsidR="00CC6FAD">
        <w:rPr>
          <w:vertAlign w:val="superscript"/>
        </w:rPr>
        <w:t>/</w:t>
      </w:r>
      <w:r>
        <w:t xml:space="preserve"> ICNU does not oppose the filed revisions to these tariffs.</w:t>
      </w:r>
      <w:r w:rsidR="000331B1" w:rsidRPr="000331B1">
        <w:rPr>
          <w:rStyle w:val="FootnoteReference"/>
          <w:u w:val="single"/>
        </w:rPr>
        <w:footnoteReference w:id="2"/>
      </w:r>
      <w:r w:rsidR="000331B1">
        <w:rPr>
          <w:vertAlign w:val="superscript"/>
        </w:rPr>
        <w:t>/</w:t>
      </w:r>
      <w:r>
        <w:t xml:space="preserve">  Additionally, as these tariffs are the product of a stipulation entered into in 2001 between the Schedule 449 customers and the Company that remains binding on the parties</w:t>
      </w:r>
      <w:r w:rsidR="00CC6FAD">
        <w:t xml:space="preserve"> (“Stipulation”)</w:t>
      </w:r>
      <w:r>
        <w:t>,</w:t>
      </w:r>
      <w:r w:rsidR="00CC6FAD" w:rsidRPr="00CC6FAD">
        <w:rPr>
          <w:rStyle w:val="FootnoteReference"/>
          <w:u w:val="single"/>
        </w:rPr>
        <w:footnoteReference w:id="3"/>
      </w:r>
      <w:r w:rsidR="00CC6FAD">
        <w:rPr>
          <w:vertAlign w:val="superscript"/>
        </w:rPr>
        <w:t>/</w:t>
      </w:r>
      <w:r>
        <w:t xml:space="preserve"> ICNU agrees with the Company’s </w:t>
      </w:r>
      <w:r w:rsidR="00CC6FAD">
        <w:t xml:space="preserve">request that the Commission issue an order </w:t>
      </w:r>
      <w:r w:rsidR="00CC6FAD">
        <w:lastRenderedPageBreak/>
        <w:t>that modifies the Stipulation as necessary to reflect the Company’s proposed revisions to Schedules 448 and 449 in this Docket.</w:t>
      </w:r>
    </w:p>
    <w:p w:rsidR="00703CFF" w:rsidRDefault="00703CFF" w:rsidP="00703CFF">
      <w:pPr>
        <w:pStyle w:val="BodyText"/>
        <w:tabs>
          <w:tab w:val="left" w:pos="1320"/>
        </w:tabs>
      </w:pPr>
      <w:r>
        <w:tab/>
      </w:r>
      <w:bookmarkStart w:id="0" w:name="_GoBack"/>
      <w:bookmarkEnd w:id="0"/>
    </w:p>
    <w:p w:rsidR="00703CFF" w:rsidRDefault="00703CFF" w:rsidP="00703CFF">
      <w:pPr>
        <w:pStyle w:val="BodyText"/>
      </w:pPr>
      <w:r>
        <w:tab/>
      </w:r>
      <w:r>
        <w:tab/>
      </w:r>
      <w:r w:rsidR="00A24D86">
        <w:t xml:space="preserve">If you have any questions, please </w:t>
      </w:r>
      <w:r w:rsidR="00CD0494">
        <w:t>do not</w:t>
      </w:r>
      <w:r>
        <w:t xml:space="preserve"> hesitate to </w:t>
      </w:r>
      <w:r w:rsidR="00CC6FAD">
        <w:t>contact me</w:t>
      </w:r>
      <w:r>
        <w:t>.</w:t>
      </w:r>
    </w:p>
    <w:p w:rsidR="00CC6FAD" w:rsidRDefault="00043DBB" w:rsidP="00703CFF">
      <w:pPr>
        <w:pStyle w:val="BodyText"/>
      </w:pPr>
      <w:r>
        <w:tab/>
      </w:r>
      <w:r>
        <w:tab/>
      </w:r>
      <w:r>
        <w:tab/>
      </w:r>
      <w:r>
        <w:tab/>
      </w:r>
      <w:r>
        <w:tab/>
      </w:r>
      <w:r>
        <w:tab/>
      </w:r>
    </w:p>
    <w:p w:rsidR="00703CFF" w:rsidRDefault="00043DBB" w:rsidP="00CC6FAD">
      <w:pPr>
        <w:pStyle w:val="BodyText"/>
        <w:ind w:left="4320"/>
      </w:pPr>
      <w:r>
        <w:t>Sincerely</w:t>
      </w:r>
      <w:r w:rsidR="00703CFF">
        <w:t>,</w:t>
      </w:r>
    </w:p>
    <w:p w:rsidR="00703CFF" w:rsidRDefault="00703CFF" w:rsidP="00703CFF">
      <w:pPr>
        <w:pStyle w:val="BodyText"/>
      </w:pPr>
    </w:p>
    <w:p w:rsidR="00703CFF" w:rsidRPr="0020335B" w:rsidRDefault="00703CFF" w:rsidP="00703CFF">
      <w:pPr>
        <w:pStyle w:val="BodyText"/>
        <w:rPr>
          <w:i/>
          <w:u w:val="single"/>
        </w:rPr>
      </w:pPr>
      <w:r>
        <w:tab/>
      </w:r>
      <w:r>
        <w:tab/>
      </w:r>
      <w:r>
        <w:tab/>
      </w:r>
      <w:r>
        <w:tab/>
      </w:r>
      <w:r>
        <w:tab/>
      </w:r>
      <w:r>
        <w:tab/>
      </w:r>
      <w:r w:rsidRPr="0020335B">
        <w:rPr>
          <w:i/>
          <w:iCs/>
          <w:u w:val="single"/>
        </w:rPr>
        <w:t xml:space="preserve">/s/ </w:t>
      </w:r>
      <w:r w:rsidR="00CC6FAD">
        <w:rPr>
          <w:i/>
          <w:iCs/>
          <w:u w:val="single"/>
        </w:rPr>
        <w:t>Tyler C. Pepple</w:t>
      </w:r>
    </w:p>
    <w:p w:rsidR="00703CFF" w:rsidRDefault="00703CFF" w:rsidP="00CA34C6">
      <w:pPr>
        <w:pStyle w:val="BodyText"/>
      </w:pPr>
      <w:r>
        <w:tab/>
      </w:r>
      <w:r>
        <w:tab/>
      </w:r>
      <w:r>
        <w:tab/>
      </w:r>
      <w:r>
        <w:tab/>
      </w:r>
      <w:r>
        <w:tab/>
      </w:r>
      <w:r>
        <w:tab/>
      </w:r>
      <w:r w:rsidR="00CC6FAD">
        <w:t>Tyler C. Pepple</w:t>
      </w:r>
    </w:p>
    <w:p w:rsidR="00703CFF" w:rsidRDefault="00703CFF" w:rsidP="00703CFF">
      <w:pPr>
        <w:pStyle w:val="BodyText"/>
      </w:pPr>
    </w:p>
    <w:p w:rsidR="00703CFF" w:rsidRDefault="00703CFF" w:rsidP="00703CFF"/>
    <w:p w:rsidR="008E1BD2" w:rsidRDefault="008E1BD2" w:rsidP="008B369E">
      <w:pPr>
        <w:pStyle w:val="Heading5"/>
        <w:tabs>
          <w:tab w:val="clear" w:pos="4320"/>
          <w:tab w:val="center" w:pos="4680"/>
        </w:tabs>
      </w:pPr>
    </w:p>
    <w:sectPr w:rsidR="008E1BD2" w:rsidSect="004165E6">
      <w:headerReference w:type="default" r:id="rId8"/>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094" w:rsidRDefault="00964094" w:rsidP="000A7B1D">
      <w:r>
        <w:separator/>
      </w:r>
    </w:p>
  </w:endnote>
  <w:endnote w:type="continuationSeparator" w:id="0">
    <w:p w:rsidR="00964094" w:rsidRDefault="00964094" w:rsidP="000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094" w:rsidRDefault="00964094" w:rsidP="000A7B1D">
      <w:r>
        <w:separator/>
      </w:r>
    </w:p>
  </w:footnote>
  <w:footnote w:type="continuationSeparator" w:id="0">
    <w:p w:rsidR="00964094" w:rsidRDefault="00964094" w:rsidP="000A7B1D">
      <w:r>
        <w:continuationSeparator/>
      </w:r>
    </w:p>
  </w:footnote>
  <w:footnote w:id="1">
    <w:p w:rsidR="00CC6FAD" w:rsidRPr="00CC6FAD" w:rsidRDefault="00CC6FAD">
      <w:pPr>
        <w:pStyle w:val="FootnoteText"/>
        <w:rPr>
          <w:u w:val="single"/>
        </w:rPr>
      </w:pPr>
      <w:r w:rsidRPr="00CC6FAD">
        <w:rPr>
          <w:rStyle w:val="FootnoteReference"/>
          <w:u w:val="single"/>
        </w:rPr>
        <w:footnoteRef/>
      </w:r>
      <w:r>
        <w:rPr>
          <w:vertAlign w:val="superscript"/>
        </w:rPr>
        <w:t>/</w:t>
      </w:r>
      <w:r w:rsidRPr="00CC6FAD">
        <w:t xml:space="preserve"> </w:t>
      </w:r>
      <w:r w:rsidRPr="00CC6FAD">
        <w:tab/>
      </w:r>
      <w:r>
        <w:t>PSE Advice No. 2016-04, Cover Letter at 2 (Feb. 11, 2016).</w:t>
      </w:r>
    </w:p>
  </w:footnote>
  <w:footnote w:id="2">
    <w:p w:rsidR="000331B1" w:rsidRPr="000331B1" w:rsidRDefault="000331B1" w:rsidP="000331B1">
      <w:pPr>
        <w:pStyle w:val="FootnoteText"/>
        <w:ind w:left="720" w:hanging="720"/>
        <w:rPr>
          <w:u w:val="single"/>
        </w:rPr>
      </w:pPr>
      <w:r w:rsidRPr="000331B1">
        <w:rPr>
          <w:rStyle w:val="FootnoteReference"/>
          <w:u w:val="single"/>
        </w:rPr>
        <w:footnoteRef/>
      </w:r>
      <w:r>
        <w:rPr>
          <w:vertAlign w:val="superscript"/>
        </w:rPr>
        <w:t>/</w:t>
      </w:r>
      <w:r w:rsidRPr="000331B1">
        <w:t xml:space="preserve"> </w:t>
      </w:r>
      <w:r w:rsidRPr="000331B1">
        <w:tab/>
      </w:r>
      <w:r>
        <w:t>In comments to FERC, however, ICNU has opposed one change PSE is proposing to make to its OATT related to the financial settlement of real power losses on the Company’s transmission system.  FERC Docket No. ER16-923, ICNU Protest (March 2, 2016).  ICNU’s comments at FERC do not impact resolution of the Company’s filing in this Docket.</w:t>
      </w:r>
    </w:p>
  </w:footnote>
  <w:footnote w:id="3">
    <w:p w:rsidR="00CC6FAD" w:rsidRPr="00CC6FAD" w:rsidRDefault="00CC6FAD">
      <w:pPr>
        <w:pStyle w:val="FootnoteText"/>
        <w:rPr>
          <w:u w:val="single"/>
        </w:rPr>
      </w:pPr>
      <w:r w:rsidRPr="00CC6FAD">
        <w:rPr>
          <w:rStyle w:val="FootnoteReference"/>
          <w:u w:val="single"/>
        </w:rPr>
        <w:footnoteRef/>
      </w:r>
      <w:r>
        <w:rPr>
          <w:vertAlign w:val="superscript"/>
        </w:rPr>
        <w:t>/</w:t>
      </w:r>
      <w:r w:rsidRPr="00CC6FAD">
        <w:t xml:space="preserve"> </w:t>
      </w:r>
      <w:r w:rsidRPr="00CC6FAD">
        <w:tab/>
      </w:r>
      <w:r>
        <w:t>Docket Nos. UE-001952/UE-001959, 11th Supp. Order, Appen. 1 (</w:t>
      </w:r>
      <w:r w:rsidR="00FE6DF2">
        <w:t>Apr. 5,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460" w:rsidRDefault="004E5460">
    <w:pPr>
      <w:pStyle w:val="Header"/>
    </w:pPr>
    <w:r>
      <w:t>Letter to S. King</w:t>
    </w:r>
  </w:p>
  <w:p w:rsidR="004E5460" w:rsidRDefault="004E5460">
    <w:pPr>
      <w:pStyle w:val="Header"/>
    </w:pPr>
    <w:r>
      <w:t>March 2, 2016</w:t>
    </w:r>
  </w:p>
  <w:p w:rsidR="004E5460" w:rsidRDefault="004E5460">
    <w:pPr>
      <w:pStyle w:val="Header"/>
    </w:pPr>
    <w:r>
      <w:t xml:space="preserve">Page 2 of </w:t>
    </w:r>
    <w:sdt>
      <w:sdtPr>
        <w:id w:val="10756232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4E5460" w:rsidRDefault="004E5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1D"/>
    <w:rsid w:val="00001E16"/>
    <w:rsid w:val="000155C0"/>
    <w:rsid w:val="000331B1"/>
    <w:rsid w:val="00043DBB"/>
    <w:rsid w:val="00060B75"/>
    <w:rsid w:val="000A7B1D"/>
    <w:rsid w:val="000C01EF"/>
    <w:rsid w:val="0010473A"/>
    <w:rsid w:val="0012428B"/>
    <w:rsid w:val="0013476A"/>
    <w:rsid w:val="001478E7"/>
    <w:rsid w:val="00163326"/>
    <w:rsid w:val="001839F1"/>
    <w:rsid w:val="00196A37"/>
    <w:rsid w:val="001D19F0"/>
    <w:rsid w:val="002D2CB6"/>
    <w:rsid w:val="002D61F5"/>
    <w:rsid w:val="00314481"/>
    <w:rsid w:val="0033218B"/>
    <w:rsid w:val="003505B1"/>
    <w:rsid w:val="00397D15"/>
    <w:rsid w:val="004062E0"/>
    <w:rsid w:val="004114CD"/>
    <w:rsid w:val="004165E6"/>
    <w:rsid w:val="0048272D"/>
    <w:rsid w:val="00490176"/>
    <w:rsid w:val="004960AF"/>
    <w:rsid w:val="004A01E7"/>
    <w:rsid w:val="004E5460"/>
    <w:rsid w:val="004E5CF7"/>
    <w:rsid w:val="004F1EA2"/>
    <w:rsid w:val="004F5570"/>
    <w:rsid w:val="00534E20"/>
    <w:rsid w:val="005428BA"/>
    <w:rsid w:val="0055051C"/>
    <w:rsid w:val="005D4070"/>
    <w:rsid w:val="00612AB5"/>
    <w:rsid w:val="0064281C"/>
    <w:rsid w:val="0065345B"/>
    <w:rsid w:val="0068159D"/>
    <w:rsid w:val="006B3D0F"/>
    <w:rsid w:val="006C4949"/>
    <w:rsid w:val="006F11DB"/>
    <w:rsid w:val="00700EAA"/>
    <w:rsid w:val="00703CFF"/>
    <w:rsid w:val="00767D11"/>
    <w:rsid w:val="0078165E"/>
    <w:rsid w:val="00794998"/>
    <w:rsid w:val="007B668A"/>
    <w:rsid w:val="007E38CA"/>
    <w:rsid w:val="007F328F"/>
    <w:rsid w:val="00822D08"/>
    <w:rsid w:val="0082343F"/>
    <w:rsid w:val="00841C5A"/>
    <w:rsid w:val="008439B9"/>
    <w:rsid w:val="008456E5"/>
    <w:rsid w:val="008B090A"/>
    <w:rsid w:val="008B369E"/>
    <w:rsid w:val="008C2A74"/>
    <w:rsid w:val="008E1BD2"/>
    <w:rsid w:val="009147F5"/>
    <w:rsid w:val="00946FAB"/>
    <w:rsid w:val="0095363E"/>
    <w:rsid w:val="00960E22"/>
    <w:rsid w:val="00964094"/>
    <w:rsid w:val="0098084B"/>
    <w:rsid w:val="00980A66"/>
    <w:rsid w:val="00990226"/>
    <w:rsid w:val="009A3C23"/>
    <w:rsid w:val="009E5EBC"/>
    <w:rsid w:val="00A015C0"/>
    <w:rsid w:val="00A24D86"/>
    <w:rsid w:val="00A35C00"/>
    <w:rsid w:val="00A733ED"/>
    <w:rsid w:val="00A90922"/>
    <w:rsid w:val="00A91000"/>
    <w:rsid w:val="00A927DF"/>
    <w:rsid w:val="00AD14F7"/>
    <w:rsid w:val="00AF51BA"/>
    <w:rsid w:val="00B9548B"/>
    <w:rsid w:val="00BA29FA"/>
    <w:rsid w:val="00BA34E5"/>
    <w:rsid w:val="00BA7C07"/>
    <w:rsid w:val="00BB3269"/>
    <w:rsid w:val="00C02F48"/>
    <w:rsid w:val="00C17086"/>
    <w:rsid w:val="00CA34C6"/>
    <w:rsid w:val="00CA56AC"/>
    <w:rsid w:val="00CC52D6"/>
    <w:rsid w:val="00CC6FAD"/>
    <w:rsid w:val="00CD0494"/>
    <w:rsid w:val="00CF4140"/>
    <w:rsid w:val="00D0216A"/>
    <w:rsid w:val="00D56CAE"/>
    <w:rsid w:val="00D64F29"/>
    <w:rsid w:val="00D83EBC"/>
    <w:rsid w:val="00D928A7"/>
    <w:rsid w:val="00DE75A0"/>
    <w:rsid w:val="00E013C7"/>
    <w:rsid w:val="00E30E6D"/>
    <w:rsid w:val="00E53E5A"/>
    <w:rsid w:val="00E62960"/>
    <w:rsid w:val="00E968F3"/>
    <w:rsid w:val="00EA5D61"/>
    <w:rsid w:val="00EB5FC3"/>
    <w:rsid w:val="00ED0EF7"/>
    <w:rsid w:val="00F158BA"/>
    <w:rsid w:val="00F30326"/>
    <w:rsid w:val="00F3770A"/>
    <w:rsid w:val="00FD41DA"/>
    <w:rsid w:val="00FE6DF2"/>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40961"/>
    <o:shapelayout v:ext="edit">
      <o:idmap v:ext="edit" data="1"/>
    </o:shapelayout>
  </w:shapeDefaults>
  <w:decimalSymbol w:val="."/>
  <w:listSeparator w:val=","/>
  <w14:docId w14:val="01455CB5"/>
  <w15:docId w15:val="{F599ED0C-EEE5-437E-A54A-72E7014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iPriority w:val="99"/>
    <w:unhideWhenUsed/>
    <w:rsid w:val="000A7B1D"/>
    <w:pPr>
      <w:tabs>
        <w:tab w:val="center" w:pos="4680"/>
        <w:tab w:val="right" w:pos="9360"/>
      </w:tabs>
    </w:pPr>
  </w:style>
  <w:style w:type="character" w:customStyle="1" w:styleId="HeaderChar">
    <w:name w:val="Header Char"/>
    <w:basedOn w:val="DefaultParagraphFont"/>
    <w:link w:val="Header"/>
    <w:uiPriority w:val="99"/>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C6FAD"/>
    <w:rPr>
      <w:sz w:val="20"/>
      <w:szCs w:val="20"/>
    </w:rPr>
  </w:style>
  <w:style w:type="character" w:customStyle="1" w:styleId="FootnoteTextChar">
    <w:name w:val="Footnote Text Char"/>
    <w:basedOn w:val="DefaultParagraphFont"/>
    <w:link w:val="FootnoteText"/>
    <w:uiPriority w:val="99"/>
    <w:semiHidden/>
    <w:rsid w:val="00CC6FA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6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2016-03-02T08:00:00+00:00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CA8067-7B4B-4991-BC73-03CBF630540E}"/>
</file>

<file path=customXml/itemProps2.xml><?xml version="1.0" encoding="utf-8"?>
<ds:datastoreItem xmlns:ds="http://schemas.openxmlformats.org/officeDocument/2006/customXml" ds:itemID="{2AC95CC5-13D5-431E-9E3F-F82D86BAED1A}"/>
</file>

<file path=customXml/itemProps3.xml><?xml version="1.0" encoding="utf-8"?>
<ds:datastoreItem xmlns:ds="http://schemas.openxmlformats.org/officeDocument/2006/customXml" ds:itemID="{D18EED65-82F8-43F2-A5B5-B8CDE5C496BB}"/>
</file>

<file path=customXml/itemProps4.xml><?xml version="1.0" encoding="utf-8"?>
<ds:datastoreItem xmlns:ds="http://schemas.openxmlformats.org/officeDocument/2006/customXml" ds:itemID="{A39CDF71-1696-4E1D-825C-8C106FC40C41}"/>
</file>

<file path=customXml/itemProps5.xml><?xml version="1.0" encoding="utf-8"?>
<ds:datastoreItem xmlns:ds="http://schemas.openxmlformats.org/officeDocument/2006/customXml" ds:itemID="{D060816E-46BA-48DA-8435-2722B82DCE2F}"/>
</file>

<file path=docProps/app.xml><?xml version="1.0" encoding="utf-8"?>
<Properties xmlns="http://schemas.openxmlformats.org/officeDocument/2006/extended-properties" xmlns:vt="http://schemas.openxmlformats.org/officeDocument/2006/docPropsVTypes">
  <Template>Normal</Template>
  <TotalTime>36</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jog@dvclaw.com</cp:lastModifiedBy>
  <cp:revision>5</cp:revision>
  <dcterms:created xsi:type="dcterms:W3CDTF">2016-02-22T21:49:00Z</dcterms:created>
  <dcterms:modified xsi:type="dcterms:W3CDTF">2016-03-02T18:05:00Z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