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AD4E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6B68298E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160F0A79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7"/>
        <w:gridCol w:w="236"/>
        <w:gridCol w:w="3927"/>
      </w:tblGrid>
      <w:tr w:rsidR="00C011AB" w:rsidRPr="00401D3C" w14:paraId="5E21B5B2" w14:textId="77777777" w:rsidTr="00F5272A">
        <w:trPr>
          <w:trHeight w:val="1536"/>
        </w:trPr>
        <w:tc>
          <w:tcPr>
            <w:tcW w:w="4417" w:type="dxa"/>
          </w:tcPr>
          <w:p w14:paraId="5A118E5C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6E8F476B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09B3D893" w14:textId="77777777" w:rsidR="00005893" w:rsidRPr="00401D3C" w:rsidRDefault="006826F9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BREMERTON-KITSAP AIRPORTER,</w:t>
            </w:r>
          </w:p>
          <w:p w14:paraId="538826E4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2948C81B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B60347" w:rsidRPr="00401D3C">
              <w:rPr>
                <w:bCs/>
              </w:rPr>
              <w:t>1</w:t>
            </w:r>
            <w:r w:rsidR="00703594" w:rsidRPr="00401D3C">
              <w:rPr>
                <w:bCs/>
              </w:rPr>
              <w:t>,000</w:t>
            </w:r>
          </w:p>
          <w:p w14:paraId="68316E07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F5272A">
              <w:t xml:space="preserve">. . </w:t>
            </w:r>
          </w:p>
        </w:tc>
        <w:tc>
          <w:tcPr>
            <w:tcW w:w="236" w:type="dxa"/>
          </w:tcPr>
          <w:p w14:paraId="4B56E18D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5F17C459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DD47A47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4B63B781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4B83B52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16C9FC47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5DDFF879" w14:textId="77777777" w:rsidR="006C5AA6" w:rsidRPr="00401D3C" w:rsidRDefault="0084534A" w:rsidP="00F5272A">
            <w:pPr>
              <w:spacing w:line="288" w:lineRule="auto"/>
            </w:pPr>
            <w:r>
              <w:t>)</w:t>
            </w:r>
          </w:p>
        </w:tc>
        <w:tc>
          <w:tcPr>
            <w:tcW w:w="3927" w:type="dxa"/>
          </w:tcPr>
          <w:p w14:paraId="744C1B23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6826F9">
              <w:rPr>
                <w:bCs/>
              </w:rPr>
              <w:t>E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6826F9">
              <w:rPr>
                <w:bCs/>
              </w:rPr>
              <w:t>531</w:t>
            </w:r>
          </w:p>
          <w:p w14:paraId="26B9FE1C" w14:textId="77777777" w:rsidR="00C011AB" w:rsidRPr="00401D3C" w:rsidRDefault="00C011AB" w:rsidP="00347054">
            <w:pPr>
              <w:spacing w:line="288" w:lineRule="auto"/>
            </w:pPr>
          </w:p>
          <w:p w14:paraId="48563D55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EE3EC7">
              <w:t>2</w:t>
            </w:r>
          </w:p>
          <w:p w14:paraId="2F7BB275" w14:textId="77777777" w:rsidR="00C011AB" w:rsidRPr="00401D3C" w:rsidRDefault="00C011AB" w:rsidP="00347054">
            <w:pPr>
              <w:spacing w:line="288" w:lineRule="auto"/>
            </w:pPr>
          </w:p>
          <w:p w14:paraId="3779FE68" w14:textId="77777777" w:rsidR="00A84893" w:rsidRPr="00401D3C" w:rsidRDefault="00EE3EC7" w:rsidP="00EE3EC7">
            <w:pPr>
              <w:spacing w:line="288" w:lineRule="auto"/>
            </w:pPr>
            <w:r>
              <w:t xml:space="preserve">FINAL </w:t>
            </w:r>
            <w:r w:rsidR="00F13566" w:rsidRPr="00401D3C">
              <w:t xml:space="preserve">ORDER </w:t>
            </w:r>
            <w:r w:rsidR="006826F9">
              <w:t xml:space="preserve">UPHOLDING </w:t>
            </w:r>
            <w:r>
              <w:t>ORDER 01</w:t>
            </w:r>
          </w:p>
        </w:tc>
      </w:tr>
    </w:tbl>
    <w:p w14:paraId="4E44464E" w14:textId="77777777" w:rsidR="00F5272A" w:rsidRPr="00F5272A" w:rsidRDefault="00F5272A" w:rsidP="00F5272A">
      <w:pPr>
        <w:spacing w:line="288" w:lineRule="auto"/>
        <w:jc w:val="center"/>
        <w:rPr>
          <w:b/>
        </w:rPr>
      </w:pPr>
    </w:p>
    <w:p w14:paraId="2C49F39B" w14:textId="77777777" w:rsidR="00841996" w:rsidRPr="00F5272A" w:rsidRDefault="00F32856" w:rsidP="00F5272A">
      <w:pPr>
        <w:spacing w:line="288" w:lineRule="auto"/>
        <w:jc w:val="center"/>
        <w:rPr>
          <w:b/>
        </w:rPr>
      </w:pPr>
      <w:r w:rsidRPr="00F5272A">
        <w:rPr>
          <w:b/>
        </w:rPr>
        <w:t>BACKGROUND</w:t>
      </w:r>
    </w:p>
    <w:p w14:paraId="2C134FE9" w14:textId="77777777" w:rsidR="00F5272A" w:rsidRPr="00F5272A" w:rsidRDefault="00F5272A" w:rsidP="00F5272A">
      <w:pPr>
        <w:spacing w:line="288" w:lineRule="auto"/>
        <w:jc w:val="center"/>
        <w:rPr>
          <w:b/>
        </w:rPr>
      </w:pPr>
    </w:p>
    <w:p w14:paraId="7BED65DF" w14:textId="77777777" w:rsidR="005F24F9" w:rsidRPr="00F5272A" w:rsidRDefault="00EE3EC7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rPr>
          <w:bCs/>
        </w:rPr>
        <w:t>P</w:t>
      </w:r>
      <w:r w:rsidR="00EA0923" w:rsidRPr="00F5272A">
        <w:rPr>
          <w:bCs/>
        </w:rPr>
        <w:t xml:space="preserve">ersons operating as a motor carrier in </w:t>
      </w:r>
      <w:r w:rsidRPr="00F5272A">
        <w:rPr>
          <w:bCs/>
        </w:rPr>
        <w:t>Washington</w:t>
      </w:r>
      <w:r w:rsidR="00EA0923" w:rsidRPr="00F5272A">
        <w:rPr>
          <w:bCs/>
        </w:rPr>
        <w:t xml:space="preserve"> </w:t>
      </w:r>
      <w:r w:rsidRPr="00F5272A">
        <w:rPr>
          <w:bCs/>
        </w:rPr>
        <w:t>must</w:t>
      </w:r>
      <w:r w:rsidR="00EA0923" w:rsidRPr="00F5272A">
        <w:rPr>
          <w:bCs/>
        </w:rPr>
        <w:t xml:space="preserve"> comply with federal motor carrier safety regulations concerning controlled substances and alcohol use and testing. </w:t>
      </w:r>
      <w:r w:rsidR="00502496" w:rsidRPr="00F5272A">
        <w:rPr>
          <w:bCs/>
        </w:rPr>
        <w:t>Failure</w:t>
      </w:r>
      <w:r w:rsidR="00EA0923" w:rsidRPr="00F5272A">
        <w:rPr>
          <w:bCs/>
        </w:rPr>
        <w:t xml:space="preserve"> to main</w:t>
      </w:r>
      <w:bookmarkStart w:id="0" w:name="_GoBack"/>
      <w:bookmarkEnd w:id="0"/>
      <w:r w:rsidR="00EA0923" w:rsidRPr="00F5272A">
        <w:rPr>
          <w:bCs/>
        </w:rPr>
        <w:t>tain a testing program that complies with these requirements is subject to a penalty</w:t>
      </w:r>
      <w:r w:rsidR="000426C0" w:rsidRPr="00F5272A">
        <w:rPr>
          <w:bCs/>
        </w:rPr>
        <w:t xml:space="preserve"> of</w:t>
      </w:r>
      <w:r w:rsidR="00F929AB" w:rsidRPr="00F5272A">
        <w:rPr>
          <w:bCs/>
        </w:rPr>
        <w:t xml:space="preserve"> </w:t>
      </w:r>
      <w:r w:rsidR="00EA0923" w:rsidRPr="00F5272A">
        <w:rPr>
          <w:bCs/>
        </w:rPr>
        <w:t xml:space="preserve">up to </w:t>
      </w:r>
      <w:r w:rsidR="005F24F9" w:rsidRPr="00F5272A">
        <w:rPr>
          <w:bCs/>
        </w:rPr>
        <w:t>$1</w:t>
      </w:r>
      <w:r w:rsidR="00EA0923" w:rsidRPr="00F5272A">
        <w:rPr>
          <w:bCs/>
        </w:rPr>
        <w:t>,5</w:t>
      </w:r>
      <w:r w:rsidR="005F24F9" w:rsidRPr="00F5272A">
        <w:rPr>
          <w:bCs/>
        </w:rPr>
        <w:t>00</w:t>
      </w:r>
      <w:r w:rsidR="00B24948" w:rsidRPr="00F5272A">
        <w:rPr>
          <w:bCs/>
        </w:rPr>
        <w:t xml:space="preserve"> </w:t>
      </w:r>
      <w:r w:rsidR="00EA0923" w:rsidRPr="00F5272A">
        <w:rPr>
          <w:bCs/>
        </w:rPr>
        <w:t>and an additional $500 for each noncompliant motor vehicle driver. RCW 80.04.530</w:t>
      </w:r>
      <w:r w:rsidR="00B24948" w:rsidRPr="00F5272A">
        <w:rPr>
          <w:bCs/>
        </w:rPr>
        <w:t>.</w:t>
      </w:r>
    </w:p>
    <w:p w14:paraId="5D6A201C" w14:textId="77777777" w:rsidR="005F24F9" w:rsidRPr="00F5272A" w:rsidRDefault="005F24F9" w:rsidP="00F5272A">
      <w:pPr>
        <w:tabs>
          <w:tab w:val="left" w:pos="720"/>
        </w:tabs>
        <w:spacing w:line="288" w:lineRule="auto"/>
        <w:ind w:left="720"/>
      </w:pPr>
    </w:p>
    <w:p w14:paraId="4B5EB500" w14:textId="77777777" w:rsidR="00125692" w:rsidRPr="00F5272A" w:rsidRDefault="00861EE8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rPr>
          <w:bCs/>
        </w:rPr>
        <w:t xml:space="preserve">On February 26, 2015, Commission staff </w:t>
      </w:r>
      <w:r w:rsidR="00645CB6" w:rsidRPr="00F5272A">
        <w:rPr>
          <w:bCs/>
        </w:rPr>
        <w:t xml:space="preserve">(Staff) </w:t>
      </w:r>
      <w:r w:rsidRPr="00F5272A">
        <w:rPr>
          <w:bCs/>
        </w:rPr>
        <w:t>conducted a compliance</w:t>
      </w:r>
      <w:r w:rsidR="00EE3EC7" w:rsidRPr="00F5272A">
        <w:rPr>
          <w:bCs/>
        </w:rPr>
        <w:t xml:space="preserve"> </w:t>
      </w:r>
      <w:r w:rsidRPr="00F5272A">
        <w:rPr>
          <w:bCs/>
        </w:rPr>
        <w:t>inspection o</w:t>
      </w:r>
      <w:r w:rsidR="006717D6" w:rsidRPr="00F5272A">
        <w:rPr>
          <w:bCs/>
        </w:rPr>
        <w:t>f Bremerton-Kitsap Airporter (BK</w:t>
      </w:r>
      <w:r w:rsidRPr="00F5272A">
        <w:rPr>
          <w:bCs/>
        </w:rPr>
        <w:t>A or Company). Staff found 20 violations of the testing program requirements</w:t>
      </w:r>
      <w:r w:rsidR="006717D6" w:rsidRPr="00F5272A">
        <w:rPr>
          <w:bCs/>
        </w:rPr>
        <w:t>. T</w:t>
      </w:r>
      <w:r w:rsidRPr="00F5272A">
        <w:rPr>
          <w:bCs/>
        </w:rPr>
        <w:t>wo of those violations were critical</w:t>
      </w:r>
      <w:r w:rsidR="006717D6" w:rsidRPr="00F5272A">
        <w:rPr>
          <w:bCs/>
        </w:rPr>
        <w:t>, specifically using a driver prior to receiving a negative pre-employment controlled substance and alcohol use test result</w:t>
      </w:r>
      <w:r w:rsidRPr="00F5272A">
        <w:rPr>
          <w:bCs/>
        </w:rPr>
        <w:t xml:space="preserve">. </w:t>
      </w:r>
    </w:p>
    <w:p w14:paraId="0B52B13F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7E66751B" w14:textId="77777777" w:rsidR="004F5E53" w:rsidRDefault="000164A8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F5272A">
        <w:rPr>
          <w:bCs/>
        </w:rPr>
        <w:t xml:space="preserve">On </w:t>
      </w:r>
      <w:r w:rsidR="0084534A" w:rsidRPr="00F5272A">
        <w:rPr>
          <w:bCs/>
        </w:rPr>
        <w:t>June 1</w:t>
      </w:r>
      <w:r w:rsidR="006826F9" w:rsidRPr="00F5272A">
        <w:rPr>
          <w:bCs/>
        </w:rPr>
        <w:t>0</w:t>
      </w:r>
      <w:r w:rsidR="005E1EA6" w:rsidRPr="00F5272A">
        <w:rPr>
          <w:bCs/>
        </w:rPr>
        <w:t>,</w:t>
      </w:r>
      <w:r w:rsidRPr="00F5272A">
        <w:rPr>
          <w:bCs/>
        </w:rPr>
        <w:t xml:space="preserve"> </w:t>
      </w:r>
      <w:r w:rsidR="006826F9" w:rsidRPr="00F5272A">
        <w:rPr>
          <w:bCs/>
        </w:rPr>
        <w:t xml:space="preserve">2015, </w:t>
      </w:r>
      <w:r w:rsidRPr="00F5272A">
        <w:rPr>
          <w:bCs/>
        </w:rPr>
        <w:t>the Comm</w:t>
      </w:r>
      <w:r w:rsidR="008A54E8" w:rsidRPr="00F5272A">
        <w:rPr>
          <w:bCs/>
        </w:rPr>
        <w:t>ission assessed a penalty of $1</w:t>
      </w:r>
      <w:r w:rsidR="0080504E" w:rsidRPr="00F5272A">
        <w:rPr>
          <w:bCs/>
        </w:rPr>
        <w:t>,0</w:t>
      </w:r>
      <w:r w:rsidR="008A54E8" w:rsidRPr="00F5272A">
        <w:rPr>
          <w:bCs/>
        </w:rPr>
        <w:t>00</w:t>
      </w:r>
      <w:r w:rsidRPr="00F5272A">
        <w:rPr>
          <w:bCs/>
        </w:rPr>
        <w:t xml:space="preserve"> against </w:t>
      </w:r>
      <w:r w:rsidR="006717D6" w:rsidRPr="00F5272A">
        <w:rPr>
          <w:bCs/>
        </w:rPr>
        <w:t>BK</w:t>
      </w:r>
      <w:r w:rsidR="00861EE8" w:rsidRPr="00F5272A">
        <w:rPr>
          <w:bCs/>
        </w:rPr>
        <w:t>A</w:t>
      </w:r>
      <w:r w:rsidR="00125692" w:rsidRPr="00F5272A">
        <w:rPr>
          <w:bCs/>
        </w:rPr>
        <w:t>. The Commission exercised</w:t>
      </w:r>
      <w:r w:rsidR="00861EE8" w:rsidRPr="00F5272A">
        <w:rPr>
          <w:bCs/>
        </w:rPr>
        <w:t xml:space="preserve"> its discretion to impose only a penalty of $500 for each </w:t>
      </w:r>
      <w:r w:rsidR="006717D6" w:rsidRPr="00F5272A">
        <w:rPr>
          <w:bCs/>
        </w:rPr>
        <w:t>of the two critical violations</w:t>
      </w:r>
      <w:r w:rsidR="001D765C" w:rsidRPr="00F5272A">
        <w:rPr>
          <w:rStyle w:val="CommentReference"/>
          <w:sz w:val="24"/>
          <w:szCs w:val="24"/>
        </w:rPr>
        <w:t>.</w:t>
      </w:r>
    </w:p>
    <w:p w14:paraId="3BA787FE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2518E66E" w14:textId="77777777" w:rsidR="00776B35" w:rsidRDefault="00264C0F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t>On</w:t>
      </w:r>
      <w:r w:rsidR="00426C92" w:rsidRPr="00F5272A">
        <w:t xml:space="preserve"> </w:t>
      </w:r>
      <w:r w:rsidR="0084534A" w:rsidRPr="00F5272A">
        <w:t xml:space="preserve">June </w:t>
      </w:r>
      <w:r w:rsidR="00125692" w:rsidRPr="00F5272A">
        <w:t>15</w:t>
      </w:r>
      <w:r w:rsidR="008A54E8" w:rsidRPr="00F5272A">
        <w:t>, 201</w:t>
      </w:r>
      <w:r w:rsidR="00401D3C" w:rsidRPr="00F5272A">
        <w:t>5</w:t>
      </w:r>
      <w:r w:rsidR="005B60F9" w:rsidRPr="00F5272A">
        <w:t xml:space="preserve">, </w:t>
      </w:r>
      <w:r w:rsidR="006717D6" w:rsidRPr="00F5272A">
        <w:t>BK</w:t>
      </w:r>
      <w:r w:rsidR="006826F9" w:rsidRPr="00F5272A">
        <w:t>A</w:t>
      </w:r>
      <w:r w:rsidR="00AD1BA1" w:rsidRPr="00F5272A">
        <w:rPr>
          <w:bCs/>
        </w:rPr>
        <w:t xml:space="preserve"> </w:t>
      </w:r>
      <w:r w:rsidR="008A54E8" w:rsidRPr="00F5272A">
        <w:t>r</w:t>
      </w:r>
      <w:r w:rsidR="00371E20" w:rsidRPr="00F5272A">
        <w:t>esponded</w:t>
      </w:r>
      <w:r w:rsidRPr="00F5272A">
        <w:t xml:space="preserve"> to the Commission</w:t>
      </w:r>
      <w:r w:rsidR="00B77835" w:rsidRPr="00F5272A">
        <w:t xml:space="preserve">’s penalty </w:t>
      </w:r>
      <w:r w:rsidR="0014354E" w:rsidRPr="00F5272A">
        <w:t>assessment</w:t>
      </w:r>
      <w:r w:rsidR="00401D3C" w:rsidRPr="00F5272A">
        <w:t xml:space="preserve">, </w:t>
      </w:r>
      <w:r w:rsidR="006826F9" w:rsidRPr="00F5272A">
        <w:t xml:space="preserve">denying the </w:t>
      </w:r>
      <w:r w:rsidR="00401D3C" w:rsidRPr="00F5272A">
        <w:t>violations</w:t>
      </w:r>
      <w:r w:rsidR="00B77835" w:rsidRPr="00F5272A">
        <w:t xml:space="preserve"> and request</w:t>
      </w:r>
      <w:r w:rsidR="00401D3C" w:rsidRPr="00F5272A">
        <w:t>ing</w:t>
      </w:r>
      <w:r w:rsidR="00B77835" w:rsidRPr="00F5272A">
        <w:t xml:space="preserve"> </w:t>
      </w:r>
      <w:r w:rsidR="00125692" w:rsidRPr="00F5272A">
        <w:t>that the penalties be discharged or dismissed</w:t>
      </w:r>
      <w:r w:rsidR="001E13EA" w:rsidRPr="00F5272A">
        <w:t xml:space="preserve"> based on the documents the Company provided</w:t>
      </w:r>
      <w:r w:rsidR="00401D3C" w:rsidRPr="00F5272A">
        <w:t>.</w:t>
      </w:r>
      <w:r w:rsidR="001A4D23" w:rsidRPr="00F5272A">
        <w:t xml:space="preserve"> Staff filed a response on June 24, 2015, opposing the request and providing </w:t>
      </w:r>
      <w:r w:rsidR="001E13EA" w:rsidRPr="00F5272A">
        <w:t xml:space="preserve">additional </w:t>
      </w:r>
      <w:r w:rsidR="001A4D23" w:rsidRPr="00F5272A">
        <w:t>documentation to substantiate the violations.</w:t>
      </w:r>
      <w:r w:rsidR="00401D3C" w:rsidRPr="00F5272A">
        <w:t xml:space="preserve"> </w:t>
      </w:r>
    </w:p>
    <w:p w14:paraId="474CC48E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671D5712" w14:textId="77777777" w:rsidR="00D526A9" w:rsidRDefault="008A54E8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t xml:space="preserve">On June </w:t>
      </w:r>
      <w:r w:rsidR="00EE3EC7" w:rsidRPr="00F5272A">
        <w:t>30</w:t>
      </w:r>
      <w:r w:rsidRPr="00F5272A">
        <w:t>, 201</w:t>
      </w:r>
      <w:r w:rsidR="00401D3C" w:rsidRPr="00F5272A">
        <w:t>5</w:t>
      </w:r>
      <w:r w:rsidRPr="00F5272A">
        <w:t xml:space="preserve">, </w:t>
      </w:r>
      <w:r w:rsidR="00EE3EC7" w:rsidRPr="00F5272A">
        <w:t>the Commission entered Order 01 affirming the penalty assessment</w:t>
      </w:r>
      <w:r w:rsidRPr="00F5272A">
        <w:t>.</w:t>
      </w:r>
      <w:r w:rsidR="00EE3EC7" w:rsidRPr="00F5272A">
        <w:t xml:space="preserve"> The Secretary on delegated authority found that the records and correspondence provided </w:t>
      </w:r>
      <w:r w:rsidR="001E13EA" w:rsidRPr="00F5272A">
        <w:t xml:space="preserve">by both </w:t>
      </w:r>
      <w:r w:rsidR="00C80E90" w:rsidRPr="00F5272A">
        <w:t>the Company and Staff</w:t>
      </w:r>
      <w:r w:rsidR="00EE3EC7" w:rsidRPr="00F5272A">
        <w:t xml:space="preserve"> support the finding that two of the Company’s</w:t>
      </w:r>
      <w:r w:rsidR="006717D6" w:rsidRPr="00F5272A">
        <w:t xml:space="preserve"> drivers began driving before BK</w:t>
      </w:r>
      <w:r w:rsidR="00EE3EC7" w:rsidRPr="00F5272A">
        <w:t xml:space="preserve">A received the results of those employees’ drug and alcohol </w:t>
      </w:r>
      <w:r w:rsidR="00EE3EC7" w:rsidRPr="00F5272A">
        <w:lastRenderedPageBreak/>
        <w:t>tests</w:t>
      </w:r>
      <w:r w:rsidR="001E13EA" w:rsidRPr="00F5272A">
        <w:t>. Order 01 concluded that those are critical safety violations that warrant the maximum statutory penalty</w:t>
      </w:r>
      <w:r w:rsidR="00EE3EC7" w:rsidRPr="00F5272A">
        <w:t>.</w:t>
      </w:r>
    </w:p>
    <w:p w14:paraId="6BA2456C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4B4E320D" w14:textId="77777777" w:rsidR="00EE3EC7" w:rsidRDefault="006717D6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t>On July 1, 2015, BK</w:t>
      </w:r>
      <w:r w:rsidR="00EE3EC7" w:rsidRPr="00F5272A">
        <w:t xml:space="preserve">A requested that the Commission review Order 01. </w:t>
      </w:r>
      <w:r w:rsidR="008F4417" w:rsidRPr="00F5272A">
        <w:t>The Company included document</w:t>
      </w:r>
      <w:r w:rsidR="001E13EA" w:rsidRPr="00F5272A">
        <w:t>s</w:t>
      </w:r>
      <w:r w:rsidRPr="00F5272A">
        <w:t xml:space="preserve"> that BK</w:t>
      </w:r>
      <w:r w:rsidR="008F4417" w:rsidRPr="00F5272A">
        <w:t xml:space="preserve">A contends demonstrate that the drivers at issue did not begin driving until after the Company received negative pre-employment controlled substance </w:t>
      </w:r>
      <w:r w:rsidRPr="00F5272A">
        <w:t>and alcohol use test results. BK</w:t>
      </w:r>
      <w:r w:rsidR="008F4417" w:rsidRPr="00F5272A">
        <w:t>A also argues that the Commission publication, “Your Guide to Achieving a Satisfactory Safety Record,” grants companies “a 30 day grace period before the employee is allowed to perform ‘safety sensitive functions,’” and the cited violations occurred within that 30 day period.</w:t>
      </w:r>
    </w:p>
    <w:p w14:paraId="11E2F345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4A9B49AD" w14:textId="77777777" w:rsidR="008F4417" w:rsidRDefault="008F4417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t xml:space="preserve">On July 15, 2015, Staff </w:t>
      </w:r>
      <w:r w:rsidR="001E13EA" w:rsidRPr="00F5272A">
        <w:t xml:space="preserve">filed </w:t>
      </w:r>
      <w:r w:rsidRPr="00F5272A">
        <w:t xml:space="preserve">its answer to the request for review. Staff states that the time sheet </w:t>
      </w:r>
      <w:r w:rsidR="006717D6" w:rsidRPr="00F5272A">
        <w:t>for one driver that BK</w:t>
      </w:r>
      <w:r w:rsidR="001E13EA" w:rsidRPr="00F5272A">
        <w:t xml:space="preserve">A included with its review request </w:t>
      </w:r>
      <w:r w:rsidRPr="00F5272A">
        <w:t>makes no reference to when he first drove for the Company, and</w:t>
      </w:r>
      <w:r w:rsidR="00327E9B" w:rsidRPr="00F5272A">
        <w:t xml:space="preserve"> that</w:t>
      </w:r>
      <w:r w:rsidR="006717D6" w:rsidRPr="00F5272A">
        <w:t xml:space="preserve"> BK</w:t>
      </w:r>
      <w:r w:rsidRPr="00F5272A">
        <w:t xml:space="preserve">A’s </w:t>
      </w:r>
      <w:r w:rsidR="00327E9B" w:rsidRPr="00F5272A">
        <w:t xml:space="preserve">representation that this drive occurred after the Company received his test results conflicts with its Operations Manager’s </w:t>
      </w:r>
      <w:r w:rsidR="001E13EA" w:rsidRPr="00F5272A">
        <w:t xml:space="preserve">email </w:t>
      </w:r>
      <w:r w:rsidR="00327E9B" w:rsidRPr="00F5272A">
        <w:t xml:space="preserve">statement. With respect to the other driver, Staff asserts that the time sheet that the Company attaches to its request </w:t>
      </w:r>
      <w:r w:rsidR="001E13EA" w:rsidRPr="00F5272A">
        <w:t xml:space="preserve">is an altered document that </w:t>
      </w:r>
      <w:r w:rsidR="00327E9B" w:rsidRPr="00F5272A">
        <w:t>adds information about th</w:t>
      </w:r>
      <w:r w:rsidR="001E13EA" w:rsidRPr="00F5272A">
        <w:t>e</w:t>
      </w:r>
      <w:r w:rsidR="00327E9B" w:rsidRPr="00F5272A">
        <w:t xml:space="preserve"> driver’s first drive that wa</w:t>
      </w:r>
      <w:r w:rsidR="006717D6" w:rsidRPr="00F5272A">
        <w:t>s not included on the version BK</w:t>
      </w:r>
      <w:r w:rsidR="00327E9B" w:rsidRPr="00F5272A">
        <w:t xml:space="preserve">A originally provided. The additional information, moreover, also is inconsistent with a prior </w:t>
      </w:r>
      <w:r w:rsidR="001E13EA" w:rsidRPr="00F5272A">
        <w:t>email</w:t>
      </w:r>
      <w:r w:rsidR="00327E9B" w:rsidRPr="00F5272A">
        <w:t xml:space="preserve"> from the Operations Manager. Finally, Staff points out that the</w:t>
      </w:r>
      <w:r w:rsidR="006717D6" w:rsidRPr="00F5272A">
        <w:t xml:space="preserve"> 30</w:t>
      </w:r>
      <w:r w:rsidR="00C80E90" w:rsidRPr="00F5272A">
        <w:t>-day grace p</w:t>
      </w:r>
      <w:r w:rsidR="006717D6" w:rsidRPr="00F5272A">
        <w:t>eriod to which BK</w:t>
      </w:r>
      <w:r w:rsidR="00327E9B" w:rsidRPr="00F5272A">
        <w:t>A refers applies to current employer requests for previous employer alcohol testing information, not to the pre-employment testing at issue here.</w:t>
      </w:r>
    </w:p>
    <w:p w14:paraId="426640BF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67CEC37D" w14:textId="77777777" w:rsidR="00841996" w:rsidRDefault="00F32856" w:rsidP="00F5272A">
      <w:pPr>
        <w:tabs>
          <w:tab w:val="left" w:pos="720"/>
        </w:tabs>
        <w:spacing w:line="288" w:lineRule="auto"/>
        <w:jc w:val="center"/>
        <w:rPr>
          <w:b/>
        </w:rPr>
      </w:pPr>
      <w:r w:rsidRPr="00F5272A">
        <w:rPr>
          <w:b/>
        </w:rPr>
        <w:t>DISCUSSION</w:t>
      </w:r>
      <w:r w:rsidR="00BE49F1" w:rsidRPr="00F5272A">
        <w:rPr>
          <w:b/>
        </w:rPr>
        <w:t xml:space="preserve"> AND DECISION</w:t>
      </w:r>
    </w:p>
    <w:p w14:paraId="022E8607" w14:textId="77777777" w:rsidR="00F5272A" w:rsidRPr="00F5272A" w:rsidRDefault="00F5272A" w:rsidP="00F5272A">
      <w:pPr>
        <w:tabs>
          <w:tab w:val="left" w:pos="720"/>
        </w:tabs>
        <w:spacing w:line="288" w:lineRule="auto"/>
        <w:rPr>
          <w:b/>
        </w:rPr>
      </w:pPr>
    </w:p>
    <w:p w14:paraId="4DD8786F" w14:textId="77777777" w:rsidR="00E74876" w:rsidRDefault="00BA28F4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t xml:space="preserve">The Commission upholds the penalty assessment and </w:t>
      </w:r>
      <w:r w:rsidR="00327E9B" w:rsidRPr="00F5272A">
        <w:t xml:space="preserve">Order 01. </w:t>
      </w:r>
      <w:r w:rsidR="00BE49F1" w:rsidRPr="00F5272A">
        <w:t xml:space="preserve">The documents and </w:t>
      </w:r>
      <w:r w:rsidR="001A4D23" w:rsidRPr="00F5272A">
        <w:t>communications</w:t>
      </w:r>
      <w:r w:rsidR="00BE49F1" w:rsidRPr="00F5272A">
        <w:t xml:space="preserve"> on which the penalty assessment and Order 01 relied </w:t>
      </w:r>
      <w:r w:rsidR="006717D6" w:rsidRPr="00F5272A">
        <w:t>conclusively demonstrate that BK</w:t>
      </w:r>
      <w:r w:rsidR="00BE49F1" w:rsidRPr="00F5272A">
        <w:t xml:space="preserve">A committed the two violations at issue. </w:t>
      </w:r>
    </w:p>
    <w:p w14:paraId="04911585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4CF3359B" w14:textId="77777777" w:rsidR="00347054" w:rsidRPr="00F5272A" w:rsidRDefault="001A4D23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F5272A">
        <w:t>The Company has provided no credible evidence to the contrary. The time</w:t>
      </w:r>
      <w:r w:rsidR="00E74876" w:rsidRPr="00F5272A">
        <w:t xml:space="preserve"> sheet for one driver </w:t>
      </w:r>
      <w:r w:rsidR="00475E53" w:rsidRPr="00F5272A">
        <w:t xml:space="preserve">does not give any information about </w:t>
      </w:r>
      <w:r w:rsidR="00E74876" w:rsidRPr="00F5272A">
        <w:t xml:space="preserve">when that driver first drove for the Company, and the time sheet for the other driver was altered from the original submitted to Staff </w:t>
      </w:r>
      <w:r w:rsidR="001E13EA" w:rsidRPr="00F5272A">
        <w:t>to</w:t>
      </w:r>
      <w:r w:rsidR="00E74876" w:rsidRPr="00F5272A">
        <w:t xml:space="preserve"> include such information. We give no credence to the later document</w:t>
      </w:r>
      <w:r w:rsidR="00902839" w:rsidRPr="00F5272A">
        <w:t>.</w:t>
      </w:r>
      <w:r w:rsidR="00E74876" w:rsidRPr="00F5272A">
        <w:t xml:space="preserve"> We also agree with Staff that there is no 30</w:t>
      </w:r>
      <w:r w:rsidR="00C80E90" w:rsidRPr="00F5272A">
        <w:t>-</w:t>
      </w:r>
      <w:r w:rsidR="00E74876" w:rsidRPr="00F5272A">
        <w:t>day grace period for violations of the pre-employment controlled substance and al</w:t>
      </w:r>
      <w:r w:rsidR="00475E53" w:rsidRPr="00F5272A">
        <w:t xml:space="preserve">cohol use testing requirements. </w:t>
      </w:r>
      <w:r w:rsidR="00C80E90" w:rsidRPr="00F5272A">
        <w:t>BK</w:t>
      </w:r>
      <w:r w:rsidR="00E74876" w:rsidRPr="00F5272A">
        <w:t xml:space="preserve">A was properly assessed a penalty of $1,000 for its two violations of those requirements. </w:t>
      </w:r>
    </w:p>
    <w:p w14:paraId="295C4E2E" w14:textId="77777777" w:rsidR="00C80E90" w:rsidRPr="00F5272A" w:rsidRDefault="00C80E90" w:rsidP="00F5272A">
      <w:pPr>
        <w:spacing w:line="288" w:lineRule="auto"/>
        <w:jc w:val="center"/>
        <w:rPr>
          <w:b/>
        </w:rPr>
      </w:pPr>
    </w:p>
    <w:p w14:paraId="55301081" w14:textId="77777777" w:rsidR="00892232" w:rsidRDefault="00F32856" w:rsidP="00F5272A">
      <w:pPr>
        <w:spacing w:line="288" w:lineRule="auto"/>
        <w:jc w:val="center"/>
        <w:rPr>
          <w:b/>
        </w:rPr>
      </w:pPr>
      <w:r w:rsidRPr="00F5272A">
        <w:rPr>
          <w:b/>
        </w:rPr>
        <w:lastRenderedPageBreak/>
        <w:t>ORDER</w:t>
      </w:r>
    </w:p>
    <w:p w14:paraId="2FF5FDE1" w14:textId="77777777" w:rsidR="00F5272A" w:rsidRPr="00F5272A" w:rsidRDefault="00F5272A" w:rsidP="00F5272A">
      <w:pPr>
        <w:spacing w:line="288" w:lineRule="auto"/>
        <w:jc w:val="center"/>
        <w:rPr>
          <w:b/>
        </w:rPr>
      </w:pPr>
    </w:p>
    <w:p w14:paraId="0B19727D" w14:textId="77777777" w:rsidR="00F32856" w:rsidRDefault="00F32856" w:rsidP="00F5272A">
      <w:pPr>
        <w:spacing w:line="288" w:lineRule="auto"/>
      </w:pPr>
      <w:r w:rsidRPr="00F5272A">
        <w:t>T</w:t>
      </w:r>
      <w:r w:rsidR="005E3095" w:rsidRPr="00F5272A">
        <w:t>HE COMMISSION ORDERS</w:t>
      </w:r>
      <w:r w:rsidRPr="00F5272A">
        <w:t>:</w:t>
      </w:r>
      <w:r w:rsidR="008741D9" w:rsidRPr="00F5272A">
        <w:t xml:space="preserve"> </w:t>
      </w:r>
    </w:p>
    <w:p w14:paraId="6A49DF67" w14:textId="77777777" w:rsidR="00F5272A" w:rsidRPr="00F5272A" w:rsidRDefault="00F5272A" w:rsidP="00F5272A">
      <w:pPr>
        <w:spacing w:line="288" w:lineRule="auto"/>
      </w:pPr>
    </w:p>
    <w:p w14:paraId="2F0C62E3" w14:textId="77777777" w:rsidR="005E3095" w:rsidRDefault="005E3095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F5272A">
        <w:t>(1)</w:t>
      </w:r>
      <w:r w:rsidRPr="00F5272A">
        <w:tab/>
      </w:r>
      <w:r w:rsidR="006826F9" w:rsidRPr="00F5272A">
        <w:t>Bremerton-Kitsap Airporter’s c</w:t>
      </w:r>
      <w:r w:rsidR="00BA28F4" w:rsidRPr="00F5272A">
        <w:t>hallenge to</w:t>
      </w:r>
      <w:r w:rsidR="006826F9" w:rsidRPr="00F5272A">
        <w:t xml:space="preserve"> </w:t>
      </w:r>
      <w:r w:rsidR="00327E9B" w:rsidRPr="00F5272A">
        <w:t>Order 01</w:t>
      </w:r>
      <w:r w:rsidR="006140A4" w:rsidRPr="00F5272A">
        <w:t xml:space="preserve"> </w:t>
      </w:r>
      <w:r w:rsidR="006A0236" w:rsidRPr="00F5272A">
        <w:t xml:space="preserve">is </w:t>
      </w:r>
      <w:r w:rsidR="006826F9" w:rsidRPr="00F5272A">
        <w:t>DENIED</w:t>
      </w:r>
      <w:r w:rsidR="00E0789C" w:rsidRPr="00F5272A">
        <w:t xml:space="preserve">.  </w:t>
      </w:r>
    </w:p>
    <w:p w14:paraId="093A6A98" w14:textId="77777777" w:rsidR="00F5272A" w:rsidRPr="00F5272A" w:rsidRDefault="00F5272A" w:rsidP="00F5272A">
      <w:pPr>
        <w:tabs>
          <w:tab w:val="left" w:pos="0"/>
        </w:tabs>
        <w:spacing w:line="288" w:lineRule="auto"/>
        <w:ind w:left="720"/>
      </w:pPr>
    </w:p>
    <w:p w14:paraId="211811AD" w14:textId="77777777" w:rsidR="00FA0D05" w:rsidRDefault="005E3095" w:rsidP="00F5272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F5272A">
        <w:t>(2)</w:t>
      </w:r>
      <w:r w:rsidRPr="00F5272A">
        <w:tab/>
      </w:r>
      <w:r w:rsidR="00E74876" w:rsidRPr="00F5272A">
        <w:t xml:space="preserve">Bremerton-Kitsap Airporter must pay the assessed </w:t>
      </w:r>
      <w:r w:rsidR="006826F9" w:rsidRPr="00F5272A">
        <w:t xml:space="preserve">$1,000 </w:t>
      </w:r>
      <w:r w:rsidR="00E0789C" w:rsidRPr="00F5272A">
        <w:t xml:space="preserve">penalty </w:t>
      </w:r>
      <w:r w:rsidR="00776B35" w:rsidRPr="00F5272A">
        <w:t xml:space="preserve">no later than </w:t>
      </w:r>
      <w:r w:rsidR="00327E9B" w:rsidRPr="00F5272A">
        <w:t xml:space="preserve">August </w:t>
      </w:r>
      <w:r w:rsidR="006717D6" w:rsidRPr="00F5272A">
        <w:t>17</w:t>
      </w:r>
      <w:r w:rsidR="004C2BF8" w:rsidRPr="00F5272A">
        <w:t>,</w:t>
      </w:r>
      <w:r w:rsidR="002A547A" w:rsidRPr="00F5272A">
        <w:t xml:space="preserve"> 201</w:t>
      </w:r>
      <w:r w:rsidR="00172976" w:rsidRPr="00F5272A">
        <w:t>5</w:t>
      </w:r>
      <w:r w:rsidR="009B4C93" w:rsidRPr="00F5272A">
        <w:t>.</w:t>
      </w:r>
    </w:p>
    <w:p w14:paraId="336AE620" w14:textId="77777777" w:rsidR="00F5272A" w:rsidRPr="00F5272A" w:rsidRDefault="00F5272A" w:rsidP="00F5272A">
      <w:pPr>
        <w:tabs>
          <w:tab w:val="left" w:pos="0"/>
        </w:tabs>
        <w:spacing w:line="288" w:lineRule="auto"/>
      </w:pPr>
    </w:p>
    <w:p w14:paraId="270B3005" w14:textId="77777777" w:rsidR="00C011AB" w:rsidRDefault="00BD11E4" w:rsidP="00F5272A">
      <w:pPr>
        <w:spacing w:line="288" w:lineRule="auto"/>
      </w:pPr>
      <w:r w:rsidRPr="00F5272A">
        <w:t>DATED</w:t>
      </w:r>
      <w:r w:rsidR="00C011AB" w:rsidRPr="00F5272A">
        <w:t xml:space="preserve"> at Olympia, Washington</w:t>
      </w:r>
      <w:r w:rsidR="00E17725" w:rsidRPr="00F5272A">
        <w:t xml:space="preserve">, and effective </w:t>
      </w:r>
      <w:r w:rsidR="006717D6" w:rsidRPr="00F5272A">
        <w:t>August 5</w:t>
      </w:r>
      <w:r w:rsidR="00172976" w:rsidRPr="00F5272A">
        <w:t>, 2015</w:t>
      </w:r>
      <w:r w:rsidR="00C011AB" w:rsidRPr="00F5272A">
        <w:t>.</w:t>
      </w:r>
    </w:p>
    <w:p w14:paraId="733DF3D9" w14:textId="77777777" w:rsidR="00F5272A" w:rsidRPr="00F5272A" w:rsidRDefault="00F5272A" w:rsidP="00F5272A">
      <w:pPr>
        <w:spacing w:line="288" w:lineRule="auto"/>
      </w:pPr>
    </w:p>
    <w:p w14:paraId="2AC0C957" w14:textId="77777777" w:rsidR="00C011AB" w:rsidRPr="00F5272A" w:rsidRDefault="00C011AB" w:rsidP="00F5272A">
      <w:pPr>
        <w:spacing w:line="288" w:lineRule="auto"/>
        <w:jc w:val="center"/>
      </w:pPr>
      <w:r w:rsidRPr="00F5272A">
        <w:t>WASHINGTON UTILITIES AND TRANSPORTATION COMMISSION</w:t>
      </w:r>
    </w:p>
    <w:p w14:paraId="40F8CBAC" w14:textId="77777777" w:rsidR="00981531" w:rsidRPr="00F5272A" w:rsidRDefault="00981531" w:rsidP="00F5272A">
      <w:pPr>
        <w:pStyle w:val="Header"/>
        <w:tabs>
          <w:tab w:val="clear" w:pos="4320"/>
          <w:tab w:val="clear" w:pos="8640"/>
        </w:tabs>
        <w:spacing w:line="288" w:lineRule="auto"/>
      </w:pPr>
    </w:p>
    <w:p w14:paraId="23AA60C0" w14:textId="77777777" w:rsidR="00293EC2" w:rsidRPr="00F5272A" w:rsidRDefault="00293EC2" w:rsidP="00F5272A">
      <w:pPr>
        <w:spacing w:line="288" w:lineRule="auto"/>
        <w:ind w:left="2880" w:firstLine="720"/>
        <w:jc w:val="center"/>
      </w:pPr>
    </w:p>
    <w:p w14:paraId="5A4E625E" w14:textId="77777777" w:rsidR="00293EC2" w:rsidRPr="00F5272A" w:rsidRDefault="00293EC2" w:rsidP="00F5272A">
      <w:pPr>
        <w:spacing w:line="288" w:lineRule="auto"/>
        <w:ind w:left="2880" w:firstLine="720"/>
        <w:jc w:val="center"/>
      </w:pPr>
    </w:p>
    <w:p w14:paraId="0C2087F8" w14:textId="77777777" w:rsidR="00BE49F1" w:rsidRPr="00F5272A" w:rsidRDefault="00BE49F1" w:rsidP="00F5272A">
      <w:pPr>
        <w:spacing w:line="264" w:lineRule="auto"/>
        <w:ind w:firstLine="4320"/>
      </w:pPr>
      <w:r w:rsidRPr="00F5272A">
        <w:t>DAVID W. DANNER, Chairman</w:t>
      </w:r>
    </w:p>
    <w:p w14:paraId="570CE413" w14:textId="77777777" w:rsidR="00BE49F1" w:rsidRPr="00F5272A" w:rsidRDefault="00BE49F1" w:rsidP="00F5272A">
      <w:pPr>
        <w:spacing w:line="264" w:lineRule="auto"/>
        <w:ind w:firstLine="4320"/>
      </w:pPr>
    </w:p>
    <w:p w14:paraId="24968279" w14:textId="77777777" w:rsidR="00BE49F1" w:rsidRPr="00F5272A" w:rsidRDefault="00BE49F1" w:rsidP="00F5272A">
      <w:pPr>
        <w:spacing w:line="264" w:lineRule="auto"/>
        <w:ind w:firstLine="4320"/>
      </w:pPr>
    </w:p>
    <w:p w14:paraId="3D182011" w14:textId="77777777" w:rsidR="00BE49F1" w:rsidRPr="00F5272A" w:rsidRDefault="00BE49F1" w:rsidP="00F5272A">
      <w:pPr>
        <w:spacing w:line="264" w:lineRule="auto"/>
        <w:ind w:firstLine="4320"/>
      </w:pPr>
    </w:p>
    <w:p w14:paraId="61930A49" w14:textId="77777777" w:rsidR="00BE49F1" w:rsidRPr="00F5272A" w:rsidRDefault="00BE49F1" w:rsidP="00F5272A">
      <w:pPr>
        <w:spacing w:line="264" w:lineRule="auto"/>
        <w:ind w:firstLine="4320"/>
      </w:pPr>
      <w:r w:rsidRPr="00F5272A">
        <w:t>PHILIP B. JONES, Commissioner</w:t>
      </w:r>
    </w:p>
    <w:p w14:paraId="60FE71C0" w14:textId="77777777" w:rsidR="00BE49F1" w:rsidRPr="00F5272A" w:rsidRDefault="00BE49F1" w:rsidP="00F5272A">
      <w:pPr>
        <w:spacing w:line="264" w:lineRule="auto"/>
      </w:pPr>
    </w:p>
    <w:p w14:paraId="1C5ECDC9" w14:textId="77777777" w:rsidR="00BE49F1" w:rsidRPr="00F5272A" w:rsidRDefault="00BE49F1" w:rsidP="00F5272A">
      <w:pPr>
        <w:spacing w:line="264" w:lineRule="auto"/>
      </w:pPr>
    </w:p>
    <w:p w14:paraId="7C09553C" w14:textId="77777777" w:rsidR="00BE49F1" w:rsidRPr="00F5272A" w:rsidRDefault="00BE49F1" w:rsidP="00F5272A">
      <w:pPr>
        <w:spacing w:line="264" w:lineRule="auto"/>
      </w:pPr>
    </w:p>
    <w:p w14:paraId="0D17C800" w14:textId="77777777" w:rsidR="00BE49F1" w:rsidRPr="00F5272A" w:rsidRDefault="00BE49F1" w:rsidP="00F5272A">
      <w:pPr>
        <w:spacing w:line="264" w:lineRule="auto"/>
        <w:ind w:firstLine="4320"/>
      </w:pPr>
      <w:r w:rsidRPr="00F5272A">
        <w:t>ANN E. RENDAHL, Commissioner</w:t>
      </w:r>
    </w:p>
    <w:p w14:paraId="64605C5F" w14:textId="77777777" w:rsidR="00BE49F1" w:rsidRPr="00F5272A" w:rsidRDefault="00BE49F1" w:rsidP="00F5272A">
      <w:pPr>
        <w:spacing w:line="264" w:lineRule="auto"/>
      </w:pPr>
    </w:p>
    <w:p w14:paraId="5FC4A770" w14:textId="77777777" w:rsidR="00BE49F1" w:rsidRPr="00F5272A" w:rsidRDefault="00BE49F1" w:rsidP="00F5272A">
      <w:pPr>
        <w:spacing w:line="264" w:lineRule="auto"/>
      </w:pPr>
    </w:p>
    <w:p w14:paraId="1658685B" w14:textId="77777777" w:rsidR="006972FB" w:rsidRPr="00F5272A" w:rsidRDefault="00BE49F1" w:rsidP="00F5272A">
      <w:pPr>
        <w:spacing w:line="288" w:lineRule="auto"/>
      </w:pPr>
      <w:r w:rsidRPr="00F5272A">
        <w:rPr>
          <w:b/>
        </w:rPr>
        <w:t>NOTICE TO PARTIES:  This is a final order of the Commission.  No further Commission review is available.  Parties may seek judicial review pursuant to RCW 34.04.542.</w:t>
      </w:r>
    </w:p>
    <w:sectPr w:rsidR="006972FB" w:rsidRPr="00F5272A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4A8F7" w14:textId="77777777" w:rsidR="00135882" w:rsidRDefault="00135882">
      <w:r>
        <w:separator/>
      </w:r>
    </w:p>
  </w:endnote>
  <w:endnote w:type="continuationSeparator" w:id="0">
    <w:p w14:paraId="770FA576" w14:textId="77777777" w:rsidR="00135882" w:rsidRDefault="0013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1B447" w14:textId="77777777" w:rsidR="00135882" w:rsidRDefault="00135882">
      <w:r>
        <w:separator/>
      </w:r>
    </w:p>
  </w:footnote>
  <w:footnote w:type="continuationSeparator" w:id="0">
    <w:p w14:paraId="00805C41" w14:textId="77777777" w:rsidR="00135882" w:rsidRDefault="0013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028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BA28F4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F76479">
      <w:rPr>
        <w:b/>
        <w:bCs/>
        <w:sz w:val="20"/>
        <w:szCs w:val="20"/>
      </w:rPr>
      <w:t>50</w:t>
    </w:r>
    <w:r w:rsidR="00BA28F4">
      <w:rPr>
        <w:b/>
        <w:bCs/>
        <w:sz w:val="20"/>
        <w:szCs w:val="20"/>
      </w:rPr>
      <w:t>531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E581C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563E59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8F4417">
      <w:rPr>
        <w:rStyle w:val="PageNumber"/>
        <w:b/>
        <w:bCs/>
        <w:sz w:val="20"/>
        <w:szCs w:val="20"/>
      </w:rPr>
      <w:t>2</w:t>
    </w:r>
  </w:p>
  <w:p w14:paraId="446B7E9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C374" w14:textId="13F440EF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</w:t>
    </w:r>
    <w:r w:rsidR="00005B0C">
      <w:rPr>
        <w:b/>
        <w:sz w:val="20"/>
        <w:szCs w:val="20"/>
      </w:rPr>
      <w:t xml:space="preserve">Service date </w:t>
    </w:r>
    <w:r w:rsidR="006717D6">
      <w:rPr>
        <w:b/>
        <w:sz w:val="20"/>
        <w:szCs w:val="20"/>
      </w:rPr>
      <w:t>August 5</w:t>
    </w:r>
    <w:r w:rsidR="001E13EA">
      <w:rPr>
        <w:b/>
        <w:sz w:val="20"/>
        <w:szCs w:val="20"/>
      </w:rPr>
      <w:t>, 2015</w:t>
    </w:r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5B0C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2A68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C7818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5692"/>
    <w:rsid w:val="00126995"/>
    <w:rsid w:val="00127197"/>
    <w:rsid w:val="00131166"/>
    <w:rsid w:val="00135751"/>
    <w:rsid w:val="00135882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A4D23"/>
    <w:rsid w:val="001C10D0"/>
    <w:rsid w:val="001C1DAE"/>
    <w:rsid w:val="001D0DC8"/>
    <w:rsid w:val="001D1073"/>
    <w:rsid w:val="001D765C"/>
    <w:rsid w:val="001E13EA"/>
    <w:rsid w:val="001E581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326C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27E9B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038C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53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2496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5CB6"/>
    <w:rsid w:val="0064785C"/>
    <w:rsid w:val="006552B9"/>
    <w:rsid w:val="00664F6A"/>
    <w:rsid w:val="00667F91"/>
    <w:rsid w:val="006704C8"/>
    <w:rsid w:val="006717D6"/>
    <w:rsid w:val="00672F09"/>
    <w:rsid w:val="006736DC"/>
    <w:rsid w:val="00675C9A"/>
    <w:rsid w:val="006826F9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61E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8F4417"/>
    <w:rsid w:val="00902839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B59E8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28F4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9F1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0E90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74876"/>
    <w:rsid w:val="00E81174"/>
    <w:rsid w:val="00E82172"/>
    <w:rsid w:val="00E82E17"/>
    <w:rsid w:val="00E83794"/>
    <w:rsid w:val="00E84EA6"/>
    <w:rsid w:val="00E85340"/>
    <w:rsid w:val="00E924E8"/>
    <w:rsid w:val="00E97729"/>
    <w:rsid w:val="00E97923"/>
    <w:rsid w:val="00EA0923"/>
    <w:rsid w:val="00ED0C7E"/>
    <w:rsid w:val="00EE3EC7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72A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D1D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2015-04-01T07:00:00+00:00</OpenedDate>
    <Date1 xmlns="dc463f71-b30c-4ab2-9473-d307f9d35888">2015-08-05T07:00:00+00:00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150531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F3FE113F2C1B438CBE4A1A44D4136A" ma:contentTypeVersion="119" ma:contentTypeDescription="" ma:contentTypeScope="" ma:versionID="bdd89237115a372540fa8e08b16463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DF6B6-1D28-4449-B574-202DAF1B1A40}"/>
</file>

<file path=customXml/itemProps2.xml><?xml version="1.0" encoding="utf-8"?>
<ds:datastoreItem xmlns:ds="http://schemas.openxmlformats.org/officeDocument/2006/customXml" ds:itemID="{A3581BA5-BF23-4B93-AA9C-FC49D192E7A4}"/>
</file>

<file path=customXml/itemProps3.xml><?xml version="1.0" encoding="utf-8"?>
<ds:datastoreItem xmlns:ds="http://schemas.openxmlformats.org/officeDocument/2006/customXml" ds:itemID="{2E4A5123-54FA-43B8-8C0F-C5B224287E9C}"/>
</file>

<file path=customXml/itemProps4.xml><?xml version="1.0" encoding="utf-8"?>
<ds:datastoreItem xmlns:ds="http://schemas.openxmlformats.org/officeDocument/2006/customXml" ds:itemID="{57F2918A-7E4C-4554-BBF3-532AA06142D9}"/>
</file>

<file path=customXml/itemProps5.xml><?xml version="1.0" encoding="utf-8"?>
<ds:datastoreItem xmlns:ds="http://schemas.openxmlformats.org/officeDocument/2006/customXml" ds:itemID="{EDAD44B2-34E6-4B00-949B-82B6C4962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2015-08-04T23:25:00Z</dcterms:created>
  <dcterms:modified xsi:type="dcterms:W3CDTF">2015-08-04T23:26:00Z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0x0101006E56B4D1795A2E4DB2F0B01679ED314A0036F3FE113F2C1B438CBE4A1A44D4136A</vt:lpwstr>
  </property>
  <property fmtid="{D5CDD505-2E9C-101B-9397-08002B2CF9AE}" pid="3" name="_docset_NoMedatataSyncRequired">
    <vt:lpwstr>False</vt:lpwstr>
  </property>
</Properties>
</file>