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6A5B2F" w:rsidRDefault="006A5B2F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</w:p>
    <w:p w:rsidR="00F748D8" w:rsidRPr="004A2910" w:rsidRDefault="00F748D8" w:rsidP="00BD546F">
      <w:pPr>
        <w:tabs>
          <w:tab w:val="left" w:pos="720"/>
          <w:tab w:val="center" w:pos="4680"/>
        </w:tabs>
        <w:ind w:right="-108" w:hanging="180"/>
        <w:rPr>
          <w:sz w:val="24"/>
        </w:rPr>
      </w:pPr>
      <w:r w:rsidRPr="004A2910">
        <w:rPr>
          <w:sz w:val="24"/>
        </w:rPr>
        <w:t>BEFORE THE WASHINGTON UTILITIES AND TRANSPORTATION COMMISSION</w:t>
      </w:r>
    </w:p>
    <w:p w:rsidR="00F748D8" w:rsidRPr="004A2910" w:rsidRDefault="00F748D8" w:rsidP="00BD546F">
      <w:pPr>
        <w:tabs>
          <w:tab w:val="left" w:pos="720"/>
        </w:tabs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 w:rsidTr="006A5B2F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09573F" w:rsidRPr="0009573F" w:rsidRDefault="0009573F" w:rsidP="00BD546F">
            <w:pPr>
              <w:tabs>
                <w:tab w:val="left" w:pos="720"/>
              </w:tabs>
              <w:spacing w:line="264" w:lineRule="auto"/>
              <w:rPr>
                <w:bCs/>
                <w:sz w:val="24"/>
              </w:rPr>
            </w:pPr>
            <w:r w:rsidRPr="0009573F">
              <w:rPr>
                <w:bCs/>
                <w:sz w:val="24"/>
              </w:rPr>
              <w:t>In the Matter of the Penalty Assessment Against</w:t>
            </w:r>
          </w:p>
          <w:p w:rsidR="0009573F" w:rsidRPr="0009573F" w:rsidRDefault="0009573F" w:rsidP="00BD546F">
            <w:pPr>
              <w:tabs>
                <w:tab w:val="left" w:pos="720"/>
                <w:tab w:val="left" w:pos="2160"/>
              </w:tabs>
              <w:spacing w:line="264" w:lineRule="auto"/>
              <w:rPr>
                <w:bCs/>
                <w:sz w:val="24"/>
              </w:rPr>
            </w:pPr>
          </w:p>
          <w:p w:rsidR="0009573F" w:rsidRPr="0009573F" w:rsidRDefault="0009573F" w:rsidP="00BD546F">
            <w:pPr>
              <w:tabs>
                <w:tab w:val="left" w:pos="720"/>
                <w:tab w:val="left" w:pos="2160"/>
              </w:tabs>
              <w:spacing w:line="264" w:lineRule="auto"/>
              <w:rPr>
                <w:bCs/>
                <w:sz w:val="24"/>
              </w:rPr>
            </w:pPr>
            <w:r w:rsidRPr="0009573F">
              <w:rPr>
                <w:bCs/>
                <w:sz w:val="24"/>
              </w:rPr>
              <w:t>EXCALIBUR LIMOUSINE, LLC</w:t>
            </w:r>
          </w:p>
          <w:p w:rsidR="0009573F" w:rsidRPr="0009573F" w:rsidRDefault="0009573F" w:rsidP="00BD546F">
            <w:pPr>
              <w:tabs>
                <w:tab w:val="left" w:pos="720"/>
                <w:tab w:val="left" w:pos="2160"/>
              </w:tabs>
              <w:spacing w:line="264" w:lineRule="auto"/>
              <w:rPr>
                <w:bCs/>
                <w:sz w:val="24"/>
              </w:rPr>
            </w:pPr>
          </w:p>
          <w:p w:rsidR="0009573F" w:rsidRPr="0009573F" w:rsidRDefault="0009573F" w:rsidP="00BD546F">
            <w:pPr>
              <w:tabs>
                <w:tab w:val="left" w:pos="720"/>
                <w:tab w:val="left" w:pos="2160"/>
              </w:tabs>
              <w:spacing w:line="264" w:lineRule="auto"/>
              <w:rPr>
                <w:sz w:val="24"/>
              </w:rPr>
            </w:pPr>
            <w:r w:rsidRPr="0009573F">
              <w:rPr>
                <w:bCs/>
                <w:sz w:val="24"/>
              </w:rPr>
              <w:t>In the Amount of $1,800</w:t>
            </w:r>
          </w:p>
          <w:p w:rsidR="004F69A5" w:rsidRPr="004A2910" w:rsidRDefault="004F69A5" w:rsidP="00BD546F">
            <w:pPr>
              <w:tabs>
                <w:tab w:val="left" w:pos="720"/>
              </w:tabs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BD546F">
            <w:pPr>
              <w:tabs>
                <w:tab w:val="left" w:pos="720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710FFF">
              <w:rPr>
                <w:sz w:val="24"/>
              </w:rPr>
              <w:t>TE-130198</w:t>
            </w:r>
          </w:p>
          <w:p w:rsidR="00F748D8" w:rsidRPr="004A2910" w:rsidRDefault="00F748D8" w:rsidP="00BD546F">
            <w:pPr>
              <w:tabs>
                <w:tab w:val="left" w:pos="720"/>
              </w:tabs>
              <w:rPr>
                <w:sz w:val="24"/>
              </w:rPr>
            </w:pPr>
          </w:p>
          <w:p w:rsidR="00F748D8" w:rsidRPr="004A2910" w:rsidRDefault="0009573F" w:rsidP="00BD546F">
            <w:pPr>
              <w:tabs>
                <w:tab w:val="left" w:pos="720"/>
              </w:tabs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COMMISSION STAFF’S PETITION FOR ADMINISTRATIVE REVIEW OF INITIAL ORDER</w:t>
            </w:r>
            <w:r w:rsidR="00F748D8" w:rsidRPr="004A2910">
              <w:rPr>
                <w:sz w:val="24"/>
              </w:rPr>
              <w:t xml:space="preserve"> </w:t>
            </w:r>
          </w:p>
        </w:tc>
      </w:tr>
    </w:tbl>
    <w:p w:rsidR="00F748D8" w:rsidRDefault="00F748D8" w:rsidP="00BD546F">
      <w:pPr>
        <w:tabs>
          <w:tab w:val="left" w:pos="720"/>
        </w:tabs>
        <w:rPr>
          <w:sz w:val="24"/>
        </w:rPr>
      </w:pPr>
    </w:p>
    <w:p w:rsidR="00F748D8" w:rsidRDefault="00F748D8" w:rsidP="00BD546F">
      <w:pPr>
        <w:tabs>
          <w:tab w:val="left" w:pos="720"/>
        </w:tabs>
        <w:rPr>
          <w:sz w:val="24"/>
        </w:rPr>
      </w:pPr>
    </w:p>
    <w:p w:rsidR="00801FD3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801FD3">
        <w:rPr>
          <w:sz w:val="24"/>
        </w:rPr>
        <w:t>Pursuant to WAC 480-07-825(1)</w:t>
      </w:r>
      <w:r w:rsidR="00A81C39">
        <w:rPr>
          <w:sz w:val="24"/>
        </w:rPr>
        <w:t>,</w:t>
      </w:r>
      <w:r w:rsidR="00801FD3">
        <w:rPr>
          <w:sz w:val="24"/>
        </w:rPr>
        <w:t xml:space="preserve"> </w:t>
      </w:r>
      <w:r w:rsidR="00801FD3" w:rsidRPr="00420ACA">
        <w:rPr>
          <w:sz w:val="24"/>
        </w:rPr>
        <w:t xml:space="preserve">Commission Staff </w:t>
      </w:r>
      <w:r w:rsidR="00801FD3">
        <w:rPr>
          <w:sz w:val="24"/>
        </w:rPr>
        <w:t>(Staff) submits</w:t>
      </w:r>
      <w:r w:rsidR="007D5BA4">
        <w:rPr>
          <w:sz w:val="24"/>
        </w:rPr>
        <w:t xml:space="preserve"> this</w:t>
      </w:r>
      <w:r w:rsidR="00801FD3">
        <w:rPr>
          <w:sz w:val="24"/>
        </w:rPr>
        <w:t xml:space="preserve"> Petition for Administrative Review of Order 01, Initial Order Granting Mitigation</w:t>
      </w:r>
      <w:r w:rsidR="009E4E45">
        <w:rPr>
          <w:sz w:val="24"/>
        </w:rPr>
        <w:t xml:space="preserve"> (Order 01)</w:t>
      </w:r>
      <w:r w:rsidR="007D5BA4">
        <w:rPr>
          <w:sz w:val="24"/>
        </w:rPr>
        <w:t xml:space="preserve"> in the above referenced docket</w:t>
      </w:r>
      <w:r w:rsidR="00801FD3">
        <w:rPr>
          <w:sz w:val="24"/>
        </w:rPr>
        <w:t>.  Specifically, Staff requests review</w:t>
      </w:r>
      <w:r w:rsidR="001E4C3A">
        <w:rPr>
          <w:sz w:val="24"/>
        </w:rPr>
        <w:t xml:space="preserve"> and correction </w:t>
      </w:r>
      <w:r w:rsidR="00801FD3">
        <w:rPr>
          <w:sz w:val="24"/>
        </w:rPr>
        <w:t>of the</w:t>
      </w:r>
      <w:r w:rsidR="008365C1">
        <w:rPr>
          <w:sz w:val="24"/>
        </w:rPr>
        <w:t xml:space="preserve"> ordered</w:t>
      </w:r>
      <w:r w:rsidR="00801FD3">
        <w:rPr>
          <w:sz w:val="24"/>
        </w:rPr>
        <w:t xml:space="preserve"> regulatory fee </w:t>
      </w:r>
      <w:r w:rsidR="008365C1">
        <w:rPr>
          <w:sz w:val="24"/>
        </w:rPr>
        <w:t xml:space="preserve">amount, </w:t>
      </w:r>
      <w:r w:rsidR="00801FD3">
        <w:rPr>
          <w:sz w:val="24"/>
        </w:rPr>
        <w:t>and the</w:t>
      </w:r>
      <w:r w:rsidR="008365C1">
        <w:rPr>
          <w:sz w:val="24"/>
        </w:rPr>
        <w:t xml:space="preserve"> law </w:t>
      </w:r>
      <w:r w:rsidR="009E4E45">
        <w:rPr>
          <w:sz w:val="24"/>
        </w:rPr>
        <w:t xml:space="preserve">cited in </w:t>
      </w:r>
      <w:r w:rsidR="00B108A3">
        <w:rPr>
          <w:sz w:val="24"/>
        </w:rPr>
        <w:t xml:space="preserve">footnote 2 of </w:t>
      </w:r>
      <w:r w:rsidR="009E4E45">
        <w:rPr>
          <w:sz w:val="24"/>
        </w:rPr>
        <w:t xml:space="preserve">Order 01 </w:t>
      </w:r>
      <w:r w:rsidR="008365C1">
        <w:rPr>
          <w:sz w:val="24"/>
        </w:rPr>
        <w:t xml:space="preserve">supporting the </w:t>
      </w:r>
      <w:r w:rsidR="00B108A3">
        <w:rPr>
          <w:sz w:val="24"/>
        </w:rPr>
        <w:t>amount</w:t>
      </w:r>
      <w:r w:rsidR="00801FD3">
        <w:rPr>
          <w:sz w:val="24"/>
        </w:rPr>
        <w:t xml:space="preserve">.  Staff does not </w:t>
      </w:r>
      <w:r w:rsidR="00A81C39">
        <w:rPr>
          <w:sz w:val="24"/>
        </w:rPr>
        <w:t>otherwise challenge Order 01.</w:t>
      </w:r>
      <w:r w:rsidR="00801FD3">
        <w:rPr>
          <w:sz w:val="24"/>
        </w:rPr>
        <w:t xml:space="preserve">   </w:t>
      </w:r>
    </w:p>
    <w:p w:rsidR="00801FD3" w:rsidRPr="00801FD3" w:rsidRDefault="006A5B2F" w:rsidP="00BD546F">
      <w:pPr>
        <w:tabs>
          <w:tab w:val="left" w:pos="720"/>
        </w:tabs>
        <w:spacing w:line="456" w:lineRule="auto"/>
        <w:jc w:val="center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</w:r>
      <w:r w:rsidR="00801FD3" w:rsidRPr="00801FD3">
        <w:rPr>
          <w:b/>
          <w:sz w:val="24"/>
        </w:rPr>
        <w:t>ARGUMENT</w:t>
      </w:r>
    </w:p>
    <w:p w:rsidR="00F748D8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DF6C93">
        <w:rPr>
          <w:sz w:val="24"/>
        </w:rPr>
        <w:t>RCW 81.70.350 authorizes the Commission to establish and collect an annual regulatory fee from all charter and excursion carriers holding a certificate from the Commission.  RCW 81.70.350(3) also provides that any payment of the fee made after its due date of December 31 shall include a late fee of two percent of the amount due, and delinquent fees shall accrue interest at a rate of one percent per month.</w:t>
      </w:r>
    </w:p>
    <w:p w:rsidR="00DF6C93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1E4C3A">
        <w:rPr>
          <w:sz w:val="24"/>
        </w:rPr>
        <w:t xml:space="preserve">WAC 480-30-076(2) provides </w:t>
      </w:r>
      <w:r w:rsidR="00DF6C93">
        <w:rPr>
          <w:sz w:val="24"/>
        </w:rPr>
        <w:t xml:space="preserve">that the regulatory fee for charter and excursion carriers is established by Commission order, and also that the minimum fee a charter and excursion carrier must pay is the amount established for a single vehicle.   </w:t>
      </w:r>
    </w:p>
    <w:p w:rsidR="00F748D8" w:rsidRDefault="00BD546F" w:rsidP="00BD546F">
      <w:pPr>
        <w:keepNext/>
        <w:widowControl/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lastRenderedPageBreak/>
        <w:tab/>
      </w:r>
      <w:r w:rsidR="00B00E17">
        <w:rPr>
          <w:sz w:val="24"/>
        </w:rPr>
        <w:t>Pursuant to</w:t>
      </w:r>
      <w:r w:rsidR="006262A2">
        <w:rPr>
          <w:sz w:val="24"/>
        </w:rPr>
        <w:t xml:space="preserve"> the above </w:t>
      </w:r>
      <w:r w:rsidR="00B00E17">
        <w:rPr>
          <w:sz w:val="24"/>
        </w:rPr>
        <w:t xml:space="preserve">statute and rule, the Commission established the regulatory fee </w:t>
      </w:r>
      <w:r w:rsidR="006A1940">
        <w:rPr>
          <w:sz w:val="24"/>
        </w:rPr>
        <w:t>currently applied to</w:t>
      </w:r>
      <w:r w:rsidR="00B00E17">
        <w:rPr>
          <w:sz w:val="24"/>
        </w:rPr>
        <w:t xml:space="preserve"> intrastate charter and excursion carriers at $25 per vehicle in Order 01 in Docket TE-071858.</w:t>
      </w:r>
      <w:r w:rsidR="00B00E17">
        <w:rPr>
          <w:rStyle w:val="FootnoteReference"/>
          <w:sz w:val="24"/>
        </w:rPr>
        <w:footnoteReference w:id="1"/>
      </w:r>
      <w:r w:rsidR="00B00E17">
        <w:rPr>
          <w:sz w:val="24"/>
        </w:rPr>
        <w:t xml:space="preserve"> </w:t>
      </w:r>
    </w:p>
    <w:p w:rsidR="00B00E17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B00E17">
        <w:rPr>
          <w:sz w:val="24"/>
        </w:rPr>
        <w:t xml:space="preserve">Excalibur Limousine held a Commission certificate to operate as an intrastate charter party and excursion service carrier. </w:t>
      </w:r>
      <w:r w:rsidR="008A560D">
        <w:rPr>
          <w:sz w:val="24"/>
        </w:rPr>
        <w:t xml:space="preserve"> As such, it is subject to a minimum annual regulatory fee of $25</w:t>
      </w:r>
      <w:r w:rsidR="008365C1">
        <w:rPr>
          <w:sz w:val="24"/>
        </w:rPr>
        <w:t>.</w:t>
      </w:r>
      <w:r w:rsidR="008A560D">
        <w:rPr>
          <w:sz w:val="24"/>
        </w:rPr>
        <w:t xml:space="preserve">  </w:t>
      </w:r>
      <w:r w:rsidR="00C1760F">
        <w:rPr>
          <w:sz w:val="24"/>
        </w:rPr>
        <w:t>This is</w:t>
      </w:r>
      <w:r w:rsidR="008365C1">
        <w:rPr>
          <w:sz w:val="24"/>
        </w:rPr>
        <w:t xml:space="preserve"> also</w:t>
      </w:r>
      <w:r w:rsidR="00C1760F">
        <w:rPr>
          <w:sz w:val="24"/>
        </w:rPr>
        <w:t xml:space="preserve"> consistent with </w:t>
      </w:r>
      <w:r w:rsidR="00DA5B2D">
        <w:rPr>
          <w:sz w:val="24"/>
        </w:rPr>
        <w:t>the record in this case</w:t>
      </w:r>
      <w:r w:rsidR="00C1760F">
        <w:rPr>
          <w:sz w:val="24"/>
        </w:rPr>
        <w:t>, which reflects</w:t>
      </w:r>
      <w:r w:rsidR="008A560D">
        <w:rPr>
          <w:sz w:val="24"/>
        </w:rPr>
        <w:t xml:space="preserve"> </w:t>
      </w:r>
      <w:r w:rsidR="001E4C3A">
        <w:rPr>
          <w:sz w:val="24"/>
        </w:rPr>
        <w:t>that the carrier was informed of the</w:t>
      </w:r>
      <w:r w:rsidR="00DA5B2D">
        <w:rPr>
          <w:sz w:val="24"/>
        </w:rPr>
        <w:t xml:space="preserve"> </w:t>
      </w:r>
      <w:r w:rsidR="001E4C3A">
        <w:rPr>
          <w:sz w:val="24"/>
        </w:rPr>
        <w:t xml:space="preserve">fee, that </w:t>
      </w:r>
      <w:r w:rsidR="006A5B2F">
        <w:rPr>
          <w:sz w:val="24"/>
        </w:rPr>
        <w:t>the fee</w:t>
      </w:r>
      <w:r w:rsidR="00C1760F">
        <w:rPr>
          <w:sz w:val="24"/>
        </w:rPr>
        <w:t xml:space="preserve"> was not paid</w:t>
      </w:r>
      <w:r w:rsidR="008A560D">
        <w:rPr>
          <w:sz w:val="24"/>
        </w:rPr>
        <w:t xml:space="preserve">, and </w:t>
      </w:r>
      <w:r w:rsidR="001E4C3A">
        <w:rPr>
          <w:sz w:val="24"/>
        </w:rPr>
        <w:t xml:space="preserve">that </w:t>
      </w:r>
      <w:r w:rsidR="00C1760F">
        <w:rPr>
          <w:sz w:val="24"/>
        </w:rPr>
        <w:t xml:space="preserve">with late fees and interest charges the total regulatory fee amount due is </w:t>
      </w:r>
      <w:r w:rsidR="008365C1">
        <w:rPr>
          <w:sz w:val="24"/>
        </w:rPr>
        <w:t>$</w:t>
      </w:r>
      <w:r w:rsidR="00C1760F">
        <w:rPr>
          <w:sz w:val="24"/>
        </w:rPr>
        <w:t>26.25.</w:t>
      </w:r>
      <w:r w:rsidR="008A560D">
        <w:rPr>
          <w:rStyle w:val="FootnoteReference"/>
          <w:sz w:val="24"/>
        </w:rPr>
        <w:footnoteReference w:id="2"/>
      </w:r>
      <w:r w:rsidR="008A560D">
        <w:rPr>
          <w:sz w:val="24"/>
        </w:rPr>
        <w:t xml:space="preserve"> </w:t>
      </w:r>
    </w:p>
    <w:p w:rsidR="008A560D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8A560D">
        <w:rPr>
          <w:sz w:val="24"/>
        </w:rPr>
        <w:t xml:space="preserve">Order 01 </w:t>
      </w:r>
      <w:r w:rsidR="002A3321">
        <w:rPr>
          <w:sz w:val="24"/>
        </w:rPr>
        <w:t>correctly holds</w:t>
      </w:r>
      <w:r w:rsidR="008A560D">
        <w:rPr>
          <w:sz w:val="24"/>
        </w:rPr>
        <w:t xml:space="preserve"> that Excalibur should </w:t>
      </w:r>
      <w:r w:rsidR="008365C1">
        <w:rPr>
          <w:sz w:val="24"/>
        </w:rPr>
        <w:t>be assessed a penalty,</w:t>
      </w:r>
      <w:r w:rsidR="002A3321">
        <w:rPr>
          <w:sz w:val="24"/>
        </w:rPr>
        <w:t xml:space="preserve"> </w:t>
      </w:r>
      <w:r w:rsidR="006A1940">
        <w:rPr>
          <w:sz w:val="24"/>
        </w:rPr>
        <w:t xml:space="preserve">as </w:t>
      </w:r>
      <w:r w:rsidR="002A3321">
        <w:rPr>
          <w:sz w:val="24"/>
        </w:rPr>
        <w:t xml:space="preserve">well as </w:t>
      </w:r>
      <w:r w:rsidR="008365C1">
        <w:rPr>
          <w:sz w:val="24"/>
        </w:rPr>
        <w:t xml:space="preserve">pay </w:t>
      </w:r>
      <w:r w:rsidR="006A1940">
        <w:rPr>
          <w:sz w:val="24"/>
        </w:rPr>
        <w:t>the</w:t>
      </w:r>
      <w:r w:rsidR="006262A2">
        <w:rPr>
          <w:sz w:val="24"/>
        </w:rPr>
        <w:t xml:space="preserve"> annual</w:t>
      </w:r>
      <w:r w:rsidR="008365C1">
        <w:rPr>
          <w:sz w:val="24"/>
        </w:rPr>
        <w:t xml:space="preserve"> regulatory fee that includes an</w:t>
      </w:r>
      <w:r w:rsidR="008A560D">
        <w:rPr>
          <w:sz w:val="24"/>
        </w:rPr>
        <w:t xml:space="preserve"> </w:t>
      </w:r>
      <w:r w:rsidR="002A3321">
        <w:rPr>
          <w:sz w:val="24"/>
        </w:rPr>
        <w:t>automatic late fee</w:t>
      </w:r>
      <w:r w:rsidR="008A560D">
        <w:rPr>
          <w:sz w:val="24"/>
        </w:rPr>
        <w:t xml:space="preserve"> and interest charges</w:t>
      </w:r>
      <w:r w:rsidR="008365C1">
        <w:rPr>
          <w:sz w:val="24"/>
        </w:rPr>
        <w:t>.</w:t>
      </w:r>
      <w:r w:rsidR="008A560D">
        <w:rPr>
          <w:sz w:val="24"/>
        </w:rPr>
        <w:t xml:space="preserve">  However,</w:t>
      </w:r>
      <w:r w:rsidR="00DA5B2D">
        <w:rPr>
          <w:sz w:val="24"/>
        </w:rPr>
        <w:t xml:space="preserve"> in P</w:t>
      </w:r>
      <w:r w:rsidR="00C1760F">
        <w:rPr>
          <w:sz w:val="24"/>
        </w:rPr>
        <w:t>aragraphs 11 and 13,</w:t>
      </w:r>
      <w:r w:rsidR="008A560D">
        <w:rPr>
          <w:sz w:val="24"/>
        </w:rPr>
        <w:t xml:space="preserve"> it </w:t>
      </w:r>
      <w:r w:rsidR="006262A2">
        <w:rPr>
          <w:sz w:val="24"/>
        </w:rPr>
        <w:t xml:space="preserve">incorrectly </w:t>
      </w:r>
      <w:r w:rsidR="00C1760F">
        <w:rPr>
          <w:sz w:val="24"/>
        </w:rPr>
        <w:t xml:space="preserve">orders </w:t>
      </w:r>
      <w:r w:rsidR="006262A2">
        <w:rPr>
          <w:sz w:val="24"/>
        </w:rPr>
        <w:t xml:space="preserve">that the regulatory fee due is </w:t>
      </w:r>
      <w:r w:rsidR="008A560D" w:rsidRPr="00AC0DAF">
        <w:rPr>
          <w:i/>
          <w:sz w:val="24"/>
        </w:rPr>
        <w:t>$20</w:t>
      </w:r>
      <w:r w:rsidR="00AC0DAF">
        <w:rPr>
          <w:sz w:val="24"/>
        </w:rPr>
        <w:t>, plus late fees and interest</w:t>
      </w:r>
      <w:r w:rsidR="00C1760F">
        <w:rPr>
          <w:sz w:val="24"/>
        </w:rPr>
        <w:t>, for a total of $20.60.</w:t>
      </w:r>
      <w:r w:rsidR="008A560D">
        <w:rPr>
          <w:rStyle w:val="FootnoteReference"/>
          <w:sz w:val="24"/>
        </w:rPr>
        <w:footnoteReference w:id="3"/>
      </w:r>
      <w:r w:rsidR="002A3321">
        <w:rPr>
          <w:sz w:val="24"/>
        </w:rPr>
        <w:t xml:space="preserve">  </w:t>
      </w:r>
      <w:r w:rsidR="00DA5B2D">
        <w:rPr>
          <w:sz w:val="24"/>
        </w:rPr>
        <w:t>Adding the</w:t>
      </w:r>
      <w:r w:rsidR="002A3321">
        <w:rPr>
          <w:sz w:val="24"/>
        </w:rPr>
        <w:t xml:space="preserve"> correct minimum annual</w:t>
      </w:r>
      <w:r w:rsidR="00336C02">
        <w:rPr>
          <w:sz w:val="24"/>
        </w:rPr>
        <w:t xml:space="preserve"> regulatory</w:t>
      </w:r>
      <w:r w:rsidR="002A3321">
        <w:rPr>
          <w:sz w:val="24"/>
        </w:rPr>
        <w:t xml:space="preserve"> fee plus late fee and interest</w:t>
      </w:r>
      <w:r w:rsidR="00DA5B2D">
        <w:rPr>
          <w:sz w:val="24"/>
        </w:rPr>
        <w:t xml:space="preserve"> to the </w:t>
      </w:r>
      <w:r w:rsidR="00891AC0">
        <w:rPr>
          <w:sz w:val="24"/>
        </w:rPr>
        <w:t xml:space="preserve">assessed </w:t>
      </w:r>
      <w:r w:rsidR="00336C02">
        <w:rPr>
          <w:sz w:val="24"/>
        </w:rPr>
        <w:t xml:space="preserve">$250 </w:t>
      </w:r>
      <w:r w:rsidR="00891AC0">
        <w:rPr>
          <w:sz w:val="24"/>
        </w:rPr>
        <w:t>penalty,</w:t>
      </w:r>
      <w:r w:rsidR="00DA5B2D">
        <w:rPr>
          <w:sz w:val="24"/>
        </w:rPr>
        <w:t xml:space="preserve"> Paragraph 14</w:t>
      </w:r>
      <w:r w:rsidR="006A5B2F">
        <w:rPr>
          <w:sz w:val="24"/>
        </w:rPr>
        <w:t xml:space="preserve"> </w:t>
      </w:r>
      <w:r w:rsidR="008365C1">
        <w:rPr>
          <w:sz w:val="24"/>
        </w:rPr>
        <w:t xml:space="preserve">of Order 01 </w:t>
      </w:r>
      <w:r w:rsidR="002A3321">
        <w:rPr>
          <w:sz w:val="24"/>
        </w:rPr>
        <w:t xml:space="preserve">should </w:t>
      </w:r>
      <w:r w:rsidR="006A1940">
        <w:rPr>
          <w:sz w:val="24"/>
        </w:rPr>
        <w:t xml:space="preserve">be changed to </w:t>
      </w:r>
      <w:r w:rsidR="002A3321">
        <w:rPr>
          <w:sz w:val="24"/>
        </w:rPr>
        <w:t xml:space="preserve">require the total sum of $276.25 immediately due and payable.  </w:t>
      </w:r>
    </w:p>
    <w:p w:rsidR="006262A2" w:rsidRDefault="00BD546F" w:rsidP="00BD546F">
      <w:pPr>
        <w:numPr>
          <w:ilvl w:val="0"/>
          <w:numId w:val="2"/>
        </w:numPr>
        <w:tabs>
          <w:tab w:val="clear" w:pos="7920"/>
          <w:tab w:val="left" w:pos="72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6262A2">
        <w:rPr>
          <w:sz w:val="24"/>
        </w:rPr>
        <w:t xml:space="preserve">Staff respectfully requests that the Commission </w:t>
      </w:r>
      <w:r w:rsidR="002A3321">
        <w:rPr>
          <w:sz w:val="24"/>
        </w:rPr>
        <w:t>correct</w:t>
      </w:r>
      <w:r w:rsidR="006262A2">
        <w:rPr>
          <w:sz w:val="24"/>
        </w:rPr>
        <w:t xml:space="preserve"> Order 01 </w:t>
      </w:r>
      <w:r w:rsidR="00DA5B2D">
        <w:rPr>
          <w:sz w:val="24"/>
        </w:rPr>
        <w:t>consistent with the above</w:t>
      </w:r>
      <w:r w:rsidR="000B0619">
        <w:rPr>
          <w:sz w:val="24"/>
        </w:rPr>
        <w:t>, and otherwise affirm the Order</w:t>
      </w:r>
      <w:r w:rsidR="00DA5B2D">
        <w:rPr>
          <w:sz w:val="24"/>
        </w:rPr>
        <w:t xml:space="preserve">. </w:t>
      </w:r>
    </w:p>
    <w:p w:rsidR="006A5B2F" w:rsidRDefault="006A5B2F" w:rsidP="00BD546F">
      <w:pPr>
        <w:tabs>
          <w:tab w:val="left" w:pos="720"/>
        </w:tabs>
        <w:spacing w:line="480" w:lineRule="auto"/>
        <w:rPr>
          <w:sz w:val="24"/>
        </w:rPr>
      </w:pPr>
      <w:r>
        <w:rPr>
          <w:sz w:val="24"/>
        </w:rPr>
        <w:t>//</w:t>
      </w:r>
    </w:p>
    <w:p w:rsidR="006A5B2F" w:rsidRDefault="006A5B2F" w:rsidP="00BD546F">
      <w:pPr>
        <w:tabs>
          <w:tab w:val="left" w:pos="720"/>
        </w:tabs>
        <w:spacing w:line="480" w:lineRule="auto"/>
        <w:rPr>
          <w:sz w:val="24"/>
        </w:rPr>
      </w:pPr>
      <w:r>
        <w:rPr>
          <w:sz w:val="24"/>
        </w:rPr>
        <w:t>//</w:t>
      </w:r>
    </w:p>
    <w:p w:rsidR="00C2680B" w:rsidRDefault="00C2680B" w:rsidP="00BD546F">
      <w:pPr>
        <w:tabs>
          <w:tab w:val="left" w:pos="720"/>
        </w:tabs>
        <w:spacing w:line="480" w:lineRule="auto"/>
        <w:rPr>
          <w:sz w:val="24"/>
        </w:rPr>
      </w:pPr>
      <w:r>
        <w:rPr>
          <w:sz w:val="24"/>
        </w:rPr>
        <w:t>//</w:t>
      </w:r>
    </w:p>
    <w:p w:rsidR="00C2680B" w:rsidRDefault="00C2680B" w:rsidP="00BD546F">
      <w:pPr>
        <w:tabs>
          <w:tab w:val="left" w:pos="720"/>
        </w:tabs>
        <w:spacing w:line="480" w:lineRule="auto"/>
        <w:rPr>
          <w:sz w:val="24"/>
        </w:rPr>
      </w:pPr>
      <w:r>
        <w:rPr>
          <w:sz w:val="24"/>
        </w:rPr>
        <w:t>//</w:t>
      </w:r>
    </w:p>
    <w:p w:rsidR="00F748D8" w:rsidRDefault="00F748D8" w:rsidP="00BD546F">
      <w:pPr>
        <w:keepNext/>
        <w:widowControl/>
        <w:tabs>
          <w:tab w:val="left" w:pos="720"/>
        </w:tabs>
        <w:ind w:left="720"/>
        <w:rPr>
          <w:sz w:val="24"/>
        </w:rPr>
      </w:pPr>
      <w:proofErr w:type="gramStart"/>
      <w:r w:rsidRPr="004A2910">
        <w:rPr>
          <w:sz w:val="24"/>
        </w:rPr>
        <w:lastRenderedPageBreak/>
        <w:t xml:space="preserve">DATED </w:t>
      </w:r>
      <w:r w:rsidR="00E41842">
        <w:rPr>
          <w:sz w:val="24"/>
        </w:rPr>
        <w:t>this _____ day of ___________</w:t>
      </w:r>
      <w:r w:rsidR="006A5B2F">
        <w:rPr>
          <w:sz w:val="24"/>
        </w:rPr>
        <w:t>,</w:t>
      </w:r>
      <w:r w:rsidR="00E41842">
        <w:rPr>
          <w:sz w:val="24"/>
        </w:rPr>
        <w:t xml:space="preserve"> 201</w:t>
      </w:r>
      <w:r w:rsidR="0009573F">
        <w:rPr>
          <w:sz w:val="24"/>
        </w:rPr>
        <w:t>3</w:t>
      </w:r>
      <w:r w:rsidR="00E41842">
        <w:rPr>
          <w:sz w:val="24"/>
        </w:rPr>
        <w:t>.</w:t>
      </w:r>
      <w:proofErr w:type="gramEnd"/>
    </w:p>
    <w:p w:rsidR="00F748D8" w:rsidRDefault="00F748D8" w:rsidP="00BD546F">
      <w:pPr>
        <w:keepNext/>
        <w:widowControl/>
        <w:tabs>
          <w:tab w:val="left" w:pos="720"/>
        </w:tabs>
        <w:ind w:left="720"/>
        <w:rPr>
          <w:sz w:val="24"/>
        </w:rPr>
      </w:pPr>
    </w:p>
    <w:p w:rsidR="00F748D8" w:rsidRPr="004A2910" w:rsidRDefault="00F748D8" w:rsidP="00BD546F">
      <w:pPr>
        <w:keepNext/>
        <w:widowControl/>
        <w:tabs>
          <w:tab w:val="left" w:pos="720"/>
        </w:tabs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BD546F">
      <w:pPr>
        <w:pStyle w:val="BodyTextIndent2"/>
        <w:keepNext/>
        <w:tabs>
          <w:tab w:val="left" w:pos="720"/>
        </w:tabs>
        <w:rPr>
          <w:rFonts w:ascii="Times New Roman" w:hAnsi="Times New Roman"/>
        </w:rPr>
      </w:pPr>
    </w:p>
    <w:p w:rsidR="00F748D8" w:rsidRPr="004A2910" w:rsidRDefault="00F748D8" w:rsidP="00BD546F">
      <w:pPr>
        <w:keepNext/>
        <w:widowControl/>
        <w:tabs>
          <w:tab w:val="left" w:pos="720"/>
        </w:tabs>
        <w:ind w:left="5040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710FFF">
        <w:rPr>
          <w:sz w:val="24"/>
        </w:rPr>
        <w:t>W. FERGUSON</w:t>
      </w:r>
    </w:p>
    <w:p w:rsidR="00F748D8" w:rsidRPr="004A2910" w:rsidRDefault="00F748D8" w:rsidP="00BD546F">
      <w:pPr>
        <w:keepNext/>
        <w:widowControl/>
        <w:tabs>
          <w:tab w:val="left" w:pos="720"/>
        </w:tabs>
        <w:ind w:firstLine="5040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BD546F">
      <w:pPr>
        <w:keepNext/>
        <w:widowControl/>
        <w:tabs>
          <w:tab w:val="left" w:pos="720"/>
        </w:tabs>
        <w:rPr>
          <w:sz w:val="24"/>
        </w:rPr>
      </w:pPr>
    </w:p>
    <w:p w:rsidR="005E07C2" w:rsidRPr="004A2910" w:rsidRDefault="005E07C2" w:rsidP="00BD546F">
      <w:pPr>
        <w:keepNext/>
        <w:widowControl/>
        <w:tabs>
          <w:tab w:val="left" w:pos="720"/>
        </w:tabs>
        <w:rPr>
          <w:sz w:val="24"/>
        </w:rPr>
      </w:pPr>
    </w:p>
    <w:p w:rsidR="00F748D8" w:rsidRPr="004A2910" w:rsidRDefault="00F748D8" w:rsidP="00BD546F">
      <w:pPr>
        <w:keepNext/>
        <w:widowControl/>
        <w:tabs>
          <w:tab w:val="left" w:pos="720"/>
        </w:tabs>
        <w:ind w:left="1440" w:firstLine="3600"/>
        <w:rPr>
          <w:sz w:val="24"/>
        </w:rPr>
      </w:pPr>
      <w:r w:rsidRPr="004A2910">
        <w:rPr>
          <w:sz w:val="24"/>
        </w:rPr>
        <w:t>______________________________</w:t>
      </w:r>
    </w:p>
    <w:p w:rsidR="00F748D8" w:rsidRPr="004A2910" w:rsidRDefault="00710FFF" w:rsidP="00BD546F">
      <w:pPr>
        <w:keepNext/>
        <w:widowControl/>
        <w:tabs>
          <w:tab w:val="left" w:pos="720"/>
        </w:tabs>
        <w:ind w:firstLine="5040"/>
        <w:rPr>
          <w:sz w:val="24"/>
        </w:rPr>
      </w:pPr>
      <w:r>
        <w:rPr>
          <w:sz w:val="24"/>
        </w:rPr>
        <w:t>MICHAEL A. FASSIO</w:t>
      </w:r>
    </w:p>
    <w:p w:rsidR="00F748D8" w:rsidRPr="004A2910" w:rsidRDefault="00F748D8" w:rsidP="00BD546F">
      <w:pPr>
        <w:keepNext/>
        <w:widowControl/>
        <w:tabs>
          <w:tab w:val="left" w:pos="720"/>
        </w:tabs>
        <w:ind w:left="1440" w:firstLine="3600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BD546F">
      <w:pPr>
        <w:keepNext/>
        <w:widowControl/>
        <w:tabs>
          <w:tab w:val="left" w:pos="720"/>
        </w:tabs>
        <w:ind w:left="2160" w:firstLine="2880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BD546F">
      <w:pPr>
        <w:keepNext/>
        <w:widowControl/>
        <w:tabs>
          <w:tab w:val="left" w:pos="720"/>
        </w:tabs>
        <w:ind w:left="2880" w:firstLine="2160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 w:rsidP="00BD546F">
      <w:pPr>
        <w:keepNext/>
        <w:widowControl/>
        <w:tabs>
          <w:tab w:val="left" w:pos="720"/>
        </w:tabs>
      </w:pPr>
    </w:p>
    <w:sectPr w:rsidR="00F748D8" w:rsidSect="006A5B2F">
      <w:footerReference w:type="default" r:id="rId9"/>
      <w:pgSz w:w="12240" w:h="15840" w:code="1"/>
      <w:pgMar w:top="1440" w:right="1440" w:bottom="72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39" w:rsidRDefault="00A81C39">
      <w:r>
        <w:separator/>
      </w:r>
    </w:p>
  </w:endnote>
  <w:endnote w:type="continuationSeparator" w:id="0">
    <w:p w:rsidR="00A81C39" w:rsidRDefault="00A8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39" w:rsidRDefault="00A81C39">
    <w:pPr>
      <w:pStyle w:val="Footer"/>
    </w:pPr>
  </w:p>
  <w:p w:rsidR="00A81C39" w:rsidRDefault="00A81C39">
    <w:pPr>
      <w:pStyle w:val="Footer"/>
    </w:pPr>
    <w:r>
      <w:t>PETITION FOR ADMINISTRATIVE</w:t>
    </w:r>
  </w:p>
  <w:p w:rsidR="00A81C39" w:rsidRPr="00737B08" w:rsidRDefault="00A81C39">
    <w:pPr>
      <w:pStyle w:val="Footer"/>
    </w:pPr>
    <w:r>
      <w:t>REVIEW OF INITIAL ORDER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4B54D4">
      <w:rPr>
        <w:rStyle w:val="PageNumber"/>
        <w:noProof/>
      </w:rPr>
      <w:t>2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39" w:rsidRDefault="00A81C39">
      <w:r>
        <w:separator/>
      </w:r>
    </w:p>
  </w:footnote>
  <w:footnote w:type="continuationSeparator" w:id="0">
    <w:p w:rsidR="00A81C39" w:rsidRDefault="00A81C39">
      <w:r>
        <w:continuationSeparator/>
      </w:r>
    </w:p>
  </w:footnote>
  <w:footnote w:id="1">
    <w:p w:rsidR="00A81C39" w:rsidRPr="00B00E17" w:rsidRDefault="00A81C39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>
        <w:rPr>
          <w:i/>
        </w:rPr>
        <w:t>In the Matter of Fees to be Paid by Charter Party and Excursion Service Carriers under RCW 81.70.350 and WAC 480-30-076</w:t>
      </w:r>
      <w:r>
        <w:t xml:space="preserve">, Order 01, Order Establishing Regulatory Fees at $25 Per Vehicle Operated In Intrastate Commerce for Charter Party and Excursion Service Carriers, Docket TE-071858 (November 7, 2007).   </w:t>
      </w:r>
    </w:p>
  </w:footnote>
  <w:footnote w:id="2">
    <w:p w:rsidR="00A81C39" w:rsidRDefault="00A81C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See, i.e., Exhibit MP-1, pages 5, 8-9, 14, and 24.</w:t>
      </w:r>
      <w:proofErr w:type="gramEnd"/>
      <w:r>
        <w:t xml:space="preserve">  See also, i.e., Perkinson TR. 44:2-24, 49:4 – 50:2.</w:t>
      </w:r>
    </w:p>
  </w:footnote>
  <w:footnote w:id="3">
    <w:p w:rsidR="00A81C39" w:rsidRDefault="00A81C39">
      <w:pPr>
        <w:pStyle w:val="FootnoteText"/>
      </w:pPr>
      <w:r>
        <w:rPr>
          <w:rStyle w:val="FootnoteReference"/>
        </w:rPr>
        <w:footnoteRef/>
      </w:r>
      <w:r>
        <w:t xml:space="preserve"> The source of the erroneous calculation appears to be Order </w:t>
      </w:r>
      <w:proofErr w:type="gramStart"/>
      <w:r>
        <w:t>01’s  incorrect</w:t>
      </w:r>
      <w:proofErr w:type="gramEnd"/>
      <w:r>
        <w:t xml:space="preserve"> reliance upon WAC 480-30-076(1).  See Order 01, fn. 2.  That section of the rule does not apply specifically to regulatory fees for charter and excursion carriers like Excalibur Limousine.  Order 01, ¶ 8, also incorrectly summarizes Staff’s recommendation</w:t>
      </w:r>
      <w:r w:rsidR="004B54D4">
        <w:t xml:space="preserve"> at the close of hearing</w:t>
      </w:r>
      <w:r>
        <w:t xml:space="preserve"> regarding the regulatory fee.  See TR. 82:8 - 83:9.     </w:t>
      </w:r>
      <w:bookmarkStart w:id="0" w:name="_GoBack"/>
      <w:r>
        <w:t xml:space="preserve"> 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411EB0E4"/>
    <w:lvl w:ilvl="0" w:tplc="CF14D870">
      <w:start w:val="1"/>
      <w:numFmt w:val="decimal"/>
      <w:lvlText w:val="%1"/>
      <w:lvlJc w:val="left"/>
      <w:pPr>
        <w:tabs>
          <w:tab w:val="num" w:pos="7920"/>
        </w:tabs>
        <w:ind w:left="720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8D8"/>
    <w:rsid w:val="00002BE6"/>
    <w:rsid w:val="00025DB8"/>
    <w:rsid w:val="0009573F"/>
    <w:rsid w:val="000B0619"/>
    <w:rsid w:val="000B2C5E"/>
    <w:rsid w:val="00133A6C"/>
    <w:rsid w:val="001A3E51"/>
    <w:rsid w:val="001E4C3A"/>
    <w:rsid w:val="00255923"/>
    <w:rsid w:val="002A3321"/>
    <w:rsid w:val="002E3878"/>
    <w:rsid w:val="00301085"/>
    <w:rsid w:val="00336C02"/>
    <w:rsid w:val="003C5390"/>
    <w:rsid w:val="003E3B7E"/>
    <w:rsid w:val="003F1945"/>
    <w:rsid w:val="003F4A28"/>
    <w:rsid w:val="00420F5F"/>
    <w:rsid w:val="004A4F64"/>
    <w:rsid w:val="004B54D4"/>
    <w:rsid w:val="004C3D65"/>
    <w:rsid w:val="004F69A5"/>
    <w:rsid w:val="00501FFC"/>
    <w:rsid w:val="00537B55"/>
    <w:rsid w:val="00595D41"/>
    <w:rsid w:val="005C264C"/>
    <w:rsid w:val="005E07C2"/>
    <w:rsid w:val="005F1A65"/>
    <w:rsid w:val="006262A2"/>
    <w:rsid w:val="00641F98"/>
    <w:rsid w:val="0065561B"/>
    <w:rsid w:val="006A1940"/>
    <w:rsid w:val="006A5B2F"/>
    <w:rsid w:val="00710FFF"/>
    <w:rsid w:val="00737B08"/>
    <w:rsid w:val="007464F1"/>
    <w:rsid w:val="00755B44"/>
    <w:rsid w:val="0076699B"/>
    <w:rsid w:val="007C1BA6"/>
    <w:rsid w:val="007D5BA4"/>
    <w:rsid w:val="00801FD3"/>
    <w:rsid w:val="008365C1"/>
    <w:rsid w:val="0089062F"/>
    <w:rsid w:val="00891AC0"/>
    <w:rsid w:val="008A560D"/>
    <w:rsid w:val="009B4C94"/>
    <w:rsid w:val="009C2DB0"/>
    <w:rsid w:val="009D6057"/>
    <w:rsid w:val="009E4E45"/>
    <w:rsid w:val="00A80028"/>
    <w:rsid w:val="00A81C39"/>
    <w:rsid w:val="00A918DE"/>
    <w:rsid w:val="00AC0DAF"/>
    <w:rsid w:val="00B00E17"/>
    <w:rsid w:val="00B108A3"/>
    <w:rsid w:val="00B73973"/>
    <w:rsid w:val="00BD546F"/>
    <w:rsid w:val="00BF3CD1"/>
    <w:rsid w:val="00C1760F"/>
    <w:rsid w:val="00C2680B"/>
    <w:rsid w:val="00C360A4"/>
    <w:rsid w:val="00C5478B"/>
    <w:rsid w:val="00CF1195"/>
    <w:rsid w:val="00D22816"/>
    <w:rsid w:val="00DA492F"/>
    <w:rsid w:val="00DA5B2D"/>
    <w:rsid w:val="00DF6C93"/>
    <w:rsid w:val="00E41842"/>
    <w:rsid w:val="00ED380B"/>
    <w:rsid w:val="00F748D8"/>
    <w:rsid w:val="00F77C60"/>
    <w:rsid w:val="00FC583B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link w:val="BalloonTextChar"/>
    <w:rsid w:val="004B5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5E7D8-9E33-48FF-8E15-E746F3355DFD}"/>
</file>

<file path=customXml/itemProps2.xml><?xml version="1.0" encoding="utf-8"?>
<ds:datastoreItem xmlns:ds="http://schemas.openxmlformats.org/officeDocument/2006/customXml" ds:itemID="{5F9BE8C9-4001-480B-9DD4-D7824DA1870B}"/>
</file>

<file path=customXml/itemProps3.xml><?xml version="1.0" encoding="utf-8"?>
<ds:datastoreItem xmlns:ds="http://schemas.openxmlformats.org/officeDocument/2006/customXml" ds:itemID="{A3E417C2-C91B-4D02-B242-F734BB8E3912}"/>
</file>

<file path=customXml/itemProps4.xml><?xml version="1.0" encoding="utf-8"?>
<ds:datastoreItem xmlns:ds="http://schemas.openxmlformats.org/officeDocument/2006/customXml" ds:itemID="{EEB72AC2-7FB1-4886-ABF2-3984F8A3150B}"/>
</file>

<file path=customXml/itemProps5.xml><?xml version="1.0" encoding="utf-8"?>
<ds:datastoreItem xmlns:ds="http://schemas.openxmlformats.org/officeDocument/2006/customXml" ds:itemID="{F0CEECCF-3859-4738-8DD6-50BEE6615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Fassio, Michael (UTC)</cp:lastModifiedBy>
  <cp:revision>18</cp:revision>
  <cp:lastPrinted>2013-05-08T21:53:00Z</cp:lastPrinted>
  <dcterms:created xsi:type="dcterms:W3CDTF">2013-05-07T16:17:00Z</dcterms:created>
  <dcterms:modified xsi:type="dcterms:W3CDTF">2013-05-08T21:57:00Z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