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8" w:rsidRPr="004A2910" w:rsidRDefault="00F748D8" w:rsidP="00F42647">
      <w:pPr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  <w:r w:rsidRPr="005C30D6">
              <w:rPr>
                <w:sz w:val="24"/>
                <w:szCs w:val="24"/>
              </w:rPr>
              <w:t>WASHINGTON UTILITIES AND TRANSPORTATION COMMISSION,</w:t>
            </w: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  <w:r w:rsidRPr="005C30D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C30D6">
              <w:rPr>
                <w:sz w:val="24"/>
                <w:szCs w:val="24"/>
              </w:rPr>
              <w:t>Complainant,</w:t>
            </w: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  <w:r w:rsidRPr="005C30D6">
              <w:rPr>
                <w:sz w:val="24"/>
                <w:szCs w:val="24"/>
              </w:rPr>
              <w:t>v.</w:t>
            </w: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  <w:r w:rsidRPr="003E69F9">
              <w:rPr>
                <w:sz w:val="24"/>
                <w:szCs w:val="24"/>
              </w:rPr>
              <w:t>3RD GENERATION MOVERS AND HAULING, A+ ALWAYS MOVING, INC.,  A A STAR TRANSFER CO. INC., ALWAYS ABLE MOVING SERVICE, LLC, ARAYS MOVING SERVICE LLC, GRAYPORT TRANSFER &amp; STORAGE CO., INC., THUNDER MOVERS LLC</w:t>
            </w:r>
            <w:r w:rsidRPr="005C30D6">
              <w:rPr>
                <w:sz w:val="24"/>
                <w:szCs w:val="24"/>
              </w:rPr>
              <w:t xml:space="preserve">, </w:t>
            </w:r>
          </w:p>
          <w:p w:rsidR="00815BBD" w:rsidRPr="005C30D6" w:rsidRDefault="00815BBD" w:rsidP="00815BBD">
            <w:pPr>
              <w:pStyle w:val="NoSpacing"/>
              <w:rPr>
                <w:sz w:val="24"/>
                <w:szCs w:val="24"/>
              </w:rPr>
            </w:pPr>
          </w:p>
          <w:p w:rsidR="00815BBD" w:rsidRDefault="00815BBD" w:rsidP="00815BBD">
            <w:pPr>
              <w:pStyle w:val="NoSpacing"/>
              <w:rPr>
                <w:sz w:val="24"/>
                <w:szCs w:val="24"/>
              </w:rPr>
            </w:pPr>
            <w:r w:rsidRPr="005C30D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C30D6">
              <w:rPr>
                <w:sz w:val="24"/>
                <w:szCs w:val="24"/>
              </w:rPr>
              <w:t>Respondents.</w:t>
            </w:r>
          </w:p>
          <w:p w:rsidR="004F69A5" w:rsidRPr="004A2910" w:rsidRDefault="004F69A5" w:rsidP="00595D41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815BBD">
              <w:rPr>
                <w:sz w:val="24"/>
              </w:rPr>
              <w:t>TV-121722</w:t>
            </w:r>
          </w:p>
          <w:p w:rsidR="00F748D8" w:rsidRPr="004A2910" w:rsidRDefault="00F748D8" w:rsidP="00C5478B">
            <w:pPr>
              <w:rPr>
                <w:sz w:val="24"/>
              </w:rPr>
            </w:pPr>
          </w:p>
          <w:p w:rsidR="00F748D8" w:rsidRPr="004A2910" w:rsidRDefault="00815BBD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PETITION OF COMMISSION STAFF FOR ADMINISTRATIVE REVIEW OF ORDER 01</w:t>
            </w: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B53814" w:rsidRPr="00F42647" w:rsidRDefault="00F42647" w:rsidP="00F42647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</w:r>
      <w:r w:rsidR="00B53814" w:rsidRPr="00F42647">
        <w:rPr>
          <w:b/>
          <w:sz w:val="24"/>
        </w:rPr>
        <w:t>INTRODUCTION</w:t>
      </w:r>
    </w:p>
    <w:p w:rsidR="00F748D8" w:rsidRPr="00B53814" w:rsidRDefault="0025442A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B53814" w:rsidRPr="00B53814">
        <w:rPr>
          <w:sz w:val="24"/>
        </w:rPr>
        <w:t xml:space="preserve">Pursuant to WAC 480-07-825, Staff </w:t>
      </w:r>
      <w:r w:rsidR="00B53814">
        <w:rPr>
          <w:sz w:val="24"/>
        </w:rPr>
        <w:t xml:space="preserve">of the </w:t>
      </w:r>
      <w:r w:rsidR="0069633B">
        <w:rPr>
          <w:sz w:val="24"/>
        </w:rPr>
        <w:t xml:space="preserve">Washington </w:t>
      </w:r>
      <w:r w:rsidR="00B53814">
        <w:rPr>
          <w:sz w:val="24"/>
        </w:rPr>
        <w:t xml:space="preserve">Utilities and Transportation Commission (Commission) </w:t>
      </w:r>
      <w:r w:rsidR="00B53814" w:rsidRPr="00B53814">
        <w:rPr>
          <w:sz w:val="24"/>
        </w:rPr>
        <w:t>files this petition for administrative review of Order 01</w:t>
      </w:r>
      <w:r w:rsidR="00B53814">
        <w:rPr>
          <w:sz w:val="24"/>
        </w:rPr>
        <w:t>,</w:t>
      </w:r>
      <w:r w:rsidR="00B53814" w:rsidRPr="00B53814">
        <w:rPr>
          <w:sz w:val="24"/>
        </w:rPr>
        <w:t xml:space="preserve"> Initial Order Dismissing Certain Complaints, Dismissing Other Complaints Subject to Condition, and Cancelling Permits</w:t>
      </w:r>
      <w:r w:rsidR="00C62867">
        <w:rPr>
          <w:sz w:val="24"/>
        </w:rPr>
        <w:t xml:space="preserve"> (Order 01)</w:t>
      </w:r>
      <w:r w:rsidR="00B53814" w:rsidRPr="00B53814">
        <w:rPr>
          <w:sz w:val="24"/>
        </w:rPr>
        <w:t>.</w:t>
      </w:r>
      <w:r w:rsidR="00B53814">
        <w:rPr>
          <w:sz w:val="24"/>
        </w:rPr>
        <w:t xml:space="preserve">  Specifically, Commission Staff (Staff) </w:t>
      </w:r>
      <w:r w:rsidR="0069633B">
        <w:rPr>
          <w:sz w:val="24"/>
        </w:rPr>
        <w:t xml:space="preserve">challenges the Commission’s decision declining to reopen the record to admit and consider additional evidence pertaining to 3rd Generation Movers and Hauling (3rd Generation) and the </w:t>
      </w:r>
      <w:r>
        <w:rPr>
          <w:sz w:val="24"/>
        </w:rPr>
        <w:t xml:space="preserve">Commission’s </w:t>
      </w:r>
      <w:r w:rsidR="0069633B">
        <w:rPr>
          <w:sz w:val="24"/>
        </w:rPr>
        <w:t>decision to cancel this carrier’s permit.</w:t>
      </w:r>
    </w:p>
    <w:p w:rsidR="00F748D8" w:rsidRPr="00F42647" w:rsidRDefault="00F42647" w:rsidP="00F42647">
      <w:pPr>
        <w:keepNext/>
        <w:widowControl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z w:val="24"/>
        </w:rPr>
        <w:tab/>
      </w:r>
      <w:r w:rsidR="009B137C" w:rsidRPr="00F42647">
        <w:rPr>
          <w:b/>
          <w:sz w:val="24"/>
        </w:rPr>
        <w:t>FACTS</w:t>
      </w:r>
    </w:p>
    <w:p w:rsidR="009B137C" w:rsidRDefault="009B137C" w:rsidP="006D13E3">
      <w:pPr>
        <w:keepNext/>
        <w:widowControl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  <w:t xml:space="preserve">On February 4, 2013, the Commission held a hearing to determine whether to cancel the permits of certain household goods carriers, including 3rd Generation, that had failed to comply with </w:t>
      </w:r>
      <w:r w:rsidR="00E95B96">
        <w:rPr>
          <w:sz w:val="24"/>
        </w:rPr>
        <w:t xml:space="preserve">laws and rules requiring household goods carriers to file annual reports and submit regulatory fees each year by May 1st.  </w:t>
      </w:r>
      <w:r w:rsidR="00A97E19">
        <w:rPr>
          <w:sz w:val="24"/>
        </w:rPr>
        <w:t xml:space="preserve">3rd Generation received household goods </w:t>
      </w:r>
      <w:r w:rsidR="00A97E19">
        <w:rPr>
          <w:sz w:val="24"/>
        </w:rPr>
        <w:lastRenderedPageBreak/>
        <w:t>carrier authori</w:t>
      </w:r>
      <w:r w:rsidR="00077A7A">
        <w:rPr>
          <w:sz w:val="24"/>
        </w:rPr>
        <w:t>ty from the Commission in April of</w:t>
      </w:r>
      <w:r w:rsidR="00985D0A">
        <w:rPr>
          <w:sz w:val="24"/>
        </w:rPr>
        <w:t xml:space="preserve"> 2011</w:t>
      </w:r>
      <w:r w:rsidR="00A97E19">
        <w:rPr>
          <w:sz w:val="24"/>
        </w:rPr>
        <w:t>.</w:t>
      </w:r>
      <w:r w:rsidR="00A97E19">
        <w:rPr>
          <w:rStyle w:val="FootnoteReference"/>
          <w:sz w:val="24"/>
        </w:rPr>
        <w:footnoteReference w:id="1"/>
      </w:r>
      <w:r w:rsidR="00A97E19">
        <w:rPr>
          <w:sz w:val="24"/>
        </w:rPr>
        <w:t xml:space="preserve">  </w:t>
      </w:r>
      <w:r w:rsidR="00E95B96">
        <w:rPr>
          <w:sz w:val="24"/>
        </w:rPr>
        <w:t>At hearing, Staff testified that 3rd Generation had not filed an annual report for 2011 nor paid its 2012 regulatory fee.</w:t>
      </w:r>
      <w:r w:rsidR="00007F7F">
        <w:rPr>
          <w:rStyle w:val="FootnoteReference"/>
          <w:sz w:val="24"/>
        </w:rPr>
        <w:footnoteReference w:id="2"/>
      </w:r>
    </w:p>
    <w:p w:rsidR="00310240" w:rsidRDefault="00310240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6304B4">
        <w:rPr>
          <w:sz w:val="24"/>
        </w:rPr>
        <w:t>On March 1, 2013</w:t>
      </w:r>
      <w:r>
        <w:rPr>
          <w:sz w:val="24"/>
        </w:rPr>
        <w:t>, 3rd Generation filed a letter requesting that the Commission no</w:t>
      </w:r>
      <w:r w:rsidR="0077789A">
        <w:rPr>
          <w:sz w:val="24"/>
        </w:rPr>
        <w:t>t cancel the company’s permit.</w:t>
      </w:r>
      <w:r w:rsidR="00FD7FE2">
        <w:rPr>
          <w:sz w:val="24"/>
        </w:rPr>
        <w:t xml:space="preserve">  3rd Generation filed a complete </w:t>
      </w:r>
      <w:bookmarkStart w:id="0" w:name="_GoBack"/>
      <w:bookmarkEnd w:id="0"/>
      <w:r>
        <w:rPr>
          <w:sz w:val="24"/>
        </w:rPr>
        <w:t xml:space="preserve">2011 annual report and </w:t>
      </w:r>
      <w:r w:rsidR="00923D3C">
        <w:rPr>
          <w:sz w:val="24"/>
        </w:rPr>
        <w:t>paid</w:t>
      </w:r>
      <w:r>
        <w:rPr>
          <w:sz w:val="24"/>
        </w:rPr>
        <w:t xml:space="preserve"> its 2012 </w:t>
      </w:r>
      <w:r w:rsidR="00FD7FE2">
        <w:rPr>
          <w:sz w:val="24"/>
        </w:rPr>
        <w:t>regulatory fee on March 1</w:t>
      </w:r>
      <w:r w:rsidR="00D526F8">
        <w:rPr>
          <w:sz w:val="24"/>
        </w:rPr>
        <w:t>, 2012</w:t>
      </w:r>
      <w:r w:rsidR="006304B4">
        <w:rPr>
          <w:sz w:val="24"/>
        </w:rPr>
        <w:t>.</w:t>
      </w:r>
      <w:r w:rsidR="00DD178A">
        <w:rPr>
          <w:rStyle w:val="FootnoteReference"/>
          <w:sz w:val="24"/>
        </w:rPr>
        <w:footnoteReference w:id="3"/>
      </w:r>
      <w:r w:rsidR="003C017C">
        <w:rPr>
          <w:sz w:val="24"/>
        </w:rPr>
        <w:t xml:space="preserve">  3rd Generation has not paid the $2,100 penalty assessed to it </w:t>
      </w:r>
      <w:r w:rsidR="00DD52FC">
        <w:rPr>
          <w:sz w:val="24"/>
        </w:rPr>
        <w:t xml:space="preserve">in Docket TV-120900 </w:t>
      </w:r>
      <w:r w:rsidR="003C017C">
        <w:rPr>
          <w:sz w:val="24"/>
        </w:rPr>
        <w:t>by the Commission on July 23, 2012, for failure to file an annual report and remit its regulatory fee.</w:t>
      </w:r>
      <w:r w:rsidR="003C017C">
        <w:rPr>
          <w:rStyle w:val="FootnoteReference"/>
          <w:sz w:val="24"/>
        </w:rPr>
        <w:footnoteReference w:id="4"/>
      </w:r>
    </w:p>
    <w:p w:rsidR="00C62867" w:rsidRDefault="00FB75CD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  <w:t>On March 12, 2013, t</w:t>
      </w:r>
      <w:r w:rsidR="00C62867">
        <w:rPr>
          <w:sz w:val="24"/>
        </w:rPr>
        <w:t>he Commi</w:t>
      </w:r>
      <w:r w:rsidR="008400F6">
        <w:rPr>
          <w:sz w:val="24"/>
        </w:rPr>
        <w:t>ssion filed and served Order 01</w:t>
      </w:r>
      <w:r w:rsidR="00C62867">
        <w:rPr>
          <w:sz w:val="24"/>
        </w:rPr>
        <w:t xml:space="preserve">.  In Order 01, </w:t>
      </w:r>
      <w:r w:rsidR="004F67A6">
        <w:rPr>
          <w:sz w:val="24"/>
        </w:rPr>
        <w:t xml:space="preserve">the Commission </w:t>
      </w:r>
      <w:r w:rsidR="0062128F">
        <w:rPr>
          <w:sz w:val="24"/>
        </w:rPr>
        <w:t>construed 3rd Generation’s letter as a motion to reopen the record, which the Commission then declined to do.</w:t>
      </w:r>
      <w:r w:rsidR="0062128F">
        <w:rPr>
          <w:rStyle w:val="FootnoteReference"/>
          <w:sz w:val="24"/>
        </w:rPr>
        <w:footnoteReference w:id="5"/>
      </w:r>
      <w:r w:rsidR="0062128F">
        <w:rPr>
          <w:sz w:val="24"/>
        </w:rPr>
        <w:t xml:space="preserve">  In addition, the Commission </w:t>
      </w:r>
      <w:r w:rsidR="004F67A6">
        <w:rPr>
          <w:sz w:val="24"/>
        </w:rPr>
        <w:t>dismissed the compla</w:t>
      </w:r>
      <w:r w:rsidR="002869B7">
        <w:rPr>
          <w:sz w:val="24"/>
        </w:rPr>
        <w:t>int against one company as moot;</w:t>
      </w:r>
      <w:r w:rsidR="004F67A6">
        <w:rPr>
          <w:sz w:val="24"/>
        </w:rPr>
        <w:t xml:space="preserve"> dismissed the complaint against two companies</w:t>
      </w:r>
      <w:r>
        <w:rPr>
          <w:rStyle w:val="FootnoteReference"/>
          <w:sz w:val="24"/>
        </w:rPr>
        <w:footnoteReference w:id="6"/>
      </w:r>
      <w:r w:rsidR="004F67A6">
        <w:rPr>
          <w:sz w:val="24"/>
        </w:rPr>
        <w:t xml:space="preserve"> that had come into compliance by the time of the hearing; dismissed the complaint against two further companies on the condition that they </w:t>
      </w:r>
      <w:r w:rsidR="00AF4193">
        <w:rPr>
          <w:sz w:val="24"/>
        </w:rPr>
        <w:t>pay</w:t>
      </w:r>
      <w:r w:rsidR="004F67A6">
        <w:rPr>
          <w:sz w:val="24"/>
        </w:rPr>
        <w:t xml:space="preserve"> the statutory late fee and interest as required</w:t>
      </w:r>
      <w:r w:rsidR="00157BD4">
        <w:rPr>
          <w:sz w:val="24"/>
        </w:rPr>
        <w:t xml:space="preserve"> by RCW</w:t>
      </w:r>
      <w:r w:rsidR="004F67A6">
        <w:rPr>
          <w:sz w:val="24"/>
        </w:rPr>
        <w:t xml:space="preserve"> 81.80.321</w:t>
      </w:r>
      <w:r>
        <w:rPr>
          <w:sz w:val="24"/>
        </w:rPr>
        <w:t>,</w:t>
      </w:r>
      <w:r w:rsidR="00A538B6">
        <w:rPr>
          <w:rStyle w:val="FootnoteReference"/>
          <w:sz w:val="24"/>
        </w:rPr>
        <w:footnoteReference w:id="7"/>
      </w:r>
      <w:r w:rsidR="00AF4193">
        <w:rPr>
          <w:sz w:val="24"/>
        </w:rPr>
        <w:t xml:space="preserve"> within 20 day</w:t>
      </w:r>
      <w:r w:rsidR="002869B7">
        <w:rPr>
          <w:sz w:val="24"/>
        </w:rPr>
        <w:t>s</w:t>
      </w:r>
      <w:r w:rsidR="00AF4193">
        <w:rPr>
          <w:sz w:val="24"/>
        </w:rPr>
        <w:t xml:space="preserve">; and cancelled the </w:t>
      </w:r>
      <w:r w:rsidR="0062128F">
        <w:rPr>
          <w:sz w:val="24"/>
        </w:rPr>
        <w:t xml:space="preserve">household goods carrier </w:t>
      </w:r>
      <w:r w:rsidR="00AF4193">
        <w:rPr>
          <w:sz w:val="24"/>
        </w:rPr>
        <w:t>permits of two companies, including 3rd Generation</w:t>
      </w:r>
      <w:r w:rsidR="009D7021">
        <w:rPr>
          <w:sz w:val="24"/>
        </w:rPr>
        <w:t>.</w:t>
      </w:r>
      <w:r w:rsidR="00AD44A9">
        <w:rPr>
          <w:rStyle w:val="FootnoteReference"/>
          <w:sz w:val="24"/>
        </w:rPr>
        <w:footnoteReference w:id="8"/>
      </w:r>
    </w:p>
    <w:p w:rsidR="00217DF3" w:rsidRPr="00F42647" w:rsidRDefault="00F42647" w:rsidP="00F42647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III.</w:t>
      </w:r>
      <w:r>
        <w:rPr>
          <w:b/>
          <w:sz w:val="24"/>
        </w:rPr>
        <w:tab/>
      </w:r>
      <w:r w:rsidR="00217DF3" w:rsidRPr="00F42647">
        <w:rPr>
          <w:b/>
          <w:sz w:val="24"/>
        </w:rPr>
        <w:t>ARGUMENT</w:t>
      </w:r>
    </w:p>
    <w:p w:rsidR="00764C3B" w:rsidRDefault="006A1DA6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A96EF3">
        <w:rPr>
          <w:sz w:val="24"/>
        </w:rPr>
        <w:t>3rd Generation has come into compliance</w:t>
      </w:r>
      <w:r w:rsidR="00CC5741">
        <w:rPr>
          <w:sz w:val="24"/>
        </w:rPr>
        <w:t>,</w:t>
      </w:r>
      <w:r w:rsidR="00A96EF3">
        <w:rPr>
          <w:sz w:val="24"/>
        </w:rPr>
        <w:t xml:space="preserve"> and Staff accordingly advocates dismissing the company from this proceeding </w:t>
      </w:r>
      <w:r w:rsidR="00CC5741">
        <w:rPr>
          <w:sz w:val="24"/>
        </w:rPr>
        <w:t>instead of</w:t>
      </w:r>
      <w:r w:rsidR="00A96EF3">
        <w:rPr>
          <w:sz w:val="24"/>
        </w:rPr>
        <w:t xml:space="preserve"> cancelling the company’s permit.  </w:t>
      </w:r>
      <w:r w:rsidR="00CC5741">
        <w:rPr>
          <w:sz w:val="24"/>
        </w:rPr>
        <w:lastRenderedPageBreak/>
        <w:t>The proceeding in this dock</w:t>
      </w:r>
      <w:r w:rsidR="00EC1E01">
        <w:rPr>
          <w:sz w:val="24"/>
        </w:rPr>
        <w:t>et is an enforcement proceeding.  With this proceeding,</w:t>
      </w:r>
      <w:r w:rsidR="00CC5741">
        <w:rPr>
          <w:sz w:val="24"/>
        </w:rPr>
        <w:t xml:space="preserve"> Staff </w:t>
      </w:r>
      <w:r w:rsidR="00EC1E01">
        <w:rPr>
          <w:sz w:val="24"/>
        </w:rPr>
        <w:t>is seeking</w:t>
      </w:r>
      <w:r w:rsidR="00CC5741">
        <w:rPr>
          <w:sz w:val="24"/>
        </w:rPr>
        <w:t xml:space="preserve"> </w:t>
      </w:r>
      <w:r w:rsidR="00C644B9">
        <w:rPr>
          <w:sz w:val="24"/>
        </w:rPr>
        <w:t xml:space="preserve">to enforce </w:t>
      </w:r>
      <w:r w:rsidR="00CC5741">
        <w:rPr>
          <w:sz w:val="24"/>
        </w:rPr>
        <w:t xml:space="preserve">compliance with annual report and regulatory fee submission requirements.  </w:t>
      </w:r>
      <w:r w:rsidR="00AC2894">
        <w:rPr>
          <w:sz w:val="24"/>
        </w:rPr>
        <w:t xml:space="preserve">In the case of 3rd Generation, </w:t>
      </w:r>
      <w:r w:rsidR="00C644B9">
        <w:rPr>
          <w:sz w:val="24"/>
        </w:rPr>
        <w:t>compliance with these requirements has been the ultimate result of the proceeding</w:t>
      </w:r>
      <w:r w:rsidR="00764C3B">
        <w:rPr>
          <w:sz w:val="24"/>
        </w:rPr>
        <w:t>.</w:t>
      </w:r>
    </w:p>
    <w:p w:rsidR="003117FE" w:rsidRDefault="00764C3B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7B501B">
        <w:rPr>
          <w:sz w:val="24"/>
        </w:rPr>
        <w:t xml:space="preserve">While Staff appreciates </w:t>
      </w:r>
      <w:r w:rsidR="001F07AA">
        <w:rPr>
          <w:sz w:val="24"/>
        </w:rPr>
        <w:t xml:space="preserve">and agrees with </w:t>
      </w:r>
      <w:r w:rsidR="007B501B">
        <w:rPr>
          <w:sz w:val="24"/>
        </w:rPr>
        <w:t>the language in Order 01 recognizing that the companies in this docket should have been aware of their annual report and regulatory fee obligations,</w:t>
      </w:r>
      <w:r w:rsidR="009B226E">
        <w:rPr>
          <w:rStyle w:val="FootnoteReference"/>
          <w:sz w:val="24"/>
        </w:rPr>
        <w:footnoteReference w:id="9"/>
      </w:r>
      <w:r w:rsidR="007B501B">
        <w:rPr>
          <w:sz w:val="24"/>
        </w:rPr>
        <w:t xml:space="preserve"> Staff requests that, in this case, the record be re-opened to admit evidence of 3rd Generation’s </w:t>
      </w:r>
      <w:r w:rsidR="006D258C">
        <w:rPr>
          <w:sz w:val="24"/>
        </w:rPr>
        <w:t>compliance</w:t>
      </w:r>
      <w:r w:rsidR="007B501B">
        <w:rPr>
          <w:sz w:val="24"/>
        </w:rPr>
        <w:t xml:space="preserve">.  </w:t>
      </w:r>
      <w:r w:rsidR="00CC5741">
        <w:rPr>
          <w:sz w:val="24"/>
        </w:rPr>
        <w:t xml:space="preserve">3rd Generation </w:t>
      </w:r>
      <w:r w:rsidR="004126EA">
        <w:rPr>
          <w:sz w:val="24"/>
        </w:rPr>
        <w:t xml:space="preserve">is a newly permitted company and </w:t>
      </w:r>
      <w:r w:rsidR="007B501B">
        <w:rPr>
          <w:sz w:val="24"/>
        </w:rPr>
        <w:t>was able to</w:t>
      </w:r>
      <w:r w:rsidR="004126EA">
        <w:rPr>
          <w:sz w:val="24"/>
        </w:rPr>
        <w:t xml:space="preserve"> achieve</w:t>
      </w:r>
      <w:r w:rsidR="00CC5741">
        <w:rPr>
          <w:sz w:val="24"/>
        </w:rPr>
        <w:t xml:space="preserve"> compliance before the conclusion of this proceeding</w:t>
      </w:r>
      <w:r w:rsidR="00194370">
        <w:rPr>
          <w:sz w:val="24"/>
        </w:rPr>
        <w:t xml:space="preserve"> by filing its annual report and remitting its regulatory fee before the Commission issued Order 01</w:t>
      </w:r>
      <w:r w:rsidR="00CC5741">
        <w:rPr>
          <w:sz w:val="24"/>
        </w:rPr>
        <w:t xml:space="preserve">.  In Staff’s view, </w:t>
      </w:r>
      <w:r w:rsidR="007B501B">
        <w:rPr>
          <w:sz w:val="24"/>
        </w:rPr>
        <w:t>these facts support leniency</w:t>
      </w:r>
      <w:r w:rsidR="003117FE">
        <w:rPr>
          <w:sz w:val="24"/>
        </w:rPr>
        <w:t>.</w:t>
      </w:r>
    </w:p>
    <w:p w:rsidR="00217DF3" w:rsidRDefault="003117FE" w:rsidP="006D13E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7B501B">
        <w:rPr>
          <w:sz w:val="24"/>
        </w:rPr>
        <w:t xml:space="preserve">Accordingly, Staff respectfully requests that the Commission re-open the record to admit </w:t>
      </w:r>
      <w:r>
        <w:rPr>
          <w:sz w:val="24"/>
        </w:rPr>
        <w:t xml:space="preserve">the Declaration of Mathew Perkinson, which contains </w:t>
      </w:r>
      <w:r w:rsidR="00870B76">
        <w:rPr>
          <w:sz w:val="24"/>
        </w:rPr>
        <w:t>evidence of 3rd Generation’s compliance</w:t>
      </w:r>
      <w:r>
        <w:rPr>
          <w:sz w:val="24"/>
        </w:rPr>
        <w:t>.  Mr. Perkinson’s declaration is attached to this petition</w:t>
      </w:r>
      <w:r w:rsidR="007B501B">
        <w:rPr>
          <w:sz w:val="24"/>
        </w:rPr>
        <w:t xml:space="preserve">. </w:t>
      </w:r>
      <w:r w:rsidR="00870B76">
        <w:rPr>
          <w:sz w:val="24"/>
        </w:rPr>
        <w:t xml:space="preserve"> </w:t>
      </w:r>
      <w:r>
        <w:rPr>
          <w:sz w:val="24"/>
        </w:rPr>
        <w:t xml:space="preserve">In addition, Staff respectfully requests that the Commission </w:t>
      </w:r>
      <w:r w:rsidR="005A5E6E">
        <w:rPr>
          <w:sz w:val="24"/>
        </w:rPr>
        <w:t>revise its decision</w:t>
      </w:r>
      <w:r w:rsidR="00A26702">
        <w:rPr>
          <w:sz w:val="24"/>
        </w:rPr>
        <w:t xml:space="preserve"> in</w:t>
      </w:r>
      <w:r>
        <w:rPr>
          <w:sz w:val="24"/>
        </w:rPr>
        <w:t xml:space="preserve"> </w:t>
      </w:r>
      <w:r w:rsidR="005A5E6E">
        <w:rPr>
          <w:sz w:val="24"/>
        </w:rPr>
        <w:t xml:space="preserve">Order 01 </w:t>
      </w:r>
      <w:r>
        <w:rPr>
          <w:sz w:val="24"/>
        </w:rPr>
        <w:t xml:space="preserve">with respect to 3rd Generation and dismiss the complaint against </w:t>
      </w:r>
      <w:r w:rsidR="005D5001">
        <w:rPr>
          <w:sz w:val="24"/>
        </w:rPr>
        <w:t>that company</w:t>
      </w:r>
      <w:r>
        <w:rPr>
          <w:sz w:val="24"/>
        </w:rPr>
        <w:t>.</w:t>
      </w:r>
    </w:p>
    <w:p w:rsidR="00F748D8" w:rsidRPr="00EC1E01" w:rsidRDefault="00F748D8" w:rsidP="00F42647">
      <w:pPr>
        <w:spacing w:line="480" w:lineRule="auto"/>
        <w:ind w:left="720"/>
        <w:jc w:val="both"/>
        <w:rPr>
          <w:sz w:val="24"/>
        </w:rPr>
      </w:pPr>
      <w:r w:rsidRPr="00EC1E01">
        <w:rPr>
          <w:sz w:val="24"/>
        </w:rPr>
        <w:t xml:space="preserve">DATED this </w:t>
      </w:r>
      <w:r w:rsidR="003C047A">
        <w:rPr>
          <w:sz w:val="24"/>
        </w:rPr>
        <w:t>1st</w:t>
      </w:r>
      <w:r w:rsidRPr="00EC1E01">
        <w:rPr>
          <w:sz w:val="24"/>
        </w:rPr>
        <w:t xml:space="preserve"> day of </w:t>
      </w:r>
      <w:r w:rsidR="00815BBD" w:rsidRPr="00EC1E01">
        <w:rPr>
          <w:sz w:val="24"/>
        </w:rPr>
        <w:t>April,</w:t>
      </w:r>
      <w:r w:rsidRPr="00EC1E01">
        <w:rPr>
          <w:sz w:val="24"/>
        </w:rPr>
        <w:t xml:space="preserve"> 20</w:t>
      </w:r>
      <w:r w:rsidR="004A26FF" w:rsidRPr="00EC1E01">
        <w:rPr>
          <w:sz w:val="24"/>
        </w:rPr>
        <w:t>1</w:t>
      </w:r>
      <w:r w:rsidR="00BF2F67" w:rsidRPr="00EC1E01">
        <w:rPr>
          <w:sz w:val="24"/>
        </w:rPr>
        <w:t>3</w:t>
      </w:r>
      <w:r w:rsidRPr="00EC1E01">
        <w:rPr>
          <w:sz w:val="24"/>
        </w:rPr>
        <w:t>.</w:t>
      </w: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:rsidR="00F748D8" w:rsidRPr="004A2910" w:rsidRDefault="00815BBD" w:rsidP="00F748D8">
      <w:pPr>
        <w:ind w:firstLine="5040"/>
        <w:jc w:val="both"/>
        <w:rPr>
          <w:sz w:val="24"/>
        </w:rPr>
      </w:pPr>
      <w:r>
        <w:rPr>
          <w:sz w:val="24"/>
        </w:rPr>
        <w:t>JENNIFER CAMERON-RULKOWSKI</w:t>
      </w: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Default="004F69A5" w:rsidP="00F42647">
      <w:pPr>
        <w:ind w:left="2880" w:firstLine="2160"/>
        <w:jc w:val="both"/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sectPr w:rsidR="00F748D8" w:rsidSect="00F748D8">
      <w:footerReference w:type="default" r:id="rId9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0A" w:rsidRDefault="00985D0A">
      <w:r>
        <w:separator/>
      </w:r>
    </w:p>
  </w:endnote>
  <w:endnote w:type="continuationSeparator" w:id="0">
    <w:p w:rsidR="00985D0A" w:rsidRDefault="009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0A" w:rsidRDefault="00985D0A">
    <w:pPr>
      <w:pStyle w:val="Footer"/>
    </w:pPr>
  </w:p>
  <w:p w:rsidR="00985D0A" w:rsidRDefault="00985D0A">
    <w:pPr>
      <w:pStyle w:val="Footer"/>
    </w:pPr>
    <w:r>
      <w:t>COMMISSION STAFF’S PETITION FOR</w:t>
    </w:r>
  </w:p>
  <w:p w:rsidR="00985D0A" w:rsidRPr="00737B08" w:rsidRDefault="00985D0A">
    <w:pPr>
      <w:pStyle w:val="Footer"/>
    </w:pPr>
    <w:r>
      <w:t>ADMINISTRATIVE REVIEW OF ORDER 01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FD7FE2">
      <w:rPr>
        <w:rStyle w:val="PageNumber"/>
        <w:noProof/>
      </w:rPr>
      <w:t>2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0A" w:rsidRDefault="00985D0A">
      <w:r>
        <w:separator/>
      </w:r>
    </w:p>
  </w:footnote>
  <w:footnote w:type="continuationSeparator" w:id="0">
    <w:p w:rsidR="00985D0A" w:rsidRDefault="00985D0A">
      <w:r>
        <w:continuationSeparator/>
      </w:r>
    </w:p>
  </w:footnote>
  <w:footnote w:id="1">
    <w:p w:rsidR="00985D0A" w:rsidRDefault="00985D0A">
      <w:pPr>
        <w:pStyle w:val="FootnoteText"/>
      </w:pPr>
      <w:r>
        <w:rPr>
          <w:rStyle w:val="FootnoteReference"/>
        </w:rPr>
        <w:footnoteRef/>
      </w:r>
      <w:r>
        <w:t xml:space="preserve"> Docket TV-110530.</w:t>
      </w:r>
    </w:p>
  </w:footnote>
  <w:footnote w:id="2">
    <w:p w:rsidR="00007F7F" w:rsidRDefault="00007F7F">
      <w:pPr>
        <w:pStyle w:val="FootnoteText"/>
      </w:pPr>
      <w:r>
        <w:rPr>
          <w:rStyle w:val="FootnoteReference"/>
        </w:rPr>
        <w:footnoteRef/>
      </w:r>
      <w:r>
        <w:t xml:space="preserve"> TR. 13:17–19.</w:t>
      </w:r>
    </w:p>
  </w:footnote>
  <w:footnote w:id="3">
    <w:p w:rsidR="00DD178A" w:rsidRDefault="00DD17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C77">
        <w:t>Declaration of Mathew Perkinson</w:t>
      </w:r>
      <w:r w:rsidR="00475C77" w:rsidRPr="00475C77">
        <w:t>, ¶ 9</w:t>
      </w:r>
      <w:r w:rsidRPr="00475C77">
        <w:t>.</w:t>
      </w:r>
    </w:p>
  </w:footnote>
  <w:footnote w:id="4">
    <w:p w:rsidR="003C017C" w:rsidRDefault="003C017C" w:rsidP="003C01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52FC">
        <w:rPr>
          <w:i/>
        </w:rPr>
        <w:t>Id.</w:t>
      </w:r>
      <w:r w:rsidR="00DD52FC">
        <w:t xml:space="preserve"> at ¶ 12</w:t>
      </w:r>
      <w:r>
        <w:t xml:space="preserve">. </w:t>
      </w:r>
    </w:p>
  </w:footnote>
  <w:footnote w:id="5">
    <w:p w:rsidR="0062128F" w:rsidRDefault="0062128F" w:rsidP="0062128F">
      <w:pPr>
        <w:pStyle w:val="FootnoteText"/>
      </w:pPr>
      <w:r>
        <w:rPr>
          <w:rStyle w:val="FootnoteReference"/>
        </w:rPr>
        <w:footnoteRef/>
      </w:r>
      <w:r>
        <w:t xml:space="preserve"> Order 01, ¶¶ 17–18, p. 5.</w:t>
      </w:r>
    </w:p>
  </w:footnote>
  <w:footnote w:id="6">
    <w:p w:rsidR="00FB75CD" w:rsidRPr="00C928BB" w:rsidRDefault="00FB75CD" w:rsidP="00FB75CD">
      <w:pPr>
        <w:pStyle w:val="FootnoteText"/>
      </w:pPr>
      <w:r>
        <w:rPr>
          <w:rStyle w:val="FootnoteReference"/>
        </w:rPr>
        <w:footnoteRef/>
      </w:r>
      <w:r>
        <w:t xml:space="preserve"> Note that one of these companies, A+ Always Moving, Inc., like </w:t>
      </w:r>
      <w:r w:rsidRPr="00623337">
        <w:t>3rd Generation, has not paid penalties</w:t>
      </w:r>
      <w:r w:rsidR="006D13E3">
        <w:t>,</w:t>
      </w:r>
      <w:r w:rsidRPr="00623337">
        <w:t xml:space="preserve"> issued </w:t>
      </w:r>
      <w:r w:rsidR="002C53F0">
        <w:t>July 23, 2012</w:t>
      </w:r>
      <w:r w:rsidR="00AB5356">
        <w:t>, for failure to file an annual report and remit the regulatory fee</w:t>
      </w:r>
      <w:r w:rsidR="002C53F0">
        <w:t xml:space="preserve"> (Docket TV-120902)</w:t>
      </w:r>
      <w:r w:rsidR="005E4031">
        <w:t>.</w:t>
      </w:r>
      <w:r w:rsidR="00C928BB">
        <w:t xml:space="preserve">  </w:t>
      </w:r>
      <w:r w:rsidR="00C928BB">
        <w:rPr>
          <w:i/>
        </w:rPr>
        <w:t xml:space="preserve">See </w:t>
      </w:r>
      <w:r w:rsidR="00C928BB">
        <w:t>TR. 24:16–19.</w:t>
      </w:r>
    </w:p>
  </w:footnote>
  <w:footnote w:id="7">
    <w:p w:rsidR="00A538B6" w:rsidRDefault="00A538B6">
      <w:pPr>
        <w:pStyle w:val="FootnoteText"/>
      </w:pPr>
      <w:r>
        <w:rPr>
          <w:rStyle w:val="FootnoteReference"/>
        </w:rPr>
        <w:footnoteRef/>
      </w:r>
      <w:r>
        <w:t xml:space="preserve"> These companies each had submitted an annual report and regulatory fee </w:t>
      </w:r>
      <w:r w:rsidR="003C6F4A">
        <w:t xml:space="preserve">before the hearing </w:t>
      </w:r>
      <w:r>
        <w:t>but had not paid the statutory late-remission penalty under RCW 81.80.321.</w:t>
      </w:r>
    </w:p>
  </w:footnote>
  <w:footnote w:id="8">
    <w:p w:rsidR="00985D0A" w:rsidRDefault="00985D0A">
      <w:pPr>
        <w:pStyle w:val="FootnoteText"/>
      </w:pPr>
      <w:r>
        <w:rPr>
          <w:rStyle w:val="FootnoteReference"/>
        </w:rPr>
        <w:footnoteRef/>
      </w:r>
      <w:r>
        <w:t xml:space="preserve"> Order 01, ¶ 35, p. 7.</w:t>
      </w:r>
    </w:p>
  </w:footnote>
  <w:footnote w:id="9">
    <w:p w:rsidR="00985D0A" w:rsidRDefault="00985D0A">
      <w:pPr>
        <w:pStyle w:val="FootnoteText"/>
      </w:pPr>
      <w:r>
        <w:rPr>
          <w:rStyle w:val="FootnoteReference"/>
        </w:rPr>
        <w:footnoteRef/>
      </w:r>
      <w:r>
        <w:t xml:space="preserve"> Order 01</w:t>
      </w:r>
      <w:r w:rsidR="006D13E3">
        <w:t>,</w:t>
      </w:r>
      <w:r>
        <w:t xml:space="preserve"> ¶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8D8"/>
    <w:rsid w:val="00007F7F"/>
    <w:rsid w:val="00025DB8"/>
    <w:rsid w:val="000307F2"/>
    <w:rsid w:val="00077A7A"/>
    <w:rsid w:val="00157BD4"/>
    <w:rsid w:val="00194370"/>
    <w:rsid w:val="001A3E51"/>
    <w:rsid w:val="001C1188"/>
    <w:rsid w:val="001F07AA"/>
    <w:rsid w:val="00203A8E"/>
    <w:rsid w:val="002158E9"/>
    <w:rsid w:val="00217DF3"/>
    <w:rsid w:val="0022004E"/>
    <w:rsid w:val="0025442A"/>
    <w:rsid w:val="00255923"/>
    <w:rsid w:val="002869B7"/>
    <w:rsid w:val="002C3B3A"/>
    <w:rsid w:val="002C53F0"/>
    <w:rsid w:val="00301085"/>
    <w:rsid w:val="00310240"/>
    <w:rsid w:val="003117FE"/>
    <w:rsid w:val="00394AA2"/>
    <w:rsid w:val="003C017C"/>
    <w:rsid w:val="003C047A"/>
    <w:rsid w:val="003C391E"/>
    <w:rsid w:val="003C5390"/>
    <w:rsid w:val="003C6F4A"/>
    <w:rsid w:val="003E3B7E"/>
    <w:rsid w:val="003F1945"/>
    <w:rsid w:val="004126EA"/>
    <w:rsid w:val="00420F5F"/>
    <w:rsid w:val="00434336"/>
    <w:rsid w:val="00463636"/>
    <w:rsid w:val="00475C77"/>
    <w:rsid w:val="004A26FF"/>
    <w:rsid w:val="004A4F64"/>
    <w:rsid w:val="004C3D65"/>
    <w:rsid w:val="004F67A6"/>
    <w:rsid w:val="004F69A5"/>
    <w:rsid w:val="00501FFC"/>
    <w:rsid w:val="00502F50"/>
    <w:rsid w:val="00523A48"/>
    <w:rsid w:val="00595D41"/>
    <w:rsid w:val="005A5E6E"/>
    <w:rsid w:val="005D5001"/>
    <w:rsid w:val="005E07C2"/>
    <w:rsid w:val="005E4031"/>
    <w:rsid w:val="0062128F"/>
    <w:rsid w:val="00623337"/>
    <w:rsid w:val="006304B4"/>
    <w:rsid w:val="00633EE1"/>
    <w:rsid w:val="00641F98"/>
    <w:rsid w:val="0065561B"/>
    <w:rsid w:val="0069633B"/>
    <w:rsid w:val="006A1DA6"/>
    <w:rsid w:val="006D13E3"/>
    <w:rsid w:val="006D258C"/>
    <w:rsid w:val="00737B08"/>
    <w:rsid w:val="007464F1"/>
    <w:rsid w:val="00764C3B"/>
    <w:rsid w:val="0076699B"/>
    <w:rsid w:val="0077789A"/>
    <w:rsid w:val="007B501B"/>
    <w:rsid w:val="007C1BA6"/>
    <w:rsid w:val="007C6CFF"/>
    <w:rsid w:val="008015B8"/>
    <w:rsid w:val="00815BBD"/>
    <w:rsid w:val="00835284"/>
    <w:rsid w:val="008400F6"/>
    <w:rsid w:val="00870B76"/>
    <w:rsid w:val="0089062F"/>
    <w:rsid w:val="008B561D"/>
    <w:rsid w:val="00923D3C"/>
    <w:rsid w:val="00944C71"/>
    <w:rsid w:val="00946C82"/>
    <w:rsid w:val="00985D0A"/>
    <w:rsid w:val="009B137C"/>
    <w:rsid w:val="009B226E"/>
    <w:rsid w:val="009C2DB0"/>
    <w:rsid w:val="009D3E3D"/>
    <w:rsid w:val="009D6057"/>
    <w:rsid w:val="009D7021"/>
    <w:rsid w:val="00A26702"/>
    <w:rsid w:val="00A30C52"/>
    <w:rsid w:val="00A40E30"/>
    <w:rsid w:val="00A538B6"/>
    <w:rsid w:val="00A74324"/>
    <w:rsid w:val="00A80028"/>
    <w:rsid w:val="00A918DE"/>
    <w:rsid w:val="00A96EF3"/>
    <w:rsid w:val="00A97E19"/>
    <w:rsid w:val="00AB5356"/>
    <w:rsid w:val="00AC2894"/>
    <w:rsid w:val="00AD44A9"/>
    <w:rsid w:val="00AF4193"/>
    <w:rsid w:val="00B53814"/>
    <w:rsid w:val="00B57F8C"/>
    <w:rsid w:val="00B73973"/>
    <w:rsid w:val="00BF2F67"/>
    <w:rsid w:val="00BF3CD1"/>
    <w:rsid w:val="00BF71A3"/>
    <w:rsid w:val="00C31590"/>
    <w:rsid w:val="00C360A4"/>
    <w:rsid w:val="00C5478B"/>
    <w:rsid w:val="00C62867"/>
    <w:rsid w:val="00C644B9"/>
    <w:rsid w:val="00C928BB"/>
    <w:rsid w:val="00CA3AB8"/>
    <w:rsid w:val="00CC5741"/>
    <w:rsid w:val="00D22816"/>
    <w:rsid w:val="00D526F8"/>
    <w:rsid w:val="00DA492F"/>
    <w:rsid w:val="00DB4F3A"/>
    <w:rsid w:val="00DD178A"/>
    <w:rsid w:val="00DD52FC"/>
    <w:rsid w:val="00E74DB9"/>
    <w:rsid w:val="00E95B96"/>
    <w:rsid w:val="00EA3AF5"/>
    <w:rsid w:val="00EB50DB"/>
    <w:rsid w:val="00EC1E01"/>
    <w:rsid w:val="00F35552"/>
    <w:rsid w:val="00F42647"/>
    <w:rsid w:val="00F748D8"/>
    <w:rsid w:val="00F77C60"/>
    <w:rsid w:val="00F96073"/>
    <w:rsid w:val="00FA58D9"/>
    <w:rsid w:val="00FB4C87"/>
    <w:rsid w:val="00FB75CD"/>
    <w:rsid w:val="00FD10CE"/>
    <w:rsid w:val="00FD7FE2"/>
    <w:rsid w:val="00FE097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NoSpacing">
    <w:name w:val="No Spacing"/>
    <w:uiPriority w:val="1"/>
    <w:qFormat/>
    <w:rsid w:val="00815BBD"/>
    <w:rPr>
      <w:rFonts w:eastAsia="Calibri"/>
      <w:sz w:val="25"/>
      <w:szCs w:val="22"/>
    </w:rPr>
  </w:style>
  <w:style w:type="paragraph" w:styleId="BalloonText">
    <w:name w:val="Balloon Text"/>
    <w:basedOn w:val="Normal"/>
    <w:link w:val="BalloonTextChar"/>
    <w:rsid w:val="00EC1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NoSpacing">
    <w:name w:val="No Spacing"/>
    <w:uiPriority w:val="1"/>
    <w:qFormat/>
    <w:rsid w:val="00815BBD"/>
    <w:rPr>
      <w:rFonts w:eastAsia="Calibri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2012-10-30T07:00:00+00:00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Hauling;A+ ALWAYS MOVING, INC.;A A Star Transfer Co Inc;Always Able Moving Service, LLC;Arays Moving Service LLC;GRAYPORT TRANSFER &amp; STORAGE CO., INC;Thunder Movers LLC</CaseCompanyNames>
    <DocketNumber xmlns="dc463f71-b30c-4ab2-9473-d307f9d35888">121722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D93203BCC8E41B0BC2DC3BBCA76A4" ma:contentTypeVersion="139" ma:contentTypeDescription="" ma:contentTypeScope="" ma:versionID="56eaede2496adddc9a17d928a0d5e1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199D3-ADF4-49A2-8A96-DBBD4EABA3D8}"/>
</file>

<file path=customXml/itemProps2.xml><?xml version="1.0" encoding="utf-8"?>
<ds:datastoreItem xmlns:ds="http://schemas.openxmlformats.org/officeDocument/2006/customXml" ds:itemID="{61665B77-1C63-4693-A570-FADA4C88151F}"/>
</file>

<file path=customXml/itemProps3.xml><?xml version="1.0" encoding="utf-8"?>
<ds:datastoreItem xmlns:ds="http://schemas.openxmlformats.org/officeDocument/2006/customXml" ds:itemID="{C46A4610-0C62-4E9D-909E-5C80CAF8A103}"/>
</file>

<file path=customXml/itemProps4.xml><?xml version="1.0" encoding="utf-8"?>
<ds:datastoreItem xmlns:ds="http://schemas.openxmlformats.org/officeDocument/2006/customXml" ds:itemID="{10ACB705-46C1-4798-ACAA-0ACF37EE0440}"/>
</file>

<file path=customXml/itemProps5.xml><?xml version="1.0" encoding="utf-8"?>
<ds:datastoreItem xmlns:ds="http://schemas.openxmlformats.org/officeDocument/2006/customXml" ds:itemID="{6B65F447-C745-457D-A4F2-B1A7E5E6E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Cameron-Rulkowski, Jennifer (UTC)</cp:lastModifiedBy>
  <cp:revision>92</cp:revision>
  <dcterms:created xsi:type="dcterms:W3CDTF">2013-03-27T21:56:00Z</dcterms:created>
  <dcterms:modified xsi:type="dcterms:W3CDTF">2013-04-01T21:48:00Z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0x0101006E56B4D1795A2E4DB2F0B01679ED314A00ED3D93203BCC8E41B0BC2DC3BBCA76A4</vt:lpwstr>
  </property>
  <property fmtid="{D5CDD505-2E9C-101B-9397-08002B2CF9AE}" pid="3" name="_docset_NoMedatataSyncRequired">
    <vt:lpwstr>False</vt:lpwstr>
  </property>
</Properties>
</file>