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2A8" w:rsidRDefault="00E012A8" w:rsidP="00E012A8">
      <w:pPr>
        <w:tabs>
          <w:tab w:val="center" w:pos="4680"/>
        </w:tabs>
        <w:jc w:val="center"/>
      </w:pPr>
    </w:p>
    <w:p w:rsidR="008E2067" w:rsidRDefault="008E2067" w:rsidP="00E012A8">
      <w:pPr>
        <w:tabs>
          <w:tab w:val="center" w:pos="4680"/>
        </w:tabs>
        <w:jc w:val="center"/>
      </w:pPr>
    </w:p>
    <w:p w:rsidR="008E2067" w:rsidRDefault="008E2067" w:rsidP="00E012A8">
      <w:pPr>
        <w:tabs>
          <w:tab w:val="center" w:pos="4680"/>
        </w:tabs>
        <w:jc w:val="center"/>
      </w:pPr>
    </w:p>
    <w:p w:rsidR="008E2067" w:rsidRDefault="008E2067" w:rsidP="00E012A8">
      <w:pPr>
        <w:tabs>
          <w:tab w:val="center" w:pos="4680"/>
        </w:tabs>
        <w:jc w:val="center"/>
      </w:pPr>
    </w:p>
    <w:p w:rsidR="008E2067" w:rsidRPr="007C62D9" w:rsidRDefault="008E2067" w:rsidP="00E012A8">
      <w:pPr>
        <w:tabs>
          <w:tab w:val="center" w:pos="4680"/>
        </w:tabs>
        <w:jc w:val="center"/>
      </w:pPr>
    </w:p>
    <w:p w:rsidR="00E012A8" w:rsidRPr="007C62D9" w:rsidRDefault="00E012A8" w:rsidP="00E012A8">
      <w:pPr>
        <w:tabs>
          <w:tab w:val="center" w:pos="4680"/>
        </w:tabs>
        <w:jc w:val="center"/>
      </w:pPr>
    </w:p>
    <w:p w:rsidR="00E012A8" w:rsidRPr="007C62D9" w:rsidRDefault="00E012A8" w:rsidP="00E012A8">
      <w:pPr>
        <w:tabs>
          <w:tab w:val="center" w:pos="4680"/>
        </w:tabs>
        <w:ind w:left="-360" w:right="-252"/>
        <w:jc w:val="center"/>
        <w:rPr>
          <w:b/>
        </w:rPr>
      </w:pPr>
      <w:r w:rsidRPr="007C62D9">
        <w:rPr>
          <w:b/>
        </w:rPr>
        <w:t xml:space="preserve">BEFORE THE </w:t>
      </w:r>
      <w:smartTag w:uri="urn:schemas-microsoft-com:office:smarttags" w:element="State">
        <w:smartTag w:uri="urn:schemas-microsoft-com:office:smarttags" w:element="place">
          <w:r w:rsidRPr="007C62D9">
            <w:rPr>
              <w:b/>
            </w:rPr>
            <w:t>WASHINGTON</w:t>
          </w:r>
        </w:smartTag>
      </w:smartTag>
      <w:r w:rsidRPr="007C62D9">
        <w:rPr>
          <w:b/>
        </w:rPr>
        <w:t xml:space="preserve"> UTILITIES AND TRANSPORTATION COMMISSION</w:t>
      </w:r>
    </w:p>
    <w:p w:rsidR="00E012A8" w:rsidRPr="007C62D9" w:rsidRDefault="00E012A8" w:rsidP="00E012A8">
      <w:pPr>
        <w:jc w:val="both"/>
        <w:rPr>
          <w:b/>
        </w:rPr>
      </w:pPr>
    </w:p>
    <w:p w:rsidR="00E012A8" w:rsidRPr="007C62D9" w:rsidRDefault="00E012A8" w:rsidP="00E012A8">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E012A8" w:rsidRPr="00625667" w:rsidTr="005F2DA1">
        <w:tc>
          <w:tcPr>
            <w:tcW w:w="4590" w:type="dxa"/>
            <w:tcBorders>
              <w:top w:val="single" w:sz="6" w:space="0" w:color="FFFFFF"/>
              <w:left w:val="single" w:sz="6" w:space="0" w:color="FFFFFF"/>
              <w:bottom w:val="single" w:sz="6" w:space="0" w:color="FFFFFF"/>
              <w:right w:val="single" w:sz="6" w:space="0" w:color="FFFFFF"/>
            </w:tcBorders>
          </w:tcPr>
          <w:p w:rsidR="00E012A8" w:rsidRPr="00B04550" w:rsidRDefault="00B04550" w:rsidP="00B04550">
            <w:pPr>
              <w:pStyle w:val="NoSpacing"/>
              <w:spacing w:line="264" w:lineRule="auto"/>
              <w:rPr>
                <w:rFonts w:ascii="Times New Roman" w:hAnsi="Times New Roman"/>
                <w:b/>
              </w:rPr>
            </w:pPr>
            <w:r w:rsidRPr="00B04550">
              <w:rPr>
                <w:rFonts w:ascii="Times New Roman" w:hAnsi="Times New Roman"/>
                <w:b/>
              </w:rPr>
              <w:t>Puget Sound Energy, Inc., Federal Incentive Tracker Tariff Filing</w:t>
            </w:r>
          </w:p>
        </w:tc>
        <w:tc>
          <w:tcPr>
            <w:tcW w:w="4590" w:type="dxa"/>
            <w:tcBorders>
              <w:top w:val="single" w:sz="6" w:space="0" w:color="FFFFFF"/>
              <w:left w:val="single" w:sz="6" w:space="0" w:color="000000"/>
              <w:bottom w:val="single" w:sz="6" w:space="0" w:color="FFFFFF"/>
              <w:right w:val="single" w:sz="6" w:space="0" w:color="FFFFFF"/>
            </w:tcBorders>
          </w:tcPr>
          <w:p w:rsidR="00E012A8" w:rsidRPr="00625667" w:rsidRDefault="00E012A8" w:rsidP="005F2DA1">
            <w:pPr>
              <w:ind w:firstLine="720"/>
              <w:rPr>
                <w:b/>
              </w:rPr>
            </w:pPr>
            <w:r>
              <w:rPr>
                <w:b/>
              </w:rPr>
              <w:t xml:space="preserve">DOCKET </w:t>
            </w:r>
            <w:r w:rsidR="00B04550" w:rsidRPr="00B04550">
              <w:rPr>
                <w:rFonts w:cs="Times New Roman"/>
                <w:b/>
              </w:rPr>
              <w:t>UE-120277</w:t>
            </w:r>
          </w:p>
          <w:p w:rsidR="00E012A8" w:rsidRPr="00625667" w:rsidRDefault="00E012A8" w:rsidP="005F2DA1">
            <w:pPr>
              <w:rPr>
                <w:b/>
              </w:rPr>
            </w:pPr>
          </w:p>
          <w:p w:rsidR="00E012A8" w:rsidRPr="007C62D9" w:rsidRDefault="00E012A8" w:rsidP="005F2DA1">
            <w:pPr>
              <w:pStyle w:val="BodyTextIndent2"/>
              <w:rPr>
                <w:b/>
              </w:rPr>
            </w:pPr>
          </w:p>
        </w:tc>
      </w:tr>
      <w:tr w:rsidR="00E012A8" w:rsidRPr="00625667" w:rsidTr="00B04550">
        <w:trPr>
          <w:trHeight w:val="74"/>
        </w:trPr>
        <w:tc>
          <w:tcPr>
            <w:tcW w:w="4590" w:type="dxa"/>
            <w:tcBorders>
              <w:top w:val="single" w:sz="6" w:space="0" w:color="FFFFFF"/>
              <w:left w:val="single" w:sz="6" w:space="0" w:color="FFFFFF"/>
              <w:bottom w:val="single" w:sz="6" w:space="0" w:color="000000"/>
              <w:right w:val="single" w:sz="6" w:space="0" w:color="FFFFFF"/>
            </w:tcBorders>
          </w:tcPr>
          <w:p w:rsidR="00E012A8" w:rsidRPr="00625667" w:rsidRDefault="00E012A8" w:rsidP="005F2DA1">
            <w:pPr>
              <w:rPr>
                <w:b/>
              </w:rPr>
            </w:pPr>
          </w:p>
        </w:tc>
        <w:tc>
          <w:tcPr>
            <w:tcW w:w="4590" w:type="dxa"/>
            <w:tcBorders>
              <w:top w:val="single" w:sz="6" w:space="0" w:color="FFFFFF"/>
              <w:left w:val="single" w:sz="6" w:space="0" w:color="000000"/>
              <w:bottom w:val="single" w:sz="6" w:space="0" w:color="FFFFFF"/>
              <w:right w:val="single" w:sz="6" w:space="0" w:color="FFFFFF"/>
            </w:tcBorders>
          </w:tcPr>
          <w:p w:rsidR="00E012A8" w:rsidRPr="00625667" w:rsidRDefault="00E012A8" w:rsidP="005F2DA1">
            <w:pPr>
              <w:rPr>
                <w:b/>
              </w:rPr>
            </w:pPr>
          </w:p>
        </w:tc>
      </w:tr>
    </w:tbl>
    <w:p w:rsidR="00E012A8" w:rsidRPr="007C62D9" w:rsidRDefault="00E012A8" w:rsidP="00E012A8">
      <w:pPr>
        <w:rPr>
          <w:b/>
        </w:rPr>
      </w:pPr>
    </w:p>
    <w:p w:rsidR="00E012A8" w:rsidRPr="007C62D9" w:rsidRDefault="00E012A8" w:rsidP="00E012A8"/>
    <w:p w:rsidR="00E012A8" w:rsidRDefault="00E012A8" w:rsidP="00E012A8"/>
    <w:p w:rsidR="00A05B87" w:rsidRDefault="00A05B87" w:rsidP="00E012A8"/>
    <w:p w:rsidR="00A05B87" w:rsidRPr="007C62D9" w:rsidRDefault="00A05B87" w:rsidP="00E012A8"/>
    <w:p w:rsidR="00E012A8" w:rsidRPr="007C62D9" w:rsidRDefault="00E012A8" w:rsidP="00E012A8"/>
    <w:p w:rsidR="00E012A8" w:rsidRPr="007C62D9" w:rsidRDefault="00656848" w:rsidP="00E012A8">
      <w:pPr>
        <w:jc w:val="center"/>
        <w:rPr>
          <w:b/>
          <w:bCs/>
        </w:rPr>
      </w:pPr>
      <w:r>
        <w:rPr>
          <w:b/>
          <w:bCs/>
        </w:rPr>
        <w:t xml:space="preserve">RESPONSE </w:t>
      </w:r>
      <w:r w:rsidR="00E012A8" w:rsidRPr="007C62D9">
        <w:rPr>
          <w:b/>
          <w:bCs/>
        </w:rPr>
        <w:t>BRIEF ON BEHALF OF COMMISSION STAFF</w:t>
      </w:r>
    </w:p>
    <w:p w:rsidR="00E012A8" w:rsidRPr="007C62D9" w:rsidRDefault="00E012A8" w:rsidP="00E012A8">
      <w:pPr>
        <w:rPr>
          <w:b/>
          <w:bCs/>
        </w:rPr>
      </w:pPr>
    </w:p>
    <w:p w:rsidR="00E012A8" w:rsidRPr="007C62D9" w:rsidRDefault="00E012A8" w:rsidP="00E012A8">
      <w:pPr>
        <w:rPr>
          <w:b/>
          <w:bCs/>
        </w:rPr>
      </w:pPr>
    </w:p>
    <w:p w:rsidR="00E012A8" w:rsidRPr="007C62D9" w:rsidRDefault="00B04550" w:rsidP="00E012A8">
      <w:pPr>
        <w:ind w:left="3600" w:firstLine="720"/>
        <w:rPr>
          <w:b/>
          <w:bCs/>
        </w:rPr>
      </w:pPr>
      <w:r>
        <w:rPr>
          <w:b/>
          <w:bCs/>
        </w:rPr>
        <w:t xml:space="preserve">May 4, 2012 </w:t>
      </w:r>
    </w:p>
    <w:p w:rsidR="00E012A8" w:rsidRPr="007C62D9" w:rsidRDefault="00E012A8" w:rsidP="00E012A8">
      <w:pPr>
        <w:rPr>
          <w:b/>
          <w:bCs/>
        </w:rPr>
      </w:pPr>
    </w:p>
    <w:p w:rsidR="00E012A8" w:rsidRPr="007C62D9" w:rsidRDefault="00E012A8" w:rsidP="00E012A8">
      <w:pPr>
        <w:rPr>
          <w:b/>
          <w:bCs/>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t>ROBERT M. MCKENNA</w:t>
      </w:r>
    </w:p>
    <w:p w:rsidR="00E012A8" w:rsidRPr="007C62D9" w:rsidRDefault="00E012A8" w:rsidP="00E012A8">
      <w:pPr>
        <w:rPr>
          <w:b/>
          <w:bCs/>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t xml:space="preserve">Attorney General </w:t>
      </w:r>
    </w:p>
    <w:p w:rsidR="00E012A8" w:rsidRPr="007C62D9" w:rsidRDefault="00E012A8" w:rsidP="00E012A8">
      <w:pPr>
        <w:rPr>
          <w:b/>
          <w:bCs/>
        </w:rPr>
      </w:pPr>
    </w:p>
    <w:p w:rsidR="00E012A8" w:rsidRPr="007C62D9" w:rsidRDefault="00E012A8" w:rsidP="00E012A8">
      <w:pPr>
        <w:rPr>
          <w:b/>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r>
      <w:r w:rsidR="00656848">
        <w:rPr>
          <w:b/>
          <w:bCs/>
        </w:rPr>
        <w:t>ROBERT D. C</w:t>
      </w:r>
      <w:r w:rsidR="00B04550">
        <w:rPr>
          <w:b/>
          <w:bCs/>
        </w:rPr>
        <w:t>EDARBAUM</w:t>
      </w:r>
    </w:p>
    <w:p w:rsidR="00E012A8" w:rsidRPr="007C62D9" w:rsidRDefault="00E012A8" w:rsidP="00E012A8">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Assistant Attorney General </w:t>
      </w:r>
    </w:p>
    <w:p w:rsidR="00E012A8" w:rsidRPr="007C62D9" w:rsidRDefault="00E012A8" w:rsidP="00E012A8">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Office of the Attorney General </w:t>
      </w:r>
    </w:p>
    <w:p w:rsidR="00E012A8" w:rsidRPr="007C62D9" w:rsidRDefault="00E012A8" w:rsidP="00E012A8">
      <w:pPr>
        <w:rPr>
          <w:b/>
        </w:rPr>
      </w:pPr>
      <w:r w:rsidRPr="007C62D9">
        <w:rPr>
          <w:b/>
        </w:rPr>
        <w:tab/>
      </w:r>
      <w:r w:rsidRPr="007C62D9">
        <w:rPr>
          <w:b/>
        </w:rPr>
        <w:tab/>
      </w:r>
      <w:r w:rsidRPr="007C62D9">
        <w:rPr>
          <w:b/>
        </w:rPr>
        <w:tab/>
      </w:r>
      <w:r w:rsidRPr="007C62D9">
        <w:rPr>
          <w:b/>
        </w:rPr>
        <w:tab/>
      </w:r>
      <w:r w:rsidRPr="007C62D9">
        <w:rPr>
          <w:b/>
        </w:rPr>
        <w:tab/>
      </w:r>
      <w:r w:rsidRPr="007C62D9">
        <w:rPr>
          <w:b/>
        </w:rPr>
        <w:tab/>
        <w:t>Utilities &amp; Transportation Division</w:t>
      </w:r>
    </w:p>
    <w:p w:rsidR="00E012A8" w:rsidRPr="007C62D9" w:rsidRDefault="00E012A8" w:rsidP="00E012A8">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 </w:t>
      </w:r>
    </w:p>
    <w:p w:rsidR="00E012A8" w:rsidRPr="007C62D9" w:rsidRDefault="00E012A8" w:rsidP="00E012A8">
      <w:pPr>
        <w:rPr>
          <w:b/>
        </w:rPr>
      </w:pPr>
      <w:r w:rsidRPr="007C62D9">
        <w:rPr>
          <w:b/>
        </w:rPr>
        <w:tab/>
      </w:r>
      <w:r w:rsidRPr="007C62D9">
        <w:rPr>
          <w:b/>
        </w:rPr>
        <w:tab/>
      </w:r>
      <w:r w:rsidRPr="007C62D9">
        <w:rPr>
          <w:b/>
        </w:rPr>
        <w:tab/>
      </w:r>
      <w:r w:rsidRPr="007C62D9">
        <w:rPr>
          <w:b/>
        </w:rPr>
        <w:tab/>
      </w:r>
      <w:r w:rsidRPr="007C62D9">
        <w:rPr>
          <w:b/>
        </w:rPr>
        <w:tab/>
      </w:r>
      <w:r w:rsidRPr="007C62D9">
        <w:rPr>
          <w:b/>
        </w:rPr>
        <w:tab/>
      </w:r>
      <w:smartTag w:uri="urn:schemas-microsoft-com:office:smarttags" w:element="address">
        <w:smartTag w:uri="urn:schemas-microsoft-com:office:smarttags" w:element="Street">
          <w:r w:rsidRPr="007C62D9">
            <w:rPr>
              <w:b/>
            </w:rPr>
            <w:t>1400 S Evergreen Park Drive SW</w:t>
          </w:r>
        </w:smartTag>
      </w:smartTag>
      <w:r w:rsidRPr="007C62D9">
        <w:rPr>
          <w:b/>
        </w:rPr>
        <w:t xml:space="preserve"> </w:t>
      </w:r>
    </w:p>
    <w:p w:rsidR="00E012A8" w:rsidRPr="007C62D9" w:rsidRDefault="00E012A8" w:rsidP="00E012A8">
      <w:pPr>
        <w:rPr>
          <w:b/>
        </w:rPr>
      </w:pPr>
      <w:r w:rsidRPr="007C62D9">
        <w:rPr>
          <w:b/>
        </w:rPr>
        <w:tab/>
      </w:r>
      <w:r w:rsidRPr="007C62D9">
        <w:rPr>
          <w:b/>
        </w:rPr>
        <w:tab/>
      </w:r>
      <w:r w:rsidRPr="007C62D9">
        <w:rPr>
          <w:b/>
        </w:rPr>
        <w:tab/>
      </w:r>
      <w:r w:rsidRPr="007C62D9">
        <w:rPr>
          <w:b/>
        </w:rPr>
        <w:tab/>
      </w:r>
      <w:r w:rsidRPr="007C62D9">
        <w:rPr>
          <w:b/>
        </w:rPr>
        <w:tab/>
      </w:r>
      <w:r w:rsidRPr="007C62D9">
        <w:rPr>
          <w:b/>
        </w:rPr>
        <w:tab/>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7C62D9">
                <w:rPr>
                  <w:b/>
                </w:rPr>
                <w:t>P.O. Box</w:t>
              </w:r>
            </w:smartTag>
          </w:smartTag>
          <w:r w:rsidRPr="007C62D9">
            <w:rPr>
              <w:b/>
            </w:rPr>
            <w:t xml:space="preserve"> 40128</w:t>
          </w:r>
        </w:smartTag>
      </w:smartTag>
    </w:p>
    <w:p w:rsidR="00E012A8" w:rsidRPr="007C62D9" w:rsidRDefault="00E012A8" w:rsidP="00E012A8">
      <w:pPr>
        <w:rPr>
          <w:b/>
        </w:rPr>
      </w:pPr>
      <w:r w:rsidRPr="007C62D9">
        <w:rPr>
          <w:b/>
        </w:rPr>
        <w:tab/>
      </w:r>
      <w:r w:rsidRPr="007C62D9">
        <w:rPr>
          <w:b/>
        </w:rPr>
        <w:tab/>
      </w:r>
      <w:r w:rsidRPr="007C62D9">
        <w:rPr>
          <w:b/>
        </w:rPr>
        <w:tab/>
      </w:r>
      <w:r w:rsidRPr="007C62D9">
        <w:rPr>
          <w:b/>
        </w:rPr>
        <w:tab/>
      </w:r>
      <w:r w:rsidRPr="007C62D9">
        <w:rPr>
          <w:b/>
        </w:rPr>
        <w:tab/>
      </w:r>
      <w:r w:rsidRPr="007C62D9">
        <w:rPr>
          <w:b/>
        </w:rPr>
        <w:tab/>
      </w:r>
      <w:smartTag w:uri="urn:schemas-microsoft-com:office:smarttags" w:element="City">
        <w:smartTag w:uri="urn:schemas-microsoft-com:office:smarttags" w:element="place">
          <w:r w:rsidRPr="007C62D9">
            <w:rPr>
              <w:b/>
            </w:rPr>
            <w:t>Olympia</w:t>
          </w:r>
        </w:smartTag>
        <w:r w:rsidRPr="007C62D9">
          <w:rPr>
            <w:b/>
          </w:rPr>
          <w:t xml:space="preserve">, </w:t>
        </w:r>
        <w:smartTag w:uri="urn:schemas-microsoft-com:office:smarttags" w:element="PostalCode">
          <w:smartTag w:uri="urn:schemas-microsoft-com:office:smarttags" w:element="State">
            <w:r w:rsidRPr="007C62D9">
              <w:rPr>
                <w:b/>
              </w:rPr>
              <w:t>WA</w:t>
            </w:r>
          </w:smartTag>
        </w:smartTag>
        <w:r w:rsidRPr="007C62D9">
          <w:rPr>
            <w:b/>
          </w:rPr>
          <w:t xml:space="preserve">  </w:t>
        </w:r>
        <w:smartTag w:uri="urn:schemas-microsoft-com:office:smarttags" w:element="PostalCode">
          <w:r w:rsidRPr="007C62D9">
            <w:rPr>
              <w:b/>
            </w:rPr>
            <w:t>98504-0128</w:t>
          </w:r>
        </w:smartTag>
      </w:smartTag>
      <w:r w:rsidRPr="007C62D9">
        <w:rPr>
          <w:b/>
        </w:rPr>
        <w:t xml:space="preserve"> </w:t>
      </w:r>
    </w:p>
    <w:p w:rsidR="00E012A8" w:rsidRPr="00EF4795" w:rsidRDefault="00E012A8" w:rsidP="00E012A8">
      <w:pPr>
        <w:rPr>
          <w:b/>
          <w:bCs/>
        </w:rPr>
      </w:pPr>
      <w:r w:rsidRPr="00EF4795">
        <w:rPr>
          <w:b/>
        </w:rPr>
        <w:tab/>
      </w:r>
      <w:r w:rsidRPr="00EF4795">
        <w:rPr>
          <w:b/>
        </w:rPr>
        <w:tab/>
      </w:r>
      <w:r w:rsidRPr="00EF4795">
        <w:rPr>
          <w:b/>
        </w:rPr>
        <w:tab/>
      </w:r>
      <w:r w:rsidRPr="00EF4795">
        <w:rPr>
          <w:b/>
        </w:rPr>
        <w:tab/>
      </w:r>
      <w:r w:rsidRPr="00EF4795">
        <w:rPr>
          <w:b/>
        </w:rPr>
        <w:tab/>
      </w:r>
      <w:r w:rsidRPr="00EF4795">
        <w:rPr>
          <w:b/>
        </w:rPr>
        <w:tab/>
        <w:t>(360) 664-</w:t>
      </w:r>
      <w:r w:rsidR="001F011C">
        <w:rPr>
          <w:b/>
        </w:rPr>
        <w:t>1188</w:t>
      </w:r>
    </w:p>
    <w:p w:rsidR="00E012A8" w:rsidRDefault="00E012A8" w:rsidP="00E012A8"/>
    <w:p w:rsidR="00E012A8" w:rsidRDefault="00E012A8" w:rsidP="00E012A8"/>
    <w:p w:rsidR="00E012A8" w:rsidRDefault="00E012A8" w:rsidP="00E012A8"/>
    <w:p w:rsidR="00E012A8" w:rsidRPr="00B16752" w:rsidRDefault="00E012A8" w:rsidP="00E012A8">
      <w:pPr>
        <w:sectPr w:rsidR="00E012A8" w:rsidRPr="00B16752" w:rsidSect="005F2DA1">
          <w:pgSz w:w="12240" w:h="15840" w:code="1"/>
          <w:pgMar w:top="1440" w:right="1440" w:bottom="1440" w:left="1872" w:header="720" w:footer="720" w:gutter="0"/>
          <w:cols w:space="720"/>
          <w:docGrid w:linePitch="360"/>
        </w:sectPr>
      </w:pPr>
    </w:p>
    <w:p w:rsidR="00E012A8" w:rsidRPr="00B16752" w:rsidRDefault="00E012A8" w:rsidP="00E012A8">
      <w:pPr>
        <w:jc w:val="center"/>
      </w:pPr>
      <w:r w:rsidRPr="00B16752">
        <w:rPr>
          <w:b/>
          <w:bCs/>
        </w:rPr>
        <w:lastRenderedPageBreak/>
        <w:t>TABLE OF CONTENTS</w:t>
      </w:r>
    </w:p>
    <w:p w:rsidR="00E012A8" w:rsidRPr="00B16752" w:rsidRDefault="00E012A8" w:rsidP="00E012A8"/>
    <w:p w:rsidR="00E012A8" w:rsidRPr="00B16752" w:rsidRDefault="00E012A8" w:rsidP="00E012A8"/>
    <w:p w:rsidR="00E012A8" w:rsidRPr="00B16752" w:rsidRDefault="00E012A8" w:rsidP="00E77DE3">
      <w:pPr>
        <w:tabs>
          <w:tab w:val="left" w:pos="720"/>
          <w:tab w:val="left" w:pos="1440"/>
          <w:tab w:val="left" w:pos="2160"/>
          <w:tab w:val="right" w:leader="dot" w:pos="8820"/>
        </w:tabs>
      </w:pPr>
      <w:r w:rsidRPr="00B16752">
        <w:t>I.</w:t>
      </w:r>
      <w:r w:rsidRPr="00B16752">
        <w:tab/>
        <w:t xml:space="preserve">INTRODUCTION </w:t>
      </w:r>
      <w:r w:rsidRPr="00B16752">
        <w:tab/>
      </w:r>
      <w:r w:rsidR="00C535C2">
        <w:t>1</w:t>
      </w:r>
    </w:p>
    <w:p w:rsidR="00E012A8" w:rsidRPr="00B16752" w:rsidRDefault="00E012A8" w:rsidP="00E77DE3">
      <w:pPr>
        <w:tabs>
          <w:tab w:val="right" w:leader="dot" w:pos="8820"/>
        </w:tabs>
      </w:pPr>
    </w:p>
    <w:p w:rsidR="00B173E5" w:rsidRPr="00B173E5" w:rsidRDefault="00B173E5" w:rsidP="00E77DE3">
      <w:pPr>
        <w:tabs>
          <w:tab w:val="left" w:pos="720"/>
          <w:tab w:val="left" w:pos="1440"/>
          <w:tab w:val="left" w:pos="2160"/>
          <w:tab w:val="right" w:leader="dot" w:pos="8820"/>
        </w:tabs>
        <w:spacing w:line="480" w:lineRule="auto"/>
        <w:rPr>
          <w:rFonts w:cs="Times New Roman"/>
          <w:szCs w:val="24"/>
        </w:rPr>
      </w:pPr>
      <w:r w:rsidRPr="00B173E5">
        <w:rPr>
          <w:rFonts w:cs="Times New Roman"/>
          <w:szCs w:val="24"/>
        </w:rPr>
        <w:t>II.</w:t>
      </w:r>
      <w:r w:rsidRPr="00B173E5">
        <w:rPr>
          <w:rFonts w:cs="Times New Roman"/>
          <w:szCs w:val="24"/>
        </w:rPr>
        <w:tab/>
        <w:t>DISCUSSION</w:t>
      </w:r>
      <w:r>
        <w:rPr>
          <w:rFonts w:cs="Times New Roman"/>
          <w:szCs w:val="24"/>
        </w:rPr>
        <w:t xml:space="preserve"> </w:t>
      </w:r>
      <w:r>
        <w:rPr>
          <w:rFonts w:cs="Times New Roman"/>
          <w:szCs w:val="24"/>
        </w:rPr>
        <w:tab/>
      </w:r>
      <w:r w:rsidR="00C535C2">
        <w:rPr>
          <w:rFonts w:cs="Times New Roman"/>
          <w:szCs w:val="24"/>
        </w:rPr>
        <w:t>2</w:t>
      </w:r>
    </w:p>
    <w:p w:rsidR="00B173E5" w:rsidRDefault="00B173E5" w:rsidP="00E77DE3">
      <w:pPr>
        <w:tabs>
          <w:tab w:val="left" w:pos="720"/>
          <w:tab w:val="left" w:pos="1440"/>
          <w:tab w:val="left" w:pos="2160"/>
          <w:tab w:val="right" w:leader="dot" w:pos="8640"/>
          <w:tab w:val="right" w:leader="dot" w:pos="8820"/>
        </w:tabs>
        <w:rPr>
          <w:rFonts w:cs="Times New Roman"/>
          <w:szCs w:val="24"/>
        </w:rPr>
      </w:pPr>
      <w:r>
        <w:rPr>
          <w:rFonts w:cs="Times New Roman"/>
          <w:szCs w:val="24"/>
        </w:rPr>
        <w:tab/>
      </w:r>
      <w:r w:rsidRPr="00B173E5">
        <w:rPr>
          <w:rFonts w:cs="Times New Roman"/>
          <w:szCs w:val="24"/>
        </w:rPr>
        <w:t>A.</w:t>
      </w:r>
      <w:r w:rsidRPr="00B173E5">
        <w:rPr>
          <w:rFonts w:cs="Times New Roman"/>
          <w:szCs w:val="24"/>
        </w:rPr>
        <w:tab/>
        <w:t xml:space="preserve">The Express Language of NDAA Allows the Commission </w:t>
      </w:r>
    </w:p>
    <w:p w:rsidR="00B173E5" w:rsidRDefault="00B173E5" w:rsidP="00E77DE3">
      <w:pPr>
        <w:tabs>
          <w:tab w:val="left" w:pos="720"/>
          <w:tab w:val="left" w:pos="1440"/>
          <w:tab w:val="left" w:pos="2160"/>
          <w:tab w:val="right" w:leader="dot" w:pos="8640"/>
          <w:tab w:val="right" w:leader="dot" w:pos="8820"/>
        </w:tabs>
        <w:rPr>
          <w:rFonts w:cs="Times New Roman"/>
          <w:szCs w:val="24"/>
        </w:rPr>
      </w:pPr>
      <w:r>
        <w:rPr>
          <w:rFonts w:cs="Times New Roman"/>
          <w:szCs w:val="24"/>
        </w:rPr>
        <w:tab/>
      </w:r>
      <w:r>
        <w:rPr>
          <w:rFonts w:cs="Times New Roman"/>
          <w:szCs w:val="24"/>
        </w:rPr>
        <w:tab/>
      </w:r>
      <w:r w:rsidRPr="00B173E5">
        <w:rPr>
          <w:rFonts w:cs="Times New Roman"/>
          <w:szCs w:val="24"/>
        </w:rPr>
        <w:t xml:space="preserve">to Calculate Interest on the Treasury Grant Beginning </w:t>
      </w:r>
    </w:p>
    <w:p w:rsidR="00E012A8" w:rsidRPr="00B173E5" w:rsidRDefault="00B173E5" w:rsidP="00E77DE3">
      <w:pPr>
        <w:tabs>
          <w:tab w:val="left" w:pos="720"/>
          <w:tab w:val="left" w:pos="1440"/>
          <w:tab w:val="left" w:pos="2160"/>
          <w:tab w:val="right" w:leader="dot" w:pos="8820"/>
        </w:tabs>
      </w:pPr>
      <w:r>
        <w:rPr>
          <w:rFonts w:cs="Times New Roman"/>
          <w:szCs w:val="24"/>
        </w:rPr>
        <w:tab/>
      </w:r>
      <w:r>
        <w:rPr>
          <w:rFonts w:cs="Times New Roman"/>
          <w:szCs w:val="24"/>
        </w:rPr>
        <w:tab/>
      </w:r>
      <w:r w:rsidRPr="00B173E5">
        <w:rPr>
          <w:rFonts w:cs="Times New Roman"/>
          <w:szCs w:val="24"/>
        </w:rPr>
        <w:t>February 23, 2010</w:t>
      </w:r>
      <w:r>
        <w:rPr>
          <w:rFonts w:cs="Times New Roman"/>
          <w:szCs w:val="24"/>
        </w:rPr>
        <w:t xml:space="preserve"> </w:t>
      </w:r>
      <w:r>
        <w:rPr>
          <w:rFonts w:cs="Times New Roman"/>
          <w:szCs w:val="24"/>
        </w:rPr>
        <w:tab/>
      </w:r>
      <w:r w:rsidR="00C535C2">
        <w:rPr>
          <w:rFonts w:cs="Times New Roman"/>
          <w:szCs w:val="24"/>
        </w:rPr>
        <w:t>2</w:t>
      </w:r>
    </w:p>
    <w:p w:rsidR="00E012A8" w:rsidRPr="00B16752" w:rsidRDefault="00E012A8" w:rsidP="00E77DE3">
      <w:pPr>
        <w:tabs>
          <w:tab w:val="right" w:leader="dot" w:pos="8820"/>
        </w:tabs>
      </w:pPr>
    </w:p>
    <w:p w:rsidR="00B173E5" w:rsidRDefault="00B173E5" w:rsidP="00E77DE3">
      <w:pPr>
        <w:tabs>
          <w:tab w:val="left" w:pos="1440"/>
          <w:tab w:val="left" w:pos="2160"/>
          <w:tab w:val="right" w:leader="dot" w:pos="8820"/>
        </w:tabs>
        <w:ind w:firstLine="720"/>
        <w:rPr>
          <w:rFonts w:cs="Times New Roman"/>
          <w:szCs w:val="24"/>
        </w:rPr>
      </w:pPr>
      <w:r w:rsidRPr="00B173E5">
        <w:rPr>
          <w:color w:val="000000"/>
          <w:szCs w:val="24"/>
        </w:rPr>
        <w:t>B.</w:t>
      </w:r>
      <w:r w:rsidRPr="00B173E5">
        <w:rPr>
          <w:color w:val="000000"/>
          <w:szCs w:val="24"/>
        </w:rPr>
        <w:tab/>
        <w:t>T</w:t>
      </w:r>
      <w:r w:rsidRPr="00B173E5">
        <w:rPr>
          <w:rFonts w:cs="Times New Roman"/>
          <w:szCs w:val="24"/>
        </w:rPr>
        <w:t xml:space="preserve">he Calculation of Interest on the Treasury Grant from </w:t>
      </w:r>
    </w:p>
    <w:p w:rsidR="00B173E5" w:rsidRDefault="00B173E5" w:rsidP="00E77DE3">
      <w:pPr>
        <w:tabs>
          <w:tab w:val="right" w:leader="dot" w:pos="8820"/>
        </w:tabs>
        <w:ind w:left="720" w:firstLine="720"/>
        <w:rPr>
          <w:rFonts w:cs="Times New Roman"/>
          <w:szCs w:val="24"/>
        </w:rPr>
      </w:pPr>
      <w:r w:rsidRPr="00B173E5">
        <w:rPr>
          <w:rFonts w:cs="Times New Roman"/>
          <w:szCs w:val="24"/>
        </w:rPr>
        <w:t>February 23, 2010</w:t>
      </w:r>
      <w:r w:rsidR="00303DBA">
        <w:rPr>
          <w:rFonts w:cs="Times New Roman"/>
          <w:szCs w:val="24"/>
        </w:rPr>
        <w:t>,</w:t>
      </w:r>
      <w:r w:rsidRPr="00B173E5">
        <w:rPr>
          <w:rFonts w:cs="Times New Roman"/>
          <w:szCs w:val="24"/>
        </w:rPr>
        <w:t xml:space="preserve"> Does Not Constitute Retroactive Ratemaking </w:t>
      </w:r>
    </w:p>
    <w:p w:rsidR="00E012A8" w:rsidRDefault="00B173E5" w:rsidP="00E77DE3">
      <w:pPr>
        <w:tabs>
          <w:tab w:val="left" w:pos="720"/>
          <w:tab w:val="left" w:pos="1440"/>
          <w:tab w:val="left" w:pos="2160"/>
          <w:tab w:val="left" w:pos="2880"/>
          <w:tab w:val="left" w:pos="3600"/>
          <w:tab w:val="right" w:leader="dot" w:pos="8820"/>
        </w:tabs>
        <w:ind w:left="720" w:firstLine="720"/>
        <w:rPr>
          <w:rFonts w:cs="Times New Roman"/>
          <w:szCs w:val="24"/>
        </w:rPr>
      </w:pPr>
      <w:r w:rsidRPr="00B173E5">
        <w:rPr>
          <w:rFonts w:cs="Times New Roman"/>
          <w:szCs w:val="24"/>
        </w:rPr>
        <w:t>and Does Not Violate the Filed Rate Doctrine</w:t>
      </w:r>
      <w:r>
        <w:rPr>
          <w:rFonts w:cs="Times New Roman"/>
          <w:szCs w:val="24"/>
        </w:rPr>
        <w:t xml:space="preserve"> </w:t>
      </w:r>
      <w:r>
        <w:rPr>
          <w:rFonts w:cs="Times New Roman"/>
          <w:szCs w:val="24"/>
        </w:rPr>
        <w:tab/>
      </w:r>
      <w:r w:rsidR="00C535C2">
        <w:rPr>
          <w:rFonts w:cs="Times New Roman"/>
          <w:szCs w:val="24"/>
        </w:rPr>
        <w:t>7</w:t>
      </w:r>
    </w:p>
    <w:p w:rsidR="00405047" w:rsidRDefault="00405047" w:rsidP="00E77DE3">
      <w:pPr>
        <w:tabs>
          <w:tab w:val="left" w:pos="720"/>
          <w:tab w:val="left" w:pos="1440"/>
          <w:tab w:val="left" w:pos="2160"/>
          <w:tab w:val="left" w:pos="2880"/>
          <w:tab w:val="left" w:pos="3600"/>
          <w:tab w:val="right" w:leader="dot" w:pos="8820"/>
        </w:tabs>
        <w:rPr>
          <w:rFonts w:cs="Times New Roman"/>
          <w:szCs w:val="24"/>
        </w:rPr>
      </w:pPr>
    </w:p>
    <w:p w:rsidR="00405047" w:rsidRDefault="00405047" w:rsidP="00E77DE3">
      <w:pPr>
        <w:tabs>
          <w:tab w:val="left" w:pos="720"/>
          <w:tab w:val="left" w:pos="1440"/>
          <w:tab w:val="left" w:pos="2160"/>
          <w:tab w:val="left" w:pos="2880"/>
          <w:tab w:val="left" w:pos="3600"/>
          <w:tab w:val="right" w:leader="dot" w:pos="8820"/>
        </w:tabs>
        <w:rPr>
          <w:rFonts w:cs="Times New Roman"/>
          <w:szCs w:val="24"/>
        </w:rPr>
      </w:pPr>
      <w:r>
        <w:rPr>
          <w:b/>
        </w:rPr>
        <w:tab/>
      </w:r>
      <w:r w:rsidRPr="00405047">
        <w:t>C.</w:t>
      </w:r>
      <w:r w:rsidRPr="00405047">
        <w:tab/>
      </w:r>
      <w:r w:rsidRPr="00405047">
        <w:rPr>
          <w:color w:val="000000"/>
          <w:szCs w:val="24"/>
        </w:rPr>
        <w:t>T</w:t>
      </w:r>
      <w:r w:rsidRPr="00405047">
        <w:rPr>
          <w:rFonts w:cs="Times New Roman"/>
          <w:szCs w:val="24"/>
        </w:rPr>
        <w:t xml:space="preserve">he Calculation of Interest on the Treasury Grant from </w:t>
      </w:r>
    </w:p>
    <w:p w:rsidR="00405047" w:rsidRPr="00405047" w:rsidRDefault="00405047" w:rsidP="00E77DE3">
      <w:pPr>
        <w:tabs>
          <w:tab w:val="left" w:pos="720"/>
          <w:tab w:val="left" w:pos="1440"/>
          <w:tab w:val="left" w:pos="2160"/>
          <w:tab w:val="left" w:pos="2880"/>
          <w:tab w:val="left" w:pos="3600"/>
          <w:tab w:val="right" w:leader="dot" w:pos="8820"/>
        </w:tabs>
      </w:pPr>
      <w:r>
        <w:rPr>
          <w:rFonts w:cs="Times New Roman"/>
          <w:szCs w:val="24"/>
        </w:rPr>
        <w:tab/>
      </w:r>
      <w:r>
        <w:rPr>
          <w:rFonts w:cs="Times New Roman"/>
          <w:szCs w:val="24"/>
        </w:rPr>
        <w:tab/>
      </w:r>
      <w:r w:rsidRPr="00405047">
        <w:rPr>
          <w:rFonts w:cs="Times New Roman"/>
          <w:szCs w:val="24"/>
        </w:rPr>
        <w:t>February 23, 2010</w:t>
      </w:r>
      <w:r w:rsidR="00303DBA">
        <w:rPr>
          <w:rFonts w:cs="Times New Roman"/>
          <w:szCs w:val="24"/>
        </w:rPr>
        <w:t>,</w:t>
      </w:r>
      <w:r w:rsidRPr="00405047">
        <w:rPr>
          <w:rFonts w:cs="Times New Roman"/>
          <w:szCs w:val="24"/>
        </w:rPr>
        <w:t xml:space="preserve"> Implements Important Public Policy</w:t>
      </w:r>
      <w:r>
        <w:rPr>
          <w:rFonts w:cs="Times New Roman"/>
          <w:szCs w:val="24"/>
        </w:rPr>
        <w:t xml:space="preserve"> </w:t>
      </w:r>
      <w:r>
        <w:rPr>
          <w:rFonts w:cs="Times New Roman"/>
          <w:szCs w:val="24"/>
        </w:rPr>
        <w:tab/>
      </w:r>
      <w:r w:rsidR="00C535C2">
        <w:rPr>
          <w:rFonts w:cs="Times New Roman"/>
          <w:szCs w:val="24"/>
        </w:rPr>
        <w:t>12</w:t>
      </w:r>
    </w:p>
    <w:p w:rsidR="00E012A8" w:rsidRDefault="00E012A8" w:rsidP="00E77DE3">
      <w:pPr>
        <w:tabs>
          <w:tab w:val="right" w:leader="dot" w:pos="8820"/>
        </w:tabs>
      </w:pPr>
    </w:p>
    <w:p w:rsidR="00A32F45" w:rsidRPr="00405047" w:rsidRDefault="00A32F45" w:rsidP="00E77DE3">
      <w:pPr>
        <w:tabs>
          <w:tab w:val="left" w:pos="720"/>
          <w:tab w:val="left" w:pos="1440"/>
          <w:tab w:val="left" w:pos="2160"/>
          <w:tab w:val="right" w:leader="dot" w:pos="8820"/>
          <w:tab w:val="right" w:leader="dot" w:pos="9000"/>
        </w:tabs>
      </w:pPr>
      <w:r>
        <w:t>III.</w:t>
      </w:r>
      <w:r>
        <w:tab/>
        <w:t>CONC</w:t>
      </w:r>
      <w:r w:rsidR="00032477">
        <w:t>LU</w:t>
      </w:r>
      <w:r>
        <w:t xml:space="preserve">SION </w:t>
      </w:r>
      <w:r>
        <w:tab/>
        <w:t>15</w:t>
      </w:r>
    </w:p>
    <w:p w:rsidR="00E012A8" w:rsidRDefault="00E012A8" w:rsidP="00E012A8"/>
    <w:p w:rsidR="00E012A8" w:rsidRDefault="00E012A8" w:rsidP="00E012A8">
      <w:pPr>
        <w:jc w:val="center"/>
      </w:pPr>
      <w:r>
        <w:br w:type="page"/>
      </w:r>
      <w:r>
        <w:rPr>
          <w:b/>
        </w:rPr>
        <w:lastRenderedPageBreak/>
        <w:t>TABLE OF AUTHORITIES</w:t>
      </w:r>
    </w:p>
    <w:p w:rsidR="00E012A8" w:rsidRDefault="00E012A8" w:rsidP="00E012A8">
      <w:pPr>
        <w:jc w:val="center"/>
      </w:pPr>
    </w:p>
    <w:p w:rsidR="00E012A8" w:rsidRDefault="00E012A8" w:rsidP="00E012A8">
      <w:pPr>
        <w:jc w:val="center"/>
      </w:pPr>
    </w:p>
    <w:p w:rsidR="00E012A8" w:rsidRDefault="00E012A8" w:rsidP="00E012A8">
      <w:pPr>
        <w:jc w:val="center"/>
      </w:pPr>
      <w:r>
        <w:rPr>
          <w:i/>
        </w:rPr>
        <w:t>Table of Cases</w:t>
      </w:r>
    </w:p>
    <w:p w:rsidR="00E012A8" w:rsidRDefault="00E012A8" w:rsidP="00E012A8"/>
    <w:p w:rsidR="00547717" w:rsidRDefault="00547717" w:rsidP="00547717">
      <w:pPr>
        <w:tabs>
          <w:tab w:val="left" w:pos="720"/>
          <w:tab w:val="left" w:pos="1440"/>
          <w:tab w:val="left" w:pos="2160"/>
          <w:tab w:val="right" w:leader="dot" w:pos="8640"/>
        </w:tabs>
      </w:pPr>
      <w:r w:rsidRPr="00D15043">
        <w:rPr>
          <w:i/>
        </w:rPr>
        <w:t>Fernandez-Vargas v. Gonzales</w:t>
      </w:r>
      <w:r w:rsidRPr="00D15043">
        <w:t xml:space="preserve">, </w:t>
      </w:r>
    </w:p>
    <w:p w:rsidR="00547717" w:rsidRDefault="00547717" w:rsidP="00547717">
      <w:pPr>
        <w:tabs>
          <w:tab w:val="left" w:pos="720"/>
          <w:tab w:val="left" w:pos="1440"/>
          <w:tab w:val="left" w:pos="2160"/>
          <w:tab w:val="right" w:leader="dot" w:pos="8640"/>
        </w:tabs>
      </w:pPr>
      <w:r>
        <w:tab/>
      </w:r>
      <w:r w:rsidR="008C3EB4">
        <w:t>549 U.S. 30</w:t>
      </w:r>
      <w:r w:rsidRPr="00D15043">
        <w:t xml:space="preserve"> (2006)</w:t>
      </w:r>
      <w:r>
        <w:t xml:space="preserve"> </w:t>
      </w:r>
      <w:r>
        <w:tab/>
      </w:r>
      <w:r w:rsidR="00C535C2">
        <w:t>4</w:t>
      </w:r>
    </w:p>
    <w:p w:rsidR="00547717" w:rsidRDefault="00547717" w:rsidP="00547717">
      <w:pPr>
        <w:tabs>
          <w:tab w:val="left" w:pos="720"/>
          <w:tab w:val="left" w:pos="1440"/>
          <w:tab w:val="left" w:pos="2160"/>
          <w:tab w:val="right" w:leader="dot" w:pos="8640"/>
        </w:tabs>
      </w:pPr>
    </w:p>
    <w:p w:rsidR="00771177" w:rsidRDefault="00771177" w:rsidP="00547717">
      <w:pPr>
        <w:tabs>
          <w:tab w:val="left" w:pos="720"/>
          <w:tab w:val="left" w:pos="1440"/>
          <w:tab w:val="left" w:pos="2160"/>
          <w:tab w:val="right" w:leader="dot" w:pos="8640"/>
        </w:tabs>
      </w:pPr>
      <w:r w:rsidRPr="00771177">
        <w:rPr>
          <w:i/>
        </w:rPr>
        <w:t>Gillis v. King County</w:t>
      </w:r>
      <w:r w:rsidRPr="00771177">
        <w:t xml:space="preserve">, </w:t>
      </w:r>
    </w:p>
    <w:p w:rsidR="00771177" w:rsidRDefault="00771177" w:rsidP="00547717">
      <w:pPr>
        <w:tabs>
          <w:tab w:val="left" w:pos="720"/>
          <w:tab w:val="left" w:pos="1440"/>
          <w:tab w:val="left" w:pos="2160"/>
          <w:tab w:val="right" w:leader="dot" w:pos="8640"/>
        </w:tabs>
      </w:pPr>
      <w:r>
        <w:tab/>
      </w:r>
      <w:r w:rsidRPr="00771177">
        <w:t>42 W.2d 373, 255 P.2d 546 (1953)</w:t>
      </w:r>
      <w:r>
        <w:t xml:space="preserve"> </w:t>
      </w:r>
      <w:r>
        <w:tab/>
      </w:r>
      <w:r w:rsidR="00C535C2">
        <w:t>5, 6</w:t>
      </w:r>
    </w:p>
    <w:p w:rsidR="00771177" w:rsidRDefault="00771177" w:rsidP="00547717">
      <w:pPr>
        <w:tabs>
          <w:tab w:val="left" w:pos="720"/>
          <w:tab w:val="left" w:pos="1440"/>
          <w:tab w:val="left" w:pos="2160"/>
          <w:tab w:val="right" w:leader="dot" w:pos="8640"/>
        </w:tabs>
      </w:pPr>
    </w:p>
    <w:p w:rsidR="00B44C10" w:rsidRDefault="00B44C10" w:rsidP="00B44C10">
      <w:pPr>
        <w:tabs>
          <w:tab w:val="left" w:pos="720"/>
          <w:tab w:val="left" w:pos="1440"/>
          <w:tab w:val="left" w:pos="2160"/>
          <w:tab w:val="right" w:leader="dot" w:pos="8640"/>
        </w:tabs>
      </w:pPr>
      <w:r w:rsidRPr="00B44C10">
        <w:rPr>
          <w:i/>
        </w:rPr>
        <w:t>Home Depot USA, Inc. v. Dep’t of Revenue</w:t>
      </w:r>
      <w:r w:rsidRPr="00B44C10">
        <w:t xml:space="preserve">, </w:t>
      </w:r>
    </w:p>
    <w:p w:rsidR="00B44C10" w:rsidRDefault="00B44C10" w:rsidP="00B44C10">
      <w:pPr>
        <w:tabs>
          <w:tab w:val="left" w:pos="720"/>
          <w:tab w:val="left" w:pos="1440"/>
          <w:tab w:val="left" w:pos="2160"/>
          <w:tab w:val="right" w:leader="dot" w:pos="8640"/>
        </w:tabs>
      </w:pPr>
      <w:r>
        <w:tab/>
      </w:r>
      <w:r w:rsidRPr="00B44C10">
        <w:t>151 Wn. App. 909, 215 P.3d 222 (2009)</w:t>
      </w:r>
      <w:r>
        <w:t xml:space="preserve"> </w:t>
      </w:r>
      <w:r>
        <w:tab/>
      </w:r>
      <w:r w:rsidR="00E91ADF">
        <w:t>7</w:t>
      </w:r>
    </w:p>
    <w:p w:rsidR="00B44C10" w:rsidRDefault="00B44C10" w:rsidP="00B44C10">
      <w:pPr>
        <w:tabs>
          <w:tab w:val="left" w:pos="720"/>
          <w:tab w:val="left" w:pos="1440"/>
          <w:tab w:val="left" w:pos="2160"/>
          <w:tab w:val="right" w:leader="dot" w:pos="8640"/>
        </w:tabs>
      </w:pPr>
    </w:p>
    <w:p w:rsidR="00547717" w:rsidRDefault="00547717" w:rsidP="00547717">
      <w:pPr>
        <w:tabs>
          <w:tab w:val="left" w:pos="720"/>
          <w:tab w:val="left" w:pos="1440"/>
          <w:tab w:val="left" w:pos="2160"/>
          <w:tab w:val="right" w:leader="dot" w:pos="8640"/>
        </w:tabs>
      </w:pPr>
      <w:r w:rsidRPr="00D15043">
        <w:rPr>
          <w:i/>
        </w:rPr>
        <w:t>In re F.D. Processing</w:t>
      </w:r>
      <w:r w:rsidRPr="00D15043">
        <w:t xml:space="preserve">, </w:t>
      </w:r>
    </w:p>
    <w:p w:rsidR="00547717" w:rsidRDefault="00547717" w:rsidP="00547717">
      <w:pPr>
        <w:tabs>
          <w:tab w:val="left" w:pos="720"/>
          <w:tab w:val="left" w:pos="1440"/>
          <w:tab w:val="left" w:pos="2160"/>
          <w:tab w:val="right" w:leader="dot" w:pos="8640"/>
        </w:tabs>
      </w:pPr>
      <w:r>
        <w:tab/>
      </w:r>
      <w:r w:rsidR="008C3EB4">
        <w:t>119 Wn.2d 452,</w:t>
      </w:r>
      <w:r w:rsidRPr="00D15043">
        <w:t xml:space="preserve"> 832 P.2d 1303 (1992)</w:t>
      </w:r>
      <w:r>
        <w:t xml:space="preserve"> </w:t>
      </w:r>
      <w:r>
        <w:tab/>
      </w:r>
      <w:r w:rsidR="00C535C2">
        <w:t>4, 6</w:t>
      </w:r>
    </w:p>
    <w:p w:rsidR="00547717" w:rsidRDefault="00547717" w:rsidP="00547717">
      <w:pPr>
        <w:tabs>
          <w:tab w:val="left" w:pos="720"/>
          <w:tab w:val="left" w:pos="1440"/>
          <w:tab w:val="left" w:pos="2160"/>
          <w:tab w:val="right" w:leader="dot" w:pos="8640"/>
        </w:tabs>
      </w:pPr>
    </w:p>
    <w:p w:rsidR="00DF2C3E" w:rsidRDefault="00DF2C3E" w:rsidP="00E012A8">
      <w:pPr>
        <w:tabs>
          <w:tab w:val="left" w:pos="720"/>
          <w:tab w:val="left" w:pos="1440"/>
          <w:tab w:val="left" w:pos="2160"/>
          <w:tab w:val="right" w:leader="dot" w:pos="8640"/>
        </w:tabs>
        <w:rPr>
          <w:i/>
        </w:rPr>
      </w:pPr>
      <w:r w:rsidRPr="00DF2C3E">
        <w:rPr>
          <w:i/>
        </w:rPr>
        <w:t xml:space="preserve">Reves v. Ernst &amp; Young, </w:t>
      </w:r>
    </w:p>
    <w:p w:rsidR="00DF2C3E" w:rsidRPr="00DF2C3E" w:rsidRDefault="00DF2C3E" w:rsidP="00E012A8">
      <w:pPr>
        <w:tabs>
          <w:tab w:val="left" w:pos="720"/>
          <w:tab w:val="left" w:pos="1440"/>
          <w:tab w:val="left" w:pos="2160"/>
          <w:tab w:val="right" w:leader="dot" w:pos="8640"/>
        </w:tabs>
      </w:pPr>
      <w:r w:rsidRPr="00DF2C3E">
        <w:tab/>
      </w:r>
      <w:r>
        <w:t xml:space="preserve">507 U.S. 170 </w:t>
      </w:r>
      <w:r w:rsidRPr="00DF2C3E">
        <w:t xml:space="preserve">(1993) </w:t>
      </w:r>
      <w:r w:rsidRPr="00DF2C3E">
        <w:tab/>
      </w:r>
      <w:r w:rsidR="00C535C2">
        <w:t>4</w:t>
      </w:r>
    </w:p>
    <w:p w:rsidR="00DF2C3E" w:rsidRDefault="00DF2C3E" w:rsidP="00E012A8">
      <w:pPr>
        <w:tabs>
          <w:tab w:val="left" w:pos="720"/>
          <w:tab w:val="left" w:pos="1440"/>
          <w:tab w:val="left" w:pos="2160"/>
          <w:tab w:val="right" w:leader="dot" w:pos="8640"/>
        </w:tabs>
        <w:rPr>
          <w:i/>
        </w:rPr>
      </w:pPr>
    </w:p>
    <w:p w:rsidR="00DF2C3E" w:rsidRDefault="00DF2C3E" w:rsidP="00E012A8">
      <w:pPr>
        <w:tabs>
          <w:tab w:val="left" w:pos="720"/>
          <w:tab w:val="left" w:pos="1440"/>
          <w:tab w:val="left" w:pos="2160"/>
          <w:tab w:val="right" w:leader="dot" w:pos="8640"/>
        </w:tabs>
        <w:rPr>
          <w:i/>
        </w:rPr>
      </w:pPr>
      <w:r w:rsidRPr="00DF2C3E">
        <w:rPr>
          <w:i/>
        </w:rPr>
        <w:t xml:space="preserve">Tracfone Wireless, Inc. v. Dep’t of Revenue, </w:t>
      </w:r>
    </w:p>
    <w:p w:rsidR="00E012A8" w:rsidRDefault="00DF2C3E" w:rsidP="00E012A8">
      <w:pPr>
        <w:tabs>
          <w:tab w:val="left" w:pos="720"/>
          <w:tab w:val="left" w:pos="1440"/>
          <w:tab w:val="left" w:pos="2160"/>
          <w:tab w:val="right" w:leader="dot" w:pos="8640"/>
        </w:tabs>
      </w:pPr>
      <w:r w:rsidRPr="00DF2C3E">
        <w:tab/>
      </w:r>
      <w:r>
        <w:t>170 Wn.2d 273,</w:t>
      </w:r>
      <w:r w:rsidRPr="00DF2C3E">
        <w:t xml:space="preserve"> 242 P.3d 810 (2010)</w:t>
      </w:r>
      <w:r w:rsidR="00E012A8" w:rsidRPr="00DF2C3E">
        <w:t xml:space="preserve"> </w:t>
      </w:r>
      <w:r w:rsidR="00E012A8" w:rsidRPr="00DF2C3E">
        <w:tab/>
      </w:r>
      <w:r w:rsidR="00C535C2">
        <w:t>4</w:t>
      </w:r>
    </w:p>
    <w:p w:rsidR="00DF2C3E" w:rsidRDefault="00DF2C3E" w:rsidP="00E012A8">
      <w:pPr>
        <w:tabs>
          <w:tab w:val="left" w:pos="720"/>
          <w:tab w:val="left" w:pos="1440"/>
          <w:tab w:val="left" w:pos="2160"/>
          <w:tab w:val="right" w:leader="dot" w:pos="8640"/>
        </w:tabs>
      </w:pPr>
    </w:p>
    <w:p w:rsidR="00D15043" w:rsidRDefault="00D15043" w:rsidP="00E012A8">
      <w:pPr>
        <w:tabs>
          <w:tab w:val="left" w:pos="720"/>
          <w:tab w:val="left" w:pos="1440"/>
          <w:tab w:val="left" w:pos="2160"/>
          <w:tab w:val="right" w:leader="dot" w:pos="8640"/>
        </w:tabs>
      </w:pPr>
      <w:r w:rsidRPr="00D15043">
        <w:rPr>
          <w:i/>
        </w:rPr>
        <w:t>Scott Paper Co. v. Anacortes</w:t>
      </w:r>
      <w:r w:rsidRPr="00D15043">
        <w:t xml:space="preserve">, </w:t>
      </w:r>
    </w:p>
    <w:p w:rsidR="00D15043" w:rsidRDefault="00D15043" w:rsidP="00E012A8">
      <w:pPr>
        <w:tabs>
          <w:tab w:val="left" w:pos="720"/>
          <w:tab w:val="left" w:pos="1440"/>
          <w:tab w:val="left" w:pos="2160"/>
          <w:tab w:val="right" w:leader="dot" w:pos="8640"/>
        </w:tabs>
      </w:pPr>
      <w:r>
        <w:tab/>
      </w:r>
      <w:r w:rsidR="008C3EB4">
        <w:t>90 Wn.2d 19</w:t>
      </w:r>
      <w:r>
        <w:t xml:space="preserve"> (1978) </w:t>
      </w:r>
      <w:r>
        <w:tab/>
      </w:r>
      <w:r w:rsidR="00C535C2">
        <w:t>4</w:t>
      </w:r>
    </w:p>
    <w:p w:rsidR="00CD30EF" w:rsidRDefault="00CD30EF" w:rsidP="00E012A8">
      <w:pPr>
        <w:tabs>
          <w:tab w:val="left" w:pos="720"/>
          <w:tab w:val="left" w:pos="1440"/>
          <w:tab w:val="left" w:pos="2160"/>
          <w:tab w:val="right" w:leader="dot" w:pos="8640"/>
        </w:tabs>
      </w:pPr>
    </w:p>
    <w:p w:rsidR="00CD30EF" w:rsidRDefault="00CD30EF" w:rsidP="00E012A8">
      <w:pPr>
        <w:tabs>
          <w:tab w:val="left" w:pos="720"/>
          <w:tab w:val="left" w:pos="1440"/>
          <w:tab w:val="left" w:pos="2160"/>
          <w:tab w:val="right" w:leader="dot" w:pos="8640"/>
        </w:tabs>
      </w:pPr>
      <w:r w:rsidRPr="00CD30EF">
        <w:rPr>
          <w:i/>
        </w:rPr>
        <w:t>Southern Union Gas Co. v. Railroad Comm’n</w:t>
      </w:r>
      <w:r w:rsidRPr="00CD30EF">
        <w:t xml:space="preserve">, </w:t>
      </w:r>
    </w:p>
    <w:p w:rsidR="00CD30EF" w:rsidRDefault="00CD30EF" w:rsidP="00E012A8">
      <w:pPr>
        <w:tabs>
          <w:tab w:val="left" w:pos="720"/>
          <w:tab w:val="left" w:pos="1440"/>
          <w:tab w:val="left" w:pos="2160"/>
          <w:tab w:val="right" w:leader="dot" w:pos="8640"/>
        </w:tabs>
      </w:pPr>
      <w:r>
        <w:tab/>
      </w:r>
      <w:r w:rsidRPr="00CD30EF">
        <w:t>701 S</w:t>
      </w:r>
      <w:r>
        <w:t xml:space="preserve">.W. 2d 277 (Tex. Ct. App. 1985) </w:t>
      </w:r>
      <w:r>
        <w:tab/>
      </w:r>
      <w:r w:rsidR="00C535C2">
        <w:t>11, 12</w:t>
      </w:r>
    </w:p>
    <w:p w:rsidR="00E012A8" w:rsidRDefault="00E012A8" w:rsidP="00E012A8">
      <w:pPr>
        <w:tabs>
          <w:tab w:val="left" w:pos="720"/>
          <w:tab w:val="left" w:pos="1440"/>
          <w:tab w:val="left" w:pos="2160"/>
          <w:tab w:val="right" w:leader="dot" w:pos="8640"/>
        </w:tabs>
      </w:pPr>
    </w:p>
    <w:p w:rsidR="00DB230A" w:rsidRDefault="00DB230A" w:rsidP="00DB230A">
      <w:pPr>
        <w:tabs>
          <w:tab w:val="left" w:pos="720"/>
          <w:tab w:val="left" w:pos="1440"/>
          <w:tab w:val="left" w:pos="2160"/>
          <w:tab w:val="right" w:leader="dot" w:pos="8640"/>
        </w:tabs>
        <w:rPr>
          <w:i/>
        </w:rPr>
      </w:pPr>
      <w:r>
        <w:rPr>
          <w:i/>
        </w:rPr>
        <w:t xml:space="preserve">United States v. </w:t>
      </w:r>
      <w:r w:rsidRPr="00BC5192">
        <w:rPr>
          <w:i/>
        </w:rPr>
        <w:t xml:space="preserve">Carlton, </w:t>
      </w:r>
    </w:p>
    <w:p w:rsidR="00DB230A" w:rsidRPr="00E91ADF" w:rsidRDefault="00DB230A" w:rsidP="00DB230A">
      <w:pPr>
        <w:tabs>
          <w:tab w:val="left" w:pos="720"/>
          <w:tab w:val="left" w:pos="1440"/>
          <w:tab w:val="left" w:pos="2160"/>
          <w:tab w:val="right" w:leader="dot" w:pos="8640"/>
        </w:tabs>
      </w:pPr>
      <w:r w:rsidRPr="00BC5192">
        <w:tab/>
        <w:t>512 U.S</w:t>
      </w:r>
      <w:r>
        <w:t>. 26</w:t>
      </w:r>
      <w:r w:rsidRPr="00BC5192">
        <w:t xml:space="preserve"> (</w:t>
      </w:r>
      <w:r>
        <w:t>1994</w:t>
      </w:r>
      <w:r w:rsidRPr="00BC5192">
        <w:t xml:space="preserve">) </w:t>
      </w:r>
      <w:r w:rsidR="00E91ADF">
        <w:rPr>
          <w:i/>
        </w:rPr>
        <w:tab/>
      </w:r>
      <w:r w:rsidR="00E91ADF">
        <w:t>6, 7</w:t>
      </w:r>
    </w:p>
    <w:p w:rsidR="00DB230A" w:rsidRDefault="00DB230A" w:rsidP="00DB230A">
      <w:pPr>
        <w:tabs>
          <w:tab w:val="left" w:pos="720"/>
          <w:tab w:val="left" w:pos="1440"/>
          <w:tab w:val="left" w:pos="2160"/>
          <w:tab w:val="right" w:leader="dot" w:pos="8640"/>
        </w:tabs>
        <w:rPr>
          <w:i/>
        </w:rPr>
      </w:pPr>
    </w:p>
    <w:p w:rsidR="00CC377E" w:rsidRDefault="00CC377E" w:rsidP="00E012A8">
      <w:pPr>
        <w:tabs>
          <w:tab w:val="left" w:pos="720"/>
          <w:tab w:val="left" w:pos="1440"/>
          <w:tab w:val="left" w:pos="2160"/>
          <w:tab w:val="right" w:leader="dot" w:pos="8640"/>
        </w:tabs>
      </w:pPr>
      <w:r w:rsidRPr="00CC377E">
        <w:rPr>
          <w:i/>
        </w:rPr>
        <w:t>Washington Gas &amp; Light Co. v. Public Service Comm’n</w:t>
      </w:r>
      <w:r w:rsidRPr="00CC377E">
        <w:t xml:space="preserve">, </w:t>
      </w:r>
    </w:p>
    <w:p w:rsidR="00CC377E" w:rsidRDefault="00CC377E" w:rsidP="00E012A8">
      <w:pPr>
        <w:tabs>
          <w:tab w:val="left" w:pos="720"/>
          <w:tab w:val="left" w:pos="1440"/>
          <w:tab w:val="left" w:pos="2160"/>
          <w:tab w:val="right" w:leader="dot" w:pos="8640"/>
        </w:tabs>
      </w:pPr>
      <w:r>
        <w:tab/>
        <w:t xml:space="preserve">450 A.2d 1187 (D.C. 1982) </w:t>
      </w:r>
      <w:r>
        <w:tab/>
      </w:r>
      <w:r w:rsidR="00C535C2">
        <w:t>11</w:t>
      </w:r>
    </w:p>
    <w:p w:rsidR="00C535C2" w:rsidRDefault="00C535C2" w:rsidP="00E012A8">
      <w:pPr>
        <w:tabs>
          <w:tab w:val="left" w:pos="720"/>
          <w:tab w:val="left" w:pos="1440"/>
          <w:tab w:val="left" w:pos="2160"/>
          <w:tab w:val="right" w:leader="dot" w:pos="8640"/>
        </w:tabs>
      </w:pPr>
    </w:p>
    <w:p w:rsidR="00C535C2" w:rsidRDefault="00C535C2" w:rsidP="00E012A8">
      <w:pPr>
        <w:tabs>
          <w:tab w:val="left" w:pos="720"/>
          <w:tab w:val="left" w:pos="1440"/>
          <w:tab w:val="left" w:pos="2160"/>
          <w:tab w:val="right" w:leader="dot" w:pos="8640"/>
        </w:tabs>
      </w:pPr>
      <w:r>
        <w:rPr>
          <w:i/>
        </w:rPr>
        <w:t xml:space="preserve">Welch v. Henry, </w:t>
      </w:r>
    </w:p>
    <w:p w:rsidR="00C535C2" w:rsidRPr="00C535C2" w:rsidRDefault="00C535C2" w:rsidP="00E012A8">
      <w:pPr>
        <w:tabs>
          <w:tab w:val="left" w:pos="720"/>
          <w:tab w:val="left" w:pos="1440"/>
          <w:tab w:val="left" w:pos="2160"/>
          <w:tab w:val="right" w:leader="dot" w:pos="8640"/>
        </w:tabs>
      </w:pPr>
      <w:r>
        <w:tab/>
        <w:t xml:space="preserve">305 U.S. 134 (1938) </w:t>
      </w:r>
      <w:r>
        <w:tab/>
        <w:t>6</w:t>
      </w:r>
    </w:p>
    <w:p w:rsidR="00CC377E" w:rsidRDefault="00CC377E" w:rsidP="00E012A8">
      <w:pPr>
        <w:tabs>
          <w:tab w:val="left" w:pos="720"/>
          <w:tab w:val="left" w:pos="1440"/>
          <w:tab w:val="left" w:pos="2160"/>
          <w:tab w:val="right" w:leader="dot" w:pos="8640"/>
        </w:tabs>
      </w:pPr>
    </w:p>
    <w:p w:rsidR="00B44C10" w:rsidRDefault="00B44C10" w:rsidP="00E012A8">
      <w:pPr>
        <w:tabs>
          <w:tab w:val="left" w:pos="720"/>
          <w:tab w:val="left" w:pos="1440"/>
          <w:tab w:val="left" w:pos="2160"/>
          <w:tab w:val="right" w:leader="dot" w:pos="8640"/>
        </w:tabs>
      </w:pPr>
      <w:r w:rsidRPr="00B44C10">
        <w:rPr>
          <w:i/>
        </w:rPr>
        <w:t>W.R. Grace &amp; Co. v. Dep’t of Revenue</w:t>
      </w:r>
      <w:r w:rsidRPr="00B44C10">
        <w:t xml:space="preserve">, </w:t>
      </w:r>
    </w:p>
    <w:p w:rsidR="00B44C10" w:rsidRDefault="00B44C10" w:rsidP="00E012A8">
      <w:pPr>
        <w:tabs>
          <w:tab w:val="left" w:pos="720"/>
          <w:tab w:val="left" w:pos="1440"/>
          <w:tab w:val="left" w:pos="2160"/>
          <w:tab w:val="right" w:leader="dot" w:pos="8640"/>
        </w:tabs>
      </w:pPr>
      <w:r>
        <w:tab/>
      </w:r>
      <w:r w:rsidR="008C3EB4">
        <w:t>137 Wn.2d 580</w:t>
      </w:r>
      <w:r w:rsidRPr="00B44C10">
        <w:t xml:space="preserve">, 973 P.2d 1011 (1999) </w:t>
      </w:r>
      <w:r>
        <w:tab/>
      </w:r>
      <w:r w:rsidR="00E91ADF">
        <w:t>7</w:t>
      </w:r>
    </w:p>
    <w:p w:rsidR="00B44C10" w:rsidRDefault="00B44C10" w:rsidP="00E012A8">
      <w:pPr>
        <w:tabs>
          <w:tab w:val="left" w:pos="720"/>
          <w:tab w:val="left" w:pos="1440"/>
          <w:tab w:val="left" w:pos="2160"/>
          <w:tab w:val="right" w:leader="dot" w:pos="8640"/>
        </w:tabs>
      </w:pPr>
    </w:p>
    <w:p w:rsidR="00BC7B09" w:rsidRDefault="00BC7B09" w:rsidP="00E012A8">
      <w:pPr>
        <w:tabs>
          <w:tab w:val="left" w:pos="720"/>
          <w:tab w:val="left" w:pos="1440"/>
          <w:tab w:val="left" w:pos="2160"/>
          <w:tab w:val="right" w:leader="dot" w:pos="8640"/>
        </w:tabs>
      </w:pPr>
    </w:p>
    <w:p w:rsidR="00BC7B09" w:rsidRDefault="00BC7B09">
      <w:r>
        <w:br w:type="page"/>
      </w:r>
    </w:p>
    <w:p w:rsidR="008E2067" w:rsidRDefault="008E2067" w:rsidP="008E2067">
      <w:pPr>
        <w:tabs>
          <w:tab w:val="left" w:pos="720"/>
          <w:tab w:val="left" w:pos="1440"/>
          <w:tab w:val="left" w:pos="2160"/>
          <w:tab w:val="right" w:leader="dot" w:pos="8640"/>
        </w:tabs>
        <w:jc w:val="center"/>
      </w:pPr>
      <w:r>
        <w:rPr>
          <w:i/>
        </w:rPr>
        <w:lastRenderedPageBreak/>
        <w:t>Table of Administrative Cases</w:t>
      </w:r>
    </w:p>
    <w:p w:rsidR="008E2067" w:rsidRDefault="008E2067" w:rsidP="008E2067">
      <w:pPr>
        <w:tabs>
          <w:tab w:val="left" w:pos="720"/>
          <w:tab w:val="left" w:pos="1440"/>
          <w:tab w:val="left" w:pos="2160"/>
          <w:tab w:val="right" w:leader="dot" w:pos="8640"/>
        </w:tabs>
      </w:pPr>
    </w:p>
    <w:p w:rsidR="00BC7B09" w:rsidRDefault="00DF2C3E" w:rsidP="008E2067">
      <w:pPr>
        <w:tabs>
          <w:tab w:val="left" w:pos="720"/>
          <w:tab w:val="left" w:pos="1440"/>
          <w:tab w:val="left" w:pos="2160"/>
          <w:tab w:val="right" w:leader="dot" w:pos="8640"/>
        </w:tabs>
        <w:rPr>
          <w:i/>
        </w:rPr>
      </w:pPr>
      <w:r w:rsidRPr="00DF2C3E">
        <w:rPr>
          <w:i/>
        </w:rPr>
        <w:t xml:space="preserve">In the Matter of the Petition of Puget Sound Energy, Inc. for an Accounting Order Regarding the Treatment of U.S. Treasury Grant to be Received Under Section 1603 </w:t>
      </w:r>
    </w:p>
    <w:p w:rsidR="00BC7B09" w:rsidRDefault="00DF2C3E" w:rsidP="008E2067">
      <w:pPr>
        <w:tabs>
          <w:tab w:val="left" w:pos="720"/>
          <w:tab w:val="left" w:pos="1440"/>
          <w:tab w:val="left" w:pos="2160"/>
          <w:tab w:val="right" w:leader="dot" w:pos="8640"/>
        </w:tabs>
        <w:rPr>
          <w:i/>
        </w:rPr>
      </w:pPr>
      <w:r w:rsidRPr="00DF2C3E">
        <w:rPr>
          <w:i/>
        </w:rPr>
        <w:t xml:space="preserve">of the American Recovery and Reinvestment Act of 2009 Associated with the Wild </w:t>
      </w:r>
    </w:p>
    <w:p w:rsidR="00BC5192" w:rsidRDefault="00DF2C3E" w:rsidP="008E2067">
      <w:pPr>
        <w:tabs>
          <w:tab w:val="left" w:pos="720"/>
          <w:tab w:val="left" w:pos="1440"/>
          <w:tab w:val="left" w:pos="2160"/>
          <w:tab w:val="right" w:leader="dot" w:pos="8640"/>
        </w:tabs>
      </w:pPr>
      <w:r w:rsidRPr="00DF2C3E">
        <w:rPr>
          <w:i/>
        </w:rPr>
        <w:t>Horse Expansion Project</w:t>
      </w:r>
      <w:r w:rsidRPr="00DF2C3E">
        <w:t xml:space="preserve">, </w:t>
      </w:r>
    </w:p>
    <w:p w:rsidR="008E2067" w:rsidRDefault="00BC5192" w:rsidP="008E2067">
      <w:pPr>
        <w:tabs>
          <w:tab w:val="left" w:pos="720"/>
          <w:tab w:val="left" w:pos="1440"/>
          <w:tab w:val="left" w:pos="2160"/>
          <w:tab w:val="right" w:leader="dot" w:pos="8640"/>
        </w:tabs>
      </w:pPr>
      <w:r>
        <w:tab/>
      </w:r>
      <w:r w:rsidR="00DF2C3E" w:rsidRPr="00DF2C3E">
        <w:t>Docket UE-091570, Order 01 (December 10, 2009).</w:t>
      </w:r>
      <w:r>
        <w:tab/>
      </w:r>
      <w:r w:rsidR="00BC7B09">
        <w:t>3, 10</w:t>
      </w:r>
    </w:p>
    <w:p w:rsidR="008E2067" w:rsidRDefault="008E2067" w:rsidP="008E2067">
      <w:pPr>
        <w:tabs>
          <w:tab w:val="left" w:pos="720"/>
          <w:tab w:val="left" w:pos="1440"/>
          <w:tab w:val="left" w:pos="2160"/>
          <w:tab w:val="right" w:leader="dot" w:pos="8640"/>
        </w:tabs>
      </w:pPr>
    </w:p>
    <w:p w:rsidR="00BC7B09" w:rsidRDefault="00CC377E" w:rsidP="008E2067">
      <w:pPr>
        <w:tabs>
          <w:tab w:val="left" w:pos="720"/>
          <w:tab w:val="left" w:pos="1440"/>
          <w:tab w:val="left" w:pos="2160"/>
          <w:tab w:val="right" w:leader="dot" w:pos="8640"/>
        </w:tabs>
        <w:rPr>
          <w:i/>
        </w:rPr>
      </w:pPr>
      <w:r w:rsidRPr="00CC377E">
        <w:rPr>
          <w:i/>
        </w:rPr>
        <w:t xml:space="preserve">Re Application of Puget Sound Energy for Authorization Regarding the Deferral of </w:t>
      </w:r>
    </w:p>
    <w:p w:rsidR="00CC377E" w:rsidRDefault="00CC377E" w:rsidP="008E2067">
      <w:pPr>
        <w:tabs>
          <w:tab w:val="left" w:pos="720"/>
          <w:tab w:val="left" w:pos="1440"/>
          <w:tab w:val="left" w:pos="2160"/>
          <w:tab w:val="right" w:leader="dot" w:pos="8640"/>
        </w:tabs>
        <w:rPr>
          <w:i/>
        </w:rPr>
      </w:pPr>
      <w:r w:rsidRPr="00CC377E">
        <w:rPr>
          <w:i/>
        </w:rPr>
        <w:t xml:space="preserve">the Net Impact of the Conservation Incentive Credit Program, </w:t>
      </w:r>
    </w:p>
    <w:p w:rsidR="00CC377E" w:rsidRPr="00CC377E" w:rsidRDefault="00CC377E" w:rsidP="008E2067">
      <w:pPr>
        <w:tabs>
          <w:tab w:val="left" w:pos="720"/>
          <w:tab w:val="left" w:pos="1440"/>
          <w:tab w:val="left" w:pos="2160"/>
          <w:tab w:val="right" w:leader="dot" w:pos="8640"/>
        </w:tabs>
      </w:pPr>
      <w:r w:rsidRPr="00CC377E">
        <w:tab/>
        <w:t xml:space="preserve">Docket UE-010410, Order Denying Petition to Amend Accounting </w:t>
      </w:r>
    </w:p>
    <w:p w:rsidR="00CC377E" w:rsidRPr="00CC377E" w:rsidRDefault="00CC377E" w:rsidP="008E2067">
      <w:pPr>
        <w:tabs>
          <w:tab w:val="left" w:pos="720"/>
          <w:tab w:val="left" w:pos="1440"/>
          <w:tab w:val="left" w:pos="2160"/>
          <w:tab w:val="right" w:leader="dot" w:pos="8640"/>
        </w:tabs>
      </w:pPr>
      <w:r w:rsidRPr="00CC377E">
        <w:tab/>
        <w:t xml:space="preserve">Order (November 9, 2001) </w:t>
      </w:r>
      <w:r w:rsidRPr="00CC377E">
        <w:tab/>
      </w:r>
      <w:r w:rsidR="002D7F1B">
        <w:t>7-</w:t>
      </w:r>
      <w:r w:rsidR="00BC7B09">
        <w:t>9</w:t>
      </w:r>
    </w:p>
    <w:p w:rsidR="008E2067" w:rsidRPr="00CC377E" w:rsidRDefault="008E2067" w:rsidP="008E2067">
      <w:pPr>
        <w:tabs>
          <w:tab w:val="left" w:pos="720"/>
          <w:tab w:val="left" w:pos="1440"/>
          <w:tab w:val="left" w:pos="2160"/>
          <w:tab w:val="right" w:leader="dot" w:pos="8640"/>
        </w:tabs>
      </w:pPr>
    </w:p>
    <w:p w:rsidR="008C3EB4" w:rsidRDefault="008C3EB4" w:rsidP="008C3EB4">
      <w:pPr>
        <w:tabs>
          <w:tab w:val="left" w:pos="720"/>
          <w:tab w:val="left" w:pos="1440"/>
          <w:tab w:val="left" w:pos="2160"/>
          <w:tab w:val="right" w:leader="dot" w:pos="8640"/>
        </w:tabs>
      </w:pPr>
      <w:r w:rsidRPr="00BC5192">
        <w:rPr>
          <w:i/>
        </w:rPr>
        <w:t>Utilities and Transp. Comm’n v. Puget Sound Power &amp; Light Co</w:t>
      </w:r>
      <w:r w:rsidRPr="00BC5192">
        <w:t xml:space="preserve">., </w:t>
      </w:r>
    </w:p>
    <w:p w:rsidR="008C3EB4" w:rsidRDefault="008C3EB4" w:rsidP="008C3EB4">
      <w:pPr>
        <w:tabs>
          <w:tab w:val="left" w:pos="720"/>
          <w:tab w:val="left" w:pos="1440"/>
          <w:tab w:val="left" w:pos="2160"/>
          <w:tab w:val="right" w:leader="dot" w:pos="8640"/>
        </w:tabs>
      </w:pPr>
      <w:r>
        <w:tab/>
      </w:r>
      <w:r w:rsidRPr="00BC5192">
        <w:t>Docket U-81-41</w:t>
      </w:r>
      <w:r>
        <w:t xml:space="preserve">, Sixth Supplemental </w:t>
      </w:r>
      <w:r w:rsidR="008C5BB5">
        <w:t xml:space="preserve">Order </w:t>
      </w:r>
      <w:r w:rsidR="008C5BB5" w:rsidRPr="00BC5192">
        <w:t>(</w:t>
      </w:r>
      <w:r w:rsidRPr="00BC5192">
        <w:t>December 19, 1988)</w:t>
      </w:r>
      <w:r>
        <w:t xml:space="preserve"> </w:t>
      </w:r>
      <w:r>
        <w:tab/>
      </w:r>
      <w:r w:rsidR="00BC7B09">
        <w:t>7</w:t>
      </w:r>
    </w:p>
    <w:p w:rsidR="008C3EB4" w:rsidRDefault="008C3EB4" w:rsidP="008C3EB4">
      <w:pPr>
        <w:tabs>
          <w:tab w:val="left" w:pos="720"/>
          <w:tab w:val="left" w:pos="1440"/>
          <w:tab w:val="left" w:pos="2160"/>
          <w:tab w:val="right" w:leader="dot" w:pos="8640"/>
        </w:tabs>
      </w:pPr>
    </w:p>
    <w:p w:rsidR="008C3EB4" w:rsidRDefault="008C3EB4" w:rsidP="008C3EB4">
      <w:pPr>
        <w:tabs>
          <w:tab w:val="left" w:pos="720"/>
          <w:tab w:val="left" w:pos="1440"/>
          <w:tab w:val="left" w:pos="2160"/>
          <w:tab w:val="right" w:leader="dot" w:pos="8640"/>
        </w:tabs>
        <w:rPr>
          <w:i/>
        </w:rPr>
      </w:pPr>
      <w:r w:rsidRPr="00BC5192">
        <w:rPr>
          <w:i/>
        </w:rPr>
        <w:t xml:space="preserve">Utilities and Transp. Comm’n v. US WEST Communications, Inc., </w:t>
      </w:r>
    </w:p>
    <w:p w:rsidR="008C3EB4" w:rsidRDefault="008C3EB4" w:rsidP="008C3EB4">
      <w:pPr>
        <w:tabs>
          <w:tab w:val="left" w:pos="720"/>
          <w:tab w:val="left" w:pos="1440"/>
          <w:tab w:val="left" w:pos="2160"/>
          <w:tab w:val="right" w:leader="dot" w:pos="8640"/>
        </w:tabs>
      </w:pPr>
      <w:r>
        <w:rPr>
          <w:i/>
        </w:rPr>
        <w:tab/>
      </w:r>
      <w:r w:rsidRPr="00BC5192">
        <w:t xml:space="preserve">Docket UT-970010, </w:t>
      </w:r>
      <w:r>
        <w:t xml:space="preserve">Second Supplemental Order </w:t>
      </w:r>
      <w:r w:rsidRPr="00BC5192">
        <w:t>(November 7, 1997)</w:t>
      </w:r>
      <w:r>
        <w:t xml:space="preserve"> </w:t>
      </w:r>
      <w:r>
        <w:tab/>
      </w:r>
      <w:r w:rsidR="00BC7B09">
        <w:t>7</w:t>
      </w:r>
    </w:p>
    <w:p w:rsidR="008C3EB4" w:rsidRDefault="008C3EB4" w:rsidP="008C3EB4">
      <w:pPr>
        <w:tabs>
          <w:tab w:val="left" w:pos="720"/>
          <w:tab w:val="left" w:pos="1440"/>
          <w:tab w:val="left" w:pos="2160"/>
          <w:tab w:val="right" w:leader="dot" w:pos="8640"/>
        </w:tabs>
        <w:rPr>
          <w:i/>
        </w:rPr>
      </w:pPr>
    </w:p>
    <w:p w:rsidR="008C3EB4" w:rsidRDefault="008C3EB4" w:rsidP="008C3EB4">
      <w:pPr>
        <w:tabs>
          <w:tab w:val="left" w:pos="720"/>
          <w:tab w:val="left" w:pos="1440"/>
          <w:tab w:val="left" w:pos="2160"/>
          <w:tab w:val="right" w:leader="dot" w:pos="8640"/>
        </w:tabs>
        <w:rPr>
          <w:i/>
        </w:rPr>
      </w:pPr>
      <w:r w:rsidRPr="008C3EB4">
        <w:rPr>
          <w:i/>
        </w:rPr>
        <w:t xml:space="preserve">Utilities and Transp. Comm’n v. Puget Sound Energy, Inc., </w:t>
      </w:r>
    </w:p>
    <w:p w:rsidR="008C3EB4" w:rsidRPr="008C3EB4" w:rsidRDefault="008C3EB4" w:rsidP="008C3EB4">
      <w:pPr>
        <w:tabs>
          <w:tab w:val="left" w:pos="720"/>
          <w:tab w:val="left" w:pos="1440"/>
          <w:tab w:val="left" w:pos="2160"/>
          <w:tab w:val="right" w:leader="dot" w:pos="8640"/>
        </w:tabs>
      </w:pPr>
      <w:r w:rsidRPr="008C3EB4">
        <w:tab/>
        <w:t xml:space="preserve">Docket UE-090704, Order 11 (April 2, 2010) </w:t>
      </w:r>
      <w:r w:rsidRPr="008C3EB4">
        <w:tab/>
      </w:r>
      <w:r w:rsidR="00BC7B09">
        <w:t>12</w:t>
      </w:r>
    </w:p>
    <w:p w:rsidR="008C3EB4" w:rsidRDefault="008C3EB4" w:rsidP="008C3EB4">
      <w:pPr>
        <w:tabs>
          <w:tab w:val="left" w:pos="720"/>
          <w:tab w:val="left" w:pos="1440"/>
          <w:tab w:val="left" w:pos="2160"/>
          <w:tab w:val="right" w:leader="dot" w:pos="8640"/>
        </w:tabs>
        <w:rPr>
          <w:i/>
        </w:rPr>
      </w:pPr>
    </w:p>
    <w:p w:rsidR="00E012A8" w:rsidRDefault="00E012A8" w:rsidP="00E012A8">
      <w:pPr>
        <w:tabs>
          <w:tab w:val="left" w:pos="720"/>
          <w:tab w:val="left" w:pos="1440"/>
          <w:tab w:val="left" w:pos="2160"/>
          <w:tab w:val="right" w:leader="dot" w:pos="8640"/>
        </w:tabs>
      </w:pPr>
    </w:p>
    <w:p w:rsidR="00E012A8" w:rsidRDefault="00E012A8" w:rsidP="00E012A8">
      <w:pPr>
        <w:tabs>
          <w:tab w:val="left" w:pos="720"/>
          <w:tab w:val="left" w:pos="1440"/>
          <w:tab w:val="left" w:pos="2160"/>
          <w:tab w:val="right" w:leader="dot" w:pos="8640"/>
        </w:tabs>
        <w:jc w:val="center"/>
        <w:rPr>
          <w:i/>
        </w:rPr>
      </w:pPr>
      <w:r>
        <w:rPr>
          <w:i/>
        </w:rPr>
        <w:t>Statutes</w:t>
      </w:r>
    </w:p>
    <w:p w:rsidR="00E012A8" w:rsidRDefault="00E012A8" w:rsidP="00E012A8">
      <w:pPr>
        <w:tabs>
          <w:tab w:val="left" w:pos="720"/>
          <w:tab w:val="left" w:pos="1440"/>
          <w:tab w:val="left" w:pos="2160"/>
          <w:tab w:val="right" w:leader="dot" w:pos="8640"/>
        </w:tabs>
      </w:pPr>
    </w:p>
    <w:p w:rsidR="008E2067" w:rsidRDefault="008E2067" w:rsidP="00E012A8">
      <w:pPr>
        <w:tabs>
          <w:tab w:val="left" w:pos="720"/>
          <w:tab w:val="left" w:pos="1440"/>
          <w:tab w:val="left" w:pos="2160"/>
          <w:tab w:val="right" w:leader="dot" w:pos="8640"/>
        </w:tabs>
        <w:rPr>
          <w:szCs w:val="24"/>
        </w:rPr>
      </w:pPr>
      <w:r w:rsidRPr="008E2067">
        <w:rPr>
          <w:szCs w:val="24"/>
        </w:rPr>
        <w:t xml:space="preserve">American Recovery and Reinvestment Act of 2009, </w:t>
      </w:r>
    </w:p>
    <w:p w:rsidR="008E2067" w:rsidRDefault="008E2067" w:rsidP="00E012A8">
      <w:pPr>
        <w:tabs>
          <w:tab w:val="left" w:pos="720"/>
          <w:tab w:val="left" w:pos="1440"/>
          <w:tab w:val="left" w:pos="2160"/>
          <w:tab w:val="right" w:leader="dot" w:pos="8640"/>
        </w:tabs>
        <w:rPr>
          <w:szCs w:val="24"/>
        </w:rPr>
      </w:pPr>
      <w:r>
        <w:rPr>
          <w:szCs w:val="24"/>
        </w:rPr>
        <w:tab/>
      </w:r>
      <w:r w:rsidRPr="008E2067">
        <w:rPr>
          <w:szCs w:val="24"/>
        </w:rPr>
        <w:t>Pub. L. No. 111-5, Div. B, tit.</w:t>
      </w:r>
      <w:r w:rsidR="00595433">
        <w:rPr>
          <w:szCs w:val="24"/>
        </w:rPr>
        <w:t xml:space="preserve"> I, §</w:t>
      </w:r>
      <w:r>
        <w:rPr>
          <w:szCs w:val="24"/>
        </w:rPr>
        <w:t xml:space="preserve"> 1603, 123 Stat. 115, 364 </w:t>
      </w:r>
    </w:p>
    <w:p w:rsidR="00E012A8" w:rsidRDefault="008E2067" w:rsidP="00E012A8">
      <w:pPr>
        <w:tabs>
          <w:tab w:val="left" w:pos="720"/>
          <w:tab w:val="left" w:pos="1440"/>
          <w:tab w:val="left" w:pos="2160"/>
          <w:tab w:val="right" w:leader="dot" w:pos="8640"/>
        </w:tabs>
      </w:pPr>
      <w:r>
        <w:rPr>
          <w:szCs w:val="24"/>
        </w:rPr>
        <w:tab/>
        <w:t>(</w:t>
      </w:r>
      <w:r w:rsidRPr="008E2067">
        <w:rPr>
          <w:szCs w:val="24"/>
        </w:rPr>
        <w:t>February 17, 2009)</w:t>
      </w:r>
      <w:r>
        <w:rPr>
          <w:szCs w:val="24"/>
        </w:rPr>
        <w:t xml:space="preserve"> </w:t>
      </w:r>
      <w:r>
        <w:rPr>
          <w:szCs w:val="24"/>
        </w:rPr>
        <w:tab/>
      </w:r>
      <w:r w:rsidR="00BC7B09">
        <w:rPr>
          <w:szCs w:val="24"/>
        </w:rPr>
        <w:t>2-5</w:t>
      </w:r>
    </w:p>
    <w:p w:rsidR="008E2067" w:rsidRDefault="008E2067" w:rsidP="00E012A8">
      <w:pPr>
        <w:tabs>
          <w:tab w:val="left" w:pos="720"/>
          <w:tab w:val="left" w:pos="1440"/>
          <w:tab w:val="left" w:pos="2160"/>
          <w:tab w:val="right" w:leader="dot" w:pos="8640"/>
        </w:tabs>
      </w:pPr>
    </w:p>
    <w:p w:rsidR="00DF2C3E" w:rsidRDefault="00DF2C3E" w:rsidP="00E012A8">
      <w:pPr>
        <w:tabs>
          <w:tab w:val="left" w:pos="720"/>
          <w:tab w:val="left" w:pos="1440"/>
          <w:tab w:val="left" w:pos="2160"/>
          <w:tab w:val="right" w:leader="dot" w:pos="8640"/>
        </w:tabs>
      </w:pPr>
      <w:r w:rsidRPr="00DF2C3E">
        <w:t xml:space="preserve">National Defense Authorization Act for Fiscal Year 2012, </w:t>
      </w:r>
    </w:p>
    <w:p w:rsidR="008E2067" w:rsidRDefault="00DF2C3E" w:rsidP="00E012A8">
      <w:pPr>
        <w:tabs>
          <w:tab w:val="left" w:pos="720"/>
          <w:tab w:val="left" w:pos="1440"/>
          <w:tab w:val="left" w:pos="2160"/>
          <w:tab w:val="right" w:leader="dot" w:pos="8640"/>
        </w:tabs>
      </w:pPr>
      <w:r>
        <w:tab/>
      </w:r>
      <w:r w:rsidRPr="00DF2C3E">
        <w:t xml:space="preserve">H.R. 1540, </w:t>
      </w:r>
      <w:r>
        <w:rPr>
          <w:rFonts w:cs="Times New Roman"/>
        </w:rPr>
        <w:t>§</w:t>
      </w:r>
      <w:r>
        <w:t xml:space="preserve"> 1096, </w:t>
      </w:r>
      <w:r w:rsidRPr="00DF2C3E">
        <w:t>112</w:t>
      </w:r>
      <w:r w:rsidRPr="00DF2C3E">
        <w:rPr>
          <w:vertAlign w:val="superscript"/>
        </w:rPr>
        <w:t>th</w:t>
      </w:r>
      <w:r w:rsidRPr="00DF2C3E">
        <w:t xml:space="preserve"> Congress, 1</w:t>
      </w:r>
      <w:r w:rsidRPr="00DF2C3E">
        <w:rPr>
          <w:vertAlign w:val="superscript"/>
        </w:rPr>
        <w:t>st</w:t>
      </w:r>
      <w:r w:rsidRPr="00DF2C3E">
        <w:t xml:space="preserve"> Session</w:t>
      </w:r>
      <w:r>
        <w:t xml:space="preserve"> </w:t>
      </w:r>
      <w:r w:rsidR="008E2067">
        <w:tab/>
      </w:r>
      <w:r w:rsidR="00BC7B09">
        <w:t>2-5, 7, 9, 13</w:t>
      </w:r>
    </w:p>
    <w:p w:rsidR="00CD30EF" w:rsidRDefault="00CD30EF" w:rsidP="00E012A8">
      <w:pPr>
        <w:tabs>
          <w:tab w:val="left" w:pos="720"/>
          <w:tab w:val="left" w:pos="1440"/>
          <w:tab w:val="left" w:pos="2160"/>
          <w:tab w:val="right" w:leader="dot" w:pos="8640"/>
        </w:tabs>
      </w:pPr>
    </w:p>
    <w:p w:rsidR="00CD30EF" w:rsidRDefault="00CD30EF" w:rsidP="00CD30EF">
      <w:pPr>
        <w:tabs>
          <w:tab w:val="left" w:pos="720"/>
          <w:tab w:val="left" w:pos="1440"/>
          <w:tab w:val="right" w:leader="dot" w:pos="8640"/>
        </w:tabs>
      </w:pPr>
      <w:r>
        <w:t xml:space="preserve">WAC 480-100-213 </w:t>
      </w:r>
      <w:r>
        <w:tab/>
      </w:r>
      <w:r w:rsidR="002D7F1B">
        <w:t>14</w:t>
      </w:r>
    </w:p>
    <w:p w:rsidR="002D7F1B" w:rsidRDefault="002D7F1B" w:rsidP="00CD30EF">
      <w:pPr>
        <w:tabs>
          <w:tab w:val="left" w:pos="720"/>
          <w:tab w:val="left" w:pos="1440"/>
          <w:tab w:val="right" w:leader="dot" w:pos="8640"/>
        </w:tabs>
      </w:pPr>
    </w:p>
    <w:p w:rsidR="002D7F1B" w:rsidRDefault="002D7F1B" w:rsidP="00CD30EF">
      <w:pPr>
        <w:tabs>
          <w:tab w:val="left" w:pos="720"/>
          <w:tab w:val="left" w:pos="1440"/>
          <w:tab w:val="right" w:leader="dot" w:pos="8640"/>
        </w:tabs>
      </w:pPr>
      <w:r>
        <w:t xml:space="preserve">RCW 80.28.020 </w:t>
      </w:r>
      <w:r>
        <w:tab/>
        <w:t>9</w:t>
      </w:r>
    </w:p>
    <w:p w:rsidR="00BC7B09" w:rsidRDefault="00BC7B09" w:rsidP="00CD30EF">
      <w:pPr>
        <w:tabs>
          <w:tab w:val="left" w:pos="720"/>
          <w:tab w:val="left" w:pos="1440"/>
          <w:tab w:val="right" w:leader="dot" w:pos="8640"/>
        </w:tabs>
      </w:pPr>
    </w:p>
    <w:p w:rsidR="00BC7B09" w:rsidRDefault="00BC7B09" w:rsidP="00CD30EF">
      <w:pPr>
        <w:tabs>
          <w:tab w:val="left" w:pos="720"/>
          <w:tab w:val="left" w:pos="1440"/>
          <w:tab w:val="right" w:leader="dot" w:pos="8640"/>
        </w:tabs>
      </w:pPr>
      <w:r>
        <w:t xml:space="preserve">RCW 80.80.060(6) </w:t>
      </w:r>
      <w:r>
        <w:tab/>
        <w:t>12</w:t>
      </w:r>
    </w:p>
    <w:p w:rsidR="00E012A8" w:rsidRDefault="00E012A8" w:rsidP="00E012A8">
      <w:pPr>
        <w:tabs>
          <w:tab w:val="left" w:pos="720"/>
          <w:tab w:val="left" w:pos="1440"/>
          <w:tab w:val="left" w:pos="2160"/>
          <w:tab w:val="right" w:leader="dot" w:pos="8640"/>
        </w:tabs>
      </w:pPr>
    </w:p>
    <w:p w:rsidR="00E012A8" w:rsidRDefault="00E012A8" w:rsidP="00E012A8">
      <w:pPr>
        <w:tabs>
          <w:tab w:val="left" w:pos="720"/>
          <w:tab w:val="left" w:pos="1440"/>
          <w:tab w:val="left" w:pos="2160"/>
          <w:tab w:val="right" w:leader="dot" w:pos="8640"/>
        </w:tabs>
      </w:pPr>
    </w:p>
    <w:p w:rsidR="00E012A8" w:rsidRDefault="00E012A8" w:rsidP="00E012A8">
      <w:pPr>
        <w:tabs>
          <w:tab w:val="left" w:pos="720"/>
          <w:tab w:val="left" w:pos="1440"/>
          <w:tab w:val="left" w:pos="2160"/>
          <w:tab w:val="right" w:leader="dot" w:pos="8640"/>
        </w:tabs>
        <w:jc w:val="center"/>
      </w:pPr>
      <w:r>
        <w:rPr>
          <w:i/>
        </w:rPr>
        <w:t>Other Authorities</w:t>
      </w:r>
    </w:p>
    <w:p w:rsidR="00E012A8" w:rsidRDefault="00E012A8" w:rsidP="00E012A8">
      <w:pPr>
        <w:tabs>
          <w:tab w:val="left" w:pos="720"/>
          <w:tab w:val="left" w:pos="1440"/>
          <w:tab w:val="left" w:pos="2160"/>
          <w:tab w:val="right" w:leader="dot" w:pos="8640"/>
        </w:tabs>
      </w:pPr>
    </w:p>
    <w:p w:rsidR="00D15043" w:rsidRPr="00DF2C3E" w:rsidRDefault="00D15043" w:rsidP="00D15043">
      <w:pPr>
        <w:tabs>
          <w:tab w:val="left" w:pos="720"/>
          <w:tab w:val="left" w:pos="1440"/>
          <w:tab w:val="left" w:pos="2160"/>
          <w:tab w:val="right" w:leader="dot" w:pos="8640"/>
        </w:tabs>
      </w:pPr>
      <w:r w:rsidRPr="00D15043">
        <w:t>2 Sutherlan</w:t>
      </w:r>
      <w:r w:rsidR="00771177">
        <w:t xml:space="preserve">d Statutory Construction </w:t>
      </w:r>
      <w:r w:rsidRPr="00D15043">
        <w:t>(7</w:t>
      </w:r>
      <w:r w:rsidRPr="00D15043">
        <w:rPr>
          <w:vertAlign w:val="superscript"/>
        </w:rPr>
        <w:t>th</w:t>
      </w:r>
      <w:r w:rsidRPr="00D15043">
        <w:t xml:space="preserve"> ed.)</w:t>
      </w:r>
      <w:r>
        <w:t xml:space="preserve"> </w:t>
      </w:r>
      <w:r>
        <w:tab/>
      </w:r>
      <w:r w:rsidR="002D7F1B">
        <w:t>4-</w:t>
      </w:r>
      <w:r w:rsidR="00BC7B09">
        <w:t>6</w:t>
      </w:r>
    </w:p>
    <w:p w:rsidR="00E012A8" w:rsidRDefault="00E012A8" w:rsidP="00E012A8">
      <w:pPr>
        <w:tabs>
          <w:tab w:val="left" w:pos="720"/>
          <w:tab w:val="left" w:pos="1440"/>
          <w:tab w:val="left" w:pos="2160"/>
          <w:tab w:val="right" w:leader="dot" w:pos="8640"/>
        </w:tabs>
      </w:pPr>
    </w:p>
    <w:p w:rsidR="00E012A8" w:rsidRDefault="00E012A8" w:rsidP="00E012A8">
      <w:pPr>
        <w:tabs>
          <w:tab w:val="left" w:pos="720"/>
          <w:tab w:val="left" w:pos="1440"/>
          <w:tab w:val="left" w:pos="2160"/>
          <w:tab w:val="right" w:leader="dot" w:pos="8640"/>
        </w:tabs>
      </w:pPr>
    </w:p>
    <w:p w:rsidR="00E012A8" w:rsidRPr="00B16752" w:rsidRDefault="00E012A8" w:rsidP="00E012A8"/>
    <w:p w:rsidR="00E012A8" w:rsidRPr="00B16752" w:rsidRDefault="00E012A8" w:rsidP="00E012A8">
      <w:pPr>
        <w:sectPr w:rsidR="00E012A8" w:rsidRPr="00B16752" w:rsidSect="005F2DA1">
          <w:footerReference w:type="default" r:id="rId9"/>
          <w:pgSz w:w="12240" w:h="15840" w:code="1"/>
          <w:pgMar w:top="1440" w:right="1440" w:bottom="1440" w:left="1872" w:header="720" w:footer="720" w:gutter="0"/>
          <w:pgNumType w:fmt="lowerRoman" w:start="1"/>
          <w:cols w:space="720"/>
          <w:docGrid w:linePitch="360"/>
        </w:sectPr>
      </w:pPr>
    </w:p>
    <w:p w:rsidR="00CD4228" w:rsidRPr="00CD4228" w:rsidRDefault="00CD4228" w:rsidP="00CD4228">
      <w:pPr>
        <w:spacing w:line="480" w:lineRule="auto"/>
        <w:jc w:val="center"/>
        <w:rPr>
          <w:rFonts w:cs="Times New Roman"/>
          <w:b/>
          <w:szCs w:val="24"/>
        </w:rPr>
      </w:pPr>
      <w:r>
        <w:rPr>
          <w:rFonts w:cs="Times New Roman"/>
          <w:b/>
          <w:szCs w:val="24"/>
        </w:rPr>
        <w:lastRenderedPageBreak/>
        <w:t>I.</w:t>
      </w:r>
      <w:r>
        <w:rPr>
          <w:rFonts w:cs="Times New Roman"/>
          <w:b/>
          <w:szCs w:val="24"/>
        </w:rPr>
        <w:tab/>
        <w:t>INTRODUCTION</w:t>
      </w:r>
    </w:p>
    <w:p w:rsidR="00F7111C" w:rsidRPr="00CD60EE" w:rsidRDefault="00656848" w:rsidP="00656848">
      <w:pPr>
        <w:pStyle w:val="BodyText"/>
        <w:numPr>
          <w:ilvl w:val="0"/>
          <w:numId w:val="5"/>
        </w:numPr>
        <w:spacing w:after="0" w:line="480" w:lineRule="auto"/>
        <w:jc w:val="left"/>
      </w:pPr>
      <w:r>
        <w:rPr>
          <w:szCs w:val="24"/>
        </w:rPr>
        <w:tab/>
      </w:r>
      <w:r w:rsidR="00035095">
        <w:rPr>
          <w:szCs w:val="24"/>
        </w:rPr>
        <w:t xml:space="preserve">This case involves a </w:t>
      </w:r>
      <w:r w:rsidR="00DB016B">
        <w:rPr>
          <w:szCs w:val="24"/>
        </w:rPr>
        <w:t xml:space="preserve">tariff </w:t>
      </w:r>
      <w:r w:rsidR="00035095">
        <w:rPr>
          <w:szCs w:val="24"/>
        </w:rPr>
        <w:t>filing by</w:t>
      </w:r>
      <w:r w:rsidR="00F7111C" w:rsidRPr="00673B3F">
        <w:rPr>
          <w:szCs w:val="24"/>
        </w:rPr>
        <w:t xml:space="preserve"> P</w:t>
      </w:r>
      <w:r w:rsidR="00F7111C">
        <w:rPr>
          <w:szCs w:val="24"/>
        </w:rPr>
        <w:t>uget Sound Energy, Inc. (</w:t>
      </w:r>
      <w:r w:rsidR="00E810D0">
        <w:rPr>
          <w:szCs w:val="24"/>
        </w:rPr>
        <w:t xml:space="preserve">“PSE” or </w:t>
      </w:r>
      <w:r w:rsidR="00F7111C">
        <w:rPr>
          <w:szCs w:val="24"/>
        </w:rPr>
        <w:t>the “C</w:t>
      </w:r>
      <w:r w:rsidR="00F7111C" w:rsidRPr="00673B3F">
        <w:rPr>
          <w:szCs w:val="24"/>
        </w:rPr>
        <w:t>ompany</w:t>
      </w:r>
      <w:r w:rsidR="00DB016B">
        <w:rPr>
          <w:szCs w:val="24"/>
        </w:rPr>
        <w:t xml:space="preserve">”) </w:t>
      </w:r>
      <w:r w:rsidR="00F7111C" w:rsidRPr="00673B3F">
        <w:rPr>
          <w:szCs w:val="24"/>
        </w:rPr>
        <w:t xml:space="preserve">to pass-through interest on the unamortized balance of </w:t>
      </w:r>
      <w:r w:rsidR="00CD4228">
        <w:rPr>
          <w:szCs w:val="24"/>
        </w:rPr>
        <w:t xml:space="preserve">a </w:t>
      </w:r>
      <w:r w:rsidR="00F7111C" w:rsidRPr="00673B3F">
        <w:rPr>
          <w:szCs w:val="24"/>
        </w:rPr>
        <w:t>Treasury Grant</w:t>
      </w:r>
      <w:r w:rsidR="00CD4228">
        <w:rPr>
          <w:szCs w:val="24"/>
        </w:rPr>
        <w:t xml:space="preserve"> </w:t>
      </w:r>
      <w:r w:rsidR="00F7111C" w:rsidRPr="00673B3F">
        <w:rPr>
          <w:szCs w:val="24"/>
        </w:rPr>
        <w:t xml:space="preserve">received </w:t>
      </w:r>
      <w:r w:rsidR="00035095">
        <w:rPr>
          <w:szCs w:val="24"/>
        </w:rPr>
        <w:t xml:space="preserve">by PSE </w:t>
      </w:r>
      <w:r w:rsidR="00F7111C" w:rsidRPr="00673B3F">
        <w:rPr>
          <w:szCs w:val="24"/>
        </w:rPr>
        <w:t>under Section 1603 of the American Recovery and Reinvestment Act of 2009 (</w:t>
      </w:r>
      <w:r w:rsidR="00F7111C">
        <w:rPr>
          <w:szCs w:val="24"/>
        </w:rPr>
        <w:t>“</w:t>
      </w:r>
      <w:r w:rsidR="00F7111C" w:rsidRPr="00673B3F">
        <w:rPr>
          <w:szCs w:val="24"/>
        </w:rPr>
        <w:t>ARRA</w:t>
      </w:r>
      <w:r w:rsidR="00F7111C">
        <w:rPr>
          <w:szCs w:val="24"/>
        </w:rPr>
        <w:t>”</w:t>
      </w:r>
      <w:r w:rsidR="00F7111C" w:rsidRPr="00673B3F">
        <w:rPr>
          <w:szCs w:val="24"/>
        </w:rPr>
        <w:t>)</w:t>
      </w:r>
      <w:r w:rsidR="00F7111C">
        <w:rPr>
          <w:szCs w:val="24"/>
        </w:rPr>
        <w:t xml:space="preserve"> for the Wild Horse </w:t>
      </w:r>
      <w:r w:rsidR="00F7111C" w:rsidRPr="00673B3F">
        <w:rPr>
          <w:szCs w:val="24"/>
        </w:rPr>
        <w:t xml:space="preserve">Expansion </w:t>
      </w:r>
      <w:r w:rsidR="00F7111C">
        <w:rPr>
          <w:szCs w:val="24"/>
        </w:rPr>
        <w:t>P</w:t>
      </w:r>
      <w:r w:rsidR="00F7111C" w:rsidRPr="00673B3F">
        <w:rPr>
          <w:szCs w:val="24"/>
        </w:rPr>
        <w:t>roject</w:t>
      </w:r>
      <w:r w:rsidR="00EE0697">
        <w:rPr>
          <w:szCs w:val="24"/>
        </w:rPr>
        <w:t xml:space="preserve"> (“WH </w:t>
      </w:r>
      <w:r w:rsidR="00F7111C">
        <w:rPr>
          <w:szCs w:val="24"/>
        </w:rPr>
        <w:t xml:space="preserve">Project”).  </w:t>
      </w:r>
      <w:r w:rsidR="00E810D0">
        <w:rPr>
          <w:szCs w:val="24"/>
        </w:rPr>
        <w:t>PSE</w:t>
      </w:r>
      <w:r w:rsidR="002C6B3B">
        <w:rPr>
          <w:szCs w:val="24"/>
        </w:rPr>
        <w:t xml:space="preserve"> proposes to </w:t>
      </w:r>
      <w:r w:rsidR="00035095">
        <w:rPr>
          <w:szCs w:val="24"/>
        </w:rPr>
        <w:t xml:space="preserve">calculate interest </w:t>
      </w:r>
      <w:r w:rsidR="00CD60EE">
        <w:rPr>
          <w:szCs w:val="24"/>
        </w:rPr>
        <w:t>startin</w:t>
      </w:r>
      <w:r w:rsidR="007176F9">
        <w:rPr>
          <w:szCs w:val="24"/>
        </w:rPr>
        <w:t>g January 1, 2011, the day after</w:t>
      </w:r>
      <w:r w:rsidR="00604F01">
        <w:rPr>
          <w:szCs w:val="24"/>
        </w:rPr>
        <w:t xml:space="preserve"> the</w:t>
      </w:r>
      <w:r w:rsidR="00CD60EE">
        <w:t xml:space="preserve"> National Defense Authorization Act for Fiscal Year 2012 ("NDAA") was enacted</w:t>
      </w:r>
      <w:r w:rsidR="0086247D">
        <w:t xml:space="preserve">.  </w:t>
      </w:r>
      <w:r w:rsidR="009D1633">
        <w:t>NDAA amended</w:t>
      </w:r>
      <w:r w:rsidR="00495415">
        <w:t xml:space="preserve"> </w:t>
      </w:r>
      <w:r w:rsidR="00CD60EE">
        <w:t>ARRA to eliminate normalization requirements for the Treasury Grant.</w:t>
      </w:r>
      <w:r w:rsidR="00CD60EE">
        <w:rPr>
          <w:rStyle w:val="FootnoteReference"/>
        </w:rPr>
        <w:footnoteReference w:id="1"/>
      </w:r>
      <w:r w:rsidR="007176F9">
        <w:t xml:space="preserve">  </w:t>
      </w:r>
    </w:p>
    <w:p w:rsidR="00F7111C" w:rsidRDefault="00656848" w:rsidP="00656848">
      <w:pPr>
        <w:pStyle w:val="BodyText"/>
        <w:numPr>
          <w:ilvl w:val="0"/>
          <w:numId w:val="5"/>
        </w:numPr>
        <w:spacing w:after="0" w:line="480" w:lineRule="auto"/>
        <w:jc w:val="left"/>
      </w:pPr>
      <w:r>
        <w:tab/>
      </w:r>
      <w:r w:rsidR="00F7111C">
        <w:t>Staff maintains that</w:t>
      </w:r>
      <w:r w:rsidR="00F7111C" w:rsidRPr="002B3352">
        <w:t xml:space="preserve"> interest should be calculated</w:t>
      </w:r>
      <w:r w:rsidR="00F7111C" w:rsidRPr="006C3DDF">
        <w:rPr>
          <w:szCs w:val="24"/>
        </w:rPr>
        <w:t xml:space="preserve"> from the time the Treasury </w:t>
      </w:r>
      <w:r w:rsidR="00F7111C">
        <w:rPr>
          <w:szCs w:val="24"/>
        </w:rPr>
        <w:t xml:space="preserve">Grant was received </w:t>
      </w:r>
      <w:r w:rsidR="00A102F5">
        <w:rPr>
          <w:szCs w:val="24"/>
        </w:rPr>
        <w:t xml:space="preserve">by PSE </w:t>
      </w:r>
      <w:r w:rsidR="00F7111C">
        <w:rPr>
          <w:szCs w:val="24"/>
        </w:rPr>
        <w:t xml:space="preserve">on </w:t>
      </w:r>
      <w:r w:rsidR="00F7111C" w:rsidRPr="006C3DDF">
        <w:rPr>
          <w:szCs w:val="24"/>
        </w:rPr>
        <w:t>Februa</w:t>
      </w:r>
      <w:r w:rsidR="00213778">
        <w:rPr>
          <w:szCs w:val="24"/>
        </w:rPr>
        <w:t>ry 23, 2010</w:t>
      </w:r>
      <w:r w:rsidR="00F7111C">
        <w:rPr>
          <w:szCs w:val="24"/>
        </w:rPr>
        <w:t>.</w:t>
      </w:r>
      <w:r w:rsidR="00F7111C" w:rsidRPr="002B3352">
        <w:t xml:space="preserve"> </w:t>
      </w:r>
      <w:r w:rsidR="00F7111C">
        <w:t xml:space="preserve"> </w:t>
      </w:r>
      <w:r w:rsidR="00604F01">
        <w:t xml:space="preserve">Staff’s position </w:t>
      </w:r>
      <w:r w:rsidR="00213778">
        <w:t>implements</w:t>
      </w:r>
      <w:r w:rsidR="00604F01">
        <w:t xml:space="preserve"> language in the NDAA s</w:t>
      </w:r>
      <w:r w:rsidR="009D1633">
        <w:t>tating that the amendment eliminating</w:t>
      </w:r>
      <w:r w:rsidR="00604F01">
        <w:t xml:space="preserve"> normalization requirements “shall take effect as if included in Section 1603 of [ARRA].”</w:t>
      </w:r>
      <w:r w:rsidR="00604F01">
        <w:rPr>
          <w:rStyle w:val="FootnoteReference"/>
        </w:rPr>
        <w:footnoteReference w:id="2"/>
      </w:r>
      <w:r w:rsidR="00604F01">
        <w:t xml:space="preserve"> </w:t>
      </w:r>
    </w:p>
    <w:p w:rsidR="00CD4228" w:rsidRDefault="00656848" w:rsidP="00656848">
      <w:pPr>
        <w:pStyle w:val="BodyText"/>
        <w:numPr>
          <w:ilvl w:val="0"/>
          <w:numId w:val="5"/>
        </w:numPr>
        <w:spacing w:after="0" w:line="480" w:lineRule="auto"/>
        <w:jc w:val="left"/>
      </w:pPr>
      <w:r>
        <w:tab/>
      </w:r>
      <w:r w:rsidR="00CD4228">
        <w:t>The dispute between the Company and Staff raises three issues</w:t>
      </w:r>
      <w:r w:rsidR="004A55A6">
        <w:t>:</w:t>
      </w:r>
    </w:p>
    <w:p w:rsidR="004A55A6" w:rsidRDefault="00DA6FAA" w:rsidP="004A55A6">
      <w:pPr>
        <w:pStyle w:val="BodyText"/>
        <w:numPr>
          <w:ilvl w:val="0"/>
          <w:numId w:val="2"/>
        </w:numPr>
        <w:spacing w:after="0" w:line="480" w:lineRule="auto"/>
        <w:jc w:val="left"/>
      </w:pPr>
      <w:r>
        <w:t>Is Staff’s r</w:t>
      </w:r>
      <w:r w:rsidR="00B214F7">
        <w:t xml:space="preserve">ecommendation permitted </w:t>
      </w:r>
      <w:r>
        <w:t>by</w:t>
      </w:r>
      <w:r w:rsidRPr="00DA6FAA">
        <w:t xml:space="preserve"> </w:t>
      </w:r>
      <w:r w:rsidR="00213778">
        <w:t>NDAA</w:t>
      </w:r>
      <w:r>
        <w:t>?</w:t>
      </w:r>
    </w:p>
    <w:p w:rsidR="00DA6FAA" w:rsidRDefault="00213778" w:rsidP="004A55A6">
      <w:pPr>
        <w:pStyle w:val="BodyText"/>
        <w:numPr>
          <w:ilvl w:val="0"/>
          <w:numId w:val="2"/>
        </w:numPr>
        <w:spacing w:after="0" w:line="480" w:lineRule="auto"/>
        <w:jc w:val="left"/>
      </w:pPr>
      <w:r>
        <w:t xml:space="preserve">Does Staff’s recommendation violate </w:t>
      </w:r>
      <w:r w:rsidR="00DA6FAA">
        <w:t>the Fil</w:t>
      </w:r>
      <w:r w:rsidR="00242901">
        <w:t xml:space="preserve">ed Rate Doctrine </w:t>
      </w:r>
      <w:r>
        <w:t>or constitute</w:t>
      </w:r>
      <w:r w:rsidR="00DA6FAA">
        <w:t xml:space="preserve"> retroactive ratemaking?</w:t>
      </w:r>
    </w:p>
    <w:p w:rsidR="00DA6FAA" w:rsidRDefault="009B38FF" w:rsidP="004A55A6">
      <w:pPr>
        <w:pStyle w:val="BodyText"/>
        <w:numPr>
          <w:ilvl w:val="0"/>
          <w:numId w:val="2"/>
        </w:numPr>
        <w:spacing w:after="0" w:line="480" w:lineRule="auto"/>
        <w:jc w:val="left"/>
      </w:pPr>
      <w:r>
        <w:t>If Staff’s recommendation i</w:t>
      </w:r>
      <w:r w:rsidR="0086247D">
        <w:t xml:space="preserve">s permitted by </w:t>
      </w:r>
      <w:r w:rsidR="00213778">
        <w:t xml:space="preserve">NDAA and is otherwise </w:t>
      </w:r>
      <w:r>
        <w:t>lawful</w:t>
      </w:r>
      <w:r w:rsidR="005A5A58">
        <w:t xml:space="preserve">, </w:t>
      </w:r>
      <w:r w:rsidR="00213778">
        <w:t xml:space="preserve">is </w:t>
      </w:r>
      <w:r w:rsidR="00E810D0">
        <w:t xml:space="preserve">Staff’s proposal </w:t>
      </w:r>
      <w:r w:rsidR="00242901">
        <w:t>supported by public policy warranting</w:t>
      </w:r>
      <w:r w:rsidR="00213778">
        <w:t xml:space="preserve"> </w:t>
      </w:r>
      <w:r w:rsidR="002C6B3B">
        <w:t>Commission</w:t>
      </w:r>
      <w:r w:rsidR="00213778">
        <w:t xml:space="preserve"> approval</w:t>
      </w:r>
      <w:r w:rsidR="002C6B3B">
        <w:t>?</w:t>
      </w:r>
    </w:p>
    <w:p w:rsidR="00580EB4" w:rsidRDefault="00656848" w:rsidP="00656848">
      <w:pPr>
        <w:pStyle w:val="ListParagraph"/>
        <w:numPr>
          <w:ilvl w:val="0"/>
          <w:numId w:val="5"/>
        </w:numPr>
        <w:spacing w:line="480" w:lineRule="auto"/>
      </w:pPr>
      <w:r>
        <w:lastRenderedPageBreak/>
        <w:tab/>
      </w:r>
      <w:r w:rsidR="002C6B3B">
        <w:t xml:space="preserve">Commission Counsel concludes that Staff’s </w:t>
      </w:r>
      <w:r w:rsidR="00246363">
        <w:t xml:space="preserve">recommendation </w:t>
      </w:r>
      <w:r w:rsidR="002C6B3B">
        <w:t xml:space="preserve">is permitted by the </w:t>
      </w:r>
      <w:r w:rsidR="00495415">
        <w:t>express language</w:t>
      </w:r>
      <w:r w:rsidR="0086247D">
        <w:t xml:space="preserve"> of </w:t>
      </w:r>
      <w:r w:rsidR="00C33BF5">
        <w:t>NDAA</w:t>
      </w:r>
      <w:r w:rsidR="00DB016B">
        <w:t>,</w:t>
      </w:r>
      <w:r w:rsidR="00C33BF5">
        <w:t xml:space="preserve"> and </w:t>
      </w:r>
      <w:r w:rsidR="00495415">
        <w:t xml:space="preserve">by </w:t>
      </w:r>
      <w:r w:rsidR="002C6B3B">
        <w:t>rules of sta</w:t>
      </w:r>
      <w:r w:rsidR="005A00FD">
        <w:t>tutory construction</w:t>
      </w:r>
      <w:r w:rsidR="00AF328F">
        <w:t xml:space="preserve"> </w:t>
      </w:r>
      <w:r w:rsidR="00DB016B">
        <w:t xml:space="preserve">and case law </w:t>
      </w:r>
      <w:r w:rsidR="00AF328F">
        <w:t>that support the retroactive application o</w:t>
      </w:r>
      <w:r w:rsidR="0086247D">
        <w:t xml:space="preserve">f curative statutes such as </w:t>
      </w:r>
      <w:r w:rsidR="00AF328F">
        <w:t>NDAA</w:t>
      </w:r>
      <w:r w:rsidR="005A00FD">
        <w:t xml:space="preserve">.  </w:t>
      </w:r>
    </w:p>
    <w:p w:rsidR="00580EB4" w:rsidRDefault="00656848" w:rsidP="00656848">
      <w:pPr>
        <w:pStyle w:val="ListParagraph"/>
        <w:numPr>
          <w:ilvl w:val="0"/>
          <w:numId w:val="5"/>
        </w:numPr>
        <w:spacing w:line="480" w:lineRule="auto"/>
      </w:pPr>
      <w:r>
        <w:tab/>
      </w:r>
      <w:r w:rsidR="005A5A58">
        <w:t xml:space="preserve">Commission Counsel also concludes that </w:t>
      </w:r>
      <w:r w:rsidR="005A00FD">
        <w:t>Staff’s</w:t>
      </w:r>
      <w:r w:rsidR="005A00FD" w:rsidRPr="005A00FD">
        <w:t xml:space="preserve"> </w:t>
      </w:r>
      <w:r w:rsidR="005A5A58">
        <w:t>recommendation</w:t>
      </w:r>
      <w:r w:rsidR="00973CB5">
        <w:t xml:space="preserve"> does not</w:t>
      </w:r>
      <w:r w:rsidR="00901519">
        <w:t xml:space="preserve"> </w:t>
      </w:r>
      <w:r w:rsidR="00580EB4">
        <w:t>violate the Filed Rate Doctrine or constitute</w:t>
      </w:r>
      <w:r w:rsidR="00B214F7">
        <w:t xml:space="preserve"> unlawful retroactive</w:t>
      </w:r>
      <w:r w:rsidR="005A00FD">
        <w:t xml:space="preserve"> ratemaking </w:t>
      </w:r>
      <w:r w:rsidR="00246363">
        <w:t xml:space="preserve">because </w:t>
      </w:r>
      <w:r w:rsidR="00580EB4">
        <w:t>it does not</w:t>
      </w:r>
      <w:r w:rsidR="00246363">
        <w:t xml:space="preserve"> chall</w:t>
      </w:r>
      <w:r w:rsidR="00580EB4">
        <w:t xml:space="preserve">enge or refund any previous </w:t>
      </w:r>
      <w:r w:rsidR="00246363">
        <w:t>rate set by the Commission.  Rather,</w:t>
      </w:r>
      <w:r w:rsidR="00495415">
        <w:t xml:space="preserve"> Staff’s proposal operates </w:t>
      </w:r>
      <w:r w:rsidR="00246363">
        <w:t xml:space="preserve">prospectively to pass through </w:t>
      </w:r>
      <w:r w:rsidR="00973CB5">
        <w:t xml:space="preserve">to ratepayers </w:t>
      </w:r>
      <w:r w:rsidR="00213778">
        <w:t xml:space="preserve">the </w:t>
      </w:r>
      <w:r w:rsidR="00EE0697">
        <w:t xml:space="preserve">interest on </w:t>
      </w:r>
      <w:r w:rsidR="00246363">
        <w:t>unamortized balance</w:t>
      </w:r>
      <w:r w:rsidR="0084312F">
        <w:t>s</w:t>
      </w:r>
      <w:r w:rsidR="00246363">
        <w:t xml:space="preserve"> of Treasury Grant monies </w:t>
      </w:r>
      <w:r w:rsidR="0084312F">
        <w:t xml:space="preserve">received by </w:t>
      </w:r>
      <w:r w:rsidR="00213778">
        <w:t>PSE</w:t>
      </w:r>
      <w:r w:rsidR="0084312F">
        <w:t xml:space="preserve">.  That interest was unavailable for disbursement to rate payers under </w:t>
      </w:r>
      <w:r w:rsidR="00595433">
        <w:t xml:space="preserve">prior </w:t>
      </w:r>
      <w:r w:rsidR="0084312F">
        <w:t>normalization rules.</w:t>
      </w:r>
      <w:r w:rsidR="00246363">
        <w:t xml:space="preserve"> </w:t>
      </w:r>
    </w:p>
    <w:p w:rsidR="00580EB4" w:rsidRPr="00656848" w:rsidRDefault="00656848" w:rsidP="00656848">
      <w:pPr>
        <w:pStyle w:val="ListParagraph"/>
        <w:numPr>
          <w:ilvl w:val="0"/>
          <w:numId w:val="5"/>
        </w:numPr>
        <w:spacing w:line="480" w:lineRule="auto"/>
        <w:rPr>
          <w:rFonts w:cs="Times New Roman"/>
          <w:szCs w:val="24"/>
        </w:rPr>
      </w:pPr>
      <w:r>
        <w:tab/>
      </w:r>
      <w:r w:rsidR="00213778">
        <w:t>Notably</w:t>
      </w:r>
      <w:r w:rsidR="001B3CEF">
        <w:t>, ratepayers</w:t>
      </w:r>
      <w:r w:rsidR="00580EB4">
        <w:t xml:space="preserve"> will fund</w:t>
      </w:r>
      <w:r w:rsidR="00AF328F">
        <w:t xml:space="preserve"> a return of and on all </w:t>
      </w:r>
      <w:r w:rsidR="001B3CEF">
        <w:t>cost</w:t>
      </w:r>
      <w:r w:rsidR="00AF328F">
        <w:t>s</w:t>
      </w:r>
      <w:r w:rsidR="00EE0697">
        <w:t xml:space="preserve"> of the WH</w:t>
      </w:r>
      <w:r w:rsidR="001B3CEF">
        <w:t xml:space="preserve"> Project</w:t>
      </w:r>
      <w:r w:rsidR="00AF328F">
        <w:t xml:space="preserve"> allowed in rates by the Commission, including costs deferred before the project went into service</w:t>
      </w:r>
      <w:r w:rsidR="001B3CEF">
        <w:t>.  Therefore, ratepayers should receive the full benefit</w:t>
      </w:r>
      <w:r w:rsidR="00580EB4">
        <w:t xml:space="preserve"> of the Treasur</w:t>
      </w:r>
      <w:r w:rsidR="00AF328F">
        <w:t xml:space="preserve">y Grant from the time it </w:t>
      </w:r>
      <w:r w:rsidR="00580EB4">
        <w:t xml:space="preserve">was received by PSE.  </w:t>
      </w:r>
      <w:r w:rsidR="00901519">
        <w:t xml:space="preserve">Staff’s proposal accomplishes that end.  </w:t>
      </w:r>
      <w:r w:rsidR="00C33BF5">
        <w:t>PSE</w:t>
      </w:r>
      <w:r w:rsidR="00580EB4">
        <w:t>’s propos</w:t>
      </w:r>
      <w:r w:rsidR="00213778">
        <w:t>al, on the other hand, allows the Company</w:t>
      </w:r>
      <w:r w:rsidR="00580EB4">
        <w:t xml:space="preserve"> to </w:t>
      </w:r>
      <w:r w:rsidR="00580EB4" w:rsidRPr="00656848">
        <w:rPr>
          <w:rFonts w:cs="Times New Roman"/>
          <w:szCs w:val="24"/>
        </w:rPr>
        <w:t xml:space="preserve">earn a return on the portion of </w:t>
      </w:r>
      <w:r w:rsidR="00C33BF5" w:rsidRPr="00656848">
        <w:rPr>
          <w:rFonts w:cs="Times New Roman"/>
          <w:szCs w:val="24"/>
        </w:rPr>
        <w:t>the cost of</w:t>
      </w:r>
      <w:r w:rsidR="00580EB4" w:rsidRPr="00656848">
        <w:rPr>
          <w:rFonts w:cs="Times New Roman"/>
          <w:szCs w:val="24"/>
        </w:rPr>
        <w:t xml:space="preserve"> the WH </w:t>
      </w:r>
      <w:r w:rsidR="00901519" w:rsidRPr="00656848">
        <w:rPr>
          <w:rFonts w:cs="Times New Roman"/>
          <w:szCs w:val="24"/>
        </w:rPr>
        <w:t xml:space="preserve">Expansion Project that was </w:t>
      </w:r>
      <w:r w:rsidR="00580EB4" w:rsidRPr="00656848">
        <w:rPr>
          <w:rFonts w:cs="Times New Roman"/>
          <w:szCs w:val="24"/>
        </w:rPr>
        <w:t>reimbursed by the federal government through the Treasury Grant.</w:t>
      </w:r>
    </w:p>
    <w:p w:rsidR="00C33BF5" w:rsidRDefault="00C33BF5" w:rsidP="00C33BF5">
      <w:pPr>
        <w:spacing w:line="480" w:lineRule="auto"/>
        <w:jc w:val="center"/>
        <w:rPr>
          <w:rFonts w:cs="Times New Roman"/>
          <w:b/>
          <w:szCs w:val="24"/>
        </w:rPr>
      </w:pPr>
      <w:r w:rsidRPr="00C33BF5">
        <w:rPr>
          <w:rFonts w:cs="Times New Roman"/>
          <w:b/>
          <w:szCs w:val="24"/>
        </w:rPr>
        <w:t>II.</w:t>
      </w:r>
      <w:r w:rsidRPr="00C33BF5">
        <w:rPr>
          <w:rFonts w:cs="Times New Roman"/>
          <w:b/>
          <w:szCs w:val="24"/>
        </w:rPr>
        <w:tab/>
        <w:t>DISCUSSION</w:t>
      </w:r>
    </w:p>
    <w:p w:rsidR="00C33BF5" w:rsidRDefault="00C33BF5" w:rsidP="001D7F9C">
      <w:pPr>
        <w:ind w:left="720" w:hanging="720"/>
        <w:rPr>
          <w:rFonts w:cs="Times New Roman"/>
          <w:b/>
          <w:szCs w:val="24"/>
        </w:rPr>
      </w:pPr>
      <w:r w:rsidRPr="00C33BF5">
        <w:rPr>
          <w:rFonts w:cs="Times New Roman"/>
          <w:b/>
          <w:szCs w:val="24"/>
        </w:rPr>
        <w:t>A.</w:t>
      </w:r>
      <w:r w:rsidRPr="00C33BF5">
        <w:rPr>
          <w:rFonts w:cs="Times New Roman"/>
          <w:b/>
          <w:szCs w:val="24"/>
        </w:rPr>
        <w:tab/>
        <w:t xml:space="preserve">The Express Language of </w:t>
      </w:r>
      <w:r w:rsidR="0009621A">
        <w:rPr>
          <w:rFonts w:cs="Times New Roman"/>
          <w:b/>
          <w:szCs w:val="24"/>
        </w:rPr>
        <w:t xml:space="preserve">NDAA Allows the </w:t>
      </w:r>
      <w:r w:rsidR="00213778">
        <w:rPr>
          <w:rFonts w:cs="Times New Roman"/>
          <w:b/>
          <w:szCs w:val="24"/>
        </w:rPr>
        <w:t>Commission to Calculate</w:t>
      </w:r>
      <w:r w:rsidRPr="00C33BF5">
        <w:rPr>
          <w:rFonts w:cs="Times New Roman"/>
          <w:b/>
          <w:szCs w:val="24"/>
        </w:rPr>
        <w:t xml:space="preserve"> Interest on the Tre</w:t>
      </w:r>
      <w:r w:rsidR="00213778">
        <w:rPr>
          <w:rFonts w:cs="Times New Roman"/>
          <w:b/>
          <w:szCs w:val="24"/>
        </w:rPr>
        <w:t>asury Grant Beginning February 23, 2010</w:t>
      </w:r>
    </w:p>
    <w:p w:rsidR="00C33BF5" w:rsidRDefault="00C33BF5" w:rsidP="001D7F9C">
      <w:pPr>
        <w:ind w:left="720" w:hanging="720"/>
        <w:rPr>
          <w:rFonts w:cs="Times New Roman"/>
          <w:b/>
          <w:szCs w:val="24"/>
        </w:rPr>
      </w:pPr>
    </w:p>
    <w:p w:rsidR="001D7F9C" w:rsidRDefault="00656848" w:rsidP="00656848">
      <w:pPr>
        <w:pStyle w:val="BodyText"/>
        <w:numPr>
          <w:ilvl w:val="0"/>
          <w:numId w:val="5"/>
        </w:numPr>
        <w:spacing w:after="0" w:line="480" w:lineRule="auto"/>
        <w:jc w:val="left"/>
      </w:pPr>
      <w:r>
        <w:tab/>
      </w:r>
      <w:r w:rsidR="00DB0F26">
        <w:t xml:space="preserve">Section 1603 of ARRA </w:t>
      </w:r>
      <w:r w:rsidR="00DB0F26" w:rsidRPr="00B41E7F">
        <w:t xml:space="preserve">was enacted into law on </w:t>
      </w:r>
      <w:r w:rsidR="00DB0F26">
        <w:t>February 17, 2009</w:t>
      </w:r>
      <w:r w:rsidR="00495415">
        <w:t xml:space="preserve">. </w:t>
      </w:r>
      <w:r w:rsidR="00CE0DC3">
        <w:t xml:space="preserve"> </w:t>
      </w:r>
      <w:r w:rsidR="00495415">
        <w:t>It required</w:t>
      </w:r>
      <w:r w:rsidR="00DB0F26">
        <w:t xml:space="preserve"> the United States Department of Treasury ("Treasury") t</w:t>
      </w:r>
      <w:r w:rsidR="001D7F9C">
        <w:t>o provide non-taxable cash g</w:t>
      </w:r>
      <w:r w:rsidR="00DB0F26">
        <w:t>rant</w:t>
      </w:r>
      <w:r w:rsidR="00495415">
        <w:t xml:space="preserve">s of </w:t>
      </w:r>
      <w:r w:rsidR="001D7F9C">
        <w:t xml:space="preserve">thirty percent </w:t>
      </w:r>
      <w:r w:rsidR="00EA0D1D">
        <w:t xml:space="preserve">(30%) </w:t>
      </w:r>
      <w:r w:rsidR="00DB0F26">
        <w:t xml:space="preserve">of </w:t>
      </w:r>
      <w:r w:rsidR="0079483B">
        <w:t xml:space="preserve">the eligible cost of </w:t>
      </w:r>
      <w:r w:rsidR="00DB0F26">
        <w:t>a qualifying renewable investment.</w:t>
      </w:r>
      <w:r w:rsidR="00DB0F26">
        <w:rPr>
          <w:rStyle w:val="FootnoteReference"/>
        </w:rPr>
        <w:footnoteReference w:id="3"/>
      </w:r>
      <w:r w:rsidR="00DB0F26" w:rsidRPr="00DB0F26">
        <w:t xml:space="preserve"> </w:t>
      </w:r>
      <w:r w:rsidR="001D7F9C">
        <w:t xml:space="preserve"> </w:t>
      </w:r>
      <w:r w:rsidR="00DB0F26">
        <w:t>PSE applied for a Trea</w:t>
      </w:r>
      <w:r w:rsidR="00EE0697">
        <w:t xml:space="preserve">sury Grant for the WH </w:t>
      </w:r>
      <w:r w:rsidR="00DB0F26">
        <w:t>Project on December 22, 2009.</w:t>
      </w:r>
      <w:r w:rsidR="00DB0F26">
        <w:rPr>
          <w:rStyle w:val="FootnoteReference"/>
        </w:rPr>
        <w:footnoteReference w:id="4"/>
      </w:r>
      <w:r w:rsidR="001D7F9C">
        <w:t xml:space="preserve">  Treasury approved PSE’s </w:t>
      </w:r>
      <w:r w:rsidR="001D7F9C">
        <w:lastRenderedPageBreak/>
        <w:t>application on February 19, 2010.  PSE</w:t>
      </w:r>
      <w:r w:rsidR="00417ED5">
        <w:t xml:space="preserve"> received a $28,674,664 </w:t>
      </w:r>
      <w:r w:rsidR="001D7F9C">
        <w:t>Trea</w:t>
      </w:r>
      <w:r w:rsidR="00EE0697">
        <w:t xml:space="preserve">sury Grant for the WH </w:t>
      </w:r>
      <w:r w:rsidR="001D7F9C">
        <w:t>Project on February 23, 2010.</w:t>
      </w:r>
      <w:r w:rsidR="001D7F9C">
        <w:rPr>
          <w:rStyle w:val="FootnoteReference"/>
        </w:rPr>
        <w:footnoteReference w:id="5"/>
      </w:r>
      <w:r w:rsidR="001D7F9C">
        <w:t xml:space="preserve">  </w:t>
      </w:r>
    </w:p>
    <w:p w:rsidR="00213778" w:rsidRDefault="004A212B" w:rsidP="004A212B">
      <w:pPr>
        <w:pStyle w:val="BodyText"/>
        <w:numPr>
          <w:ilvl w:val="0"/>
          <w:numId w:val="5"/>
        </w:numPr>
        <w:spacing w:after="0" w:line="480" w:lineRule="auto"/>
        <w:jc w:val="left"/>
      </w:pPr>
      <w:r>
        <w:tab/>
      </w:r>
      <w:r w:rsidR="001D7F9C">
        <w:t>Through a</w:t>
      </w:r>
      <w:r w:rsidR="00CE0DC3">
        <w:t xml:space="preserve"> </w:t>
      </w:r>
      <w:r w:rsidR="00DB016B">
        <w:t xml:space="preserve">series of </w:t>
      </w:r>
      <w:r w:rsidR="001D7F9C">
        <w:t>provision</w:t>
      </w:r>
      <w:r w:rsidR="00AE7DCD">
        <w:t>s</w:t>
      </w:r>
      <w:r w:rsidR="001D7F9C">
        <w:t xml:space="preserve"> in ARRA and the Internal Revenue </w:t>
      </w:r>
      <w:r w:rsidR="00973CB5">
        <w:t xml:space="preserve">Code, and guidance from </w:t>
      </w:r>
      <w:r w:rsidR="001D7F9C">
        <w:t xml:space="preserve">Treasury, </w:t>
      </w:r>
      <w:r w:rsidR="00213778">
        <w:t xml:space="preserve">the Federal government required utilities to normalize </w:t>
      </w:r>
      <w:r w:rsidR="001D7F9C">
        <w:t>grants</w:t>
      </w:r>
      <w:r w:rsidR="00495415">
        <w:t xml:space="preserve"> received under </w:t>
      </w:r>
      <w:r w:rsidR="001D7F9C">
        <w:t>ARR</w:t>
      </w:r>
      <w:r w:rsidR="00213778">
        <w:t>A</w:t>
      </w:r>
      <w:r w:rsidR="00B45D99">
        <w:t>.</w:t>
      </w:r>
      <w:r w:rsidR="00B45D99">
        <w:rPr>
          <w:rStyle w:val="FootnoteReference"/>
        </w:rPr>
        <w:footnoteReference w:id="6"/>
      </w:r>
      <w:r w:rsidR="00B45D99">
        <w:t xml:space="preserve">  </w:t>
      </w:r>
      <w:r w:rsidR="001D7F9C">
        <w:t>No</w:t>
      </w:r>
      <w:r w:rsidR="00B45D99">
        <w:t>rmalization allowed</w:t>
      </w:r>
      <w:r w:rsidR="001D7F9C">
        <w:t xml:space="preserve"> PSE to provide customers with </w:t>
      </w:r>
      <w:r w:rsidR="00973CB5">
        <w:t>either</w:t>
      </w:r>
      <w:r w:rsidR="00595433">
        <w:t xml:space="preserve"> but not both of the following</w:t>
      </w:r>
      <w:r w:rsidR="00B45D99">
        <w:t>:</w:t>
      </w:r>
      <w:r w:rsidR="001D7F9C">
        <w:t xml:space="preserve"> </w:t>
      </w:r>
      <w:r w:rsidR="00B45D99">
        <w:t xml:space="preserve"> </w:t>
      </w:r>
      <w:r w:rsidR="001D7F9C">
        <w:t>(1) an offset to rate base for the unamortized balance of the Treasury Grant</w:t>
      </w:r>
      <w:r w:rsidR="00213778">
        <w:t>;</w:t>
      </w:r>
      <w:r w:rsidR="001D7F9C">
        <w:t xml:space="preserve"> or (2) the amortization of the Treasury Grant as a reduction to cost of s</w:t>
      </w:r>
      <w:r w:rsidR="00B45D99">
        <w:t>ervice.</w:t>
      </w:r>
      <w:r w:rsidR="00B45D99">
        <w:rPr>
          <w:rStyle w:val="FootnoteReference"/>
        </w:rPr>
        <w:footnoteReference w:id="7"/>
      </w:r>
      <w:r w:rsidR="00B45D99">
        <w:t xml:space="preserve">  </w:t>
      </w:r>
      <w:r w:rsidR="00AE7DCD">
        <w:t>P</w:t>
      </w:r>
      <w:r w:rsidR="00CE0DC3">
        <w:t>SE chose</w:t>
      </w:r>
      <w:r w:rsidR="00495415">
        <w:t xml:space="preserve"> the second method</w:t>
      </w:r>
      <w:r w:rsidR="00AE7DCD">
        <w:t>.</w:t>
      </w:r>
      <w:r w:rsidR="00AE7DCD">
        <w:rPr>
          <w:rStyle w:val="FootnoteReference"/>
        </w:rPr>
        <w:footnoteReference w:id="8"/>
      </w:r>
      <w:r w:rsidR="00AE7DCD">
        <w:t xml:space="preserve">  The Commission approved that treatment</w:t>
      </w:r>
      <w:r w:rsidR="00495415">
        <w:t xml:space="preserve"> in </w:t>
      </w:r>
      <w:r w:rsidR="00DB016B">
        <w:t>December 2009 in Docket UE-091570</w:t>
      </w:r>
      <w:r w:rsidR="00AE7DCD">
        <w:t>.</w:t>
      </w:r>
      <w:r w:rsidR="00AE7DCD">
        <w:rPr>
          <w:rStyle w:val="FootnoteReference"/>
        </w:rPr>
        <w:footnoteReference w:id="9"/>
      </w:r>
      <w:r w:rsidR="00213778">
        <w:t xml:space="preserve">  </w:t>
      </w:r>
      <w:r w:rsidR="004879A6">
        <w:t>However, t</w:t>
      </w:r>
      <w:r w:rsidR="00213778">
        <w:t>he</w:t>
      </w:r>
      <w:r w:rsidR="004879A6">
        <w:t xml:space="preserve"> Commission </w:t>
      </w:r>
      <w:r w:rsidR="00213778">
        <w:t>stated:</w:t>
      </w:r>
      <w:r w:rsidR="00473B35">
        <w:t xml:space="preserve">  </w:t>
      </w:r>
    </w:p>
    <w:p w:rsidR="00473B35" w:rsidRDefault="00473B35" w:rsidP="00473B35">
      <w:pPr>
        <w:pStyle w:val="BodyText"/>
        <w:spacing w:after="0"/>
        <w:ind w:left="720" w:right="648"/>
        <w:jc w:val="left"/>
      </w:pPr>
      <w:r>
        <w:t>However, the Commission and its Staff reserve the right to provide alternative methodologies for the treatment of the Treasury grants in future proceedings that may differ from the Company’s proposed accounting and normalization treatment based on new analysis, new information becoming available, or based on new guidance being provided by the Internal Revenue Service or Treasury.</w:t>
      </w:r>
      <w:r>
        <w:rPr>
          <w:rStyle w:val="FootnoteReference"/>
        </w:rPr>
        <w:footnoteReference w:id="10"/>
      </w:r>
    </w:p>
    <w:p w:rsidR="00473B35" w:rsidRDefault="00473B35" w:rsidP="00473B35">
      <w:pPr>
        <w:pStyle w:val="BodyText"/>
        <w:spacing w:after="0"/>
        <w:jc w:val="left"/>
      </w:pPr>
    </w:p>
    <w:p w:rsidR="00473B35" w:rsidRDefault="00473B35" w:rsidP="00473B35">
      <w:pPr>
        <w:pStyle w:val="BodyText"/>
        <w:spacing w:after="0" w:line="480" w:lineRule="auto"/>
        <w:jc w:val="left"/>
      </w:pPr>
      <w:r>
        <w:t>Amortization of the Treasury Grant began on January 1, 2011 through a tariff revision filed by the Company in Docket UE-101767.</w:t>
      </w:r>
      <w:r>
        <w:rPr>
          <w:rStyle w:val="FootnoteReference"/>
        </w:rPr>
        <w:footnoteReference w:id="11"/>
      </w:r>
    </w:p>
    <w:p w:rsidR="00B45D99" w:rsidRDefault="00473B35" w:rsidP="00473B35">
      <w:pPr>
        <w:pStyle w:val="BodyText"/>
        <w:numPr>
          <w:ilvl w:val="0"/>
          <w:numId w:val="5"/>
        </w:numPr>
        <w:spacing w:after="0" w:line="480" w:lineRule="auto"/>
        <w:jc w:val="left"/>
      </w:pPr>
      <w:r>
        <w:tab/>
      </w:r>
      <w:r w:rsidR="00657524">
        <w:t>T</w:t>
      </w:r>
      <w:r w:rsidR="00B45D99" w:rsidRPr="00B45D99">
        <w:t xml:space="preserve">he </w:t>
      </w:r>
      <w:r w:rsidR="00657524">
        <w:t>requirement to normalize Treasury grants</w:t>
      </w:r>
      <w:r w:rsidR="004879A6">
        <w:t xml:space="preserve"> was eliminated through </w:t>
      </w:r>
      <w:r w:rsidR="00657524">
        <w:t>an amendment in NDAA that</w:t>
      </w:r>
      <w:r w:rsidR="000D7663">
        <w:t xml:space="preserve"> was signed into law </w:t>
      </w:r>
      <w:r w:rsidR="00495415">
        <w:t>on December 31, 2011</w:t>
      </w:r>
      <w:r w:rsidR="00657524">
        <w:t>.  The amendment stated:</w:t>
      </w:r>
    </w:p>
    <w:p w:rsidR="00B45D99" w:rsidRDefault="00B45D99" w:rsidP="00B45D99">
      <w:pPr>
        <w:pStyle w:val="BodyText"/>
        <w:spacing w:after="0"/>
        <w:ind w:left="720" w:right="720"/>
        <w:jc w:val="left"/>
      </w:pPr>
      <w:r>
        <w:t>(a) In General – The first sentence of section 1603(f) of the American Recovery and Reinvestment Tax Act of 2009 is amended by inserting "other than subsection (d)(2) thereof" after "section 50 of the internal Revenue Code of 1986".</w:t>
      </w:r>
    </w:p>
    <w:p w:rsidR="00B45D99" w:rsidRDefault="00B45D99" w:rsidP="00B45D99">
      <w:pPr>
        <w:pStyle w:val="BodyText"/>
        <w:spacing w:after="0"/>
        <w:ind w:left="720" w:right="720"/>
        <w:jc w:val="left"/>
      </w:pPr>
    </w:p>
    <w:p w:rsidR="00B45D99" w:rsidRDefault="00B45D99" w:rsidP="000D7663">
      <w:pPr>
        <w:pStyle w:val="BodyText"/>
        <w:spacing w:after="0"/>
        <w:ind w:left="720" w:right="720"/>
        <w:jc w:val="left"/>
      </w:pPr>
      <w:r>
        <w:lastRenderedPageBreak/>
        <w:t xml:space="preserve">(b) Effective Date -- The amendment made by this section </w:t>
      </w:r>
      <w:r w:rsidRPr="000D7663">
        <w:rPr>
          <w:i/>
        </w:rPr>
        <w:t>shall take effect as if included in section 1603 of the American Recovery and Reinvestment Tax Act of 2009</w:t>
      </w:r>
      <w:r>
        <w:t>.</w:t>
      </w:r>
      <w:r>
        <w:rPr>
          <w:rStyle w:val="FootnoteReference"/>
        </w:rPr>
        <w:footnoteReference w:id="12"/>
      </w:r>
      <w:r w:rsidR="000D7663">
        <w:t xml:space="preserve">  </w:t>
      </w:r>
    </w:p>
    <w:p w:rsidR="00DB0F26" w:rsidRDefault="00DB0F26" w:rsidP="000D7663">
      <w:pPr>
        <w:pStyle w:val="BodyText"/>
        <w:spacing w:after="0"/>
        <w:jc w:val="left"/>
      </w:pPr>
    </w:p>
    <w:p w:rsidR="000D7663" w:rsidRDefault="000D7663" w:rsidP="000D7663">
      <w:pPr>
        <w:pStyle w:val="BodyText"/>
        <w:spacing w:after="0" w:line="480" w:lineRule="auto"/>
        <w:jc w:val="left"/>
      </w:pPr>
      <w:r>
        <w:t>(Emphasis added.)</w:t>
      </w:r>
      <w:r w:rsidR="00572687">
        <w:t xml:space="preserve">  The issue is whether the amendment operates retroactively to permit the calculation of interest from the February 23, 2010</w:t>
      </w:r>
      <w:r w:rsidR="00EA0D1D">
        <w:t>,</w:t>
      </w:r>
      <w:r w:rsidR="00572687">
        <w:t xml:space="preserve"> </w:t>
      </w:r>
      <w:r w:rsidR="00417ED5">
        <w:t xml:space="preserve">Treasury Grant </w:t>
      </w:r>
      <w:r w:rsidR="00572687">
        <w:t>receipt date, as Staff proposes, or has no retroactive effect by permitting the calculation of interest only from the December</w:t>
      </w:r>
      <w:r w:rsidR="0086247D">
        <w:t xml:space="preserve"> 31, 2011</w:t>
      </w:r>
      <w:r w:rsidR="00EA0D1D">
        <w:t>,</w:t>
      </w:r>
      <w:r w:rsidR="0086247D">
        <w:t xml:space="preserve"> enactment date of </w:t>
      </w:r>
      <w:r w:rsidR="00242901">
        <w:t>NDA</w:t>
      </w:r>
      <w:r w:rsidR="00572687">
        <w:t>A, as PSE proposes.</w:t>
      </w:r>
    </w:p>
    <w:p w:rsidR="00242901" w:rsidRPr="004A212B" w:rsidRDefault="004A212B" w:rsidP="004A212B">
      <w:pPr>
        <w:pStyle w:val="ListParagraph"/>
        <w:numPr>
          <w:ilvl w:val="0"/>
          <w:numId w:val="5"/>
        </w:numPr>
        <w:shd w:val="clear" w:color="auto" w:fill="FFFFFF"/>
        <w:spacing w:line="480" w:lineRule="auto"/>
        <w:rPr>
          <w:rFonts w:cs="Times New Roman"/>
          <w:color w:val="000000"/>
          <w:szCs w:val="24"/>
        </w:rPr>
      </w:pPr>
      <w:r>
        <w:rPr>
          <w:rFonts w:cs="Times New Roman"/>
          <w:color w:val="000000"/>
          <w:szCs w:val="24"/>
        </w:rPr>
        <w:tab/>
      </w:r>
      <w:r w:rsidR="00572687" w:rsidRPr="004A212B">
        <w:rPr>
          <w:rFonts w:cs="Times New Roman"/>
          <w:color w:val="000000"/>
          <w:szCs w:val="24"/>
        </w:rPr>
        <w:t>When interpre</w:t>
      </w:r>
      <w:r w:rsidR="00D108F5" w:rsidRPr="004A212B">
        <w:rPr>
          <w:rFonts w:cs="Times New Roman"/>
          <w:color w:val="000000"/>
          <w:szCs w:val="24"/>
        </w:rPr>
        <w:t xml:space="preserve">ting congressional statutes, the Commission must </w:t>
      </w:r>
      <w:r w:rsidR="00572687" w:rsidRPr="004A212B">
        <w:rPr>
          <w:rFonts w:cs="Times New Roman"/>
          <w:color w:val="000000"/>
          <w:szCs w:val="24"/>
        </w:rPr>
        <w:t>first look at the plain language of the statute because that is the best way to determine congressional intent.</w:t>
      </w:r>
      <w:r w:rsidR="00572687">
        <w:rPr>
          <w:rStyle w:val="FootnoteReference"/>
          <w:rFonts w:cs="Times New Roman"/>
          <w:color w:val="000000"/>
          <w:szCs w:val="24"/>
        </w:rPr>
        <w:footnoteReference w:id="13"/>
      </w:r>
      <w:r w:rsidR="00AE7DCD" w:rsidRPr="004A212B">
        <w:rPr>
          <w:rFonts w:cs="Times New Roman"/>
          <w:color w:val="000000"/>
          <w:szCs w:val="24"/>
        </w:rPr>
        <w:t xml:space="preserve">  As the Company </w:t>
      </w:r>
      <w:r w:rsidR="00D108F5" w:rsidRPr="004A212B">
        <w:rPr>
          <w:rFonts w:cs="Times New Roman"/>
          <w:color w:val="000000"/>
          <w:szCs w:val="24"/>
        </w:rPr>
        <w:t>acknowledges, a statutory amendment</w:t>
      </w:r>
      <w:r w:rsidR="003A6543" w:rsidRPr="004A212B">
        <w:rPr>
          <w:rFonts w:cs="Times New Roman"/>
          <w:color w:val="000000"/>
          <w:szCs w:val="24"/>
        </w:rPr>
        <w:t xml:space="preserve"> may be applied retroactively if the legislature </w:t>
      </w:r>
      <w:r w:rsidR="004D6ABE" w:rsidRPr="004A212B">
        <w:rPr>
          <w:rFonts w:cs="Times New Roman"/>
          <w:color w:val="000000"/>
          <w:szCs w:val="24"/>
        </w:rPr>
        <w:t xml:space="preserve">clearly </w:t>
      </w:r>
      <w:r w:rsidR="00D108F5" w:rsidRPr="004A212B">
        <w:rPr>
          <w:rFonts w:cs="Times New Roman"/>
          <w:color w:val="000000"/>
          <w:szCs w:val="24"/>
        </w:rPr>
        <w:t>intended</w:t>
      </w:r>
      <w:r w:rsidR="003A6543" w:rsidRPr="004A212B">
        <w:rPr>
          <w:rFonts w:cs="Times New Roman"/>
          <w:color w:val="000000"/>
          <w:szCs w:val="24"/>
        </w:rPr>
        <w:t xml:space="preserve"> retroactive application</w:t>
      </w:r>
      <w:r w:rsidR="00D108F5" w:rsidRPr="004A212B">
        <w:rPr>
          <w:rFonts w:cs="Times New Roman"/>
          <w:color w:val="000000"/>
          <w:szCs w:val="24"/>
        </w:rPr>
        <w:t>.</w:t>
      </w:r>
      <w:r w:rsidR="00D108F5">
        <w:rPr>
          <w:rStyle w:val="FootnoteReference"/>
          <w:rFonts w:cs="Times New Roman"/>
          <w:color w:val="000000"/>
          <w:szCs w:val="24"/>
        </w:rPr>
        <w:footnoteReference w:id="14"/>
      </w:r>
      <w:r w:rsidR="00417ED5" w:rsidRPr="004A212B">
        <w:rPr>
          <w:rFonts w:cs="Times New Roman"/>
          <w:color w:val="000000"/>
          <w:szCs w:val="24"/>
        </w:rPr>
        <w:t xml:space="preserve">  </w:t>
      </w:r>
    </w:p>
    <w:p w:rsidR="00572687" w:rsidRPr="004A212B" w:rsidRDefault="004A212B" w:rsidP="004A212B">
      <w:pPr>
        <w:pStyle w:val="ListParagraph"/>
        <w:numPr>
          <w:ilvl w:val="0"/>
          <w:numId w:val="5"/>
        </w:numPr>
        <w:shd w:val="clear" w:color="auto" w:fill="FFFFFF"/>
        <w:spacing w:line="480" w:lineRule="auto"/>
        <w:rPr>
          <w:rFonts w:cs="Times New Roman"/>
          <w:color w:val="000000"/>
          <w:szCs w:val="24"/>
        </w:rPr>
      </w:pPr>
      <w:r>
        <w:rPr>
          <w:rFonts w:cs="Times New Roman"/>
          <w:color w:val="000000"/>
          <w:szCs w:val="24"/>
        </w:rPr>
        <w:tab/>
      </w:r>
      <w:r w:rsidR="00417ED5" w:rsidRPr="004A212B">
        <w:rPr>
          <w:rFonts w:cs="Times New Roman"/>
          <w:color w:val="000000"/>
          <w:szCs w:val="24"/>
        </w:rPr>
        <w:t xml:space="preserve">Here, Congress stated expressly that the elimination of normalization requirements is effective “as if included in section 1603” of ARRA.  Section 1603 of ARRA became law on February 17, 2009.  Thus, Congress clearly intended the elimination of normalization to apply retroactively to </w:t>
      </w:r>
      <w:r w:rsidR="00973CB5" w:rsidRPr="004A212B">
        <w:rPr>
          <w:rFonts w:cs="Times New Roman"/>
          <w:color w:val="000000"/>
          <w:szCs w:val="24"/>
        </w:rPr>
        <w:t>February 17, 2009,</w:t>
      </w:r>
      <w:r w:rsidR="0086247D" w:rsidRPr="004A212B">
        <w:rPr>
          <w:rFonts w:cs="Times New Roman"/>
          <w:color w:val="000000"/>
          <w:szCs w:val="24"/>
        </w:rPr>
        <w:t xml:space="preserve"> which </w:t>
      </w:r>
      <w:r w:rsidR="00973CB5" w:rsidRPr="004A212B">
        <w:rPr>
          <w:rFonts w:cs="Times New Roman"/>
          <w:color w:val="000000"/>
          <w:szCs w:val="24"/>
        </w:rPr>
        <w:t>encompasses</w:t>
      </w:r>
      <w:r w:rsidR="00417ED5" w:rsidRPr="004A212B">
        <w:rPr>
          <w:rFonts w:cs="Times New Roman"/>
          <w:color w:val="000000"/>
          <w:szCs w:val="24"/>
        </w:rPr>
        <w:t xml:space="preserve"> February 23, 2010, the date PSE received the Trea</w:t>
      </w:r>
      <w:r w:rsidR="00EE0697">
        <w:rPr>
          <w:rFonts w:cs="Times New Roman"/>
          <w:color w:val="000000"/>
          <w:szCs w:val="24"/>
        </w:rPr>
        <w:t xml:space="preserve">sury Grant for the WH </w:t>
      </w:r>
      <w:r w:rsidR="00417ED5" w:rsidRPr="004A212B">
        <w:rPr>
          <w:rFonts w:cs="Times New Roman"/>
          <w:color w:val="000000"/>
          <w:szCs w:val="24"/>
        </w:rPr>
        <w:t>Project.</w:t>
      </w:r>
    </w:p>
    <w:p w:rsidR="0038069C" w:rsidRPr="004A212B" w:rsidRDefault="004A212B" w:rsidP="004A212B">
      <w:pPr>
        <w:pStyle w:val="ListParagraph"/>
        <w:numPr>
          <w:ilvl w:val="0"/>
          <w:numId w:val="5"/>
        </w:numPr>
        <w:shd w:val="clear" w:color="auto" w:fill="FFFFFF"/>
        <w:spacing w:line="480" w:lineRule="auto"/>
        <w:rPr>
          <w:rFonts w:cs="Times New Roman"/>
          <w:color w:val="000000"/>
          <w:szCs w:val="24"/>
        </w:rPr>
      </w:pPr>
      <w:r>
        <w:rPr>
          <w:rFonts w:cs="Times New Roman"/>
          <w:color w:val="000000"/>
          <w:szCs w:val="24"/>
        </w:rPr>
        <w:tab/>
      </w:r>
      <w:r w:rsidR="00242901" w:rsidRPr="004A212B">
        <w:rPr>
          <w:rFonts w:cs="Times New Roman"/>
          <w:color w:val="000000"/>
          <w:szCs w:val="24"/>
        </w:rPr>
        <w:t>A</w:t>
      </w:r>
      <w:r w:rsidR="0079483B" w:rsidRPr="004A212B">
        <w:rPr>
          <w:rFonts w:cs="Times New Roman"/>
          <w:color w:val="000000"/>
          <w:szCs w:val="24"/>
        </w:rPr>
        <w:t xml:space="preserve">s PSE also acknowledges, retroactive application </w:t>
      </w:r>
      <w:r w:rsidR="00AE7DCD" w:rsidRPr="004A212B">
        <w:rPr>
          <w:rFonts w:cs="Times New Roman"/>
          <w:color w:val="000000"/>
          <w:szCs w:val="24"/>
        </w:rPr>
        <w:t>of a</w:t>
      </w:r>
      <w:r w:rsidR="00242901" w:rsidRPr="004A212B">
        <w:rPr>
          <w:rFonts w:cs="Times New Roman"/>
          <w:color w:val="000000"/>
          <w:szCs w:val="24"/>
        </w:rPr>
        <w:t>n</w:t>
      </w:r>
      <w:r w:rsidR="00AE7DCD" w:rsidRPr="004A212B">
        <w:rPr>
          <w:rFonts w:cs="Times New Roman"/>
          <w:color w:val="000000"/>
          <w:szCs w:val="24"/>
        </w:rPr>
        <w:t xml:space="preserve"> amendment</w:t>
      </w:r>
      <w:r w:rsidR="008B658C" w:rsidRPr="004A212B">
        <w:rPr>
          <w:rFonts w:cs="Times New Roman"/>
          <w:color w:val="000000"/>
          <w:szCs w:val="24"/>
        </w:rPr>
        <w:t xml:space="preserve"> </w:t>
      </w:r>
      <w:r w:rsidR="00AE7DCD" w:rsidRPr="004A212B">
        <w:rPr>
          <w:rFonts w:cs="Times New Roman"/>
          <w:color w:val="000000"/>
          <w:szCs w:val="24"/>
        </w:rPr>
        <w:t xml:space="preserve">is </w:t>
      </w:r>
      <w:r w:rsidR="0079483B" w:rsidRPr="004A212B">
        <w:rPr>
          <w:rFonts w:cs="Times New Roman"/>
          <w:color w:val="000000"/>
          <w:szCs w:val="24"/>
        </w:rPr>
        <w:t>authorized if the amendment is “clearly curative”.</w:t>
      </w:r>
      <w:r w:rsidR="0079483B">
        <w:rPr>
          <w:rStyle w:val="FootnoteReference"/>
          <w:rFonts w:cs="Times New Roman"/>
          <w:color w:val="000000"/>
          <w:szCs w:val="24"/>
        </w:rPr>
        <w:footnoteReference w:id="15"/>
      </w:r>
      <w:r w:rsidR="0079483B" w:rsidRPr="004A212B">
        <w:rPr>
          <w:rFonts w:cs="Times New Roman"/>
          <w:color w:val="000000"/>
          <w:szCs w:val="24"/>
        </w:rPr>
        <w:t xml:space="preserve">  A curative act is a statute passed to cure defects in a </w:t>
      </w:r>
      <w:r w:rsidR="0079483B" w:rsidRPr="004A212B">
        <w:rPr>
          <w:rFonts w:cs="Times New Roman"/>
          <w:color w:val="000000"/>
          <w:szCs w:val="24"/>
        </w:rPr>
        <w:lastRenderedPageBreak/>
        <w:t>prior law.</w:t>
      </w:r>
      <w:r w:rsidR="0079483B">
        <w:rPr>
          <w:rStyle w:val="FootnoteReference"/>
          <w:rFonts w:cs="Times New Roman"/>
          <w:color w:val="000000"/>
          <w:szCs w:val="24"/>
        </w:rPr>
        <w:footnoteReference w:id="16"/>
      </w:r>
      <w:r w:rsidR="0079483B" w:rsidRPr="004A212B">
        <w:rPr>
          <w:rFonts w:cs="Times New Roman"/>
          <w:color w:val="000000"/>
          <w:szCs w:val="24"/>
        </w:rPr>
        <w:t xml:space="preserve">  </w:t>
      </w:r>
      <w:r w:rsidR="004879A6" w:rsidRPr="004A212B">
        <w:rPr>
          <w:rFonts w:cs="Times New Roman"/>
          <w:color w:val="000000"/>
          <w:szCs w:val="24"/>
        </w:rPr>
        <w:t>PSE effectively concedes</w:t>
      </w:r>
      <w:r w:rsidR="0038069C" w:rsidRPr="004A212B">
        <w:rPr>
          <w:rFonts w:cs="Times New Roman"/>
          <w:color w:val="000000"/>
          <w:szCs w:val="24"/>
        </w:rPr>
        <w:t xml:space="preserve"> </w:t>
      </w:r>
      <w:r w:rsidR="004879A6" w:rsidRPr="004A212B">
        <w:rPr>
          <w:rFonts w:cs="Times New Roman"/>
          <w:color w:val="000000"/>
          <w:szCs w:val="24"/>
        </w:rPr>
        <w:t xml:space="preserve">that the amendment </w:t>
      </w:r>
      <w:r w:rsidR="00242901" w:rsidRPr="004A212B">
        <w:rPr>
          <w:rFonts w:cs="Times New Roman"/>
          <w:color w:val="000000"/>
          <w:szCs w:val="24"/>
        </w:rPr>
        <w:t xml:space="preserve">to ARRA </w:t>
      </w:r>
      <w:r w:rsidR="004879A6" w:rsidRPr="004A212B">
        <w:rPr>
          <w:rFonts w:cs="Times New Roman"/>
          <w:color w:val="000000"/>
          <w:szCs w:val="24"/>
        </w:rPr>
        <w:t>is curative</w:t>
      </w:r>
      <w:r w:rsidR="00242901" w:rsidRPr="004A212B">
        <w:rPr>
          <w:rFonts w:cs="Times New Roman"/>
          <w:color w:val="000000"/>
          <w:szCs w:val="24"/>
        </w:rPr>
        <w:t xml:space="preserve"> by stating that</w:t>
      </w:r>
      <w:r w:rsidR="004879A6" w:rsidRPr="004A212B">
        <w:rPr>
          <w:rFonts w:cs="Times New Roman"/>
          <w:color w:val="000000"/>
          <w:szCs w:val="24"/>
        </w:rPr>
        <w:t xml:space="preserve"> the</w:t>
      </w:r>
      <w:r w:rsidR="0038069C" w:rsidRPr="004A212B">
        <w:rPr>
          <w:rFonts w:cs="Times New Roman"/>
          <w:color w:val="000000"/>
          <w:szCs w:val="24"/>
        </w:rPr>
        <w:t xml:space="preserve"> normalization requirement was an “unintended consequence” of Congress’s prior invocation of normalization rules </w:t>
      </w:r>
      <w:r w:rsidR="00456863" w:rsidRPr="004A212B">
        <w:rPr>
          <w:rFonts w:cs="Times New Roman"/>
          <w:color w:val="000000"/>
          <w:szCs w:val="24"/>
        </w:rPr>
        <w:t>and was</w:t>
      </w:r>
      <w:r w:rsidR="0038069C" w:rsidRPr="004A212B">
        <w:rPr>
          <w:rFonts w:cs="Times New Roman"/>
          <w:color w:val="000000"/>
          <w:szCs w:val="24"/>
        </w:rPr>
        <w:t xml:space="preserve"> antithetical</w:t>
      </w:r>
      <w:r w:rsidR="0086247D" w:rsidRPr="004A212B">
        <w:rPr>
          <w:rFonts w:cs="Times New Roman"/>
          <w:color w:val="000000"/>
          <w:szCs w:val="24"/>
        </w:rPr>
        <w:t xml:space="preserve"> to the concept of ARRA </w:t>
      </w:r>
      <w:r w:rsidR="0038069C" w:rsidRPr="004A212B">
        <w:rPr>
          <w:rFonts w:cs="Times New Roman"/>
          <w:color w:val="000000"/>
          <w:szCs w:val="24"/>
        </w:rPr>
        <w:t>to stimulate investment in renewable energy:</w:t>
      </w:r>
    </w:p>
    <w:p w:rsidR="00417ED5" w:rsidRDefault="0038069C" w:rsidP="004A212B">
      <w:pPr>
        <w:shd w:val="clear" w:color="auto" w:fill="FFFFFF"/>
        <w:ind w:left="720" w:right="648"/>
        <w:rPr>
          <w:rFonts w:cs="Times New Roman"/>
          <w:color w:val="000000"/>
          <w:szCs w:val="24"/>
        </w:rPr>
      </w:pPr>
      <w:r>
        <w:rPr>
          <w:rFonts w:cs="Times New Roman"/>
          <w:color w:val="000000"/>
          <w:szCs w:val="24"/>
        </w:rPr>
        <w:t>The ITC normalization rules would have the effect of significantly reducing the value</w:t>
      </w:r>
      <w:r w:rsidR="004A212B">
        <w:rPr>
          <w:rFonts w:cs="Times New Roman"/>
          <w:color w:val="000000"/>
          <w:szCs w:val="24"/>
        </w:rPr>
        <w:t xml:space="preserve"> </w:t>
      </w:r>
      <w:r>
        <w:rPr>
          <w:rFonts w:cs="Times New Roman"/>
          <w:color w:val="000000"/>
          <w:szCs w:val="24"/>
        </w:rPr>
        <w:t xml:space="preserve">of the Section 1603 Treasury Grants to PSE’s customers by restricting the regulatory treatment of </w:t>
      </w:r>
      <w:r w:rsidRPr="00242901">
        <w:rPr>
          <w:rFonts w:cs="Times New Roman"/>
          <w:color w:val="000000"/>
          <w:szCs w:val="24"/>
        </w:rPr>
        <w:t>the unamortized balance of such grants</w:t>
      </w:r>
      <w:r>
        <w:rPr>
          <w:rFonts w:cs="Times New Roman"/>
          <w:color w:val="000000"/>
          <w:szCs w:val="24"/>
        </w:rPr>
        <w:t>.</w:t>
      </w:r>
      <w:r>
        <w:rPr>
          <w:rStyle w:val="FootnoteReference"/>
          <w:rFonts w:cs="Times New Roman"/>
          <w:color w:val="000000"/>
          <w:szCs w:val="24"/>
        </w:rPr>
        <w:footnoteReference w:id="17"/>
      </w:r>
    </w:p>
    <w:p w:rsidR="0038069C" w:rsidRDefault="0038069C" w:rsidP="0038069C">
      <w:pPr>
        <w:shd w:val="clear" w:color="auto" w:fill="FFFFFF"/>
        <w:rPr>
          <w:rFonts w:cs="Times New Roman"/>
          <w:color w:val="000000"/>
          <w:szCs w:val="24"/>
        </w:rPr>
      </w:pPr>
    </w:p>
    <w:p w:rsidR="0038069C" w:rsidRDefault="004879A6" w:rsidP="00322644">
      <w:pPr>
        <w:shd w:val="clear" w:color="auto" w:fill="FFFFFF"/>
        <w:spacing w:line="480" w:lineRule="auto"/>
        <w:rPr>
          <w:rFonts w:cs="Times New Roman"/>
          <w:color w:val="000000"/>
          <w:szCs w:val="24"/>
        </w:rPr>
      </w:pPr>
      <w:r>
        <w:rPr>
          <w:rFonts w:cs="Times New Roman"/>
          <w:color w:val="000000"/>
          <w:szCs w:val="24"/>
        </w:rPr>
        <w:t>A</w:t>
      </w:r>
      <w:r w:rsidR="00456863">
        <w:rPr>
          <w:rFonts w:cs="Times New Roman"/>
          <w:color w:val="000000"/>
          <w:szCs w:val="24"/>
        </w:rPr>
        <w:t xml:space="preserve">ccording to PSE, the Company initiated a legislative effort to “correct” the law to eliminate normalization requirements for ARRA Section 1603 grants and that “correction” was signed </w:t>
      </w:r>
      <w:r w:rsidR="0086247D">
        <w:rPr>
          <w:rFonts w:cs="Times New Roman"/>
          <w:color w:val="000000"/>
          <w:szCs w:val="24"/>
        </w:rPr>
        <w:t xml:space="preserve">into law as Section 1096 of </w:t>
      </w:r>
      <w:r w:rsidR="00456863">
        <w:rPr>
          <w:rFonts w:cs="Times New Roman"/>
          <w:color w:val="000000"/>
          <w:szCs w:val="24"/>
        </w:rPr>
        <w:t>NDAA.</w:t>
      </w:r>
      <w:r w:rsidR="00456863">
        <w:rPr>
          <w:rStyle w:val="FootnoteReference"/>
          <w:rFonts w:cs="Times New Roman"/>
          <w:color w:val="000000"/>
          <w:szCs w:val="24"/>
        </w:rPr>
        <w:footnoteReference w:id="18"/>
      </w:r>
      <w:r>
        <w:rPr>
          <w:rFonts w:cs="Times New Roman"/>
          <w:color w:val="000000"/>
          <w:szCs w:val="24"/>
        </w:rPr>
        <w:t xml:space="preserve">  This</w:t>
      </w:r>
      <w:r w:rsidR="004A1661">
        <w:rPr>
          <w:rFonts w:cs="Times New Roman"/>
          <w:color w:val="000000"/>
          <w:szCs w:val="24"/>
        </w:rPr>
        <w:t xml:space="preserve"> curative nature of this</w:t>
      </w:r>
      <w:r w:rsidR="00456863">
        <w:rPr>
          <w:rFonts w:cs="Times New Roman"/>
          <w:color w:val="000000"/>
          <w:szCs w:val="24"/>
        </w:rPr>
        <w:t xml:space="preserve"> correction</w:t>
      </w:r>
      <w:r w:rsidR="002C7FF8">
        <w:rPr>
          <w:rFonts w:cs="Times New Roman"/>
          <w:color w:val="000000"/>
          <w:szCs w:val="24"/>
        </w:rPr>
        <w:t>, therefore,</w:t>
      </w:r>
      <w:r w:rsidR="00456863">
        <w:rPr>
          <w:rFonts w:cs="Times New Roman"/>
          <w:color w:val="000000"/>
          <w:szCs w:val="24"/>
        </w:rPr>
        <w:t xml:space="preserve"> supports retroactive application, in accordance with the express Effective Date p</w:t>
      </w:r>
      <w:r w:rsidR="0086247D">
        <w:rPr>
          <w:rFonts w:cs="Times New Roman"/>
          <w:color w:val="000000"/>
          <w:szCs w:val="24"/>
        </w:rPr>
        <w:t xml:space="preserve">rovision of Section 1096 of </w:t>
      </w:r>
      <w:r w:rsidR="00456863">
        <w:rPr>
          <w:rFonts w:cs="Times New Roman"/>
          <w:color w:val="000000"/>
          <w:szCs w:val="24"/>
        </w:rPr>
        <w:t>NDAA.</w:t>
      </w:r>
      <w:r w:rsidR="00435773">
        <w:rPr>
          <w:rStyle w:val="FootnoteReference"/>
          <w:rFonts w:cs="Times New Roman"/>
          <w:color w:val="000000"/>
          <w:szCs w:val="24"/>
        </w:rPr>
        <w:footnoteReference w:id="19"/>
      </w:r>
    </w:p>
    <w:p w:rsidR="003979EB" w:rsidRDefault="004A212B" w:rsidP="004A212B">
      <w:pPr>
        <w:pStyle w:val="BodyText"/>
        <w:numPr>
          <w:ilvl w:val="0"/>
          <w:numId w:val="5"/>
        </w:numPr>
        <w:spacing w:after="0" w:line="480" w:lineRule="auto"/>
        <w:jc w:val="left"/>
        <w:rPr>
          <w:color w:val="000000"/>
          <w:szCs w:val="24"/>
        </w:rPr>
      </w:pPr>
      <w:r>
        <w:rPr>
          <w:color w:val="000000"/>
          <w:szCs w:val="24"/>
        </w:rPr>
        <w:tab/>
      </w:r>
      <w:r w:rsidR="004879A6">
        <w:rPr>
          <w:color w:val="000000"/>
          <w:szCs w:val="24"/>
        </w:rPr>
        <w:t>Notwithstanding that the corrective amendment was curative, t</w:t>
      </w:r>
      <w:r w:rsidR="00456863">
        <w:rPr>
          <w:color w:val="000000"/>
          <w:szCs w:val="24"/>
        </w:rPr>
        <w:t xml:space="preserve">he Company argues that </w:t>
      </w:r>
      <w:r w:rsidR="00291983">
        <w:rPr>
          <w:color w:val="000000"/>
          <w:szCs w:val="24"/>
        </w:rPr>
        <w:t xml:space="preserve">the calculation of interest </w:t>
      </w:r>
      <w:r w:rsidR="00973CB5">
        <w:rPr>
          <w:color w:val="000000"/>
          <w:szCs w:val="24"/>
        </w:rPr>
        <w:t>as Staff proposes</w:t>
      </w:r>
      <w:r w:rsidR="00456863">
        <w:rPr>
          <w:color w:val="000000"/>
          <w:szCs w:val="24"/>
        </w:rPr>
        <w:t xml:space="preserve"> </w:t>
      </w:r>
      <w:r w:rsidR="00E46CFB">
        <w:rPr>
          <w:color w:val="000000"/>
          <w:szCs w:val="24"/>
        </w:rPr>
        <w:t xml:space="preserve">is unlawful because it </w:t>
      </w:r>
      <w:r w:rsidR="00456863">
        <w:rPr>
          <w:color w:val="000000"/>
          <w:szCs w:val="24"/>
        </w:rPr>
        <w:t>would</w:t>
      </w:r>
      <w:r w:rsidR="002C7FF8">
        <w:rPr>
          <w:color w:val="000000"/>
          <w:szCs w:val="24"/>
        </w:rPr>
        <w:t xml:space="preserve"> </w:t>
      </w:r>
      <w:r w:rsidR="00AC535F">
        <w:rPr>
          <w:color w:val="000000"/>
          <w:szCs w:val="24"/>
        </w:rPr>
        <w:t xml:space="preserve">preempt state law prohibiting retroactive ratemaking and </w:t>
      </w:r>
      <w:r w:rsidR="002C7FF8">
        <w:rPr>
          <w:color w:val="000000"/>
          <w:szCs w:val="24"/>
        </w:rPr>
        <w:t>impair PSE’s</w:t>
      </w:r>
      <w:r w:rsidR="00B01C7B">
        <w:rPr>
          <w:color w:val="000000"/>
          <w:szCs w:val="24"/>
        </w:rPr>
        <w:t xml:space="preserve"> “vested rights” in </w:t>
      </w:r>
      <w:r w:rsidR="00E46CFB">
        <w:rPr>
          <w:color w:val="000000"/>
          <w:szCs w:val="24"/>
        </w:rPr>
        <w:t>previously approved tariff rates.</w:t>
      </w:r>
      <w:r w:rsidR="00E46CFB">
        <w:rPr>
          <w:rStyle w:val="FootnoteReference"/>
          <w:color w:val="000000"/>
          <w:szCs w:val="24"/>
        </w:rPr>
        <w:footnoteReference w:id="20"/>
      </w:r>
      <w:r w:rsidR="00322644">
        <w:rPr>
          <w:color w:val="000000"/>
          <w:szCs w:val="24"/>
        </w:rPr>
        <w:t xml:space="preserve"> </w:t>
      </w:r>
      <w:r w:rsidR="008B658C">
        <w:rPr>
          <w:szCs w:val="24"/>
        </w:rPr>
        <w:t xml:space="preserve"> </w:t>
      </w:r>
      <w:r w:rsidR="003979EB">
        <w:rPr>
          <w:color w:val="000000"/>
          <w:szCs w:val="24"/>
        </w:rPr>
        <w:t xml:space="preserve">The argument misses the point because, as </w:t>
      </w:r>
      <w:r w:rsidR="004879A6">
        <w:rPr>
          <w:color w:val="000000"/>
          <w:szCs w:val="24"/>
        </w:rPr>
        <w:t>we discuss</w:t>
      </w:r>
      <w:r w:rsidR="003979EB">
        <w:rPr>
          <w:color w:val="000000"/>
          <w:szCs w:val="24"/>
        </w:rPr>
        <w:t xml:space="preserve"> below, Staff’s recommendation operates only prospectively</w:t>
      </w:r>
      <w:r w:rsidR="004879A6">
        <w:rPr>
          <w:color w:val="000000"/>
          <w:szCs w:val="24"/>
        </w:rPr>
        <w:t>,</w:t>
      </w:r>
      <w:r w:rsidR="003979EB">
        <w:rPr>
          <w:color w:val="000000"/>
          <w:szCs w:val="24"/>
        </w:rPr>
        <w:t xml:space="preserve"> without challenge or revision to a prior approved rate.  </w:t>
      </w:r>
    </w:p>
    <w:p w:rsidR="00687200" w:rsidRDefault="00687200" w:rsidP="004A212B">
      <w:pPr>
        <w:pStyle w:val="BodyText"/>
        <w:numPr>
          <w:ilvl w:val="0"/>
          <w:numId w:val="5"/>
        </w:numPr>
        <w:spacing w:after="0" w:line="480" w:lineRule="auto"/>
        <w:jc w:val="left"/>
        <w:rPr>
          <w:color w:val="000000"/>
          <w:szCs w:val="24"/>
        </w:rPr>
      </w:pPr>
      <w:r>
        <w:rPr>
          <w:color w:val="000000"/>
          <w:szCs w:val="24"/>
        </w:rPr>
        <w:lastRenderedPageBreak/>
        <w:tab/>
        <w:t>The argument is also inconsistent with the Company’s own proposal to calculate interest on the average unamortized balance of the Treasury Grant for the period January 1, 2012 through December 31, 2012.</w:t>
      </w:r>
      <w:r>
        <w:rPr>
          <w:rStyle w:val="FootnoteReference"/>
          <w:color w:val="000000"/>
          <w:szCs w:val="24"/>
        </w:rPr>
        <w:footnoteReference w:id="21"/>
      </w:r>
      <w:r w:rsidR="00EE0697">
        <w:rPr>
          <w:color w:val="000000"/>
          <w:szCs w:val="24"/>
        </w:rPr>
        <w:t xml:space="preserve">  However, PSE </w:t>
      </w:r>
      <w:r>
        <w:rPr>
          <w:color w:val="000000"/>
          <w:szCs w:val="24"/>
        </w:rPr>
        <w:t>proposed originally an effective date of April 1, 2012</w:t>
      </w:r>
      <w:r w:rsidR="00EA4D7E">
        <w:rPr>
          <w:color w:val="000000"/>
          <w:szCs w:val="24"/>
        </w:rPr>
        <w:t>,</w:t>
      </w:r>
      <w:r>
        <w:rPr>
          <w:color w:val="000000"/>
          <w:szCs w:val="24"/>
        </w:rPr>
        <w:t xml:space="preserve"> for the tariff revision implementing its calculation of interest.</w:t>
      </w:r>
      <w:r>
        <w:rPr>
          <w:rStyle w:val="FootnoteReference"/>
          <w:color w:val="000000"/>
          <w:szCs w:val="24"/>
        </w:rPr>
        <w:footnoteReference w:id="22"/>
      </w:r>
      <w:r w:rsidR="00EE0697">
        <w:rPr>
          <w:color w:val="000000"/>
          <w:szCs w:val="24"/>
        </w:rPr>
        <w:t xml:space="preserve">  Thus, PSE itself proposed</w:t>
      </w:r>
      <w:r>
        <w:rPr>
          <w:color w:val="000000"/>
          <w:szCs w:val="24"/>
        </w:rPr>
        <w:t xml:space="preserve"> to pass through interest for a prior period, January 2012 through March 2012.</w:t>
      </w:r>
    </w:p>
    <w:p w:rsidR="008B658C" w:rsidRPr="004A212B" w:rsidRDefault="003032AE" w:rsidP="004A212B">
      <w:pPr>
        <w:pStyle w:val="ListParagraph"/>
        <w:numPr>
          <w:ilvl w:val="0"/>
          <w:numId w:val="5"/>
        </w:numPr>
        <w:shd w:val="clear" w:color="auto" w:fill="FFFFFF"/>
        <w:spacing w:line="480" w:lineRule="auto"/>
        <w:rPr>
          <w:rFonts w:cs="Times New Roman"/>
          <w:szCs w:val="24"/>
        </w:rPr>
      </w:pPr>
      <w:r>
        <w:rPr>
          <w:rFonts w:cs="Times New Roman"/>
          <w:szCs w:val="24"/>
        </w:rPr>
        <w:tab/>
      </w:r>
      <w:r w:rsidR="003979EB" w:rsidRPr="004A212B">
        <w:rPr>
          <w:rFonts w:cs="Times New Roman"/>
          <w:szCs w:val="24"/>
        </w:rPr>
        <w:t xml:space="preserve">Moreover, as </w:t>
      </w:r>
      <w:r w:rsidR="008B658C" w:rsidRPr="004A212B">
        <w:rPr>
          <w:rFonts w:cs="Times New Roman"/>
          <w:szCs w:val="24"/>
        </w:rPr>
        <w:t>PSE acknowledges</w:t>
      </w:r>
      <w:r w:rsidR="003979EB" w:rsidRPr="004A212B">
        <w:rPr>
          <w:rFonts w:cs="Times New Roman"/>
          <w:szCs w:val="24"/>
        </w:rPr>
        <w:t>,</w:t>
      </w:r>
      <w:r w:rsidR="008B658C" w:rsidRPr="004A212B">
        <w:rPr>
          <w:rFonts w:cs="Times New Roman"/>
          <w:szCs w:val="24"/>
        </w:rPr>
        <w:t xml:space="preserve"> the “vested right</w:t>
      </w:r>
      <w:r w:rsidR="00687200">
        <w:rPr>
          <w:rFonts w:cs="Times New Roman"/>
          <w:szCs w:val="24"/>
        </w:rPr>
        <w:t>” that cannot be impaired by</w:t>
      </w:r>
      <w:r w:rsidR="008B658C" w:rsidRPr="004A212B">
        <w:rPr>
          <w:rFonts w:cs="Times New Roman"/>
          <w:szCs w:val="24"/>
        </w:rPr>
        <w:t xml:space="preserve"> retroac</w:t>
      </w:r>
      <w:r w:rsidR="004A1661">
        <w:rPr>
          <w:rFonts w:cs="Times New Roman"/>
          <w:szCs w:val="24"/>
        </w:rPr>
        <w:t xml:space="preserve">tive application of an </w:t>
      </w:r>
      <w:r w:rsidR="008B658C" w:rsidRPr="004A212B">
        <w:rPr>
          <w:rFonts w:cs="Times New Roman"/>
          <w:szCs w:val="24"/>
        </w:rPr>
        <w:t>amendment involves constitutional protections relating to due process and impairment of contract.</w:t>
      </w:r>
      <w:r w:rsidR="008B658C">
        <w:rPr>
          <w:rStyle w:val="FootnoteReference"/>
          <w:rFonts w:cs="Times New Roman"/>
          <w:szCs w:val="24"/>
        </w:rPr>
        <w:footnoteReference w:id="23"/>
      </w:r>
      <w:r w:rsidR="008B658C" w:rsidRPr="004A212B">
        <w:rPr>
          <w:rFonts w:cs="Times New Roman"/>
          <w:szCs w:val="24"/>
        </w:rPr>
        <w:t xml:space="preserve">  In a comparable setting, the United States Supreme</w:t>
      </w:r>
      <w:r w:rsidR="003979EB" w:rsidRPr="004A212B">
        <w:rPr>
          <w:rFonts w:cs="Times New Roman"/>
          <w:szCs w:val="24"/>
        </w:rPr>
        <w:t xml:space="preserve"> Court has addressed constitutional</w:t>
      </w:r>
      <w:r w:rsidR="008B658C" w:rsidRPr="004A212B">
        <w:rPr>
          <w:rFonts w:cs="Times New Roman"/>
          <w:szCs w:val="24"/>
        </w:rPr>
        <w:t xml:space="preserve"> challenges to retroactive tax legislation.  Most re</w:t>
      </w:r>
      <w:r>
        <w:rPr>
          <w:rFonts w:cs="Times New Roman"/>
          <w:szCs w:val="24"/>
        </w:rPr>
        <w:t xml:space="preserve">levant to our case, the </w:t>
      </w:r>
      <w:r w:rsidR="008B658C" w:rsidRPr="004A212B">
        <w:rPr>
          <w:rFonts w:cs="Times New Roman"/>
          <w:szCs w:val="24"/>
        </w:rPr>
        <w:t>Court considered a 1987 amendment to a provision of the federal estate tax statute that limited the availability of a deduction for the proceeds of sales of stock to employee stock-ownership plans.</w:t>
      </w:r>
      <w:r w:rsidR="008B658C">
        <w:rPr>
          <w:rStyle w:val="FootnoteReference"/>
          <w:rFonts w:cs="Times New Roman"/>
          <w:szCs w:val="24"/>
        </w:rPr>
        <w:footnoteReference w:id="24"/>
      </w:r>
      <w:r w:rsidR="008B658C" w:rsidRPr="004A212B">
        <w:rPr>
          <w:rFonts w:cs="Times New Roman"/>
          <w:szCs w:val="24"/>
        </w:rPr>
        <w:t xml:space="preserve">  Congress provided that the 1987 amendment was made effective as if it had been included in the statute as originally enacted in 1986.</w:t>
      </w:r>
      <w:r w:rsidR="008B658C">
        <w:rPr>
          <w:rStyle w:val="FootnoteReference"/>
          <w:rFonts w:cs="Times New Roman"/>
          <w:szCs w:val="24"/>
        </w:rPr>
        <w:footnoteReference w:id="25"/>
      </w:r>
    </w:p>
    <w:p w:rsidR="008B658C" w:rsidRPr="004A212B" w:rsidRDefault="004A212B" w:rsidP="004A212B">
      <w:pPr>
        <w:pStyle w:val="ListParagraph"/>
        <w:numPr>
          <w:ilvl w:val="0"/>
          <w:numId w:val="5"/>
        </w:numPr>
        <w:shd w:val="clear" w:color="auto" w:fill="FFFFFF"/>
        <w:spacing w:line="480" w:lineRule="auto"/>
        <w:rPr>
          <w:rFonts w:cs="Times New Roman"/>
          <w:szCs w:val="24"/>
        </w:rPr>
      </w:pPr>
      <w:r>
        <w:rPr>
          <w:rFonts w:cs="Times New Roman"/>
          <w:szCs w:val="24"/>
        </w:rPr>
        <w:tab/>
      </w:r>
      <w:r w:rsidR="0086247D" w:rsidRPr="004A212B">
        <w:rPr>
          <w:rFonts w:cs="Times New Roman"/>
          <w:szCs w:val="24"/>
        </w:rPr>
        <w:t>A</w:t>
      </w:r>
      <w:r w:rsidR="008B658C" w:rsidRPr="004A212B">
        <w:rPr>
          <w:rFonts w:cs="Times New Roman"/>
          <w:szCs w:val="24"/>
        </w:rPr>
        <w:t xml:space="preserve">fter noting that it “repeatedly has upheld retroactive tax legislation against a due </w:t>
      </w:r>
      <w:r w:rsidR="00291983" w:rsidRPr="004A212B">
        <w:rPr>
          <w:rFonts w:cs="Times New Roman"/>
          <w:szCs w:val="24"/>
        </w:rPr>
        <w:t xml:space="preserve">process challenge,” the </w:t>
      </w:r>
      <w:r w:rsidR="008B658C" w:rsidRPr="004A212B">
        <w:rPr>
          <w:rFonts w:cs="Times New Roman"/>
          <w:szCs w:val="24"/>
        </w:rPr>
        <w:t>Court clarified that the “harsh and oppressive” substantive du</w:t>
      </w:r>
      <w:r w:rsidR="00291983" w:rsidRPr="004A212B">
        <w:rPr>
          <w:rFonts w:cs="Times New Roman"/>
          <w:szCs w:val="24"/>
        </w:rPr>
        <w:t xml:space="preserve">e process standard from </w:t>
      </w:r>
      <w:r w:rsidR="008B658C" w:rsidRPr="004A212B">
        <w:rPr>
          <w:rFonts w:cs="Times New Roman"/>
          <w:szCs w:val="24"/>
        </w:rPr>
        <w:t xml:space="preserve">decisions such as </w:t>
      </w:r>
      <w:r w:rsidR="008B658C" w:rsidRPr="004A212B">
        <w:rPr>
          <w:rFonts w:cs="Times New Roman"/>
          <w:i/>
          <w:szCs w:val="24"/>
        </w:rPr>
        <w:t>Welch v. Henry</w:t>
      </w:r>
      <w:r w:rsidR="008B658C" w:rsidRPr="004A212B">
        <w:rPr>
          <w:rFonts w:cs="Times New Roman"/>
          <w:szCs w:val="24"/>
        </w:rPr>
        <w:t>, 305 U.S. 134, 146-48 (1938), “does not differ from the prohibition against arbitrary and irrational legislation that applies generally to enactments in the sphere of economic activity.”</w:t>
      </w:r>
      <w:r w:rsidR="008B658C">
        <w:rPr>
          <w:rStyle w:val="FootnoteReference"/>
          <w:rFonts w:cs="Times New Roman"/>
          <w:szCs w:val="24"/>
        </w:rPr>
        <w:footnoteReference w:id="26"/>
      </w:r>
      <w:r w:rsidR="008B658C" w:rsidRPr="004A212B">
        <w:rPr>
          <w:rFonts w:cs="Times New Roman"/>
          <w:szCs w:val="24"/>
        </w:rPr>
        <w:t xml:space="preserve">  If a statute’s retroactive application “is supported by a legitimate legislative purpose furthered by rational means, </w:t>
      </w:r>
      <w:r w:rsidR="008B658C" w:rsidRPr="004A212B">
        <w:rPr>
          <w:rFonts w:cs="Times New Roman"/>
          <w:szCs w:val="24"/>
        </w:rPr>
        <w:lastRenderedPageBreak/>
        <w:t>judgments about the wisdom of such legislation remains within the exclusive province of the legislature and executive branches.”</w:t>
      </w:r>
      <w:r w:rsidR="008B658C">
        <w:rPr>
          <w:rStyle w:val="FootnoteReference"/>
          <w:rFonts w:cs="Times New Roman"/>
          <w:szCs w:val="24"/>
        </w:rPr>
        <w:footnoteReference w:id="27"/>
      </w:r>
      <w:r w:rsidR="008B658C" w:rsidRPr="004A212B">
        <w:rPr>
          <w:rFonts w:cs="Times New Roman"/>
          <w:szCs w:val="24"/>
        </w:rPr>
        <w:t xml:space="preserve">  </w:t>
      </w:r>
    </w:p>
    <w:p w:rsidR="008B658C" w:rsidRPr="004A212B" w:rsidRDefault="004A212B" w:rsidP="004A212B">
      <w:pPr>
        <w:pStyle w:val="ListParagraph"/>
        <w:numPr>
          <w:ilvl w:val="0"/>
          <w:numId w:val="5"/>
        </w:numPr>
        <w:shd w:val="clear" w:color="auto" w:fill="FFFFFF"/>
        <w:spacing w:line="480" w:lineRule="auto"/>
        <w:rPr>
          <w:rFonts w:cs="Times New Roman"/>
          <w:szCs w:val="24"/>
        </w:rPr>
      </w:pPr>
      <w:r>
        <w:rPr>
          <w:rFonts w:cs="Times New Roman"/>
          <w:szCs w:val="24"/>
        </w:rPr>
        <w:tab/>
      </w:r>
      <w:r w:rsidR="008B658C" w:rsidRPr="004A212B">
        <w:rPr>
          <w:rFonts w:cs="Times New Roman"/>
          <w:szCs w:val="24"/>
        </w:rPr>
        <w:t xml:space="preserve">The 1987 </w:t>
      </w:r>
      <w:r w:rsidR="0086247D" w:rsidRPr="004A212B">
        <w:rPr>
          <w:rFonts w:cs="Times New Roman"/>
          <w:szCs w:val="24"/>
        </w:rPr>
        <w:t xml:space="preserve">estate tax </w:t>
      </w:r>
      <w:r w:rsidR="008B658C" w:rsidRPr="004A212B">
        <w:rPr>
          <w:rFonts w:cs="Times New Roman"/>
          <w:szCs w:val="24"/>
        </w:rPr>
        <w:t>ame</w:t>
      </w:r>
      <w:r w:rsidR="0086247D" w:rsidRPr="004A212B">
        <w:rPr>
          <w:rFonts w:cs="Times New Roman"/>
          <w:szCs w:val="24"/>
        </w:rPr>
        <w:t xml:space="preserve">ndment </w:t>
      </w:r>
      <w:r w:rsidR="008B658C" w:rsidRPr="004A212B">
        <w:rPr>
          <w:rFonts w:cs="Times New Roman"/>
          <w:szCs w:val="24"/>
        </w:rPr>
        <w:t>was adopted as a “curative measure” to correct significant and unanticipated revenue loss created by the 1986 original statute.</w:t>
      </w:r>
      <w:r w:rsidR="008B658C">
        <w:rPr>
          <w:rStyle w:val="FootnoteReference"/>
          <w:rFonts w:cs="Times New Roman"/>
          <w:szCs w:val="24"/>
        </w:rPr>
        <w:footnoteReference w:id="28"/>
      </w:r>
      <w:r w:rsidR="008B658C" w:rsidRPr="004A212B">
        <w:rPr>
          <w:rFonts w:cs="Times New Roman"/>
          <w:szCs w:val="24"/>
        </w:rPr>
        <w:t xml:space="preserve">  Thus, the </w:t>
      </w:r>
      <w:r w:rsidR="004879A6" w:rsidRPr="004A212B">
        <w:rPr>
          <w:rFonts w:cs="Times New Roman"/>
          <w:szCs w:val="24"/>
        </w:rPr>
        <w:t xml:space="preserve">Court upheld </w:t>
      </w:r>
      <w:r w:rsidR="004A1661">
        <w:rPr>
          <w:rFonts w:cs="Times New Roman"/>
          <w:szCs w:val="24"/>
        </w:rPr>
        <w:t xml:space="preserve">the </w:t>
      </w:r>
      <w:r w:rsidR="008B658C" w:rsidRPr="004A212B">
        <w:rPr>
          <w:rFonts w:cs="Times New Roman"/>
          <w:szCs w:val="24"/>
        </w:rPr>
        <w:t xml:space="preserve">1987 amendment </w:t>
      </w:r>
      <w:r w:rsidR="004879A6" w:rsidRPr="004A212B">
        <w:rPr>
          <w:rFonts w:cs="Times New Roman"/>
          <w:szCs w:val="24"/>
        </w:rPr>
        <w:t xml:space="preserve">because it </w:t>
      </w:r>
      <w:r w:rsidR="008B658C" w:rsidRPr="004A212B">
        <w:rPr>
          <w:rFonts w:cs="Times New Roman"/>
          <w:szCs w:val="24"/>
        </w:rPr>
        <w:t>was justified by a rational legislative purpose and its retroactive application to estate transactio</w:t>
      </w:r>
      <w:r w:rsidR="004879A6" w:rsidRPr="004A212B">
        <w:rPr>
          <w:rFonts w:cs="Times New Roman"/>
          <w:szCs w:val="24"/>
        </w:rPr>
        <w:t>ns occurring in 1986</w:t>
      </w:r>
      <w:r w:rsidR="008B658C" w:rsidRPr="004A212B">
        <w:rPr>
          <w:rFonts w:cs="Times New Roman"/>
          <w:szCs w:val="24"/>
        </w:rPr>
        <w:t>.</w:t>
      </w:r>
    </w:p>
    <w:p w:rsidR="00687200" w:rsidRPr="00687200" w:rsidRDefault="004A212B" w:rsidP="00687200">
      <w:pPr>
        <w:pStyle w:val="ListParagraph"/>
        <w:numPr>
          <w:ilvl w:val="0"/>
          <w:numId w:val="5"/>
        </w:numPr>
        <w:spacing w:line="480" w:lineRule="auto"/>
        <w:rPr>
          <w:rFonts w:cs="Times New Roman"/>
          <w:szCs w:val="24"/>
        </w:rPr>
      </w:pPr>
      <w:r>
        <w:rPr>
          <w:rFonts w:cs="Times New Roman"/>
          <w:szCs w:val="24"/>
        </w:rPr>
        <w:tab/>
      </w:r>
      <w:r w:rsidR="008B658C" w:rsidRPr="004A212B">
        <w:rPr>
          <w:rFonts w:cs="Times New Roman"/>
          <w:szCs w:val="24"/>
        </w:rPr>
        <w:t>Likewise, Sect</w:t>
      </w:r>
      <w:r w:rsidR="0086247D" w:rsidRPr="004A212B">
        <w:rPr>
          <w:rFonts w:cs="Times New Roman"/>
          <w:szCs w:val="24"/>
        </w:rPr>
        <w:t xml:space="preserve">ion 1096 of </w:t>
      </w:r>
      <w:r w:rsidR="008B658C" w:rsidRPr="004A212B">
        <w:rPr>
          <w:rFonts w:cs="Times New Roman"/>
          <w:szCs w:val="24"/>
        </w:rPr>
        <w:t xml:space="preserve">NDAA is </w:t>
      </w:r>
      <w:r w:rsidR="00CE0DC3" w:rsidRPr="004A212B">
        <w:rPr>
          <w:rFonts w:cs="Times New Roman"/>
          <w:szCs w:val="24"/>
        </w:rPr>
        <w:t xml:space="preserve">a curative </w:t>
      </w:r>
      <w:r w:rsidR="008B658C" w:rsidRPr="004A212B">
        <w:rPr>
          <w:rFonts w:cs="Times New Roman"/>
          <w:szCs w:val="24"/>
        </w:rPr>
        <w:t xml:space="preserve">enactment </w:t>
      </w:r>
      <w:r w:rsidR="0086247D" w:rsidRPr="004A212B">
        <w:rPr>
          <w:rFonts w:cs="Times New Roman"/>
          <w:szCs w:val="24"/>
        </w:rPr>
        <w:t>“</w:t>
      </w:r>
      <w:r w:rsidR="008B658C" w:rsidRPr="004A212B">
        <w:rPr>
          <w:rFonts w:cs="Times New Roman"/>
          <w:szCs w:val="24"/>
        </w:rPr>
        <w:t>in the sphere of economic activity</w:t>
      </w:r>
      <w:r w:rsidR="0086247D" w:rsidRPr="004A212B">
        <w:rPr>
          <w:rFonts w:cs="Times New Roman"/>
          <w:szCs w:val="24"/>
        </w:rPr>
        <w:t>”</w:t>
      </w:r>
      <w:r w:rsidR="008B658C" w:rsidRPr="004A212B">
        <w:rPr>
          <w:rFonts w:cs="Times New Roman"/>
          <w:szCs w:val="24"/>
        </w:rPr>
        <w:t xml:space="preserve"> </w:t>
      </w:r>
      <w:r w:rsidR="002901CB" w:rsidRPr="004A212B">
        <w:rPr>
          <w:rFonts w:cs="Times New Roman"/>
          <w:szCs w:val="24"/>
        </w:rPr>
        <w:t xml:space="preserve">and is </w:t>
      </w:r>
      <w:r w:rsidR="008B658C" w:rsidRPr="004A212B">
        <w:rPr>
          <w:rFonts w:cs="Times New Roman"/>
          <w:szCs w:val="24"/>
        </w:rPr>
        <w:t>supported by the legitimate and rational legislative purpose of eliminating normalization r</w:t>
      </w:r>
      <w:r w:rsidR="00700518" w:rsidRPr="004A212B">
        <w:rPr>
          <w:rFonts w:cs="Times New Roman"/>
          <w:szCs w:val="24"/>
        </w:rPr>
        <w:t>equirements for Treasury Grants</w:t>
      </w:r>
      <w:r w:rsidR="004A1661">
        <w:rPr>
          <w:rFonts w:cs="Times New Roman"/>
          <w:szCs w:val="24"/>
        </w:rPr>
        <w:t xml:space="preserve"> for ratepayer benefit</w:t>
      </w:r>
      <w:r w:rsidR="0086247D" w:rsidRPr="004A212B">
        <w:rPr>
          <w:rFonts w:cs="Times New Roman"/>
          <w:szCs w:val="24"/>
        </w:rPr>
        <w:t xml:space="preserve">. </w:t>
      </w:r>
      <w:r w:rsidR="004879A6" w:rsidRPr="004A212B">
        <w:rPr>
          <w:rFonts w:cs="Times New Roman"/>
          <w:szCs w:val="24"/>
        </w:rPr>
        <w:t xml:space="preserve"> R</w:t>
      </w:r>
      <w:r w:rsidR="008B658C" w:rsidRPr="004A212B">
        <w:rPr>
          <w:rFonts w:cs="Times New Roman"/>
          <w:szCs w:val="24"/>
        </w:rPr>
        <w:t xml:space="preserve">etroactive application </w:t>
      </w:r>
      <w:r w:rsidR="004879A6" w:rsidRPr="004A212B">
        <w:rPr>
          <w:rFonts w:cs="Times New Roman"/>
          <w:szCs w:val="24"/>
        </w:rPr>
        <w:t xml:space="preserve">of that amendment </w:t>
      </w:r>
      <w:r w:rsidR="008B658C" w:rsidRPr="004A212B">
        <w:rPr>
          <w:rFonts w:cs="Times New Roman"/>
          <w:szCs w:val="24"/>
        </w:rPr>
        <w:t>to the date PSE rec</w:t>
      </w:r>
      <w:r w:rsidR="00CB4C3D">
        <w:rPr>
          <w:rFonts w:cs="Times New Roman"/>
          <w:szCs w:val="24"/>
        </w:rPr>
        <w:t xml:space="preserve">eived the WH </w:t>
      </w:r>
      <w:r w:rsidR="008B658C" w:rsidRPr="004A212B">
        <w:rPr>
          <w:rFonts w:cs="Times New Roman"/>
          <w:szCs w:val="24"/>
        </w:rPr>
        <w:t xml:space="preserve">Project Treasury Grant does not violate </w:t>
      </w:r>
      <w:r w:rsidR="00700518" w:rsidRPr="004A212B">
        <w:rPr>
          <w:rFonts w:cs="Times New Roman"/>
          <w:szCs w:val="24"/>
        </w:rPr>
        <w:t>PSE</w:t>
      </w:r>
      <w:r w:rsidR="008B658C" w:rsidRPr="004A212B">
        <w:rPr>
          <w:rFonts w:cs="Times New Roman"/>
          <w:szCs w:val="24"/>
        </w:rPr>
        <w:t>’s constitutional rights.</w:t>
      </w:r>
    </w:p>
    <w:p w:rsidR="008B658C" w:rsidRDefault="00166E45" w:rsidP="00166E45">
      <w:pPr>
        <w:ind w:left="720" w:hanging="720"/>
        <w:rPr>
          <w:rFonts w:cs="Times New Roman"/>
          <w:b/>
          <w:szCs w:val="24"/>
        </w:rPr>
      </w:pPr>
      <w:r w:rsidRPr="00166E45">
        <w:rPr>
          <w:b/>
          <w:color w:val="000000"/>
          <w:szCs w:val="24"/>
        </w:rPr>
        <w:t>B.</w:t>
      </w:r>
      <w:r>
        <w:rPr>
          <w:color w:val="000000"/>
          <w:szCs w:val="24"/>
        </w:rPr>
        <w:tab/>
      </w:r>
      <w:r>
        <w:rPr>
          <w:b/>
          <w:color w:val="000000"/>
          <w:szCs w:val="24"/>
        </w:rPr>
        <w:t>T</w:t>
      </w:r>
      <w:r>
        <w:rPr>
          <w:rFonts w:cs="Times New Roman"/>
          <w:b/>
          <w:szCs w:val="24"/>
        </w:rPr>
        <w:t xml:space="preserve">he </w:t>
      </w:r>
      <w:r w:rsidRPr="00C33BF5">
        <w:rPr>
          <w:rFonts w:cs="Times New Roman"/>
          <w:b/>
          <w:szCs w:val="24"/>
        </w:rPr>
        <w:t xml:space="preserve">Calculation of Interest on </w:t>
      </w:r>
      <w:r>
        <w:rPr>
          <w:rFonts w:cs="Times New Roman"/>
          <w:b/>
          <w:szCs w:val="24"/>
        </w:rPr>
        <w:t xml:space="preserve">the Treasury Grant </w:t>
      </w:r>
      <w:r w:rsidR="00291983">
        <w:rPr>
          <w:rFonts w:cs="Times New Roman"/>
          <w:b/>
          <w:szCs w:val="24"/>
        </w:rPr>
        <w:t>f</w:t>
      </w:r>
      <w:r w:rsidR="004879A6">
        <w:rPr>
          <w:rFonts w:cs="Times New Roman"/>
          <w:b/>
          <w:szCs w:val="24"/>
        </w:rPr>
        <w:t>rom February 23, 2010</w:t>
      </w:r>
      <w:r w:rsidR="00B61644">
        <w:rPr>
          <w:rFonts w:cs="Times New Roman"/>
          <w:b/>
          <w:szCs w:val="24"/>
        </w:rPr>
        <w:t>,</w:t>
      </w:r>
      <w:r w:rsidR="004879A6">
        <w:rPr>
          <w:rFonts w:cs="Times New Roman"/>
          <w:b/>
          <w:szCs w:val="24"/>
        </w:rPr>
        <w:t xml:space="preserve"> </w:t>
      </w:r>
      <w:r>
        <w:rPr>
          <w:rFonts w:cs="Times New Roman"/>
          <w:b/>
          <w:szCs w:val="24"/>
        </w:rPr>
        <w:t>Does Not Constitute Retroactive Ratemaking and Does Not Violate the Filed Rate Doctrine</w:t>
      </w:r>
    </w:p>
    <w:p w:rsidR="00166E45" w:rsidRDefault="00166E45" w:rsidP="00166E45">
      <w:pPr>
        <w:ind w:left="720" w:hanging="720"/>
        <w:rPr>
          <w:rFonts w:cs="Times New Roman"/>
          <w:b/>
          <w:szCs w:val="24"/>
        </w:rPr>
      </w:pPr>
    </w:p>
    <w:p w:rsidR="00D76EA0" w:rsidRDefault="004A212B" w:rsidP="004A212B">
      <w:pPr>
        <w:pStyle w:val="ListParagraph"/>
        <w:numPr>
          <w:ilvl w:val="0"/>
          <w:numId w:val="5"/>
        </w:numPr>
        <w:spacing w:line="480" w:lineRule="auto"/>
      </w:pPr>
      <w:r>
        <w:rPr>
          <w:rFonts w:cs="Times New Roman"/>
          <w:szCs w:val="24"/>
        </w:rPr>
        <w:tab/>
      </w:r>
      <w:r w:rsidR="00D50001" w:rsidRPr="004A212B">
        <w:rPr>
          <w:rFonts w:cs="Times New Roman"/>
          <w:szCs w:val="24"/>
        </w:rPr>
        <w:t xml:space="preserve">PSE </w:t>
      </w:r>
      <w:r w:rsidR="00166E45" w:rsidRPr="004A212B">
        <w:rPr>
          <w:rFonts w:cs="Times New Roman"/>
          <w:szCs w:val="24"/>
        </w:rPr>
        <w:t>argues that Staff’</w:t>
      </w:r>
      <w:r w:rsidR="00D50001" w:rsidRPr="004A212B">
        <w:rPr>
          <w:rFonts w:cs="Times New Roman"/>
          <w:szCs w:val="24"/>
        </w:rPr>
        <w:t xml:space="preserve">s proposal </w:t>
      </w:r>
      <w:r w:rsidR="00D16BA5" w:rsidRPr="004A212B">
        <w:rPr>
          <w:rFonts w:cs="Times New Roman"/>
          <w:szCs w:val="24"/>
        </w:rPr>
        <w:t xml:space="preserve">violates </w:t>
      </w:r>
      <w:r w:rsidR="00EC7ADB" w:rsidRPr="004A212B">
        <w:rPr>
          <w:rFonts w:cs="Times New Roman"/>
          <w:szCs w:val="24"/>
        </w:rPr>
        <w:t xml:space="preserve">the Filed Rate Doctrine (which requires a utility to charge only those rates in effect at the time service is rendered), and its corollary, </w:t>
      </w:r>
      <w:r w:rsidR="00D16BA5" w:rsidRPr="004A212B">
        <w:rPr>
          <w:rFonts w:cs="Times New Roman"/>
          <w:szCs w:val="24"/>
        </w:rPr>
        <w:t xml:space="preserve">the </w:t>
      </w:r>
      <w:r w:rsidR="009E3101" w:rsidRPr="004A212B">
        <w:rPr>
          <w:rFonts w:cs="Times New Roman"/>
          <w:szCs w:val="24"/>
        </w:rPr>
        <w:t>prohibition against retroacti</w:t>
      </w:r>
      <w:r w:rsidR="00EC7ADB" w:rsidRPr="004A212B">
        <w:rPr>
          <w:rFonts w:cs="Times New Roman"/>
          <w:szCs w:val="24"/>
        </w:rPr>
        <w:t>ve ratemaking</w:t>
      </w:r>
      <w:r w:rsidR="00D76EA0" w:rsidRPr="004A212B">
        <w:rPr>
          <w:rFonts w:cs="Times New Roman"/>
          <w:szCs w:val="24"/>
        </w:rPr>
        <w:t>.</w:t>
      </w:r>
      <w:r w:rsidR="004879A6">
        <w:rPr>
          <w:rStyle w:val="FootnoteReference"/>
          <w:rFonts w:cs="Times New Roman"/>
          <w:szCs w:val="24"/>
        </w:rPr>
        <w:footnoteReference w:id="29"/>
      </w:r>
      <w:r w:rsidR="00D76EA0" w:rsidRPr="004A212B">
        <w:rPr>
          <w:rFonts w:cs="Times New Roman"/>
          <w:szCs w:val="24"/>
        </w:rPr>
        <w:t xml:space="preserve">  </w:t>
      </w:r>
      <w:r w:rsidR="005445AA">
        <w:t>The Commission defines</w:t>
      </w:r>
      <w:r w:rsidR="00D76EA0">
        <w:t xml:space="preserve"> retroactive ratemaking as “surcharges or ordered refunds applied to rates which had previously been paid, constituting an additional charge applied after service was provided or consumed.”</w:t>
      </w:r>
      <w:r w:rsidR="00D76EA0">
        <w:rPr>
          <w:rStyle w:val="FootnoteReference"/>
        </w:rPr>
        <w:footnoteReference w:id="30"/>
      </w:r>
      <w:r w:rsidR="00D76EA0">
        <w:t xml:space="preserve">  </w:t>
      </w:r>
      <w:r w:rsidR="00CE0DC3">
        <w:lastRenderedPageBreak/>
        <w:t xml:space="preserve">To determine if a proposal results in retroactive ratemaking, the Commission </w:t>
      </w:r>
      <w:r w:rsidR="005445AA">
        <w:t>ask</w:t>
      </w:r>
      <w:r w:rsidR="00CE0DC3">
        <w:t>s</w:t>
      </w:r>
      <w:r w:rsidR="00CF4BAE">
        <w:t xml:space="preserve"> whether the proposal “seeks to change the past effect of a tariffed rate, contrary to the terms of the tariff in effect at the time.”</w:t>
      </w:r>
      <w:r w:rsidR="00CF4BAE">
        <w:rPr>
          <w:rStyle w:val="FootnoteReference"/>
        </w:rPr>
        <w:footnoteReference w:id="31"/>
      </w:r>
    </w:p>
    <w:p w:rsidR="002D2C30" w:rsidRDefault="004A212B" w:rsidP="004A212B">
      <w:pPr>
        <w:pStyle w:val="ListParagraph"/>
        <w:numPr>
          <w:ilvl w:val="0"/>
          <w:numId w:val="5"/>
        </w:numPr>
        <w:spacing w:line="480" w:lineRule="auto"/>
      </w:pPr>
      <w:r>
        <w:tab/>
      </w:r>
      <w:r w:rsidR="004879A6">
        <w:t>Under the Commission’s</w:t>
      </w:r>
      <w:r w:rsidR="00EC7ADB">
        <w:t xml:space="preserve"> standards</w:t>
      </w:r>
      <w:r w:rsidR="00C61FAC">
        <w:t>, Staff’s recommendation does not violate the Filed Rate Doctrine and does not constitute retr</w:t>
      </w:r>
      <w:r w:rsidR="002D2C30">
        <w:t xml:space="preserve">oactive ratemaking because:  </w:t>
      </w:r>
    </w:p>
    <w:p w:rsidR="002D2C30" w:rsidRPr="002D2C30" w:rsidRDefault="00C61FAC" w:rsidP="002D2C30">
      <w:pPr>
        <w:pStyle w:val="ListParagraph"/>
        <w:numPr>
          <w:ilvl w:val="0"/>
          <w:numId w:val="3"/>
        </w:numPr>
        <w:spacing w:line="480" w:lineRule="auto"/>
        <w:rPr>
          <w:rFonts w:cs="Times New Roman"/>
          <w:szCs w:val="24"/>
        </w:rPr>
      </w:pPr>
      <w:r>
        <w:t>S</w:t>
      </w:r>
      <w:r w:rsidR="00700518">
        <w:t xml:space="preserve">taff is not challenging any </w:t>
      </w:r>
      <w:r>
        <w:t xml:space="preserve">rate set by the Commission in a prior docket; </w:t>
      </w:r>
    </w:p>
    <w:p w:rsidR="002D2C30" w:rsidRPr="002D2C30" w:rsidRDefault="00C61FAC" w:rsidP="002D2C30">
      <w:pPr>
        <w:pStyle w:val="ListParagraph"/>
        <w:numPr>
          <w:ilvl w:val="0"/>
          <w:numId w:val="3"/>
        </w:numPr>
        <w:spacing w:line="480" w:lineRule="auto"/>
        <w:rPr>
          <w:rFonts w:cs="Times New Roman"/>
          <w:szCs w:val="24"/>
        </w:rPr>
      </w:pPr>
      <w:r>
        <w:t xml:space="preserve">Staff is not recommending any refund of </w:t>
      </w:r>
      <w:r w:rsidR="00700518">
        <w:t>a rate previously charged</w:t>
      </w:r>
      <w:r>
        <w:t xml:space="preserve">; </w:t>
      </w:r>
    </w:p>
    <w:p w:rsidR="002D2C30" w:rsidRPr="002D2C30" w:rsidRDefault="002D2C30" w:rsidP="002D2C30">
      <w:pPr>
        <w:pStyle w:val="ListParagraph"/>
        <w:numPr>
          <w:ilvl w:val="0"/>
          <w:numId w:val="3"/>
        </w:numPr>
        <w:spacing w:line="480" w:lineRule="auto"/>
        <w:rPr>
          <w:rFonts w:cs="Times New Roman"/>
          <w:szCs w:val="24"/>
        </w:rPr>
      </w:pPr>
      <w:r>
        <w:t>T</w:t>
      </w:r>
      <w:r w:rsidR="00CB4C3D">
        <w:t>he rate credit propos</w:t>
      </w:r>
      <w:r w:rsidR="00C61FAC">
        <w:t xml:space="preserve">ed by Staff would be provided prospectively only; and </w:t>
      </w:r>
    </w:p>
    <w:p w:rsidR="002D2C30" w:rsidRPr="002D2C30" w:rsidRDefault="002D2C30" w:rsidP="002D2C30">
      <w:pPr>
        <w:pStyle w:val="ListParagraph"/>
        <w:numPr>
          <w:ilvl w:val="0"/>
          <w:numId w:val="3"/>
        </w:numPr>
        <w:spacing w:line="480" w:lineRule="auto"/>
        <w:rPr>
          <w:rFonts w:cs="Times New Roman"/>
          <w:szCs w:val="24"/>
        </w:rPr>
      </w:pPr>
      <w:r>
        <w:t>T</w:t>
      </w:r>
      <w:r w:rsidR="00C61FAC">
        <w:t>he intere</w:t>
      </w:r>
      <w:r w:rsidR="00CE0DC3">
        <w:t>st calculated by Staff is applied to</w:t>
      </w:r>
      <w:r w:rsidR="0084312F">
        <w:t xml:space="preserve"> </w:t>
      </w:r>
      <w:r w:rsidR="00C61FAC">
        <w:t>unamortized balance</w:t>
      </w:r>
      <w:r w:rsidR="0084312F">
        <w:t>s</w:t>
      </w:r>
      <w:r w:rsidR="00C61FAC">
        <w:t xml:space="preserve"> of </w:t>
      </w:r>
      <w:r w:rsidR="0084312F">
        <w:t xml:space="preserve">Treasury Grant monies and has </w:t>
      </w:r>
      <w:r w:rsidR="00C61FAC">
        <w:t xml:space="preserve">not yet been returned </w:t>
      </w:r>
      <w:r w:rsidR="00291983">
        <w:t xml:space="preserve">by PSE </w:t>
      </w:r>
      <w:r w:rsidR="00C61FAC">
        <w:t>to</w:t>
      </w:r>
      <w:r w:rsidR="005445AA">
        <w:t xml:space="preserve"> ratepayers</w:t>
      </w:r>
      <w:r w:rsidR="00C61FAC">
        <w:t xml:space="preserve">.  </w:t>
      </w:r>
    </w:p>
    <w:p w:rsidR="00EC7ADB" w:rsidRDefault="002D2C30" w:rsidP="002D2C30">
      <w:pPr>
        <w:spacing w:line="480" w:lineRule="auto"/>
      </w:pPr>
      <w:r>
        <w:t>Moreover, the</w:t>
      </w:r>
      <w:r w:rsidR="00700518">
        <w:t xml:space="preserve"> Treasury Grant for </w:t>
      </w:r>
      <w:r w:rsidR="00CB4C3D">
        <w:t xml:space="preserve">the WH </w:t>
      </w:r>
      <w:r>
        <w:t xml:space="preserve">Project </w:t>
      </w:r>
      <w:r w:rsidR="00BA25DA">
        <w:t xml:space="preserve">was received by PSE </w:t>
      </w:r>
      <w:r>
        <w:t>during the 201</w:t>
      </w:r>
      <w:r w:rsidR="00BA25DA">
        <w:t xml:space="preserve">0 test year at issue </w:t>
      </w:r>
      <w:r>
        <w:t xml:space="preserve">in </w:t>
      </w:r>
      <w:r w:rsidR="00BA25DA">
        <w:t>PSE</w:t>
      </w:r>
      <w:r>
        <w:t>’s pending general rate case, Docket UE-111048.  Absent Schedule 95A, the rate o</w:t>
      </w:r>
      <w:r w:rsidR="00986C62">
        <w:t>f return on the Treasury Grant sh</w:t>
      </w:r>
      <w:r>
        <w:t>ould have been</w:t>
      </w:r>
      <w:r w:rsidR="005445AA">
        <w:t xml:space="preserve"> addressed in that </w:t>
      </w:r>
      <w:r w:rsidR="00BA25DA">
        <w:t xml:space="preserve">general </w:t>
      </w:r>
      <w:r w:rsidR="00700518">
        <w:t xml:space="preserve">rate </w:t>
      </w:r>
      <w:r>
        <w:t>case</w:t>
      </w:r>
      <w:r w:rsidR="00BA25DA">
        <w:t>,</w:t>
      </w:r>
      <w:r w:rsidR="00BA25DA">
        <w:rPr>
          <w:rStyle w:val="FootnoteReference"/>
        </w:rPr>
        <w:footnoteReference w:id="32"/>
      </w:r>
      <w:r>
        <w:t xml:space="preserve"> along with </w:t>
      </w:r>
      <w:r w:rsidR="00986C62">
        <w:t xml:space="preserve">all other test period expenses, </w:t>
      </w:r>
      <w:r>
        <w:t xml:space="preserve">revenues </w:t>
      </w:r>
      <w:r w:rsidR="00986C62">
        <w:t xml:space="preserve">and rate base </w:t>
      </w:r>
      <w:r w:rsidR="00BA25DA">
        <w:t xml:space="preserve">there at issue </w:t>
      </w:r>
      <w:r>
        <w:t>without a</w:t>
      </w:r>
      <w:r w:rsidR="00BA25DA">
        <w:t>ny retroactive ratemaking</w:t>
      </w:r>
      <w:r w:rsidR="00700518">
        <w:t xml:space="preserve"> effect</w:t>
      </w:r>
      <w:r>
        <w:t>.</w:t>
      </w:r>
      <w:r w:rsidR="005E5E50">
        <w:t xml:space="preserve">  Thus</w:t>
      </w:r>
      <w:r w:rsidR="00BA25DA">
        <w:t xml:space="preserve">, there can be no retroactive ratemaking to address the rate of return on the Treasury Grant from </w:t>
      </w:r>
      <w:r w:rsidR="00700518">
        <w:t>a</w:t>
      </w:r>
      <w:r w:rsidR="00BA25DA">
        <w:t xml:space="preserve"> point in time during the 2010 test year, now that the rate of return on the Treasury Grant is treated separately in Schedule 95A.</w:t>
      </w:r>
    </w:p>
    <w:p w:rsidR="00B82249" w:rsidRDefault="004A212B" w:rsidP="004A212B">
      <w:pPr>
        <w:pStyle w:val="ListParagraph"/>
        <w:numPr>
          <w:ilvl w:val="0"/>
          <w:numId w:val="5"/>
        </w:numPr>
        <w:spacing w:line="480" w:lineRule="auto"/>
      </w:pPr>
      <w:r>
        <w:tab/>
      </w:r>
      <w:r w:rsidR="00D63D6F">
        <w:t xml:space="preserve">PSE </w:t>
      </w:r>
      <w:r w:rsidR="004879A6">
        <w:t>suggests</w:t>
      </w:r>
      <w:r w:rsidR="00B82249">
        <w:t xml:space="preserve"> that Staff </w:t>
      </w:r>
      <w:r w:rsidR="00E952AC">
        <w:t>is being in</w:t>
      </w:r>
      <w:r w:rsidR="00D63D6F">
        <w:t xml:space="preserve">consistent with its </w:t>
      </w:r>
      <w:r w:rsidR="00E952AC">
        <w:t>position</w:t>
      </w:r>
      <w:r w:rsidR="00BA25DA">
        <w:t xml:space="preserve"> in Docket UE-010410 by </w:t>
      </w:r>
      <w:r w:rsidR="004879A6">
        <w:t xml:space="preserve">allegedly </w:t>
      </w:r>
      <w:r w:rsidR="00BA25DA">
        <w:t>seeking</w:t>
      </w:r>
      <w:r w:rsidR="00B82249">
        <w:t xml:space="preserve"> to “unwind the Treasury Grant credits that flowed back to customers under the Schedule 95A tariff that was previously on file with the Commission</w:t>
      </w:r>
      <w:r w:rsidR="00BA25DA">
        <w:t>.”</w:t>
      </w:r>
      <w:r w:rsidR="00B82249">
        <w:rPr>
          <w:rStyle w:val="FootnoteReference"/>
        </w:rPr>
        <w:footnoteReference w:id="33"/>
      </w:r>
      <w:r w:rsidR="00B82249">
        <w:t xml:space="preserve">  </w:t>
      </w:r>
      <w:r w:rsidR="004879A6">
        <w:t>In fact</w:t>
      </w:r>
      <w:r w:rsidR="00E952AC">
        <w:t xml:space="preserve">, </w:t>
      </w:r>
      <w:r w:rsidR="00E952AC">
        <w:lastRenderedPageBreak/>
        <w:t>t</w:t>
      </w:r>
      <w:r w:rsidR="004879A6">
        <w:t>he two cases are substantially different and justify different treatments</w:t>
      </w:r>
      <w:r w:rsidR="00E952AC">
        <w:t>.  In D</w:t>
      </w:r>
      <w:r w:rsidR="00B82249">
        <w:t>ocket</w:t>
      </w:r>
      <w:r w:rsidR="00E952AC">
        <w:t xml:space="preserve"> UE-010410</w:t>
      </w:r>
      <w:r w:rsidR="00B82249">
        <w:t xml:space="preserve">, PSE’s Tariff 125 provided a rate credit of </w:t>
      </w:r>
      <w:r w:rsidR="005445AA">
        <w:t>five cents.  Later, PSE propos</w:t>
      </w:r>
      <w:r w:rsidR="00B82249">
        <w:t>ed to defer amounts collected under Schedule 125, and then charge that amount back to customers via another tariff</w:t>
      </w:r>
      <w:r w:rsidR="00E952AC">
        <w:t xml:space="preserve"> (Schedule 120)</w:t>
      </w:r>
      <w:r w:rsidR="00B82249">
        <w:t xml:space="preserve">.  </w:t>
      </w:r>
      <w:r w:rsidR="00E952AC">
        <w:t>The Commission agreed wit</w:t>
      </w:r>
      <w:r w:rsidR="00D63D6F">
        <w:t xml:space="preserve">h Staff that the </w:t>
      </w:r>
      <w:r w:rsidR="00F84983">
        <w:t xml:space="preserve">Company’s </w:t>
      </w:r>
      <w:r w:rsidR="00E952AC">
        <w:t>proposal should be rejected as retroactive</w:t>
      </w:r>
      <w:r w:rsidR="00D63D6F">
        <w:t xml:space="preserve"> ratemaking because it required</w:t>
      </w:r>
      <w:r w:rsidR="00B82249">
        <w:t xml:space="preserve"> </w:t>
      </w:r>
      <w:r w:rsidR="00F84983">
        <w:t xml:space="preserve">that </w:t>
      </w:r>
      <w:r w:rsidR="00B82249">
        <w:t>“[t]he col</w:t>
      </w:r>
      <w:r w:rsidR="00F84983">
        <w:t xml:space="preserve">lective pool of ratepayers would </w:t>
      </w:r>
      <w:r w:rsidR="00B82249">
        <w:t>pay back the full $.05 [credit previously received].”</w:t>
      </w:r>
      <w:r w:rsidR="00B82249">
        <w:rPr>
          <w:rStyle w:val="FootnoteReference"/>
        </w:rPr>
        <w:footnoteReference w:id="34"/>
      </w:r>
      <w:r w:rsidR="00B82249">
        <w:t xml:space="preserve">  </w:t>
      </w:r>
    </w:p>
    <w:p w:rsidR="0084312F" w:rsidRPr="00EA0D1D" w:rsidRDefault="004A212B" w:rsidP="0084312F">
      <w:pPr>
        <w:pStyle w:val="ListParagraph"/>
        <w:numPr>
          <w:ilvl w:val="0"/>
          <w:numId w:val="5"/>
        </w:numPr>
        <w:spacing w:line="480" w:lineRule="auto"/>
        <w:rPr>
          <w:rFonts w:cs="Times New Roman"/>
          <w:szCs w:val="24"/>
        </w:rPr>
      </w:pPr>
      <w:r>
        <w:tab/>
      </w:r>
      <w:r w:rsidR="00700518">
        <w:t>The same result does not flow</w:t>
      </w:r>
      <w:r w:rsidR="00B82249">
        <w:t xml:space="preserve"> from Staff’s recommenda</w:t>
      </w:r>
      <w:r w:rsidR="00EA0D1D">
        <w:t xml:space="preserve">tion here.  Prior to this case, </w:t>
      </w:r>
      <w:r w:rsidR="00F67C05">
        <w:t>t</w:t>
      </w:r>
      <w:r w:rsidR="0084312F">
        <w:t xml:space="preserve">he requirement to normalize the Treasury Grant prevented the Company from crediting ratepayers with interest on the unamortized balances of the Treasury Grant.  Thus, to date, ratepayers have </w:t>
      </w:r>
      <w:r w:rsidR="00F67C05">
        <w:t>not</w:t>
      </w:r>
      <w:r w:rsidR="0084312F">
        <w:t xml:space="preserve"> received </w:t>
      </w:r>
      <w:r w:rsidR="00F67C05">
        <w:t>one cent</w:t>
      </w:r>
      <w:r w:rsidR="0084312F">
        <w:t xml:space="preserve"> of interest on those balances.  Section 1096 of NDAA corrects that inequity by eliminating normalization requirements and allowing ratepayers to be credited with interest on the unamortized balances of the Treasury Grant.  Staff’s recommendation fully implements that authority.  There can be no unlawful retroactive ratemaking or violation of the Filed Rate Doctrine on these facts.</w:t>
      </w:r>
    </w:p>
    <w:p w:rsidR="008B658C" w:rsidRPr="004A212B" w:rsidRDefault="004A212B" w:rsidP="004A212B">
      <w:pPr>
        <w:pStyle w:val="ListParagraph"/>
        <w:numPr>
          <w:ilvl w:val="0"/>
          <w:numId w:val="5"/>
        </w:numPr>
        <w:spacing w:line="480" w:lineRule="auto"/>
        <w:rPr>
          <w:rFonts w:cs="Times New Roman"/>
          <w:szCs w:val="24"/>
        </w:rPr>
      </w:pPr>
      <w:r>
        <w:rPr>
          <w:rFonts w:cs="Times New Roman"/>
          <w:szCs w:val="24"/>
        </w:rPr>
        <w:tab/>
      </w:r>
      <w:r w:rsidR="00D16BA5" w:rsidRPr="004A212B">
        <w:rPr>
          <w:rFonts w:cs="Times New Roman"/>
          <w:szCs w:val="24"/>
        </w:rPr>
        <w:t>PSE states that the prohibition against retro</w:t>
      </w:r>
      <w:r w:rsidR="00D63D6F" w:rsidRPr="004A212B">
        <w:rPr>
          <w:rFonts w:cs="Times New Roman"/>
          <w:szCs w:val="24"/>
        </w:rPr>
        <w:t xml:space="preserve">active ratemaking </w:t>
      </w:r>
      <w:r w:rsidR="00D16BA5" w:rsidRPr="004A212B">
        <w:rPr>
          <w:rFonts w:cs="Times New Roman"/>
          <w:szCs w:val="24"/>
        </w:rPr>
        <w:t>is statutorily based</w:t>
      </w:r>
      <w:r w:rsidR="00464F7F" w:rsidRPr="004A212B">
        <w:rPr>
          <w:rFonts w:cs="Times New Roman"/>
          <w:szCs w:val="24"/>
        </w:rPr>
        <w:t xml:space="preserve"> </w:t>
      </w:r>
      <w:r w:rsidR="00F84983" w:rsidRPr="004A212B">
        <w:rPr>
          <w:rFonts w:cs="Times New Roman"/>
          <w:szCs w:val="24"/>
        </w:rPr>
        <w:t xml:space="preserve">in RCW 80.28.020 </w:t>
      </w:r>
      <w:r w:rsidR="00464F7F" w:rsidRPr="004A212B">
        <w:rPr>
          <w:rFonts w:cs="Times New Roman"/>
          <w:szCs w:val="24"/>
        </w:rPr>
        <w:t>and</w:t>
      </w:r>
      <w:r w:rsidR="00D16BA5" w:rsidRPr="004A212B">
        <w:rPr>
          <w:rFonts w:cs="Times New Roman"/>
          <w:szCs w:val="24"/>
        </w:rPr>
        <w:t>, therefore, the only exceptions to this rule are those that are likewise authorized</w:t>
      </w:r>
      <w:r w:rsidR="00F67C05" w:rsidRPr="00F67C05">
        <w:rPr>
          <w:rFonts w:cs="Times New Roman"/>
          <w:szCs w:val="24"/>
        </w:rPr>
        <w:t xml:space="preserve"> </w:t>
      </w:r>
      <w:r w:rsidR="00F67C05" w:rsidRPr="004A212B">
        <w:rPr>
          <w:rFonts w:cs="Times New Roman"/>
          <w:szCs w:val="24"/>
        </w:rPr>
        <w:t>statutorily</w:t>
      </w:r>
      <w:r w:rsidR="00D16BA5" w:rsidRPr="004A212B">
        <w:rPr>
          <w:rFonts w:cs="Times New Roman"/>
          <w:szCs w:val="24"/>
        </w:rPr>
        <w:t>.</w:t>
      </w:r>
      <w:r w:rsidR="00D16BA5">
        <w:rPr>
          <w:rStyle w:val="FootnoteReference"/>
          <w:rFonts w:cs="Times New Roman"/>
          <w:szCs w:val="24"/>
        </w:rPr>
        <w:footnoteReference w:id="35"/>
      </w:r>
      <w:r w:rsidR="00D16BA5" w:rsidRPr="004A212B">
        <w:rPr>
          <w:rFonts w:cs="Times New Roman"/>
          <w:szCs w:val="24"/>
        </w:rPr>
        <w:t xml:space="preserve">  </w:t>
      </w:r>
      <w:r w:rsidR="005445AA" w:rsidRPr="004A212B">
        <w:rPr>
          <w:rFonts w:cs="Times New Roman"/>
          <w:szCs w:val="24"/>
        </w:rPr>
        <w:t xml:space="preserve">This </w:t>
      </w:r>
      <w:r w:rsidR="00D50001" w:rsidRPr="004A212B">
        <w:rPr>
          <w:rFonts w:cs="Times New Roman"/>
          <w:szCs w:val="24"/>
        </w:rPr>
        <w:t xml:space="preserve">argument has several deficiencies.  </w:t>
      </w:r>
      <w:r w:rsidR="001767D6" w:rsidRPr="004A212B">
        <w:rPr>
          <w:rFonts w:cs="Times New Roman"/>
          <w:szCs w:val="24"/>
        </w:rPr>
        <w:t xml:space="preserve">First, </w:t>
      </w:r>
      <w:r w:rsidR="00D50001" w:rsidRPr="004A212B">
        <w:rPr>
          <w:rFonts w:cs="Times New Roman"/>
          <w:szCs w:val="24"/>
        </w:rPr>
        <w:t xml:space="preserve">Staff’s proposal </w:t>
      </w:r>
      <w:r w:rsidR="00700518" w:rsidRPr="004A212B">
        <w:rPr>
          <w:rFonts w:cs="Times New Roman"/>
          <w:szCs w:val="24"/>
        </w:rPr>
        <w:t xml:space="preserve">is authorized by </w:t>
      </w:r>
      <w:r w:rsidR="00131D01" w:rsidRPr="004A212B">
        <w:rPr>
          <w:rFonts w:cs="Times New Roman"/>
          <w:szCs w:val="24"/>
        </w:rPr>
        <w:t xml:space="preserve">a statute:  </w:t>
      </w:r>
      <w:r w:rsidR="00D50001" w:rsidRPr="004A212B">
        <w:rPr>
          <w:rFonts w:cs="Times New Roman"/>
          <w:szCs w:val="24"/>
        </w:rPr>
        <w:t>Sect</w:t>
      </w:r>
      <w:r w:rsidR="00464F7F" w:rsidRPr="004A212B">
        <w:rPr>
          <w:rFonts w:cs="Times New Roman"/>
          <w:szCs w:val="24"/>
        </w:rPr>
        <w:t xml:space="preserve">ion 1096 of </w:t>
      </w:r>
      <w:r w:rsidR="001767D6" w:rsidRPr="004A212B">
        <w:rPr>
          <w:rFonts w:cs="Times New Roman"/>
          <w:szCs w:val="24"/>
        </w:rPr>
        <w:t>NDAA.  Thus, even if Staff’s proposal had a retroactive ratema</w:t>
      </w:r>
      <w:r w:rsidR="00D33845" w:rsidRPr="004A212B">
        <w:rPr>
          <w:rFonts w:cs="Times New Roman"/>
          <w:szCs w:val="24"/>
        </w:rPr>
        <w:t xml:space="preserve">king effect, </w:t>
      </w:r>
      <w:r w:rsidR="00F84983" w:rsidRPr="004A212B">
        <w:rPr>
          <w:rFonts w:cs="Times New Roman"/>
          <w:szCs w:val="24"/>
        </w:rPr>
        <w:t xml:space="preserve">which it does not, </w:t>
      </w:r>
      <w:r w:rsidR="001767D6" w:rsidRPr="004A212B">
        <w:rPr>
          <w:rFonts w:cs="Times New Roman"/>
          <w:szCs w:val="24"/>
        </w:rPr>
        <w:t>it w</w:t>
      </w:r>
      <w:r w:rsidR="00131D01" w:rsidRPr="004A212B">
        <w:rPr>
          <w:rFonts w:cs="Times New Roman"/>
          <w:szCs w:val="24"/>
        </w:rPr>
        <w:t xml:space="preserve">ould be lawful under the </w:t>
      </w:r>
      <w:r w:rsidR="00D50B91" w:rsidRPr="004A212B">
        <w:rPr>
          <w:rFonts w:cs="Times New Roman"/>
          <w:szCs w:val="24"/>
        </w:rPr>
        <w:t xml:space="preserve">very </w:t>
      </w:r>
      <w:r w:rsidR="00DE29CA" w:rsidRPr="004A212B">
        <w:rPr>
          <w:rFonts w:cs="Times New Roman"/>
          <w:szCs w:val="24"/>
        </w:rPr>
        <w:t>standard espoused by PSE.</w:t>
      </w:r>
    </w:p>
    <w:p w:rsidR="008B658C" w:rsidRPr="004A212B" w:rsidRDefault="004A212B" w:rsidP="004A212B">
      <w:pPr>
        <w:pStyle w:val="ListParagraph"/>
        <w:numPr>
          <w:ilvl w:val="0"/>
          <w:numId w:val="5"/>
        </w:numPr>
        <w:spacing w:line="480" w:lineRule="auto"/>
        <w:rPr>
          <w:color w:val="000000"/>
          <w:szCs w:val="24"/>
        </w:rPr>
      </w:pPr>
      <w:r>
        <w:rPr>
          <w:rFonts w:cs="Times New Roman"/>
          <w:szCs w:val="24"/>
        </w:rPr>
        <w:lastRenderedPageBreak/>
        <w:tab/>
      </w:r>
      <w:r w:rsidR="001767D6" w:rsidRPr="004A212B">
        <w:rPr>
          <w:rFonts w:cs="Times New Roman"/>
          <w:szCs w:val="24"/>
        </w:rPr>
        <w:t>Second</w:t>
      </w:r>
      <w:r w:rsidR="00D50001" w:rsidRPr="004A212B">
        <w:rPr>
          <w:rFonts w:cs="Times New Roman"/>
          <w:szCs w:val="24"/>
        </w:rPr>
        <w:t>, the Company</w:t>
      </w:r>
      <w:r w:rsidR="00131D01" w:rsidRPr="004A212B">
        <w:rPr>
          <w:rFonts w:cs="Times New Roman"/>
          <w:szCs w:val="24"/>
        </w:rPr>
        <w:t xml:space="preserve"> has </w:t>
      </w:r>
      <w:r w:rsidR="006933E2" w:rsidRPr="004A212B">
        <w:rPr>
          <w:rFonts w:cs="Times New Roman"/>
          <w:szCs w:val="24"/>
        </w:rPr>
        <w:t xml:space="preserve">currently </w:t>
      </w:r>
      <w:r w:rsidR="00131D01" w:rsidRPr="004A212B">
        <w:rPr>
          <w:rFonts w:cs="Times New Roman"/>
          <w:szCs w:val="24"/>
        </w:rPr>
        <w:t>in place</w:t>
      </w:r>
      <w:r w:rsidR="00D50001" w:rsidRPr="004A212B">
        <w:rPr>
          <w:rFonts w:cs="Times New Roman"/>
          <w:szCs w:val="24"/>
        </w:rPr>
        <w:t xml:space="preserve"> </w:t>
      </w:r>
      <w:r w:rsidR="00131D01" w:rsidRPr="004A212B">
        <w:rPr>
          <w:rFonts w:cs="Times New Roman"/>
          <w:szCs w:val="24"/>
        </w:rPr>
        <w:t xml:space="preserve">a multitude of regulatory mechanisms </w:t>
      </w:r>
      <w:r w:rsidR="00D50B91" w:rsidRPr="004A212B">
        <w:rPr>
          <w:rFonts w:cs="Times New Roman"/>
          <w:szCs w:val="24"/>
        </w:rPr>
        <w:t>that implement</w:t>
      </w:r>
      <w:r w:rsidR="00464F7F" w:rsidRPr="004A212B">
        <w:rPr>
          <w:rFonts w:cs="Times New Roman"/>
          <w:szCs w:val="24"/>
        </w:rPr>
        <w:t xml:space="preserve"> significant </w:t>
      </w:r>
      <w:r w:rsidR="00E12BCE" w:rsidRPr="004A212B">
        <w:rPr>
          <w:rFonts w:cs="Times New Roman"/>
          <w:szCs w:val="24"/>
        </w:rPr>
        <w:t>retroactive elements</w:t>
      </w:r>
      <w:r w:rsidR="00F84983" w:rsidRPr="004A212B">
        <w:rPr>
          <w:rFonts w:cs="Times New Roman"/>
          <w:szCs w:val="24"/>
        </w:rPr>
        <w:t>, without any</w:t>
      </w:r>
      <w:r w:rsidR="00D50B91" w:rsidRPr="004A212B">
        <w:rPr>
          <w:rFonts w:cs="Times New Roman"/>
          <w:szCs w:val="24"/>
        </w:rPr>
        <w:t xml:space="preserve"> complaint from PSE</w:t>
      </w:r>
      <w:r w:rsidR="00E12BCE" w:rsidRPr="004A212B">
        <w:rPr>
          <w:rFonts w:cs="Times New Roman"/>
          <w:szCs w:val="24"/>
        </w:rPr>
        <w:t xml:space="preserve">.  For example, PSE has </w:t>
      </w:r>
      <w:r w:rsidR="00D50001" w:rsidRPr="004A212B">
        <w:rPr>
          <w:rFonts w:cs="Times New Roman"/>
          <w:szCs w:val="24"/>
        </w:rPr>
        <w:t>Power Cost Adjustment and Purchased Gas Adjustment mechanisms</w:t>
      </w:r>
      <w:r w:rsidR="00E12BCE" w:rsidRPr="004A212B">
        <w:rPr>
          <w:rFonts w:cs="Times New Roman"/>
          <w:szCs w:val="24"/>
        </w:rPr>
        <w:t xml:space="preserve"> that compare actual costs to costs underlying a tariff rate previously set by the Commission, and recovers </w:t>
      </w:r>
      <w:r w:rsidR="00D50B91" w:rsidRPr="004A212B">
        <w:rPr>
          <w:rFonts w:cs="Times New Roman"/>
          <w:szCs w:val="24"/>
        </w:rPr>
        <w:t>(</w:t>
      </w:r>
      <w:r w:rsidR="00E12BCE" w:rsidRPr="004A212B">
        <w:rPr>
          <w:rFonts w:cs="Times New Roman"/>
          <w:szCs w:val="24"/>
        </w:rPr>
        <w:t>or credits</w:t>
      </w:r>
      <w:r w:rsidR="00D50B91" w:rsidRPr="004A212B">
        <w:rPr>
          <w:rFonts w:cs="Times New Roman"/>
          <w:szCs w:val="24"/>
        </w:rPr>
        <w:t>)</w:t>
      </w:r>
      <w:r w:rsidR="00E12BCE" w:rsidRPr="004A212B">
        <w:rPr>
          <w:rFonts w:cs="Times New Roman"/>
          <w:szCs w:val="24"/>
        </w:rPr>
        <w:t xml:space="preserve"> the difference through future adjustments to rates (subject to sharing bands in the case of the Power Cost Adjustment)</w:t>
      </w:r>
      <w:r w:rsidR="00131D01" w:rsidRPr="004A212B">
        <w:rPr>
          <w:rFonts w:cs="Times New Roman"/>
          <w:szCs w:val="24"/>
        </w:rPr>
        <w:t xml:space="preserve">.  </w:t>
      </w:r>
      <w:r w:rsidR="00E12BCE" w:rsidRPr="004A212B">
        <w:rPr>
          <w:rFonts w:cs="Times New Roman"/>
          <w:szCs w:val="24"/>
        </w:rPr>
        <w:t xml:space="preserve"> Another example is the special treatment</w:t>
      </w:r>
      <w:r w:rsidR="00D63D6F" w:rsidRPr="004A212B">
        <w:rPr>
          <w:rFonts w:cs="Times New Roman"/>
          <w:szCs w:val="24"/>
        </w:rPr>
        <w:t xml:space="preserve"> afforded </w:t>
      </w:r>
      <w:r w:rsidR="00700F36" w:rsidRPr="004A212B">
        <w:rPr>
          <w:rFonts w:cs="Times New Roman"/>
          <w:szCs w:val="24"/>
        </w:rPr>
        <w:t>extraordinary storm damage and environmental</w:t>
      </w:r>
      <w:r w:rsidR="00D63D6F" w:rsidRPr="004A212B">
        <w:rPr>
          <w:rFonts w:cs="Times New Roman"/>
          <w:szCs w:val="24"/>
        </w:rPr>
        <w:t xml:space="preserve"> remediation costs,</w:t>
      </w:r>
      <w:r w:rsidR="00700F36" w:rsidRPr="004A212B">
        <w:rPr>
          <w:rFonts w:cs="Times New Roman"/>
          <w:szCs w:val="24"/>
        </w:rPr>
        <w:t xml:space="preserve"> which </w:t>
      </w:r>
      <w:r w:rsidR="00D50B91" w:rsidRPr="004A212B">
        <w:rPr>
          <w:rFonts w:cs="Times New Roman"/>
          <w:szCs w:val="24"/>
        </w:rPr>
        <w:t>PSE defers</w:t>
      </w:r>
      <w:r w:rsidR="00700F36" w:rsidRPr="004A212B">
        <w:rPr>
          <w:rFonts w:cs="Times New Roman"/>
          <w:szCs w:val="24"/>
        </w:rPr>
        <w:t xml:space="preserve"> for later </w:t>
      </w:r>
      <w:r w:rsidR="00D63D6F" w:rsidRPr="004A212B">
        <w:rPr>
          <w:rFonts w:cs="Times New Roman"/>
          <w:szCs w:val="24"/>
        </w:rPr>
        <w:t>recovery</w:t>
      </w:r>
      <w:r w:rsidR="00D50B91" w:rsidRPr="004A212B">
        <w:rPr>
          <w:rFonts w:cs="Times New Roman"/>
          <w:szCs w:val="24"/>
        </w:rPr>
        <w:t xml:space="preserve"> from ratepayers</w:t>
      </w:r>
      <w:r w:rsidR="00700F36" w:rsidRPr="004A212B">
        <w:rPr>
          <w:rFonts w:cs="Times New Roman"/>
          <w:szCs w:val="24"/>
        </w:rPr>
        <w:t xml:space="preserve">. </w:t>
      </w:r>
      <w:r w:rsidR="00D50001" w:rsidRPr="004A212B">
        <w:rPr>
          <w:rFonts w:cs="Times New Roman"/>
          <w:szCs w:val="24"/>
        </w:rPr>
        <w:t xml:space="preserve"> </w:t>
      </w:r>
      <w:r w:rsidR="00D50B91" w:rsidRPr="004A212B">
        <w:rPr>
          <w:rFonts w:cs="Times New Roman"/>
          <w:szCs w:val="24"/>
        </w:rPr>
        <w:t>Each</w:t>
      </w:r>
      <w:r w:rsidR="00D50001" w:rsidRPr="004A212B">
        <w:rPr>
          <w:rFonts w:cs="Times New Roman"/>
          <w:szCs w:val="24"/>
        </w:rPr>
        <w:t xml:space="preserve"> of these mecha</w:t>
      </w:r>
      <w:r w:rsidR="00131D01" w:rsidRPr="004A212B">
        <w:rPr>
          <w:rFonts w:cs="Times New Roman"/>
          <w:szCs w:val="24"/>
        </w:rPr>
        <w:t>nisms provide</w:t>
      </w:r>
      <w:r w:rsidR="00D50B91" w:rsidRPr="004A212B">
        <w:rPr>
          <w:rFonts w:cs="Times New Roman"/>
          <w:szCs w:val="24"/>
        </w:rPr>
        <w:t>s</w:t>
      </w:r>
      <w:r w:rsidR="00131D01" w:rsidRPr="004A212B">
        <w:rPr>
          <w:rFonts w:cs="Times New Roman"/>
          <w:szCs w:val="24"/>
        </w:rPr>
        <w:t xml:space="preserve"> for the </w:t>
      </w:r>
      <w:r w:rsidR="00D50001" w:rsidRPr="004A212B">
        <w:rPr>
          <w:rFonts w:cs="Times New Roman"/>
          <w:szCs w:val="24"/>
        </w:rPr>
        <w:t>recovery of costs incurred in a</w:t>
      </w:r>
      <w:r w:rsidR="00131D01" w:rsidRPr="004A212B">
        <w:rPr>
          <w:rFonts w:cs="Times New Roman"/>
          <w:szCs w:val="24"/>
        </w:rPr>
        <w:t xml:space="preserve"> prior period, but none </w:t>
      </w:r>
      <w:r w:rsidR="005445AA" w:rsidRPr="004A212B">
        <w:rPr>
          <w:rFonts w:cs="Times New Roman"/>
          <w:szCs w:val="24"/>
        </w:rPr>
        <w:t xml:space="preserve">of them </w:t>
      </w:r>
      <w:r w:rsidR="00D50001" w:rsidRPr="004A212B">
        <w:rPr>
          <w:rFonts w:cs="Times New Roman"/>
          <w:szCs w:val="24"/>
        </w:rPr>
        <w:t>are authorized explicitly by statute.</w:t>
      </w:r>
      <w:r>
        <w:rPr>
          <w:rFonts w:cs="Times New Roman"/>
          <w:szCs w:val="24"/>
        </w:rPr>
        <w:t xml:space="preserve">  </w:t>
      </w:r>
      <w:r w:rsidR="00D50B91" w:rsidRPr="004A212B">
        <w:rPr>
          <w:rFonts w:cs="Times New Roman"/>
          <w:szCs w:val="24"/>
        </w:rPr>
        <w:t xml:space="preserve">Consistently applied, </w:t>
      </w:r>
      <w:r w:rsidR="00D63D6F" w:rsidRPr="004A212B">
        <w:rPr>
          <w:rFonts w:cs="Times New Roman"/>
          <w:szCs w:val="24"/>
        </w:rPr>
        <w:t>PSE</w:t>
      </w:r>
      <w:r w:rsidR="00D33845" w:rsidRPr="004A212B">
        <w:rPr>
          <w:rFonts w:cs="Times New Roman"/>
          <w:szCs w:val="24"/>
        </w:rPr>
        <w:t>’s argument would jeopardize all of these mechanisms</w:t>
      </w:r>
      <w:r w:rsidR="00131D01" w:rsidRPr="004A212B">
        <w:rPr>
          <w:rFonts w:cs="Times New Roman"/>
          <w:szCs w:val="24"/>
        </w:rPr>
        <w:t>.</w:t>
      </w:r>
    </w:p>
    <w:p w:rsidR="00322644" w:rsidRDefault="004A212B" w:rsidP="004A212B">
      <w:pPr>
        <w:pStyle w:val="BodyText"/>
        <w:numPr>
          <w:ilvl w:val="0"/>
          <w:numId w:val="5"/>
        </w:numPr>
        <w:spacing w:after="0" w:line="480" w:lineRule="auto"/>
        <w:jc w:val="left"/>
      </w:pPr>
      <w:r>
        <w:rPr>
          <w:color w:val="000000"/>
          <w:szCs w:val="24"/>
        </w:rPr>
        <w:tab/>
      </w:r>
      <w:r w:rsidR="00131D01">
        <w:rPr>
          <w:color w:val="000000"/>
          <w:szCs w:val="24"/>
        </w:rPr>
        <w:t>PSE</w:t>
      </w:r>
      <w:r w:rsidR="00D50001">
        <w:rPr>
          <w:color w:val="000000"/>
          <w:szCs w:val="24"/>
        </w:rPr>
        <w:t xml:space="preserve">’s </w:t>
      </w:r>
      <w:r w:rsidR="00587032">
        <w:rPr>
          <w:color w:val="000000"/>
          <w:szCs w:val="24"/>
        </w:rPr>
        <w:t>argument is also</w:t>
      </w:r>
      <w:r w:rsidR="00322644">
        <w:rPr>
          <w:color w:val="000000"/>
          <w:szCs w:val="24"/>
        </w:rPr>
        <w:t xml:space="preserve"> inconsistent with the </w:t>
      </w:r>
      <w:r w:rsidR="005445AA">
        <w:rPr>
          <w:color w:val="000000"/>
          <w:szCs w:val="24"/>
        </w:rPr>
        <w:t>regulatory treatment</w:t>
      </w:r>
      <w:r w:rsidR="00D63D6F">
        <w:rPr>
          <w:color w:val="000000"/>
          <w:szCs w:val="24"/>
        </w:rPr>
        <w:t xml:space="preserve"> of </w:t>
      </w:r>
      <w:r w:rsidR="00CB4C3D">
        <w:rPr>
          <w:color w:val="000000"/>
          <w:szCs w:val="24"/>
        </w:rPr>
        <w:t xml:space="preserve">the WH </w:t>
      </w:r>
      <w:r w:rsidR="00D91E8A">
        <w:rPr>
          <w:color w:val="000000"/>
          <w:szCs w:val="24"/>
        </w:rPr>
        <w:t>Project Treasury Grant</w:t>
      </w:r>
      <w:r w:rsidR="00322644">
        <w:rPr>
          <w:color w:val="000000"/>
          <w:szCs w:val="24"/>
        </w:rPr>
        <w:t xml:space="preserve">.  </w:t>
      </w:r>
      <w:r w:rsidR="00322644">
        <w:t>On September 30, 2009</w:t>
      </w:r>
      <w:r w:rsidR="00131D01">
        <w:t>,</w:t>
      </w:r>
      <w:r w:rsidR="00322644">
        <w:t xml:space="preserve"> PSE filed a petition for an accounting order in Docket UE-09</w:t>
      </w:r>
      <w:r w:rsidR="005445AA">
        <w:t>1570 to provide</w:t>
      </w:r>
      <w:r w:rsidR="00322644">
        <w:t xml:space="preserve"> for normalization </w:t>
      </w:r>
      <w:r w:rsidR="005445AA">
        <w:t xml:space="preserve">as </w:t>
      </w:r>
      <w:r w:rsidR="00464F7F">
        <w:t xml:space="preserve">then-required. </w:t>
      </w:r>
      <w:r w:rsidR="00322644">
        <w:t xml:space="preserve"> PSE requested that the Treasury Grant</w:t>
      </w:r>
      <w:r w:rsidR="00587032">
        <w:t>,</w:t>
      </w:r>
      <w:r w:rsidR="00322644">
        <w:t xml:space="preserve"> once received</w:t>
      </w:r>
      <w:r w:rsidR="00587032">
        <w:t>,</w:t>
      </w:r>
      <w:r w:rsidR="00322644">
        <w:t xml:space="preserve"> would be amortized over ten years as a credit to customers through Schedule 95A.</w:t>
      </w:r>
      <w:r w:rsidR="00314A39">
        <w:rPr>
          <w:rStyle w:val="FootnoteReference"/>
        </w:rPr>
        <w:footnoteReference w:id="36"/>
      </w:r>
      <w:r w:rsidR="00314A39">
        <w:t xml:space="preserve">  Staff </w:t>
      </w:r>
      <w:r w:rsidR="005445AA">
        <w:t xml:space="preserve">supported the </w:t>
      </w:r>
      <w:r w:rsidR="001A0720">
        <w:t>propos</w:t>
      </w:r>
      <w:r w:rsidR="00D33845">
        <w:t xml:space="preserve">ed </w:t>
      </w:r>
      <w:r w:rsidR="001A0720">
        <w:t xml:space="preserve">treatment, </w:t>
      </w:r>
      <w:r w:rsidR="005445AA">
        <w:t xml:space="preserve">and </w:t>
      </w:r>
      <w:r w:rsidR="00322644">
        <w:t>the Comm</w:t>
      </w:r>
      <w:r w:rsidR="002C7FF8">
        <w:t>ission granted</w:t>
      </w:r>
      <w:r w:rsidR="00322644">
        <w:t xml:space="preserve"> PSE's</w:t>
      </w:r>
      <w:r w:rsidR="001A0720">
        <w:t xml:space="preserve"> petition</w:t>
      </w:r>
      <w:r w:rsidR="00322644">
        <w:t>.</w:t>
      </w:r>
      <w:r w:rsidR="002C7FF8">
        <w:t xml:space="preserve">  </w:t>
      </w:r>
      <w:r w:rsidR="00D50B91">
        <w:t>Importantly</w:t>
      </w:r>
      <w:r w:rsidR="00464F7F">
        <w:t>, t</w:t>
      </w:r>
      <w:r w:rsidR="002C7FF8">
        <w:t xml:space="preserve">he Commission </w:t>
      </w:r>
      <w:r w:rsidR="00314A39">
        <w:t>stated:</w:t>
      </w:r>
    </w:p>
    <w:p w:rsidR="00314A39" w:rsidRDefault="00314A39" w:rsidP="004A212B">
      <w:pPr>
        <w:pStyle w:val="BodyText"/>
        <w:spacing w:after="0"/>
        <w:ind w:left="720" w:right="648"/>
        <w:jc w:val="left"/>
      </w:pPr>
      <w:r>
        <w:t>However, the Commission and its Staff reserve the right to provide alternative methodologies for the treatment of the Treasury grants in future proceedings that may</w:t>
      </w:r>
      <w:r w:rsidR="004A212B">
        <w:t xml:space="preserve"> </w:t>
      </w:r>
      <w:r>
        <w:t>differ from the Company’s proposed accounting and normalization treatment based on</w:t>
      </w:r>
      <w:r w:rsidR="004A212B">
        <w:t xml:space="preserve"> </w:t>
      </w:r>
      <w:r>
        <w:t>new analysis, new information becoming available, or based on new guidance being provided by the Internal Revenue Service or Treasury.</w:t>
      </w:r>
      <w:r>
        <w:rPr>
          <w:rStyle w:val="FootnoteReference"/>
        </w:rPr>
        <w:footnoteReference w:id="37"/>
      </w:r>
    </w:p>
    <w:p w:rsidR="00456863" w:rsidRDefault="00456863" w:rsidP="00587032">
      <w:pPr>
        <w:shd w:val="clear" w:color="auto" w:fill="FFFFFF"/>
        <w:rPr>
          <w:rFonts w:cs="Times New Roman"/>
          <w:color w:val="000000"/>
          <w:szCs w:val="24"/>
        </w:rPr>
      </w:pPr>
    </w:p>
    <w:p w:rsidR="00D50B91" w:rsidRDefault="00700F36" w:rsidP="00D50B91">
      <w:pPr>
        <w:shd w:val="clear" w:color="auto" w:fill="FFFFFF"/>
        <w:spacing w:line="480" w:lineRule="auto"/>
        <w:rPr>
          <w:rFonts w:cs="Times New Roman"/>
          <w:szCs w:val="24"/>
        </w:rPr>
      </w:pPr>
      <w:r>
        <w:rPr>
          <w:rFonts w:cs="Times New Roman"/>
          <w:szCs w:val="24"/>
        </w:rPr>
        <w:lastRenderedPageBreak/>
        <w:t>Thus</w:t>
      </w:r>
      <w:r w:rsidR="004B759E">
        <w:rPr>
          <w:rFonts w:cs="Times New Roman"/>
          <w:szCs w:val="24"/>
        </w:rPr>
        <w:t xml:space="preserve">, from the outset, </w:t>
      </w:r>
      <w:r w:rsidR="00D91E8A">
        <w:rPr>
          <w:rFonts w:cs="Times New Roman"/>
          <w:szCs w:val="24"/>
        </w:rPr>
        <w:t xml:space="preserve">possible changes to </w:t>
      </w:r>
      <w:r w:rsidR="004B759E">
        <w:rPr>
          <w:rFonts w:cs="Times New Roman"/>
          <w:szCs w:val="24"/>
        </w:rPr>
        <w:t xml:space="preserve">the </w:t>
      </w:r>
      <w:r w:rsidR="001A0720">
        <w:rPr>
          <w:rFonts w:cs="Times New Roman"/>
          <w:szCs w:val="24"/>
        </w:rPr>
        <w:t>accounting m</w:t>
      </w:r>
      <w:r w:rsidR="004B759E">
        <w:rPr>
          <w:rFonts w:cs="Times New Roman"/>
          <w:szCs w:val="24"/>
        </w:rPr>
        <w:t xml:space="preserve">ethodology of </w:t>
      </w:r>
      <w:r w:rsidR="001A0720">
        <w:rPr>
          <w:rFonts w:cs="Times New Roman"/>
          <w:szCs w:val="24"/>
        </w:rPr>
        <w:t>Schedule 95A</w:t>
      </w:r>
      <w:r w:rsidR="00D50B91">
        <w:rPr>
          <w:rFonts w:cs="Times New Roman"/>
          <w:szCs w:val="24"/>
        </w:rPr>
        <w:t xml:space="preserve"> were contemplated, and</w:t>
      </w:r>
      <w:r>
        <w:rPr>
          <w:rFonts w:cs="Times New Roman"/>
          <w:szCs w:val="24"/>
        </w:rPr>
        <w:t xml:space="preserve"> </w:t>
      </w:r>
      <w:r w:rsidR="00D91E8A">
        <w:rPr>
          <w:rFonts w:cs="Times New Roman"/>
          <w:szCs w:val="24"/>
        </w:rPr>
        <w:t>PSE</w:t>
      </w:r>
      <w:r w:rsidR="00587032">
        <w:rPr>
          <w:rFonts w:cs="Times New Roman"/>
          <w:szCs w:val="24"/>
        </w:rPr>
        <w:t xml:space="preserve"> </w:t>
      </w:r>
      <w:r w:rsidR="00D50B91">
        <w:rPr>
          <w:rFonts w:cs="Times New Roman"/>
          <w:szCs w:val="24"/>
        </w:rPr>
        <w:t>was explicitly</w:t>
      </w:r>
      <w:r>
        <w:rPr>
          <w:rFonts w:cs="Times New Roman"/>
          <w:szCs w:val="24"/>
        </w:rPr>
        <w:t xml:space="preserve"> aware of that fact.  </w:t>
      </w:r>
      <w:r w:rsidR="00D50B91">
        <w:rPr>
          <w:rFonts w:cs="Times New Roman"/>
          <w:szCs w:val="24"/>
        </w:rPr>
        <w:t>On this record, the only “vested right” PSE could have had in any prior published tariff addressing the Treasury Grant is a “right” that was explicitly subject to different treatment.</w:t>
      </w:r>
      <w:r w:rsidR="00A05B87">
        <w:rPr>
          <w:rFonts w:cs="Times New Roman"/>
          <w:szCs w:val="24"/>
        </w:rPr>
        <w:t xml:space="preserve">  </w:t>
      </w:r>
    </w:p>
    <w:p w:rsidR="001A0720" w:rsidRPr="004A212B" w:rsidRDefault="004A212B" w:rsidP="004A212B">
      <w:pPr>
        <w:pStyle w:val="ListParagraph"/>
        <w:numPr>
          <w:ilvl w:val="0"/>
          <w:numId w:val="5"/>
        </w:numPr>
        <w:shd w:val="clear" w:color="auto" w:fill="FFFFFF"/>
        <w:spacing w:line="480" w:lineRule="auto"/>
        <w:rPr>
          <w:szCs w:val="24"/>
        </w:rPr>
      </w:pPr>
      <w:r>
        <w:rPr>
          <w:szCs w:val="24"/>
        </w:rPr>
        <w:tab/>
      </w:r>
      <w:r w:rsidR="00064403" w:rsidRPr="004A212B">
        <w:rPr>
          <w:szCs w:val="24"/>
        </w:rPr>
        <w:t>In fact</w:t>
      </w:r>
      <w:r w:rsidR="0088647A" w:rsidRPr="004A212B">
        <w:rPr>
          <w:szCs w:val="24"/>
        </w:rPr>
        <w:t xml:space="preserve">, courts have rejected retroactive ratemaking challenges </w:t>
      </w:r>
      <w:r w:rsidR="00D50B91" w:rsidRPr="004A212B">
        <w:rPr>
          <w:szCs w:val="24"/>
        </w:rPr>
        <w:t>of the sort the Company alleges, when</w:t>
      </w:r>
      <w:r w:rsidR="0088647A" w:rsidRPr="004A212B">
        <w:rPr>
          <w:szCs w:val="24"/>
        </w:rPr>
        <w:t xml:space="preserve"> changes in accounting methodology</w:t>
      </w:r>
      <w:r w:rsidR="00D50B91" w:rsidRPr="004A212B">
        <w:rPr>
          <w:szCs w:val="24"/>
        </w:rPr>
        <w:t xml:space="preserve"> are at issue</w:t>
      </w:r>
      <w:r w:rsidR="00CB4C3D">
        <w:rPr>
          <w:szCs w:val="24"/>
        </w:rPr>
        <w:t>, even when they</w:t>
      </w:r>
      <w:r w:rsidR="003032AE">
        <w:rPr>
          <w:szCs w:val="24"/>
        </w:rPr>
        <w:t xml:space="preserve"> </w:t>
      </w:r>
      <w:r w:rsidR="00A9655D">
        <w:rPr>
          <w:szCs w:val="24"/>
        </w:rPr>
        <w:t xml:space="preserve">alter </w:t>
      </w:r>
      <w:r w:rsidR="0088647A" w:rsidRPr="004A212B">
        <w:rPr>
          <w:szCs w:val="24"/>
        </w:rPr>
        <w:t xml:space="preserve">the treatment of prior gains or losses realized </w:t>
      </w:r>
      <w:r w:rsidR="00CB4C3D" w:rsidRPr="004A212B">
        <w:rPr>
          <w:szCs w:val="24"/>
        </w:rPr>
        <w:t xml:space="preserve">already </w:t>
      </w:r>
      <w:r w:rsidR="0088647A" w:rsidRPr="004A212B">
        <w:rPr>
          <w:szCs w:val="24"/>
        </w:rPr>
        <w:t>by the utility.</w:t>
      </w:r>
      <w:r w:rsidR="00464F7F" w:rsidRPr="004A212B">
        <w:rPr>
          <w:szCs w:val="24"/>
        </w:rPr>
        <w:t xml:space="preserve"> </w:t>
      </w:r>
      <w:r w:rsidR="0088647A" w:rsidRPr="004A212B">
        <w:rPr>
          <w:szCs w:val="24"/>
        </w:rPr>
        <w:t xml:space="preserve"> </w:t>
      </w:r>
      <w:r w:rsidR="001A0720" w:rsidRPr="004A212B">
        <w:rPr>
          <w:szCs w:val="24"/>
        </w:rPr>
        <w:t xml:space="preserve">In one case, a utility had </w:t>
      </w:r>
      <w:r w:rsidR="001D0D49" w:rsidRPr="004A212B">
        <w:rPr>
          <w:szCs w:val="24"/>
        </w:rPr>
        <w:t xml:space="preserve">previously </w:t>
      </w:r>
      <w:r w:rsidR="001A0720" w:rsidRPr="004A212B">
        <w:rPr>
          <w:szCs w:val="24"/>
        </w:rPr>
        <w:t>been allowed to include in retai</w:t>
      </w:r>
      <w:r w:rsidR="00A9655D">
        <w:rPr>
          <w:szCs w:val="24"/>
        </w:rPr>
        <w:t xml:space="preserve">ned earnings for </w:t>
      </w:r>
      <w:r w:rsidR="001C04BC">
        <w:rPr>
          <w:szCs w:val="24"/>
        </w:rPr>
        <w:t xml:space="preserve">the benefit of </w:t>
      </w:r>
      <w:r w:rsidR="001A0720" w:rsidRPr="004A212B">
        <w:rPr>
          <w:szCs w:val="24"/>
        </w:rPr>
        <w:t>shareholders</w:t>
      </w:r>
      <w:r w:rsidR="001D0D49" w:rsidRPr="004A212B">
        <w:rPr>
          <w:szCs w:val="24"/>
        </w:rPr>
        <w:t>,</w:t>
      </w:r>
      <w:r w:rsidR="001A0720" w:rsidRPr="004A212B">
        <w:rPr>
          <w:szCs w:val="24"/>
        </w:rPr>
        <w:t xml:space="preserve"> gains earned on the reacquisition of long-term debt over a twenty-year period.</w:t>
      </w:r>
      <w:r w:rsidR="001A0720">
        <w:rPr>
          <w:rStyle w:val="FootnoteReference"/>
          <w:szCs w:val="24"/>
        </w:rPr>
        <w:footnoteReference w:id="38"/>
      </w:r>
      <w:r w:rsidR="001D0D49" w:rsidRPr="004A212B">
        <w:rPr>
          <w:szCs w:val="24"/>
        </w:rPr>
        <w:t xml:space="preserve">  </w:t>
      </w:r>
      <w:r w:rsidR="001A0720" w:rsidRPr="004A212B">
        <w:rPr>
          <w:szCs w:val="24"/>
        </w:rPr>
        <w:t xml:space="preserve">The commission altered that methodology </w:t>
      </w:r>
      <w:r w:rsidR="001D0D49" w:rsidRPr="004A212B">
        <w:rPr>
          <w:szCs w:val="24"/>
        </w:rPr>
        <w:t xml:space="preserve">for the benefit of ratepayers </w:t>
      </w:r>
      <w:r w:rsidR="00D33845" w:rsidRPr="004A212B">
        <w:rPr>
          <w:szCs w:val="24"/>
        </w:rPr>
        <w:t>by ordering</w:t>
      </w:r>
      <w:r w:rsidR="001A0720" w:rsidRPr="004A212B">
        <w:rPr>
          <w:szCs w:val="24"/>
        </w:rPr>
        <w:t xml:space="preserve"> the utility to amortize </w:t>
      </w:r>
      <w:r w:rsidR="00D33845" w:rsidRPr="004A212B">
        <w:rPr>
          <w:szCs w:val="24"/>
        </w:rPr>
        <w:t xml:space="preserve">all gains realized from the repurchases of debt </w:t>
      </w:r>
      <w:r w:rsidR="001A0720" w:rsidRPr="004A212B">
        <w:rPr>
          <w:szCs w:val="24"/>
        </w:rPr>
        <w:t xml:space="preserve">over </w:t>
      </w:r>
      <w:r w:rsidR="00A9655D">
        <w:rPr>
          <w:szCs w:val="24"/>
        </w:rPr>
        <w:t xml:space="preserve">the life of each issuance </w:t>
      </w:r>
      <w:r w:rsidR="001A0720" w:rsidRPr="004A212B">
        <w:rPr>
          <w:szCs w:val="24"/>
        </w:rPr>
        <w:t xml:space="preserve">retired </w:t>
      </w:r>
      <w:r w:rsidR="00811243" w:rsidRPr="004A212B">
        <w:rPr>
          <w:szCs w:val="24"/>
        </w:rPr>
        <w:t>during that twenty-year period</w:t>
      </w:r>
      <w:r w:rsidR="00A9655D">
        <w:rPr>
          <w:szCs w:val="24"/>
        </w:rPr>
        <w:t>,</w:t>
      </w:r>
      <w:r w:rsidR="00811243" w:rsidRPr="004A212B">
        <w:rPr>
          <w:szCs w:val="24"/>
        </w:rPr>
        <w:t xml:space="preserve"> </w:t>
      </w:r>
      <w:r w:rsidR="001A0720" w:rsidRPr="004A212B">
        <w:rPr>
          <w:szCs w:val="24"/>
        </w:rPr>
        <w:t>and to offset the overall cost of debt by the amortized am</w:t>
      </w:r>
      <w:r w:rsidR="00D33845" w:rsidRPr="004A212B">
        <w:rPr>
          <w:szCs w:val="24"/>
        </w:rPr>
        <w:t xml:space="preserve">ounts.  </w:t>
      </w:r>
    </w:p>
    <w:p w:rsidR="00E335A0" w:rsidRDefault="004A212B" w:rsidP="004A212B">
      <w:pPr>
        <w:pStyle w:val="BodyText"/>
        <w:numPr>
          <w:ilvl w:val="0"/>
          <w:numId w:val="5"/>
        </w:numPr>
        <w:spacing w:after="0" w:line="480" w:lineRule="auto"/>
        <w:jc w:val="left"/>
      </w:pPr>
      <w:r>
        <w:rPr>
          <w:rFonts w:eastAsiaTheme="minorHAnsi"/>
          <w:szCs w:val="24"/>
        </w:rPr>
        <w:tab/>
      </w:r>
      <w:r w:rsidR="00F47A41">
        <w:rPr>
          <w:rFonts w:eastAsiaTheme="minorHAnsi"/>
          <w:szCs w:val="24"/>
        </w:rPr>
        <w:t>T</w:t>
      </w:r>
      <w:r w:rsidR="001A0720">
        <w:rPr>
          <w:rFonts w:eastAsiaTheme="minorHAnsi"/>
          <w:szCs w:val="24"/>
        </w:rPr>
        <w:t xml:space="preserve">he utility challenged the commission’s order as unlawful retroactive ratemaking, arguing that </w:t>
      </w:r>
      <w:r w:rsidR="001C04BC">
        <w:rPr>
          <w:rFonts w:eastAsiaTheme="minorHAnsi"/>
          <w:szCs w:val="24"/>
        </w:rPr>
        <w:t xml:space="preserve">the commission was </w:t>
      </w:r>
      <w:r w:rsidR="00F47A41">
        <w:rPr>
          <w:rFonts w:eastAsiaTheme="minorHAnsi"/>
          <w:szCs w:val="24"/>
        </w:rPr>
        <w:t xml:space="preserve">denying shareholders </w:t>
      </w:r>
      <w:r w:rsidR="001C04BC">
        <w:rPr>
          <w:rFonts w:eastAsiaTheme="minorHAnsi"/>
          <w:szCs w:val="24"/>
        </w:rPr>
        <w:t>their “vested entitlement” to all gains</w:t>
      </w:r>
      <w:r w:rsidR="00F47A41">
        <w:rPr>
          <w:rFonts w:eastAsiaTheme="minorHAnsi"/>
          <w:szCs w:val="24"/>
        </w:rPr>
        <w:t xml:space="preserve"> realized prior to the test year that </w:t>
      </w:r>
      <w:r w:rsidR="001C04BC">
        <w:rPr>
          <w:rFonts w:eastAsiaTheme="minorHAnsi"/>
          <w:szCs w:val="24"/>
        </w:rPr>
        <w:t>the company had included in retained earnings under the then-a</w:t>
      </w:r>
      <w:r w:rsidR="00F47A41">
        <w:rPr>
          <w:rFonts w:eastAsiaTheme="minorHAnsi"/>
          <w:szCs w:val="24"/>
        </w:rPr>
        <w:t xml:space="preserve">ccepted method of accounting.  </w:t>
      </w:r>
      <w:r w:rsidR="001A0720">
        <w:rPr>
          <w:rFonts w:eastAsiaTheme="minorHAnsi"/>
          <w:szCs w:val="24"/>
        </w:rPr>
        <w:t xml:space="preserve">The court rejected </w:t>
      </w:r>
      <w:r w:rsidR="00811243">
        <w:rPr>
          <w:rFonts w:eastAsiaTheme="minorHAnsi"/>
          <w:szCs w:val="24"/>
        </w:rPr>
        <w:t>that argument, noting</w:t>
      </w:r>
      <w:r w:rsidR="001D0D49">
        <w:rPr>
          <w:rFonts w:eastAsiaTheme="minorHAnsi"/>
          <w:szCs w:val="24"/>
        </w:rPr>
        <w:t xml:space="preserve"> </w:t>
      </w:r>
      <w:r w:rsidR="001A0720">
        <w:rPr>
          <w:rFonts w:eastAsiaTheme="minorHAnsi"/>
          <w:szCs w:val="24"/>
        </w:rPr>
        <w:t xml:space="preserve">that ratepayers, </w:t>
      </w:r>
      <w:r w:rsidR="00A9655D">
        <w:rPr>
          <w:rFonts w:eastAsiaTheme="minorHAnsi"/>
          <w:szCs w:val="24"/>
        </w:rPr>
        <w:t xml:space="preserve">not </w:t>
      </w:r>
      <w:r w:rsidR="001A0720">
        <w:rPr>
          <w:rFonts w:eastAsiaTheme="minorHAnsi"/>
          <w:szCs w:val="24"/>
        </w:rPr>
        <w:t>shareholders, had been burdened with the payment of the income taxes on the realized gains, as well as the cost of financing new debt issued by the company to replace retired debt.</w:t>
      </w:r>
      <w:r w:rsidR="001A0720">
        <w:rPr>
          <w:rStyle w:val="FootnoteReference"/>
          <w:rFonts w:eastAsiaTheme="minorHAnsi"/>
          <w:szCs w:val="24"/>
        </w:rPr>
        <w:footnoteReference w:id="39"/>
      </w:r>
    </w:p>
    <w:p w:rsidR="00C33BF5" w:rsidRPr="002B3352" w:rsidRDefault="004A212B" w:rsidP="004A212B">
      <w:pPr>
        <w:pStyle w:val="BodyText"/>
        <w:numPr>
          <w:ilvl w:val="0"/>
          <w:numId w:val="5"/>
        </w:numPr>
        <w:spacing w:after="0" w:line="480" w:lineRule="auto"/>
        <w:jc w:val="left"/>
      </w:pPr>
      <w:r>
        <w:lastRenderedPageBreak/>
        <w:tab/>
      </w:r>
      <w:r w:rsidR="00B84F03">
        <w:t>In another case, a utility filed a general rate case in 1983 and the commission ordered th</w:t>
      </w:r>
      <w:r w:rsidR="00064403">
        <w:t xml:space="preserve">e company to list </w:t>
      </w:r>
      <w:r w:rsidR="00B84F03">
        <w:t>all investment t</w:t>
      </w:r>
      <w:r w:rsidR="00A9655D">
        <w:t xml:space="preserve">ax credits taken </w:t>
      </w:r>
      <w:r w:rsidR="00B84F03">
        <w:t>since 1971.</w:t>
      </w:r>
      <w:r w:rsidR="00B84F03">
        <w:rPr>
          <w:rStyle w:val="FootnoteReference"/>
        </w:rPr>
        <w:footnoteReference w:id="40"/>
      </w:r>
      <w:r w:rsidR="00B84F03">
        <w:t xml:space="preserve">  The commission then amortized each credit over the life of the property that produced the credit against federal income tax liability in the test year.</w:t>
      </w:r>
      <w:r w:rsidR="00256719">
        <w:t xml:space="preserve">  The </w:t>
      </w:r>
      <w:r w:rsidR="00811243">
        <w:t xml:space="preserve">utility </w:t>
      </w:r>
      <w:r w:rsidR="00064403">
        <w:t>alleged</w:t>
      </w:r>
      <w:r w:rsidR="00811243">
        <w:t xml:space="preserve"> unlawful </w:t>
      </w:r>
      <w:r w:rsidR="00256719">
        <w:t>retroactive ratemaking</w:t>
      </w:r>
      <w:r w:rsidR="00D669D7">
        <w:t xml:space="preserve"> and noted that </w:t>
      </w:r>
      <w:r w:rsidR="00256719">
        <w:t>the money saved from the tax credits over the 12-year period had already been spent on dividends to shareholders, other investments, or expenses.</w:t>
      </w:r>
      <w:r w:rsidR="005B57DB">
        <w:rPr>
          <w:rStyle w:val="FootnoteReference"/>
        </w:rPr>
        <w:footnoteReference w:id="41"/>
      </w:r>
      <w:r w:rsidR="00256719">
        <w:t xml:space="preserve">  The court rejected the argument, noting that in past years the utility had included in rate base all property that had produced the tax credits and sought a return on total rate base including </w:t>
      </w:r>
      <w:r w:rsidR="001D0D49">
        <w:t xml:space="preserve">the portion attributable to </w:t>
      </w:r>
      <w:r w:rsidR="00256719">
        <w:t xml:space="preserve">credits paid with </w:t>
      </w:r>
      <w:r w:rsidR="00811243">
        <w:t>ratepayer funds</w:t>
      </w:r>
      <w:r w:rsidR="00256719">
        <w:t>.  T</w:t>
      </w:r>
      <w:r w:rsidR="009B2B92">
        <w:t xml:space="preserve">hus, </w:t>
      </w:r>
      <w:r w:rsidR="00A9655D">
        <w:t>“the [c]</w:t>
      </w:r>
      <w:r w:rsidR="00256719">
        <w:t>ommission’s treatment does no more than to return to ratepa</w:t>
      </w:r>
      <w:r w:rsidR="00A9655D">
        <w:t>yers a portion of the customers’</w:t>
      </w:r>
      <w:r w:rsidR="00256719">
        <w:t xml:space="preserve"> [sic] funds to them.”</w:t>
      </w:r>
      <w:r w:rsidR="00256719">
        <w:rPr>
          <w:rStyle w:val="FootnoteReference"/>
        </w:rPr>
        <w:footnoteReference w:id="42"/>
      </w:r>
    </w:p>
    <w:p w:rsidR="00F7111C" w:rsidRDefault="004A212B" w:rsidP="004A212B">
      <w:pPr>
        <w:pStyle w:val="ListParagraph"/>
        <w:numPr>
          <w:ilvl w:val="0"/>
          <w:numId w:val="5"/>
        </w:numPr>
        <w:spacing w:line="480" w:lineRule="auto"/>
      </w:pPr>
      <w:r>
        <w:tab/>
      </w:r>
      <w:r w:rsidR="00256719">
        <w:t xml:space="preserve">As discussed in the next section, Staff’s recommendation </w:t>
      </w:r>
      <w:r w:rsidR="00064403">
        <w:t xml:space="preserve">in this case rests on a similar policy to ensure that ratepayers receive all of the benefits resulting from </w:t>
      </w:r>
      <w:r w:rsidR="00CB4C3D">
        <w:t xml:space="preserve">the costs of the WH </w:t>
      </w:r>
      <w:r w:rsidR="007C6547">
        <w:t>Project that ratepayers funded</w:t>
      </w:r>
      <w:r w:rsidR="00256719">
        <w:t>.</w:t>
      </w:r>
    </w:p>
    <w:p w:rsidR="007C6547" w:rsidRDefault="007C6547" w:rsidP="007C6547">
      <w:pPr>
        <w:ind w:left="720" w:hanging="720"/>
        <w:rPr>
          <w:rFonts w:cs="Times New Roman"/>
          <w:b/>
          <w:szCs w:val="24"/>
        </w:rPr>
      </w:pPr>
      <w:r w:rsidRPr="007C6547">
        <w:rPr>
          <w:b/>
        </w:rPr>
        <w:t>C.</w:t>
      </w:r>
      <w:r>
        <w:tab/>
      </w:r>
      <w:r>
        <w:rPr>
          <w:b/>
          <w:color w:val="000000"/>
          <w:szCs w:val="24"/>
        </w:rPr>
        <w:t>T</w:t>
      </w:r>
      <w:r>
        <w:rPr>
          <w:rFonts w:cs="Times New Roman"/>
          <w:b/>
          <w:szCs w:val="24"/>
        </w:rPr>
        <w:t xml:space="preserve">he </w:t>
      </w:r>
      <w:r w:rsidRPr="00C33BF5">
        <w:rPr>
          <w:rFonts w:cs="Times New Roman"/>
          <w:b/>
          <w:szCs w:val="24"/>
        </w:rPr>
        <w:t xml:space="preserve">Calculation of Interest on </w:t>
      </w:r>
      <w:r>
        <w:rPr>
          <w:rFonts w:cs="Times New Roman"/>
          <w:b/>
          <w:szCs w:val="24"/>
        </w:rPr>
        <w:t>the Treasury Grant from February 23, 2010</w:t>
      </w:r>
      <w:r w:rsidR="001C4A37">
        <w:rPr>
          <w:rFonts w:cs="Times New Roman"/>
          <w:b/>
          <w:szCs w:val="24"/>
        </w:rPr>
        <w:t>,</w:t>
      </w:r>
      <w:r>
        <w:rPr>
          <w:rFonts w:cs="Times New Roman"/>
          <w:b/>
          <w:szCs w:val="24"/>
        </w:rPr>
        <w:t xml:space="preserve"> Implements Important Public Policy</w:t>
      </w:r>
    </w:p>
    <w:p w:rsidR="007C6547" w:rsidRDefault="007C6547" w:rsidP="007C6547">
      <w:pPr>
        <w:ind w:left="720" w:hanging="720"/>
        <w:rPr>
          <w:rFonts w:cs="Times New Roman"/>
          <w:b/>
          <w:szCs w:val="24"/>
        </w:rPr>
      </w:pPr>
    </w:p>
    <w:p w:rsidR="007C6547" w:rsidRPr="004A212B" w:rsidRDefault="004A212B" w:rsidP="004A212B">
      <w:pPr>
        <w:pStyle w:val="ListParagraph"/>
        <w:numPr>
          <w:ilvl w:val="0"/>
          <w:numId w:val="5"/>
        </w:numPr>
        <w:spacing w:line="480" w:lineRule="auto"/>
        <w:rPr>
          <w:rFonts w:cs="Times New Roman"/>
          <w:b/>
          <w:szCs w:val="24"/>
        </w:rPr>
      </w:pPr>
      <w:r>
        <w:rPr>
          <w:szCs w:val="24"/>
        </w:rPr>
        <w:tab/>
      </w:r>
      <w:r w:rsidR="007C6547" w:rsidRPr="004A212B">
        <w:rPr>
          <w:szCs w:val="24"/>
        </w:rPr>
        <w:t>On October 27, 2009, in Docket UE-091702, PSE filed with the Commission pursuant to RCW 80.80.060(6) a notice of intent to defer costs associated with the WH Expan</w:t>
      </w:r>
      <w:r w:rsidR="00CB4C3D">
        <w:rPr>
          <w:szCs w:val="24"/>
        </w:rPr>
        <w:t xml:space="preserve">sion Project.  The WH </w:t>
      </w:r>
      <w:r w:rsidR="007C6547" w:rsidRPr="004A212B">
        <w:rPr>
          <w:szCs w:val="24"/>
        </w:rPr>
        <w:t xml:space="preserve">Project is a renewable resource </w:t>
      </w:r>
      <w:r w:rsidR="00E261BB" w:rsidRPr="004A212B">
        <w:rPr>
          <w:szCs w:val="24"/>
        </w:rPr>
        <w:t xml:space="preserve">that was </w:t>
      </w:r>
      <w:r w:rsidR="007C6547" w:rsidRPr="004A212B">
        <w:rPr>
          <w:szCs w:val="24"/>
        </w:rPr>
        <w:t xml:space="preserve">eligible </w:t>
      </w:r>
      <w:r w:rsidR="007C6547" w:rsidRPr="002B3352">
        <w:t>for deferral of costs under that statute.</w:t>
      </w:r>
      <w:r w:rsidR="00522375">
        <w:rPr>
          <w:rStyle w:val="FootnoteReference"/>
        </w:rPr>
        <w:footnoteReference w:id="43"/>
      </w:r>
    </w:p>
    <w:p w:rsidR="00A836A6" w:rsidRDefault="004A212B" w:rsidP="004A212B">
      <w:pPr>
        <w:pStyle w:val="BodyText"/>
        <w:numPr>
          <w:ilvl w:val="0"/>
          <w:numId w:val="5"/>
        </w:numPr>
        <w:spacing w:after="0" w:line="480" w:lineRule="auto"/>
        <w:jc w:val="left"/>
        <w:rPr>
          <w:szCs w:val="24"/>
        </w:rPr>
      </w:pPr>
      <w:r>
        <w:tab/>
      </w:r>
      <w:r w:rsidR="007C6547" w:rsidRPr="002B3352">
        <w:t xml:space="preserve">On April 2, 2010, the Commission issued Order 11 in </w:t>
      </w:r>
      <w:r w:rsidR="007C6547">
        <w:t xml:space="preserve">the Company’s 2009 general rate case, </w:t>
      </w:r>
      <w:r w:rsidR="007C6547" w:rsidRPr="002B3352">
        <w:t>Docket UE-090704</w:t>
      </w:r>
      <w:r w:rsidR="007C6547">
        <w:t>,</w:t>
      </w:r>
      <w:r w:rsidR="007C6547" w:rsidRPr="002B3352">
        <w:t xml:space="preserve"> determining that PSE’s acquisition of the WH </w:t>
      </w:r>
      <w:r w:rsidR="00CB4C3D">
        <w:t>P</w:t>
      </w:r>
      <w:r w:rsidR="007C6547" w:rsidRPr="002B3352">
        <w:t xml:space="preserve">roject was </w:t>
      </w:r>
      <w:r w:rsidR="007C6547" w:rsidRPr="002B3352">
        <w:lastRenderedPageBreak/>
        <w:t>prudent.</w:t>
      </w:r>
      <w:r w:rsidR="00E261BB">
        <w:rPr>
          <w:rStyle w:val="FootnoteReference"/>
        </w:rPr>
        <w:footnoteReference w:id="44"/>
      </w:r>
      <w:r w:rsidR="00261EC4">
        <w:t xml:space="preserve">  New rates then took effect April 8, 2010.  The</w:t>
      </w:r>
      <w:r w:rsidR="007C6547" w:rsidRPr="006B0244">
        <w:t xml:space="preserve"> rates included </w:t>
      </w:r>
      <w:r w:rsidR="007C6547">
        <w:t>recovery of</w:t>
      </w:r>
      <w:r w:rsidR="007C6547" w:rsidRPr="006B0244">
        <w:t xml:space="preserve"> </w:t>
      </w:r>
      <w:r w:rsidR="007C6547">
        <w:t xml:space="preserve">the following costs of the </w:t>
      </w:r>
      <w:r w:rsidR="00CB4C3D">
        <w:t xml:space="preserve">WH </w:t>
      </w:r>
      <w:r w:rsidR="007C6547" w:rsidRPr="006B0244">
        <w:t>Project</w:t>
      </w:r>
      <w:r w:rsidR="007C6547" w:rsidRPr="00FE277F">
        <w:t xml:space="preserve">: </w:t>
      </w:r>
      <w:r w:rsidR="007C6547">
        <w:t xml:space="preserve"> </w:t>
      </w:r>
      <w:r w:rsidR="00261EC4">
        <w:t>(1) c</w:t>
      </w:r>
      <w:r w:rsidR="007C6547" w:rsidRPr="00FE277F">
        <w:t xml:space="preserve">onstruction </w:t>
      </w:r>
      <w:r w:rsidR="00261EC4">
        <w:t>w</w:t>
      </w:r>
      <w:r w:rsidR="007C6547" w:rsidRPr="00FE277F">
        <w:t xml:space="preserve">ork in </w:t>
      </w:r>
      <w:r w:rsidR="00261EC4">
        <w:t>p</w:t>
      </w:r>
      <w:r w:rsidR="007C6547" w:rsidRPr="00FE277F">
        <w:t>rogress through September 200</w:t>
      </w:r>
      <w:r w:rsidR="007C6547">
        <w:t xml:space="preserve">9; </w:t>
      </w:r>
      <w:r w:rsidR="007C6547" w:rsidRPr="0056790A">
        <w:rPr>
          <w:szCs w:val="24"/>
        </w:rPr>
        <w:t xml:space="preserve">and </w:t>
      </w:r>
      <w:r w:rsidR="007C6547">
        <w:rPr>
          <w:szCs w:val="24"/>
        </w:rPr>
        <w:t xml:space="preserve">(2) </w:t>
      </w:r>
      <w:r w:rsidR="007C6547" w:rsidRPr="0056790A">
        <w:rPr>
          <w:szCs w:val="24"/>
        </w:rPr>
        <w:t xml:space="preserve">deferred costs </w:t>
      </w:r>
      <w:r w:rsidR="007C6547">
        <w:rPr>
          <w:szCs w:val="24"/>
        </w:rPr>
        <w:t>once</w:t>
      </w:r>
      <w:r w:rsidR="007C6547" w:rsidRPr="0056790A">
        <w:rPr>
          <w:szCs w:val="24"/>
        </w:rPr>
        <w:t xml:space="preserve"> the plant became operational </w:t>
      </w:r>
      <w:r w:rsidR="007C6547">
        <w:rPr>
          <w:szCs w:val="24"/>
        </w:rPr>
        <w:t xml:space="preserve">on </w:t>
      </w:r>
      <w:r w:rsidR="007C6547" w:rsidRPr="0056790A">
        <w:rPr>
          <w:szCs w:val="24"/>
        </w:rPr>
        <w:t>N</w:t>
      </w:r>
      <w:r w:rsidR="00261EC4">
        <w:rPr>
          <w:szCs w:val="24"/>
        </w:rPr>
        <w:t>ovember 9, 2009.</w:t>
      </w:r>
      <w:r w:rsidR="00522375">
        <w:rPr>
          <w:rStyle w:val="FootnoteReference"/>
          <w:szCs w:val="24"/>
        </w:rPr>
        <w:footnoteReference w:id="45"/>
      </w:r>
      <w:r w:rsidR="00522375">
        <w:rPr>
          <w:szCs w:val="24"/>
        </w:rPr>
        <w:t xml:space="preserve">  </w:t>
      </w:r>
    </w:p>
    <w:p w:rsidR="00261EC4" w:rsidRPr="00A05B87" w:rsidRDefault="00A05B87" w:rsidP="00A05B87">
      <w:pPr>
        <w:pStyle w:val="BodyText"/>
        <w:numPr>
          <w:ilvl w:val="0"/>
          <w:numId w:val="5"/>
        </w:numPr>
        <w:spacing w:after="0" w:line="480" w:lineRule="auto"/>
        <w:jc w:val="left"/>
        <w:rPr>
          <w:szCs w:val="24"/>
        </w:rPr>
      </w:pPr>
      <w:r>
        <w:rPr>
          <w:szCs w:val="24"/>
        </w:rPr>
        <w:tab/>
      </w:r>
      <w:r w:rsidR="00522375" w:rsidRPr="00A05B87">
        <w:rPr>
          <w:szCs w:val="24"/>
        </w:rPr>
        <w:t xml:space="preserve">Thus, </w:t>
      </w:r>
      <w:r w:rsidR="005C5948" w:rsidRPr="00A05B87">
        <w:rPr>
          <w:szCs w:val="24"/>
        </w:rPr>
        <w:t>ratepayers have provided all of the funds necessary for PSE to recover both the operatin</w:t>
      </w:r>
      <w:r w:rsidR="00CB4C3D" w:rsidRPr="00A05B87">
        <w:rPr>
          <w:szCs w:val="24"/>
        </w:rPr>
        <w:t xml:space="preserve">g expenses of the WH </w:t>
      </w:r>
      <w:r w:rsidR="005C5948" w:rsidRPr="00A05B87">
        <w:rPr>
          <w:szCs w:val="24"/>
        </w:rPr>
        <w:t>Project, and a return of and on the Company’s investm</w:t>
      </w:r>
      <w:r w:rsidR="00261EC4" w:rsidRPr="00A05B87">
        <w:rPr>
          <w:szCs w:val="24"/>
        </w:rPr>
        <w:t>ent in the</w:t>
      </w:r>
      <w:r w:rsidR="00CB4C3D" w:rsidRPr="00A05B87">
        <w:rPr>
          <w:szCs w:val="24"/>
        </w:rPr>
        <w:t xml:space="preserve"> WH </w:t>
      </w:r>
      <w:r w:rsidR="00261EC4" w:rsidRPr="00A05B87">
        <w:rPr>
          <w:szCs w:val="24"/>
        </w:rPr>
        <w:t>Project</w:t>
      </w:r>
      <w:r w:rsidR="005C5948" w:rsidRPr="00A05B87">
        <w:rPr>
          <w:szCs w:val="24"/>
        </w:rPr>
        <w:t xml:space="preserve">.  </w:t>
      </w:r>
      <w:r w:rsidR="00E261BB" w:rsidRPr="00A05B87">
        <w:rPr>
          <w:szCs w:val="24"/>
        </w:rPr>
        <w:t xml:space="preserve">Therefore, it is fair and reasonable for ratepayers to receive the full benefit of the Treasury Grant from the moment the grant </w:t>
      </w:r>
      <w:r w:rsidR="00CB4C3D" w:rsidRPr="00A05B87">
        <w:rPr>
          <w:szCs w:val="24"/>
        </w:rPr>
        <w:t xml:space="preserve">became available to PSE </w:t>
      </w:r>
      <w:r w:rsidR="00E261BB" w:rsidRPr="00A05B87">
        <w:rPr>
          <w:szCs w:val="24"/>
        </w:rPr>
        <w:t xml:space="preserve">on </w:t>
      </w:r>
      <w:smartTag w:uri="urn:schemas-microsoft-com:office:smarttags" w:element="date">
        <w:smartTagPr>
          <w:attr w:name="Year" w:val="2010"/>
          <w:attr w:name="Day" w:val="23"/>
          <w:attr w:name="Month" w:val="2"/>
          <w:attr w:name="ls" w:val="trans"/>
        </w:smartTagPr>
        <w:r w:rsidR="00E261BB" w:rsidRPr="00A05B87">
          <w:rPr>
            <w:szCs w:val="24"/>
          </w:rPr>
          <w:t>February 23, 2010</w:t>
        </w:r>
      </w:smartTag>
      <w:r w:rsidR="000B202A" w:rsidRPr="00A05B87">
        <w:rPr>
          <w:szCs w:val="24"/>
        </w:rPr>
        <w:t>.  T</w:t>
      </w:r>
      <w:r w:rsidR="00E261BB" w:rsidRPr="00A05B87">
        <w:rPr>
          <w:szCs w:val="24"/>
        </w:rPr>
        <w:t xml:space="preserve">hose </w:t>
      </w:r>
      <w:r w:rsidR="000B202A" w:rsidRPr="00A05B87">
        <w:rPr>
          <w:szCs w:val="24"/>
        </w:rPr>
        <w:t>benefits now</w:t>
      </w:r>
      <w:r w:rsidR="00E261BB" w:rsidRPr="00A05B87">
        <w:rPr>
          <w:szCs w:val="24"/>
        </w:rPr>
        <w:t xml:space="preserve"> include interest on the unamortized balance of the Treasury G</w:t>
      </w:r>
      <w:r w:rsidR="008F06A5" w:rsidRPr="00A05B87">
        <w:rPr>
          <w:szCs w:val="24"/>
        </w:rPr>
        <w:t xml:space="preserve">rant, calculated from that </w:t>
      </w:r>
      <w:r w:rsidR="000B202A" w:rsidRPr="00A05B87">
        <w:rPr>
          <w:szCs w:val="24"/>
        </w:rPr>
        <w:t xml:space="preserve">same </w:t>
      </w:r>
      <w:r w:rsidR="00E261BB" w:rsidRPr="00A05B87">
        <w:rPr>
          <w:szCs w:val="24"/>
        </w:rPr>
        <w:t>point of time, as proposed by Staff</w:t>
      </w:r>
      <w:r w:rsidR="008F06A5" w:rsidRPr="00A05B87">
        <w:rPr>
          <w:szCs w:val="24"/>
        </w:rPr>
        <w:t>.  Staff’s methodology</w:t>
      </w:r>
      <w:r w:rsidR="000B202A" w:rsidRPr="00A05B87">
        <w:rPr>
          <w:szCs w:val="24"/>
        </w:rPr>
        <w:t>, therefore, matches costs and benefits in accordance with</w:t>
      </w:r>
      <w:r w:rsidR="00E261BB" w:rsidRPr="00A05B87">
        <w:rPr>
          <w:szCs w:val="24"/>
        </w:rPr>
        <w:t xml:space="preserve"> fundam</w:t>
      </w:r>
      <w:r w:rsidR="000B202A" w:rsidRPr="00A05B87">
        <w:rPr>
          <w:szCs w:val="24"/>
        </w:rPr>
        <w:t>ental principles of ratemaking</w:t>
      </w:r>
      <w:r w:rsidR="00E261BB" w:rsidRPr="00A05B87">
        <w:rPr>
          <w:szCs w:val="24"/>
        </w:rPr>
        <w:t>.</w:t>
      </w:r>
      <w:r w:rsidR="00E261BB">
        <w:rPr>
          <w:rStyle w:val="FootnoteReference"/>
          <w:szCs w:val="24"/>
        </w:rPr>
        <w:footnoteReference w:id="46"/>
      </w:r>
      <w:r w:rsidR="008F06A5" w:rsidRPr="00A05B87">
        <w:rPr>
          <w:szCs w:val="24"/>
        </w:rPr>
        <w:t xml:space="preserve">  </w:t>
      </w:r>
    </w:p>
    <w:p w:rsidR="007C6547" w:rsidRPr="0066456C" w:rsidRDefault="00261EC4" w:rsidP="004A212B">
      <w:pPr>
        <w:pStyle w:val="BodyText"/>
        <w:numPr>
          <w:ilvl w:val="0"/>
          <w:numId w:val="5"/>
        </w:numPr>
        <w:spacing w:after="0" w:line="480" w:lineRule="auto"/>
        <w:jc w:val="left"/>
      </w:pPr>
      <w:r>
        <w:rPr>
          <w:szCs w:val="24"/>
        </w:rPr>
        <w:tab/>
      </w:r>
      <w:r w:rsidR="008F06A5" w:rsidRPr="0066456C">
        <w:rPr>
          <w:szCs w:val="24"/>
        </w:rPr>
        <w:t>In contrast, the C</w:t>
      </w:r>
      <w:r w:rsidR="000B202A">
        <w:rPr>
          <w:szCs w:val="24"/>
        </w:rPr>
        <w:t xml:space="preserve">ompany seeks </w:t>
      </w:r>
      <w:r w:rsidR="008F06A5" w:rsidRPr="0066456C">
        <w:rPr>
          <w:szCs w:val="24"/>
        </w:rPr>
        <w:t xml:space="preserve">to keep the return on </w:t>
      </w:r>
      <w:r w:rsidR="00CB4C3D">
        <w:rPr>
          <w:szCs w:val="24"/>
        </w:rPr>
        <w:t xml:space="preserve">the portion of the WH </w:t>
      </w:r>
      <w:r w:rsidR="008F06A5" w:rsidRPr="0066456C">
        <w:rPr>
          <w:szCs w:val="24"/>
        </w:rPr>
        <w:t>P</w:t>
      </w:r>
      <w:r w:rsidR="00E8758A">
        <w:rPr>
          <w:szCs w:val="24"/>
        </w:rPr>
        <w:t xml:space="preserve">roject investment that PSE </w:t>
      </w:r>
      <w:r w:rsidR="008F06A5" w:rsidRPr="0066456C">
        <w:rPr>
          <w:szCs w:val="24"/>
        </w:rPr>
        <w:t>was reimbursed by the federal government through the Treasury Grant</w:t>
      </w:r>
      <w:r w:rsidR="00E8758A">
        <w:rPr>
          <w:szCs w:val="24"/>
        </w:rPr>
        <w:t>, in addition to recoverin</w:t>
      </w:r>
      <w:r w:rsidR="00C23F36">
        <w:rPr>
          <w:szCs w:val="24"/>
        </w:rPr>
        <w:t xml:space="preserve">g all costs of the WH </w:t>
      </w:r>
      <w:r w:rsidR="00E8758A">
        <w:rPr>
          <w:szCs w:val="24"/>
        </w:rPr>
        <w:t>Project from the date the facility went into service on November 9, 2009</w:t>
      </w:r>
      <w:r w:rsidR="008F06A5" w:rsidRPr="0066456C">
        <w:rPr>
          <w:szCs w:val="24"/>
        </w:rPr>
        <w:t>.</w:t>
      </w:r>
      <w:r w:rsidR="00E8758A">
        <w:rPr>
          <w:szCs w:val="24"/>
        </w:rPr>
        <w:t xml:space="preserve">  In doing so, PSE’s proposal fails to match costs and benefits, in the favor of shareholders.</w:t>
      </w:r>
    </w:p>
    <w:p w:rsidR="007C6547" w:rsidRDefault="004A212B" w:rsidP="004A212B">
      <w:pPr>
        <w:pStyle w:val="ListParagraph"/>
        <w:numPr>
          <w:ilvl w:val="0"/>
          <w:numId w:val="5"/>
        </w:numPr>
        <w:spacing w:line="480" w:lineRule="auto"/>
      </w:pPr>
      <w:r>
        <w:tab/>
      </w:r>
      <w:r w:rsidR="008F06A5">
        <w:t xml:space="preserve">The Company </w:t>
      </w:r>
      <w:r w:rsidR="00B23DC7">
        <w:t>argues that Staff’s proposal is “extremely poor public policy” because it, allegedly, would “claw back” a previously filed tariff rate.</w:t>
      </w:r>
      <w:r w:rsidR="00B23DC7">
        <w:rPr>
          <w:rStyle w:val="FootnoteReference"/>
        </w:rPr>
        <w:footnoteReference w:id="47"/>
      </w:r>
      <w:r w:rsidR="00B23DC7">
        <w:t xml:space="preserve">  The argument rests on PSE’s misinterpretation of Section 1096 of NDAA and its failed allegation that Staff’s </w:t>
      </w:r>
      <w:r w:rsidR="00261EC4">
        <w:t xml:space="preserve">recommendation is </w:t>
      </w:r>
      <w:r w:rsidR="00B23DC7">
        <w:t>unlawful retroactive ratemaking.  Thus, the Company’s public policy attack on Staff lacks merit.</w:t>
      </w:r>
    </w:p>
    <w:p w:rsidR="00056DE9" w:rsidRDefault="004A212B" w:rsidP="004A212B">
      <w:pPr>
        <w:pStyle w:val="ListParagraph"/>
        <w:numPr>
          <w:ilvl w:val="0"/>
          <w:numId w:val="5"/>
        </w:numPr>
        <w:spacing w:line="480" w:lineRule="auto"/>
      </w:pPr>
      <w:r>
        <w:lastRenderedPageBreak/>
        <w:tab/>
      </w:r>
      <w:r w:rsidR="00B23DC7">
        <w:t>PSE supports its proposal by arguing that it expended considerable</w:t>
      </w:r>
      <w:r w:rsidR="00056DE9">
        <w:t xml:space="preserve"> time, </w:t>
      </w:r>
      <w:r w:rsidR="00B23DC7">
        <w:t xml:space="preserve">effort </w:t>
      </w:r>
      <w:r w:rsidR="00056DE9">
        <w:t xml:space="preserve">and money </w:t>
      </w:r>
      <w:r w:rsidR="00B23DC7">
        <w:t>working with Treasury and members of Congress to effect the change in the law that eliminated the requirement for normalization of Treasury grants.</w:t>
      </w:r>
      <w:r w:rsidR="00B23DC7">
        <w:rPr>
          <w:rStyle w:val="FootnoteReference"/>
        </w:rPr>
        <w:footnoteReference w:id="48"/>
      </w:r>
      <w:r w:rsidR="00056DE9">
        <w:t xml:space="preserve">  The Company should be commended for those efforts.  </w:t>
      </w:r>
    </w:p>
    <w:p w:rsidR="00B23DC7" w:rsidRDefault="004A212B" w:rsidP="004A212B">
      <w:pPr>
        <w:pStyle w:val="ListParagraph"/>
        <w:numPr>
          <w:ilvl w:val="0"/>
          <w:numId w:val="5"/>
        </w:numPr>
        <w:spacing w:line="480" w:lineRule="auto"/>
      </w:pPr>
      <w:r>
        <w:tab/>
      </w:r>
      <w:r w:rsidR="00056DE9">
        <w:t xml:space="preserve">However, </w:t>
      </w:r>
      <w:r w:rsidR="00030D43">
        <w:t xml:space="preserve">the Commission has established a public policy that </w:t>
      </w:r>
      <w:r w:rsidR="00056DE9">
        <w:t>expenditures for l</w:t>
      </w:r>
      <w:r w:rsidR="00030D43">
        <w:t xml:space="preserve">egislative activities </w:t>
      </w:r>
      <w:r w:rsidR="00056DE9">
        <w:t>are not allowed for ratemaking purposes.</w:t>
      </w:r>
      <w:r w:rsidR="00056DE9">
        <w:rPr>
          <w:rStyle w:val="FootnoteReference"/>
        </w:rPr>
        <w:footnoteReference w:id="49"/>
      </w:r>
      <w:r w:rsidR="00C23F36">
        <w:t xml:space="preserve">  PSE</w:t>
      </w:r>
      <w:r w:rsidR="00056DE9">
        <w:t xml:space="preserve">’s proposal to calculate interest on the Treasury Grant only from </w:t>
      </w:r>
      <w:r w:rsidR="003D1D01">
        <w:t>January 1, 2012 violates</w:t>
      </w:r>
      <w:r w:rsidR="00030D43">
        <w:t xml:space="preserve"> that public policy because it effectively a</w:t>
      </w:r>
      <w:r w:rsidR="00820A51">
        <w:t xml:space="preserve">llows PSE to recover </w:t>
      </w:r>
      <w:r w:rsidR="00030D43">
        <w:t xml:space="preserve">funds expended for legislative efforts </w:t>
      </w:r>
      <w:r w:rsidR="00820A51">
        <w:t xml:space="preserve">(in the form of a smaller Schedule 95A credit) </w:t>
      </w:r>
      <w:r w:rsidR="00030D43">
        <w:t xml:space="preserve">that it cannot </w:t>
      </w:r>
      <w:r w:rsidR="00261EC4">
        <w:t>otherwise collect</w:t>
      </w:r>
      <w:r w:rsidR="00030D43">
        <w:t xml:space="preserve"> in rates.  Moreover, the Company provided no evidence that the cost of its legislative activities, including time spent</w:t>
      </w:r>
      <w:r w:rsidR="00261EC4">
        <w:t xml:space="preserve"> by PSE employees, exceeded </w:t>
      </w:r>
      <w:r w:rsidR="00030D43">
        <w:t>overhead costs already recovered from ratepayers</w:t>
      </w:r>
      <w:r w:rsidR="00C23F36">
        <w:t xml:space="preserve"> in base rates</w:t>
      </w:r>
      <w:r w:rsidR="00030D43">
        <w:t xml:space="preserve">.  </w:t>
      </w:r>
      <w:r w:rsidR="00820A51">
        <w:t>Thus, no basis exists to “reward” the Company for its legislative efforts.</w:t>
      </w:r>
    </w:p>
    <w:p w:rsidR="00820A51" w:rsidRDefault="004A212B" w:rsidP="003D1D01">
      <w:pPr>
        <w:pStyle w:val="ListParagraph"/>
        <w:numPr>
          <w:ilvl w:val="0"/>
          <w:numId w:val="5"/>
        </w:numPr>
        <w:spacing w:line="480" w:lineRule="auto"/>
      </w:pPr>
      <w:r>
        <w:tab/>
      </w:r>
      <w:r w:rsidR="00030D43">
        <w:t xml:space="preserve">Finally, the Company argues that Staff’s recommendation imposes new </w:t>
      </w:r>
      <w:r w:rsidR="00C23F36">
        <w:t>“</w:t>
      </w:r>
      <w:r w:rsidR="00030D43">
        <w:t>burdens</w:t>
      </w:r>
      <w:r w:rsidR="00C23F36">
        <w:t>”</w:t>
      </w:r>
      <w:r w:rsidR="00030D43">
        <w:t xml:space="preserve"> on PSE because it would be required to pay customers a larger credit of the difference between the Company’s calculation of interest of $</w:t>
      </w:r>
      <w:r w:rsidR="00EA0D1D">
        <w:t>2.</w:t>
      </w:r>
      <w:r w:rsidR="00030D43">
        <w:t>4 million and Staff’s calculation of interest of $8 million.</w:t>
      </w:r>
      <w:r w:rsidR="00030D43">
        <w:rPr>
          <w:rStyle w:val="FootnoteReference"/>
        </w:rPr>
        <w:footnoteReference w:id="50"/>
      </w:r>
      <w:r w:rsidR="003D1D01">
        <w:t xml:space="preserve">  </w:t>
      </w:r>
      <w:r w:rsidR="00820A51">
        <w:t>However, what PSE characterizes as a “burden” is actually a denial of benef</w:t>
      </w:r>
      <w:r w:rsidR="00261EC4">
        <w:t>its for ratepayers.  PSE</w:t>
      </w:r>
      <w:r w:rsidR="00820A51">
        <w:t>’s</w:t>
      </w:r>
      <w:r w:rsidR="00261EC4">
        <w:t xml:space="preserve"> proposal would allow it to shift</w:t>
      </w:r>
      <w:r w:rsidR="00820A51">
        <w:t xml:space="preserve"> </w:t>
      </w:r>
      <w:r w:rsidR="00C23F36">
        <w:t xml:space="preserve">those </w:t>
      </w:r>
      <w:r w:rsidR="00261EC4">
        <w:t xml:space="preserve">benefits from </w:t>
      </w:r>
      <w:r w:rsidR="00820A51">
        <w:t>ratepayer</w:t>
      </w:r>
      <w:r w:rsidR="00C23F36">
        <w:t>s</w:t>
      </w:r>
      <w:r w:rsidR="00820A51">
        <w:t xml:space="preserve"> </w:t>
      </w:r>
      <w:r w:rsidR="00261EC4">
        <w:t xml:space="preserve">to </w:t>
      </w:r>
      <w:r w:rsidR="00820A51">
        <w:t>shareholders.  Staff</w:t>
      </w:r>
      <w:r w:rsidR="00261EC4">
        <w:t xml:space="preserve">’s proposal </w:t>
      </w:r>
      <w:r w:rsidR="00820A51">
        <w:t>properly returns those benefits to ratepayers.</w:t>
      </w:r>
    </w:p>
    <w:p w:rsidR="00E715B0" w:rsidRDefault="00E715B0" w:rsidP="00E715B0">
      <w:pPr>
        <w:pStyle w:val="ListParagraph"/>
        <w:spacing w:line="480" w:lineRule="auto"/>
        <w:ind w:left="0"/>
      </w:pPr>
      <w:r>
        <w:t>//</w:t>
      </w:r>
    </w:p>
    <w:p w:rsidR="00E715B0" w:rsidRDefault="00E715B0" w:rsidP="00E715B0">
      <w:pPr>
        <w:pStyle w:val="ListParagraph"/>
        <w:spacing w:line="480" w:lineRule="auto"/>
        <w:ind w:left="0"/>
      </w:pPr>
      <w:r>
        <w:t>//</w:t>
      </w:r>
    </w:p>
    <w:p w:rsidR="00C23F36" w:rsidRPr="00C23F36" w:rsidRDefault="00F47A41" w:rsidP="00F47A41">
      <w:pPr>
        <w:pStyle w:val="ListParagraph"/>
        <w:spacing w:line="480" w:lineRule="auto"/>
        <w:ind w:left="0"/>
        <w:jc w:val="center"/>
        <w:rPr>
          <w:b/>
        </w:rPr>
      </w:pPr>
      <w:r>
        <w:rPr>
          <w:b/>
        </w:rPr>
        <w:lastRenderedPageBreak/>
        <w:t>I</w:t>
      </w:r>
      <w:r w:rsidR="00C23F36" w:rsidRPr="00C23F36">
        <w:rPr>
          <w:b/>
        </w:rPr>
        <w:t>II.</w:t>
      </w:r>
      <w:r w:rsidR="00C23F36" w:rsidRPr="00C23F36">
        <w:rPr>
          <w:b/>
        </w:rPr>
        <w:tab/>
        <w:t>CONCLUSION</w:t>
      </w:r>
    </w:p>
    <w:p w:rsidR="00820A51" w:rsidRDefault="004A212B" w:rsidP="004A212B">
      <w:pPr>
        <w:pStyle w:val="ListParagraph"/>
        <w:numPr>
          <w:ilvl w:val="0"/>
          <w:numId w:val="5"/>
        </w:numPr>
        <w:spacing w:line="480" w:lineRule="auto"/>
      </w:pPr>
      <w:r>
        <w:tab/>
      </w:r>
      <w:r w:rsidR="00820A51">
        <w:t>For the reasons set forth above, the Commission should adopt the Staff recommendation in this proceeding.  Staff’s recommendation is lawful</w:t>
      </w:r>
      <w:r w:rsidR="00032477">
        <w:t>,</w:t>
      </w:r>
      <w:r w:rsidR="00820A51">
        <w:t xml:space="preserve"> and supported by important public policy</w:t>
      </w:r>
      <w:r w:rsidR="00032477">
        <w:t xml:space="preserve"> and sound principles of ratemaking</w:t>
      </w:r>
      <w:bookmarkStart w:id="0" w:name="_GoBack"/>
      <w:bookmarkEnd w:id="0"/>
      <w:r w:rsidR="00820A51">
        <w:t>.</w:t>
      </w:r>
    </w:p>
    <w:p w:rsidR="00E012A8" w:rsidRPr="00B16752" w:rsidRDefault="00E012A8" w:rsidP="00E012A8">
      <w:pPr>
        <w:ind w:left="720"/>
      </w:pPr>
      <w:r w:rsidRPr="00B16752">
        <w:t>DATE</w:t>
      </w:r>
      <w:r>
        <w:t xml:space="preserve">D this </w:t>
      </w:r>
      <w:r w:rsidR="004A212B">
        <w:t>4</w:t>
      </w:r>
      <w:r w:rsidR="004A212B" w:rsidRPr="004A212B">
        <w:rPr>
          <w:vertAlign w:val="superscript"/>
        </w:rPr>
        <w:t>th</w:t>
      </w:r>
      <w:r w:rsidR="004A212B">
        <w:t xml:space="preserve"> </w:t>
      </w:r>
      <w:r>
        <w:t xml:space="preserve">day of </w:t>
      </w:r>
      <w:r w:rsidR="004A212B">
        <w:t xml:space="preserve">May </w:t>
      </w:r>
      <w:r w:rsidRPr="00B16752">
        <w:t>20</w:t>
      </w:r>
      <w:r>
        <w:t>12</w:t>
      </w:r>
      <w:r w:rsidRPr="00B16752">
        <w:t>.</w:t>
      </w:r>
    </w:p>
    <w:p w:rsidR="00E012A8" w:rsidRPr="00B16752" w:rsidRDefault="00E012A8" w:rsidP="00E012A8">
      <w:pPr>
        <w:pStyle w:val="BodyTextIndent2"/>
        <w:ind w:left="0"/>
      </w:pPr>
    </w:p>
    <w:p w:rsidR="00E012A8" w:rsidRDefault="00E012A8" w:rsidP="00E012A8">
      <w:pPr>
        <w:ind w:left="4320"/>
        <w:jc w:val="both"/>
      </w:pPr>
      <w:r>
        <w:t xml:space="preserve">Respectfully submitted, </w:t>
      </w:r>
    </w:p>
    <w:p w:rsidR="00E012A8" w:rsidRDefault="00E012A8" w:rsidP="00E012A8">
      <w:pPr>
        <w:ind w:left="4320"/>
        <w:jc w:val="both"/>
      </w:pPr>
    </w:p>
    <w:p w:rsidR="00E012A8" w:rsidRPr="00B16752" w:rsidRDefault="00E012A8" w:rsidP="00E012A8">
      <w:pPr>
        <w:ind w:left="4320"/>
        <w:jc w:val="both"/>
      </w:pPr>
      <w:r w:rsidRPr="00B16752">
        <w:t xml:space="preserve">ROBERT M. MCKENNA </w:t>
      </w:r>
    </w:p>
    <w:p w:rsidR="00E012A8" w:rsidRPr="00B16752" w:rsidRDefault="00E012A8" w:rsidP="00E012A8">
      <w:pPr>
        <w:ind w:left="4320"/>
        <w:jc w:val="both"/>
      </w:pPr>
      <w:r w:rsidRPr="00B16752">
        <w:t>Attorney General</w:t>
      </w:r>
    </w:p>
    <w:p w:rsidR="00E012A8" w:rsidRDefault="00E012A8" w:rsidP="00E012A8">
      <w:pPr>
        <w:ind w:left="4320"/>
        <w:jc w:val="both"/>
      </w:pPr>
    </w:p>
    <w:p w:rsidR="00E012A8" w:rsidRDefault="00E012A8" w:rsidP="00E012A8">
      <w:pPr>
        <w:ind w:left="4320"/>
        <w:jc w:val="both"/>
      </w:pPr>
    </w:p>
    <w:p w:rsidR="00E012A8" w:rsidRPr="00B16752" w:rsidRDefault="00E012A8" w:rsidP="00E012A8">
      <w:pPr>
        <w:ind w:left="4320"/>
        <w:jc w:val="both"/>
      </w:pPr>
    </w:p>
    <w:p w:rsidR="00E012A8" w:rsidRDefault="00E012A8" w:rsidP="00E012A8">
      <w:pPr>
        <w:ind w:left="4320"/>
        <w:jc w:val="both"/>
      </w:pPr>
      <w:r>
        <w:t>______________________________________</w:t>
      </w:r>
    </w:p>
    <w:p w:rsidR="00E012A8" w:rsidRPr="00B16752" w:rsidRDefault="004A212B" w:rsidP="00E012A8">
      <w:pPr>
        <w:ind w:left="4320"/>
        <w:jc w:val="both"/>
      </w:pPr>
      <w:r>
        <w:t xml:space="preserve">ROBERT D. CEDARBAUM </w:t>
      </w:r>
    </w:p>
    <w:p w:rsidR="00E012A8" w:rsidRPr="00B16752" w:rsidRDefault="00E012A8" w:rsidP="00E012A8">
      <w:pPr>
        <w:ind w:left="4320"/>
        <w:jc w:val="both"/>
      </w:pPr>
      <w:r w:rsidRPr="00B16752">
        <w:t>Assistant Attorney General</w:t>
      </w:r>
    </w:p>
    <w:p w:rsidR="00E012A8" w:rsidRPr="00B16752" w:rsidRDefault="00E012A8" w:rsidP="00E012A8">
      <w:pPr>
        <w:ind w:left="4320"/>
        <w:jc w:val="both"/>
      </w:pPr>
      <w:r w:rsidRPr="00B16752">
        <w:t xml:space="preserve">Counsel for </w:t>
      </w:r>
      <w:smartTag w:uri="urn:schemas-microsoft-com:office:smarttags" w:element="place">
        <w:smartTag w:uri="urn:schemas-microsoft-com:office:smarttags" w:element="State">
          <w:r w:rsidRPr="00B16752">
            <w:t>Washington</w:t>
          </w:r>
        </w:smartTag>
      </w:smartTag>
      <w:r w:rsidRPr="00B16752">
        <w:t xml:space="preserve"> Utilities and</w:t>
      </w:r>
    </w:p>
    <w:p w:rsidR="00E012A8" w:rsidRPr="00B16752" w:rsidRDefault="00E012A8" w:rsidP="00E012A8">
      <w:pPr>
        <w:ind w:left="4320"/>
        <w:jc w:val="both"/>
      </w:pPr>
      <w:r w:rsidRPr="00B16752">
        <w:t>Transportation Commission Staff</w:t>
      </w:r>
    </w:p>
    <w:p w:rsidR="00E012A8" w:rsidRPr="00B16752" w:rsidRDefault="00E012A8" w:rsidP="00E012A8">
      <w:pPr>
        <w:spacing w:line="480" w:lineRule="auto"/>
      </w:pPr>
    </w:p>
    <w:p w:rsidR="00E012A8" w:rsidRPr="007C6547" w:rsidRDefault="00E012A8" w:rsidP="00E012A8"/>
    <w:sectPr w:rsidR="00E012A8" w:rsidRPr="007C6547" w:rsidSect="00822067">
      <w:pgSz w:w="12240" w:h="15840"/>
      <w:pgMar w:top="144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4BC" w:rsidRDefault="001C04BC" w:rsidP="00CD4228">
      <w:r>
        <w:separator/>
      </w:r>
    </w:p>
  </w:endnote>
  <w:endnote w:type="continuationSeparator" w:id="0">
    <w:p w:rsidR="001C04BC" w:rsidRDefault="001C04BC" w:rsidP="00CD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BC" w:rsidRPr="00822067" w:rsidRDefault="001C04BC">
    <w:pPr>
      <w:pStyle w:val="Footer"/>
      <w:rPr>
        <w:sz w:val="20"/>
        <w:szCs w:val="20"/>
      </w:rPr>
    </w:pPr>
  </w:p>
  <w:p w:rsidR="001C04BC" w:rsidRPr="00822067" w:rsidRDefault="001C04BC">
    <w:pPr>
      <w:pStyle w:val="Footer"/>
      <w:rPr>
        <w:sz w:val="20"/>
        <w:szCs w:val="20"/>
      </w:rPr>
    </w:pPr>
    <w:r w:rsidRPr="00822067">
      <w:rPr>
        <w:sz w:val="20"/>
        <w:szCs w:val="20"/>
      </w:rPr>
      <w:t xml:space="preserve">STAFF RESPONSE BRIEF - </w:t>
    </w:r>
    <w:r w:rsidRPr="00822067">
      <w:rPr>
        <w:rStyle w:val="PageNumber"/>
        <w:sz w:val="20"/>
        <w:szCs w:val="20"/>
      </w:rPr>
      <w:fldChar w:fldCharType="begin"/>
    </w:r>
    <w:r w:rsidRPr="00822067">
      <w:rPr>
        <w:rStyle w:val="PageNumber"/>
        <w:sz w:val="20"/>
        <w:szCs w:val="20"/>
      </w:rPr>
      <w:instrText xml:space="preserve"> PAGE </w:instrText>
    </w:r>
    <w:r w:rsidRPr="00822067">
      <w:rPr>
        <w:rStyle w:val="PageNumber"/>
        <w:sz w:val="20"/>
        <w:szCs w:val="20"/>
      </w:rPr>
      <w:fldChar w:fldCharType="separate"/>
    </w:r>
    <w:r w:rsidR="00032477">
      <w:rPr>
        <w:rStyle w:val="PageNumber"/>
        <w:noProof/>
        <w:sz w:val="20"/>
        <w:szCs w:val="20"/>
      </w:rPr>
      <w:t>15</w:t>
    </w:r>
    <w:r w:rsidRPr="00822067">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4BC" w:rsidRDefault="001C04BC" w:rsidP="00CD4228">
      <w:r>
        <w:separator/>
      </w:r>
    </w:p>
  </w:footnote>
  <w:footnote w:type="continuationSeparator" w:id="0">
    <w:p w:rsidR="001C04BC" w:rsidRDefault="001C04BC" w:rsidP="00CD4228">
      <w:r>
        <w:continuationSeparator/>
      </w:r>
    </w:p>
  </w:footnote>
  <w:footnote w:id="1">
    <w:p w:rsidR="001C04BC" w:rsidRDefault="001C04BC" w:rsidP="009D1633">
      <w:pPr>
        <w:pStyle w:val="FootnoteText"/>
      </w:pPr>
      <w:r>
        <w:rPr>
          <w:rStyle w:val="FootnoteReference"/>
        </w:rPr>
        <w:footnoteRef/>
      </w:r>
      <w:r w:rsidRPr="006C3DDF">
        <w:rPr>
          <w:szCs w:val="24"/>
        </w:rPr>
        <w:t xml:space="preserve">The </w:t>
      </w:r>
      <w:r>
        <w:rPr>
          <w:szCs w:val="24"/>
        </w:rPr>
        <w:t>Company’s calculation of</w:t>
      </w:r>
      <w:r w:rsidRPr="006C3DDF">
        <w:rPr>
          <w:szCs w:val="24"/>
        </w:rPr>
        <w:t xml:space="preserve"> $2,405,683 of interest </w:t>
      </w:r>
      <w:r>
        <w:rPr>
          <w:szCs w:val="24"/>
        </w:rPr>
        <w:t xml:space="preserve">is </w:t>
      </w:r>
      <w:r w:rsidRPr="006C3DDF">
        <w:rPr>
          <w:szCs w:val="24"/>
        </w:rPr>
        <w:t xml:space="preserve">based on the average unamortized balance of the Treasury </w:t>
      </w:r>
      <w:r>
        <w:rPr>
          <w:szCs w:val="24"/>
        </w:rPr>
        <w:t>G</w:t>
      </w:r>
      <w:r w:rsidRPr="006C3DDF">
        <w:rPr>
          <w:szCs w:val="24"/>
        </w:rPr>
        <w:t xml:space="preserve">rant for the </w:t>
      </w:r>
      <w:r>
        <w:rPr>
          <w:szCs w:val="24"/>
        </w:rPr>
        <w:t>calendar year 2012,</w:t>
      </w:r>
      <w:r w:rsidRPr="006C3DDF">
        <w:rPr>
          <w:szCs w:val="24"/>
        </w:rPr>
        <w:t xml:space="preserve"> times 6.9 percent, the net of tax overall rate of return from the </w:t>
      </w:r>
      <w:r>
        <w:rPr>
          <w:szCs w:val="24"/>
        </w:rPr>
        <w:t xml:space="preserve">Company’s 2009 general rate case, </w:t>
      </w:r>
      <w:r w:rsidRPr="002B3352">
        <w:t>grossed up for income taxes and revenue sensitive items</w:t>
      </w:r>
      <w:r>
        <w:t>.  Stipulation of Facts at ¶ 18.</w:t>
      </w:r>
    </w:p>
  </w:footnote>
  <w:footnote w:id="2">
    <w:p w:rsidR="001C04BC" w:rsidRPr="00656848" w:rsidRDefault="001C04BC" w:rsidP="00656848">
      <w:pPr>
        <w:pStyle w:val="BodyText"/>
        <w:spacing w:after="0"/>
        <w:jc w:val="left"/>
        <w:rPr>
          <w:sz w:val="20"/>
        </w:rPr>
      </w:pPr>
      <w:r w:rsidRPr="009D1633">
        <w:rPr>
          <w:rStyle w:val="FootnoteReference"/>
          <w:sz w:val="20"/>
        </w:rPr>
        <w:footnoteRef/>
      </w:r>
      <w:r w:rsidRPr="009D1633">
        <w:rPr>
          <w:sz w:val="20"/>
        </w:rPr>
        <w:t xml:space="preserve"> Staff's calculation of interest is $7,994,310 based on the average unamortized balance of the Treasury Grant for the period February 23, 2010 through December 31, 2012, times the net of tax overall rates of return from the Company’s 2009 GRC (6.9 percent) and 2007 general rate case (7.0 percent), grossed up for income taxes and revenue sensitive items.</w:t>
      </w:r>
      <w:r>
        <w:rPr>
          <w:sz w:val="20"/>
        </w:rPr>
        <w:t xml:space="preserve">  </w:t>
      </w:r>
      <w:r w:rsidRPr="009D1633">
        <w:rPr>
          <w:sz w:val="20"/>
        </w:rPr>
        <w:t>Stipulation of Facts at ¶ 19.</w:t>
      </w:r>
      <w:r>
        <w:rPr>
          <w:sz w:val="20"/>
        </w:rPr>
        <w:t xml:space="preserve">  The 7.0 percent net of tax overall rate of return from the 2007 general rate case is applied only from February 23, 2010 through April 8, 2010, the effective date of rates from the 2009 general rate case.  </w:t>
      </w:r>
      <w:r w:rsidRPr="009D1633">
        <w:rPr>
          <w:sz w:val="20"/>
        </w:rPr>
        <w:t>Stipulation of Facts at ¶</w:t>
      </w:r>
      <w:r>
        <w:rPr>
          <w:sz w:val="20"/>
        </w:rPr>
        <w:t xml:space="preserve"> 23.</w:t>
      </w:r>
    </w:p>
  </w:footnote>
  <w:footnote w:id="3">
    <w:p w:rsidR="001C04BC" w:rsidRDefault="001C04BC">
      <w:pPr>
        <w:pStyle w:val="FootnoteText"/>
      </w:pPr>
      <w:r>
        <w:rPr>
          <w:rStyle w:val="FootnoteReference"/>
        </w:rPr>
        <w:footnoteRef/>
      </w:r>
      <w:r>
        <w:t xml:space="preserve"> </w:t>
      </w:r>
      <w:r w:rsidRPr="009D1633">
        <w:t>Stipulation of Facts at ¶</w:t>
      </w:r>
      <w:r>
        <w:t xml:space="preserve"> 1.  American Recovery and Reinvestment Act of 2009, Pub. L. No. 111-5, Div. B, tit. I, § 1603, 123 Stat. 115, 364 (February 17, 2009).</w:t>
      </w:r>
    </w:p>
  </w:footnote>
  <w:footnote w:id="4">
    <w:p w:rsidR="001C04BC" w:rsidRDefault="001C04BC">
      <w:pPr>
        <w:pStyle w:val="FootnoteText"/>
      </w:pPr>
      <w:r>
        <w:rPr>
          <w:rStyle w:val="FootnoteReference"/>
        </w:rPr>
        <w:footnoteRef/>
      </w:r>
      <w:r>
        <w:t xml:space="preserve"> </w:t>
      </w:r>
      <w:r w:rsidRPr="009D1633">
        <w:t>Stipulation of Facts at ¶</w:t>
      </w:r>
      <w:r>
        <w:t xml:space="preserve"> 9.</w:t>
      </w:r>
    </w:p>
  </w:footnote>
  <w:footnote w:id="5">
    <w:p w:rsidR="001C04BC" w:rsidRDefault="001C04BC">
      <w:pPr>
        <w:pStyle w:val="FootnoteText"/>
      </w:pPr>
      <w:r>
        <w:rPr>
          <w:rStyle w:val="FootnoteReference"/>
        </w:rPr>
        <w:footnoteRef/>
      </w:r>
      <w:r>
        <w:t xml:space="preserve"> </w:t>
      </w:r>
      <w:r w:rsidRPr="009D1633">
        <w:t>Stipulation of Facts at ¶</w:t>
      </w:r>
      <w:r>
        <w:t xml:space="preserve"> 10.</w:t>
      </w:r>
    </w:p>
  </w:footnote>
  <w:footnote w:id="6">
    <w:p w:rsidR="001C04BC" w:rsidRDefault="001C04BC">
      <w:pPr>
        <w:pStyle w:val="FootnoteText"/>
      </w:pPr>
      <w:r>
        <w:rPr>
          <w:rStyle w:val="FootnoteReference"/>
        </w:rPr>
        <w:footnoteRef/>
      </w:r>
      <w:r>
        <w:t xml:space="preserve"> </w:t>
      </w:r>
      <w:r w:rsidRPr="009D1633">
        <w:t>Stipulation of Facts at ¶¶</w:t>
      </w:r>
      <w:r>
        <w:t xml:space="preserve"> 2-4.</w:t>
      </w:r>
    </w:p>
  </w:footnote>
  <w:footnote w:id="7">
    <w:p w:rsidR="001C04BC" w:rsidRDefault="001C04BC">
      <w:pPr>
        <w:pStyle w:val="FootnoteText"/>
      </w:pPr>
      <w:r>
        <w:rPr>
          <w:rStyle w:val="FootnoteReference"/>
        </w:rPr>
        <w:footnoteRef/>
      </w:r>
      <w:r>
        <w:t xml:space="preserve"> </w:t>
      </w:r>
      <w:r w:rsidRPr="009D1633">
        <w:t>Stipulation of Facts at ¶</w:t>
      </w:r>
      <w:r>
        <w:t xml:space="preserve"> 5.</w:t>
      </w:r>
    </w:p>
  </w:footnote>
  <w:footnote w:id="8">
    <w:p w:rsidR="001C04BC" w:rsidRDefault="001C04BC">
      <w:pPr>
        <w:pStyle w:val="FootnoteText"/>
      </w:pPr>
      <w:r>
        <w:rPr>
          <w:rStyle w:val="FootnoteReference"/>
        </w:rPr>
        <w:footnoteRef/>
      </w:r>
      <w:r>
        <w:t xml:space="preserve"> </w:t>
      </w:r>
      <w:r w:rsidRPr="009D1633">
        <w:t>Stipulation of Facts at ¶</w:t>
      </w:r>
      <w:r>
        <w:t xml:space="preserve"> 5.</w:t>
      </w:r>
    </w:p>
  </w:footnote>
  <w:footnote w:id="9">
    <w:p w:rsidR="001C04BC" w:rsidRDefault="001C04BC">
      <w:pPr>
        <w:pStyle w:val="FootnoteText"/>
      </w:pPr>
      <w:r>
        <w:rPr>
          <w:rStyle w:val="FootnoteReference"/>
        </w:rPr>
        <w:footnoteRef/>
      </w:r>
      <w:r>
        <w:t xml:space="preserve"> </w:t>
      </w:r>
      <w:r w:rsidRPr="00314A39">
        <w:rPr>
          <w:i/>
        </w:rPr>
        <w:t>In the Matter of the Petition of Puget Sound Energy, Inc. for an Accounting Order Regarding the Treatment of U.S. Treasury Grant to be Received Under Section 1603 of the American Recovery and Reinvestment Act of 2009 Associated with the Wild Horse Expansion Project</w:t>
      </w:r>
      <w:r>
        <w:t>, Docket UE-091570, Order 01 (December 10, 2009).</w:t>
      </w:r>
    </w:p>
  </w:footnote>
  <w:footnote w:id="10">
    <w:p w:rsidR="001C04BC" w:rsidRDefault="001C04BC" w:rsidP="00473B35">
      <w:pPr>
        <w:pStyle w:val="FootnoteText"/>
      </w:pPr>
      <w:r>
        <w:rPr>
          <w:rStyle w:val="FootnoteReference"/>
        </w:rPr>
        <w:footnoteRef/>
      </w:r>
      <w:r>
        <w:t xml:space="preserve"> </w:t>
      </w:r>
      <w:r w:rsidRPr="00657524">
        <w:rPr>
          <w:i/>
        </w:rPr>
        <w:t>Id</w:t>
      </w:r>
      <w:r>
        <w:t xml:space="preserve">. at </w:t>
      </w:r>
      <w:r w:rsidRPr="009D1633">
        <w:t>¶¶</w:t>
      </w:r>
      <w:r>
        <w:t xml:space="preserve"> 3 and 14.</w:t>
      </w:r>
    </w:p>
  </w:footnote>
  <w:footnote w:id="11">
    <w:p w:rsidR="001C04BC" w:rsidRDefault="001C04BC" w:rsidP="00473B35">
      <w:pPr>
        <w:pStyle w:val="FootnoteText"/>
      </w:pPr>
      <w:r>
        <w:rPr>
          <w:rStyle w:val="FootnoteReference"/>
        </w:rPr>
        <w:footnoteRef/>
      </w:r>
      <w:r>
        <w:t xml:space="preserve"> </w:t>
      </w:r>
      <w:r w:rsidRPr="009D1633">
        <w:t>Stipulation of Facts at ¶</w:t>
      </w:r>
      <w:r>
        <w:t xml:space="preserve"> 16.</w:t>
      </w:r>
    </w:p>
  </w:footnote>
  <w:footnote w:id="12">
    <w:p w:rsidR="001C04BC" w:rsidRDefault="001C04BC">
      <w:pPr>
        <w:pStyle w:val="FootnoteText"/>
      </w:pPr>
      <w:r>
        <w:rPr>
          <w:rStyle w:val="FootnoteReference"/>
        </w:rPr>
        <w:footnoteRef/>
      </w:r>
      <w:r>
        <w:t xml:space="preserve"> </w:t>
      </w:r>
      <w:r w:rsidRPr="009D1633">
        <w:t>Stipulation of Facts at ¶</w:t>
      </w:r>
      <w:r>
        <w:t xml:space="preserve"> 6.  Section 1096 of the National Defense Authorization Act for Fiscal Year 2012, H.R. 1540, 112</w:t>
      </w:r>
      <w:r w:rsidRPr="000D7663">
        <w:rPr>
          <w:vertAlign w:val="superscript"/>
        </w:rPr>
        <w:t>th</w:t>
      </w:r>
      <w:r>
        <w:t xml:space="preserve"> Congress, 1</w:t>
      </w:r>
      <w:r w:rsidRPr="000D7663">
        <w:rPr>
          <w:vertAlign w:val="superscript"/>
        </w:rPr>
        <w:t>st</w:t>
      </w:r>
      <w:r>
        <w:t xml:space="preserve"> Session.</w:t>
      </w:r>
    </w:p>
  </w:footnote>
  <w:footnote w:id="13">
    <w:p w:rsidR="001C04BC" w:rsidRDefault="001C04BC" w:rsidP="00D108F5">
      <w:r w:rsidRPr="00521C4E">
        <w:rPr>
          <w:rStyle w:val="FootnoteReference"/>
          <w:sz w:val="20"/>
          <w:szCs w:val="20"/>
        </w:rPr>
        <w:footnoteRef/>
      </w:r>
      <w:r w:rsidRPr="00521C4E">
        <w:rPr>
          <w:sz w:val="20"/>
          <w:szCs w:val="20"/>
        </w:rPr>
        <w:t xml:space="preserve"> </w:t>
      </w:r>
      <w:r w:rsidRPr="00521C4E">
        <w:rPr>
          <w:i/>
          <w:sz w:val="20"/>
          <w:szCs w:val="20"/>
        </w:rPr>
        <w:t>Reves v. Ernst &amp; Young</w:t>
      </w:r>
      <w:r w:rsidRPr="00521C4E">
        <w:rPr>
          <w:sz w:val="20"/>
          <w:szCs w:val="20"/>
        </w:rPr>
        <w:t xml:space="preserve">, 507 U.S. 170, 177 (1993).  Washington courts take a similar approach to statutory construction.  </w:t>
      </w:r>
      <w:r w:rsidRPr="00521C4E">
        <w:rPr>
          <w:i/>
          <w:sz w:val="20"/>
          <w:szCs w:val="20"/>
        </w:rPr>
        <w:t>Tracfone Wireless, Inc. v. Dep’t of Revenue</w:t>
      </w:r>
      <w:r w:rsidRPr="00521C4E">
        <w:rPr>
          <w:sz w:val="20"/>
          <w:szCs w:val="20"/>
        </w:rPr>
        <w:t>, 170 Wn.2d 273, 281, 242 P.3d 810 (2010)</w:t>
      </w:r>
      <w:r>
        <w:rPr>
          <w:sz w:val="20"/>
          <w:szCs w:val="20"/>
        </w:rPr>
        <w:t xml:space="preserve"> (</w:t>
      </w:r>
      <w:r w:rsidRPr="00521C4E">
        <w:rPr>
          <w:sz w:val="20"/>
          <w:szCs w:val="20"/>
        </w:rPr>
        <w:t>“If the statute’s meaning is plain on its face, we give effect to that plain meaning as the ex</w:t>
      </w:r>
      <w:r>
        <w:rPr>
          <w:sz w:val="20"/>
          <w:szCs w:val="20"/>
        </w:rPr>
        <w:t>pression of what was intended.”)</w:t>
      </w:r>
    </w:p>
  </w:footnote>
  <w:footnote w:id="14">
    <w:p w:rsidR="001C04BC" w:rsidRDefault="001C04BC" w:rsidP="00D108F5">
      <w:pPr>
        <w:pStyle w:val="FootnoteText"/>
      </w:pPr>
      <w:r>
        <w:rPr>
          <w:rStyle w:val="FootnoteReference"/>
        </w:rPr>
        <w:footnoteRef/>
      </w:r>
      <w:r>
        <w:t xml:space="preserve"> PSE Initial Brief at </w:t>
      </w:r>
      <w:r w:rsidRPr="009D1633">
        <w:t>¶</w:t>
      </w:r>
      <w:r>
        <w:t xml:space="preserve"> 28, n. 42, citing </w:t>
      </w:r>
      <w:r w:rsidRPr="00AE7DCD">
        <w:rPr>
          <w:i/>
        </w:rPr>
        <w:t>Fernandez-Vargas v. Gonzales</w:t>
      </w:r>
      <w:r>
        <w:t xml:space="preserve">, 549 U.S. 30, 37 (2006) and </w:t>
      </w:r>
      <w:r w:rsidRPr="009D1633">
        <w:t>¶</w:t>
      </w:r>
      <w:r>
        <w:t xml:space="preserve"> 29, n. 43, </w:t>
      </w:r>
      <w:r w:rsidRPr="00AE7DCD">
        <w:t>citing,</w:t>
      </w:r>
      <w:r>
        <w:t xml:space="preserve"> </w:t>
      </w:r>
      <w:r w:rsidRPr="00D108F5">
        <w:rPr>
          <w:i/>
        </w:rPr>
        <w:t>In re F.D. Processing</w:t>
      </w:r>
      <w:r>
        <w:t xml:space="preserve">, 119 Wn.2d 452, 460, 832 P.2d 1303 (1992) and </w:t>
      </w:r>
      <w:r w:rsidRPr="0079483B">
        <w:rPr>
          <w:i/>
        </w:rPr>
        <w:t>Scott Paper Co. v. Anacortes</w:t>
      </w:r>
      <w:r>
        <w:t>, 90 Wn.2d 19, 35 (1978).  See also 2 Sutherland Statutory Construction § 41:4 (7</w:t>
      </w:r>
      <w:r w:rsidRPr="003A6543">
        <w:rPr>
          <w:vertAlign w:val="superscript"/>
        </w:rPr>
        <w:t>th</w:t>
      </w:r>
      <w:r>
        <w:t xml:space="preserve"> ed.) (“[A] law is not construed as retroactive unless the act clearly, by express language or necessary implication, indicates that the legislature intended retroactive application.”)</w:t>
      </w:r>
    </w:p>
  </w:footnote>
  <w:footnote w:id="15">
    <w:p w:rsidR="001C04BC" w:rsidRDefault="001C04BC">
      <w:pPr>
        <w:pStyle w:val="FootnoteText"/>
      </w:pPr>
      <w:r>
        <w:rPr>
          <w:rStyle w:val="FootnoteReference"/>
        </w:rPr>
        <w:footnoteRef/>
      </w:r>
      <w:r>
        <w:t xml:space="preserve"> PSE Initial Brief at </w:t>
      </w:r>
      <w:r w:rsidRPr="009D1633">
        <w:t>¶</w:t>
      </w:r>
      <w:r>
        <w:t xml:space="preserve"> 29, n. 43, </w:t>
      </w:r>
      <w:r w:rsidRPr="00D108F5">
        <w:rPr>
          <w:i/>
        </w:rPr>
        <w:t>citing</w:t>
      </w:r>
      <w:r>
        <w:t xml:space="preserve">, </w:t>
      </w:r>
      <w:r w:rsidRPr="00D108F5">
        <w:rPr>
          <w:i/>
        </w:rPr>
        <w:t>In re F.D. Processing</w:t>
      </w:r>
      <w:r>
        <w:t>, 119 Wn.2d 452, 460, 832 P.2d 1303 (1992).  See also 2 Sutherland Statutory Construction § 41:4 (7</w:t>
      </w:r>
      <w:r w:rsidRPr="003A6543">
        <w:rPr>
          <w:vertAlign w:val="superscript"/>
        </w:rPr>
        <w:t>th</w:t>
      </w:r>
      <w:r>
        <w:t xml:space="preserve"> ed.) (“Retroactive operation is more readily ascribed to legislation that is curative or legalizing . . .”)</w:t>
      </w:r>
    </w:p>
  </w:footnote>
  <w:footnote w:id="16">
    <w:p w:rsidR="001C04BC" w:rsidRDefault="001C04BC">
      <w:pPr>
        <w:pStyle w:val="FootnoteText"/>
      </w:pPr>
      <w:r>
        <w:rPr>
          <w:rStyle w:val="FootnoteReference"/>
        </w:rPr>
        <w:footnoteRef/>
      </w:r>
      <w:r>
        <w:t xml:space="preserve"> 2 Sutherland Statutory Construction § 41:11 (7</w:t>
      </w:r>
      <w:r w:rsidRPr="0079483B">
        <w:rPr>
          <w:vertAlign w:val="superscript"/>
        </w:rPr>
        <w:t>th</w:t>
      </w:r>
      <w:r>
        <w:t xml:space="preserve"> ed.).</w:t>
      </w:r>
    </w:p>
  </w:footnote>
  <w:footnote w:id="17">
    <w:p w:rsidR="001C04BC" w:rsidRDefault="001C04BC">
      <w:pPr>
        <w:pStyle w:val="FootnoteText"/>
      </w:pPr>
      <w:r>
        <w:rPr>
          <w:rStyle w:val="FootnoteReference"/>
        </w:rPr>
        <w:footnoteRef/>
      </w:r>
      <w:r>
        <w:t xml:space="preserve"> Stipulation of Facts at </w:t>
      </w:r>
      <w:r w:rsidRPr="009D1633">
        <w:t>¶</w:t>
      </w:r>
      <w:r>
        <w:t xml:space="preserve"> 7, Attachment A at Marcelia, 72:11-16 and 73:7-9.</w:t>
      </w:r>
    </w:p>
  </w:footnote>
  <w:footnote w:id="18">
    <w:p w:rsidR="001C04BC" w:rsidRDefault="001C04BC">
      <w:pPr>
        <w:pStyle w:val="FootnoteText"/>
      </w:pPr>
      <w:r>
        <w:rPr>
          <w:rStyle w:val="FootnoteReference"/>
        </w:rPr>
        <w:footnoteRef/>
      </w:r>
      <w:r>
        <w:t xml:space="preserve"> Stipulation of Facts at </w:t>
      </w:r>
      <w:r w:rsidRPr="009D1633">
        <w:t>¶</w:t>
      </w:r>
      <w:r>
        <w:t xml:space="preserve"> 7, Attachment A at Marcelia, 73:12-15 and 74:6.</w:t>
      </w:r>
    </w:p>
  </w:footnote>
  <w:footnote w:id="19">
    <w:p w:rsidR="001C04BC" w:rsidRDefault="001C04BC">
      <w:pPr>
        <w:pStyle w:val="FootnoteText"/>
      </w:pPr>
      <w:r>
        <w:rPr>
          <w:rStyle w:val="FootnoteReference"/>
        </w:rPr>
        <w:footnoteRef/>
      </w:r>
      <w:r>
        <w:t xml:space="preserve"> PSE argues that Effective Date provision of NDAA was intended to ensure that the elimination of normalization requirements would not apply only to projects placed in service after the amendment was passed, which could have included the Lower Snake River Wind project.  PSE Initial Brief at ¶¶ 31 and 34.  No legislative history or evidence is cited to support that interpretation.  Moreover, had Congress intended the result argued by PSE, it could have easily stated that the amendment to ARRA will apply to all eligible projects already in service or under construction at the time of enactment.  No such language was used.</w:t>
      </w:r>
    </w:p>
  </w:footnote>
  <w:footnote w:id="20">
    <w:p w:rsidR="001C04BC" w:rsidRDefault="001C04BC">
      <w:pPr>
        <w:pStyle w:val="FootnoteText"/>
      </w:pPr>
      <w:r>
        <w:rPr>
          <w:rStyle w:val="FootnoteReference"/>
        </w:rPr>
        <w:footnoteRef/>
      </w:r>
      <w:r>
        <w:t xml:space="preserve"> PSE Initial Brief at </w:t>
      </w:r>
      <w:r w:rsidRPr="009D1633">
        <w:t>¶¶</w:t>
      </w:r>
      <w:r>
        <w:t xml:space="preserve"> 29, 32 and 35-36, citing, </w:t>
      </w:r>
      <w:r w:rsidRPr="00E46CFB">
        <w:rPr>
          <w:i/>
        </w:rPr>
        <w:t>Gillis v. King County</w:t>
      </w:r>
      <w:r>
        <w:t>, 42 W.2d 373, 376, 255 P.2d 546 (1953).</w:t>
      </w:r>
    </w:p>
  </w:footnote>
  <w:footnote w:id="21">
    <w:p w:rsidR="001C04BC" w:rsidRDefault="001C04BC">
      <w:pPr>
        <w:pStyle w:val="FootnoteText"/>
      </w:pPr>
      <w:r>
        <w:rPr>
          <w:rStyle w:val="FootnoteReference"/>
        </w:rPr>
        <w:footnoteRef/>
      </w:r>
      <w:r>
        <w:t xml:space="preserve"> Stipulation of Facts at </w:t>
      </w:r>
      <w:r w:rsidRPr="009D1633">
        <w:t>¶</w:t>
      </w:r>
      <w:r>
        <w:t xml:space="preserve"> 18.</w:t>
      </w:r>
    </w:p>
  </w:footnote>
  <w:footnote w:id="22">
    <w:p w:rsidR="001C04BC" w:rsidRDefault="001C04BC">
      <w:pPr>
        <w:pStyle w:val="FootnoteText"/>
      </w:pPr>
      <w:r>
        <w:rPr>
          <w:rStyle w:val="FootnoteReference"/>
        </w:rPr>
        <w:footnoteRef/>
      </w:r>
      <w:r>
        <w:t xml:space="preserve"> Advice No. 2012-04 (February 29, 2012).</w:t>
      </w:r>
    </w:p>
  </w:footnote>
  <w:footnote w:id="23">
    <w:p w:rsidR="001C04BC" w:rsidRDefault="001C04BC" w:rsidP="008B658C">
      <w:pPr>
        <w:pStyle w:val="FootnoteText"/>
      </w:pPr>
      <w:r>
        <w:rPr>
          <w:rStyle w:val="FootnoteReference"/>
        </w:rPr>
        <w:footnoteRef/>
      </w:r>
      <w:r>
        <w:t xml:space="preserve"> PSE Initial Brief at ¶ 29, citing,</w:t>
      </w:r>
      <w:r w:rsidRPr="00AF0394">
        <w:rPr>
          <w:i/>
        </w:rPr>
        <w:t xml:space="preserve"> </w:t>
      </w:r>
      <w:r w:rsidRPr="00D108F5">
        <w:rPr>
          <w:i/>
        </w:rPr>
        <w:t>In re F.D. Processing</w:t>
      </w:r>
      <w:r>
        <w:t xml:space="preserve">, 119 Wn.2d at 460 and </w:t>
      </w:r>
      <w:r>
        <w:rPr>
          <w:i/>
        </w:rPr>
        <w:t>Scott Paper Co.</w:t>
      </w:r>
      <w:r>
        <w:t xml:space="preserve">, 90 Wn.2d at 35.  See also, </w:t>
      </w:r>
      <w:r w:rsidRPr="00AF0394">
        <w:rPr>
          <w:i/>
        </w:rPr>
        <w:t>Gillis,</w:t>
      </w:r>
      <w:r>
        <w:t xml:space="preserve"> 42 Wn.2d at 376.  See also 2 Sutherland Statutory Construction § 41:12 (7</w:t>
      </w:r>
      <w:r w:rsidRPr="003A6543">
        <w:rPr>
          <w:vertAlign w:val="superscript"/>
        </w:rPr>
        <w:t>th</w:t>
      </w:r>
      <w:r>
        <w:t xml:space="preserve"> ed.) (“Curative laws are subject to the same constitutional limitations which apply to other legislation.”)</w:t>
      </w:r>
    </w:p>
  </w:footnote>
  <w:footnote w:id="24">
    <w:p w:rsidR="001C04BC" w:rsidRDefault="001C04BC" w:rsidP="008B658C">
      <w:pPr>
        <w:pStyle w:val="FootnoteText"/>
      </w:pPr>
      <w:r>
        <w:rPr>
          <w:rStyle w:val="FootnoteReference"/>
        </w:rPr>
        <w:footnoteRef/>
      </w:r>
      <w:r>
        <w:t xml:space="preserve"> </w:t>
      </w:r>
      <w:r w:rsidRPr="006F5FF5">
        <w:rPr>
          <w:i/>
        </w:rPr>
        <w:t>United States v. Carlton</w:t>
      </w:r>
      <w:r>
        <w:t>, 512 U.S. 26 (1994).</w:t>
      </w:r>
    </w:p>
  </w:footnote>
  <w:footnote w:id="25">
    <w:p w:rsidR="001C04BC" w:rsidRDefault="001C04BC" w:rsidP="008B658C">
      <w:pPr>
        <w:pStyle w:val="FootnoteText"/>
      </w:pPr>
      <w:r>
        <w:rPr>
          <w:rStyle w:val="FootnoteReference"/>
        </w:rPr>
        <w:footnoteRef/>
      </w:r>
      <w:r>
        <w:t xml:space="preserve"> </w:t>
      </w:r>
      <w:r w:rsidRPr="006F5FF5">
        <w:rPr>
          <w:i/>
        </w:rPr>
        <w:t>Carlton</w:t>
      </w:r>
      <w:r>
        <w:t>, 512 U.S. at 31-32.</w:t>
      </w:r>
    </w:p>
  </w:footnote>
  <w:footnote w:id="26">
    <w:p w:rsidR="001C04BC" w:rsidRDefault="001C04BC" w:rsidP="008B658C">
      <w:pPr>
        <w:pStyle w:val="FootnoteText"/>
      </w:pPr>
      <w:r>
        <w:rPr>
          <w:rStyle w:val="FootnoteReference"/>
        </w:rPr>
        <w:footnoteRef/>
      </w:r>
      <w:r>
        <w:t xml:space="preserve"> </w:t>
      </w:r>
      <w:r w:rsidRPr="006F5FF5">
        <w:rPr>
          <w:i/>
        </w:rPr>
        <w:t>Carlton</w:t>
      </w:r>
      <w:r>
        <w:t>, 512 U.S. at 30.</w:t>
      </w:r>
    </w:p>
  </w:footnote>
  <w:footnote w:id="27">
    <w:p w:rsidR="001C04BC" w:rsidRDefault="001C04BC" w:rsidP="008B658C">
      <w:pPr>
        <w:pStyle w:val="FootnoteText"/>
      </w:pPr>
      <w:r>
        <w:rPr>
          <w:rStyle w:val="FootnoteReference"/>
        </w:rPr>
        <w:footnoteRef/>
      </w:r>
      <w:r>
        <w:t xml:space="preserve"> </w:t>
      </w:r>
      <w:r w:rsidRPr="006F5FF5">
        <w:rPr>
          <w:i/>
        </w:rPr>
        <w:t>Carlton</w:t>
      </w:r>
      <w:r>
        <w:t xml:space="preserve">, 512 U.S. at 30-31.  A similar standard applies in Washington.  See </w:t>
      </w:r>
      <w:r w:rsidRPr="006A0723">
        <w:rPr>
          <w:i/>
        </w:rPr>
        <w:t xml:space="preserve">W.R. Grace &amp; Co. v. </w:t>
      </w:r>
      <w:r>
        <w:rPr>
          <w:i/>
        </w:rPr>
        <w:t>D</w:t>
      </w:r>
      <w:r w:rsidRPr="006A0723">
        <w:rPr>
          <w:i/>
        </w:rPr>
        <w:t>ep’t of Revenue</w:t>
      </w:r>
      <w:r>
        <w:t xml:space="preserve">, 137 Wn.2d 580, 601, 973 P.2d 1011 (1999) and </w:t>
      </w:r>
      <w:r w:rsidRPr="0009621A">
        <w:rPr>
          <w:i/>
        </w:rPr>
        <w:t>Home Depot USA, Inc. v. Dep’t of Revenue</w:t>
      </w:r>
      <w:r>
        <w:t xml:space="preserve">, 151 Wn. App. 909, 926, 215 P.3d 222 (2009) (state tax statute does not violate substantive due process unless it is “arbitrary and irrational,” citing </w:t>
      </w:r>
      <w:r w:rsidRPr="0009621A">
        <w:rPr>
          <w:i/>
        </w:rPr>
        <w:t>Carlton</w:t>
      </w:r>
      <w:r>
        <w:t xml:space="preserve">), review </w:t>
      </w:r>
      <w:r w:rsidRPr="0066456C">
        <w:t xml:space="preserve">denied, </w:t>
      </w:r>
      <w:r>
        <w:t xml:space="preserve">168 Wn.2d 1088 </w:t>
      </w:r>
      <w:r w:rsidRPr="0066456C">
        <w:t>(2010).</w:t>
      </w:r>
    </w:p>
  </w:footnote>
  <w:footnote w:id="28">
    <w:p w:rsidR="001C04BC" w:rsidRDefault="001C04BC" w:rsidP="008B658C">
      <w:pPr>
        <w:pStyle w:val="FootnoteText"/>
      </w:pPr>
      <w:r>
        <w:rPr>
          <w:rStyle w:val="FootnoteReference"/>
        </w:rPr>
        <w:footnoteRef/>
      </w:r>
      <w:r>
        <w:t xml:space="preserve"> </w:t>
      </w:r>
      <w:r w:rsidRPr="006F5FF5">
        <w:rPr>
          <w:i/>
        </w:rPr>
        <w:t>Carlton</w:t>
      </w:r>
      <w:r>
        <w:t>, 512 U.S. at 31-32 and 34.</w:t>
      </w:r>
    </w:p>
  </w:footnote>
  <w:footnote w:id="29">
    <w:p w:rsidR="001C04BC" w:rsidRDefault="001C04BC">
      <w:pPr>
        <w:pStyle w:val="FootnoteText"/>
      </w:pPr>
      <w:r>
        <w:rPr>
          <w:rStyle w:val="FootnoteReference"/>
        </w:rPr>
        <w:footnoteRef/>
      </w:r>
      <w:r>
        <w:t xml:space="preserve"> PSE Initial Brief at </w:t>
      </w:r>
      <w:r w:rsidRPr="009D1633">
        <w:t>¶¶</w:t>
      </w:r>
      <w:r>
        <w:t xml:space="preserve"> 21-27.</w:t>
      </w:r>
    </w:p>
  </w:footnote>
  <w:footnote w:id="30">
    <w:p w:rsidR="001C04BC" w:rsidRPr="0069332F" w:rsidRDefault="001C04BC" w:rsidP="00D76EA0">
      <w:pPr>
        <w:pStyle w:val="FootnoteText"/>
      </w:pPr>
      <w:r>
        <w:rPr>
          <w:rStyle w:val="FootnoteReference"/>
        </w:rPr>
        <w:footnoteRef/>
      </w:r>
      <w:r>
        <w:t xml:space="preserve"> The Commission first enunciated this definition in </w:t>
      </w:r>
      <w:r w:rsidRPr="001A05E9">
        <w:rPr>
          <w:i/>
        </w:rPr>
        <w:t>Utilities and Transp</w:t>
      </w:r>
      <w:r>
        <w:rPr>
          <w:i/>
        </w:rPr>
        <w:t xml:space="preserve">. </w:t>
      </w:r>
      <w:r w:rsidRPr="001A05E9">
        <w:rPr>
          <w:i/>
        </w:rPr>
        <w:t>Comm</w:t>
      </w:r>
      <w:r>
        <w:rPr>
          <w:i/>
        </w:rPr>
        <w:t>’n</w:t>
      </w:r>
      <w:r w:rsidRPr="001A05E9">
        <w:rPr>
          <w:i/>
        </w:rPr>
        <w:t xml:space="preserve"> v. Puget Sound Power &amp; Light Co</w:t>
      </w:r>
      <w:r>
        <w:t xml:space="preserve">., Docket U-81-41, Sixth Supplemental Order at 17 (December 19, 1988).  The Commission restated this definition in several subsequent cases.  See, e.g., </w:t>
      </w:r>
      <w:r>
        <w:rPr>
          <w:i/>
        </w:rPr>
        <w:t xml:space="preserve">Utilities and Transp. Comm’n v. US WEST Communications, Inc., </w:t>
      </w:r>
      <w:r>
        <w:t xml:space="preserve">Docket UT-970010, Second Supplemental Order at 10 (November 7, 1997), and </w:t>
      </w:r>
      <w:r w:rsidRPr="00CF4BAE">
        <w:rPr>
          <w:i/>
        </w:rPr>
        <w:t xml:space="preserve">In </w:t>
      </w:r>
      <w:r w:rsidRPr="002F39E3">
        <w:rPr>
          <w:i/>
        </w:rPr>
        <w:t>Re Puget Sound Energy</w:t>
      </w:r>
      <w:r>
        <w:rPr>
          <w:i/>
        </w:rPr>
        <w:t>, Inc.</w:t>
      </w:r>
      <w:r>
        <w:t>, Docket UE-010410, Order Denying Petition to Amend Accounting Petition at  ¶ 7 (November 9, 2001).</w:t>
      </w:r>
    </w:p>
  </w:footnote>
  <w:footnote w:id="31">
    <w:p w:rsidR="001C04BC" w:rsidRDefault="001C04BC">
      <w:pPr>
        <w:pStyle w:val="FootnoteText"/>
      </w:pPr>
      <w:r>
        <w:rPr>
          <w:rStyle w:val="FootnoteReference"/>
        </w:rPr>
        <w:footnoteRef/>
      </w:r>
      <w:r>
        <w:t xml:space="preserve"> </w:t>
      </w:r>
      <w:r w:rsidRPr="00CF4BAE">
        <w:rPr>
          <w:i/>
        </w:rPr>
        <w:t xml:space="preserve">In </w:t>
      </w:r>
      <w:r w:rsidRPr="002F39E3">
        <w:rPr>
          <w:i/>
        </w:rPr>
        <w:t>Re Puget Sound Energy</w:t>
      </w:r>
      <w:r>
        <w:rPr>
          <w:i/>
        </w:rPr>
        <w:t>, Inc.</w:t>
      </w:r>
      <w:r>
        <w:t>, Docket UE-010410, Order Denying Petition to Amend Accounting Petition at  ¶ 8 (November 9, 2001).</w:t>
      </w:r>
    </w:p>
  </w:footnote>
  <w:footnote w:id="32">
    <w:p w:rsidR="001C04BC" w:rsidRDefault="001C04BC">
      <w:pPr>
        <w:pStyle w:val="FootnoteText"/>
      </w:pPr>
      <w:r>
        <w:rPr>
          <w:rStyle w:val="FootnoteReference"/>
        </w:rPr>
        <w:footnoteRef/>
      </w:r>
      <w:r>
        <w:t xml:space="preserve"> PSE Response to Bench Request 23 at 2, Docket UE-111048.</w:t>
      </w:r>
    </w:p>
  </w:footnote>
  <w:footnote w:id="33">
    <w:p w:rsidR="001C04BC" w:rsidRDefault="001C04BC" w:rsidP="00B82249">
      <w:pPr>
        <w:pStyle w:val="FootnoteText"/>
      </w:pPr>
      <w:r>
        <w:rPr>
          <w:rStyle w:val="FootnoteReference"/>
        </w:rPr>
        <w:footnoteRef/>
      </w:r>
      <w:r>
        <w:t xml:space="preserve"> PSE Initial Brief at </w:t>
      </w:r>
      <w:r>
        <w:rPr>
          <w:rFonts w:cs="Times New Roman"/>
        </w:rPr>
        <w:t>¶¶</w:t>
      </w:r>
      <w:r>
        <w:t xml:space="preserve"> 26-27.</w:t>
      </w:r>
    </w:p>
  </w:footnote>
  <w:footnote w:id="34">
    <w:p w:rsidR="001C04BC" w:rsidRPr="007E45A6" w:rsidRDefault="001C04BC" w:rsidP="00B82249">
      <w:pPr>
        <w:pStyle w:val="FootnoteText"/>
      </w:pPr>
      <w:r>
        <w:rPr>
          <w:rStyle w:val="FootnoteReference"/>
        </w:rPr>
        <w:footnoteRef/>
      </w:r>
      <w:r>
        <w:t xml:space="preserve"> </w:t>
      </w:r>
      <w:r>
        <w:rPr>
          <w:i/>
        </w:rPr>
        <w:t xml:space="preserve">Re Application of Puget Sound Energy for Authorization Regarding the Deferral of the Net Impact of the Conservation Incentive Credit Program, </w:t>
      </w:r>
      <w:r>
        <w:t xml:space="preserve">Docket UE-010410, Order Denying Petition to Amend Accounting Order at </w:t>
      </w:r>
      <w:r>
        <w:rPr>
          <w:rFonts w:cs="Times New Roman"/>
        </w:rPr>
        <w:t>¶</w:t>
      </w:r>
      <w:r>
        <w:t xml:space="preserve"> 8 (November 9, 2001).</w:t>
      </w:r>
    </w:p>
  </w:footnote>
  <w:footnote w:id="35">
    <w:p w:rsidR="001C04BC" w:rsidRDefault="001C04BC">
      <w:pPr>
        <w:pStyle w:val="FootnoteText"/>
      </w:pPr>
      <w:r>
        <w:rPr>
          <w:rStyle w:val="FootnoteReference"/>
        </w:rPr>
        <w:footnoteRef/>
      </w:r>
      <w:r>
        <w:t xml:space="preserve"> PSE Initial Brief at ¶ 33, n. 33.</w:t>
      </w:r>
    </w:p>
  </w:footnote>
  <w:footnote w:id="36">
    <w:p w:rsidR="001C04BC" w:rsidRDefault="001C04BC" w:rsidP="00131D01">
      <w:pPr>
        <w:pStyle w:val="BodyText"/>
        <w:spacing w:after="0"/>
        <w:jc w:val="left"/>
      </w:pPr>
      <w:r w:rsidRPr="00522375">
        <w:rPr>
          <w:rStyle w:val="FootnoteReference"/>
          <w:sz w:val="20"/>
        </w:rPr>
        <w:footnoteRef/>
      </w:r>
      <w:r w:rsidRPr="00522375">
        <w:rPr>
          <w:sz w:val="20"/>
        </w:rPr>
        <w:t xml:space="preserve"> Stipulation</w:t>
      </w:r>
      <w:r w:rsidRPr="00131D01">
        <w:rPr>
          <w:sz w:val="20"/>
        </w:rPr>
        <w:t xml:space="preserve"> of Facts at ¶¶ 11-12. </w:t>
      </w:r>
      <w:r>
        <w:rPr>
          <w:sz w:val="20"/>
        </w:rPr>
        <w:t xml:space="preserve"> </w:t>
      </w:r>
      <w:r w:rsidRPr="00131D01">
        <w:rPr>
          <w:sz w:val="20"/>
        </w:rPr>
        <w:t>PSE proposed that</w:t>
      </w:r>
      <w:r>
        <w:rPr>
          <w:sz w:val="20"/>
        </w:rPr>
        <w:t xml:space="preserve"> </w:t>
      </w:r>
      <w:r w:rsidRPr="00131D01">
        <w:rPr>
          <w:sz w:val="20"/>
        </w:rPr>
        <w:t>the Treasury Grant would be recorded as a liability in Account 228.4, Accumulated Miscellaneous Operating Provisions</w:t>
      </w:r>
      <w:r>
        <w:rPr>
          <w:sz w:val="20"/>
        </w:rPr>
        <w:t>, and</w:t>
      </w:r>
      <w:r w:rsidRPr="00131D01">
        <w:rPr>
          <w:sz w:val="20"/>
        </w:rPr>
        <w:t xml:space="preserve"> amortized over ten years through Account 242, Miscellaneous Current and Accrued Liabilities.  The amortized amount would be credited to customers through Schedule 95A.</w:t>
      </w:r>
    </w:p>
  </w:footnote>
  <w:footnote w:id="37">
    <w:p w:rsidR="001C04BC" w:rsidRDefault="001C04BC" w:rsidP="00131D01">
      <w:pPr>
        <w:pStyle w:val="FootnoteText"/>
      </w:pPr>
      <w:r>
        <w:rPr>
          <w:rStyle w:val="FootnoteReference"/>
        </w:rPr>
        <w:footnoteRef/>
      </w:r>
      <w:r>
        <w:t xml:space="preserve"> </w:t>
      </w:r>
      <w:r w:rsidRPr="00314A39">
        <w:rPr>
          <w:i/>
        </w:rPr>
        <w:t>In the Matter of the Petition of Puget Sound Energy, Inc. for an Accounting Order Regarding the Treatment of U.S. Treasury Grant to be Received Under Section 1603 of the American Recovery and Reinvestment Act of 2009 Associated with the Wild Horse Expansion Project</w:t>
      </w:r>
      <w:r>
        <w:t xml:space="preserve">, Docket UE-091570, Order 01 at </w:t>
      </w:r>
      <w:r w:rsidRPr="009D1633">
        <w:t>¶¶</w:t>
      </w:r>
      <w:r>
        <w:t xml:space="preserve"> 3 and 14 (December 10, 2009).</w:t>
      </w:r>
    </w:p>
  </w:footnote>
  <w:footnote w:id="38">
    <w:p w:rsidR="001C04BC" w:rsidRDefault="001C04BC" w:rsidP="001A0720">
      <w:pPr>
        <w:pStyle w:val="FootnoteText"/>
      </w:pPr>
      <w:r>
        <w:rPr>
          <w:rStyle w:val="FootnoteReference"/>
        </w:rPr>
        <w:footnoteRef/>
      </w:r>
      <w:r>
        <w:t xml:space="preserve"> </w:t>
      </w:r>
      <w:r w:rsidRPr="003049D7">
        <w:rPr>
          <w:i/>
        </w:rPr>
        <w:t>Washington Gas &amp; Light Co. v. Public Service Comm’n</w:t>
      </w:r>
      <w:r>
        <w:t>, 450 A.2d 1187 (D.C. 1982).</w:t>
      </w:r>
    </w:p>
  </w:footnote>
  <w:footnote w:id="39">
    <w:p w:rsidR="001C04BC" w:rsidRPr="00B84F03" w:rsidRDefault="001C04BC" w:rsidP="001A0720">
      <w:pPr>
        <w:pStyle w:val="FootnoteText"/>
      </w:pPr>
      <w:r>
        <w:rPr>
          <w:rStyle w:val="FootnoteReference"/>
        </w:rPr>
        <w:footnoteRef/>
      </w:r>
      <w:r>
        <w:t xml:space="preserve"> </w:t>
      </w:r>
      <w:r>
        <w:rPr>
          <w:i/>
        </w:rPr>
        <w:t>Washington Gas</w:t>
      </w:r>
      <w:r>
        <w:t>, 450 A.2d at 1218-19.</w:t>
      </w:r>
    </w:p>
  </w:footnote>
  <w:footnote w:id="40">
    <w:p w:rsidR="001C04BC" w:rsidRDefault="001C04BC">
      <w:pPr>
        <w:pStyle w:val="FootnoteText"/>
      </w:pPr>
      <w:r>
        <w:rPr>
          <w:rStyle w:val="FootnoteReference"/>
        </w:rPr>
        <w:footnoteRef/>
      </w:r>
      <w:r>
        <w:t xml:space="preserve"> </w:t>
      </w:r>
      <w:r w:rsidRPr="00B84F03">
        <w:rPr>
          <w:i/>
        </w:rPr>
        <w:t>Southern Union Gas Co. v. Railroad Comm’n</w:t>
      </w:r>
      <w:r>
        <w:t>, 701 S.W. 2d 277 (Tex. Ct. App. 1985).</w:t>
      </w:r>
    </w:p>
  </w:footnote>
  <w:footnote w:id="41">
    <w:p w:rsidR="001C04BC" w:rsidRDefault="001C04BC">
      <w:pPr>
        <w:pStyle w:val="FootnoteText"/>
      </w:pPr>
      <w:r>
        <w:rPr>
          <w:rStyle w:val="FootnoteReference"/>
        </w:rPr>
        <w:footnoteRef/>
      </w:r>
      <w:r>
        <w:t xml:space="preserve"> PSE makes a similar argument here.  PSE Initial Brief at </w:t>
      </w:r>
      <w:r w:rsidRPr="00131D01">
        <w:t>¶</w:t>
      </w:r>
      <w:r>
        <w:t xml:space="preserve"> 30 (“. . . the funds that Commission Staff now asks PSE to disgorge have been used for operational purposes in lieu of additional borrowing or additional equity.  To pay out this additional amount now unfairly burdens the Company, causing it to borrow or seek funds elsewhere it had already committed to other uses.”)</w:t>
      </w:r>
    </w:p>
  </w:footnote>
  <w:footnote w:id="42">
    <w:p w:rsidR="001C04BC" w:rsidRPr="00256719" w:rsidRDefault="001C04BC">
      <w:pPr>
        <w:pStyle w:val="FootnoteText"/>
      </w:pPr>
      <w:r>
        <w:rPr>
          <w:rStyle w:val="FootnoteReference"/>
        </w:rPr>
        <w:footnoteRef/>
      </w:r>
      <w:r>
        <w:t xml:space="preserve"> </w:t>
      </w:r>
      <w:r w:rsidRPr="00B84F03">
        <w:rPr>
          <w:i/>
        </w:rPr>
        <w:t>Southern Union Gas</w:t>
      </w:r>
      <w:r>
        <w:t>, 701 S.W. 2d at 280.</w:t>
      </w:r>
    </w:p>
  </w:footnote>
  <w:footnote w:id="43">
    <w:p w:rsidR="001C04BC" w:rsidRDefault="001C04BC">
      <w:pPr>
        <w:pStyle w:val="FootnoteText"/>
      </w:pPr>
      <w:r>
        <w:rPr>
          <w:rStyle w:val="FootnoteReference"/>
        </w:rPr>
        <w:footnoteRef/>
      </w:r>
      <w:r>
        <w:t xml:space="preserve"> </w:t>
      </w:r>
      <w:r w:rsidRPr="00522375">
        <w:t>Stipulation</w:t>
      </w:r>
      <w:r>
        <w:t xml:space="preserve"> of Facts at ¶ 20.</w:t>
      </w:r>
    </w:p>
  </w:footnote>
  <w:footnote w:id="44">
    <w:p w:rsidR="001C04BC" w:rsidRPr="00E261BB" w:rsidRDefault="001C04BC">
      <w:pPr>
        <w:pStyle w:val="FootnoteText"/>
      </w:pPr>
      <w:r>
        <w:rPr>
          <w:rStyle w:val="FootnoteReference"/>
        </w:rPr>
        <w:footnoteRef/>
      </w:r>
      <w:r>
        <w:t xml:space="preserve"> </w:t>
      </w:r>
      <w:r w:rsidRPr="001A05E9">
        <w:rPr>
          <w:i/>
        </w:rPr>
        <w:t>Utilities and Transp</w:t>
      </w:r>
      <w:r>
        <w:rPr>
          <w:i/>
        </w:rPr>
        <w:t xml:space="preserve">. </w:t>
      </w:r>
      <w:r w:rsidRPr="001A05E9">
        <w:rPr>
          <w:i/>
        </w:rPr>
        <w:t>Comm</w:t>
      </w:r>
      <w:r>
        <w:rPr>
          <w:i/>
        </w:rPr>
        <w:t>’n</w:t>
      </w:r>
      <w:r w:rsidRPr="001A05E9">
        <w:rPr>
          <w:i/>
        </w:rPr>
        <w:t xml:space="preserve"> v. Puget Sound</w:t>
      </w:r>
      <w:r>
        <w:rPr>
          <w:i/>
        </w:rPr>
        <w:t xml:space="preserve"> Energy, Inc.</w:t>
      </w:r>
      <w:r>
        <w:t xml:space="preserve">, Docket UE-090704, Order 11 at </w:t>
      </w:r>
      <w:r w:rsidRPr="00131D01">
        <w:t>¶¶</w:t>
      </w:r>
      <w:r>
        <w:t xml:space="preserve"> 343-44 (April 2, 2010).</w:t>
      </w:r>
    </w:p>
  </w:footnote>
  <w:footnote w:id="45">
    <w:p w:rsidR="001C04BC" w:rsidRDefault="001C04BC">
      <w:pPr>
        <w:pStyle w:val="FootnoteText"/>
      </w:pPr>
      <w:r w:rsidRPr="00056DE9">
        <w:rPr>
          <w:rStyle w:val="FootnoteReference"/>
        </w:rPr>
        <w:footnoteRef/>
      </w:r>
      <w:r w:rsidRPr="00056DE9">
        <w:t xml:space="preserve"> Stipulation</w:t>
      </w:r>
      <w:r w:rsidRPr="00131D01">
        <w:t xml:space="preserve"> of Facts at ¶¶</w:t>
      </w:r>
      <w:r>
        <w:t xml:space="preserve"> 21-22.</w:t>
      </w:r>
    </w:p>
  </w:footnote>
  <w:footnote w:id="46">
    <w:p w:rsidR="001C04BC" w:rsidRDefault="001C04BC">
      <w:pPr>
        <w:pStyle w:val="FootnoteText"/>
      </w:pPr>
      <w:r>
        <w:rPr>
          <w:rStyle w:val="FootnoteReference"/>
        </w:rPr>
        <w:footnoteRef/>
      </w:r>
      <w:r>
        <w:t xml:space="preserve"> Staff Open Meeting Memorandum at 2, Docket UE-120277 (March 29, 2012).</w:t>
      </w:r>
    </w:p>
  </w:footnote>
  <w:footnote w:id="47">
    <w:p w:rsidR="001C04BC" w:rsidRDefault="001C04BC">
      <w:pPr>
        <w:pStyle w:val="FootnoteText"/>
      </w:pPr>
      <w:r>
        <w:rPr>
          <w:rStyle w:val="FootnoteReference"/>
        </w:rPr>
        <w:footnoteRef/>
      </w:r>
      <w:r>
        <w:t xml:space="preserve"> PSE Initial Brief at </w:t>
      </w:r>
      <w:r w:rsidRPr="00131D01">
        <w:t>¶¶</w:t>
      </w:r>
      <w:r>
        <w:t xml:space="preserve"> 38-39.</w:t>
      </w:r>
    </w:p>
  </w:footnote>
  <w:footnote w:id="48">
    <w:p w:rsidR="001C04BC" w:rsidRDefault="001C04BC">
      <w:pPr>
        <w:pStyle w:val="FootnoteText"/>
      </w:pPr>
      <w:r>
        <w:rPr>
          <w:rStyle w:val="FootnoteReference"/>
        </w:rPr>
        <w:footnoteRef/>
      </w:r>
      <w:r>
        <w:t xml:space="preserve"> PSE Initial Brief at </w:t>
      </w:r>
      <w:r w:rsidRPr="00131D01">
        <w:t>¶</w:t>
      </w:r>
      <w:r>
        <w:t xml:space="preserve"> 34.  This effort, according to PSE, began in May 2009.  </w:t>
      </w:r>
      <w:r w:rsidRPr="00056DE9">
        <w:t>Stipulation</w:t>
      </w:r>
      <w:r w:rsidRPr="00131D01">
        <w:t xml:space="preserve"> of Facts at ¶</w:t>
      </w:r>
      <w:r>
        <w:t xml:space="preserve"> 7, Attachment A at Marcelia, 72:17.  At that time, the Company had not made a decision to build the Lower Snake River Wind Project.  This undermines its statutory interpretation of Section 1096 of NDAA that the amendment was intended to apply to that facility.</w:t>
      </w:r>
    </w:p>
  </w:footnote>
  <w:footnote w:id="49">
    <w:p w:rsidR="001C04BC" w:rsidRDefault="001C04BC">
      <w:pPr>
        <w:pStyle w:val="FootnoteText"/>
      </w:pPr>
      <w:r>
        <w:rPr>
          <w:rStyle w:val="FootnoteReference"/>
        </w:rPr>
        <w:footnoteRef/>
      </w:r>
      <w:r>
        <w:t xml:space="preserve"> WAC 480-100-213.</w:t>
      </w:r>
    </w:p>
  </w:footnote>
  <w:footnote w:id="50">
    <w:p w:rsidR="001C04BC" w:rsidRDefault="001C04BC">
      <w:pPr>
        <w:pStyle w:val="FootnoteText"/>
      </w:pPr>
      <w:r>
        <w:rPr>
          <w:rStyle w:val="FootnoteReference"/>
        </w:rPr>
        <w:footnoteRef/>
      </w:r>
      <w:r>
        <w:t xml:space="preserve"> PSE Initial Brief at </w:t>
      </w:r>
      <w:r w:rsidRPr="00131D01">
        <w:t>¶</w:t>
      </w:r>
      <w:r>
        <w:t xml:space="preserve">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C1439"/>
    <w:multiLevelType w:val="hybridMultilevel"/>
    <w:tmpl w:val="0B866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8D1A76"/>
    <w:multiLevelType w:val="hybridMultilevel"/>
    <w:tmpl w:val="CAF2375E"/>
    <w:lvl w:ilvl="0" w:tplc="5E763BC6">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70675E"/>
    <w:multiLevelType w:val="hybridMultilevel"/>
    <w:tmpl w:val="95F42728"/>
    <w:lvl w:ilvl="0" w:tplc="FFA4E066">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267F22EF"/>
    <w:multiLevelType w:val="hybridMultilevel"/>
    <w:tmpl w:val="CED8EB4E"/>
    <w:lvl w:ilvl="0" w:tplc="5E763BC6">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1F46105"/>
    <w:multiLevelType w:val="hybridMultilevel"/>
    <w:tmpl w:val="9F6C69A8"/>
    <w:lvl w:ilvl="0" w:tplc="5E763BC6">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07343B"/>
    <w:multiLevelType w:val="hybridMultilevel"/>
    <w:tmpl w:val="DC48582E"/>
    <w:lvl w:ilvl="0" w:tplc="5E763BC6">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1C52698"/>
    <w:multiLevelType w:val="hybridMultilevel"/>
    <w:tmpl w:val="DA7E9A46"/>
    <w:lvl w:ilvl="0" w:tplc="05BA0080">
      <w:start w:val="1"/>
      <w:numFmt w:val="decimal"/>
      <w:lvlText w:val="%1"/>
      <w:lvlJc w:val="left"/>
      <w:pPr>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86B4ABD"/>
    <w:multiLevelType w:val="hybridMultilevel"/>
    <w:tmpl w:val="DB68B7AC"/>
    <w:lvl w:ilvl="0" w:tplc="5E763BC6">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32F58E0"/>
    <w:multiLevelType w:val="hybridMultilevel"/>
    <w:tmpl w:val="7E4E1C84"/>
    <w:lvl w:ilvl="0" w:tplc="5E763BC6">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4AD1610"/>
    <w:multiLevelType w:val="hybridMultilevel"/>
    <w:tmpl w:val="34EE127A"/>
    <w:lvl w:ilvl="0" w:tplc="5E763BC6">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6DB2D7E"/>
    <w:multiLevelType w:val="hybridMultilevel"/>
    <w:tmpl w:val="02DE451E"/>
    <w:lvl w:ilvl="0" w:tplc="5E763BC6">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A2B3A90"/>
    <w:multiLevelType w:val="hybridMultilevel"/>
    <w:tmpl w:val="DB38B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2CC4AD6"/>
    <w:multiLevelType w:val="hybridMultilevel"/>
    <w:tmpl w:val="7008746E"/>
    <w:lvl w:ilvl="0" w:tplc="5E763BC6">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1"/>
  </w:num>
  <w:num w:numId="3">
    <w:abstractNumId w:val="0"/>
  </w:num>
  <w:num w:numId="4">
    <w:abstractNumId w:val="6"/>
  </w:num>
  <w:num w:numId="5">
    <w:abstractNumId w:val="10"/>
  </w:num>
  <w:num w:numId="6">
    <w:abstractNumId w:val="7"/>
  </w:num>
  <w:num w:numId="7">
    <w:abstractNumId w:val="4"/>
  </w:num>
  <w:num w:numId="8">
    <w:abstractNumId w:val="3"/>
  </w:num>
  <w:num w:numId="9">
    <w:abstractNumId w:val="9"/>
  </w:num>
  <w:num w:numId="10">
    <w:abstractNumId w:val="12"/>
  </w:num>
  <w:num w:numId="11">
    <w:abstractNumId w:val="8"/>
  </w:num>
  <w:num w:numId="12">
    <w:abstractNumId w:val="5"/>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1C"/>
    <w:rsid w:val="0000074C"/>
    <w:rsid w:val="00030D43"/>
    <w:rsid w:val="00032477"/>
    <w:rsid w:val="00035095"/>
    <w:rsid w:val="00056DE9"/>
    <w:rsid w:val="00064403"/>
    <w:rsid w:val="00072F57"/>
    <w:rsid w:val="0009621A"/>
    <w:rsid w:val="000A6B52"/>
    <w:rsid w:val="000B202A"/>
    <w:rsid w:val="000D7663"/>
    <w:rsid w:val="00131D01"/>
    <w:rsid w:val="00132734"/>
    <w:rsid w:val="00166E45"/>
    <w:rsid w:val="001767D6"/>
    <w:rsid w:val="00184543"/>
    <w:rsid w:val="0019640F"/>
    <w:rsid w:val="001A0720"/>
    <w:rsid w:val="001B3CEF"/>
    <w:rsid w:val="001C04BC"/>
    <w:rsid w:val="001C4A37"/>
    <w:rsid w:val="001C6E51"/>
    <w:rsid w:val="001D0D49"/>
    <w:rsid w:val="001D7F9C"/>
    <w:rsid w:val="001F011C"/>
    <w:rsid w:val="00213778"/>
    <w:rsid w:val="00242901"/>
    <w:rsid w:val="00246363"/>
    <w:rsid w:val="00256719"/>
    <w:rsid w:val="00261EC4"/>
    <w:rsid w:val="002901CB"/>
    <w:rsid w:val="00291983"/>
    <w:rsid w:val="002C6B3B"/>
    <w:rsid w:val="002C7FF8"/>
    <w:rsid w:val="002D2C30"/>
    <w:rsid w:val="002D7F1B"/>
    <w:rsid w:val="003032AE"/>
    <w:rsid w:val="00303DBA"/>
    <w:rsid w:val="003049D7"/>
    <w:rsid w:val="00310EBB"/>
    <w:rsid w:val="00314A39"/>
    <w:rsid w:val="00322644"/>
    <w:rsid w:val="00334329"/>
    <w:rsid w:val="00341953"/>
    <w:rsid w:val="0038069C"/>
    <w:rsid w:val="003979EB"/>
    <w:rsid w:val="003A6543"/>
    <w:rsid w:val="003D1D01"/>
    <w:rsid w:val="003D502A"/>
    <w:rsid w:val="00405047"/>
    <w:rsid w:val="00417ED5"/>
    <w:rsid w:val="004203C4"/>
    <w:rsid w:val="00435773"/>
    <w:rsid w:val="00456863"/>
    <w:rsid w:val="00464F7F"/>
    <w:rsid w:val="00473B35"/>
    <w:rsid w:val="004879A6"/>
    <w:rsid w:val="00495415"/>
    <w:rsid w:val="004A1661"/>
    <w:rsid w:val="004A212B"/>
    <w:rsid w:val="004A55A6"/>
    <w:rsid w:val="004B759E"/>
    <w:rsid w:val="004D6ABE"/>
    <w:rsid w:val="005055DA"/>
    <w:rsid w:val="00521C4E"/>
    <w:rsid w:val="00522375"/>
    <w:rsid w:val="00540B91"/>
    <w:rsid w:val="005445AA"/>
    <w:rsid w:val="00547717"/>
    <w:rsid w:val="00572687"/>
    <w:rsid w:val="00580EB4"/>
    <w:rsid w:val="00587032"/>
    <w:rsid w:val="00595433"/>
    <w:rsid w:val="005A00FD"/>
    <w:rsid w:val="005A5A58"/>
    <w:rsid w:val="005B57DB"/>
    <w:rsid w:val="005C5948"/>
    <w:rsid w:val="005E5E50"/>
    <w:rsid w:val="005F2DA1"/>
    <w:rsid w:val="00604F01"/>
    <w:rsid w:val="00656848"/>
    <w:rsid w:val="00657524"/>
    <w:rsid w:val="0066456C"/>
    <w:rsid w:val="00687200"/>
    <w:rsid w:val="006933E2"/>
    <w:rsid w:val="006A0723"/>
    <w:rsid w:val="006F5FF5"/>
    <w:rsid w:val="00700518"/>
    <w:rsid w:val="00700F36"/>
    <w:rsid w:val="007176F9"/>
    <w:rsid w:val="00771177"/>
    <w:rsid w:val="0079483B"/>
    <w:rsid w:val="007A53B5"/>
    <w:rsid w:val="007C3652"/>
    <w:rsid w:val="007C6547"/>
    <w:rsid w:val="00811243"/>
    <w:rsid w:val="00820A51"/>
    <w:rsid w:val="00822067"/>
    <w:rsid w:val="0084312F"/>
    <w:rsid w:val="0086247D"/>
    <w:rsid w:val="0088647A"/>
    <w:rsid w:val="008B658C"/>
    <w:rsid w:val="008C3EB4"/>
    <w:rsid w:val="008C5BB5"/>
    <w:rsid w:val="008E2067"/>
    <w:rsid w:val="008F06A5"/>
    <w:rsid w:val="00901519"/>
    <w:rsid w:val="00912893"/>
    <w:rsid w:val="00973CB5"/>
    <w:rsid w:val="00986C62"/>
    <w:rsid w:val="009A7AE8"/>
    <w:rsid w:val="009B2B92"/>
    <w:rsid w:val="009B38FF"/>
    <w:rsid w:val="009D1633"/>
    <w:rsid w:val="009E3101"/>
    <w:rsid w:val="00A05B87"/>
    <w:rsid w:val="00A102F5"/>
    <w:rsid w:val="00A32F45"/>
    <w:rsid w:val="00A836A6"/>
    <w:rsid w:val="00A9655D"/>
    <w:rsid w:val="00AC535F"/>
    <w:rsid w:val="00AE7DCD"/>
    <w:rsid w:val="00AF0394"/>
    <w:rsid w:val="00AF328F"/>
    <w:rsid w:val="00B01C7B"/>
    <w:rsid w:val="00B04550"/>
    <w:rsid w:val="00B173E5"/>
    <w:rsid w:val="00B214F7"/>
    <w:rsid w:val="00B23DC7"/>
    <w:rsid w:val="00B44C10"/>
    <w:rsid w:val="00B45D99"/>
    <w:rsid w:val="00B61644"/>
    <w:rsid w:val="00B82249"/>
    <w:rsid w:val="00B84F03"/>
    <w:rsid w:val="00BA25DA"/>
    <w:rsid w:val="00BC5192"/>
    <w:rsid w:val="00BC5DA4"/>
    <w:rsid w:val="00BC7B09"/>
    <w:rsid w:val="00C23F36"/>
    <w:rsid w:val="00C24748"/>
    <w:rsid w:val="00C33BF5"/>
    <w:rsid w:val="00C535C2"/>
    <w:rsid w:val="00C61FAC"/>
    <w:rsid w:val="00CB4C3D"/>
    <w:rsid w:val="00CB6071"/>
    <w:rsid w:val="00CC377E"/>
    <w:rsid w:val="00CD0B68"/>
    <w:rsid w:val="00CD30EF"/>
    <w:rsid w:val="00CD4228"/>
    <w:rsid w:val="00CD60EE"/>
    <w:rsid w:val="00CE0DC3"/>
    <w:rsid w:val="00CF4BAE"/>
    <w:rsid w:val="00D108F5"/>
    <w:rsid w:val="00D15043"/>
    <w:rsid w:val="00D16BA5"/>
    <w:rsid w:val="00D33845"/>
    <w:rsid w:val="00D50001"/>
    <w:rsid w:val="00D50B91"/>
    <w:rsid w:val="00D63D6F"/>
    <w:rsid w:val="00D669D7"/>
    <w:rsid w:val="00D76EA0"/>
    <w:rsid w:val="00D91E8A"/>
    <w:rsid w:val="00DA6FAA"/>
    <w:rsid w:val="00DB016B"/>
    <w:rsid w:val="00DB0F26"/>
    <w:rsid w:val="00DB230A"/>
    <w:rsid w:val="00DE29CA"/>
    <w:rsid w:val="00DF2C3E"/>
    <w:rsid w:val="00E012A8"/>
    <w:rsid w:val="00E12BCE"/>
    <w:rsid w:val="00E261BB"/>
    <w:rsid w:val="00E335A0"/>
    <w:rsid w:val="00E46CFB"/>
    <w:rsid w:val="00E54E16"/>
    <w:rsid w:val="00E715B0"/>
    <w:rsid w:val="00E77DE3"/>
    <w:rsid w:val="00E810D0"/>
    <w:rsid w:val="00E8758A"/>
    <w:rsid w:val="00E91ADF"/>
    <w:rsid w:val="00E952AC"/>
    <w:rsid w:val="00EA0D1D"/>
    <w:rsid w:val="00EA4D7E"/>
    <w:rsid w:val="00EC7ADB"/>
    <w:rsid w:val="00EE0697"/>
    <w:rsid w:val="00F02279"/>
    <w:rsid w:val="00F401EF"/>
    <w:rsid w:val="00F47A41"/>
    <w:rsid w:val="00F67C05"/>
    <w:rsid w:val="00F700F9"/>
    <w:rsid w:val="00F7111C"/>
    <w:rsid w:val="00F84983"/>
    <w:rsid w:val="00FB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111C"/>
    <w:pPr>
      <w:spacing w:after="240"/>
      <w:jc w:val="both"/>
    </w:pPr>
    <w:rPr>
      <w:rFonts w:eastAsia="Times New Roman" w:cs="Times New Roman"/>
      <w:szCs w:val="20"/>
    </w:rPr>
  </w:style>
  <w:style w:type="character" w:customStyle="1" w:styleId="BodyTextChar">
    <w:name w:val="Body Text Char"/>
    <w:basedOn w:val="DefaultParagraphFont"/>
    <w:link w:val="BodyText"/>
    <w:rsid w:val="00F7111C"/>
    <w:rPr>
      <w:rFonts w:eastAsia="Times New Roman" w:cs="Times New Roman"/>
      <w:szCs w:val="20"/>
    </w:rPr>
  </w:style>
  <w:style w:type="paragraph" w:styleId="FootnoteText">
    <w:name w:val="footnote text"/>
    <w:basedOn w:val="Normal"/>
    <w:link w:val="FootnoteTextChar"/>
    <w:uiPriority w:val="99"/>
    <w:unhideWhenUsed/>
    <w:rsid w:val="00CD4228"/>
    <w:rPr>
      <w:sz w:val="20"/>
      <w:szCs w:val="20"/>
    </w:rPr>
  </w:style>
  <w:style w:type="character" w:customStyle="1" w:styleId="FootnoteTextChar">
    <w:name w:val="Footnote Text Char"/>
    <w:basedOn w:val="DefaultParagraphFont"/>
    <w:link w:val="FootnoteText"/>
    <w:uiPriority w:val="99"/>
    <w:rsid w:val="00CD4228"/>
    <w:rPr>
      <w:sz w:val="20"/>
      <w:szCs w:val="20"/>
    </w:rPr>
  </w:style>
  <w:style w:type="character" w:styleId="FootnoteReference">
    <w:name w:val="footnote reference"/>
    <w:basedOn w:val="DefaultParagraphFont"/>
    <w:uiPriority w:val="99"/>
    <w:unhideWhenUsed/>
    <w:rsid w:val="00CD4228"/>
    <w:rPr>
      <w:vertAlign w:val="superscript"/>
    </w:rPr>
  </w:style>
  <w:style w:type="paragraph" w:styleId="ListParagraph">
    <w:name w:val="List Paragraph"/>
    <w:basedOn w:val="Normal"/>
    <w:uiPriority w:val="34"/>
    <w:qFormat/>
    <w:rsid w:val="002D2C30"/>
    <w:pPr>
      <w:ind w:left="720"/>
      <w:contextualSpacing/>
    </w:pPr>
  </w:style>
  <w:style w:type="character" w:styleId="CommentReference">
    <w:name w:val="annotation reference"/>
    <w:basedOn w:val="DefaultParagraphFont"/>
    <w:uiPriority w:val="99"/>
    <w:semiHidden/>
    <w:unhideWhenUsed/>
    <w:rsid w:val="008F06A5"/>
    <w:rPr>
      <w:sz w:val="16"/>
      <w:szCs w:val="16"/>
    </w:rPr>
  </w:style>
  <w:style w:type="paragraph" w:styleId="CommentText">
    <w:name w:val="annotation text"/>
    <w:basedOn w:val="Normal"/>
    <w:link w:val="CommentTextChar"/>
    <w:uiPriority w:val="99"/>
    <w:semiHidden/>
    <w:unhideWhenUsed/>
    <w:rsid w:val="008F06A5"/>
    <w:rPr>
      <w:sz w:val="20"/>
      <w:szCs w:val="20"/>
    </w:rPr>
  </w:style>
  <w:style w:type="character" w:customStyle="1" w:styleId="CommentTextChar">
    <w:name w:val="Comment Text Char"/>
    <w:basedOn w:val="DefaultParagraphFont"/>
    <w:link w:val="CommentText"/>
    <w:uiPriority w:val="99"/>
    <w:semiHidden/>
    <w:rsid w:val="008F06A5"/>
    <w:rPr>
      <w:sz w:val="20"/>
      <w:szCs w:val="20"/>
    </w:rPr>
  </w:style>
  <w:style w:type="paragraph" w:styleId="CommentSubject">
    <w:name w:val="annotation subject"/>
    <w:basedOn w:val="CommentText"/>
    <w:next w:val="CommentText"/>
    <w:link w:val="CommentSubjectChar"/>
    <w:uiPriority w:val="99"/>
    <w:semiHidden/>
    <w:unhideWhenUsed/>
    <w:rsid w:val="008F06A5"/>
    <w:rPr>
      <w:b/>
      <w:bCs/>
    </w:rPr>
  </w:style>
  <w:style w:type="character" w:customStyle="1" w:styleId="CommentSubjectChar">
    <w:name w:val="Comment Subject Char"/>
    <w:basedOn w:val="CommentTextChar"/>
    <w:link w:val="CommentSubject"/>
    <w:uiPriority w:val="99"/>
    <w:semiHidden/>
    <w:rsid w:val="008F06A5"/>
    <w:rPr>
      <w:b/>
      <w:bCs/>
      <w:sz w:val="20"/>
      <w:szCs w:val="20"/>
    </w:rPr>
  </w:style>
  <w:style w:type="paragraph" w:styleId="BalloonText">
    <w:name w:val="Balloon Text"/>
    <w:basedOn w:val="Normal"/>
    <w:link w:val="BalloonTextChar"/>
    <w:uiPriority w:val="99"/>
    <w:semiHidden/>
    <w:unhideWhenUsed/>
    <w:rsid w:val="008F06A5"/>
    <w:rPr>
      <w:rFonts w:ascii="Tahoma" w:hAnsi="Tahoma" w:cs="Tahoma"/>
      <w:sz w:val="16"/>
      <w:szCs w:val="16"/>
    </w:rPr>
  </w:style>
  <w:style w:type="character" w:customStyle="1" w:styleId="BalloonTextChar">
    <w:name w:val="Balloon Text Char"/>
    <w:basedOn w:val="DefaultParagraphFont"/>
    <w:link w:val="BalloonText"/>
    <w:uiPriority w:val="99"/>
    <w:semiHidden/>
    <w:rsid w:val="008F06A5"/>
    <w:rPr>
      <w:rFonts w:ascii="Tahoma" w:hAnsi="Tahoma" w:cs="Tahoma"/>
      <w:sz w:val="16"/>
      <w:szCs w:val="16"/>
    </w:rPr>
  </w:style>
  <w:style w:type="paragraph" w:styleId="BodyTextIndent2">
    <w:name w:val="Body Text Indent 2"/>
    <w:basedOn w:val="Normal"/>
    <w:link w:val="BodyTextIndent2Char"/>
    <w:uiPriority w:val="99"/>
    <w:semiHidden/>
    <w:unhideWhenUsed/>
    <w:rsid w:val="00E012A8"/>
    <w:pPr>
      <w:spacing w:after="120" w:line="480" w:lineRule="auto"/>
      <w:ind w:left="360"/>
    </w:pPr>
  </w:style>
  <w:style w:type="character" w:customStyle="1" w:styleId="BodyTextIndent2Char">
    <w:name w:val="Body Text Indent 2 Char"/>
    <w:basedOn w:val="DefaultParagraphFont"/>
    <w:link w:val="BodyTextIndent2"/>
    <w:uiPriority w:val="99"/>
    <w:semiHidden/>
    <w:rsid w:val="00E012A8"/>
  </w:style>
  <w:style w:type="paragraph" w:styleId="Footer">
    <w:name w:val="footer"/>
    <w:basedOn w:val="Normal"/>
    <w:link w:val="FooterChar"/>
    <w:rsid w:val="00E012A8"/>
    <w:pPr>
      <w:tabs>
        <w:tab w:val="center" w:pos="4320"/>
        <w:tab w:val="right" w:pos="8640"/>
      </w:tabs>
    </w:pPr>
    <w:rPr>
      <w:rFonts w:eastAsia="Times New Roman" w:cs="Times New Roman"/>
      <w:szCs w:val="24"/>
    </w:rPr>
  </w:style>
  <w:style w:type="character" w:customStyle="1" w:styleId="FooterChar">
    <w:name w:val="Footer Char"/>
    <w:basedOn w:val="DefaultParagraphFont"/>
    <w:link w:val="Footer"/>
    <w:rsid w:val="00E012A8"/>
    <w:rPr>
      <w:rFonts w:eastAsia="Times New Roman" w:cs="Times New Roman"/>
      <w:szCs w:val="24"/>
    </w:rPr>
  </w:style>
  <w:style w:type="character" w:styleId="PageNumber">
    <w:name w:val="page number"/>
    <w:basedOn w:val="DefaultParagraphFont"/>
    <w:rsid w:val="00E012A8"/>
  </w:style>
  <w:style w:type="paragraph" w:styleId="NoSpacing">
    <w:name w:val="No Spacing"/>
    <w:uiPriority w:val="1"/>
    <w:qFormat/>
    <w:rsid w:val="00E012A8"/>
    <w:rPr>
      <w:rFonts w:ascii="Palatino Linotype" w:eastAsia="Times New Roman" w:hAnsi="Palatino Linotype" w:cs="Times New Roman"/>
      <w:szCs w:val="24"/>
    </w:rPr>
  </w:style>
  <w:style w:type="paragraph" w:styleId="Header">
    <w:name w:val="header"/>
    <w:basedOn w:val="Normal"/>
    <w:link w:val="HeaderChar"/>
    <w:uiPriority w:val="99"/>
    <w:unhideWhenUsed/>
    <w:rsid w:val="00656848"/>
    <w:pPr>
      <w:tabs>
        <w:tab w:val="center" w:pos="4680"/>
        <w:tab w:val="right" w:pos="9360"/>
      </w:tabs>
    </w:pPr>
  </w:style>
  <w:style w:type="character" w:customStyle="1" w:styleId="HeaderChar">
    <w:name w:val="Header Char"/>
    <w:basedOn w:val="DefaultParagraphFont"/>
    <w:link w:val="Header"/>
    <w:uiPriority w:val="99"/>
    <w:rsid w:val="00656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111C"/>
    <w:pPr>
      <w:spacing w:after="240"/>
      <w:jc w:val="both"/>
    </w:pPr>
    <w:rPr>
      <w:rFonts w:eastAsia="Times New Roman" w:cs="Times New Roman"/>
      <w:szCs w:val="20"/>
    </w:rPr>
  </w:style>
  <w:style w:type="character" w:customStyle="1" w:styleId="BodyTextChar">
    <w:name w:val="Body Text Char"/>
    <w:basedOn w:val="DefaultParagraphFont"/>
    <w:link w:val="BodyText"/>
    <w:rsid w:val="00F7111C"/>
    <w:rPr>
      <w:rFonts w:eastAsia="Times New Roman" w:cs="Times New Roman"/>
      <w:szCs w:val="20"/>
    </w:rPr>
  </w:style>
  <w:style w:type="paragraph" w:styleId="FootnoteText">
    <w:name w:val="footnote text"/>
    <w:basedOn w:val="Normal"/>
    <w:link w:val="FootnoteTextChar"/>
    <w:uiPriority w:val="99"/>
    <w:unhideWhenUsed/>
    <w:rsid w:val="00CD4228"/>
    <w:rPr>
      <w:sz w:val="20"/>
      <w:szCs w:val="20"/>
    </w:rPr>
  </w:style>
  <w:style w:type="character" w:customStyle="1" w:styleId="FootnoteTextChar">
    <w:name w:val="Footnote Text Char"/>
    <w:basedOn w:val="DefaultParagraphFont"/>
    <w:link w:val="FootnoteText"/>
    <w:uiPriority w:val="99"/>
    <w:rsid w:val="00CD4228"/>
    <w:rPr>
      <w:sz w:val="20"/>
      <w:szCs w:val="20"/>
    </w:rPr>
  </w:style>
  <w:style w:type="character" w:styleId="FootnoteReference">
    <w:name w:val="footnote reference"/>
    <w:basedOn w:val="DefaultParagraphFont"/>
    <w:uiPriority w:val="99"/>
    <w:unhideWhenUsed/>
    <w:rsid w:val="00CD4228"/>
    <w:rPr>
      <w:vertAlign w:val="superscript"/>
    </w:rPr>
  </w:style>
  <w:style w:type="paragraph" w:styleId="ListParagraph">
    <w:name w:val="List Paragraph"/>
    <w:basedOn w:val="Normal"/>
    <w:uiPriority w:val="34"/>
    <w:qFormat/>
    <w:rsid w:val="002D2C30"/>
    <w:pPr>
      <w:ind w:left="720"/>
      <w:contextualSpacing/>
    </w:pPr>
  </w:style>
  <w:style w:type="character" w:styleId="CommentReference">
    <w:name w:val="annotation reference"/>
    <w:basedOn w:val="DefaultParagraphFont"/>
    <w:uiPriority w:val="99"/>
    <w:semiHidden/>
    <w:unhideWhenUsed/>
    <w:rsid w:val="008F06A5"/>
    <w:rPr>
      <w:sz w:val="16"/>
      <w:szCs w:val="16"/>
    </w:rPr>
  </w:style>
  <w:style w:type="paragraph" w:styleId="CommentText">
    <w:name w:val="annotation text"/>
    <w:basedOn w:val="Normal"/>
    <w:link w:val="CommentTextChar"/>
    <w:uiPriority w:val="99"/>
    <w:semiHidden/>
    <w:unhideWhenUsed/>
    <w:rsid w:val="008F06A5"/>
    <w:rPr>
      <w:sz w:val="20"/>
      <w:szCs w:val="20"/>
    </w:rPr>
  </w:style>
  <w:style w:type="character" w:customStyle="1" w:styleId="CommentTextChar">
    <w:name w:val="Comment Text Char"/>
    <w:basedOn w:val="DefaultParagraphFont"/>
    <w:link w:val="CommentText"/>
    <w:uiPriority w:val="99"/>
    <w:semiHidden/>
    <w:rsid w:val="008F06A5"/>
    <w:rPr>
      <w:sz w:val="20"/>
      <w:szCs w:val="20"/>
    </w:rPr>
  </w:style>
  <w:style w:type="paragraph" w:styleId="CommentSubject">
    <w:name w:val="annotation subject"/>
    <w:basedOn w:val="CommentText"/>
    <w:next w:val="CommentText"/>
    <w:link w:val="CommentSubjectChar"/>
    <w:uiPriority w:val="99"/>
    <w:semiHidden/>
    <w:unhideWhenUsed/>
    <w:rsid w:val="008F06A5"/>
    <w:rPr>
      <w:b/>
      <w:bCs/>
    </w:rPr>
  </w:style>
  <w:style w:type="character" w:customStyle="1" w:styleId="CommentSubjectChar">
    <w:name w:val="Comment Subject Char"/>
    <w:basedOn w:val="CommentTextChar"/>
    <w:link w:val="CommentSubject"/>
    <w:uiPriority w:val="99"/>
    <w:semiHidden/>
    <w:rsid w:val="008F06A5"/>
    <w:rPr>
      <w:b/>
      <w:bCs/>
      <w:sz w:val="20"/>
      <w:szCs w:val="20"/>
    </w:rPr>
  </w:style>
  <w:style w:type="paragraph" w:styleId="BalloonText">
    <w:name w:val="Balloon Text"/>
    <w:basedOn w:val="Normal"/>
    <w:link w:val="BalloonTextChar"/>
    <w:uiPriority w:val="99"/>
    <w:semiHidden/>
    <w:unhideWhenUsed/>
    <w:rsid w:val="008F06A5"/>
    <w:rPr>
      <w:rFonts w:ascii="Tahoma" w:hAnsi="Tahoma" w:cs="Tahoma"/>
      <w:sz w:val="16"/>
      <w:szCs w:val="16"/>
    </w:rPr>
  </w:style>
  <w:style w:type="character" w:customStyle="1" w:styleId="BalloonTextChar">
    <w:name w:val="Balloon Text Char"/>
    <w:basedOn w:val="DefaultParagraphFont"/>
    <w:link w:val="BalloonText"/>
    <w:uiPriority w:val="99"/>
    <w:semiHidden/>
    <w:rsid w:val="008F06A5"/>
    <w:rPr>
      <w:rFonts w:ascii="Tahoma" w:hAnsi="Tahoma" w:cs="Tahoma"/>
      <w:sz w:val="16"/>
      <w:szCs w:val="16"/>
    </w:rPr>
  </w:style>
  <w:style w:type="paragraph" w:styleId="BodyTextIndent2">
    <w:name w:val="Body Text Indent 2"/>
    <w:basedOn w:val="Normal"/>
    <w:link w:val="BodyTextIndent2Char"/>
    <w:uiPriority w:val="99"/>
    <w:semiHidden/>
    <w:unhideWhenUsed/>
    <w:rsid w:val="00E012A8"/>
    <w:pPr>
      <w:spacing w:after="120" w:line="480" w:lineRule="auto"/>
      <w:ind w:left="360"/>
    </w:pPr>
  </w:style>
  <w:style w:type="character" w:customStyle="1" w:styleId="BodyTextIndent2Char">
    <w:name w:val="Body Text Indent 2 Char"/>
    <w:basedOn w:val="DefaultParagraphFont"/>
    <w:link w:val="BodyTextIndent2"/>
    <w:uiPriority w:val="99"/>
    <w:semiHidden/>
    <w:rsid w:val="00E012A8"/>
  </w:style>
  <w:style w:type="paragraph" w:styleId="Footer">
    <w:name w:val="footer"/>
    <w:basedOn w:val="Normal"/>
    <w:link w:val="FooterChar"/>
    <w:rsid w:val="00E012A8"/>
    <w:pPr>
      <w:tabs>
        <w:tab w:val="center" w:pos="4320"/>
        <w:tab w:val="right" w:pos="8640"/>
      </w:tabs>
    </w:pPr>
    <w:rPr>
      <w:rFonts w:eastAsia="Times New Roman" w:cs="Times New Roman"/>
      <w:szCs w:val="24"/>
    </w:rPr>
  </w:style>
  <w:style w:type="character" w:customStyle="1" w:styleId="FooterChar">
    <w:name w:val="Footer Char"/>
    <w:basedOn w:val="DefaultParagraphFont"/>
    <w:link w:val="Footer"/>
    <w:rsid w:val="00E012A8"/>
    <w:rPr>
      <w:rFonts w:eastAsia="Times New Roman" w:cs="Times New Roman"/>
      <w:szCs w:val="24"/>
    </w:rPr>
  </w:style>
  <w:style w:type="character" w:styleId="PageNumber">
    <w:name w:val="page number"/>
    <w:basedOn w:val="DefaultParagraphFont"/>
    <w:rsid w:val="00E012A8"/>
  </w:style>
  <w:style w:type="paragraph" w:styleId="NoSpacing">
    <w:name w:val="No Spacing"/>
    <w:uiPriority w:val="1"/>
    <w:qFormat/>
    <w:rsid w:val="00E012A8"/>
    <w:rPr>
      <w:rFonts w:ascii="Palatino Linotype" w:eastAsia="Times New Roman" w:hAnsi="Palatino Linotype" w:cs="Times New Roman"/>
      <w:szCs w:val="24"/>
    </w:rPr>
  </w:style>
  <w:style w:type="paragraph" w:styleId="Header">
    <w:name w:val="header"/>
    <w:basedOn w:val="Normal"/>
    <w:link w:val="HeaderChar"/>
    <w:uiPriority w:val="99"/>
    <w:unhideWhenUsed/>
    <w:rsid w:val="00656848"/>
    <w:pPr>
      <w:tabs>
        <w:tab w:val="center" w:pos="4680"/>
        <w:tab w:val="right" w:pos="9360"/>
      </w:tabs>
    </w:pPr>
  </w:style>
  <w:style w:type="character" w:customStyle="1" w:styleId="HeaderChar">
    <w:name w:val="Header Char"/>
    <w:basedOn w:val="DefaultParagraphFont"/>
    <w:link w:val="Header"/>
    <w:uiPriority w:val="99"/>
    <w:rsid w:val="00656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55134">
      <w:bodyDiv w:val="1"/>
      <w:marLeft w:val="0"/>
      <w:marRight w:val="0"/>
      <w:marTop w:val="0"/>
      <w:marBottom w:val="0"/>
      <w:divBdr>
        <w:top w:val="none" w:sz="0" w:space="0" w:color="auto"/>
        <w:left w:val="none" w:sz="0" w:space="0" w:color="auto"/>
        <w:bottom w:val="none" w:sz="0" w:space="0" w:color="auto"/>
        <w:right w:val="none" w:sz="0" w:space="0" w:color="auto"/>
      </w:divBdr>
    </w:div>
    <w:div w:id="749886862">
      <w:bodyDiv w:val="1"/>
      <w:marLeft w:val="0"/>
      <w:marRight w:val="0"/>
      <w:marTop w:val="0"/>
      <w:marBottom w:val="0"/>
      <w:divBdr>
        <w:top w:val="none" w:sz="0" w:space="0" w:color="auto"/>
        <w:left w:val="none" w:sz="0" w:space="0" w:color="auto"/>
        <w:bottom w:val="none" w:sz="0" w:space="0" w:color="auto"/>
        <w:right w:val="none" w:sz="0" w:space="0" w:color="auto"/>
      </w:divBdr>
    </w:div>
    <w:div w:id="79286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2012-02-29T08:00:00+00:00</OpenedDate>
    <Date1 xmlns="dc463f71-b30c-4ab2-9473-d307f9d35888">2012-05-04T07:00:00+00:00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120277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ECBE91D0018D4DACB54124B0FFBF83" ma:contentTypeVersion="139" ma:contentTypeDescription="" ma:contentTypeScope="" ma:versionID="e5585f8624f92370e7cc471b470a41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E9F05-F4E7-4B55-946F-7B8CB8826758}"/>
</file>

<file path=customXml/itemProps2.xml><?xml version="1.0" encoding="utf-8"?>
<ds:datastoreItem xmlns:ds="http://schemas.openxmlformats.org/officeDocument/2006/customXml" ds:itemID="{2DF9A64B-AE25-43AA-BCAA-892FBCCB899C}"/>
</file>

<file path=customXml/itemProps3.xml><?xml version="1.0" encoding="utf-8"?>
<ds:datastoreItem xmlns:ds="http://schemas.openxmlformats.org/officeDocument/2006/customXml" ds:itemID="{62845AB3-11A6-470A-932B-9ABB737F5638}"/>
</file>

<file path=customXml/itemProps4.xml><?xml version="1.0" encoding="utf-8"?>
<ds:datastoreItem xmlns:ds="http://schemas.openxmlformats.org/officeDocument/2006/customXml" ds:itemID="{AB3E2090-D18D-4AAD-97EE-8973C619B0D9}"/>
</file>

<file path=customXml/itemProps5.xml><?xml version="1.0" encoding="utf-8"?>
<ds:datastoreItem xmlns:ds="http://schemas.openxmlformats.org/officeDocument/2006/customXml" ds:itemID="{35B58DCD-6D9B-4791-A2AA-02DAF314FB19}"/>
</file>

<file path=docProps/app.xml><?xml version="1.0" encoding="utf-8"?>
<Properties xmlns="http://schemas.openxmlformats.org/officeDocument/2006/extended-properties" xmlns:vt="http://schemas.openxmlformats.org/officeDocument/2006/docPropsVTypes">
  <Template>Normal</Template>
  <TotalTime>37</TotalTime>
  <Pages>19</Pages>
  <Words>3864</Words>
  <Characters>22030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Cedarbaum, Bob (UTC)</dc:creator>
  <cp:lastModifiedBy>Cedarbaum, Bob (UTC)</cp:lastModifiedBy>
  <cp:revision>3</cp:revision>
  <cp:lastPrinted>2012-05-02T20:46:00Z</cp:lastPrinted>
  <dcterms:created xsi:type="dcterms:W3CDTF">2012-05-03T15:33:00Z</dcterms:created>
  <dcterms:modified xsi:type="dcterms:W3CDTF">2012-05-03T16:10:00Z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0x0101006E56B4D1795A2E4DB2F0B01679ED314A0029ECBE91D0018D4DACB54124B0FFBF83</vt:lpwstr>
  </property>
  <property fmtid="{D5CDD505-2E9C-101B-9397-08002B2CF9AE}" pid="3" name="_docset_NoMedatataSyncRequired">
    <vt:lpwstr>False</vt:lpwstr>
  </property>
</Properties>
</file>