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A5" w:rsidRPr="00103065" w:rsidRDefault="008628A5" w:rsidP="008628A5">
      <w:pPr>
        <w:tabs>
          <w:tab w:val="left" w:pos="3690"/>
        </w:tabs>
        <w:rPr>
          <w:rFonts w:ascii="Times New Roman" w:hAnsi="Times New Roman"/>
        </w:rPr>
      </w:pPr>
      <w:r w:rsidRPr="00103065">
        <w:rPr>
          <w:rFonts w:ascii="Times New Roman" w:hAnsi="Times New Roman"/>
          <w:b/>
        </w:rPr>
        <w:t>Q1</w:t>
      </w:r>
      <w:r w:rsidRPr="00103065">
        <w:rPr>
          <w:rFonts w:ascii="Times New Roman" w:hAnsi="Times New Roman"/>
        </w:rPr>
        <w:t>.  For low-income agencies a complete budget and expenditures with a list of all funding sources for low-income conservation including housing repair, heath and safety assistance and the amount of funding available as a proportion of the total agency budget.</w:t>
      </w:r>
    </w:p>
    <w:p w:rsidR="008628A5" w:rsidRPr="00103065" w:rsidRDefault="008628A5" w:rsidP="008628A5">
      <w:pPr>
        <w:rPr>
          <w:rFonts w:ascii="Times New Roman" w:hAnsi="Times New Roman"/>
        </w:rPr>
      </w:pPr>
    </w:p>
    <w:p w:rsidR="008628A5" w:rsidRPr="00103065" w:rsidRDefault="008628A5" w:rsidP="008628A5">
      <w:pPr>
        <w:tabs>
          <w:tab w:val="right" w:pos="4950"/>
        </w:tabs>
        <w:rPr>
          <w:rFonts w:ascii="Times New Roman" w:hAnsi="Times New Roman"/>
        </w:rPr>
      </w:pPr>
      <w:r w:rsidRPr="00103065">
        <w:rPr>
          <w:rFonts w:ascii="Times New Roman" w:hAnsi="Times New Roman"/>
          <w:b/>
        </w:rPr>
        <w:t xml:space="preserve">A1.  </w:t>
      </w:r>
      <w:r w:rsidRPr="00103065">
        <w:rPr>
          <w:rFonts w:ascii="Times New Roman" w:hAnsi="Times New Roman"/>
        </w:rPr>
        <w:t xml:space="preserve">The Energy Project was unable to retrieve data from the agencies at the level of detail that this request and question 7 would require.  </w:t>
      </w:r>
      <w:r>
        <w:rPr>
          <w:rFonts w:ascii="Times New Roman" w:hAnsi="Times New Roman"/>
        </w:rPr>
        <w:t>T</w:t>
      </w:r>
      <w:r w:rsidRPr="00103065">
        <w:rPr>
          <w:rFonts w:ascii="Times New Roman" w:hAnsi="Times New Roman"/>
        </w:rPr>
        <w:t>he table below was constructed from data supplied by the Department of Commerce</w:t>
      </w:r>
      <w:r>
        <w:rPr>
          <w:rFonts w:ascii="Times New Roman" w:hAnsi="Times New Roman"/>
        </w:rPr>
        <w:t xml:space="preserve"> (Commerce)</w:t>
      </w:r>
      <w:r w:rsidRPr="00103065">
        <w:rPr>
          <w:rFonts w:ascii="Times New Roman" w:hAnsi="Times New Roman"/>
        </w:rPr>
        <w:t xml:space="preserve"> for the DOE Weatherization Assistance Program (WAP) and Department of Health and Human Services Low-Income Home Energy Assist</w:t>
      </w:r>
      <w:r>
        <w:rPr>
          <w:rFonts w:ascii="Times New Roman" w:hAnsi="Times New Roman"/>
        </w:rPr>
        <w:t>ance Program Weatherization (LIHEAP</w:t>
      </w:r>
      <w:r w:rsidRPr="00103065">
        <w:rPr>
          <w:rFonts w:ascii="Times New Roman" w:hAnsi="Times New Roman"/>
        </w:rPr>
        <w:t xml:space="preserve"> Wx), the Bonneville Power Administration funds that Commerce administers, and the Energy Matchmaker state-funded program, which is now called the Matchmaker Program (MM).   It is important to note that </w:t>
      </w:r>
      <w:r>
        <w:rPr>
          <w:rFonts w:ascii="Times New Roman" w:hAnsi="Times New Roman"/>
        </w:rPr>
        <w:t xml:space="preserve">this table does not include </w:t>
      </w:r>
      <w:r w:rsidRPr="00103065">
        <w:rPr>
          <w:rFonts w:ascii="Times New Roman" w:hAnsi="Times New Roman"/>
        </w:rPr>
        <w:t xml:space="preserve">all line items </w:t>
      </w:r>
      <w:r>
        <w:rPr>
          <w:rFonts w:ascii="Times New Roman" w:hAnsi="Times New Roman"/>
        </w:rPr>
        <w:t xml:space="preserve">in </w:t>
      </w:r>
      <w:r w:rsidRPr="00103065">
        <w:rPr>
          <w:rFonts w:ascii="Times New Roman" w:hAnsi="Times New Roman"/>
        </w:rPr>
        <w:t>agency budgets</w:t>
      </w:r>
      <w:r>
        <w:rPr>
          <w:rFonts w:ascii="Times New Roman" w:hAnsi="Times New Roman"/>
        </w:rPr>
        <w:t>.</w:t>
      </w:r>
      <w:r w:rsidRPr="00103065">
        <w:rPr>
          <w:rFonts w:ascii="Times New Roman" w:hAnsi="Times New Roman"/>
        </w:rPr>
        <w:t xml:space="preserve">  For example, WAP and </w:t>
      </w:r>
      <w:r>
        <w:rPr>
          <w:rFonts w:ascii="Times New Roman" w:hAnsi="Times New Roman"/>
        </w:rPr>
        <w:t>LIHEAP</w:t>
      </w:r>
      <w:r w:rsidRPr="00103065">
        <w:rPr>
          <w:rFonts w:ascii="Times New Roman" w:hAnsi="Times New Roman"/>
        </w:rPr>
        <w:t xml:space="preserve"> Wx budgets provide significant funding for training and technical assistance to the agencies.  Some agencies use some of their funding sources to provide conservation education.  There are also </w:t>
      </w:r>
      <w:r>
        <w:rPr>
          <w:rFonts w:ascii="Times New Roman" w:hAnsi="Times New Roman"/>
        </w:rPr>
        <w:t xml:space="preserve">line items for </w:t>
      </w:r>
      <w:r w:rsidRPr="00103065">
        <w:rPr>
          <w:rFonts w:ascii="Times New Roman" w:hAnsi="Times New Roman"/>
        </w:rPr>
        <w:t xml:space="preserve">liability insurance and auditing that are not accounted for in either program support </w:t>
      </w:r>
      <w:r>
        <w:rPr>
          <w:rFonts w:ascii="Times New Roman" w:hAnsi="Times New Roman"/>
        </w:rPr>
        <w:t>or administration.  In addition</w:t>
      </w:r>
      <w:r w:rsidRPr="00103065">
        <w:rPr>
          <w:rFonts w:ascii="Times New Roman" w:hAnsi="Times New Roman"/>
        </w:rPr>
        <w:t xml:space="preserve"> to BPA’s funding there is </w:t>
      </w:r>
      <w:r>
        <w:rPr>
          <w:rFonts w:ascii="Times New Roman" w:hAnsi="Times New Roman"/>
        </w:rPr>
        <w:t xml:space="preserve">also </w:t>
      </w:r>
      <w:r w:rsidRPr="00103065">
        <w:rPr>
          <w:rFonts w:ascii="Times New Roman" w:hAnsi="Times New Roman"/>
        </w:rPr>
        <w:t>consumer-owned utility (COU) funding directly from the utility to the local agency</w:t>
      </w:r>
      <w:r>
        <w:rPr>
          <w:rFonts w:ascii="Times New Roman" w:hAnsi="Times New Roman"/>
        </w:rPr>
        <w:t xml:space="preserve"> for which </w:t>
      </w:r>
      <w:r w:rsidRPr="00103065">
        <w:rPr>
          <w:rFonts w:ascii="Times New Roman" w:hAnsi="Times New Roman"/>
        </w:rPr>
        <w:t xml:space="preserve">we do not </w:t>
      </w:r>
      <w:r>
        <w:rPr>
          <w:rFonts w:ascii="Times New Roman" w:hAnsi="Times New Roman"/>
        </w:rPr>
        <w:t>have the</w:t>
      </w:r>
      <w:r w:rsidRPr="00103065">
        <w:rPr>
          <w:rFonts w:ascii="Times New Roman" w:hAnsi="Times New Roman"/>
        </w:rPr>
        <w:t xml:space="preserve"> detailed amounts.  </w:t>
      </w:r>
      <w:r>
        <w:rPr>
          <w:rFonts w:ascii="Times New Roman" w:hAnsi="Times New Roman"/>
        </w:rPr>
        <w:t>We are also</w:t>
      </w:r>
      <w:r w:rsidRPr="00103065">
        <w:rPr>
          <w:rFonts w:ascii="Times New Roman" w:hAnsi="Times New Roman"/>
        </w:rPr>
        <w:t xml:space="preserve"> aware that some agencies receive funding that can be used for repairs that is not </w:t>
      </w:r>
      <w:r>
        <w:rPr>
          <w:rFonts w:ascii="Times New Roman" w:hAnsi="Times New Roman"/>
        </w:rPr>
        <w:t xml:space="preserve">administered </w:t>
      </w:r>
      <w:r w:rsidRPr="00103065">
        <w:rPr>
          <w:rFonts w:ascii="Times New Roman" w:hAnsi="Times New Roman"/>
        </w:rPr>
        <w:t xml:space="preserve">by Commerce.  The Metropolitan Development Council, for example, receives $40,000/year from the City of Tacoma that they can use for repair.  Agencies that provide weatherization services often provide home rehabilitation services.  Funds dedicated to repairs can be useful, and can sometimes be used for energy efficiency, but funding sources may </w:t>
      </w:r>
      <w:r>
        <w:rPr>
          <w:rFonts w:ascii="Times New Roman" w:hAnsi="Times New Roman"/>
        </w:rPr>
        <w:t xml:space="preserve">have spending requirements for line items </w:t>
      </w:r>
      <w:r w:rsidRPr="00103065">
        <w:rPr>
          <w:rFonts w:ascii="Times New Roman" w:hAnsi="Times New Roman"/>
        </w:rPr>
        <w:t>that do not support energy efficiency measure installation.</w:t>
      </w: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p>
    <w:tbl>
      <w:tblPr>
        <w:tblW w:w="9555" w:type="dxa"/>
        <w:tblInd w:w="93" w:type="dxa"/>
        <w:tblLayout w:type="fixed"/>
        <w:tblLook w:val="04A0"/>
      </w:tblPr>
      <w:tblGrid>
        <w:gridCol w:w="1275"/>
        <w:gridCol w:w="810"/>
        <w:gridCol w:w="900"/>
        <w:gridCol w:w="720"/>
        <w:gridCol w:w="900"/>
        <w:gridCol w:w="720"/>
        <w:gridCol w:w="900"/>
        <w:gridCol w:w="720"/>
        <w:gridCol w:w="900"/>
        <w:gridCol w:w="810"/>
        <w:gridCol w:w="900"/>
      </w:tblGrid>
      <w:tr w:rsidR="008628A5" w:rsidRPr="00BB7303">
        <w:trPr>
          <w:trHeight w:val="540"/>
        </w:trPr>
        <w:tc>
          <w:tcPr>
            <w:tcW w:w="1275" w:type="dxa"/>
            <w:tcBorders>
              <w:top w:val="single" w:sz="4" w:space="0" w:color="auto"/>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Program</w:t>
            </w:r>
          </w:p>
        </w:tc>
        <w:tc>
          <w:tcPr>
            <w:tcW w:w="81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Budget</w:t>
            </w:r>
          </w:p>
        </w:tc>
        <w:tc>
          <w:tcPr>
            <w:tcW w:w="90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Expenditures</w:t>
            </w:r>
          </w:p>
        </w:tc>
        <w:tc>
          <w:tcPr>
            <w:tcW w:w="72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Admin Budget</w:t>
            </w:r>
          </w:p>
        </w:tc>
        <w:tc>
          <w:tcPr>
            <w:tcW w:w="90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Admin Expenditures</w:t>
            </w:r>
          </w:p>
        </w:tc>
        <w:tc>
          <w:tcPr>
            <w:tcW w:w="72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Program Support Budget</w:t>
            </w:r>
          </w:p>
        </w:tc>
        <w:tc>
          <w:tcPr>
            <w:tcW w:w="90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Program Support Expenditures</w:t>
            </w:r>
          </w:p>
        </w:tc>
        <w:tc>
          <w:tcPr>
            <w:tcW w:w="72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Health &amp; Safety Budget</w:t>
            </w:r>
          </w:p>
        </w:tc>
        <w:tc>
          <w:tcPr>
            <w:tcW w:w="90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Health &amp; Safety Expenditures</w:t>
            </w:r>
          </w:p>
        </w:tc>
        <w:tc>
          <w:tcPr>
            <w:tcW w:w="810" w:type="dxa"/>
            <w:tcBorders>
              <w:top w:val="single" w:sz="4" w:space="0" w:color="auto"/>
              <w:left w:val="nil"/>
              <w:bottom w:val="single" w:sz="4" w:space="0" w:color="auto"/>
              <w:right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WX-Related Repairs Budget</w:t>
            </w:r>
          </w:p>
        </w:tc>
        <w:tc>
          <w:tcPr>
            <w:tcW w:w="900" w:type="dxa"/>
            <w:tcBorders>
              <w:top w:val="single" w:sz="4" w:space="0" w:color="auto"/>
              <w:left w:val="nil"/>
              <w:bottom w:val="single" w:sz="4" w:space="0" w:color="auto"/>
            </w:tcBorders>
            <w:shd w:val="clear" w:color="auto" w:fill="auto"/>
            <w:vAlign w:val="bottom"/>
          </w:tcPr>
          <w:p w:rsidR="008628A5" w:rsidRPr="00BB7303" w:rsidRDefault="008628A5" w:rsidP="001F396B">
            <w:pPr>
              <w:jc w:val="cente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WX-Related Repairs Expenditures</w:t>
            </w:r>
          </w:p>
        </w:tc>
      </w:tr>
      <w:tr w:rsidR="008628A5" w:rsidRPr="00BB7303">
        <w:trPr>
          <w:trHeight w:val="222"/>
        </w:trPr>
        <w:tc>
          <w:tcPr>
            <w:tcW w:w="1275" w:type="dxa"/>
            <w:tcBorders>
              <w:top w:val="nil"/>
              <w:bottom w:val="single" w:sz="4" w:space="0" w:color="auto"/>
              <w:right w:val="single" w:sz="4" w:space="0" w:color="auto"/>
            </w:tcBorders>
            <w:shd w:val="clear" w:color="auto" w:fill="auto"/>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DOE WAP 4/08-3/09</w:t>
            </w:r>
          </w:p>
        </w:tc>
        <w:tc>
          <w:tcPr>
            <w:tcW w:w="81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4,476,296</w:t>
            </w:r>
          </w:p>
        </w:tc>
        <w:tc>
          <w:tcPr>
            <w:tcW w:w="90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4,436,100</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522,966</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498,201</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2,833,007</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2,926,709</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487,151</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413,170</w:t>
            </w:r>
          </w:p>
        </w:tc>
        <w:tc>
          <w:tcPr>
            <w:tcW w:w="81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201,352</w:t>
            </w:r>
          </w:p>
        </w:tc>
        <w:tc>
          <w:tcPr>
            <w:tcW w:w="900" w:type="dxa"/>
            <w:tcBorders>
              <w:top w:val="nil"/>
              <w:left w:val="nil"/>
              <w:bottom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299,146</w:t>
            </w:r>
          </w:p>
        </w:tc>
      </w:tr>
      <w:tr w:rsidR="008628A5" w:rsidRPr="00BB7303">
        <w:trPr>
          <w:trHeight w:val="222"/>
        </w:trPr>
        <w:tc>
          <w:tcPr>
            <w:tcW w:w="1275" w:type="dxa"/>
            <w:tcBorders>
              <w:top w:val="nil"/>
              <w:bottom w:val="single" w:sz="4" w:space="0" w:color="auto"/>
              <w:right w:val="single" w:sz="4" w:space="0" w:color="auto"/>
            </w:tcBorders>
            <w:shd w:val="clear" w:color="auto" w:fill="auto"/>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HHS WX 10/07-9/09*</w:t>
            </w:r>
          </w:p>
        </w:tc>
        <w:tc>
          <w:tcPr>
            <w:tcW w:w="810" w:type="dxa"/>
            <w:tcBorders>
              <w:top w:val="nil"/>
              <w:left w:val="nil"/>
              <w:bottom w:val="single" w:sz="4" w:space="0" w:color="auto"/>
              <w:right w:val="single" w:sz="4" w:space="0" w:color="auto"/>
            </w:tcBorders>
            <w:shd w:val="clear" w:color="auto" w:fill="auto"/>
            <w:vAlign w:val="bottom"/>
          </w:tcPr>
          <w:p w:rsidR="008628A5" w:rsidRPr="00BB7303" w:rsidRDefault="008628A5" w:rsidP="00843F10">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13,690,138</w:t>
            </w:r>
          </w:p>
        </w:tc>
        <w:tc>
          <w:tcPr>
            <w:tcW w:w="90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13,065,754</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1,098,004</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962,671</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5,461,195</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5,504,933</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789,607</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789,607</w:t>
            </w:r>
          </w:p>
        </w:tc>
        <w:tc>
          <w:tcPr>
            <w:tcW w:w="81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898,258</w:t>
            </w:r>
          </w:p>
        </w:tc>
        <w:tc>
          <w:tcPr>
            <w:tcW w:w="900" w:type="dxa"/>
            <w:tcBorders>
              <w:top w:val="nil"/>
              <w:left w:val="nil"/>
              <w:bottom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898,258</w:t>
            </w:r>
          </w:p>
        </w:tc>
      </w:tr>
      <w:tr w:rsidR="008628A5" w:rsidRPr="00BB7303">
        <w:trPr>
          <w:trHeight w:val="222"/>
        </w:trPr>
        <w:tc>
          <w:tcPr>
            <w:tcW w:w="1275" w:type="dxa"/>
            <w:tcBorders>
              <w:top w:val="nil"/>
              <w:bottom w:val="single" w:sz="4" w:space="0" w:color="auto"/>
              <w:right w:val="single" w:sz="4" w:space="0" w:color="auto"/>
            </w:tcBorders>
            <w:shd w:val="clear" w:color="auto" w:fill="auto"/>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EM 7/07-6/09</w:t>
            </w:r>
          </w:p>
        </w:tc>
        <w:tc>
          <w:tcPr>
            <w:tcW w:w="81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5,039,316</w:t>
            </w:r>
          </w:p>
        </w:tc>
        <w:tc>
          <w:tcPr>
            <w:tcW w:w="90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5,016,416</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NA</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527,365</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NA</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3,342,086</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NA</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516,930</w:t>
            </w:r>
          </w:p>
        </w:tc>
        <w:tc>
          <w:tcPr>
            <w:tcW w:w="81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NA</w:t>
            </w:r>
          </w:p>
        </w:tc>
        <w:tc>
          <w:tcPr>
            <w:tcW w:w="900" w:type="dxa"/>
            <w:tcBorders>
              <w:top w:val="nil"/>
              <w:left w:val="nil"/>
              <w:bottom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555,657</w:t>
            </w:r>
          </w:p>
        </w:tc>
      </w:tr>
      <w:tr w:rsidR="008628A5" w:rsidRPr="00BB7303">
        <w:trPr>
          <w:trHeight w:val="222"/>
        </w:trPr>
        <w:tc>
          <w:tcPr>
            <w:tcW w:w="1275" w:type="dxa"/>
            <w:tcBorders>
              <w:top w:val="nil"/>
              <w:bottom w:val="single" w:sz="4" w:space="0" w:color="auto"/>
              <w:right w:val="single" w:sz="4" w:space="0" w:color="auto"/>
            </w:tcBorders>
            <w:shd w:val="clear" w:color="auto" w:fill="auto"/>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BPA 10/06-9/09*</w:t>
            </w:r>
          </w:p>
        </w:tc>
        <w:tc>
          <w:tcPr>
            <w:tcW w:w="81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1,953,890</w:t>
            </w:r>
          </w:p>
        </w:tc>
        <w:tc>
          <w:tcPr>
            <w:tcW w:w="90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1,910,312</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232,682</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213,324</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1,295,769</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1,334,941</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152,011</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152,019</w:t>
            </w:r>
          </w:p>
        </w:tc>
        <w:tc>
          <w:tcPr>
            <w:tcW w:w="81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172,594</w:t>
            </w:r>
          </w:p>
        </w:tc>
        <w:tc>
          <w:tcPr>
            <w:tcW w:w="900" w:type="dxa"/>
            <w:tcBorders>
              <w:top w:val="nil"/>
              <w:left w:val="nil"/>
              <w:bottom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136,061</w:t>
            </w:r>
          </w:p>
        </w:tc>
      </w:tr>
      <w:tr w:rsidR="008628A5" w:rsidRPr="00BB7303">
        <w:trPr>
          <w:trHeight w:val="222"/>
        </w:trPr>
        <w:tc>
          <w:tcPr>
            <w:tcW w:w="1275" w:type="dxa"/>
            <w:tcBorders>
              <w:top w:val="nil"/>
              <w:bottom w:val="single" w:sz="4" w:space="0" w:color="auto"/>
              <w:right w:val="single" w:sz="4" w:space="0" w:color="auto"/>
            </w:tcBorders>
            <w:shd w:val="clear" w:color="auto" w:fill="auto"/>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Total</w:t>
            </w:r>
          </w:p>
        </w:tc>
        <w:tc>
          <w:tcPr>
            <w:tcW w:w="81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25,159,640</w:t>
            </w:r>
          </w:p>
        </w:tc>
        <w:tc>
          <w:tcPr>
            <w:tcW w:w="90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24,428,582</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43F10" w:rsidP="001F396B">
            <w:pPr>
              <w:jc w:val="right"/>
              <w:rPr>
                <w:rFonts w:ascii="Arial Narrow" w:eastAsia="Times New Roman" w:hAnsi="Arial Narrow" w:cs="Times New Roman"/>
                <w:color w:val="000000"/>
                <w:sz w:val="13"/>
                <w:szCs w:val="13"/>
              </w:rPr>
            </w:pPr>
            <w:r>
              <w:rPr>
                <w:rFonts w:ascii="Arial Narrow" w:eastAsia="Times New Roman" w:hAnsi="Arial Narrow" w:cs="Times New Roman"/>
                <w:color w:val="000000"/>
                <w:sz w:val="13"/>
                <w:szCs w:val="13"/>
              </w:rPr>
              <w:t>1,853,652</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2,201,561</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43F10" w:rsidP="001F396B">
            <w:pPr>
              <w:jc w:val="right"/>
              <w:rPr>
                <w:rFonts w:ascii="Arial Narrow" w:eastAsia="Times New Roman" w:hAnsi="Arial Narrow" w:cs="Times New Roman"/>
                <w:color w:val="000000"/>
                <w:sz w:val="13"/>
                <w:szCs w:val="13"/>
              </w:rPr>
            </w:pPr>
            <w:r>
              <w:rPr>
                <w:rFonts w:ascii="Arial Narrow" w:eastAsia="Times New Roman" w:hAnsi="Arial Narrow" w:cs="Times New Roman"/>
                <w:color w:val="000000"/>
                <w:sz w:val="13"/>
                <w:szCs w:val="13"/>
              </w:rPr>
              <w:t>9,589,971</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13,108,670</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43F10" w:rsidP="001F396B">
            <w:pPr>
              <w:jc w:val="right"/>
              <w:rPr>
                <w:rFonts w:ascii="Arial Narrow" w:eastAsia="Times New Roman" w:hAnsi="Arial Narrow" w:cs="Times New Roman"/>
                <w:color w:val="000000"/>
                <w:sz w:val="13"/>
                <w:szCs w:val="13"/>
              </w:rPr>
            </w:pPr>
            <w:r>
              <w:rPr>
                <w:rFonts w:ascii="Arial Narrow" w:eastAsia="Times New Roman" w:hAnsi="Arial Narrow" w:cs="Times New Roman"/>
                <w:color w:val="000000"/>
                <w:sz w:val="13"/>
                <w:szCs w:val="13"/>
              </w:rPr>
              <w:t>1,428,769</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1,871,726</w:t>
            </w:r>
          </w:p>
        </w:tc>
        <w:tc>
          <w:tcPr>
            <w:tcW w:w="810" w:type="dxa"/>
            <w:tcBorders>
              <w:top w:val="nil"/>
              <w:left w:val="nil"/>
              <w:bottom w:val="single" w:sz="4" w:space="0" w:color="auto"/>
              <w:right w:val="single" w:sz="4" w:space="0" w:color="auto"/>
            </w:tcBorders>
            <w:shd w:val="clear" w:color="auto" w:fill="auto"/>
            <w:noWrap/>
            <w:vAlign w:val="bottom"/>
          </w:tcPr>
          <w:p w:rsidR="008628A5" w:rsidRPr="00BB7303" w:rsidRDefault="00843F10" w:rsidP="001F396B">
            <w:pPr>
              <w:jc w:val="right"/>
              <w:rPr>
                <w:rFonts w:ascii="Arial Narrow" w:eastAsia="Times New Roman" w:hAnsi="Arial Narrow" w:cs="Times New Roman"/>
                <w:color w:val="000000"/>
                <w:sz w:val="13"/>
                <w:szCs w:val="13"/>
              </w:rPr>
            </w:pPr>
            <w:r>
              <w:rPr>
                <w:rFonts w:ascii="Arial Narrow" w:eastAsia="Times New Roman" w:hAnsi="Arial Narrow" w:cs="Times New Roman"/>
                <w:color w:val="000000"/>
                <w:sz w:val="13"/>
                <w:szCs w:val="13"/>
              </w:rPr>
              <w:t>1,272,204</w:t>
            </w:r>
          </w:p>
        </w:tc>
        <w:tc>
          <w:tcPr>
            <w:tcW w:w="900" w:type="dxa"/>
            <w:tcBorders>
              <w:top w:val="nil"/>
              <w:left w:val="nil"/>
              <w:bottom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1,799,121</w:t>
            </w:r>
          </w:p>
        </w:tc>
      </w:tr>
      <w:tr w:rsidR="008628A5" w:rsidRPr="00BB7303">
        <w:trPr>
          <w:trHeight w:val="222"/>
        </w:trPr>
        <w:tc>
          <w:tcPr>
            <w:tcW w:w="1275" w:type="dxa"/>
            <w:tcBorders>
              <w:top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810" w:type="dxa"/>
            <w:tcBorders>
              <w:top w:val="nil"/>
              <w:left w:val="nil"/>
              <w:bottom w:val="single" w:sz="4" w:space="0" w:color="auto"/>
              <w:right w:val="single" w:sz="4" w:space="0" w:color="auto"/>
            </w:tcBorders>
            <w:shd w:val="clear" w:color="auto" w:fill="auto"/>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right w:val="single" w:sz="4" w:space="0" w:color="auto"/>
            </w:tcBorders>
            <w:shd w:val="clear" w:color="auto" w:fill="auto"/>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81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r>
      <w:tr w:rsidR="008628A5" w:rsidRPr="00BB7303">
        <w:trPr>
          <w:trHeight w:val="222"/>
        </w:trPr>
        <w:tc>
          <w:tcPr>
            <w:tcW w:w="1275" w:type="dxa"/>
            <w:tcBorders>
              <w:top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xml:space="preserve">% </w:t>
            </w:r>
            <w:proofErr w:type="gramStart"/>
            <w:r w:rsidRPr="00BB7303">
              <w:rPr>
                <w:rFonts w:ascii="Arial Narrow" w:eastAsia="Times New Roman" w:hAnsi="Arial Narrow" w:cs="Times New Roman"/>
                <w:color w:val="000000"/>
                <w:sz w:val="13"/>
                <w:szCs w:val="13"/>
              </w:rPr>
              <w:t>of</w:t>
            </w:r>
            <w:proofErr w:type="gramEnd"/>
            <w:r w:rsidRPr="00BB7303">
              <w:rPr>
                <w:rFonts w:ascii="Arial Narrow" w:eastAsia="Times New Roman" w:hAnsi="Arial Narrow" w:cs="Times New Roman"/>
                <w:color w:val="000000"/>
                <w:sz w:val="13"/>
                <w:szCs w:val="13"/>
              </w:rPr>
              <w:t xml:space="preserve"> Budget</w:t>
            </w:r>
          </w:p>
        </w:tc>
        <w:tc>
          <w:tcPr>
            <w:tcW w:w="81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right w:val="single" w:sz="4" w:space="0" w:color="auto"/>
            </w:tcBorders>
            <w:shd w:val="clear" w:color="auto" w:fill="auto"/>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9%</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152EB0" w:rsidP="001F396B">
            <w:pPr>
              <w:jc w:val="right"/>
              <w:rPr>
                <w:rFonts w:ascii="Arial Narrow" w:eastAsia="Times New Roman" w:hAnsi="Arial Narrow" w:cs="Times New Roman"/>
                <w:color w:val="000000"/>
                <w:sz w:val="13"/>
                <w:szCs w:val="13"/>
              </w:rPr>
            </w:pPr>
            <w:r>
              <w:rPr>
                <w:rFonts w:ascii="Arial Narrow" w:eastAsia="Times New Roman" w:hAnsi="Arial Narrow" w:cs="Times New Roman"/>
                <w:color w:val="000000"/>
                <w:sz w:val="13"/>
                <w:szCs w:val="13"/>
              </w:rPr>
              <w:t>54</w:t>
            </w:r>
            <w:r w:rsidR="008628A5" w:rsidRPr="00BB7303">
              <w:rPr>
                <w:rFonts w:ascii="Arial Narrow" w:eastAsia="Times New Roman" w:hAnsi="Arial Narrow" w:cs="Times New Roman"/>
                <w:color w:val="000000"/>
                <w:sz w:val="13"/>
                <w:szCs w:val="13"/>
              </w:rPr>
              <w:t>%</w:t>
            </w:r>
          </w:p>
        </w:tc>
        <w:tc>
          <w:tcPr>
            <w:tcW w:w="72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right w:val="single" w:sz="4" w:space="0" w:color="auto"/>
            </w:tcBorders>
            <w:shd w:val="clear" w:color="auto" w:fill="auto"/>
            <w:noWrap/>
            <w:vAlign w:val="bottom"/>
          </w:tcPr>
          <w:p w:rsidR="008628A5" w:rsidRPr="00BB7303" w:rsidRDefault="00152EB0" w:rsidP="001F396B">
            <w:pPr>
              <w:jc w:val="right"/>
              <w:rPr>
                <w:rFonts w:ascii="Arial Narrow" w:eastAsia="Times New Roman" w:hAnsi="Arial Narrow" w:cs="Times New Roman"/>
                <w:color w:val="000000"/>
                <w:sz w:val="13"/>
                <w:szCs w:val="13"/>
              </w:rPr>
            </w:pPr>
            <w:r>
              <w:rPr>
                <w:rFonts w:ascii="Arial Narrow" w:eastAsia="Times New Roman" w:hAnsi="Arial Narrow" w:cs="Times New Roman"/>
                <w:color w:val="000000"/>
                <w:sz w:val="13"/>
                <w:szCs w:val="13"/>
              </w:rPr>
              <w:t>8</w:t>
            </w:r>
            <w:r w:rsidR="008628A5" w:rsidRPr="00BB7303">
              <w:rPr>
                <w:rFonts w:ascii="Arial Narrow" w:eastAsia="Times New Roman" w:hAnsi="Arial Narrow" w:cs="Times New Roman"/>
                <w:color w:val="000000"/>
                <w:sz w:val="13"/>
                <w:szCs w:val="13"/>
              </w:rPr>
              <w:t>%</w:t>
            </w:r>
          </w:p>
        </w:tc>
        <w:tc>
          <w:tcPr>
            <w:tcW w:w="810" w:type="dxa"/>
            <w:tcBorders>
              <w:top w:val="nil"/>
              <w:left w:val="nil"/>
              <w:bottom w:val="single" w:sz="4" w:space="0" w:color="auto"/>
              <w:right w:val="single" w:sz="4" w:space="0" w:color="auto"/>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w:t>
            </w:r>
          </w:p>
        </w:tc>
        <w:tc>
          <w:tcPr>
            <w:tcW w:w="900" w:type="dxa"/>
            <w:tcBorders>
              <w:top w:val="nil"/>
              <w:left w:val="nil"/>
              <w:bottom w:val="single" w:sz="4" w:space="0" w:color="auto"/>
            </w:tcBorders>
            <w:shd w:val="clear" w:color="auto" w:fill="auto"/>
            <w:noWrap/>
            <w:vAlign w:val="bottom"/>
          </w:tcPr>
          <w:p w:rsidR="008628A5" w:rsidRPr="00BB7303" w:rsidRDefault="008628A5" w:rsidP="001F396B">
            <w:pPr>
              <w:jc w:val="right"/>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7%</w:t>
            </w:r>
          </w:p>
        </w:tc>
      </w:tr>
      <w:tr w:rsidR="008628A5" w:rsidRPr="00BB7303">
        <w:trPr>
          <w:trHeight w:val="180"/>
        </w:trPr>
        <w:tc>
          <w:tcPr>
            <w:tcW w:w="1275"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c>
          <w:tcPr>
            <w:tcW w:w="810" w:type="dxa"/>
            <w:tcBorders>
              <w:top w:val="nil"/>
              <w:left w:val="nil"/>
              <w:bottom w:val="nil"/>
              <w:right w:val="nil"/>
            </w:tcBorders>
            <w:shd w:val="clear" w:color="auto" w:fill="auto"/>
          </w:tcPr>
          <w:p w:rsidR="008628A5" w:rsidRPr="00BB7303" w:rsidRDefault="008628A5" w:rsidP="001F396B">
            <w:pPr>
              <w:rPr>
                <w:rFonts w:ascii="Arial Narrow" w:eastAsia="Times New Roman" w:hAnsi="Arial Narrow" w:cs="Times New Roman"/>
                <w:color w:val="000000"/>
                <w:sz w:val="13"/>
                <w:szCs w:val="13"/>
              </w:rPr>
            </w:pPr>
          </w:p>
        </w:tc>
        <w:tc>
          <w:tcPr>
            <w:tcW w:w="900" w:type="dxa"/>
            <w:tcBorders>
              <w:top w:val="nil"/>
              <w:left w:val="nil"/>
              <w:bottom w:val="nil"/>
              <w:right w:val="nil"/>
            </w:tcBorders>
            <w:shd w:val="clear" w:color="auto" w:fill="auto"/>
          </w:tcPr>
          <w:p w:rsidR="008628A5" w:rsidRPr="00BB7303" w:rsidRDefault="008628A5" w:rsidP="001F396B">
            <w:pPr>
              <w:rPr>
                <w:rFonts w:ascii="Arial Narrow" w:eastAsia="Times New Roman" w:hAnsi="Arial Narrow" w:cs="Times New Roman"/>
                <w:color w:val="000000"/>
                <w:sz w:val="13"/>
                <w:szCs w:val="13"/>
              </w:rPr>
            </w:pPr>
          </w:p>
        </w:tc>
        <w:tc>
          <w:tcPr>
            <w:tcW w:w="720"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c>
          <w:tcPr>
            <w:tcW w:w="900"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c>
          <w:tcPr>
            <w:tcW w:w="720"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c>
          <w:tcPr>
            <w:tcW w:w="900"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c>
          <w:tcPr>
            <w:tcW w:w="720"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c>
          <w:tcPr>
            <w:tcW w:w="900"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c>
          <w:tcPr>
            <w:tcW w:w="810"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c>
          <w:tcPr>
            <w:tcW w:w="900" w:type="dxa"/>
            <w:tcBorders>
              <w:top w:val="nil"/>
              <w:left w:val="nil"/>
              <w:bottom w:val="nil"/>
              <w:right w:val="nil"/>
            </w:tcBorders>
            <w:shd w:val="clear" w:color="auto" w:fill="auto"/>
            <w:noWrap/>
            <w:vAlign w:val="bottom"/>
          </w:tcPr>
          <w:p w:rsidR="008628A5" w:rsidRPr="00BB7303" w:rsidRDefault="008628A5" w:rsidP="001F396B">
            <w:pPr>
              <w:rPr>
                <w:rFonts w:ascii="Arial Narrow" w:eastAsia="Times New Roman" w:hAnsi="Arial Narrow" w:cs="Times New Roman"/>
                <w:color w:val="000000"/>
                <w:sz w:val="13"/>
                <w:szCs w:val="13"/>
              </w:rPr>
            </w:pPr>
          </w:p>
        </w:tc>
      </w:tr>
      <w:tr w:rsidR="008628A5" w:rsidRPr="00BB7303">
        <w:trPr>
          <w:trHeight w:val="180"/>
        </w:trPr>
        <w:tc>
          <w:tcPr>
            <w:tcW w:w="9555" w:type="dxa"/>
            <w:gridSpan w:val="11"/>
            <w:tcBorders>
              <w:top w:val="nil"/>
              <w:left w:val="nil"/>
              <w:bottom w:val="nil"/>
              <w:right w:val="nil"/>
            </w:tcBorders>
            <w:shd w:val="clear" w:color="auto" w:fill="auto"/>
            <w:vAlign w:val="bottom"/>
          </w:tcPr>
          <w:p w:rsidR="008628A5" w:rsidRPr="00BB7303" w:rsidRDefault="008628A5" w:rsidP="001F396B">
            <w:pPr>
              <w:rPr>
                <w:rFonts w:ascii="Arial Narrow" w:eastAsia="Times New Roman" w:hAnsi="Arial Narrow" w:cs="Times New Roman"/>
                <w:color w:val="000000"/>
                <w:sz w:val="13"/>
                <w:szCs w:val="13"/>
              </w:rPr>
            </w:pPr>
            <w:r w:rsidRPr="00BB7303">
              <w:rPr>
                <w:rFonts w:ascii="Arial Narrow" w:eastAsia="Times New Roman" w:hAnsi="Arial Narrow" w:cs="Times New Roman"/>
                <w:color w:val="000000"/>
                <w:sz w:val="13"/>
                <w:szCs w:val="13"/>
              </w:rPr>
              <w:t xml:space="preserve">* This is a multi-year </w:t>
            </w:r>
            <w:proofErr w:type="gramStart"/>
            <w:r w:rsidRPr="00BB7303">
              <w:rPr>
                <w:rFonts w:ascii="Arial Narrow" w:eastAsia="Times New Roman" w:hAnsi="Arial Narrow" w:cs="Times New Roman"/>
                <w:color w:val="000000"/>
                <w:sz w:val="13"/>
                <w:szCs w:val="13"/>
              </w:rPr>
              <w:t>budget which</w:t>
            </w:r>
            <w:proofErr w:type="gramEnd"/>
            <w:r w:rsidRPr="00BB7303">
              <w:rPr>
                <w:rFonts w:ascii="Arial Narrow" w:eastAsia="Times New Roman" w:hAnsi="Arial Narrow" w:cs="Times New Roman"/>
                <w:color w:val="000000"/>
                <w:sz w:val="13"/>
                <w:szCs w:val="13"/>
              </w:rPr>
              <w:t xml:space="preserve"> has been "normalized" to 12 months.</w:t>
            </w:r>
          </w:p>
        </w:tc>
      </w:tr>
    </w:tbl>
    <w:p w:rsidR="008628A5" w:rsidRPr="002402C0" w:rsidRDefault="008628A5" w:rsidP="008628A5">
      <w:pPr>
        <w:rPr>
          <w:rFonts w:ascii="Arial" w:hAnsi="Arial"/>
          <w:sz w:val="16"/>
        </w:rPr>
      </w:pPr>
    </w:p>
    <w:p w:rsidR="008628A5" w:rsidRPr="00103065" w:rsidRDefault="008628A5" w:rsidP="008628A5">
      <w:pPr>
        <w:rPr>
          <w:rFonts w:ascii="Times New Roman" w:hAnsi="Times New Roman"/>
        </w:rPr>
      </w:pPr>
    </w:p>
    <w:p w:rsidR="008628A5" w:rsidRDefault="008628A5" w:rsidP="008628A5">
      <w:pPr>
        <w:spacing w:after="120"/>
        <w:rPr>
          <w:rFonts w:ascii="Times New Roman" w:hAnsi="Times New Roman"/>
        </w:rPr>
      </w:pPr>
      <w:r w:rsidRPr="00103065">
        <w:rPr>
          <w:rFonts w:ascii="Times New Roman" w:hAnsi="Times New Roman"/>
        </w:rPr>
        <w:t xml:space="preserve">The chart </w:t>
      </w:r>
      <w:r>
        <w:rPr>
          <w:rFonts w:ascii="Times New Roman" w:hAnsi="Times New Roman"/>
        </w:rPr>
        <w:t xml:space="preserve">above </w:t>
      </w:r>
      <w:r w:rsidRPr="00103065">
        <w:rPr>
          <w:rFonts w:ascii="Times New Roman" w:hAnsi="Times New Roman"/>
        </w:rPr>
        <w:t xml:space="preserve">is based on data from Commerce for the 2007-2009 timeframe to develop a representative picture of the </w:t>
      </w:r>
      <w:r>
        <w:rPr>
          <w:rFonts w:ascii="Times New Roman" w:hAnsi="Times New Roman"/>
        </w:rPr>
        <w:t xml:space="preserve">weatherization </w:t>
      </w:r>
      <w:r w:rsidRPr="00103065">
        <w:rPr>
          <w:rFonts w:ascii="Times New Roman" w:hAnsi="Times New Roman"/>
        </w:rPr>
        <w:t>funding available.</w:t>
      </w:r>
      <w:r>
        <w:rPr>
          <w:rFonts w:ascii="Times New Roman" w:hAnsi="Times New Roman"/>
        </w:rPr>
        <w:t xml:space="preserve">  Sometimes weatherization program budgets cover two years. </w:t>
      </w:r>
      <w:r w:rsidRPr="00103065">
        <w:rPr>
          <w:rFonts w:ascii="Times New Roman" w:hAnsi="Times New Roman"/>
        </w:rPr>
        <w:t xml:space="preserve">An agency might spend the majority of a particular budget’s funds in one year or the other.   In a couple cases the agencies were allowed to carry funds over into the next </w:t>
      </w:r>
      <w:r>
        <w:rPr>
          <w:rFonts w:ascii="Times New Roman" w:hAnsi="Times New Roman"/>
        </w:rPr>
        <w:t xml:space="preserve">program </w:t>
      </w:r>
      <w:r w:rsidRPr="00103065">
        <w:rPr>
          <w:rFonts w:ascii="Times New Roman" w:hAnsi="Times New Roman"/>
        </w:rPr>
        <w:t xml:space="preserve">year.   The fiscal years themselves also do not line up.  The 2008 WAP </w:t>
      </w:r>
      <w:r>
        <w:rPr>
          <w:rFonts w:ascii="Times New Roman" w:hAnsi="Times New Roman"/>
        </w:rPr>
        <w:t>program</w:t>
      </w:r>
      <w:r w:rsidRPr="00103065">
        <w:rPr>
          <w:rFonts w:ascii="Times New Roman" w:hAnsi="Times New Roman"/>
        </w:rPr>
        <w:t xml:space="preserve"> year was from April 2008 through March 2009.  The 2008 </w:t>
      </w:r>
      <w:r>
        <w:rPr>
          <w:rFonts w:ascii="Times New Roman" w:hAnsi="Times New Roman"/>
        </w:rPr>
        <w:t>LIHEAP</w:t>
      </w:r>
      <w:r w:rsidRPr="00103065">
        <w:rPr>
          <w:rFonts w:ascii="Times New Roman" w:hAnsi="Times New Roman"/>
        </w:rPr>
        <w:t xml:space="preserve"> Wx </w:t>
      </w:r>
      <w:r>
        <w:rPr>
          <w:rFonts w:ascii="Times New Roman" w:hAnsi="Times New Roman"/>
        </w:rPr>
        <w:t>and BPA Weatherization program</w:t>
      </w:r>
      <w:r w:rsidRPr="00103065">
        <w:rPr>
          <w:rFonts w:ascii="Times New Roman" w:hAnsi="Times New Roman"/>
        </w:rPr>
        <w:t xml:space="preserve"> year</w:t>
      </w:r>
      <w:r>
        <w:rPr>
          <w:rFonts w:ascii="Times New Roman" w:hAnsi="Times New Roman"/>
        </w:rPr>
        <w:t>s</w:t>
      </w:r>
      <w:r w:rsidRPr="00103065">
        <w:rPr>
          <w:rFonts w:ascii="Times New Roman" w:hAnsi="Times New Roman"/>
        </w:rPr>
        <w:t xml:space="preserve"> ran from October 2007 through September 2008.  The Energy Matchmaker Program year ran from July 2008-June 2009.  In order to create a representative year, the Energy Project took the entire program funding from a given source and divided by the number of yea</w:t>
      </w:r>
      <w:r>
        <w:rPr>
          <w:rFonts w:ascii="Times New Roman" w:hAnsi="Times New Roman"/>
        </w:rPr>
        <w:t xml:space="preserve">rs for which it was allocated.  </w:t>
      </w:r>
    </w:p>
    <w:p w:rsidR="008628A5" w:rsidRDefault="008628A5" w:rsidP="008628A5">
      <w:pPr>
        <w:spacing w:after="120"/>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rPr>
        <w:t>The 2007-2009 timeframe was used because it seemed to best encompass the years identified in the third data request.  In this respect no ARRA</w:t>
      </w:r>
      <w:r>
        <w:rPr>
          <w:rFonts w:ascii="Times New Roman" w:hAnsi="Times New Roman"/>
        </w:rPr>
        <w:t xml:space="preserve"> budget</w:t>
      </w:r>
      <w:r w:rsidRPr="00103065">
        <w:rPr>
          <w:rFonts w:ascii="Times New Roman" w:hAnsi="Times New Roman"/>
        </w:rPr>
        <w:t xml:space="preserve"> data is included.  This is reasonable for a few reasons.  First, ARRA funds are intended to be a one-time occurrence.  We expect </w:t>
      </w:r>
      <w:r>
        <w:rPr>
          <w:rFonts w:ascii="Times New Roman" w:hAnsi="Times New Roman"/>
        </w:rPr>
        <w:t xml:space="preserve">weatherization </w:t>
      </w:r>
      <w:r w:rsidRPr="00103065">
        <w:rPr>
          <w:rFonts w:ascii="Times New Roman" w:hAnsi="Times New Roman"/>
        </w:rPr>
        <w:t>budgets going forward will be more like the pre –ARRA funding le</w:t>
      </w:r>
      <w:r>
        <w:rPr>
          <w:rFonts w:ascii="Times New Roman" w:hAnsi="Times New Roman"/>
        </w:rPr>
        <w:t>vels</w:t>
      </w:r>
      <w:r w:rsidRPr="00103065">
        <w:rPr>
          <w:rFonts w:ascii="Times New Roman" w:hAnsi="Times New Roman"/>
        </w:rPr>
        <w:t xml:space="preserve">.  Second, while the ARRA contracts began in April 2009, agencies could not really spend the funds until late in the year due to lack of </w:t>
      </w:r>
      <w:r>
        <w:rPr>
          <w:rFonts w:ascii="Times New Roman" w:hAnsi="Times New Roman"/>
        </w:rPr>
        <w:t xml:space="preserve">program guidance </w:t>
      </w:r>
      <w:proofErr w:type="gramStart"/>
      <w:r>
        <w:rPr>
          <w:rFonts w:ascii="Times New Roman" w:hAnsi="Times New Roman"/>
        </w:rPr>
        <w:t xml:space="preserve">for </w:t>
      </w:r>
      <w:r w:rsidRPr="00103065">
        <w:rPr>
          <w:rFonts w:ascii="Times New Roman" w:hAnsi="Times New Roman"/>
        </w:rPr>
        <w:t xml:space="preserve"> wages</w:t>
      </w:r>
      <w:proofErr w:type="gramEnd"/>
      <w:r w:rsidRPr="00103065">
        <w:rPr>
          <w:rFonts w:ascii="Times New Roman" w:hAnsi="Times New Roman"/>
        </w:rPr>
        <w:t xml:space="preserve"> and reporting.  Finally, the ARRA spending is clearly a “stimulus” package with goals of job creation as well as achieving energy efficiency.</w:t>
      </w: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rPr>
        <w:t>The low-income</w:t>
      </w:r>
      <w:r>
        <w:rPr>
          <w:rFonts w:ascii="Times New Roman" w:hAnsi="Times New Roman"/>
        </w:rPr>
        <w:t xml:space="preserve"> weatherization</w:t>
      </w:r>
      <w:r w:rsidRPr="00103065">
        <w:rPr>
          <w:rFonts w:ascii="Times New Roman" w:hAnsi="Times New Roman"/>
        </w:rPr>
        <w:t xml:space="preserve"> agencies rely on multiple funding sources to </w:t>
      </w:r>
      <w:r>
        <w:rPr>
          <w:rFonts w:ascii="Times New Roman" w:hAnsi="Times New Roman"/>
        </w:rPr>
        <w:t>provide</w:t>
      </w:r>
      <w:r w:rsidRPr="00103065">
        <w:rPr>
          <w:rFonts w:ascii="Times New Roman" w:hAnsi="Times New Roman"/>
        </w:rPr>
        <w:t xml:space="preserve"> their services in addition to the IOU provided funds.  Twenty-four of the twenty-five WAP sub-grantees have some amount of IOU service in the areas they serve.  Conversely,</w:t>
      </w:r>
      <w:r>
        <w:rPr>
          <w:rFonts w:ascii="Times New Roman" w:hAnsi="Times New Roman"/>
        </w:rPr>
        <w:t xml:space="preserve"> it is important to note that a local weatherization </w:t>
      </w:r>
      <w:r w:rsidRPr="00103065">
        <w:rPr>
          <w:rFonts w:ascii="Times New Roman" w:hAnsi="Times New Roman"/>
        </w:rPr>
        <w:t xml:space="preserve">agency in PSE’s service territory, for example, may also have several consumer-owned utilities and possibly a different gas company, as well as clients who use non-regulated fuels.  </w:t>
      </w:r>
      <w:r>
        <w:rPr>
          <w:rFonts w:ascii="Times New Roman" w:hAnsi="Times New Roman"/>
        </w:rPr>
        <w:t>Another challenge in</w:t>
      </w:r>
      <w:r w:rsidRPr="00103065">
        <w:rPr>
          <w:rFonts w:ascii="Times New Roman" w:hAnsi="Times New Roman"/>
        </w:rPr>
        <w:t xml:space="preserve"> providing a clear picture of available spending is that these funding sources all operate on different fiscal </w:t>
      </w:r>
      <w:r>
        <w:rPr>
          <w:rFonts w:ascii="Times New Roman" w:hAnsi="Times New Roman"/>
        </w:rPr>
        <w:t xml:space="preserve">and program </w:t>
      </w:r>
      <w:r w:rsidRPr="00103065">
        <w:rPr>
          <w:rFonts w:ascii="Times New Roman" w:hAnsi="Times New Roman"/>
        </w:rPr>
        <w:t xml:space="preserve">years.  </w:t>
      </w: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rPr>
        <w:t xml:space="preserve">Agencies do not draw down funds in an equal portion each month from </w:t>
      </w:r>
      <w:r>
        <w:rPr>
          <w:rFonts w:ascii="Times New Roman" w:hAnsi="Times New Roman"/>
        </w:rPr>
        <w:t>e</w:t>
      </w:r>
      <w:r w:rsidRPr="00103065">
        <w:rPr>
          <w:rFonts w:ascii="Times New Roman" w:hAnsi="Times New Roman"/>
        </w:rPr>
        <w:t>a</w:t>
      </w:r>
      <w:r>
        <w:rPr>
          <w:rFonts w:ascii="Times New Roman" w:hAnsi="Times New Roman"/>
        </w:rPr>
        <w:t>ch</w:t>
      </w:r>
      <w:r w:rsidRPr="00103065">
        <w:rPr>
          <w:rFonts w:ascii="Times New Roman" w:hAnsi="Times New Roman"/>
        </w:rPr>
        <w:t xml:space="preserve"> funding source.  </w:t>
      </w:r>
      <w:proofErr w:type="gramStart"/>
      <w:r>
        <w:rPr>
          <w:rFonts w:ascii="Times New Roman" w:hAnsi="Times New Roman"/>
        </w:rPr>
        <w:t>Spending is</w:t>
      </w:r>
      <w:r w:rsidRPr="00103065">
        <w:rPr>
          <w:rFonts w:ascii="Times New Roman" w:hAnsi="Times New Roman"/>
        </w:rPr>
        <w:t xml:space="preserve"> determined by the mix of homes that come in for assistance</w:t>
      </w:r>
      <w:r>
        <w:rPr>
          <w:rFonts w:ascii="Times New Roman" w:hAnsi="Times New Roman"/>
        </w:rPr>
        <w:t>, the specific needs in those homes,</w:t>
      </w:r>
      <w:r w:rsidRPr="00103065">
        <w:rPr>
          <w:rFonts w:ascii="Times New Roman" w:hAnsi="Times New Roman"/>
        </w:rPr>
        <w:t xml:space="preserve"> as well as the</w:t>
      </w:r>
      <w:r>
        <w:rPr>
          <w:rFonts w:ascii="Times New Roman" w:hAnsi="Times New Roman"/>
        </w:rPr>
        <w:t xml:space="preserve"> local agency’s spending strategy</w:t>
      </w:r>
      <w:proofErr w:type="gramEnd"/>
      <w:r w:rsidRPr="00103065">
        <w:rPr>
          <w:rFonts w:ascii="Times New Roman" w:hAnsi="Times New Roman"/>
        </w:rPr>
        <w:t xml:space="preserve">.  </w:t>
      </w:r>
      <w:r>
        <w:rPr>
          <w:rFonts w:ascii="Times New Roman" w:hAnsi="Times New Roman"/>
        </w:rPr>
        <w:t xml:space="preserve"> A</w:t>
      </w:r>
      <w:r w:rsidRPr="00103065">
        <w:rPr>
          <w:rFonts w:ascii="Times New Roman" w:hAnsi="Times New Roman"/>
        </w:rPr>
        <w:t>n agency might emphasize spending more of one</w:t>
      </w:r>
      <w:r>
        <w:rPr>
          <w:rFonts w:ascii="Times New Roman" w:hAnsi="Times New Roman"/>
        </w:rPr>
        <w:t xml:space="preserve"> particular</w:t>
      </w:r>
      <w:r w:rsidRPr="00103065">
        <w:rPr>
          <w:rFonts w:ascii="Times New Roman" w:hAnsi="Times New Roman"/>
        </w:rPr>
        <w:t xml:space="preserve"> funding source in order to maximize its use as a budget year winds down.  While agencies use multiple funding sources in the same dwelling i</w:t>
      </w:r>
      <w:r>
        <w:rPr>
          <w:rFonts w:ascii="Times New Roman" w:hAnsi="Times New Roman"/>
        </w:rPr>
        <w:t>n order to capture as many</w:t>
      </w:r>
      <w:r w:rsidRPr="00103065">
        <w:rPr>
          <w:rFonts w:ascii="Times New Roman" w:hAnsi="Times New Roman"/>
        </w:rPr>
        <w:t xml:space="preserve"> cost effective measures</w:t>
      </w:r>
      <w:r>
        <w:rPr>
          <w:rFonts w:ascii="Times New Roman" w:hAnsi="Times New Roman"/>
        </w:rPr>
        <w:t xml:space="preserve"> as they can</w:t>
      </w:r>
      <w:r w:rsidRPr="00103065">
        <w:rPr>
          <w:rFonts w:ascii="Times New Roman" w:hAnsi="Times New Roman"/>
        </w:rPr>
        <w:t xml:space="preserve">, not all of these funding sources are available in all homes.  Clearly, BPA funding can’t be used in any electric IOU homes, though BPA does allow work </w:t>
      </w:r>
      <w:proofErr w:type="gramStart"/>
      <w:r>
        <w:rPr>
          <w:rFonts w:ascii="Times New Roman" w:hAnsi="Times New Roman"/>
        </w:rPr>
        <w:t>their</w:t>
      </w:r>
      <w:proofErr w:type="gramEnd"/>
      <w:r>
        <w:rPr>
          <w:rFonts w:ascii="Times New Roman" w:hAnsi="Times New Roman"/>
        </w:rPr>
        <w:t xml:space="preserve"> funding to be used for base load measures </w:t>
      </w:r>
      <w:r w:rsidRPr="00103065">
        <w:rPr>
          <w:rFonts w:ascii="Times New Roman" w:hAnsi="Times New Roman"/>
        </w:rPr>
        <w:t>in gas-heated homes in a consumer-owned ele</w:t>
      </w:r>
      <w:r>
        <w:rPr>
          <w:rFonts w:ascii="Times New Roman" w:hAnsi="Times New Roman"/>
        </w:rPr>
        <w:t>ctric utility service territory</w:t>
      </w:r>
      <w:r w:rsidRPr="00103065">
        <w:rPr>
          <w:rFonts w:ascii="Times New Roman" w:hAnsi="Times New Roman"/>
        </w:rPr>
        <w:t xml:space="preserve">. </w:t>
      </w: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b/>
        </w:rPr>
        <w:t>Q2.</w:t>
      </w:r>
      <w:r w:rsidRPr="00103065">
        <w:rPr>
          <w:rFonts w:ascii="Times New Roman" w:hAnsi="Times New Roman"/>
        </w:rPr>
        <w:tab/>
        <w:t>For each utility, a complete budget for low-income conservation including housing repair, health and safety assistance and spending as a proportion of total conservation budget.</w:t>
      </w: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b/>
        </w:rPr>
        <w:t>A2.</w:t>
      </w:r>
      <w:r w:rsidRPr="00103065">
        <w:rPr>
          <w:rFonts w:ascii="Times New Roman" w:hAnsi="Times New Roman"/>
        </w:rPr>
        <w:tab/>
        <w:t>The Energy Project defers to the utilities to respond to this question.</w:t>
      </w: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b/>
        </w:rPr>
        <w:t>Q3.</w:t>
      </w:r>
      <w:r w:rsidRPr="00103065">
        <w:rPr>
          <w:rFonts w:ascii="Times New Roman" w:hAnsi="Times New Roman"/>
          <w:b/>
        </w:rPr>
        <w:tab/>
      </w:r>
      <w:proofErr w:type="gramStart"/>
      <w:r w:rsidRPr="00103065">
        <w:rPr>
          <w:rFonts w:ascii="Times New Roman" w:hAnsi="Times New Roman"/>
        </w:rPr>
        <w:t>Total utility disbursement to CAP agencies in 2008-09.</w:t>
      </w:r>
      <w:proofErr w:type="gramEnd"/>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b/>
        </w:rPr>
        <w:t>A3</w:t>
      </w:r>
      <w:r w:rsidRPr="00103065">
        <w:rPr>
          <w:rFonts w:ascii="Times New Roman" w:hAnsi="Times New Roman"/>
        </w:rPr>
        <w:t>.</w:t>
      </w:r>
      <w:r w:rsidRPr="00103065">
        <w:rPr>
          <w:rFonts w:ascii="Times New Roman" w:hAnsi="Times New Roman"/>
        </w:rPr>
        <w:tab/>
        <w:t>The Energy Project defers to the utilities to respond to this question.</w:t>
      </w:r>
    </w:p>
    <w:p w:rsidR="008628A5" w:rsidRPr="00103065" w:rsidRDefault="008628A5" w:rsidP="008628A5">
      <w:pPr>
        <w:pStyle w:val="Default"/>
        <w:spacing w:after="50"/>
        <w:rPr>
          <w:szCs w:val="25"/>
        </w:rPr>
      </w:pPr>
    </w:p>
    <w:p w:rsidR="008628A5" w:rsidRPr="00103065" w:rsidRDefault="008628A5" w:rsidP="008628A5">
      <w:pPr>
        <w:pStyle w:val="Default"/>
        <w:spacing w:after="50"/>
        <w:rPr>
          <w:szCs w:val="25"/>
        </w:rPr>
      </w:pPr>
      <w:r w:rsidRPr="00103065">
        <w:rPr>
          <w:b/>
          <w:szCs w:val="25"/>
        </w:rPr>
        <w:t>Q4</w:t>
      </w:r>
      <w:r w:rsidRPr="00103065">
        <w:rPr>
          <w:szCs w:val="25"/>
        </w:rPr>
        <w:t xml:space="preserve">.  </w:t>
      </w:r>
      <w:proofErr w:type="gramStart"/>
      <w:r w:rsidRPr="00103065">
        <w:rPr>
          <w:szCs w:val="25"/>
        </w:rPr>
        <w:t>An explanation of the administration of low-income conservation programs.</w:t>
      </w:r>
      <w:proofErr w:type="gramEnd"/>
      <w:r w:rsidRPr="00103065">
        <w:rPr>
          <w:szCs w:val="25"/>
        </w:rPr>
        <w:t xml:space="preserve"> </w:t>
      </w:r>
    </w:p>
    <w:p w:rsidR="008628A5" w:rsidRPr="00103065" w:rsidRDefault="008628A5" w:rsidP="008628A5">
      <w:pPr>
        <w:pStyle w:val="Default"/>
        <w:spacing w:after="50"/>
        <w:rPr>
          <w:szCs w:val="25"/>
        </w:rPr>
      </w:pPr>
    </w:p>
    <w:p w:rsidR="008628A5" w:rsidRPr="00103065" w:rsidRDefault="008628A5" w:rsidP="008628A5">
      <w:pPr>
        <w:pStyle w:val="Default"/>
        <w:spacing w:after="50"/>
        <w:rPr>
          <w:szCs w:val="25"/>
        </w:rPr>
      </w:pPr>
      <w:r w:rsidRPr="00103065">
        <w:rPr>
          <w:b/>
          <w:szCs w:val="25"/>
        </w:rPr>
        <w:t>A</w:t>
      </w:r>
      <w:r>
        <w:rPr>
          <w:b/>
          <w:szCs w:val="25"/>
        </w:rPr>
        <w:t>4</w:t>
      </w:r>
      <w:r w:rsidRPr="00103065">
        <w:rPr>
          <w:szCs w:val="25"/>
        </w:rPr>
        <w:t xml:space="preserve">.  The spectrum of low-income conservation programs includes federal </w:t>
      </w:r>
      <w:r>
        <w:rPr>
          <w:szCs w:val="25"/>
        </w:rPr>
        <w:t>funding</w:t>
      </w:r>
      <w:r w:rsidRPr="00103065">
        <w:rPr>
          <w:szCs w:val="25"/>
        </w:rPr>
        <w:t xml:space="preserve"> </w:t>
      </w:r>
      <w:r>
        <w:rPr>
          <w:szCs w:val="25"/>
        </w:rPr>
        <w:t xml:space="preserve">from the </w:t>
      </w:r>
      <w:r w:rsidRPr="00103065">
        <w:rPr>
          <w:szCs w:val="25"/>
        </w:rPr>
        <w:t>U.S.</w:t>
      </w:r>
      <w:r>
        <w:rPr>
          <w:szCs w:val="25"/>
        </w:rPr>
        <w:t xml:space="preserve"> Department of</w:t>
      </w:r>
      <w:r w:rsidRPr="00103065">
        <w:rPr>
          <w:szCs w:val="25"/>
        </w:rPr>
        <w:t xml:space="preserve"> Health and Human Services </w:t>
      </w:r>
      <w:r>
        <w:rPr>
          <w:szCs w:val="25"/>
        </w:rPr>
        <w:t>(</w:t>
      </w:r>
      <w:r w:rsidRPr="00103065">
        <w:rPr>
          <w:szCs w:val="25"/>
        </w:rPr>
        <w:t>Low Income Home Energy A</w:t>
      </w:r>
      <w:r>
        <w:rPr>
          <w:szCs w:val="25"/>
        </w:rPr>
        <w:t>ssistance Program, or LIHEAP)</w:t>
      </w:r>
      <w:r w:rsidRPr="00103065">
        <w:rPr>
          <w:szCs w:val="25"/>
        </w:rPr>
        <w:t xml:space="preserve"> of which Washington </w:t>
      </w:r>
      <w:r>
        <w:rPr>
          <w:szCs w:val="25"/>
        </w:rPr>
        <w:t>uses</w:t>
      </w:r>
      <w:r w:rsidRPr="00103065">
        <w:rPr>
          <w:szCs w:val="25"/>
        </w:rPr>
        <w:t xml:space="preserve"> </w:t>
      </w:r>
      <w:r>
        <w:rPr>
          <w:szCs w:val="25"/>
        </w:rPr>
        <w:t>a percentage for weatherization, and the</w:t>
      </w:r>
      <w:r w:rsidRPr="00103065">
        <w:rPr>
          <w:szCs w:val="25"/>
        </w:rPr>
        <w:t xml:space="preserve"> U.S. Department of Energy Weatherization Assistance Program (WAP); utility funded programs (Investor Owned Utilities; Bonneville Po</w:t>
      </w:r>
      <w:r>
        <w:rPr>
          <w:szCs w:val="25"/>
        </w:rPr>
        <w:t>wer Administration; other Consumer Owned U</w:t>
      </w:r>
      <w:r w:rsidRPr="00103065">
        <w:rPr>
          <w:szCs w:val="25"/>
        </w:rPr>
        <w:t xml:space="preserve">tilities); State funding (Energy Matchmakers, funded out of the state capital budget); </w:t>
      </w:r>
      <w:r>
        <w:rPr>
          <w:szCs w:val="25"/>
        </w:rPr>
        <w:t>and other sources of funding, such as</w:t>
      </w:r>
      <w:r w:rsidRPr="00103065">
        <w:rPr>
          <w:szCs w:val="25"/>
        </w:rPr>
        <w:t xml:space="preserve"> settlement funds via the WA Attorney General’s office</w:t>
      </w:r>
      <w:r>
        <w:rPr>
          <w:szCs w:val="25"/>
        </w:rPr>
        <w:t>, as they are available</w:t>
      </w:r>
      <w:r w:rsidRPr="00103065">
        <w:rPr>
          <w:szCs w:val="25"/>
        </w:rPr>
        <w:t>.</w:t>
      </w:r>
      <w:r>
        <w:rPr>
          <w:szCs w:val="25"/>
        </w:rPr>
        <w:t xml:space="preserve">  </w:t>
      </w:r>
      <w:r w:rsidRPr="00103065">
        <w:rPr>
          <w:szCs w:val="25"/>
        </w:rPr>
        <w:t xml:space="preserve">Commerce is the administrative entity for federal, BPA, and state funded low-income energy efficiency dollars. Commerce </w:t>
      </w:r>
      <w:r>
        <w:rPr>
          <w:szCs w:val="25"/>
        </w:rPr>
        <w:t>must follow</w:t>
      </w:r>
      <w:r w:rsidRPr="00103065">
        <w:rPr>
          <w:szCs w:val="25"/>
        </w:rPr>
        <w:t xml:space="preserve"> rules </w:t>
      </w:r>
      <w:r>
        <w:rPr>
          <w:szCs w:val="25"/>
        </w:rPr>
        <w:t>and guidance</w:t>
      </w:r>
      <w:r w:rsidRPr="00103065">
        <w:rPr>
          <w:szCs w:val="25"/>
        </w:rPr>
        <w:t xml:space="preserve"> for the federal </w:t>
      </w:r>
      <w:r>
        <w:rPr>
          <w:szCs w:val="25"/>
        </w:rPr>
        <w:t>low-income weatherization dollars as to their subrecipients (e.g., the local agencies).</w:t>
      </w:r>
    </w:p>
    <w:p w:rsidR="008628A5" w:rsidRDefault="008628A5"/>
    <w:p w:rsidR="008628A5" w:rsidRPr="00103065" w:rsidRDefault="008628A5" w:rsidP="008628A5">
      <w:pPr>
        <w:pStyle w:val="Default"/>
        <w:spacing w:after="50"/>
        <w:rPr>
          <w:szCs w:val="25"/>
        </w:rPr>
      </w:pPr>
      <w:r w:rsidRPr="00103065">
        <w:rPr>
          <w:szCs w:val="25"/>
        </w:rPr>
        <w:t xml:space="preserve">Typically, the program works as follows.  A local agency will have a </w:t>
      </w:r>
      <w:r>
        <w:rPr>
          <w:szCs w:val="25"/>
        </w:rPr>
        <w:t xml:space="preserve">grant agreement </w:t>
      </w:r>
      <w:r w:rsidRPr="00103065">
        <w:rPr>
          <w:szCs w:val="25"/>
        </w:rPr>
        <w:t xml:space="preserve">Commerce to administer low-income weatherization programs.  The </w:t>
      </w:r>
      <w:r>
        <w:rPr>
          <w:szCs w:val="25"/>
        </w:rPr>
        <w:t xml:space="preserve">local </w:t>
      </w:r>
      <w:r w:rsidRPr="00103065">
        <w:rPr>
          <w:szCs w:val="25"/>
        </w:rPr>
        <w:t xml:space="preserve">agency </w:t>
      </w:r>
      <w:r>
        <w:rPr>
          <w:szCs w:val="25"/>
        </w:rPr>
        <w:t>may also have contract</w:t>
      </w:r>
      <w:r w:rsidRPr="00103065">
        <w:rPr>
          <w:szCs w:val="25"/>
        </w:rPr>
        <w:t>s with utilities.  The agency is responsible for the marketing and outreach of the federal and state programs, and collaborates with the utility for i</w:t>
      </w:r>
      <w:r>
        <w:rPr>
          <w:szCs w:val="25"/>
        </w:rPr>
        <w:t>ts program.  Commerce</w:t>
      </w:r>
      <w:r w:rsidRPr="00103065">
        <w:rPr>
          <w:szCs w:val="25"/>
        </w:rPr>
        <w:t xml:space="preserve"> include</w:t>
      </w:r>
      <w:r>
        <w:rPr>
          <w:szCs w:val="25"/>
        </w:rPr>
        <w:t>s funding for</w:t>
      </w:r>
      <w:r w:rsidRPr="00103065">
        <w:rPr>
          <w:szCs w:val="25"/>
        </w:rPr>
        <w:t xml:space="preserve"> tra</w:t>
      </w:r>
      <w:r>
        <w:rPr>
          <w:szCs w:val="25"/>
        </w:rPr>
        <w:t>ining and technical assistance</w:t>
      </w:r>
      <w:r w:rsidRPr="00103065">
        <w:rPr>
          <w:szCs w:val="25"/>
        </w:rPr>
        <w:t xml:space="preserve"> to keep the agency on the cutting edge of new </w:t>
      </w:r>
      <w:r>
        <w:rPr>
          <w:szCs w:val="25"/>
        </w:rPr>
        <w:t xml:space="preserve">weatherization and building </w:t>
      </w:r>
      <w:r w:rsidRPr="00103065">
        <w:rPr>
          <w:szCs w:val="25"/>
        </w:rPr>
        <w:t xml:space="preserve">technology and practices, as well as to maintain crews and contractors with the </w:t>
      </w:r>
      <w:r>
        <w:rPr>
          <w:szCs w:val="25"/>
        </w:rPr>
        <w:t>required</w:t>
      </w:r>
      <w:r w:rsidRPr="00103065">
        <w:rPr>
          <w:szCs w:val="25"/>
        </w:rPr>
        <w:t xml:space="preserve"> skills.  Intake for eligibility for i</w:t>
      </w:r>
      <w:r>
        <w:rPr>
          <w:szCs w:val="25"/>
        </w:rPr>
        <w:t>nterested customers is done by the</w:t>
      </w:r>
      <w:r w:rsidRPr="00103065">
        <w:rPr>
          <w:szCs w:val="25"/>
        </w:rPr>
        <w:t xml:space="preserve"> local agency, often in cooperation and support of the energy assistance program at the same or another agency.  For every eligible </w:t>
      </w:r>
      <w:r>
        <w:rPr>
          <w:szCs w:val="25"/>
        </w:rPr>
        <w:t>client</w:t>
      </w:r>
      <w:r w:rsidRPr="00103065">
        <w:rPr>
          <w:szCs w:val="25"/>
        </w:rPr>
        <w:t xml:space="preserve"> found, the agency </w:t>
      </w:r>
      <w:r>
        <w:rPr>
          <w:szCs w:val="25"/>
        </w:rPr>
        <w:t>ends up</w:t>
      </w:r>
      <w:r w:rsidRPr="00103065">
        <w:rPr>
          <w:szCs w:val="25"/>
        </w:rPr>
        <w:t xml:space="preserve"> screen</w:t>
      </w:r>
      <w:r>
        <w:rPr>
          <w:szCs w:val="25"/>
        </w:rPr>
        <w:t>ing</w:t>
      </w:r>
      <w:r w:rsidRPr="00103065">
        <w:rPr>
          <w:szCs w:val="25"/>
        </w:rPr>
        <w:t xml:space="preserve"> some number of additional applicants.  </w:t>
      </w:r>
    </w:p>
    <w:p w:rsidR="008628A5" w:rsidRPr="00103065" w:rsidRDefault="008628A5" w:rsidP="008628A5">
      <w:pPr>
        <w:pStyle w:val="Default"/>
        <w:spacing w:after="50"/>
        <w:rPr>
          <w:szCs w:val="25"/>
        </w:rPr>
      </w:pPr>
    </w:p>
    <w:p w:rsidR="008628A5" w:rsidRPr="00103065" w:rsidRDefault="008628A5" w:rsidP="008628A5">
      <w:pPr>
        <w:pStyle w:val="Default"/>
        <w:spacing w:after="50"/>
        <w:rPr>
          <w:szCs w:val="25"/>
        </w:rPr>
      </w:pPr>
      <w:r w:rsidRPr="00103065">
        <w:rPr>
          <w:szCs w:val="25"/>
        </w:rPr>
        <w:t xml:space="preserve">When a likely </w:t>
      </w:r>
      <w:r>
        <w:rPr>
          <w:szCs w:val="25"/>
        </w:rPr>
        <w:t xml:space="preserve">weatherization </w:t>
      </w:r>
      <w:r w:rsidRPr="00103065">
        <w:rPr>
          <w:szCs w:val="25"/>
        </w:rPr>
        <w:t xml:space="preserve">candidate is found, a home energy audit is scheduled and performed.  This assessment determines whether the home meets the criteria necessary to install weatherization and efficiency materials (see A7 for more detail).  At this point, a fan-door test is performed to determine the need for air leakage control.  While not typically a service from standard insulation contractors, fan-door tests are a low-income </w:t>
      </w:r>
      <w:r>
        <w:rPr>
          <w:szCs w:val="25"/>
        </w:rPr>
        <w:t xml:space="preserve">weatherization </w:t>
      </w:r>
      <w:r w:rsidRPr="00103065">
        <w:rPr>
          <w:szCs w:val="25"/>
        </w:rPr>
        <w:t>program requirement.  In addition, the auditor will look for characteristics that might significantly increase the cost</w:t>
      </w:r>
      <w:r>
        <w:rPr>
          <w:szCs w:val="25"/>
        </w:rPr>
        <w:t xml:space="preserve"> of weatherization</w:t>
      </w:r>
      <w:r w:rsidRPr="00103065">
        <w:rPr>
          <w:szCs w:val="25"/>
        </w:rPr>
        <w:t xml:space="preserve"> or prevent the work from being performed, such as</w:t>
      </w:r>
      <w:r>
        <w:rPr>
          <w:szCs w:val="25"/>
        </w:rPr>
        <w:t xml:space="preserve"> repairs needed to protect efficiency measures, unsafe combustion appliances, or</w:t>
      </w:r>
      <w:r w:rsidRPr="00103065">
        <w:rPr>
          <w:szCs w:val="25"/>
        </w:rPr>
        <w:t xml:space="preserve"> the presence of asbestos or lead containing materials.  Sometimes the home is determined not t</w:t>
      </w:r>
      <w:r>
        <w:rPr>
          <w:szCs w:val="25"/>
        </w:rPr>
        <w:t>o be appropriate or ready for</w:t>
      </w:r>
      <w:r w:rsidRPr="00103065">
        <w:rPr>
          <w:szCs w:val="25"/>
        </w:rPr>
        <w:t xml:space="preserve"> installation</w:t>
      </w:r>
      <w:r>
        <w:rPr>
          <w:szCs w:val="25"/>
        </w:rPr>
        <w:t xml:space="preserve"> of weatherization measures</w:t>
      </w:r>
      <w:r w:rsidRPr="00103065">
        <w:rPr>
          <w:szCs w:val="25"/>
        </w:rPr>
        <w:t xml:space="preserve"> due to extreme disrepair of the </w:t>
      </w:r>
      <w:r>
        <w:rPr>
          <w:szCs w:val="25"/>
        </w:rPr>
        <w:t xml:space="preserve">overall </w:t>
      </w:r>
      <w:r w:rsidRPr="00103065">
        <w:rPr>
          <w:szCs w:val="25"/>
        </w:rPr>
        <w:t>structure</w:t>
      </w:r>
      <w:r>
        <w:rPr>
          <w:szCs w:val="25"/>
        </w:rPr>
        <w:t>.</w:t>
      </w:r>
      <w:r w:rsidRPr="00103065">
        <w:rPr>
          <w:szCs w:val="25"/>
        </w:rPr>
        <w:t xml:space="preserve">  In such cases the agency has incurred costs, nevertheless.  </w:t>
      </w:r>
    </w:p>
    <w:p w:rsidR="008628A5" w:rsidRPr="00103065" w:rsidRDefault="008628A5" w:rsidP="008628A5">
      <w:pPr>
        <w:pStyle w:val="Default"/>
        <w:spacing w:after="50"/>
        <w:rPr>
          <w:szCs w:val="25"/>
        </w:rPr>
      </w:pPr>
    </w:p>
    <w:p w:rsidR="008628A5" w:rsidRPr="00103065" w:rsidRDefault="008628A5" w:rsidP="008628A5">
      <w:pPr>
        <w:pStyle w:val="Default"/>
        <w:spacing w:after="50"/>
        <w:rPr>
          <w:szCs w:val="25"/>
        </w:rPr>
      </w:pPr>
      <w:r w:rsidRPr="00103065">
        <w:rPr>
          <w:szCs w:val="25"/>
        </w:rPr>
        <w:t xml:space="preserve">After the assessment, an approved methodology or software program authorized by the funding source is used to determine which measures are eligible for </w:t>
      </w:r>
      <w:r>
        <w:rPr>
          <w:szCs w:val="25"/>
        </w:rPr>
        <w:t>which</w:t>
      </w:r>
      <w:r w:rsidRPr="00103065">
        <w:rPr>
          <w:szCs w:val="25"/>
        </w:rPr>
        <w:t xml:space="preserve"> funds.  A schedule is set up for the</w:t>
      </w:r>
      <w:r>
        <w:rPr>
          <w:szCs w:val="25"/>
        </w:rPr>
        <w:t xml:space="preserve"> agency’s weatherization staff and/or contractors</w:t>
      </w:r>
      <w:r w:rsidRPr="00103065">
        <w:rPr>
          <w:szCs w:val="25"/>
        </w:rPr>
        <w:t xml:space="preserve"> for installation</w:t>
      </w:r>
      <w:r>
        <w:rPr>
          <w:szCs w:val="25"/>
        </w:rPr>
        <w:t xml:space="preserve"> of approved measures</w:t>
      </w:r>
      <w:r w:rsidRPr="00103065">
        <w:rPr>
          <w:szCs w:val="25"/>
        </w:rPr>
        <w:t xml:space="preserve">.  Often there is a long waiting list for </w:t>
      </w:r>
      <w:proofErr w:type="gramStart"/>
      <w:r w:rsidRPr="00103065">
        <w:rPr>
          <w:szCs w:val="25"/>
        </w:rPr>
        <w:t xml:space="preserve">services as need </w:t>
      </w:r>
      <w:r>
        <w:rPr>
          <w:szCs w:val="25"/>
        </w:rPr>
        <w:t>far exceeds</w:t>
      </w:r>
      <w:proofErr w:type="gramEnd"/>
      <w:r>
        <w:rPr>
          <w:szCs w:val="25"/>
        </w:rPr>
        <w:t xml:space="preserve"> available</w:t>
      </w:r>
      <w:r w:rsidRPr="00103065">
        <w:rPr>
          <w:szCs w:val="25"/>
        </w:rPr>
        <w:t xml:space="preserve"> resources.  The weatherization crews or contractors install </w:t>
      </w:r>
      <w:r>
        <w:rPr>
          <w:szCs w:val="25"/>
        </w:rPr>
        <w:t xml:space="preserve">weatherization </w:t>
      </w:r>
      <w:r w:rsidRPr="00103065">
        <w:rPr>
          <w:szCs w:val="25"/>
        </w:rPr>
        <w:t xml:space="preserve">measures, with the goal to do all cost-effective (as guided by the funding source) measures and to not “strand” </w:t>
      </w:r>
      <w:r>
        <w:rPr>
          <w:szCs w:val="25"/>
        </w:rPr>
        <w:t xml:space="preserve">efficiency </w:t>
      </w:r>
      <w:r w:rsidRPr="00103065">
        <w:rPr>
          <w:szCs w:val="25"/>
        </w:rPr>
        <w:t xml:space="preserve">measures due to the need of energy-related repairs.  </w:t>
      </w:r>
    </w:p>
    <w:p w:rsidR="008628A5" w:rsidRPr="00103065" w:rsidRDefault="008628A5" w:rsidP="008628A5">
      <w:pPr>
        <w:pStyle w:val="Default"/>
        <w:spacing w:after="50"/>
        <w:rPr>
          <w:szCs w:val="25"/>
        </w:rPr>
      </w:pPr>
    </w:p>
    <w:p w:rsidR="008628A5" w:rsidRDefault="008628A5" w:rsidP="008628A5">
      <w:pPr>
        <w:pStyle w:val="Default"/>
        <w:spacing w:after="50"/>
        <w:rPr>
          <w:szCs w:val="25"/>
        </w:rPr>
      </w:pPr>
      <w:r w:rsidRPr="00103065">
        <w:rPr>
          <w:szCs w:val="25"/>
        </w:rPr>
        <w:t xml:space="preserve">Upon completion of the unit, an inspector is sent out </w:t>
      </w:r>
      <w:r>
        <w:rPr>
          <w:szCs w:val="25"/>
        </w:rPr>
        <w:t>by the local agency to en</w:t>
      </w:r>
      <w:r w:rsidRPr="00103065">
        <w:rPr>
          <w:szCs w:val="25"/>
        </w:rPr>
        <w:t>sure the work is done properly and comp</w:t>
      </w:r>
      <w:r>
        <w:rPr>
          <w:szCs w:val="25"/>
        </w:rPr>
        <w:t>letely.   The local agency is required to send</w:t>
      </w:r>
      <w:r w:rsidRPr="00103065">
        <w:rPr>
          <w:szCs w:val="25"/>
        </w:rPr>
        <w:t xml:space="preserve"> </w:t>
      </w:r>
      <w:r>
        <w:rPr>
          <w:szCs w:val="25"/>
        </w:rPr>
        <w:t xml:space="preserve">regular </w:t>
      </w:r>
      <w:r w:rsidRPr="00103065">
        <w:rPr>
          <w:szCs w:val="25"/>
        </w:rPr>
        <w:t xml:space="preserve">reports to Commerce or the utility.  Commerce then reimburses the local agency for measures funded through the sources they oversee based on invoices for completed units. Generally this is how utilities reimburse agencies as well, though one utility is able to reimburse for measures completed before a job is closed.  </w:t>
      </w:r>
      <w:r>
        <w:rPr>
          <w:szCs w:val="25"/>
        </w:rPr>
        <w:t>Each year Commerce performs random inspections of a percentage of the homes as a quality check of the local agency’s inspections.</w:t>
      </w:r>
    </w:p>
    <w:p w:rsidR="008628A5" w:rsidRPr="00103065" w:rsidRDefault="008628A5" w:rsidP="008628A5">
      <w:pPr>
        <w:pStyle w:val="Default"/>
        <w:spacing w:after="50"/>
        <w:rPr>
          <w:szCs w:val="25"/>
        </w:rPr>
      </w:pPr>
    </w:p>
    <w:p w:rsidR="008628A5" w:rsidRPr="00103065" w:rsidRDefault="008628A5" w:rsidP="008628A5">
      <w:pPr>
        <w:pStyle w:val="Default"/>
        <w:spacing w:after="50"/>
        <w:rPr>
          <w:szCs w:val="25"/>
        </w:rPr>
      </w:pPr>
      <w:r w:rsidRPr="00103065">
        <w:rPr>
          <w:szCs w:val="25"/>
        </w:rPr>
        <w:t xml:space="preserve">The size of the agencies, the programs they administer, the amount and diversity of funding, compensation schedules, and resources available in their service areas vary across the state.  Some of the agencies have federally approved indirect rates for administration that are applied to all </w:t>
      </w:r>
      <w:proofErr w:type="gramStart"/>
      <w:r w:rsidRPr="00103065">
        <w:rPr>
          <w:szCs w:val="25"/>
        </w:rPr>
        <w:t>their</w:t>
      </w:r>
      <w:proofErr w:type="gramEnd"/>
      <w:r w:rsidRPr="00103065">
        <w:rPr>
          <w:szCs w:val="25"/>
        </w:rPr>
        <w:t xml:space="preserve"> funding sources.   Consequently, there is no set percentage or methodology that can be used</w:t>
      </w:r>
      <w:r>
        <w:rPr>
          <w:szCs w:val="25"/>
        </w:rPr>
        <w:t xml:space="preserve"> for all agencies</w:t>
      </w:r>
      <w:r w:rsidRPr="00103065">
        <w:rPr>
          <w:szCs w:val="25"/>
        </w:rPr>
        <w:t xml:space="preserve">.  The local agencies have had the on-going challenge of melding a multitude of funding sources together to make the weatherization program work.  Federal, state and utility funding sources often have different fiscal years, </w:t>
      </w:r>
      <w:r>
        <w:rPr>
          <w:szCs w:val="25"/>
        </w:rPr>
        <w:t xml:space="preserve">program years, </w:t>
      </w:r>
      <w:r w:rsidRPr="00103065">
        <w:rPr>
          <w:szCs w:val="25"/>
        </w:rPr>
        <w:t>eligibility guidelines, payment schedules, cost-effectiveness tests, goals and objectives.</w:t>
      </w:r>
    </w:p>
    <w:p w:rsidR="008628A5" w:rsidRPr="00103065" w:rsidRDefault="008628A5" w:rsidP="008628A5">
      <w:pPr>
        <w:pStyle w:val="Default"/>
        <w:spacing w:after="50"/>
        <w:rPr>
          <w:szCs w:val="25"/>
        </w:rPr>
      </w:pPr>
    </w:p>
    <w:p w:rsidR="008628A5" w:rsidRPr="0029418B" w:rsidRDefault="008628A5" w:rsidP="008628A5">
      <w:pPr>
        <w:pStyle w:val="Default"/>
        <w:spacing w:after="50"/>
        <w:rPr>
          <w:szCs w:val="25"/>
        </w:rPr>
      </w:pPr>
      <w:r w:rsidRPr="00103065">
        <w:rPr>
          <w:szCs w:val="25"/>
        </w:rPr>
        <w:t>The local agencies differ from the standard for-profit energy service companies that deliver energy efficiency in that their highest interest is in making a</w:t>
      </w:r>
      <w:r>
        <w:rPr>
          <w:szCs w:val="25"/>
        </w:rPr>
        <w:t>s</w:t>
      </w:r>
      <w:r w:rsidRPr="00103065">
        <w:rPr>
          <w:szCs w:val="25"/>
        </w:rPr>
        <w:t xml:space="preserve"> great a difference </w:t>
      </w:r>
      <w:r>
        <w:rPr>
          <w:szCs w:val="25"/>
        </w:rPr>
        <w:t xml:space="preserve">in energy efficiency and comfort </w:t>
      </w:r>
      <w:r w:rsidRPr="00103065">
        <w:rPr>
          <w:szCs w:val="25"/>
        </w:rPr>
        <w:t>for the household as possible.  Over time this has led to following a ”whole house” approach, taking care not to strand any</w:t>
      </w:r>
      <w:r>
        <w:rPr>
          <w:szCs w:val="25"/>
        </w:rPr>
        <w:t xml:space="preserve"> weatherization</w:t>
      </w:r>
      <w:r w:rsidRPr="00103065">
        <w:rPr>
          <w:szCs w:val="25"/>
        </w:rPr>
        <w:t xml:space="preserve"> measures that could provide benefit.  The years of experience working in a variety of residential buildings has also revealed the interrelatedness of systems within the structure – which can result in hazards to either the structure or the inhabitants when one aspect of the building is changed without paying attention to others.  In the federally funded programs this ultimately developed into requirements that agencies assure to the best of their ability that such problems will not be caused or exacerbated by their work.   For example, the agency is expected to “tighten-up” a home to reduce</w:t>
      </w:r>
      <w:r>
        <w:rPr>
          <w:szCs w:val="25"/>
        </w:rPr>
        <w:t xml:space="preserve"> heat loss</w:t>
      </w:r>
      <w:r w:rsidRPr="00103065">
        <w:rPr>
          <w:szCs w:val="25"/>
        </w:rPr>
        <w:t xml:space="preserve"> and control air leakage.  However, doing so could expose the occupants to indoor air quality issues for which the agency and its funding sources could be legally liable unless they perform related health and safety </w:t>
      </w:r>
      <w:r>
        <w:rPr>
          <w:szCs w:val="25"/>
        </w:rPr>
        <w:t xml:space="preserve">measures such as </w:t>
      </w:r>
      <w:r w:rsidRPr="00103065">
        <w:rPr>
          <w:szCs w:val="25"/>
        </w:rPr>
        <w:t>combustion safety testing and the provision of carbon mon</w:t>
      </w:r>
      <w:r>
        <w:rPr>
          <w:szCs w:val="25"/>
        </w:rPr>
        <w:t>oxide detectors</w:t>
      </w:r>
      <w:r w:rsidRPr="00103065">
        <w:rPr>
          <w:szCs w:val="25"/>
        </w:rPr>
        <w:t xml:space="preserve">.  Program goals, however, go beyond energy efficiency and energy-related health and safety, to the preservation of affordable housing, the use of “green materials”(as directed by the federal funding sources), </w:t>
      </w:r>
      <w:r>
        <w:rPr>
          <w:szCs w:val="25"/>
        </w:rPr>
        <w:t xml:space="preserve">occupant </w:t>
      </w:r>
      <w:r w:rsidRPr="00103065">
        <w:rPr>
          <w:szCs w:val="25"/>
        </w:rPr>
        <w:t xml:space="preserve">comfort, and networking with the customer for other social services they may need.  </w:t>
      </w:r>
    </w:p>
    <w:p w:rsidR="008628A5" w:rsidRPr="00103065" w:rsidRDefault="008628A5" w:rsidP="008628A5">
      <w:pPr>
        <w:pStyle w:val="Default"/>
        <w:spacing w:after="50"/>
        <w:rPr>
          <w:b/>
          <w:szCs w:val="25"/>
        </w:rPr>
      </w:pPr>
    </w:p>
    <w:p w:rsidR="008628A5" w:rsidRDefault="008628A5" w:rsidP="008628A5">
      <w:pPr>
        <w:pStyle w:val="Default"/>
        <w:spacing w:after="50"/>
        <w:rPr>
          <w:szCs w:val="25"/>
        </w:rPr>
      </w:pPr>
      <w:r w:rsidRPr="00103065">
        <w:rPr>
          <w:b/>
          <w:szCs w:val="25"/>
        </w:rPr>
        <w:t>Q5</w:t>
      </w:r>
      <w:r w:rsidRPr="00103065">
        <w:rPr>
          <w:szCs w:val="25"/>
        </w:rPr>
        <w:t xml:space="preserve">.  A list of the types of conservation measures installed.  </w:t>
      </w:r>
    </w:p>
    <w:p w:rsidR="008628A5" w:rsidRPr="00103065" w:rsidDel="00423CD2" w:rsidRDefault="008628A5" w:rsidP="008628A5">
      <w:pPr>
        <w:pStyle w:val="Default"/>
        <w:spacing w:after="50"/>
        <w:rPr>
          <w:szCs w:val="25"/>
        </w:rPr>
      </w:pPr>
    </w:p>
    <w:p w:rsidR="008628A5" w:rsidRPr="00103065" w:rsidRDefault="008628A5" w:rsidP="008628A5">
      <w:pPr>
        <w:pStyle w:val="Default"/>
        <w:spacing w:after="50"/>
        <w:rPr>
          <w:szCs w:val="25"/>
        </w:rPr>
      </w:pPr>
      <w:r w:rsidRPr="00103065">
        <w:rPr>
          <w:b/>
          <w:szCs w:val="25"/>
        </w:rPr>
        <w:t>A5.</w:t>
      </w:r>
      <w:r w:rsidRPr="00103065">
        <w:rPr>
          <w:szCs w:val="25"/>
        </w:rPr>
        <w:t xml:space="preserve">  The list of conservation measures </w:t>
      </w:r>
      <w:r>
        <w:rPr>
          <w:szCs w:val="25"/>
        </w:rPr>
        <w:t xml:space="preserve">used </w:t>
      </w:r>
      <w:r w:rsidRPr="00103065">
        <w:rPr>
          <w:szCs w:val="25"/>
        </w:rPr>
        <w:t>in the federal programs (as well as BPA and State Matchmaker funds) include the following:</w:t>
      </w:r>
    </w:p>
    <w:p w:rsidR="008628A5" w:rsidRPr="00103065" w:rsidRDefault="008628A5" w:rsidP="008628A5">
      <w:pPr>
        <w:pStyle w:val="Default"/>
        <w:spacing w:after="50"/>
        <w:rPr>
          <w:szCs w:val="25"/>
        </w:rPr>
      </w:pPr>
    </w:p>
    <w:p w:rsidR="008628A5" w:rsidRPr="00103065" w:rsidRDefault="008628A5" w:rsidP="008628A5">
      <w:pPr>
        <w:pStyle w:val="Default"/>
        <w:numPr>
          <w:ilvl w:val="0"/>
          <w:numId w:val="1"/>
        </w:numPr>
        <w:spacing w:after="50"/>
        <w:rPr>
          <w:szCs w:val="25"/>
        </w:rPr>
      </w:pPr>
      <w:proofErr w:type="gramStart"/>
      <w:r>
        <w:rPr>
          <w:szCs w:val="25"/>
        </w:rPr>
        <w:t>shell</w:t>
      </w:r>
      <w:proofErr w:type="gramEnd"/>
      <w:r>
        <w:rPr>
          <w:szCs w:val="25"/>
        </w:rPr>
        <w:t xml:space="preserve"> measures such as</w:t>
      </w:r>
      <w:r w:rsidRPr="00103065">
        <w:rPr>
          <w:szCs w:val="25"/>
        </w:rPr>
        <w:t xml:space="preserve"> attic, wall,</w:t>
      </w:r>
      <w:r>
        <w:rPr>
          <w:szCs w:val="25"/>
        </w:rPr>
        <w:t xml:space="preserve"> and floor insulation</w:t>
      </w:r>
      <w:r w:rsidRPr="00103065">
        <w:rPr>
          <w:szCs w:val="25"/>
        </w:rPr>
        <w:t xml:space="preserve">; </w:t>
      </w:r>
    </w:p>
    <w:p w:rsidR="008628A5" w:rsidRPr="00103065" w:rsidRDefault="008628A5" w:rsidP="008628A5">
      <w:pPr>
        <w:pStyle w:val="Default"/>
        <w:numPr>
          <w:ilvl w:val="0"/>
          <w:numId w:val="1"/>
        </w:numPr>
        <w:spacing w:after="50"/>
        <w:rPr>
          <w:szCs w:val="25"/>
        </w:rPr>
      </w:pPr>
      <w:proofErr w:type="gramStart"/>
      <w:r>
        <w:rPr>
          <w:szCs w:val="25"/>
        </w:rPr>
        <w:t>base</w:t>
      </w:r>
      <w:proofErr w:type="gramEnd"/>
      <w:r>
        <w:rPr>
          <w:szCs w:val="25"/>
        </w:rPr>
        <w:t>-load measures such as</w:t>
      </w:r>
      <w:r w:rsidRPr="00103065">
        <w:rPr>
          <w:szCs w:val="25"/>
        </w:rPr>
        <w:t xml:space="preserve">  refrigerator replacement, incandescent light bulb and fixture change-outs; </w:t>
      </w:r>
    </w:p>
    <w:p w:rsidR="008628A5" w:rsidRPr="00103065" w:rsidRDefault="008628A5" w:rsidP="008628A5">
      <w:pPr>
        <w:pStyle w:val="Default"/>
        <w:numPr>
          <w:ilvl w:val="0"/>
          <w:numId w:val="1"/>
        </w:numPr>
        <w:spacing w:after="50"/>
        <w:rPr>
          <w:szCs w:val="25"/>
        </w:rPr>
      </w:pPr>
      <w:proofErr w:type="gramStart"/>
      <w:r w:rsidRPr="00103065">
        <w:rPr>
          <w:szCs w:val="25"/>
        </w:rPr>
        <w:t>energy</w:t>
      </w:r>
      <w:proofErr w:type="gramEnd"/>
      <w:r w:rsidRPr="00103065">
        <w:rPr>
          <w:szCs w:val="25"/>
        </w:rPr>
        <w:t>-rel</w:t>
      </w:r>
      <w:r>
        <w:rPr>
          <w:szCs w:val="25"/>
        </w:rPr>
        <w:t>ated water efficiency measures such as</w:t>
      </w:r>
      <w:r w:rsidRPr="00103065">
        <w:rPr>
          <w:szCs w:val="25"/>
        </w:rPr>
        <w:t xml:space="preserve"> hot water tank wraps; </w:t>
      </w:r>
      <w:r>
        <w:rPr>
          <w:szCs w:val="25"/>
        </w:rPr>
        <w:t>showerheads, flow restrictors</w:t>
      </w:r>
      <w:r w:rsidRPr="00103065">
        <w:rPr>
          <w:szCs w:val="25"/>
        </w:rPr>
        <w:t xml:space="preserve">; </w:t>
      </w:r>
    </w:p>
    <w:p w:rsidR="008628A5" w:rsidRPr="00103065" w:rsidRDefault="008628A5" w:rsidP="008628A5">
      <w:pPr>
        <w:pStyle w:val="Default"/>
        <w:numPr>
          <w:ilvl w:val="0"/>
          <w:numId w:val="1"/>
        </w:numPr>
        <w:spacing w:after="50"/>
        <w:rPr>
          <w:szCs w:val="25"/>
        </w:rPr>
      </w:pPr>
      <w:proofErr w:type="gramStart"/>
      <w:r w:rsidRPr="00103065">
        <w:rPr>
          <w:szCs w:val="25"/>
        </w:rPr>
        <w:t>heating</w:t>
      </w:r>
      <w:proofErr w:type="gramEnd"/>
      <w:r w:rsidRPr="00103065">
        <w:rPr>
          <w:szCs w:val="25"/>
        </w:rPr>
        <w:t xml:space="preserve"> system treatments </w:t>
      </w:r>
      <w:r>
        <w:rPr>
          <w:szCs w:val="25"/>
        </w:rPr>
        <w:t>such as</w:t>
      </w:r>
      <w:r w:rsidRPr="00103065">
        <w:rPr>
          <w:szCs w:val="25"/>
        </w:rPr>
        <w:t xml:space="preserve">  furnace tune-ups, furnace replacement, duct sealing and insulation; </w:t>
      </w:r>
    </w:p>
    <w:p w:rsidR="008628A5" w:rsidRPr="00103065" w:rsidRDefault="008628A5" w:rsidP="008628A5">
      <w:pPr>
        <w:pStyle w:val="Default"/>
        <w:numPr>
          <w:ilvl w:val="0"/>
          <w:numId w:val="1"/>
        </w:numPr>
        <w:spacing w:after="50"/>
        <w:rPr>
          <w:szCs w:val="25"/>
        </w:rPr>
      </w:pPr>
      <w:proofErr w:type="gramStart"/>
      <w:r w:rsidRPr="00103065">
        <w:rPr>
          <w:szCs w:val="25"/>
        </w:rPr>
        <w:t>diagnostically</w:t>
      </w:r>
      <w:proofErr w:type="gramEnd"/>
      <w:r w:rsidRPr="00103065">
        <w:rPr>
          <w:szCs w:val="25"/>
        </w:rPr>
        <w:t>-driven air leakage control; and</w:t>
      </w:r>
    </w:p>
    <w:p w:rsidR="008628A5" w:rsidRPr="00103065" w:rsidRDefault="008628A5" w:rsidP="008628A5">
      <w:pPr>
        <w:pStyle w:val="Default"/>
        <w:numPr>
          <w:ilvl w:val="0"/>
          <w:numId w:val="1"/>
        </w:numPr>
        <w:spacing w:after="50"/>
        <w:rPr>
          <w:szCs w:val="25"/>
        </w:rPr>
      </w:pPr>
      <w:proofErr w:type="gramStart"/>
      <w:r w:rsidRPr="00103065">
        <w:rPr>
          <w:szCs w:val="25"/>
        </w:rPr>
        <w:t>low</w:t>
      </w:r>
      <w:proofErr w:type="gramEnd"/>
      <w:r w:rsidRPr="00103065">
        <w:rPr>
          <w:szCs w:val="25"/>
        </w:rPr>
        <w:t xml:space="preserve">-cost/no-cost </w:t>
      </w:r>
      <w:r>
        <w:rPr>
          <w:szCs w:val="25"/>
        </w:rPr>
        <w:t xml:space="preserve">energy-saving </w:t>
      </w:r>
      <w:r w:rsidRPr="00103065">
        <w:rPr>
          <w:szCs w:val="25"/>
        </w:rPr>
        <w:t>measures</w:t>
      </w:r>
    </w:p>
    <w:p w:rsidR="008628A5" w:rsidRPr="00103065" w:rsidRDefault="008628A5" w:rsidP="008628A5">
      <w:pPr>
        <w:pStyle w:val="Default"/>
        <w:spacing w:after="50"/>
        <w:ind w:left="540" w:hanging="540"/>
        <w:rPr>
          <w:szCs w:val="25"/>
        </w:rPr>
      </w:pPr>
      <w:r w:rsidRPr="00103065">
        <w:rPr>
          <w:szCs w:val="25"/>
        </w:rPr>
        <w:t xml:space="preserve">  </w:t>
      </w:r>
    </w:p>
    <w:p w:rsidR="008628A5" w:rsidRDefault="008628A5" w:rsidP="008628A5">
      <w:pPr>
        <w:pStyle w:val="Default"/>
        <w:spacing w:after="50"/>
        <w:rPr>
          <w:szCs w:val="25"/>
        </w:rPr>
      </w:pPr>
      <w:r>
        <w:rPr>
          <w:szCs w:val="25"/>
        </w:rPr>
        <w:t>C</w:t>
      </w:r>
      <w:r w:rsidRPr="00103065">
        <w:rPr>
          <w:szCs w:val="25"/>
        </w:rPr>
        <w:t>onsumer cons</w:t>
      </w:r>
      <w:r>
        <w:rPr>
          <w:szCs w:val="25"/>
        </w:rPr>
        <w:t>ervation education is also requir</w:t>
      </w:r>
      <w:r w:rsidRPr="00103065">
        <w:rPr>
          <w:szCs w:val="25"/>
        </w:rPr>
        <w:t xml:space="preserve">ed.  BPA will also fund microwave ovens and clothes washer replacement.  DOE will allow renewable energy systems that are included in the average cost per unit when combined with any energy efficiency expenditures.  </w:t>
      </w:r>
    </w:p>
    <w:p w:rsidR="008628A5" w:rsidRDefault="008628A5" w:rsidP="008628A5">
      <w:pPr>
        <w:pStyle w:val="Default"/>
        <w:spacing w:after="50"/>
        <w:rPr>
          <w:szCs w:val="25"/>
        </w:rPr>
      </w:pPr>
    </w:p>
    <w:p w:rsidR="008628A5" w:rsidRPr="00103065" w:rsidRDefault="008628A5" w:rsidP="008628A5">
      <w:pPr>
        <w:pStyle w:val="Default"/>
        <w:spacing w:after="50"/>
        <w:rPr>
          <w:szCs w:val="25"/>
        </w:rPr>
      </w:pPr>
      <w:r w:rsidRPr="00103065">
        <w:rPr>
          <w:szCs w:val="25"/>
        </w:rPr>
        <w:t>In addition, when a repair is necessary in order to protect the energy measure or the structure, such as patching a roof leak to protect attic or wall insulation, or repairing mechanical ventilation, those costs are allowed and must be included in the SIR calculation.  The inclusion of an allowance for repair funds is critical to reducing the possibility of stranding an energy-saving measure as well as reducing the cost of “walk-aways</w:t>
      </w:r>
      <w:r>
        <w:rPr>
          <w:szCs w:val="25"/>
        </w:rPr>
        <w:t>.</w:t>
      </w:r>
      <w:r w:rsidRPr="00103065">
        <w:rPr>
          <w:szCs w:val="25"/>
        </w:rPr>
        <w:t xml:space="preserve">”  </w:t>
      </w:r>
      <w:r>
        <w:rPr>
          <w:szCs w:val="25"/>
        </w:rPr>
        <w:t xml:space="preserve">Prior to ARRA funding weatherization-related repairs were limited to a $200/unit average cost, with a maximum of $550/unit.   This cap made it very difficult for agencies to fund even some of the more commonly needed repairs, so when the allowable program average expenditure was increased, Commerce also changed the allowable weatherization-related repair costs to 15% of program budget.  </w:t>
      </w:r>
      <w:r w:rsidRPr="00103065">
        <w:rPr>
          <w:szCs w:val="25"/>
        </w:rPr>
        <w:t>Because not all funding sources are available at all times, having some allowance for health and safety and energy-related repair in each funding source provides agencies with the flexibility to access the funds when they need t</w:t>
      </w:r>
      <w:r>
        <w:rPr>
          <w:szCs w:val="25"/>
        </w:rPr>
        <w:t>o complete</w:t>
      </w:r>
      <w:r w:rsidRPr="00103065">
        <w:rPr>
          <w:szCs w:val="25"/>
        </w:rPr>
        <w:t xml:space="preserve"> the package</w:t>
      </w:r>
      <w:r>
        <w:rPr>
          <w:szCs w:val="25"/>
        </w:rPr>
        <w:t xml:space="preserve"> of measures installed.  Remaining budget</w:t>
      </w:r>
      <w:r w:rsidRPr="00103065">
        <w:rPr>
          <w:szCs w:val="25"/>
        </w:rPr>
        <w:t xml:space="preserve"> </w:t>
      </w:r>
      <w:r>
        <w:rPr>
          <w:szCs w:val="25"/>
        </w:rPr>
        <w:t>a</w:t>
      </w:r>
      <w:r w:rsidRPr="00103065">
        <w:rPr>
          <w:szCs w:val="25"/>
        </w:rPr>
        <w:t>llowances not spent on repairs are spent on energy efficiency measures.</w:t>
      </w:r>
    </w:p>
    <w:p w:rsidR="008628A5" w:rsidRPr="00103065" w:rsidRDefault="008628A5" w:rsidP="008628A5">
      <w:pPr>
        <w:pStyle w:val="Default"/>
        <w:spacing w:after="50"/>
        <w:rPr>
          <w:szCs w:val="25"/>
        </w:rPr>
      </w:pPr>
    </w:p>
    <w:p w:rsidR="008628A5" w:rsidRDefault="008628A5" w:rsidP="008628A5">
      <w:pPr>
        <w:pStyle w:val="Default"/>
        <w:spacing w:after="50"/>
        <w:rPr>
          <w:szCs w:val="25"/>
        </w:rPr>
      </w:pPr>
      <w:r w:rsidRPr="00103065">
        <w:rPr>
          <w:b/>
          <w:szCs w:val="25"/>
        </w:rPr>
        <w:t>Q6</w:t>
      </w:r>
      <w:r w:rsidRPr="00103065">
        <w:rPr>
          <w:szCs w:val="25"/>
        </w:rPr>
        <w:t xml:space="preserve">.  A list of the types of health and human safety measures installed. </w:t>
      </w:r>
    </w:p>
    <w:p w:rsidR="008628A5" w:rsidRPr="00103065" w:rsidRDefault="008628A5" w:rsidP="008628A5">
      <w:pPr>
        <w:pStyle w:val="Default"/>
        <w:spacing w:after="50"/>
        <w:rPr>
          <w:szCs w:val="25"/>
        </w:rPr>
      </w:pPr>
    </w:p>
    <w:p w:rsidR="008628A5" w:rsidRPr="00103065" w:rsidRDefault="008628A5" w:rsidP="008628A5">
      <w:pPr>
        <w:pStyle w:val="Default"/>
        <w:rPr>
          <w:szCs w:val="25"/>
        </w:rPr>
      </w:pPr>
      <w:r w:rsidRPr="00103065">
        <w:rPr>
          <w:b/>
          <w:szCs w:val="25"/>
        </w:rPr>
        <w:t>A6</w:t>
      </w:r>
      <w:r w:rsidRPr="00103065">
        <w:rPr>
          <w:szCs w:val="25"/>
        </w:rPr>
        <w:t>.  Commerce and the federal funding sources make a key distinction between what are called health and safety repairs or measures and energy efficiency measures or weatherization-related repairs.  Agencies must install health and safety repairs or measures when they are determined necessary to protect the inhabitants</w:t>
      </w:r>
      <w:r>
        <w:rPr>
          <w:szCs w:val="25"/>
        </w:rPr>
        <w:t xml:space="preserve"> of the home</w:t>
      </w:r>
      <w:r w:rsidRPr="00103065">
        <w:rPr>
          <w:szCs w:val="25"/>
        </w:rPr>
        <w:t>.  Weatherization-related repairs are</w:t>
      </w:r>
      <w:r>
        <w:rPr>
          <w:szCs w:val="25"/>
        </w:rPr>
        <w:t xml:space="preserve"> those required</w:t>
      </w:r>
      <w:r w:rsidRPr="00103065">
        <w:rPr>
          <w:szCs w:val="25"/>
        </w:rPr>
        <w:t xml:space="preserve"> to protect the efficiency measure</w:t>
      </w:r>
      <w:r>
        <w:rPr>
          <w:szCs w:val="25"/>
        </w:rPr>
        <w:t>s installed</w:t>
      </w:r>
      <w:r w:rsidRPr="00103065">
        <w:rPr>
          <w:szCs w:val="25"/>
        </w:rPr>
        <w:t xml:space="preserve">.  Health and safety measures that can be paid for with WAP, </w:t>
      </w:r>
      <w:r>
        <w:rPr>
          <w:szCs w:val="25"/>
        </w:rPr>
        <w:t>LIHEAP</w:t>
      </w:r>
      <w:r w:rsidRPr="00103065">
        <w:rPr>
          <w:szCs w:val="25"/>
        </w:rPr>
        <w:t xml:space="preserve"> Wx, BPA or MM funding include:</w:t>
      </w:r>
    </w:p>
    <w:p w:rsidR="008628A5" w:rsidRPr="00103065" w:rsidRDefault="008628A5" w:rsidP="008628A5">
      <w:pPr>
        <w:pStyle w:val="Default"/>
        <w:ind w:left="540" w:hanging="540"/>
        <w:rPr>
          <w:szCs w:val="25"/>
        </w:rPr>
      </w:pPr>
    </w:p>
    <w:p w:rsidR="008628A5" w:rsidRPr="00103065" w:rsidRDefault="008628A5" w:rsidP="008628A5">
      <w:pPr>
        <w:pStyle w:val="Default"/>
        <w:numPr>
          <w:ilvl w:val="0"/>
          <w:numId w:val="2"/>
        </w:numPr>
        <w:rPr>
          <w:szCs w:val="25"/>
        </w:rPr>
      </w:pPr>
      <w:proofErr w:type="gramStart"/>
      <w:r w:rsidRPr="00103065">
        <w:rPr>
          <w:szCs w:val="25"/>
        </w:rPr>
        <w:t>electrical</w:t>
      </w:r>
      <w:proofErr w:type="gramEnd"/>
      <w:r w:rsidRPr="00103065">
        <w:rPr>
          <w:szCs w:val="25"/>
        </w:rPr>
        <w:t xml:space="preserve"> knob-and-tube wiring and minor energy-related electrical repair;</w:t>
      </w:r>
    </w:p>
    <w:p w:rsidR="008628A5" w:rsidRPr="00103065" w:rsidRDefault="008628A5" w:rsidP="008628A5">
      <w:pPr>
        <w:pStyle w:val="Default"/>
        <w:numPr>
          <w:ilvl w:val="0"/>
          <w:numId w:val="2"/>
        </w:numPr>
        <w:rPr>
          <w:szCs w:val="25"/>
        </w:rPr>
      </w:pPr>
      <w:proofErr w:type="gramStart"/>
      <w:r w:rsidRPr="00103065">
        <w:rPr>
          <w:szCs w:val="25"/>
        </w:rPr>
        <w:t>diagnostic</w:t>
      </w:r>
      <w:proofErr w:type="gramEnd"/>
      <w:r w:rsidRPr="00103065">
        <w:rPr>
          <w:szCs w:val="25"/>
        </w:rPr>
        <w:t xml:space="preserve"> testing for indoor air quality; </w:t>
      </w:r>
    </w:p>
    <w:p w:rsidR="008628A5" w:rsidRPr="00103065" w:rsidRDefault="008628A5" w:rsidP="008628A5">
      <w:pPr>
        <w:pStyle w:val="Default"/>
        <w:numPr>
          <w:ilvl w:val="0"/>
          <w:numId w:val="2"/>
        </w:numPr>
        <w:rPr>
          <w:szCs w:val="25"/>
        </w:rPr>
      </w:pPr>
      <w:proofErr w:type="gramStart"/>
      <w:r w:rsidRPr="00103065">
        <w:rPr>
          <w:szCs w:val="25"/>
        </w:rPr>
        <w:t>heating</w:t>
      </w:r>
      <w:proofErr w:type="gramEnd"/>
      <w:r w:rsidRPr="00103065">
        <w:rPr>
          <w:szCs w:val="25"/>
        </w:rPr>
        <w:t xml:space="preserve"> system repair or replacement;</w:t>
      </w:r>
    </w:p>
    <w:p w:rsidR="008628A5" w:rsidRPr="00103065" w:rsidRDefault="008628A5" w:rsidP="008628A5">
      <w:pPr>
        <w:pStyle w:val="Default"/>
        <w:numPr>
          <w:ilvl w:val="0"/>
          <w:numId w:val="2"/>
        </w:numPr>
        <w:rPr>
          <w:szCs w:val="25"/>
        </w:rPr>
      </w:pPr>
      <w:proofErr w:type="gramStart"/>
      <w:r w:rsidRPr="00103065">
        <w:rPr>
          <w:szCs w:val="25"/>
        </w:rPr>
        <w:t>combustion</w:t>
      </w:r>
      <w:proofErr w:type="gramEnd"/>
      <w:r w:rsidRPr="00103065">
        <w:rPr>
          <w:szCs w:val="25"/>
        </w:rPr>
        <w:t xml:space="preserve"> safety testing;</w:t>
      </w:r>
    </w:p>
    <w:p w:rsidR="008628A5" w:rsidRPr="00103065" w:rsidRDefault="008628A5" w:rsidP="008628A5">
      <w:pPr>
        <w:pStyle w:val="Default"/>
        <w:numPr>
          <w:ilvl w:val="0"/>
          <w:numId w:val="2"/>
        </w:numPr>
        <w:rPr>
          <w:szCs w:val="25"/>
        </w:rPr>
      </w:pPr>
      <w:proofErr w:type="gramStart"/>
      <w:r w:rsidRPr="00103065">
        <w:rPr>
          <w:szCs w:val="25"/>
        </w:rPr>
        <w:t>repair</w:t>
      </w:r>
      <w:proofErr w:type="gramEnd"/>
      <w:r w:rsidRPr="00103065">
        <w:rPr>
          <w:szCs w:val="25"/>
        </w:rPr>
        <w:t xml:space="preserve"> of a solid fuel burning appliance (not </w:t>
      </w:r>
      <w:r>
        <w:rPr>
          <w:szCs w:val="25"/>
        </w:rPr>
        <w:t xml:space="preserve">allowed by </w:t>
      </w:r>
      <w:r w:rsidRPr="00103065">
        <w:rPr>
          <w:szCs w:val="25"/>
        </w:rPr>
        <w:t>BPA);</w:t>
      </w:r>
    </w:p>
    <w:p w:rsidR="008628A5" w:rsidRPr="00103065" w:rsidRDefault="008628A5" w:rsidP="008628A5">
      <w:pPr>
        <w:pStyle w:val="Default"/>
        <w:numPr>
          <w:ilvl w:val="0"/>
          <w:numId w:val="2"/>
        </w:numPr>
        <w:rPr>
          <w:szCs w:val="25"/>
        </w:rPr>
      </w:pPr>
      <w:proofErr w:type="gramStart"/>
      <w:r w:rsidRPr="00103065">
        <w:rPr>
          <w:szCs w:val="25"/>
        </w:rPr>
        <w:t>smoke</w:t>
      </w:r>
      <w:proofErr w:type="gramEnd"/>
      <w:r w:rsidRPr="00103065">
        <w:rPr>
          <w:szCs w:val="25"/>
        </w:rPr>
        <w:t xml:space="preserve"> detectors;</w:t>
      </w:r>
    </w:p>
    <w:p w:rsidR="008628A5" w:rsidRPr="00103065" w:rsidRDefault="008628A5" w:rsidP="008628A5">
      <w:pPr>
        <w:pStyle w:val="Default"/>
        <w:numPr>
          <w:ilvl w:val="0"/>
          <w:numId w:val="2"/>
        </w:numPr>
        <w:rPr>
          <w:szCs w:val="25"/>
        </w:rPr>
      </w:pPr>
      <w:proofErr w:type="gramStart"/>
      <w:r w:rsidRPr="00103065">
        <w:rPr>
          <w:szCs w:val="25"/>
        </w:rPr>
        <w:t>carbon</w:t>
      </w:r>
      <w:proofErr w:type="gramEnd"/>
      <w:r w:rsidRPr="00103065">
        <w:rPr>
          <w:szCs w:val="25"/>
        </w:rPr>
        <w:t xml:space="preserve"> monoxide detectors;</w:t>
      </w:r>
    </w:p>
    <w:p w:rsidR="008628A5" w:rsidRPr="00103065" w:rsidRDefault="008628A5" w:rsidP="008628A5">
      <w:pPr>
        <w:pStyle w:val="Default"/>
        <w:numPr>
          <w:ilvl w:val="0"/>
          <w:numId w:val="2"/>
        </w:numPr>
        <w:rPr>
          <w:szCs w:val="25"/>
        </w:rPr>
      </w:pPr>
      <w:proofErr w:type="gramStart"/>
      <w:r w:rsidRPr="00103065">
        <w:rPr>
          <w:szCs w:val="25"/>
        </w:rPr>
        <w:t>window</w:t>
      </w:r>
      <w:proofErr w:type="gramEnd"/>
      <w:r w:rsidRPr="00103065">
        <w:rPr>
          <w:szCs w:val="25"/>
        </w:rPr>
        <w:t xml:space="preserve"> repair or replacement; and </w:t>
      </w:r>
    </w:p>
    <w:p w:rsidR="008628A5" w:rsidRPr="00103065" w:rsidRDefault="008628A5" w:rsidP="008628A5">
      <w:pPr>
        <w:pStyle w:val="Default"/>
        <w:numPr>
          <w:ilvl w:val="0"/>
          <w:numId w:val="2"/>
        </w:numPr>
        <w:rPr>
          <w:szCs w:val="25"/>
        </w:rPr>
      </w:pPr>
      <w:proofErr w:type="gramStart"/>
      <w:r w:rsidRPr="00103065">
        <w:rPr>
          <w:szCs w:val="25"/>
        </w:rPr>
        <w:t>lead</w:t>
      </w:r>
      <w:proofErr w:type="gramEnd"/>
      <w:r w:rsidRPr="00103065">
        <w:rPr>
          <w:szCs w:val="25"/>
        </w:rPr>
        <w:t xml:space="preserve">-safe weatherization (required when lead containing materials will be disturbed by the installation).  </w:t>
      </w:r>
    </w:p>
    <w:p w:rsidR="008628A5" w:rsidRPr="00103065" w:rsidRDefault="008628A5" w:rsidP="008628A5">
      <w:pPr>
        <w:pStyle w:val="Default"/>
        <w:ind w:left="540" w:hanging="540"/>
        <w:rPr>
          <w:szCs w:val="25"/>
        </w:rPr>
      </w:pPr>
    </w:p>
    <w:p w:rsidR="008628A5" w:rsidRPr="00103065" w:rsidRDefault="008628A5" w:rsidP="008628A5">
      <w:pPr>
        <w:pStyle w:val="Default"/>
        <w:rPr>
          <w:szCs w:val="25"/>
        </w:rPr>
      </w:pPr>
      <w:r w:rsidRPr="00103065">
        <w:rPr>
          <w:szCs w:val="25"/>
        </w:rPr>
        <w:t>The policies allow for the expenditure of labor, materials and, in some cases, equipment purchases to reme</w:t>
      </w:r>
      <w:r>
        <w:rPr>
          <w:szCs w:val="25"/>
        </w:rPr>
        <w:t>diate these situations.  Commerce administered funding sources do no require e</w:t>
      </w:r>
      <w:r w:rsidRPr="00103065">
        <w:rPr>
          <w:szCs w:val="25"/>
        </w:rPr>
        <w:t xml:space="preserve">xpenditures to protect the health and safety of the occupants </w:t>
      </w:r>
      <w:r>
        <w:rPr>
          <w:szCs w:val="25"/>
        </w:rPr>
        <w:t xml:space="preserve">to be </w:t>
      </w:r>
      <w:r w:rsidRPr="00103065">
        <w:rPr>
          <w:szCs w:val="25"/>
        </w:rPr>
        <w:t xml:space="preserve">included in the cost-effectiveness determinations </w:t>
      </w:r>
      <w:r>
        <w:rPr>
          <w:szCs w:val="25"/>
        </w:rPr>
        <w:t>(SIRs required by DOE or LIHEAP Wx</w:t>
      </w:r>
      <w:r w:rsidRPr="00103065">
        <w:rPr>
          <w:szCs w:val="25"/>
        </w:rPr>
        <w:t xml:space="preserve">).  </w:t>
      </w:r>
      <w:r>
        <w:rPr>
          <w:szCs w:val="25"/>
        </w:rPr>
        <w:t>Spending allocations for health and safety also increased when the average spending limit/unit increased.</w:t>
      </w:r>
    </w:p>
    <w:p w:rsidR="008628A5" w:rsidRPr="00103065" w:rsidRDefault="008628A5" w:rsidP="008628A5">
      <w:pPr>
        <w:pStyle w:val="Default"/>
        <w:rPr>
          <w:szCs w:val="25"/>
        </w:rPr>
      </w:pPr>
    </w:p>
    <w:p w:rsidR="008628A5" w:rsidRPr="00103065" w:rsidRDefault="008628A5" w:rsidP="008628A5">
      <w:pPr>
        <w:rPr>
          <w:rFonts w:ascii="Times New Roman" w:hAnsi="Times New Roman"/>
        </w:rPr>
      </w:pPr>
      <w:r w:rsidRPr="00103065">
        <w:rPr>
          <w:rFonts w:ascii="Times New Roman" w:hAnsi="Times New Roman"/>
          <w:b/>
        </w:rPr>
        <w:t>Q7.</w:t>
      </w:r>
      <w:r w:rsidRPr="00103065">
        <w:rPr>
          <w:rFonts w:ascii="Times New Roman" w:hAnsi="Times New Roman"/>
        </w:rPr>
        <w:t xml:space="preserve">  </w:t>
      </w:r>
      <w:proofErr w:type="gramStart"/>
      <w:r w:rsidRPr="00103065">
        <w:rPr>
          <w:rFonts w:ascii="Times New Roman" w:hAnsi="Times New Roman"/>
        </w:rPr>
        <w:t>A spreadsheet showing the cost effectiveness calculations with line items for housing repair and safety assistance.</w:t>
      </w:r>
      <w:proofErr w:type="gramEnd"/>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b/>
        </w:rPr>
        <w:t>A7.</w:t>
      </w:r>
      <w:r w:rsidRPr="00103065">
        <w:rPr>
          <w:rFonts w:ascii="Times New Roman" w:hAnsi="Times New Roman"/>
        </w:rPr>
        <w:t xml:space="preserve">  The Energy Project and agencies do not have this information available.  They have not analyzed their program in this manner.  During 2008, the </w:t>
      </w:r>
      <w:r>
        <w:rPr>
          <w:rFonts w:ascii="Times New Roman" w:hAnsi="Times New Roman"/>
        </w:rPr>
        <w:t xml:space="preserve">local weatherization </w:t>
      </w:r>
      <w:r w:rsidRPr="00103065">
        <w:rPr>
          <w:rFonts w:ascii="Times New Roman" w:hAnsi="Times New Roman"/>
        </w:rPr>
        <w:t>agencies, in conjunct</w:t>
      </w:r>
      <w:r>
        <w:rPr>
          <w:rFonts w:ascii="Times New Roman" w:hAnsi="Times New Roman"/>
        </w:rPr>
        <w:t>ion with</w:t>
      </w:r>
      <w:r w:rsidRPr="00103065">
        <w:rPr>
          <w:rFonts w:ascii="Times New Roman" w:hAnsi="Times New Roman"/>
        </w:rPr>
        <w:t xml:space="preserve"> Commerce, began the process of constructing a statewide data collection and reporting system </w:t>
      </w:r>
      <w:r>
        <w:rPr>
          <w:rFonts w:ascii="Times New Roman" w:hAnsi="Times New Roman"/>
        </w:rPr>
        <w:t>intended to address this type of information.  However, training and implementation of the data system is just starting for the local agencies this month</w:t>
      </w:r>
      <w:r w:rsidRPr="00103065">
        <w:rPr>
          <w:rFonts w:ascii="Times New Roman" w:hAnsi="Times New Roman"/>
        </w:rPr>
        <w:t xml:space="preserve">.  Some interim data has been collected </w:t>
      </w:r>
      <w:r>
        <w:rPr>
          <w:rFonts w:ascii="Times New Roman" w:hAnsi="Times New Roman"/>
        </w:rPr>
        <w:t>over</w:t>
      </w:r>
      <w:r w:rsidRPr="00103065">
        <w:rPr>
          <w:rFonts w:ascii="Times New Roman" w:hAnsi="Times New Roman"/>
        </w:rPr>
        <w:t xml:space="preserve"> the last year, but that data has not</w:t>
      </w:r>
      <w:r>
        <w:rPr>
          <w:rFonts w:ascii="Times New Roman" w:hAnsi="Times New Roman"/>
        </w:rPr>
        <w:t xml:space="preserve"> yet</w:t>
      </w:r>
      <w:r w:rsidRPr="00103065">
        <w:rPr>
          <w:rFonts w:ascii="Times New Roman" w:hAnsi="Times New Roman"/>
        </w:rPr>
        <w:t xml:space="preserve"> be</w:t>
      </w:r>
      <w:r>
        <w:rPr>
          <w:rFonts w:ascii="Times New Roman" w:hAnsi="Times New Roman"/>
        </w:rPr>
        <w:t>en organized and analyzed</w:t>
      </w:r>
      <w:r w:rsidRPr="00103065">
        <w:rPr>
          <w:rFonts w:ascii="Times New Roman" w:hAnsi="Times New Roman"/>
        </w:rPr>
        <w:t>.</w:t>
      </w:r>
    </w:p>
    <w:p w:rsidR="008628A5" w:rsidRPr="00103065" w:rsidRDefault="008628A5" w:rsidP="008628A5">
      <w:pPr>
        <w:rPr>
          <w:rFonts w:ascii="Times New Roman" w:hAnsi="Times New Roman"/>
        </w:rPr>
      </w:pPr>
    </w:p>
    <w:p w:rsidR="008628A5" w:rsidRDefault="008628A5" w:rsidP="008628A5">
      <w:pPr>
        <w:rPr>
          <w:rFonts w:ascii="Times New Roman" w:hAnsi="Times New Roman"/>
        </w:rPr>
      </w:pPr>
      <w:r w:rsidRPr="00103065">
        <w:rPr>
          <w:rFonts w:ascii="Times New Roman" w:hAnsi="Times New Roman"/>
        </w:rPr>
        <w:t xml:space="preserve">As discussed above, </w:t>
      </w:r>
      <w:proofErr w:type="gramStart"/>
      <w:r>
        <w:rPr>
          <w:rFonts w:ascii="Times New Roman" w:hAnsi="Times New Roman"/>
        </w:rPr>
        <w:t xml:space="preserve">weatherization </w:t>
      </w:r>
      <w:r w:rsidRPr="00103065">
        <w:rPr>
          <w:rFonts w:ascii="Times New Roman" w:hAnsi="Times New Roman"/>
        </w:rPr>
        <w:t>funding</w:t>
      </w:r>
      <w:proofErr w:type="gramEnd"/>
      <w:r w:rsidRPr="00103065">
        <w:rPr>
          <w:rFonts w:ascii="Times New Roman" w:hAnsi="Times New Roman"/>
        </w:rPr>
        <w:t xml:space="preserve"> sources have designated allowable measures that may be installed with their funds.  In considering what measures are cost effective to install, an agency looks at the need for repair and the availability of </w:t>
      </w:r>
      <w:r>
        <w:rPr>
          <w:rFonts w:ascii="Times New Roman" w:hAnsi="Times New Roman"/>
        </w:rPr>
        <w:t xml:space="preserve">various </w:t>
      </w:r>
      <w:r w:rsidRPr="00103065">
        <w:rPr>
          <w:rFonts w:ascii="Times New Roman" w:hAnsi="Times New Roman"/>
        </w:rPr>
        <w:t xml:space="preserve">funds to address repairs, then takes one of two approaches.  </w:t>
      </w: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rPr>
        <w:t xml:space="preserve">1) They may choose to use a computer </w:t>
      </w:r>
      <w:r>
        <w:rPr>
          <w:rFonts w:ascii="Times New Roman" w:hAnsi="Times New Roman"/>
        </w:rPr>
        <w:t>energy audit tool.  In Washington</w:t>
      </w:r>
      <w:r w:rsidRPr="00103065">
        <w:rPr>
          <w:rFonts w:ascii="Times New Roman" w:hAnsi="Times New Roman"/>
        </w:rPr>
        <w:t xml:space="preserve"> the accepted tool has been TREAT.  TREAT requires the agency to enter </w:t>
      </w:r>
      <w:r>
        <w:rPr>
          <w:rFonts w:ascii="Times New Roman" w:hAnsi="Times New Roman"/>
        </w:rPr>
        <w:t xml:space="preserve">building data and the </w:t>
      </w:r>
      <w:r w:rsidRPr="00103065">
        <w:rPr>
          <w:rFonts w:ascii="Times New Roman" w:hAnsi="Times New Roman"/>
        </w:rPr>
        <w:t>quantities and estimated costs for the measures they would like to install to derive a Savings to Investment Ratio (SIR).  As long as that SIR is 1.0 or higher, the unit is eligible for weatherization services.  This is</w:t>
      </w:r>
      <w:r>
        <w:rPr>
          <w:rFonts w:ascii="Times New Roman" w:hAnsi="Times New Roman"/>
        </w:rPr>
        <w:t xml:space="preserve"> the only allowable option for m</w:t>
      </w:r>
      <w:r w:rsidRPr="00103065">
        <w:rPr>
          <w:rFonts w:ascii="Times New Roman" w:hAnsi="Times New Roman"/>
        </w:rPr>
        <w:t>ultifamily structures.</w:t>
      </w:r>
    </w:p>
    <w:p w:rsidR="008628A5" w:rsidRPr="00103065" w:rsidRDefault="008628A5" w:rsidP="008628A5">
      <w:pPr>
        <w:rPr>
          <w:rFonts w:ascii="Times New Roman" w:hAnsi="Times New Roman"/>
        </w:rPr>
      </w:pPr>
    </w:p>
    <w:p w:rsidR="008628A5" w:rsidRDefault="008628A5" w:rsidP="008628A5">
      <w:pPr>
        <w:rPr>
          <w:rFonts w:ascii="Times New Roman" w:hAnsi="Times New Roman"/>
        </w:rPr>
      </w:pPr>
      <w:r w:rsidRPr="00103065">
        <w:rPr>
          <w:rFonts w:ascii="Times New Roman" w:hAnsi="Times New Roman"/>
        </w:rPr>
        <w:t xml:space="preserve">2) The second option is to follow a list of </w:t>
      </w:r>
      <w:r>
        <w:rPr>
          <w:rFonts w:ascii="Times New Roman" w:hAnsi="Times New Roman"/>
        </w:rPr>
        <w:t xml:space="preserve">weatherization </w:t>
      </w:r>
      <w:r w:rsidRPr="00103065">
        <w:rPr>
          <w:rFonts w:ascii="Times New Roman" w:hAnsi="Times New Roman"/>
        </w:rPr>
        <w:t>measures</w:t>
      </w:r>
      <w:r>
        <w:rPr>
          <w:rFonts w:ascii="Times New Roman" w:hAnsi="Times New Roman"/>
        </w:rPr>
        <w:t xml:space="preserve"> that are deemed cost-effective</w:t>
      </w:r>
      <w:r w:rsidRPr="00103065">
        <w:rPr>
          <w:rFonts w:ascii="Times New Roman" w:hAnsi="Times New Roman"/>
        </w:rPr>
        <w:t>.  The DOE has approved a “matrix of conduction measures” or priority list that are considered to be cost-effective for</w:t>
      </w:r>
      <w:r>
        <w:rPr>
          <w:rFonts w:ascii="Times New Roman" w:hAnsi="Times New Roman"/>
        </w:rPr>
        <w:t xml:space="preserve"> all</w:t>
      </w:r>
      <w:r w:rsidRPr="00103065">
        <w:rPr>
          <w:rFonts w:ascii="Times New Roman" w:hAnsi="Times New Roman"/>
        </w:rPr>
        <w:t xml:space="preserve"> agencies to install.  The matrix of conduct</w:t>
      </w:r>
      <w:r>
        <w:rPr>
          <w:rFonts w:ascii="Times New Roman" w:hAnsi="Times New Roman"/>
        </w:rPr>
        <w:t xml:space="preserve">ion measures was determined by </w:t>
      </w:r>
      <w:r w:rsidRPr="00103065">
        <w:rPr>
          <w:rFonts w:ascii="Times New Roman" w:hAnsi="Times New Roman"/>
        </w:rPr>
        <w:t xml:space="preserve">running computerized </w:t>
      </w:r>
      <w:r>
        <w:rPr>
          <w:rFonts w:ascii="Times New Roman" w:hAnsi="Times New Roman"/>
        </w:rPr>
        <w:t xml:space="preserve">energy </w:t>
      </w:r>
      <w:r w:rsidRPr="00103065">
        <w:rPr>
          <w:rFonts w:ascii="Times New Roman" w:hAnsi="Times New Roman"/>
        </w:rPr>
        <w:t>audit</w:t>
      </w:r>
      <w:r>
        <w:rPr>
          <w:rFonts w:ascii="Times New Roman" w:hAnsi="Times New Roman"/>
        </w:rPr>
        <w:t>s on</w:t>
      </w:r>
      <w:r w:rsidRPr="00103065">
        <w:rPr>
          <w:rFonts w:ascii="Times New Roman" w:hAnsi="Times New Roman"/>
        </w:rPr>
        <w:t xml:space="preserve"> many single-family buildings, including a variety of building characteristics (such as some with crawlspaces, some with basements), fuel types, and from various c</w:t>
      </w:r>
      <w:r>
        <w:rPr>
          <w:rFonts w:ascii="Times New Roman" w:hAnsi="Times New Roman"/>
        </w:rPr>
        <w:t>limactic regions of the state</w:t>
      </w:r>
      <w:r w:rsidRPr="00103065">
        <w:rPr>
          <w:rFonts w:ascii="Times New Roman" w:hAnsi="Times New Roman"/>
        </w:rPr>
        <w:t xml:space="preserve">.  The matrix reflects those measures for which an average SIR of greater than 1.0 was established.  </w:t>
      </w:r>
    </w:p>
    <w:p w:rsidR="008628A5" w:rsidRDefault="008628A5" w:rsidP="008628A5">
      <w:pPr>
        <w:rPr>
          <w:rFonts w:ascii="Times New Roman" w:hAnsi="Times New Roman"/>
        </w:rPr>
      </w:pPr>
    </w:p>
    <w:p w:rsidR="008628A5" w:rsidRDefault="008628A5" w:rsidP="008628A5">
      <w:r>
        <w:t xml:space="preserve">In addition to </w:t>
      </w:r>
      <w:proofErr w:type="gramStart"/>
      <w:r>
        <w:t>the  weatherization</w:t>
      </w:r>
      <w:proofErr w:type="gramEnd"/>
      <w:r>
        <w:t xml:space="preserve"> measures described in the priority list (below), Commerce allows the installation of CFL bulbs, energy efficient lighting fixtures, and no-cost/low-cost measures without performing an audit. </w:t>
      </w: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p>
    <w:p w:rsidR="008628A5" w:rsidRPr="00103065" w:rsidRDefault="008628A5" w:rsidP="008628A5">
      <w:pPr>
        <w:jc w:val="center"/>
        <w:rPr>
          <w:rFonts w:ascii="Times New Roman" w:hAnsi="Times New Roman"/>
        </w:rPr>
      </w:pP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p>
    <w:p w:rsidR="008628A5" w:rsidRPr="00103065" w:rsidRDefault="008628A5" w:rsidP="008628A5">
      <w:pPr>
        <w:rPr>
          <w:rFonts w:ascii="Times New Roman" w:hAnsi="Times New Roman"/>
        </w:rPr>
      </w:pPr>
      <w:r w:rsidRPr="00103065">
        <w:rPr>
          <w:rFonts w:ascii="Times New Roman" w:hAnsi="Times New Roman"/>
          <w:noProof/>
        </w:rPr>
        <w:drawing>
          <wp:inline distT="0" distB="0" distL="0" distR="0">
            <wp:extent cx="5486400" cy="4724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4724400"/>
                    </a:xfrm>
                    <a:prstGeom prst="rect">
                      <a:avLst/>
                    </a:prstGeom>
                    <a:noFill/>
                    <a:ln w="9525">
                      <a:noFill/>
                      <a:miter lim="800000"/>
                      <a:headEnd/>
                      <a:tailEnd/>
                    </a:ln>
                  </pic:spPr>
                </pic:pic>
              </a:graphicData>
            </a:graphic>
          </wp:inline>
        </w:drawing>
      </w:r>
    </w:p>
    <w:p w:rsidR="008628A5" w:rsidRPr="00103065" w:rsidRDefault="008628A5" w:rsidP="008628A5">
      <w:pPr>
        <w:rPr>
          <w:rFonts w:ascii="Times New Roman" w:hAnsi="Times New Roman"/>
        </w:rPr>
      </w:pPr>
    </w:p>
    <w:p w:rsidR="008628A5" w:rsidRPr="00103065" w:rsidRDefault="008628A5" w:rsidP="008628A5">
      <w:pPr>
        <w:pStyle w:val="Default"/>
        <w:rPr>
          <w:szCs w:val="25"/>
        </w:rPr>
      </w:pPr>
    </w:p>
    <w:p w:rsidR="008628A5" w:rsidRPr="00103065" w:rsidRDefault="008628A5" w:rsidP="008628A5">
      <w:pPr>
        <w:pStyle w:val="Default"/>
        <w:rPr>
          <w:b/>
          <w:szCs w:val="25"/>
        </w:rPr>
      </w:pPr>
      <w:r w:rsidRPr="00103065">
        <w:rPr>
          <w:b/>
          <w:szCs w:val="25"/>
        </w:rPr>
        <w:t>Q8.</w:t>
      </w:r>
      <w:r w:rsidRPr="00103065">
        <w:rPr>
          <w:szCs w:val="25"/>
        </w:rPr>
        <w:t xml:space="preserve">  </w:t>
      </w:r>
      <w:proofErr w:type="gramStart"/>
      <w:r w:rsidRPr="00103065">
        <w:rPr>
          <w:szCs w:val="25"/>
        </w:rPr>
        <w:t>The best information available on conservation potential for low-income customers and a description of how that information was determined.</w:t>
      </w:r>
      <w:proofErr w:type="gramEnd"/>
      <w:r w:rsidRPr="00103065">
        <w:rPr>
          <w:szCs w:val="25"/>
        </w:rPr>
        <w:t xml:space="preserve"> </w:t>
      </w:r>
    </w:p>
    <w:p w:rsidR="008628A5" w:rsidRPr="00103065" w:rsidRDefault="008628A5" w:rsidP="008628A5">
      <w:pPr>
        <w:pStyle w:val="Default"/>
        <w:rPr>
          <w:b/>
          <w:szCs w:val="25"/>
        </w:rPr>
      </w:pPr>
    </w:p>
    <w:p w:rsidR="008628A5" w:rsidRPr="00103065" w:rsidRDefault="008628A5" w:rsidP="008628A5">
      <w:pPr>
        <w:pStyle w:val="Default"/>
        <w:rPr>
          <w:szCs w:val="25"/>
        </w:rPr>
      </w:pPr>
      <w:r w:rsidRPr="00103065">
        <w:rPr>
          <w:b/>
          <w:szCs w:val="25"/>
        </w:rPr>
        <w:t>A.</w:t>
      </w:r>
      <w:r w:rsidRPr="00103065">
        <w:rPr>
          <w:szCs w:val="25"/>
        </w:rPr>
        <w:t xml:space="preserve"> The Energy Project looked at this question in two ways: 1) what are the </w:t>
      </w:r>
      <w:r>
        <w:rPr>
          <w:szCs w:val="25"/>
        </w:rPr>
        <w:t>energy savings</w:t>
      </w:r>
      <w:r w:rsidRPr="00103065">
        <w:rPr>
          <w:szCs w:val="25"/>
        </w:rPr>
        <w:t xml:space="preserve"> out there to be captured in low-income housing, and 2) how large is the population of dwellings that could be </w:t>
      </w:r>
      <w:r>
        <w:rPr>
          <w:szCs w:val="25"/>
        </w:rPr>
        <w:t xml:space="preserve">weatherized under </w:t>
      </w:r>
      <w:r w:rsidRPr="00103065">
        <w:rPr>
          <w:szCs w:val="25"/>
        </w:rPr>
        <w:t>the low-income program.</w:t>
      </w:r>
    </w:p>
    <w:p w:rsidR="008628A5" w:rsidRPr="00103065" w:rsidRDefault="008628A5" w:rsidP="008628A5">
      <w:pPr>
        <w:pStyle w:val="Default"/>
        <w:rPr>
          <w:szCs w:val="25"/>
        </w:rPr>
      </w:pPr>
    </w:p>
    <w:p w:rsidR="008628A5" w:rsidRPr="00103065" w:rsidRDefault="008628A5" w:rsidP="008628A5">
      <w:pPr>
        <w:pStyle w:val="Default"/>
        <w:rPr>
          <w:szCs w:val="25"/>
        </w:rPr>
      </w:pPr>
      <w:r w:rsidRPr="00103065">
        <w:rPr>
          <w:szCs w:val="25"/>
        </w:rPr>
        <w:t>In regard to th</w:t>
      </w:r>
      <w:r>
        <w:rPr>
          <w:szCs w:val="25"/>
        </w:rPr>
        <w:t>e first question,</w:t>
      </w:r>
      <w:r w:rsidRPr="00103065">
        <w:rPr>
          <w:szCs w:val="25"/>
        </w:rPr>
        <w:t xml:space="preserve"> the information</w:t>
      </w:r>
      <w:r>
        <w:rPr>
          <w:szCs w:val="25"/>
        </w:rPr>
        <w:t xml:space="preserve"> is not available</w:t>
      </w:r>
      <w:r w:rsidRPr="00103065">
        <w:rPr>
          <w:szCs w:val="25"/>
        </w:rPr>
        <w:t>.  We suspect the best estimate of the residential savings pote</w:t>
      </w:r>
      <w:r>
        <w:rPr>
          <w:szCs w:val="25"/>
        </w:rPr>
        <w:t xml:space="preserve">ntial would be </w:t>
      </w:r>
      <w:r w:rsidRPr="00103065">
        <w:rPr>
          <w:szCs w:val="25"/>
        </w:rPr>
        <w:t xml:space="preserve">from the NW Power and Conservation Council.  To our knowledge they do not have an estimate </w:t>
      </w:r>
      <w:r>
        <w:rPr>
          <w:szCs w:val="25"/>
        </w:rPr>
        <w:t xml:space="preserve">specifically </w:t>
      </w:r>
      <w:r w:rsidRPr="00103065">
        <w:rPr>
          <w:szCs w:val="25"/>
        </w:rPr>
        <w:t xml:space="preserve">for </w:t>
      </w:r>
      <w:r>
        <w:rPr>
          <w:szCs w:val="25"/>
        </w:rPr>
        <w:t>“</w:t>
      </w:r>
      <w:r w:rsidRPr="00103065">
        <w:rPr>
          <w:szCs w:val="25"/>
        </w:rPr>
        <w:t>low-income</w:t>
      </w:r>
      <w:r>
        <w:rPr>
          <w:szCs w:val="25"/>
        </w:rPr>
        <w:t>”</w:t>
      </w:r>
      <w:r w:rsidRPr="00103065">
        <w:rPr>
          <w:szCs w:val="25"/>
        </w:rPr>
        <w:t xml:space="preserve"> conservation</w:t>
      </w:r>
      <w:r>
        <w:rPr>
          <w:szCs w:val="25"/>
        </w:rPr>
        <w:t>; neither</w:t>
      </w:r>
      <w:r w:rsidRPr="00103065">
        <w:rPr>
          <w:szCs w:val="25"/>
        </w:rPr>
        <w:t xml:space="preserve"> do we know how</w:t>
      </w:r>
      <w:r>
        <w:rPr>
          <w:szCs w:val="25"/>
        </w:rPr>
        <w:t xml:space="preserve"> to</w:t>
      </w:r>
      <w:r w:rsidRPr="00103065">
        <w:rPr>
          <w:szCs w:val="25"/>
        </w:rPr>
        <w:t xml:space="preserve"> factor in what is “achievable</w:t>
      </w:r>
      <w:r>
        <w:rPr>
          <w:szCs w:val="25"/>
        </w:rPr>
        <w:t>,</w:t>
      </w:r>
      <w:r w:rsidRPr="00103065">
        <w:rPr>
          <w:szCs w:val="25"/>
        </w:rPr>
        <w:t>” given</w:t>
      </w:r>
      <w:r>
        <w:rPr>
          <w:szCs w:val="25"/>
        </w:rPr>
        <w:t xml:space="preserve"> the clear need for repairs in</w:t>
      </w:r>
      <w:r w:rsidRPr="00103065">
        <w:rPr>
          <w:szCs w:val="25"/>
        </w:rPr>
        <w:t xml:space="preserve"> low-income </w:t>
      </w:r>
      <w:r>
        <w:rPr>
          <w:szCs w:val="25"/>
        </w:rPr>
        <w:t>housing stock</w:t>
      </w:r>
      <w:r w:rsidRPr="00103065">
        <w:rPr>
          <w:szCs w:val="25"/>
        </w:rPr>
        <w:t>.</w:t>
      </w:r>
    </w:p>
    <w:p w:rsidR="008628A5" w:rsidRPr="00103065" w:rsidRDefault="008628A5" w:rsidP="008628A5">
      <w:pPr>
        <w:pStyle w:val="Default"/>
        <w:rPr>
          <w:szCs w:val="25"/>
        </w:rPr>
      </w:pPr>
    </w:p>
    <w:p w:rsidR="008628A5" w:rsidRPr="00103065" w:rsidRDefault="008628A5" w:rsidP="008628A5">
      <w:pPr>
        <w:pStyle w:val="Default"/>
        <w:rPr>
          <w:szCs w:val="25"/>
        </w:rPr>
      </w:pPr>
      <w:r>
        <w:rPr>
          <w:szCs w:val="25"/>
        </w:rPr>
        <w:t>W</w:t>
      </w:r>
      <w:r w:rsidRPr="00103065">
        <w:rPr>
          <w:szCs w:val="25"/>
        </w:rPr>
        <w:t xml:space="preserve">e </w:t>
      </w:r>
      <w:r>
        <w:rPr>
          <w:szCs w:val="25"/>
        </w:rPr>
        <w:t xml:space="preserve">do not </w:t>
      </w:r>
      <w:r w:rsidRPr="00103065">
        <w:rPr>
          <w:szCs w:val="25"/>
        </w:rPr>
        <w:t>have precise information as to how many eligible homes are still left to do, although</w:t>
      </w:r>
      <w:r>
        <w:rPr>
          <w:szCs w:val="25"/>
        </w:rPr>
        <w:t xml:space="preserve"> </w:t>
      </w:r>
      <w:r w:rsidRPr="00103065">
        <w:rPr>
          <w:szCs w:val="25"/>
        </w:rPr>
        <w:t>Commerce can supply the num</w:t>
      </w:r>
      <w:r>
        <w:rPr>
          <w:szCs w:val="25"/>
        </w:rPr>
        <w:t xml:space="preserve">ber of homes weatherized </w:t>
      </w:r>
      <w:r w:rsidRPr="00103065">
        <w:rPr>
          <w:szCs w:val="25"/>
        </w:rPr>
        <w:t xml:space="preserve">from 1995-2010 (55,294).  This averages 3,456 per year, though the </w:t>
      </w:r>
      <w:proofErr w:type="gramStart"/>
      <w:r w:rsidRPr="00103065">
        <w:rPr>
          <w:szCs w:val="25"/>
        </w:rPr>
        <w:t>figures are skewed by the recent U.S. DOE ARRA funding that boosted units completed to 7,161 in 2010</w:t>
      </w:r>
      <w:proofErr w:type="gramEnd"/>
      <w:r w:rsidRPr="00103065">
        <w:rPr>
          <w:szCs w:val="25"/>
        </w:rPr>
        <w:t>.  Commerce ha</w:t>
      </w:r>
      <w:r>
        <w:rPr>
          <w:szCs w:val="25"/>
        </w:rPr>
        <w:t xml:space="preserve">s data from before 1995, but </w:t>
      </w:r>
      <w:r w:rsidRPr="00103065">
        <w:rPr>
          <w:szCs w:val="25"/>
        </w:rPr>
        <w:t>many houses built before the 1993 State Energy Code would still benefit from energy efficiency improvement</w:t>
      </w:r>
      <w:r>
        <w:rPr>
          <w:szCs w:val="25"/>
        </w:rPr>
        <w:t>s</w:t>
      </w:r>
      <w:r w:rsidRPr="00103065">
        <w:rPr>
          <w:szCs w:val="25"/>
        </w:rPr>
        <w:t xml:space="preserve">.  Existing dwellings weatherized before </w:t>
      </w:r>
      <w:r>
        <w:rPr>
          <w:szCs w:val="25"/>
        </w:rPr>
        <w:t>1995</w:t>
      </w:r>
      <w:r w:rsidRPr="00103065">
        <w:rPr>
          <w:szCs w:val="25"/>
        </w:rPr>
        <w:t xml:space="preserve"> may also</w:t>
      </w:r>
      <w:r>
        <w:rPr>
          <w:szCs w:val="25"/>
        </w:rPr>
        <w:t xml:space="preserve"> be eligible</w:t>
      </w:r>
      <w:r w:rsidRPr="00103065">
        <w:rPr>
          <w:szCs w:val="25"/>
        </w:rPr>
        <w:t xml:space="preserve"> </w:t>
      </w:r>
      <w:r>
        <w:rPr>
          <w:szCs w:val="25"/>
        </w:rPr>
        <w:t>for</w:t>
      </w:r>
      <w:r w:rsidRPr="00103065">
        <w:rPr>
          <w:szCs w:val="25"/>
        </w:rPr>
        <w:t xml:space="preserve"> major </w:t>
      </w:r>
      <w:r>
        <w:rPr>
          <w:szCs w:val="25"/>
        </w:rPr>
        <w:t xml:space="preserve">conservation </w:t>
      </w:r>
      <w:r w:rsidRPr="00103065">
        <w:rPr>
          <w:szCs w:val="25"/>
        </w:rPr>
        <w:t>measures that were not considered cost effective at that time</w:t>
      </w:r>
      <w:r>
        <w:rPr>
          <w:szCs w:val="25"/>
        </w:rPr>
        <w:t xml:space="preserve"> </w:t>
      </w:r>
      <w:r w:rsidRPr="00103065">
        <w:t>or did not have the</w:t>
      </w:r>
      <w:r>
        <w:t xml:space="preserve"> benefit of newer technologies,</w:t>
      </w:r>
      <w:r w:rsidRPr="00103065">
        <w:t xml:space="preserve"> methodologies,</w:t>
      </w:r>
      <w:r>
        <w:t xml:space="preserve"> and</w:t>
      </w:r>
      <w:r w:rsidRPr="00103065">
        <w:t xml:space="preserve"> best practices that</w:t>
      </w:r>
      <w:r>
        <w:t xml:space="preserve"> have</w:t>
      </w:r>
      <w:r w:rsidRPr="00103065">
        <w:t xml:space="preserve"> evolved and for which agencies </w:t>
      </w:r>
      <w:r>
        <w:t>have been</w:t>
      </w:r>
      <w:r w:rsidRPr="00103065">
        <w:t xml:space="preserve"> trained since that time</w:t>
      </w:r>
      <w:r w:rsidRPr="00103065">
        <w:rPr>
          <w:szCs w:val="25"/>
        </w:rPr>
        <w:t xml:space="preserve">.  Recognizing this, the WAP program allows agencies to “reweatherize” homes treated before 1994 if cost-effective measures are available. </w:t>
      </w:r>
    </w:p>
    <w:p w:rsidR="008628A5" w:rsidRPr="00103065" w:rsidRDefault="008628A5" w:rsidP="008628A5">
      <w:pPr>
        <w:pStyle w:val="Default"/>
        <w:rPr>
          <w:szCs w:val="25"/>
        </w:rPr>
      </w:pPr>
    </w:p>
    <w:p w:rsidR="008628A5" w:rsidRPr="00103065" w:rsidRDefault="008628A5" w:rsidP="008628A5">
      <w:pPr>
        <w:pStyle w:val="Default"/>
        <w:rPr>
          <w:szCs w:val="25"/>
        </w:rPr>
      </w:pPr>
      <w:r w:rsidRPr="00103065">
        <w:rPr>
          <w:szCs w:val="25"/>
        </w:rPr>
        <w:t xml:space="preserve">The </w:t>
      </w:r>
      <w:r>
        <w:rPr>
          <w:szCs w:val="25"/>
        </w:rPr>
        <w:t xml:space="preserve">transitory </w:t>
      </w:r>
      <w:r w:rsidRPr="00103065">
        <w:rPr>
          <w:szCs w:val="25"/>
        </w:rPr>
        <w:t xml:space="preserve">nature of the eligible population alone makes it difficult to pin down the homes remaining to be treated.  Historically a standard of 125% of </w:t>
      </w:r>
      <w:r>
        <w:rPr>
          <w:szCs w:val="25"/>
        </w:rPr>
        <w:t xml:space="preserve">the </w:t>
      </w:r>
      <w:r w:rsidRPr="00103065">
        <w:rPr>
          <w:szCs w:val="25"/>
        </w:rPr>
        <w:t xml:space="preserve">federal poverty </w:t>
      </w:r>
      <w:r>
        <w:rPr>
          <w:szCs w:val="25"/>
        </w:rPr>
        <w:t>level (FPL)</w:t>
      </w:r>
      <w:r w:rsidRPr="00103065">
        <w:rPr>
          <w:szCs w:val="25"/>
        </w:rPr>
        <w:t xml:space="preserve"> was the income eligibility threshold for the federal programs.  In their 2007 </w:t>
      </w:r>
      <w:r w:rsidRPr="00103065">
        <w:rPr>
          <w:szCs w:val="25"/>
          <w:u w:val="single"/>
        </w:rPr>
        <w:t>Washington State Energy Needs Final Report</w:t>
      </w:r>
      <w:r w:rsidRPr="00103065">
        <w:rPr>
          <w:szCs w:val="25"/>
        </w:rPr>
        <w:t xml:space="preserve"> for CTED based on 2005 population data, APPRISE estimated there were over 353,000 households in Washington living at or below 125% of the poverty level, and another 99,000 between 125% and 150%.  Given the economic decline over the last few years, it is only logical to assume that more households are falling into this category.  While not every house will need </w:t>
      </w:r>
      <w:r>
        <w:rPr>
          <w:szCs w:val="25"/>
        </w:rPr>
        <w:t xml:space="preserve">full energy </w:t>
      </w:r>
      <w:r w:rsidRPr="00103065">
        <w:rPr>
          <w:szCs w:val="25"/>
        </w:rPr>
        <w:t>efficiency services, we believe that a great many will</w:t>
      </w:r>
      <w:r>
        <w:rPr>
          <w:szCs w:val="25"/>
        </w:rPr>
        <w:t>,</w:t>
      </w:r>
      <w:r w:rsidRPr="00103065">
        <w:rPr>
          <w:szCs w:val="25"/>
        </w:rPr>
        <w:t xml:space="preserve"> since households that are “near low-income” do not have the funds to weatherize their homes</w:t>
      </w:r>
      <w:r>
        <w:rPr>
          <w:szCs w:val="25"/>
        </w:rPr>
        <w:t xml:space="preserve"> on their own, nor are they eligible for access to </w:t>
      </w:r>
      <w:r w:rsidRPr="00103065">
        <w:rPr>
          <w:szCs w:val="25"/>
        </w:rPr>
        <w:t>services that will</w:t>
      </w:r>
      <w:r>
        <w:rPr>
          <w:szCs w:val="25"/>
        </w:rPr>
        <w:t xml:space="preserve"> provide it for them.</w:t>
      </w:r>
    </w:p>
    <w:p w:rsidR="008628A5" w:rsidRPr="00103065" w:rsidRDefault="008628A5" w:rsidP="008628A5">
      <w:pPr>
        <w:pStyle w:val="Default"/>
        <w:rPr>
          <w:szCs w:val="25"/>
        </w:rPr>
      </w:pPr>
    </w:p>
    <w:p w:rsidR="008628A5" w:rsidRDefault="008628A5" w:rsidP="008628A5">
      <w:pPr>
        <w:pStyle w:val="Default"/>
        <w:rPr>
          <w:szCs w:val="25"/>
        </w:rPr>
      </w:pPr>
      <w:proofErr w:type="gramStart"/>
      <w:r w:rsidRPr="00103065">
        <w:rPr>
          <w:szCs w:val="25"/>
        </w:rPr>
        <w:t>The movement of more households into the</w:t>
      </w:r>
      <w:r>
        <w:rPr>
          <w:szCs w:val="25"/>
        </w:rPr>
        <w:t xml:space="preserve"> historically</w:t>
      </w:r>
      <w:r w:rsidRPr="00103065">
        <w:rPr>
          <w:szCs w:val="25"/>
        </w:rPr>
        <w:t xml:space="preserve"> eligible income levels </w:t>
      </w:r>
      <w:r>
        <w:rPr>
          <w:szCs w:val="25"/>
        </w:rPr>
        <w:t xml:space="preserve">(i.e., ≤125% FPL) </w:t>
      </w:r>
      <w:r w:rsidRPr="00103065">
        <w:rPr>
          <w:szCs w:val="25"/>
        </w:rPr>
        <w:t>is accompanied by a new perspective</w:t>
      </w:r>
      <w:proofErr w:type="gramEnd"/>
      <w:r w:rsidRPr="00103065">
        <w:rPr>
          <w:szCs w:val="25"/>
        </w:rPr>
        <w:t xml:space="preserve"> on what constitutes living in poverty.  Just a little over five years ago in a low-income workshop this Commission convened</w:t>
      </w:r>
      <w:r>
        <w:rPr>
          <w:szCs w:val="25"/>
        </w:rPr>
        <w:t xml:space="preserve"> (September 2005), </w:t>
      </w:r>
      <w:r w:rsidRPr="00103065">
        <w:rPr>
          <w:szCs w:val="25"/>
        </w:rPr>
        <w:t xml:space="preserve">Diana Pearce illustrated how far below a self-reliant lifestyle the federal poverty </w:t>
      </w:r>
      <w:r>
        <w:rPr>
          <w:szCs w:val="25"/>
        </w:rPr>
        <w:t>levels fa</w:t>
      </w:r>
      <w:r w:rsidRPr="00103065">
        <w:rPr>
          <w:szCs w:val="25"/>
        </w:rPr>
        <w:t>ll.  It would appear that the U.S. Department of Energy Weatherization Assistance Program</w:t>
      </w:r>
      <w:r>
        <w:rPr>
          <w:szCs w:val="25"/>
        </w:rPr>
        <w:t xml:space="preserve"> has</w:t>
      </w:r>
      <w:r w:rsidRPr="00103065">
        <w:rPr>
          <w:szCs w:val="25"/>
        </w:rPr>
        <w:t xml:space="preserve"> recognized this as it recently extended eligibility to participate in the program to households earning up to 200% of Federal Poverty Guidelines.  </w:t>
      </w:r>
    </w:p>
    <w:p w:rsidR="008628A5" w:rsidRDefault="008628A5" w:rsidP="008628A5">
      <w:pPr>
        <w:pStyle w:val="Default"/>
        <w:rPr>
          <w:szCs w:val="25"/>
        </w:rPr>
      </w:pPr>
    </w:p>
    <w:p w:rsidR="008628A5" w:rsidRPr="00981F7A" w:rsidRDefault="008628A5" w:rsidP="008628A5">
      <w:pPr>
        <w:pStyle w:val="Default"/>
        <w:rPr>
          <w:szCs w:val="25"/>
        </w:rPr>
      </w:pPr>
      <w:r w:rsidRPr="00103065">
        <w:rPr>
          <w:szCs w:val="25"/>
        </w:rPr>
        <w:t xml:space="preserve">Attempting to see what the impact of this would be, the Energy Project applied the percent of the Washington population living at or below 200% of the Federal Poverty Level from the 2000 census </w:t>
      </w:r>
      <w:r>
        <w:rPr>
          <w:szCs w:val="25"/>
        </w:rPr>
        <w:t xml:space="preserve">(comparable data from the recent census will not be available for some months) </w:t>
      </w:r>
      <w:r w:rsidRPr="00103065">
        <w:rPr>
          <w:szCs w:val="25"/>
        </w:rPr>
        <w:t>to the most recent population figures we could find.  We used the 2000 census percentage (2</w:t>
      </w:r>
      <w:r>
        <w:rPr>
          <w:szCs w:val="25"/>
        </w:rPr>
        <w:t>5</w:t>
      </w:r>
      <w:r w:rsidRPr="00103065">
        <w:rPr>
          <w:szCs w:val="25"/>
        </w:rPr>
        <w:t>.9%)</w:t>
      </w:r>
      <w:r>
        <w:rPr>
          <w:szCs w:val="25"/>
        </w:rPr>
        <w:t xml:space="preserve"> because it is more statistically</w:t>
      </w:r>
      <w:r w:rsidRPr="00103065">
        <w:rPr>
          <w:szCs w:val="25"/>
        </w:rPr>
        <w:t xml:space="preserve"> reliable</w:t>
      </w:r>
      <w:r>
        <w:rPr>
          <w:szCs w:val="25"/>
        </w:rPr>
        <w:t xml:space="preserve"> than subsequent estimates</w:t>
      </w:r>
      <w:r w:rsidRPr="00103065">
        <w:rPr>
          <w:szCs w:val="25"/>
        </w:rPr>
        <w:t xml:space="preserve"> and </w:t>
      </w:r>
      <w:r>
        <w:rPr>
          <w:szCs w:val="25"/>
        </w:rPr>
        <w:t>it</w:t>
      </w:r>
      <w:r w:rsidRPr="00103065">
        <w:rPr>
          <w:szCs w:val="25"/>
        </w:rPr>
        <w:t xml:space="preserve"> provide</w:t>
      </w:r>
      <w:r>
        <w:rPr>
          <w:szCs w:val="25"/>
        </w:rPr>
        <w:t>s a conservative estimate</w:t>
      </w:r>
      <w:r w:rsidRPr="00103065">
        <w:rPr>
          <w:szCs w:val="25"/>
        </w:rPr>
        <w:t xml:space="preserve">.  According to the American Community Survey’s 2007-2009 3-Year Estimates (published Jan. 11, 2011), there are approximately 2,537,656 households in Washington.  Conservatively, this means over 657,000 households would be income eligible for the WAP program.  Even after subtracting the units that have been served, the units that don’t need to be served, and the units that can’t be served because the need for repair is too great, we believe the potential </w:t>
      </w:r>
      <w:r>
        <w:rPr>
          <w:szCs w:val="25"/>
        </w:rPr>
        <w:t xml:space="preserve">number of </w:t>
      </w:r>
      <w:r w:rsidRPr="00103065">
        <w:rPr>
          <w:szCs w:val="25"/>
        </w:rPr>
        <w:t xml:space="preserve">units that can be served will still be a </w:t>
      </w:r>
      <w:r>
        <w:rPr>
          <w:szCs w:val="25"/>
        </w:rPr>
        <w:t>considerably</w:t>
      </w:r>
      <w:r w:rsidRPr="00103065">
        <w:rPr>
          <w:szCs w:val="25"/>
        </w:rPr>
        <w:t xml:space="preserve"> large number.  </w:t>
      </w:r>
    </w:p>
    <w:p w:rsidR="00A16245" w:rsidRDefault="00152EB0"/>
    <w:sectPr w:rsidR="00A16245" w:rsidSect="008628A5">
      <w:headerReference w:type="default" r:id="rId6"/>
      <w:footerReference w:type="even" r:id="rId7"/>
      <w:footerReference w:type="default" r:id="rId8"/>
      <w:pgSz w:w="12240" w:h="15840"/>
      <w:pgMar w:top="180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A5" w:rsidRDefault="00A81B36" w:rsidP="00116508">
    <w:pPr>
      <w:pStyle w:val="Footer"/>
      <w:framePr w:wrap="around" w:vAnchor="text" w:hAnchor="margin" w:xAlign="center" w:y="1"/>
      <w:rPr>
        <w:rStyle w:val="PageNumber"/>
      </w:rPr>
    </w:pPr>
    <w:r>
      <w:rPr>
        <w:rStyle w:val="PageNumber"/>
      </w:rPr>
      <w:fldChar w:fldCharType="begin"/>
    </w:r>
    <w:r w:rsidR="008628A5">
      <w:rPr>
        <w:rStyle w:val="PageNumber"/>
      </w:rPr>
      <w:instrText xml:space="preserve">PAGE  </w:instrText>
    </w:r>
    <w:r>
      <w:rPr>
        <w:rStyle w:val="PageNumber"/>
      </w:rPr>
      <w:fldChar w:fldCharType="end"/>
    </w:r>
  </w:p>
  <w:p w:rsidR="008628A5" w:rsidRDefault="008628A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A5" w:rsidRDefault="00A81B36" w:rsidP="00116508">
    <w:pPr>
      <w:pStyle w:val="Footer"/>
      <w:framePr w:wrap="around" w:vAnchor="text" w:hAnchor="margin" w:xAlign="center" w:y="1"/>
      <w:rPr>
        <w:rStyle w:val="PageNumber"/>
      </w:rPr>
    </w:pPr>
    <w:r>
      <w:rPr>
        <w:rStyle w:val="PageNumber"/>
      </w:rPr>
      <w:fldChar w:fldCharType="begin"/>
    </w:r>
    <w:r w:rsidR="008628A5">
      <w:rPr>
        <w:rStyle w:val="PageNumber"/>
      </w:rPr>
      <w:instrText xml:space="preserve">PAGE  </w:instrText>
    </w:r>
    <w:r>
      <w:rPr>
        <w:rStyle w:val="PageNumber"/>
      </w:rPr>
      <w:fldChar w:fldCharType="separate"/>
    </w:r>
    <w:r w:rsidR="00152EB0">
      <w:rPr>
        <w:rStyle w:val="PageNumber"/>
        <w:noProof/>
      </w:rPr>
      <w:t>1</w:t>
    </w:r>
    <w:r>
      <w:rPr>
        <w:rStyle w:val="PageNumber"/>
      </w:rPr>
      <w:fldChar w:fldCharType="end"/>
    </w:r>
  </w:p>
  <w:p w:rsidR="008628A5" w:rsidRDefault="008628A5" w:rsidP="008628A5">
    <w:pPr>
      <w:pStyle w:val="Footer"/>
      <w:jc w:val="cen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A5" w:rsidRDefault="008628A5" w:rsidP="008628A5">
    <w:pPr>
      <w:tabs>
        <w:tab w:val="right" w:pos="9270"/>
      </w:tabs>
      <w:rPr>
        <w:szCs w:val="25"/>
      </w:rPr>
    </w:pPr>
    <w:r>
      <w:rPr>
        <w:b/>
      </w:rPr>
      <w:t>Docket No. U-101973</w:t>
    </w:r>
    <w:r>
      <w:rPr>
        <w:b/>
      </w:rPr>
      <w:tab/>
      <w:t>The Energy Project’s Response</w:t>
    </w:r>
    <w:r>
      <w:rPr>
        <w:b/>
      </w:rPr>
      <w:tab/>
    </w:r>
  </w:p>
  <w:p w:rsidR="008628A5" w:rsidRPr="008628A5" w:rsidRDefault="008628A5" w:rsidP="008628A5">
    <w:pPr>
      <w:pStyle w:val="Header"/>
      <w:tabs>
        <w:tab w:val="clear" w:pos="8640"/>
        <w:tab w:val="right" w:pos="9270"/>
      </w:tabs>
      <w:rPr>
        <w:b/>
      </w:rPr>
    </w:pPr>
    <w:r w:rsidRPr="00981F29">
      <w:rPr>
        <w:b/>
      </w:rPr>
      <w:t>January 14, 2010</w:t>
    </w:r>
    <w:r>
      <w:tab/>
    </w:r>
    <w:r>
      <w:tab/>
    </w:r>
    <w:r>
      <w:rPr>
        <w:b/>
      </w:rPr>
      <w:t>to the Request for Information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13031"/>
    <w:multiLevelType w:val="hybridMultilevel"/>
    <w:tmpl w:val="1AFA4C6A"/>
    <w:lvl w:ilvl="0" w:tplc="0C5A59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4F160B"/>
    <w:multiLevelType w:val="hybridMultilevel"/>
    <w:tmpl w:val="C0C60872"/>
    <w:lvl w:ilvl="0" w:tplc="0C5A59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628A5"/>
    <w:rsid w:val="00152EB0"/>
    <w:rsid w:val="00843F10"/>
    <w:rsid w:val="008628A5"/>
    <w:rsid w:val="00A81B36"/>
    <w:rsid w:val="00EF278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A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628A5"/>
    <w:pPr>
      <w:tabs>
        <w:tab w:val="center" w:pos="4320"/>
        <w:tab w:val="right" w:pos="8640"/>
      </w:tabs>
    </w:pPr>
  </w:style>
  <w:style w:type="character" w:customStyle="1" w:styleId="HeaderChar">
    <w:name w:val="Header Char"/>
    <w:basedOn w:val="DefaultParagraphFont"/>
    <w:link w:val="Header"/>
    <w:uiPriority w:val="99"/>
    <w:semiHidden/>
    <w:rsid w:val="008628A5"/>
    <w:rPr>
      <w:sz w:val="24"/>
    </w:rPr>
  </w:style>
  <w:style w:type="paragraph" w:styleId="Footer">
    <w:name w:val="footer"/>
    <w:basedOn w:val="Normal"/>
    <w:link w:val="FooterChar"/>
    <w:uiPriority w:val="99"/>
    <w:semiHidden/>
    <w:unhideWhenUsed/>
    <w:rsid w:val="008628A5"/>
    <w:pPr>
      <w:tabs>
        <w:tab w:val="center" w:pos="4320"/>
        <w:tab w:val="right" w:pos="8640"/>
      </w:tabs>
    </w:pPr>
  </w:style>
  <w:style w:type="character" w:customStyle="1" w:styleId="FooterChar">
    <w:name w:val="Footer Char"/>
    <w:basedOn w:val="DefaultParagraphFont"/>
    <w:link w:val="Footer"/>
    <w:uiPriority w:val="99"/>
    <w:semiHidden/>
    <w:rsid w:val="008628A5"/>
    <w:rPr>
      <w:sz w:val="24"/>
    </w:rPr>
  </w:style>
  <w:style w:type="character" w:styleId="PageNumber">
    <w:name w:val="page number"/>
    <w:basedOn w:val="DefaultParagraphFont"/>
    <w:uiPriority w:val="99"/>
    <w:semiHidden/>
    <w:unhideWhenUsed/>
    <w:rsid w:val="008628A5"/>
  </w:style>
  <w:style w:type="paragraph" w:styleId="FootnoteText">
    <w:name w:val="footnote text"/>
    <w:basedOn w:val="Normal"/>
    <w:link w:val="FootnoteTextChar"/>
    <w:uiPriority w:val="99"/>
    <w:semiHidden/>
    <w:unhideWhenUsed/>
    <w:rsid w:val="008628A5"/>
  </w:style>
  <w:style w:type="character" w:customStyle="1" w:styleId="FootnoteTextChar">
    <w:name w:val="Footnote Text Char"/>
    <w:basedOn w:val="DefaultParagraphFont"/>
    <w:link w:val="FootnoteText"/>
    <w:uiPriority w:val="99"/>
    <w:semiHidden/>
    <w:rsid w:val="008628A5"/>
    <w:rPr>
      <w:sz w:val="24"/>
      <w:szCs w:val="24"/>
    </w:rPr>
  </w:style>
  <w:style w:type="character" w:styleId="FootnoteReference">
    <w:name w:val="footnote reference"/>
    <w:basedOn w:val="DefaultParagraphFont"/>
    <w:uiPriority w:val="99"/>
    <w:semiHidden/>
    <w:unhideWhenUsed/>
    <w:rsid w:val="008628A5"/>
    <w:rPr>
      <w:vertAlign w:val="superscript"/>
    </w:rPr>
  </w:style>
  <w:style w:type="paragraph" w:customStyle="1" w:styleId="Default">
    <w:name w:val="Default"/>
    <w:rsid w:val="008628A5"/>
    <w:pPr>
      <w:widowControl w:val="0"/>
      <w:autoSpaceDE w:val="0"/>
      <w:autoSpaceDN w:val="0"/>
      <w:adjustRightInd w:val="0"/>
    </w:pPr>
    <w:rPr>
      <w:rFonts w:ascii="Times New Roman" w:eastAsia="Times New Roman" w:hAnsi="Times New Roman" w:cs="Times New Roman"/>
      <w:color w:val="000000"/>
      <w:sz w:val="24"/>
      <w:szCs w:val="24"/>
      <w:lang w:bidi="en-US"/>
    </w:rPr>
  </w:style>
  <w:style w:type="paragraph" w:customStyle="1" w:styleId="Custom">
    <w:name w:val="Custom"/>
    <w:basedOn w:val="Normal"/>
    <w:rsid w:val="008628A5"/>
    <w:rPr>
      <w:rFonts w:ascii="Times New Roman" w:eastAsia="Times New Roman" w:hAnsi="Times New Roman" w:cs="Times New Roman"/>
      <w:bCs/>
    </w:rPr>
  </w:style>
  <w:style w:type="paragraph" w:styleId="BalloonText">
    <w:name w:val="Balloon Text"/>
    <w:basedOn w:val="Normal"/>
    <w:link w:val="BalloonTextChar"/>
    <w:uiPriority w:val="99"/>
    <w:semiHidden/>
    <w:unhideWhenUsed/>
    <w:rsid w:val="008628A5"/>
    <w:rPr>
      <w:rFonts w:ascii="Lucida Grande" w:hAnsi="Lucida Grande"/>
      <w:sz w:val="18"/>
      <w:szCs w:val="18"/>
    </w:rPr>
  </w:style>
  <w:style w:type="character" w:customStyle="1" w:styleId="BalloonTextChar">
    <w:name w:val="Balloon Text Char"/>
    <w:basedOn w:val="DefaultParagraphFont"/>
    <w:link w:val="BalloonText"/>
    <w:uiPriority w:val="99"/>
    <w:semiHidden/>
    <w:rsid w:val="008628A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2010-12-09T08:00:00+00:00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4747D5DA29F048A4FB5BA84BD73878" ma:contentTypeVersion="131" ma:contentTypeDescription="" ma:contentTypeScope="" ma:versionID="17f6dee4338bf04bf935d9653b9078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174B8B-7FB2-4491-8FDC-9234F03FF362}"/>
</file>

<file path=customXml/itemProps2.xml><?xml version="1.0" encoding="utf-8"?>
<ds:datastoreItem xmlns:ds="http://schemas.openxmlformats.org/officeDocument/2006/customXml" ds:itemID="{7A9A0434-6895-4DCF-8B5D-F51B53961229}"/>
</file>

<file path=customXml/itemProps3.xml><?xml version="1.0" encoding="utf-8"?>
<ds:datastoreItem xmlns:ds="http://schemas.openxmlformats.org/officeDocument/2006/customXml" ds:itemID="{736459C4-B600-479C-8C1E-EC75EFE9F9B9}"/>
</file>

<file path=customXml/itemProps4.xml><?xml version="1.0" encoding="utf-8"?>
<ds:datastoreItem xmlns:ds="http://schemas.openxmlformats.org/officeDocument/2006/customXml" ds:itemID="{38B1098C-B343-4E1A-9222-035B8B599941}"/>
</file>

<file path=docProps/app.xml><?xml version="1.0" encoding="utf-8"?>
<Properties xmlns="http://schemas.openxmlformats.org/officeDocument/2006/extended-properties" xmlns:vt="http://schemas.openxmlformats.org/officeDocument/2006/docPropsVTypes">
  <Template>Normal.dotm</Template>
  <TotalTime>3</TotalTime>
  <Pages>9</Pages>
  <Words>3296</Words>
  <Characters>18790</Characters>
  <Application>Microsoft Macintosh Word</Application>
  <DocSecurity>0</DocSecurity>
  <Lines>156</Lines>
  <Paragraphs>37</Paragraphs>
  <ScaleCrop>false</ScaleCrop>
  <Company>Energy Project</Company>
  <LinksUpToDate>false</LinksUpToDate>
  <CharactersWithSpaces>23075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cp:lastModifiedBy>Chuck Eberdt</cp:lastModifiedBy>
  <cp:revision>3</cp:revision>
  <dcterms:created xsi:type="dcterms:W3CDTF">2011-01-19T01:00:00Z</dcterms:created>
  <dcterms:modified xsi:type="dcterms:W3CDTF">2011-01-20T15:26:00Z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0x0101006E56B4D1795A2E4DB2F0B01679ED314A00F14747D5DA29F048A4FB5BA84BD73878</vt:lpwstr>
  </property>
  <property fmtid="{D5CDD505-2E9C-101B-9397-08002B2CF9AE}" pid="3" name="_docset_NoMedatataSyncRequired">
    <vt:lpwstr>False</vt:lpwstr>
  </property>
</Properties>
</file>