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CA" w:rsidRDefault="00EC4ECA" w:rsidP="00EC4ECA">
      <w:pPr>
        <w:jc w:val="center"/>
        <w:rPr>
          <w:rFonts w:ascii="Times New Roman" w:hAnsi="Times New Roman"/>
        </w:rPr>
      </w:pPr>
    </w:p>
    <w:p w:rsidR="00EC4ECA" w:rsidRPr="005F45AB" w:rsidRDefault="00EC4ECA" w:rsidP="00EC4ECA">
      <w:pPr>
        <w:jc w:val="center"/>
        <w:rPr>
          <w:rFonts w:ascii="Times New Roman" w:hAnsi="Times New Roman"/>
        </w:rPr>
      </w:pPr>
      <w:r w:rsidRPr="005F45AB">
        <w:rPr>
          <w:rFonts w:ascii="Times New Roman" w:hAnsi="Times New Roman"/>
        </w:rPr>
        <w:t>BEFORE THE WASHINGTON STATE</w:t>
      </w:r>
    </w:p>
    <w:p w:rsidR="00EC4ECA" w:rsidRPr="005F45AB" w:rsidRDefault="00EC4ECA" w:rsidP="00EC4ECA">
      <w:pPr>
        <w:jc w:val="center"/>
        <w:rPr>
          <w:rFonts w:ascii="Times New Roman" w:hAnsi="Times New Roman"/>
        </w:rPr>
      </w:pPr>
    </w:p>
    <w:p w:rsidR="00EC4ECA" w:rsidRPr="005F45AB" w:rsidRDefault="00EC4ECA" w:rsidP="00EC4ECA">
      <w:pPr>
        <w:jc w:val="center"/>
        <w:rPr>
          <w:rFonts w:ascii="Times New Roman" w:hAnsi="Times New Roman"/>
        </w:rPr>
      </w:pPr>
      <w:r w:rsidRPr="005F45AB">
        <w:rPr>
          <w:rFonts w:ascii="Times New Roman" w:hAnsi="Times New Roman"/>
        </w:rPr>
        <w:t>UTILITIES AND TRANSPORTATION COMMISSION</w:t>
      </w:r>
    </w:p>
    <w:p w:rsidR="00EC4ECA" w:rsidRPr="005F45AB" w:rsidRDefault="00EC4ECA" w:rsidP="00EC4ECA">
      <w:pPr>
        <w:rPr>
          <w:rFonts w:ascii="Times New Roman" w:hAnsi="Times New Roman"/>
        </w:rPr>
      </w:pPr>
    </w:p>
    <w:p w:rsidR="00EC4ECA" w:rsidRDefault="00EC4ECA" w:rsidP="00EC4ECA">
      <w:pPr>
        <w:rPr>
          <w:rFonts w:ascii="Times New Roman" w:hAnsi="Times New Roman"/>
        </w:rPr>
      </w:pPr>
    </w:p>
    <w:p w:rsidR="00EC4ECA" w:rsidRPr="005F45AB" w:rsidRDefault="00EC4ECA" w:rsidP="00EC4ECA">
      <w:pPr>
        <w:rPr>
          <w:rFonts w:ascii="Times New Roman" w:hAnsi="Times New Roman"/>
        </w:rPr>
      </w:pPr>
      <w:r w:rsidRPr="005F45AB">
        <w:rPr>
          <w:rFonts w:ascii="Times New Roman" w:hAnsi="Times New Roman"/>
        </w:rPr>
        <w:t>WASHINGTON UTILITIES AND</w:t>
      </w:r>
      <w:r w:rsidRPr="005F45AB">
        <w:rPr>
          <w:rFonts w:ascii="Times New Roman" w:hAnsi="Times New Roman"/>
        </w:rPr>
        <w:tab/>
      </w:r>
      <w:r w:rsidRPr="005F45AB">
        <w:rPr>
          <w:rFonts w:ascii="Times New Roman" w:hAnsi="Times New Roman"/>
        </w:rPr>
        <w:tab/>
        <w:t>)</w:t>
      </w:r>
      <w:r w:rsidRPr="005F45AB">
        <w:rPr>
          <w:rFonts w:ascii="Times New Roman" w:hAnsi="Times New Roman"/>
        </w:rPr>
        <w:tab/>
        <w:t>DOCKET NO. UE-100749</w:t>
      </w:r>
    </w:p>
    <w:p w:rsidR="00EC4ECA" w:rsidRPr="005F45AB" w:rsidRDefault="00EC4ECA" w:rsidP="00EC4ECA">
      <w:pPr>
        <w:rPr>
          <w:rFonts w:ascii="Times New Roman" w:hAnsi="Times New Roman"/>
        </w:rPr>
      </w:pPr>
      <w:r w:rsidRPr="005F45AB">
        <w:rPr>
          <w:rFonts w:ascii="Times New Roman" w:hAnsi="Times New Roman"/>
        </w:rPr>
        <w:t>TRANSPORTATION COMMISSION</w:t>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t>Complainant,</w:t>
      </w:r>
      <w:r w:rsidRPr="005F45AB">
        <w:rPr>
          <w:rFonts w:ascii="Times New Roman" w:hAnsi="Times New Roman"/>
        </w:rPr>
        <w:tab/>
      </w:r>
      <w:r w:rsidRPr="005F45AB">
        <w:rPr>
          <w:rFonts w:ascii="Times New Roman" w:hAnsi="Times New Roman"/>
        </w:rPr>
        <w:tab/>
        <w:t>)</w:t>
      </w:r>
      <w:r w:rsidRPr="005F45AB">
        <w:rPr>
          <w:rFonts w:ascii="Times New Roman" w:hAnsi="Times New Roman"/>
        </w:rPr>
        <w:tab/>
      </w:r>
    </w:p>
    <w:p w:rsidR="00EC4ECA" w:rsidRPr="005F45AB" w:rsidRDefault="00233709" w:rsidP="00EC4EC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p>
    <w:p w:rsidR="00EC4ECA" w:rsidRPr="005F45AB" w:rsidRDefault="00EC4ECA" w:rsidP="00EC4ECA">
      <w:pPr>
        <w:rPr>
          <w:rFonts w:ascii="Times New Roman" w:hAnsi="Times New Roman"/>
        </w:rPr>
      </w:pPr>
      <w:r w:rsidRPr="005F45AB">
        <w:rPr>
          <w:rFonts w:ascii="Times New Roman" w:hAnsi="Times New Roman"/>
        </w:rPr>
        <w:t>v.</w:t>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PACIFICORP d/b/a/ PACIFIC POWER &amp;</w:t>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LIGHT COMPANY</w:t>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t>Respondent.</w:t>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 . . . . . . . . . . . . . . . . . . . . . . . . . . . . . . . . . . . )</w:t>
      </w:r>
    </w:p>
    <w:p w:rsidR="00EC4ECA" w:rsidRDefault="00EC4ECA" w:rsidP="00EC4ECA">
      <w:pPr>
        <w:pStyle w:val="Title"/>
        <w:jc w:val="left"/>
        <w:rPr>
          <w:sz w:val="26"/>
          <w:szCs w:val="26"/>
        </w:rPr>
      </w:pPr>
    </w:p>
    <w:p w:rsidR="00EC4ECA" w:rsidRPr="00C3667C" w:rsidRDefault="00EC4ECA" w:rsidP="00EC4ECA">
      <w:pPr>
        <w:autoSpaceDE w:val="0"/>
        <w:autoSpaceDN w:val="0"/>
        <w:adjustRightInd w:val="0"/>
        <w:ind w:right="-432"/>
        <w:rPr>
          <w:rFonts w:ascii="Times New Roman" w:hAnsi="Times New Roman"/>
        </w:rPr>
      </w:pPr>
    </w:p>
    <w:p w:rsidR="00EC4ECA" w:rsidRDefault="00EC4ECA" w:rsidP="00EC4ECA">
      <w:pPr>
        <w:autoSpaceDE w:val="0"/>
        <w:autoSpaceDN w:val="0"/>
        <w:adjustRightInd w:val="0"/>
        <w:ind w:right="-720"/>
        <w:rPr>
          <w:rFonts w:ascii="Times New Roman" w:hAnsi="Times New Roman"/>
          <w:bCs/>
        </w:rPr>
      </w:pPr>
    </w:p>
    <w:p w:rsidR="00EC4ECA" w:rsidRDefault="0027590B" w:rsidP="00EC4ECA">
      <w:pPr>
        <w:autoSpaceDE w:val="0"/>
        <w:autoSpaceDN w:val="0"/>
        <w:adjustRightInd w:val="0"/>
        <w:ind w:right="-720"/>
        <w:jc w:val="center"/>
        <w:rPr>
          <w:rFonts w:ascii="Times New Roman" w:hAnsi="Times New Roman"/>
          <w:bCs/>
        </w:rPr>
      </w:pPr>
      <w:r>
        <w:rPr>
          <w:rFonts w:ascii="Times New Roman" w:hAnsi="Times New Roman"/>
          <w:bCs/>
        </w:rPr>
        <w:t xml:space="preserve">PREFILED </w:t>
      </w:r>
      <w:r w:rsidR="00EC4ECA">
        <w:rPr>
          <w:rFonts w:ascii="Times New Roman" w:hAnsi="Times New Roman"/>
          <w:bCs/>
        </w:rPr>
        <w:t>DIRECT TESTIMONY OF</w:t>
      </w:r>
    </w:p>
    <w:p w:rsidR="00EC4ECA" w:rsidRDefault="00EC4ECA" w:rsidP="00EC4ECA">
      <w:pPr>
        <w:autoSpaceDE w:val="0"/>
        <w:autoSpaceDN w:val="0"/>
        <w:adjustRightInd w:val="0"/>
        <w:ind w:right="-720"/>
        <w:jc w:val="center"/>
        <w:rPr>
          <w:rFonts w:ascii="Times New Roman" w:hAnsi="Times New Roman"/>
          <w:bCs/>
        </w:rPr>
      </w:pPr>
      <w:r>
        <w:rPr>
          <w:rFonts w:ascii="Times New Roman" w:hAnsi="Times New Roman"/>
          <w:bCs/>
        </w:rPr>
        <w:t>CHARLES EBERDT ON BEHALF OF</w:t>
      </w:r>
    </w:p>
    <w:p w:rsidR="00EC4ECA" w:rsidRDefault="00EC4ECA" w:rsidP="00EC4ECA">
      <w:pPr>
        <w:autoSpaceDE w:val="0"/>
        <w:autoSpaceDN w:val="0"/>
        <w:adjustRightInd w:val="0"/>
        <w:ind w:right="-720"/>
        <w:jc w:val="center"/>
        <w:rPr>
          <w:rFonts w:ascii="Times New Roman" w:hAnsi="Times New Roman"/>
          <w:bCs/>
        </w:rPr>
      </w:pPr>
      <w:r>
        <w:rPr>
          <w:rFonts w:ascii="Times New Roman" w:hAnsi="Times New Roman"/>
          <w:bCs/>
        </w:rPr>
        <w:t>THE ENERGY PROJECT</w:t>
      </w:r>
    </w:p>
    <w:p w:rsidR="00EC4ECA" w:rsidRDefault="00D76EDF" w:rsidP="00D76EDF">
      <w:pPr>
        <w:ind w:left="2880"/>
      </w:pPr>
      <w:r>
        <w:rPr>
          <w:rFonts w:ascii="Times New Roman" w:hAnsi="Times New Roman"/>
          <w:bCs/>
        </w:rPr>
        <w:t xml:space="preserve">        </w:t>
      </w:r>
      <w:r w:rsidR="00EC4ECA">
        <w:rPr>
          <w:rFonts w:ascii="Times New Roman" w:hAnsi="Times New Roman"/>
          <w:bCs/>
        </w:rPr>
        <w:t>Exhibit No. ____(CME-1T)</w:t>
      </w:r>
    </w:p>
    <w:p w:rsidR="002C4A32" w:rsidRDefault="00EC4ECA" w:rsidP="002C4A32">
      <w:pPr>
        <w:tabs>
          <w:tab w:val="left" w:pos="720"/>
        </w:tabs>
        <w:autoSpaceDE w:val="0"/>
        <w:autoSpaceDN w:val="0"/>
        <w:adjustRightInd w:val="0"/>
        <w:spacing w:line="480" w:lineRule="auto"/>
        <w:ind w:right="-720"/>
        <w:jc w:val="center"/>
        <w:rPr>
          <w:rFonts w:ascii="Times New Roman" w:hAnsi="Times New Roman"/>
          <w:b/>
          <w:bCs/>
        </w:rPr>
      </w:pPr>
      <w:r>
        <w:rPr>
          <w:rFonts w:ascii="Times New Roman" w:hAnsi="Times New Roman" w:cs="TimesNewRomanPS-BoldMT"/>
          <w:b/>
        </w:rPr>
        <w:br w:type="page"/>
      </w:r>
      <w:r w:rsidR="002C4A32">
        <w:rPr>
          <w:rFonts w:ascii="Times New Roman" w:hAnsi="Times New Roman"/>
          <w:b/>
          <w:bCs/>
        </w:rPr>
        <w:lastRenderedPageBreak/>
        <w:t>I.  INTRODUCTION</w:t>
      </w:r>
    </w:p>
    <w:p w:rsidR="002C4A32" w:rsidRPr="00EF333C" w:rsidRDefault="002C4A32" w:rsidP="002C4A32">
      <w:pPr>
        <w:tabs>
          <w:tab w:val="left" w:pos="720"/>
        </w:tabs>
        <w:autoSpaceDE w:val="0"/>
        <w:autoSpaceDN w:val="0"/>
        <w:adjustRightInd w:val="0"/>
        <w:spacing w:line="480" w:lineRule="auto"/>
        <w:ind w:right="-720"/>
        <w:rPr>
          <w:rFonts w:ascii="Times New Roman" w:hAnsi="Times New Roman"/>
          <w:bCs/>
        </w:rPr>
      </w:pPr>
      <w:r w:rsidRPr="00EF333C">
        <w:rPr>
          <w:rFonts w:ascii="Times New Roman" w:hAnsi="Times New Roman"/>
          <w:bCs/>
        </w:rPr>
        <w:t>Q.</w:t>
      </w:r>
      <w:r w:rsidRPr="00EF333C">
        <w:rPr>
          <w:rFonts w:ascii="Times New Roman" w:hAnsi="Times New Roman"/>
          <w:bCs/>
        </w:rPr>
        <w:tab/>
        <w:t>Please state your name, address, and employment.</w:t>
      </w:r>
    </w:p>
    <w:p w:rsidR="002C4A32" w:rsidRDefault="002C4A32" w:rsidP="002C4A32">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My name is Charles Eberdt.  I am the Director of the Energy Project, 3406 Redwood Avenue, Bellingham, WA 98225.</w:t>
      </w:r>
    </w:p>
    <w:p w:rsidR="002C4A32" w:rsidRPr="00EF333C" w:rsidRDefault="002C4A32" w:rsidP="002C4A32">
      <w:pPr>
        <w:tabs>
          <w:tab w:val="left" w:pos="720"/>
        </w:tabs>
        <w:autoSpaceDE w:val="0"/>
        <w:autoSpaceDN w:val="0"/>
        <w:adjustRightInd w:val="0"/>
        <w:spacing w:line="480" w:lineRule="auto"/>
        <w:ind w:left="720" w:right="-720" w:hanging="720"/>
        <w:rPr>
          <w:rFonts w:ascii="Times New Roman" w:hAnsi="Times New Roman"/>
          <w:bCs/>
        </w:rPr>
      </w:pPr>
      <w:r w:rsidRPr="00EF333C">
        <w:rPr>
          <w:rFonts w:ascii="Times New Roman" w:hAnsi="Times New Roman"/>
          <w:bCs/>
        </w:rPr>
        <w:t>Q.</w:t>
      </w:r>
      <w:r w:rsidRPr="00EF333C">
        <w:rPr>
          <w:rFonts w:ascii="Times New Roman" w:hAnsi="Times New Roman"/>
          <w:bCs/>
        </w:rPr>
        <w:tab/>
        <w:t>Please outline your relevant background for this matter.</w:t>
      </w:r>
    </w:p>
    <w:p w:rsidR="002C4A32" w:rsidRPr="00307FBF" w:rsidRDefault="002C4A32" w:rsidP="002C4A32">
      <w:pPr>
        <w:tabs>
          <w:tab w:val="left" w:pos="720"/>
        </w:tabs>
        <w:autoSpaceDE w:val="0"/>
        <w:autoSpaceDN w:val="0"/>
        <w:adjustRightInd w:val="0"/>
        <w:spacing w:line="480" w:lineRule="auto"/>
        <w:ind w:left="720" w:right="-720" w:hanging="720"/>
        <w:rPr>
          <w:rFonts w:ascii="Times New Roman" w:hAnsi="Times New Roman"/>
          <w:b/>
          <w:bCs/>
        </w:rPr>
      </w:pPr>
      <w:r>
        <w:rPr>
          <w:rFonts w:ascii="Times New Roman" w:hAnsi="Times New Roman"/>
          <w:bCs/>
        </w:rPr>
        <w:t>A.</w:t>
      </w:r>
      <w:r>
        <w:rPr>
          <w:rFonts w:ascii="Times New Roman" w:hAnsi="Times New Roman"/>
          <w:bCs/>
        </w:rPr>
        <w:tab/>
        <w:t xml:space="preserve">I have been working in the field of residential energy efficiency since the mid-1970’s from being trained to install solar hot water systems and building houses to educating homeowners, code officials, and builders about energy efficient building construction and systems for the Washington State Energy Office.  In 1993, I began working in energy policy as it affects low income households on behalf of Washington’s community action agencies in their provision of energy services funded by the </w:t>
      </w:r>
      <w:r w:rsidR="00471A18">
        <w:rPr>
          <w:rFonts w:ascii="Times New Roman" w:hAnsi="Times New Roman"/>
          <w:bCs/>
        </w:rPr>
        <w:t xml:space="preserve">Washington </w:t>
      </w:r>
      <w:r>
        <w:rPr>
          <w:rFonts w:ascii="Times New Roman" w:hAnsi="Times New Roman"/>
          <w:bCs/>
        </w:rPr>
        <w:t>Department of Commerce</w:t>
      </w:r>
      <w:r>
        <w:rPr>
          <w:rFonts w:ascii="Times New Roman" w:hAnsi="Times New Roman"/>
          <w:b/>
          <w:bCs/>
        </w:rPr>
        <w:t xml:space="preserve"> </w:t>
      </w:r>
      <w:r>
        <w:rPr>
          <w:rFonts w:ascii="Times New Roman" w:hAnsi="Times New Roman"/>
          <w:bCs/>
        </w:rPr>
        <w:t xml:space="preserve">and local utilities.  I have been a Board member of the National Center for Appropriate Technology (NCAT) and A World Institute for a Sustainable Humanity (A W.I.S.H.) since 1996.  I have participated in several proceedings before this Commission over the last seventeen plus years, including general rate cases for all the energy utilities that this Commission regulates.   A brief resume is attached hereto as Exhibit No. ___ (CME-2).  </w:t>
      </w:r>
    </w:p>
    <w:p w:rsidR="002C4A32" w:rsidRPr="00EF333C" w:rsidRDefault="002C4A32" w:rsidP="002C4A32">
      <w:pPr>
        <w:widowControl w:val="0"/>
        <w:autoSpaceDE w:val="0"/>
        <w:autoSpaceDN w:val="0"/>
        <w:adjustRightInd w:val="0"/>
        <w:spacing w:line="480" w:lineRule="auto"/>
        <w:rPr>
          <w:rFonts w:ascii="Times New Roman" w:hAnsi="Times New Roman" w:cs="TimesNewRomanPS-BoldMT"/>
        </w:rPr>
      </w:pPr>
      <w:r w:rsidRPr="00EF333C">
        <w:rPr>
          <w:rFonts w:ascii="Times New Roman" w:hAnsi="Times New Roman" w:cs="TimesNewRomanPS-BoldMT"/>
        </w:rPr>
        <w:t>Q.</w:t>
      </w:r>
      <w:r w:rsidRPr="00EF333C">
        <w:rPr>
          <w:rFonts w:ascii="Times New Roman" w:hAnsi="Times New Roman" w:cs="TimesNewRomanPS-BoldMT"/>
        </w:rPr>
        <w:tab/>
        <w:t>On whose behalf are you testifying in this proceeding?</w:t>
      </w:r>
    </w:p>
    <w:p w:rsidR="002C4A32" w:rsidRDefault="002C4A32" w:rsidP="002C4A32">
      <w:pPr>
        <w:widowControl w:val="0"/>
        <w:autoSpaceDE w:val="0"/>
        <w:autoSpaceDN w:val="0"/>
        <w:adjustRightInd w:val="0"/>
        <w:spacing w:line="480" w:lineRule="auto"/>
        <w:ind w:left="720" w:hanging="720"/>
        <w:rPr>
          <w:rFonts w:ascii="Times New Roman" w:hAnsi="Times New Roman" w:cs="TimesNewRomanPS-BoldMT"/>
          <w:b/>
        </w:rPr>
      </w:pPr>
      <w:r w:rsidRPr="00763EBA">
        <w:rPr>
          <w:rFonts w:ascii="Times New Roman" w:hAnsi="Times New Roman" w:cs="TimesNewRomanPS-BoldMT"/>
        </w:rPr>
        <w:t xml:space="preserve">A. </w:t>
      </w:r>
      <w:r w:rsidRPr="00763EBA">
        <w:rPr>
          <w:rFonts w:ascii="Times New Roman" w:hAnsi="Times New Roman" w:cs="TimesNewRomanPS-BoldMT"/>
        </w:rPr>
        <w:tab/>
        <w:t>I am testifying for The Energy Project</w:t>
      </w:r>
      <w:r>
        <w:rPr>
          <w:rFonts w:ascii="Times New Roman" w:hAnsi="Times New Roman" w:cs="TimesNewRomanPS-BoldMT"/>
        </w:rPr>
        <w:t xml:space="preserve"> which represents the interests of</w:t>
      </w:r>
      <w:r w:rsidRPr="00763EBA">
        <w:rPr>
          <w:rFonts w:ascii="Times New Roman" w:hAnsi="Times New Roman" w:cs="TimesNewRomanPS-BoldMT"/>
        </w:rPr>
        <w:t xml:space="preserve"> the OIC</w:t>
      </w:r>
      <w:r>
        <w:rPr>
          <w:rFonts w:ascii="Times New Roman" w:hAnsi="Times New Roman" w:cs="TimesNewRomanPS-BoldMT"/>
        </w:rPr>
        <w:t xml:space="preserve"> </w:t>
      </w:r>
      <w:r w:rsidRPr="00763EBA">
        <w:rPr>
          <w:rFonts w:ascii="Times New Roman" w:hAnsi="Times New Roman" w:cs="TimesNewRomanPS-BoldMT"/>
        </w:rPr>
        <w:t xml:space="preserve">of Washington, the Northwest Community Action Council, and Blue Mountain Action Council, </w:t>
      </w:r>
      <w:r>
        <w:rPr>
          <w:rFonts w:ascii="Times New Roman" w:hAnsi="Times New Roman" w:cs="TimesNewRomanPS-BoldMT"/>
        </w:rPr>
        <w:t>the federally designated anti-poverty organizations that</w:t>
      </w:r>
      <w:r w:rsidRPr="00763EBA">
        <w:rPr>
          <w:rFonts w:ascii="Times New Roman" w:hAnsi="Times New Roman" w:cs="TimesNewRomanPS-BoldMT"/>
        </w:rPr>
        <w:t xml:space="preserve"> provide low-income energy efficiency and bill payment assistance </w:t>
      </w:r>
      <w:r>
        <w:rPr>
          <w:rFonts w:ascii="Times New Roman" w:hAnsi="Times New Roman" w:cs="TimesNewRomanPS-BoldMT"/>
        </w:rPr>
        <w:t xml:space="preserve">services </w:t>
      </w:r>
      <w:r w:rsidRPr="00763EBA">
        <w:rPr>
          <w:rFonts w:ascii="Times New Roman" w:hAnsi="Times New Roman" w:cs="TimesNewRomanPS-BoldMT"/>
        </w:rPr>
        <w:t xml:space="preserve">in </w:t>
      </w:r>
      <w:r>
        <w:rPr>
          <w:rFonts w:ascii="Times New Roman" w:hAnsi="Times New Roman" w:cs="TimesNewRomanPS-BoldMT"/>
        </w:rPr>
        <w:t>PacifiCorp’s Washington</w:t>
      </w:r>
      <w:r w:rsidRPr="00763EBA">
        <w:rPr>
          <w:rFonts w:ascii="Times New Roman" w:hAnsi="Times New Roman" w:cs="TimesNewRomanPS-BoldMT"/>
        </w:rPr>
        <w:t xml:space="preserve"> service</w:t>
      </w:r>
      <w:r>
        <w:rPr>
          <w:rFonts w:ascii="Times New Roman" w:hAnsi="Times New Roman" w:cs="TimesNewRomanPS-BoldMT"/>
        </w:rPr>
        <w:t xml:space="preserve"> territory</w:t>
      </w:r>
      <w:r w:rsidRPr="00763EBA">
        <w:rPr>
          <w:rFonts w:ascii="Times New Roman" w:hAnsi="Times New Roman" w:cs="TimesNewRomanPS-BoldMT"/>
        </w:rPr>
        <w:t>.</w:t>
      </w:r>
    </w:p>
    <w:p w:rsidR="00C44448" w:rsidRPr="00804268" w:rsidRDefault="00C44448" w:rsidP="00C44448">
      <w:pPr>
        <w:widowControl w:val="0"/>
        <w:autoSpaceDE w:val="0"/>
        <w:autoSpaceDN w:val="0"/>
        <w:adjustRightInd w:val="0"/>
        <w:spacing w:line="480" w:lineRule="auto"/>
        <w:ind w:left="720" w:hanging="720"/>
        <w:jc w:val="center"/>
        <w:rPr>
          <w:rFonts w:ascii="Times New Roman" w:hAnsi="Times New Roman" w:cs="TimesNewRomanPS-BoldMT"/>
          <w:b/>
        </w:rPr>
      </w:pPr>
      <w:r>
        <w:rPr>
          <w:rFonts w:ascii="Times New Roman" w:hAnsi="Times New Roman" w:cs="TimesNewRomanPS-BoldMT"/>
          <w:b/>
        </w:rPr>
        <w:lastRenderedPageBreak/>
        <w:t>II.</w:t>
      </w:r>
      <w:r>
        <w:rPr>
          <w:rFonts w:ascii="Times New Roman" w:hAnsi="Times New Roman" w:cs="TimesNewRomanPS-BoldMT"/>
          <w:b/>
        </w:rPr>
        <w:tab/>
        <w:t>SUMMARY OF ENERGY PROJECT’S ISSUES</w:t>
      </w:r>
    </w:p>
    <w:p w:rsidR="00C44448" w:rsidRPr="00EF333C" w:rsidRDefault="00C44448" w:rsidP="00C44448">
      <w:pPr>
        <w:widowControl w:val="0"/>
        <w:autoSpaceDE w:val="0"/>
        <w:autoSpaceDN w:val="0"/>
        <w:adjustRightInd w:val="0"/>
        <w:spacing w:line="480" w:lineRule="auto"/>
        <w:ind w:left="720" w:hanging="720"/>
        <w:rPr>
          <w:rFonts w:ascii="Times New Roman" w:hAnsi="Times New Roman" w:cs="TimesNewRomanPS-BoldMT"/>
        </w:rPr>
      </w:pPr>
      <w:r w:rsidRPr="00EF333C">
        <w:rPr>
          <w:rFonts w:ascii="Times New Roman" w:hAnsi="Times New Roman" w:cs="TimesNewRomanPS-BoldMT"/>
        </w:rPr>
        <w:t>Q.</w:t>
      </w:r>
      <w:r w:rsidRPr="00EF333C">
        <w:rPr>
          <w:rFonts w:ascii="Times New Roman" w:hAnsi="Times New Roman" w:cs="TimesNewRomanPS-BoldMT"/>
        </w:rPr>
        <w:tab/>
        <w:t>What specific issues do you address?</w:t>
      </w:r>
    </w:p>
    <w:p w:rsidR="00C44448" w:rsidRDefault="00C44448" w:rsidP="00C44448">
      <w:pPr>
        <w:spacing w:line="480" w:lineRule="auto"/>
        <w:ind w:left="720" w:hanging="720"/>
        <w:rPr>
          <w:rFonts w:ascii="Times New Roman" w:hAnsi="Times New Roman" w:cs="TimesNewRomanPS-BoldMT"/>
        </w:rPr>
      </w:pPr>
      <w:r>
        <w:t>A.</w:t>
      </w:r>
      <w:r>
        <w:tab/>
      </w:r>
      <w:r>
        <w:rPr>
          <w:rFonts w:ascii="Times New Roman" w:hAnsi="Times New Roman" w:cs="TimesNewRomanPS-BoldMT"/>
        </w:rPr>
        <w:t>The company has requested a sizable revenue increase in this case, nearly 21%.  This will have severe consequences for PacifiCorp’s low-income customers.   The resulting rate increase and proposed changes to the Low-Income Bill Assistance program (LIBA) raise issues that the Energy Project believes must be addressed.  Those issues are:</w:t>
      </w:r>
    </w:p>
    <w:p w:rsidR="00C44448" w:rsidRDefault="00C44448" w:rsidP="00C44448">
      <w:pPr>
        <w:spacing w:line="480" w:lineRule="auto"/>
        <w:ind w:left="720" w:hanging="720"/>
        <w:rPr>
          <w:rFonts w:ascii="Times New Roman" w:hAnsi="Times New Roman" w:cs="TimesNewRomanPS-BoldMT"/>
        </w:rPr>
      </w:pPr>
      <w:r>
        <w:rPr>
          <w:rFonts w:ascii="Times New Roman" w:hAnsi="Times New Roman" w:cs="TimesNewRomanPS-BoldMT"/>
        </w:rPr>
        <w:tab/>
        <w:t>1)</w:t>
      </w:r>
      <w:r>
        <w:rPr>
          <w:rFonts w:ascii="Times New Roman" w:hAnsi="Times New Roman" w:cs="TimesNewRomanPS-BoldMT"/>
        </w:rPr>
        <w:tab/>
        <w:t>The Energy Project believes the increase in LIBA funding must be sufficient to provide meaningful relief for program participants as well as extending help to more households in the community;</w:t>
      </w:r>
    </w:p>
    <w:p w:rsidR="00C44448" w:rsidRDefault="00C44448" w:rsidP="00C44448">
      <w:pPr>
        <w:spacing w:line="480" w:lineRule="auto"/>
        <w:ind w:left="720" w:hanging="720"/>
        <w:rPr>
          <w:rFonts w:ascii="Times New Roman" w:hAnsi="Times New Roman" w:cs="TimesNewRomanPS-BoldMT"/>
        </w:rPr>
      </w:pPr>
      <w:r>
        <w:rPr>
          <w:rFonts w:ascii="Times New Roman" w:hAnsi="Times New Roman" w:cs="TimesNewRomanPS-BoldMT"/>
        </w:rPr>
        <w:tab/>
        <w:t>2)</w:t>
      </w:r>
      <w:r>
        <w:rPr>
          <w:rFonts w:ascii="Times New Roman" w:hAnsi="Times New Roman" w:cs="TimesNewRomanPS-BoldMT"/>
        </w:rPr>
        <w:tab/>
        <w:t>The Company has proposed changes to the LIBA program delivery that endanger the ability of the agencies to provide service;</w:t>
      </w:r>
    </w:p>
    <w:p w:rsidR="00C44448" w:rsidRDefault="00C44448" w:rsidP="00C44448">
      <w:pPr>
        <w:spacing w:line="480" w:lineRule="auto"/>
        <w:ind w:left="720" w:hanging="720"/>
        <w:rPr>
          <w:rFonts w:ascii="Times New Roman" w:hAnsi="Times New Roman" w:cs="TimesNewRomanPS-BoldMT"/>
        </w:rPr>
      </w:pPr>
      <w:r>
        <w:rPr>
          <w:rFonts w:ascii="Times New Roman" w:hAnsi="Times New Roman" w:cs="TimesNewRomanPS-BoldMT"/>
        </w:rPr>
        <w:tab/>
        <w:t>3)</w:t>
      </w:r>
      <w:r>
        <w:rPr>
          <w:rFonts w:ascii="Times New Roman" w:hAnsi="Times New Roman" w:cs="TimesNewRomanPS-BoldMT"/>
        </w:rPr>
        <w:tab/>
        <w:t>The Energy Project opposes the proposed increase in the basic monthly charge from $6.00 to $9.00 as harmful to small users and discouraging to energy efficiency; and</w:t>
      </w:r>
    </w:p>
    <w:p w:rsidR="00C44448" w:rsidRDefault="00C44448" w:rsidP="00C44448">
      <w:pPr>
        <w:spacing w:line="480" w:lineRule="auto"/>
        <w:ind w:left="720" w:hanging="720"/>
        <w:rPr>
          <w:rFonts w:ascii="Times New Roman" w:hAnsi="Times New Roman" w:cs="TimesNewRomanPS-BoldMT"/>
        </w:rPr>
      </w:pPr>
      <w:r>
        <w:rPr>
          <w:rFonts w:ascii="Times New Roman" w:hAnsi="Times New Roman" w:cs="TimesNewRomanPS-BoldMT"/>
        </w:rPr>
        <w:tab/>
        <w:t>4)</w:t>
      </w:r>
      <w:r>
        <w:rPr>
          <w:rFonts w:ascii="Times New Roman" w:hAnsi="Times New Roman" w:cs="TimesNewRomanPS-BoldMT"/>
        </w:rPr>
        <w:tab/>
        <w:t>The level of energy efficiency funding for low-income households should be increased.</w:t>
      </w:r>
    </w:p>
    <w:p w:rsidR="00C44448" w:rsidRPr="00804268" w:rsidRDefault="00C44448" w:rsidP="00C44448">
      <w:pPr>
        <w:widowControl w:val="0"/>
        <w:autoSpaceDE w:val="0"/>
        <w:autoSpaceDN w:val="0"/>
        <w:adjustRightInd w:val="0"/>
        <w:spacing w:line="480" w:lineRule="auto"/>
        <w:jc w:val="center"/>
        <w:rPr>
          <w:rFonts w:ascii="Times New Roman" w:hAnsi="Times New Roman" w:cs="TimesNewRomanPS-BoldMT"/>
          <w:b/>
        </w:rPr>
      </w:pPr>
      <w:r>
        <w:rPr>
          <w:rFonts w:ascii="Times New Roman" w:hAnsi="Times New Roman" w:cs="TimesNewRomanPS-BoldMT"/>
          <w:b/>
        </w:rPr>
        <w:t>III.</w:t>
      </w:r>
      <w:r>
        <w:rPr>
          <w:rFonts w:ascii="Times New Roman" w:hAnsi="Times New Roman" w:cs="TimesNewRomanPS-BoldMT"/>
          <w:b/>
        </w:rPr>
        <w:tab/>
        <w:t>ANALYSIS</w:t>
      </w:r>
    </w:p>
    <w:p w:rsidR="00C44448" w:rsidRPr="00150C69" w:rsidRDefault="00C44448" w:rsidP="00C44448">
      <w:pPr>
        <w:widowControl w:val="0"/>
        <w:autoSpaceDE w:val="0"/>
        <w:autoSpaceDN w:val="0"/>
        <w:adjustRightInd w:val="0"/>
        <w:spacing w:line="480" w:lineRule="auto"/>
        <w:ind w:left="720" w:hanging="720"/>
        <w:rPr>
          <w:rFonts w:ascii="Times New Roman" w:hAnsi="Times New Roman" w:cs="TimesNewRomanPS-BoldMT"/>
          <w:b/>
        </w:rPr>
      </w:pPr>
      <w:r>
        <w:rPr>
          <w:rFonts w:ascii="Times New Roman" w:hAnsi="Times New Roman" w:cs="TimesNewRomanPS-BoldMT"/>
          <w:b/>
        </w:rPr>
        <w:t>A.</w:t>
      </w:r>
      <w:r>
        <w:rPr>
          <w:rFonts w:ascii="Times New Roman" w:hAnsi="Times New Roman" w:cs="TimesNewRomanPS-BoldMT"/>
          <w:b/>
        </w:rPr>
        <w:tab/>
        <w:t>LIBA FUNDING</w:t>
      </w:r>
    </w:p>
    <w:p w:rsidR="00C44448" w:rsidRDefault="00C44448" w:rsidP="00C44448">
      <w:pPr>
        <w:spacing w:line="480" w:lineRule="auto"/>
        <w:ind w:left="720" w:hanging="720"/>
      </w:pPr>
      <w:r>
        <w:t>Q.</w:t>
      </w:r>
      <w:r>
        <w:tab/>
        <w:t>Would you describe the Company’s proposed change to the Low-Income Bill Assistance program (LIBA) funding?</w:t>
      </w:r>
    </w:p>
    <w:p w:rsidR="00C44448" w:rsidRDefault="00C44448" w:rsidP="00C44448">
      <w:pPr>
        <w:spacing w:line="480" w:lineRule="auto"/>
        <w:ind w:left="720" w:hanging="720"/>
      </w:pPr>
      <w:r>
        <w:t>A.</w:t>
      </w:r>
      <w:r>
        <w:tab/>
        <w:t xml:space="preserve">As I understand it, the Company has requested a 21% increase in revenues and offered to increase the LIBA funding by a commensurate amount.  They </w:t>
      </w:r>
      <w:r>
        <w:lastRenderedPageBreak/>
        <w:t xml:space="preserve">have also proposed dividing the incremental increase by using 70% to increase the discount for the existing program and 30% to serve additional customers.  </w:t>
      </w:r>
    </w:p>
    <w:p w:rsidR="00C44448" w:rsidRDefault="00C44448" w:rsidP="00C44448">
      <w:pPr>
        <w:spacing w:line="480" w:lineRule="auto"/>
        <w:ind w:left="720" w:hanging="720"/>
      </w:pPr>
      <w:r>
        <w:t>Q.</w:t>
      </w:r>
      <w:r>
        <w:tab/>
        <w:t>Please explain the concerns you have about this proposal.</w:t>
      </w:r>
    </w:p>
    <w:p w:rsidR="00C44448" w:rsidRDefault="00C44448" w:rsidP="00C44448">
      <w:pPr>
        <w:spacing w:line="480" w:lineRule="auto"/>
        <w:ind w:left="720" w:hanging="720"/>
      </w:pPr>
      <w:r>
        <w:t>A.</w:t>
      </w:r>
      <w:r>
        <w:tab/>
        <w:t xml:space="preserve">While we greatly appreciate the Company’s willingness to sponsor an increase to the LIBA program, our first concern is that the Company should increase the LIBA funding an amount equal to </w:t>
      </w:r>
      <w:r w:rsidRPr="00562B31">
        <w:rPr>
          <w:u w:val="single"/>
        </w:rPr>
        <w:t>whatever</w:t>
      </w:r>
      <w:r>
        <w:t xml:space="preserve"> rate increase is granted.  Second, the LIBA funding increase should be tied to the increase applied to the residential class rather than the overall rate increase, as these customers pay the residential rate.</w:t>
      </w:r>
    </w:p>
    <w:p w:rsidR="00C44448" w:rsidRDefault="00C44448" w:rsidP="00C44448">
      <w:pPr>
        <w:spacing w:line="480" w:lineRule="auto"/>
        <w:ind w:left="720" w:hanging="720"/>
      </w:pPr>
      <w:r>
        <w:t>Q.</w:t>
      </w:r>
      <w:r>
        <w:tab/>
        <w:t xml:space="preserve"> Do you have concerns about splitting the incremental increase between deepening the existing discount and serving additional customers?</w:t>
      </w:r>
    </w:p>
    <w:p w:rsidR="00C44448" w:rsidRPr="009E5072" w:rsidRDefault="00C44448" w:rsidP="00C44448">
      <w:pPr>
        <w:spacing w:line="480" w:lineRule="auto"/>
        <w:ind w:left="720" w:hanging="720"/>
        <w:rPr>
          <w:b/>
        </w:rPr>
      </w:pPr>
      <w:r>
        <w:t>A.</w:t>
      </w:r>
      <w:r>
        <w:tab/>
        <w:t xml:space="preserve">Yes, we do.  This gets right at the heart of a conflict in trying to make such programs effective.  There is significant tension between providing a meaningful benefit to a participating household on the one hand and the desire to serve more households in the program on the other.  If the benefit level is set effectively, more households stay connected to vital services, disconnection and reconnection costs are avoided, and they continue to pay at least something toward their bills.  The Commission has recognized that this has benefits for other rate payers </w:t>
      </w:r>
      <w:r w:rsidR="007F0844">
        <w:t xml:space="preserve">as well as program participants.  In Docket UE-061546, the Commission, in its Final Order, stated:  “Increasing the LIBA program funding…should allow more customers who otherwise would be unable to pay their bills remain on the system.  We find merit in the </w:t>
      </w:r>
      <w:r w:rsidR="007F0844">
        <w:lastRenderedPageBreak/>
        <w:t>argument that such customers’ contribution to PacifiCorp’s recovery of fixed costs benefits all customers.”  Order 08 at p. 50.</w:t>
      </w:r>
      <w:r>
        <w:t xml:space="preserve"> </w:t>
      </w:r>
    </w:p>
    <w:p w:rsidR="00C44448" w:rsidRDefault="00C44448" w:rsidP="00C44448">
      <w:pPr>
        <w:spacing w:line="480" w:lineRule="auto"/>
        <w:ind w:left="720" w:hanging="720"/>
      </w:pPr>
      <w:r>
        <w:t>Q.</w:t>
      </w:r>
      <w:r>
        <w:tab/>
        <w:t>What reas</w:t>
      </w:r>
      <w:r w:rsidR="00323873">
        <w:t xml:space="preserve">on have you to believe that the </w:t>
      </w:r>
      <w:r>
        <w:t>LIBA benefit might not be sufficiently effective?</w:t>
      </w:r>
    </w:p>
    <w:p w:rsidR="0074792C" w:rsidRDefault="00C44448" w:rsidP="00C44448">
      <w:pPr>
        <w:spacing w:line="480" w:lineRule="auto"/>
        <w:ind w:left="720" w:hanging="720"/>
      </w:pPr>
      <w:r>
        <w:t>A.</w:t>
      </w:r>
      <w:r>
        <w:tab/>
        <w:t>The question is raised when we compare the average LIBA participant benefit to those of participants in other, comparable programs.  For example, the average heat benefit in Avista’s Low Income Rate Assistance Program is $555.</w:t>
      </w:r>
      <w:r>
        <w:rPr>
          <w:rStyle w:val="FootnoteReference"/>
        </w:rPr>
        <w:footnoteReference w:id="1"/>
      </w:r>
      <w:r>
        <w:t xml:space="preserve">  The average benefit for a household participating in HELP, PSE’s rate assistance program, is $462.</w:t>
      </w:r>
      <w:r>
        <w:rPr>
          <w:rStyle w:val="FootnoteReference"/>
        </w:rPr>
        <w:footnoteReference w:id="2"/>
      </w:r>
      <w:r>
        <w:t xml:space="preserve">  </w:t>
      </w:r>
      <w:r w:rsidRPr="00AC03EC">
        <w:t>By</w:t>
      </w:r>
      <w:r>
        <w:t xml:space="preserve"> comparison, the average LIBA benefit is $220.  While there are differences between these utilities that might account for some of the difference, we believe the LIBA benefit is low.  The federal Low Income Home Energy Assistance Program (LIHEAP) provides yet another touchstone.  According to Bob Castoldi, manager of energy assistance programs for Blue Mountain Action Council, the average electric benefit provided through LIHEAP last year was $384, roughly 1.75 times PacifiCorp’s average benefit.  </w:t>
      </w:r>
    </w:p>
    <w:p w:rsidR="00C44448" w:rsidRPr="00E40277" w:rsidRDefault="00C44448" w:rsidP="00C44448">
      <w:pPr>
        <w:spacing w:line="480" w:lineRule="auto"/>
        <w:ind w:left="720" w:hanging="720"/>
        <w:rPr>
          <w:b/>
        </w:rPr>
      </w:pPr>
      <w:r>
        <w:t>Q.</w:t>
      </w:r>
      <w:r>
        <w:tab/>
        <w:t xml:space="preserve">Are there other differences in the programs, that is PSE’s “HELP,” AVISTA’s “LIRAP,” and LIHEAP? </w:t>
      </w:r>
    </w:p>
    <w:p w:rsidR="00C44448" w:rsidRDefault="00C44448" w:rsidP="00C44448">
      <w:pPr>
        <w:spacing w:line="480" w:lineRule="auto"/>
        <w:ind w:left="720" w:hanging="720"/>
      </w:pPr>
      <w:r>
        <w:t>A.</w:t>
      </w:r>
      <w:r>
        <w:tab/>
        <w:t xml:space="preserve">The LIBA program is a rate discount that is only available during the six months of the heating season.  The other programs base the benefit level on </w:t>
      </w:r>
      <w:r>
        <w:lastRenderedPageBreak/>
        <w:t>the annual bill and a participant can apply and receive the benefit for a longer time of the year</w:t>
      </w:r>
      <w:r>
        <w:rPr>
          <w:b/>
        </w:rPr>
        <w:t xml:space="preserve"> </w:t>
      </w:r>
      <w:r>
        <w:t>though in all cases participation typically drops off in late spring through the summer.</w:t>
      </w:r>
    </w:p>
    <w:p w:rsidR="00C44448" w:rsidRDefault="00C44448" w:rsidP="00C44448">
      <w:pPr>
        <w:spacing w:line="480" w:lineRule="auto"/>
        <w:ind w:left="720" w:hanging="720"/>
      </w:pPr>
      <w:r>
        <w:t>Q.</w:t>
      </w:r>
      <w:r>
        <w:tab/>
        <w:t>How could the LIBA program have a greater benefit?</w:t>
      </w:r>
    </w:p>
    <w:p w:rsidR="00C44448" w:rsidRPr="009E5072" w:rsidRDefault="00C44448" w:rsidP="00C44448">
      <w:pPr>
        <w:spacing w:line="480" w:lineRule="auto"/>
        <w:ind w:left="720" w:hanging="720"/>
        <w:rPr>
          <w:b/>
        </w:rPr>
      </w:pPr>
      <w:r>
        <w:t>A.</w:t>
      </w:r>
      <w:r>
        <w:tab/>
        <w:t xml:space="preserve">The discounts could be recalculated to provide a deeper discount during the six months of the program, or the period over which the discount is available could be lengthened.  Since any change in the funding level that would increase the discount amounts requires recalculation and the Company is prepared to increase the funding, this does not appear to be a barrier.  </w:t>
      </w:r>
    </w:p>
    <w:p w:rsidR="00C44448" w:rsidRDefault="00C44448" w:rsidP="00C44448">
      <w:pPr>
        <w:spacing w:line="480" w:lineRule="auto"/>
        <w:ind w:left="720" w:hanging="720"/>
      </w:pPr>
      <w:r>
        <w:t>Q.</w:t>
      </w:r>
      <w:r>
        <w:tab/>
        <w:t xml:space="preserve"> Does using 30% of the incremental increase have bearing here?</w:t>
      </w:r>
    </w:p>
    <w:p w:rsidR="00C44448" w:rsidRDefault="00C44448" w:rsidP="00C44448">
      <w:pPr>
        <w:spacing w:line="480" w:lineRule="auto"/>
        <w:ind w:left="720" w:hanging="720"/>
      </w:pPr>
      <w:r>
        <w:t>A.</w:t>
      </w:r>
      <w:r>
        <w:tab/>
        <w:t>Clearly, because serving more customers with the same amount of funds will drive the benefit level down.  Under PacifiCorp’s proposed design, this would result in a reduction in the level of benefits – that is, a participant in the program will see comparatively less benefit; they will be exposed to more of the bill.  Since the benefit level is already quite a bit lower than, say, LIHEAP, this raises concerns.  In the past we have argued for all of the increase to go to serve the same number of customers.</w:t>
      </w:r>
    </w:p>
    <w:p w:rsidR="00C44448" w:rsidRDefault="00C44448" w:rsidP="00C44448">
      <w:pPr>
        <w:spacing w:line="480" w:lineRule="auto"/>
        <w:ind w:left="720" w:hanging="720"/>
      </w:pPr>
      <w:r>
        <w:t>Q.</w:t>
      </w:r>
      <w:r>
        <w:tab/>
        <w:t xml:space="preserve"> Is there a reason to consider an alternative to that position?</w:t>
      </w:r>
    </w:p>
    <w:p w:rsidR="00C44448" w:rsidRDefault="00C44448" w:rsidP="00C44448">
      <w:pPr>
        <w:spacing w:line="480" w:lineRule="auto"/>
        <w:ind w:left="720" w:hanging="720"/>
        <w:rPr>
          <w:rFonts w:ascii="Times New Roman" w:hAnsi="Times New Roman" w:cs="TimesNewRomanPS-BoldMT"/>
        </w:rPr>
      </w:pPr>
      <w:r>
        <w:t>A.</w:t>
      </w:r>
      <w:r>
        <w:tab/>
      </w:r>
      <w:r>
        <w:rPr>
          <w:rFonts w:ascii="Times New Roman" w:hAnsi="Times New Roman" w:cs="TimesNewRomanPS-BoldMT"/>
        </w:rPr>
        <w:t>Yes.  There is relatively greater poverty in PacifiCorp’s Washington service territory than other areas of the state. The two counties that comprise the PacifiCorp service territory, Yakima and Walla Walla Counties, have the 5th and 7</w:t>
      </w:r>
      <w:r w:rsidRPr="00DD720F">
        <w:rPr>
          <w:rFonts w:ascii="Times New Roman" w:hAnsi="Times New Roman" w:cs="TimesNewRomanPS-BoldMT"/>
          <w:vertAlign w:val="superscript"/>
        </w:rPr>
        <w:t>th</w:t>
      </w:r>
      <w:r>
        <w:rPr>
          <w:rFonts w:ascii="Times New Roman" w:hAnsi="Times New Roman" w:cs="TimesNewRomanPS-BoldMT"/>
        </w:rPr>
        <w:t xml:space="preserve"> highest levels of adult poverty, respectively, among Washington’s 39 counties according to the Bureau of the Census, Small Area Income and Poverty Estimates.  </w:t>
      </w:r>
      <w:r>
        <w:rPr>
          <w:rFonts w:ascii="Times New Roman" w:hAnsi="Times New Roman" w:cs="TimesNewRomanPS-BoldMT"/>
        </w:rPr>
        <w:lastRenderedPageBreak/>
        <w:t xml:space="preserve">Furthermore, Yakima County is one of only four counties in Washington that are estimated to have more than 25% of children under 18 years old living in poverty. This estimate of poverty constitutes an increase since the 2000 census; for Walla Walla County the increase is four percentage points. (Exhibit No. ___ CME-3).  </w:t>
      </w:r>
    </w:p>
    <w:p w:rsidR="00C44448" w:rsidRDefault="00C44448" w:rsidP="00C44448">
      <w:pPr>
        <w:spacing w:line="480" w:lineRule="auto"/>
        <w:ind w:left="720" w:hanging="720"/>
      </w:pPr>
      <w:r>
        <w:t>Q.</w:t>
      </w:r>
      <w:r>
        <w:tab/>
        <w:t>How do you propose addressing the conflict between the high level of need and the need for a higher benefit level?</w:t>
      </w:r>
    </w:p>
    <w:p w:rsidR="00C44448" w:rsidRPr="00EB5A17" w:rsidRDefault="00C44448" w:rsidP="00C44448">
      <w:pPr>
        <w:spacing w:line="480" w:lineRule="auto"/>
        <w:ind w:left="720" w:hanging="720"/>
        <w:rPr>
          <w:b/>
        </w:rPr>
      </w:pPr>
      <w:r>
        <w:t>A.</w:t>
      </w:r>
      <w:r>
        <w:tab/>
        <w:t>We would propose that the LIBA funding increase be greater than the rate increase ultimately granted PacifiCorp for its residential customers in order to fund the additional number of customers that will be created as a result of the Company’s proposal to allocate 30% of all LIBA funding increase to providing LIBA benefits to more customers.  The Company has proposed increasing the number of households served from 4475 to 4720; 245 households or slightly more than 5%.   Increasing the average benefit by, say 21%, would yield a new average benefit of $266.20.  Applying that to the increased number of households calls for a budget of $1,256,464.00, for the direct benefit alone, before any program administration costs are included.</w:t>
      </w:r>
    </w:p>
    <w:p w:rsidR="00C44448" w:rsidRDefault="00C44448" w:rsidP="00C44448">
      <w:pPr>
        <w:spacing w:line="480" w:lineRule="auto"/>
        <w:ind w:left="720" w:hanging="720"/>
        <w:rPr>
          <w:b/>
        </w:rPr>
      </w:pPr>
      <w:r>
        <w:rPr>
          <w:b/>
        </w:rPr>
        <w:t>B.</w:t>
      </w:r>
      <w:r>
        <w:rPr>
          <w:b/>
        </w:rPr>
        <w:tab/>
        <w:t>PROGRAM DELIVERY</w:t>
      </w:r>
    </w:p>
    <w:p w:rsidR="00C44448" w:rsidRDefault="00C44448" w:rsidP="00C44448">
      <w:pPr>
        <w:spacing w:line="480" w:lineRule="auto"/>
        <w:ind w:left="720" w:hanging="720"/>
      </w:pPr>
      <w:r>
        <w:t>Q.</w:t>
      </w:r>
      <w:r>
        <w:tab/>
        <w:t>Two of the changes in delivery the Company has suggested involve program administration.  Could you describe them?</w:t>
      </w:r>
    </w:p>
    <w:p w:rsidR="00C44448" w:rsidRPr="00BC7D94" w:rsidRDefault="00C44448" w:rsidP="00C44448">
      <w:pPr>
        <w:spacing w:line="480" w:lineRule="auto"/>
        <w:ind w:left="720" w:hanging="720"/>
      </w:pPr>
      <w:r>
        <w:t>A.</w:t>
      </w:r>
      <w:r>
        <w:tab/>
        <w:t>One change is the suggestion to increase income eligibility for LIBA from 125% FPL to 150%.  The other is to only certify eligibility every other year.</w:t>
      </w:r>
    </w:p>
    <w:p w:rsidR="00C44448" w:rsidRDefault="00C44448" w:rsidP="00C44448">
      <w:pPr>
        <w:spacing w:line="480" w:lineRule="auto"/>
        <w:ind w:left="720" w:hanging="720"/>
      </w:pPr>
      <w:r>
        <w:t>Q.</w:t>
      </w:r>
      <w:r>
        <w:tab/>
        <w:t>What do you assume is the reason for increasing the eligibility threshold?</w:t>
      </w:r>
    </w:p>
    <w:p w:rsidR="00C44448" w:rsidRDefault="00C44448" w:rsidP="00C44448">
      <w:pPr>
        <w:spacing w:line="480" w:lineRule="auto"/>
        <w:ind w:left="720" w:hanging="720"/>
      </w:pPr>
      <w:r>
        <w:lastRenderedPageBreak/>
        <w:t>A.</w:t>
      </w:r>
      <w:r>
        <w:tab/>
        <w:t xml:space="preserve">I would assume that the Company is recognizing that there are many households in need of assistance who are just above the income eligibility threshold in the first instance.  This is something that the agencies themselves have recognized as well.  It becomes problematic, however, if making LIBA funding available to those additional households results in reducing the benefits available for households at the bottom of the poverty ladder.  When program participation is dependent on a “first come-first served” basis, it can be unpredictable and difficult to manage.  Last year the U.S. Department of Health and Human Services allowed states to increase the LIHEAP eligibility threshold to 175% FPL, but the Washington Department of Commerce and the LIHEAP agencies agreed to keep it set at 125% FPL because there were so many households at the 125% FPL level, who were not getting served.  It can also set up a double standard that is difficult to explain.  </w:t>
      </w:r>
    </w:p>
    <w:p w:rsidR="00C44448" w:rsidRDefault="00C44448" w:rsidP="00C44448">
      <w:pPr>
        <w:spacing w:line="480" w:lineRule="auto"/>
        <w:ind w:left="720" w:hanging="720"/>
      </w:pPr>
      <w:r>
        <w:t>Q.</w:t>
      </w:r>
      <w:r>
        <w:tab/>
        <w:t xml:space="preserve"> What would you suggest instead?</w:t>
      </w:r>
    </w:p>
    <w:p w:rsidR="00C44448" w:rsidRDefault="00C44448" w:rsidP="00C44448">
      <w:pPr>
        <w:spacing w:line="480" w:lineRule="auto"/>
        <w:ind w:left="720" w:hanging="720"/>
      </w:pPr>
      <w:r>
        <w:t>A.</w:t>
      </w:r>
      <w:r>
        <w:tab/>
        <w:t xml:space="preserve">This was one of the items we discussed when the Energy Project and the Washington community action agencies handling PacifiCorp’s service territory met with the Company last March.  I think it would be better to develop a distinct mechanism that is specifically targeted, something different enough that focuses on a clearly distinct population to avoid the complication of having two income thresholds, one for LIHEAP and one for LIBA.  The agencies are certainly willing to work with the Company on an alternative delivery mechanism, other than the LIBA program as it is </w:t>
      </w:r>
      <w:r>
        <w:lastRenderedPageBreak/>
        <w:t>currently designed but I believe it is more complicated to work out than can be accomplished here.  Thus, I propose that the Energy Project, PacifiCorp and all other parties meet to discuss this possibility prior to the Company’s next general rate case</w:t>
      </w:r>
      <w:r w:rsidRPr="003430AE">
        <w:t>.</w:t>
      </w:r>
      <w:r>
        <w:t xml:space="preserve">  </w:t>
      </w:r>
    </w:p>
    <w:p w:rsidR="00C44448" w:rsidRPr="00487EEC" w:rsidRDefault="00C44448" w:rsidP="00C44448">
      <w:pPr>
        <w:spacing w:line="480" w:lineRule="auto"/>
        <w:ind w:left="720" w:hanging="720"/>
        <w:rPr>
          <w:b/>
        </w:rPr>
      </w:pPr>
      <w:r>
        <w:t>Q.</w:t>
      </w:r>
      <w:r>
        <w:tab/>
        <w:t xml:space="preserve">You mention alternative delivery mechanisms.  What is the agencies’ opinion of the proposal to certify participants every other year in order to put more funds in customers’ hands?  </w:t>
      </w:r>
    </w:p>
    <w:p w:rsidR="00C44448" w:rsidRPr="00E726AE" w:rsidRDefault="00C44448" w:rsidP="00C44448">
      <w:pPr>
        <w:widowControl w:val="0"/>
        <w:autoSpaceDE w:val="0"/>
        <w:autoSpaceDN w:val="0"/>
        <w:adjustRightInd w:val="0"/>
        <w:spacing w:line="480" w:lineRule="auto"/>
        <w:ind w:left="720" w:hanging="720"/>
        <w:rPr>
          <w:rFonts w:ascii="Times New Roman" w:hAnsi="Times New Roman" w:cs="TimesNewRomanPS-BoldMT"/>
          <w:b/>
        </w:rPr>
      </w:pPr>
      <w:r>
        <w:t>A.</w:t>
      </w:r>
      <w:r>
        <w:tab/>
      </w:r>
      <w:r>
        <w:rPr>
          <w:rFonts w:ascii="Times New Roman" w:hAnsi="Times New Roman" w:cs="TimesNewRomanPS-BoldMT"/>
        </w:rPr>
        <w:t xml:space="preserve">On the one hand, the agencies applaud the Company’s intention to serve more customers.  Given the high level of poverty in the area, the agencies are only too aware of the greater number of households who are in need and strongly support reaching out to more of them.  However, it is not justifiable crippling the ability of the agencies to provide income certification in order to deepen the discount or serve more households.  In fact, the action, reducing administrative support for the agencies, only increases a problem the agencies face in delivering the program.  Even just adding a small number of additional LIBA recipients is difficult.  The Company proposes increasing the program participant number from 4475 customer to 4720, an increase of 5%.  This 5% increase might seem small, but it adds up over time.  Unfortunately, it is very hard to hire 5% of a person or buy 5% of a computer.  At some point you just can’t stretch any further.  The Company is asking the agencies to serve more households (with the 30%) while at the same time removing funding needed to maintain their ability to provide service. </w:t>
      </w:r>
    </w:p>
    <w:p w:rsidR="00C44448" w:rsidRPr="00927595" w:rsidRDefault="00C44448" w:rsidP="00C44448">
      <w:pPr>
        <w:widowControl w:val="0"/>
        <w:autoSpaceDE w:val="0"/>
        <w:autoSpaceDN w:val="0"/>
        <w:adjustRightInd w:val="0"/>
        <w:spacing w:line="480" w:lineRule="auto"/>
        <w:ind w:left="720" w:hanging="720"/>
        <w:rPr>
          <w:rFonts w:ascii="Times New Roman" w:hAnsi="Times New Roman" w:cs="TimesNewRomanPS-BoldMT"/>
        </w:rPr>
      </w:pPr>
      <w:r w:rsidRPr="00927595">
        <w:rPr>
          <w:rFonts w:ascii="Times New Roman" w:hAnsi="Times New Roman" w:cs="TimesNewRomanPS-BoldMT"/>
        </w:rPr>
        <w:t>Q.</w:t>
      </w:r>
      <w:r w:rsidRPr="00927595">
        <w:rPr>
          <w:rFonts w:ascii="Times New Roman" w:hAnsi="Times New Roman" w:cs="TimesNewRomanPS-BoldMT"/>
        </w:rPr>
        <w:tab/>
        <w:t>Doesn’t the utility pay a fee for a household’s income certification?</w:t>
      </w:r>
    </w:p>
    <w:p w:rsidR="00C44448" w:rsidRPr="00E726AE" w:rsidRDefault="00C44448" w:rsidP="00C44448">
      <w:pPr>
        <w:spacing w:line="480" w:lineRule="auto"/>
        <w:ind w:left="720" w:hanging="720"/>
        <w:rPr>
          <w:rFonts w:ascii="Times New Roman" w:hAnsi="Times New Roman" w:cs="TimesNewRomanPS-BoldMT"/>
          <w:b/>
        </w:rPr>
      </w:pPr>
      <w:r>
        <w:rPr>
          <w:rFonts w:ascii="Times New Roman" w:hAnsi="Times New Roman" w:cs="TimesNewRomanPS-BoldMT"/>
        </w:rPr>
        <w:lastRenderedPageBreak/>
        <w:t>A.</w:t>
      </w:r>
      <w:r>
        <w:rPr>
          <w:rFonts w:ascii="Times New Roman" w:hAnsi="Times New Roman" w:cs="TimesNewRomanPS-BoldMT"/>
        </w:rPr>
        <w:tab/>
        <w:t xml:space="preserve">Yes, they do.  They currently pay the community action agencies $48 per every qualified household, but that is not sufficient to cover the cost to do the work.  It is important to recognize that an agency will see a number of households who do not qualify for the program for one reason or another.  It could be that they are over income or it could be that they can’t provide the necessary documentation, or something else.  The point is that the agency still does the work to determine whether they qualify and, thus, incurs the cost of certification.  That is part of the “hidden” cost to do the work needed.  Second, the current certification payment is significantly below what it costs the agencies to certify a qualified applicant.  Originally, the fee was set based on what the agencies calculated it cost them to serve a LIHEAP client, around $64.  Then the charge was arbitrarily </w:t>
      </w:r>
      <w:r w:rsidRPr="00850B42">
        <w:rPr>
          <w:rFonts w:ascii="Times New Roman" w:hAnsi="Times New Roman" w:cs="TimesNewRomanPS-BoldMT"/>
        </w:rPr>
        <w:t>reduced</w:t>
      </w:r>
      <w:r>
        <w:rPr>
          <w:rFonts w:ascii="Times New Roman" w:hAnsi="Times New Roman" w:cs="TimesNewRomanPS-BoldMT"/>
        </w:rPr>
        <w:t xml:space="preserve"> to about six years ago; meanwhile the agencies’ costs have increased.  </w:t>
      </w:r>
      <w:r w:rsidR="0074792C">
        <w:rPr>
          <w:rFonts w:ascii="Times New Roman" w:hAnsi="Times New Roman" w:cs="TimesNewRomanPS-BoldMT"/>
        </w:rPr>
        <w:t>The a</w:t>
      </w:r>
      <w:r>
        <w:rPr>
          <w:rFonts w:ascii="Times New Roman" w:hAnsi="Times New Roman" w:cs="TimesNewRomanPS-BoldMT"/>
        </w:rPr>
        <w:t>ttached Exhibit No. ___ (CME-4) is an accounting of the cost from Bob Castoldi who oversees the LIHEAP and LIBA program for the Blue Mountain Action Council.   To summarize Mr. Castoldi’s analysis, the cost to his agency is approximately $73</w:t>
      </w:r>
      <w:r w:rsidR="0074792C">
        <w:rPr>
          <w:rFonts w:ascii="Times New Roman" w:hAnsi="Times New Roman" w:cs="TimesNewRomanPS-BoldMT"/>
        </w:rPr>
        <w:t xml:space="preserve"> per </w:t>
      </w:r>
      <w:r>
        <w:rPr>
          <w:rFonts w:ascii="Times New Roman" w:hAnsi="Times New Roman" w:cs="TimesNewRomanPS-BoldMT"/>
        </w:rPr>
        <w:t>qualified household to handle all the outreach, scheduling, calculation, verification, and communication needed.  Increasing the numbers to be served increases the need for more administrative coverage.  The agencies propose that the certification fee should be increased to $65 per household qualified to participate in the LIBA program.</w:t>
      </w:r>
    </w:p>
    <w:p w:rsidR="00C44448" w:rsidRPr="00927595" w:rsidRDefault="00C44448" w:rsidP="00C44448">
      <w:pPr>
        <w:widowControl w:val="0"/>
        <w:autoSpaceDE w:val="0"/>
        <w:autoSpaceDN w:val="0"/>
        <w:adjustRightInd w:val="0"/>
        <w:spacing w:line="480" w:lineRule="auto"/>
        <w:ind w:left="720" w:hanging="720"/>
        <w:rPr>
          <w:rFonts w:ascii="Times New Roman" w:hAnsi="Times New Roman" w:cs="TimesNewRomanPS-BoldMT"/>
        </w:rPr>
      </w:pPr>
      <w:r w:rsidRPr="00927595">
        <w:rPr>
          <w:rFonts w:ascii="Times New Roman" w:hAnsi="Times New Roman" w:cs="TimesNewRomanPS-BoldMT"/>
        </w:rPr>
        <w:t>Q.</w:t>
      </w:r>
      <w:r w:rsidRPr="00927595">
        <w:rPr>
          <w:rFonts w:ascii="Times New Roman" w:hAnsi="Times New Roman" w:cs="TimesNewRomanPS-BoldMT"/>
        </w:rPr>
        <w:tab/>
        <w:t>Couldn’t the alternate year certification fund the increase to cover the administrative cost better?</w:t>
      </w:r>
    </w:p>
    <w:p w:rsidR="00C44448" w:rsidRPr="000F1A25" w:rsidRDefault="00C44448" w:rsidP="00C44448">
      <w:pPr>
        <w:widowControl w:val="0"/>
        <w:autoSpaceDE w:val="0"/>
        <w:autoSpaceDN w:val="0"/>
        <w:adjustRightInd w:val="0"/>
        <w:spacing w:line="480" w:lineRule="auto"/>
        <w:ind w:left="720" w:hanging="720"/>
        <w:rPr>
          <w:rFonts w:ascii="Times-Roman" w:hAnsi="Times-Roman" w:cs="Times-Roman"/>
          <w:b/>
          <w:lang w:bidi="en-US"/>
        </w:rPr>
      </w:pPr>
      <w:r>
        <w:rPr>
          <w:rFonts w:ascii="Times New Roman" w:hAnsi="Times New Roman" w:cs="TimesNewRomanPS-BoldMT"/>
        </w:rPr>
        <w:t>A.</w:t>
      </w:r>
      <w:r>
        <w:rPr>
          <w:rFonts w:ascii="Times New Roman" w:hAnsi="Times New Roman" w:cs="TimesNewRomanPS-BoldMT"/>
        </w:rPr>
        <w:tab/>
        <w:t xml:space="preserve">Unfortunately doing that would create other logistical nightmares.  Every other </w:t>
      </w:r>
      <w:r>
        <w:rPr>
          <w:rFonts w:ascii="Times New Roman" w:hAnsi="Times New Roman" w:cs="TimesNewRomanPS-BoldMT"/>
        </w:rPr>
        <w:lastRenderedPageBreak/>
        <w:t xml:space="preserve">year certification is a huge barrier to the agencies’ ability to maintain the program in a number of respects, but particularly in terms of the cost to train and/or retain skilled employees to do the work.  The staff who operate the program need to be trained to know what documentation is required, how to communicate effectively with customers, how to calculate and verify their incomes, as well as some other general clerical and computer skills.  Because the programs serve on a first come first served basis, agency staff will need to know how to qualify customers for LIHEAP or other programs as well.  Even with other funding sources, many of these people are already only working part-time, while the rest of the year they are either laid off or work for some other program at the agency if there is one that can work with that arrangement.  In addition, there will be costs for materials, equipment, and space as well as personnel.  It just isn’t practical to expect agency staff can do the necessary work to serve roughly 5000 households, in addition to LIHEAP, in one year, but none or few the next.  </w:t>
      </w:r>
      <w:r w:rsidRPr="00B86A9D">
        <w:rPr>
          <w:rFonts w:ascii="Times-Roman" w:hAnsi="Times-Roman" w:cs="Times-Roman"/>
          <w:lang w:bidi="en-US"/>
        </w:rPr>
        <w:t xml:space="preserve">This sort of “feast or famine” approach is just not manageable from an administrative </w:t>
      </w:r>
      <w:r>
        <w:rPr>
          <w:rFonts w:ascii="Times-Roman" w:hAnsi="Times-Roman" w:cs="Times-Roman"/>
          <w:lang w:bidi="en-US"/>
        </w:rPr>
        <w:t>standpoint</w:t>
      </w:r>
      <w:r w:rsidRPr="00B86A9D">
        <w:rPr>
          <w:rFonts w:ascii="Times-Roman" w:hAnsi="Times-Roman" w:cs="Times-Roman"/>
          <w:lang w:bidi="en-US"/>
        </w:rPr>
        <w:t xml:space="preserve"> or</w:t>
      </w:r>
      <w:r>
        <w:rPr>
          <w:rFonts w:ascii="Times-Roman" w:hAnsi="Times-Roman" w:cs="Times-Roman"/>
          <w:lang w:bidi="en-US"/>
        </w:rPr>
        <w:t xml:space="preserve"> from the point of</w:t>
      </w:r>
      <w:r w:rsidRPr="00B86A9D">
        <w:rPr>
          <w:rFonts w:ascii="Times-Roman" w:hAnsi="Times-Roman" w:cs="Times-Roman"/>
          <w:lang w:bidi="en-US"/>
        </w:rPr>
        <w:t xml:space="preserve"> just managing the demand that will come in the door.  Finally, one must realize that energy assistance intake is the doorway that most households enter to get to the energy efficiency programs.  </w:t>
      </w:r>
      <w:r>
        <w:rPr>
          <w:rFonts w:ascii="Times-Roman" w:hAnsi="Times-Roman" w:cs="Times-Roman"/>
          <w:lang w:bidi="en-US"/>
        </w:rPr>
        <w:t>Every other year certification for LIBA eligibility</w:t>
      </w:r>
      <w:r w:rsidRPr="00B86A9D">
        <w:rPr>
          <w:rFonts w:ascii="Times-Roman" w:hAnsi="Times-Roman" w:cs="Times-Roman"/>
          <w:lang w:bidi="en-US"/>
        </w:rPr>
        <w:t xml:space="preserve"> will</w:t>
      </w:r>
      <w:r>
        <w:rPr>
          <w:rFonts w:ascii="Times-Roman" w:hAnsi="Times-Roman" w:cs="Times-Roman"/>
          <w:lang w:bidi="en-US"/>
        </w:rPr>
        <w:t xml:space="preserve"> disrupt the flow for that program. </w:t>
      </w:r>
    </w:p>
    <w:p w:rsidR="00C44448" w:rsidRDefault="00C44448" w:rsidP="00C44448">
      <w:pPr>
        <w:widowControl w:val="0"/>
        <w:autoSpaceDE w:val="0"/>
        <w:autoSpaceDN w:val="0"/>
        <w:adjustRightInd w:val="0"/>
        <w:spacing w:line="480" w:lineRule="auto"/>
        <w:ind w:left="720" w:hanging="720"/>
        <w:rPr>
          <w:rFonts w:ascii="Times-Roman" w:hAnsi="Times-Roman" w:cs="Times-Roman"/>
          <w:lang w:bidi="en-US"/>
        </w:rPr>
      </w:pPr>
      <w:r>
        <w:rPr>
          <w:rFonts w:ascii="Times-Roman" w:hAnsi="Times-Roman" w:cs="Times-Roman"/>
          <w:lang w:bidi="en-US"/>
        </w:rPr>
        <w:t>Q.</w:t>
      </w:r>
      <w:r>
        <w:rPr>
          <w:rFonts w:ascii="Times-Roman" w:hAnsi="Times-Roman" w:cs="Times-Roman"/>
          <w:lang w:bidi="en-US"/>
        </w:rPr>
        <w:tab/>
        <w:t>What is the impact of increasing the certification fee paid to the agencies as the Energy Project proposes doing in this case?</w:t>
      </w:r>
    </w:p>
    <w:p w:rsidR="00C44448" w:rsidRPr="000F1A25" w:rsidRDefault="00C44448" w:rsidP="00C44448">
      <w:pPr>
        <w:widowControl w:val="0"/>
        <w:autoSpaceDE w:val="0"/>
        <w:autoSpaceDN w:val="0"/>
        <w:adjustRightInd w:val="0"/>
        <w:spacing w:line="480" w:lineRule="auto"/>
        <w:ind w:left="720" w:hanging="720"/>
        <w:rPr>
          <w:rFonts w:ascii="Times-Roman" w:hAnsi="Times-Roman" w:cs="Times-Roman"/>
          <w:b/>
          <w:lang w:bidi="en-US"/>
        </w:rPr>
      </w:pPr>
      <w:r>
        <w:rPr>
          <w:rFonts w:ascii="Times-Roman" w:hAnsi="Times-Roman" w:cs="Times-Roman"/>
          <w:lang w:bidi="en-US"/>
        </w:rPr>
        <w:t>A.</w:t>
      </w:r>
      <w:r>
        <w:rPr>
          <w:rFonts w:ascii="Times-Roman" w:hAnsi="Times-Roman" w:cs="Times-Roman"/>
          <w:lang w:bidi="en-US"/>
        </w:rPr>
        <w:tab/>
        <w:t xml:space="preserve">It would cost approximately $76,000.00 more to serve the same number of customers as participated in the program last year (4475).  If the program is to </w:t>
      </w:r>
      <w:r>
        <w:rPr>
          <w:rFonts w:ascii="Times-Roman" w:hAnsi="Times-Roman" w:cs="Times-Roman"/>
          <w:lang w:bidi="en-US"/>
        </w:rPr>
        <w:lastRenderedPageBreak/>
        <w:t xml:space="preserve">serve the higher number proposed by the Company, the cost would be approximately $92,000.00.  </w:t>
      </w:r>
    </w:p>
    <w:p w:rsidR="00C44448" w:rsidRPr="00927595" w:rsidRDefault="00C44448" w:rsidP="00C44448">
      <w:pPr>
        <w:widowControl w:val="0"/>
        <w:autoSpaceDE w:val="0"/>
        <w:autoSpaceDN w:val="0"/>
        <w:adjustRightInd w:val="0"/>
        <w:spacing w:line="480" w:lineRule="auto"/>
        <w:ind w:left="720" w:hanging="720"/>
        <w:rPr>
          <w:rFonts w:ascii="Times New Roman" w:hAnsi="Times New Roman" w:cs="TimesNewRomanPS-BoldMT"/>
        </w:rPr>
      </w:pPr>
      <w:r w:rsidRPr="00927595">
        <w:rPr>
          <w:rFonts w:ascii="Times New Roman" w:hAnsi="Times New Roman" w:cs="TimesNewRomanPS-BoldMT"/>
        </w:rPr>
        <w:t>Q.</w:t>
      </w:r>
      <w:r w:rsidRPr="00927595">
        <w:rPr>
          <w:rFonts w:ascii="Times New Roman" w:hAnsi="Times New Roman" w:cs="TimesNewRomanPS-BoldMT"/>
        </w:rPr>
        <w:tab/>
        <w:t xml:space="preserve">You have outlined a few problems you see with the Company’s </w:t>
      </w:r>
      <w:r>
        <w:rPr>
          <w:rFonts w:ascii="Times New Roman" w:hAnsi="Times New Roman" w:cs="TimesNewRomanPS-BoldMT"/>
        </w:rPr>
        <w:t xml:space="preserve">certification </w:t>
      </w:r>
      <w:r w:rsidRPr="00927595">
        <w:rPr>
          <w:rFonts w:ascii="Times New Roman" w:hAnsi="Times New Roman" w:cs="TimesNewRomanPS-BoldMT"/>
        </w:rPr>
        <w:t>proposal</w:t>
      </w:r>
      <w:r>
        <w:rPr>
          <w:rFonts w:ascii="Times New Roman" w:hAnsi="Times New Roman" w:cs="TimesNewRomanPS-BoldMT"/>
        </w:rPr>
        <w:t>.  C</w:t>
      </w:r>
      <w:r w:rsidRPr="00927595">
        <w:rPr>
          <w:rFonts w:ascii="Times New Roman" w:hAnsi="Times New Roman" w:cs="TimesNewRomanPS-BoldMT"/>
        </w:rPr>
        <w:t>ould you please summarize and include any suggestion</w:t>
      </w:r>
      <w:r>
        <w:rPr>
          <w:rFonts w:ascii="Times New Roman" w:hAnsi="Times New Roman" w:cs="TimesNewRomanPS-BoldMT"/>
        </w:rPr>
        <w:t>s you have to resolve those problems</w:t>
      </w:r>
      <w:r w:rsidRPr="00927595">
        <w:rPr>
          <w:rFonts w:ascii="Times New Roman" w:hAnsi="Times New Roman" w:cs="TimesNewRomanPS-BoldMT"/>
        </w:rPr>
        <w:t>?</w:t>
      </w:r>
    </w:p>
    <w:p w:rsidR="00C44448" w:rsidRPr="00384D38" w:rsidRDefault="00C44448" w:rsidP="00C44448">
      <w:pPr>
        <w:widowControl w:val="0"/>
        <w:autoSpaceDE w:val="0"/>
        <w:autoSpaceDN w:val="0"/>
        <w:adjustRightInd w:val="0"/>
        <w:spacing w:line="480" w:lineRule="auto"/>
        <w:ind w:left="720" w:hanging="720"/>
        <w:rPr>
          <w:rFonts w:ascii="Times New Roman" w:hAnsi="Times New Roman" w:cs="TimesNewRomanPS-BoldMT"/>
          <w:b/>
          <w:color w:val="FF0000"/>
        </w:rPr>
      </w:pPr>
      <w:r>
        <w:rPr>
          <w:rFonts w:ascii="Times New Roman" w:hAnsi="Times New Roman" w:cs="TimesNewRomanPS-BoldMT"/>
        </w:rPr>
        <w:t>A.</w:t>
      </w:r>
      <w:r>
        <w:rPr>
          <w:rFonts w:ascii="Times New Roman" w:hAnsi="Times New Roman" w:cs="TimesNewRomanPS-BoldMT"/>
        </w:rPr>
        <w:tab/>
        <w:t xml:space="preserve">First let me stress that the Energy Project and the agencies truly appreciate PacifiCorp’s intention to serve more low-income households and the Company’s proposal for additional funding to do so.  That said, we see four problems looming in the program: 1) The LIBA discount does not provide enough relief compared to other existing programs.  2) The existing program certification fee does not cover the agency’s cost to do the work.  3) The proposal to certify every two years cripples the agencies’ abilities to maintain the program.  4) The desire to serve more clients without a significant budget adjustment just makes problems 1-3 above even worse.  </w:t>
      </w:r>
      <w:r w:rsidRPr="00DE6F88">
        <w:rPr>
          <w:rFonts w:ascii="Times New Roman" w:hAnsi="Times New Roman" w:cs="TimesNewRomanPS-BoldMT"/>
        </w:rPr>
        <w:t xml:space="preserve">Funding the increased number of customers the Company has proposed with an increase equal to the </w:t>
      </w:r>
      <w:r>
        <w:rPr>
          <w:rFonts w:ascii="Times New Roman" w:hAnsi="Times New Roman" w:cs="TimesNewRomanPS-BoldMT"/>
        </w:rPr>
        <w:t>proposed 21% revenue</w:t>
      </w:r>
      <w:r w:rsidRPr="00DE6F88">
        <w:rPr>
          <w:rFonts w:ascii="Times New Roman" w:hAnsi="Times New Roman" w:cs="TimesNewRomanPS-BoldMT"/>
        </w:rPr>
        <w:t xml:space="preserve"> and a $65 certification fee will cost an additional $365,264 over the </w:t>
      </w:r>
      <w:r>
        <w:rPr>
          <w:rFonts w:ascii="Times New Roman" w:hAnsi="Times New Roman" w:cs="TimesNewRomanPS-BoldMT"/>
        </w:rPr>
        <w:t xml:space="preserve">$1,200,000.00 the </w:t>
      </w:r>
      <w:r w:rsidRPr="00DE6F88">
        <w:rPr>
          <w:rFonts w:ascii="Times New Roman" w:hAnsi="Times New Roman" w:cs="TimesNewRomanPS-BoldMT"/>
        </w:rPr>
        <w:t>current program is projected to collect</w:t>
      </w:r>
      <w:r>
        <w:rPr>
          <w:rFonts w:ascii="Times New Roman" w:hAnsi="Times New Roman" w:cs="TimesNewRomanPS-BoldMT"/>
        </w:rPr>
        <w:t xml:space="preserve">.  This is </w:t>
      </w:r>
      <w:r w:rsidRPr="00DE6F88">
        <w:rPr>
          <w:rFonts w:ascii="Times New Roman" w:hAnsi="Times New Roman" w:cs="TimesNewRomanPS-BoldMT"/>
        </w:rPr>
        <w:t>$111,264</w:t>
      </w:r>
      <w:r>
        <w:rPr>
          <w:rFonts w:ascii="Times New Roman" w:hAnsi="Times New Roman" w:cs="TimesNewRomanPS-BoldMT"/>
        </w:rPr>
        <w:t>.00</w:t>
      </w:r>
      <w:r w:rsidRPr="00DE6F88">
        <w:rPr>
          <w:rFonts w:ascii="Times New Roman" w:hAnsi="Times New Roman" w:cs="TimesNewRomanPS-BoldMT"/>
        </w:rPr>
        <w:t xml:space="preserve"> more than the Company’s proposed 21% increase</w:t>
      </w:r>
      <w:r>
        <w:rPr>
          <w:rFonts w:ascii="Times New Roman" w:hAnsi="Times New Roman" w:cs="TimesNewRomanPS-BoldMT"/>
        </w:rPr>
        <w:t xml:space="preserve"> ($1,452,000.00)</w:t>
      </w:r>
      <w:r w:rsidRPr="00DE6F88">
        <w:rPr>
          <w:rFonts w:ascii="Times New Roman" w:hAnsi="Times New Roman" w:cs="TimesNewRomanPS-BoldMT"/>
        </w:rPr>
        <w:t>.</w:t>
      </w:r>
      <w:r>
        <w:rPr>
          <w:rFonts w:ascii="Times New Roman" w:hAnsi="Times New Roman" w:cs="TimesNewRomanPS-BoldMT"/>
        </w:rPr>
        <w:t xml:space="preserve">  </w:t>
      </w:r>
    </w:p>
    <w:p w:rsidR="00C44448" w:rsidRPr="002F783D" w:rsidRDefault="00C44448" w:rsidP="00C44448">
      <w:pPr>
        <w:widowControl w:val="0"/>
        <w:autoSpaceDE w:val="0"/>
        <w:autoSpaceDN w:val="0"/>
        <w:adjustRightInd w:val="0"/>
        <w:spacing w:line="480" w:lineRule="auto"/>
        <w:ind w:left="720" w:hanging="720"/>
        <w:rPr>
          <w:rFonts w:ascii="Times New Roman" w:hAnsi="Times New Roman" w:cs="TimesNewRomanPS-BoldMT"/>
          <w:b/>
        </w:rPr>
      </w:pPr>
      <w:r>
        <w:rPr>
          <w:rFonts w:ascii="Times New Roman" w:hAnsi="Times New Roman" w:cs="TimesNewRomanPS-BoldMT"/>
          <w:b/>
        </w:rPr>
        <w:t>C.</w:t>
      </w:r>
      <w:r>
        <w:rPr>
          <w:rFonts w:ascii="Times New Roman" w:hAnsi="Times New Roman" w:cs="TimesNewRomanPS-BoldMT"/>
          <w:b/>
        </w:rPr>
        <w:tab/>
        <w:t>MONTHLY BASIC CHARGE</w:t>
      </w:r>
    </w:p>
    <w:p w:rsidR="00C44448" w:rsidRPr="008C3D53" w:rsidRDefault="00C44448" w:rsidP="00C44448">
      <w:pPr>
        <w:spacing w:line="480" w:lineRule="auto"/>
        <w:ind w:left="630" w:hanging="630"/>
      </w:pPr>
      <w:r w:rsidRPr="008C3D53">
        <w:t>Q:</w:t>
      </w:r>
      <w:r w:rsidRPr="008C3D53">
        <w:tab/>
        <w:t>What is PacifiCorp proposing regarding the basic customer charge for residential customers?</w:t>
      </w:r>
    </w:p>
    <w:p w:rsidR="00C44448" w:rsidRPr="008C3D53" w:rsidRDefault="00C44448" w:rsidP="00C44448">
      <w:pPr>
        <w:spacing w:line="480" w:lineRule="auto"/>
        <w:ind w:left="630" w:hanging="630"/>
      </w:pPr>
      <w:r w:rsidRPr="008C3D53">
        <w:lastRenderedPageBreak/>
        <w:t>A:</w:t>
      </w:r>
      <w:r w:rsidRPr="008C3D53">
        <w:tab/>
        <w:t>The Company proposes to increase its residential basic charge by 50 percent, from $6.00 to $9.00.</w:t>
      </w:r>
      <w:r w:rsidRPr="008C3D53">
        <w:rPr>
          <w:rStyle w:val="FootnoteReference"/>
        </w:rPr>
        <w:footnoteReference w:id="3"/>
      </w:r>
      <w:r w:rsidRPr="008C3D53">
        <w:t xml:space="preserve">  The Company supports its proposal by arguing that its embedded cost of service study shows that related costs of service exceed its current basic charge.</w:t>
      </w:r>
    </w:p>
    <w:p w:rsidR="00C44448" w:rsidRPr="008C3D53" w:rsidRDefault="00C44448" w:rsidP="00C44448">
      <w:pPr>
        <w:spacing w:line="480" w:lineRule="auto"/>
        <w:ind w:left="720" w:hanging="720"/>
      </w:pPr>
      <w:r w:rsidRPr="008C3D53">
        <w:t xml:space="preserve">Q: </w:t>
      </w:r>
      <w:r w:rsidRPr="008C3D53">
        <w:tab/>
        <w:t>Is a company’s cost of service study the only factor that should be considered when determining the appropriate level of basic charge?</w:t>
      </w:r>
    </w:p>
    <w:p w:rsidR="00C44448" w:rsidRPr="008C3D53" w:rsidRDefault="00C44448" w:rsidP="00C44448">
      <w:pPr>
        <w:spacing w:line="480" w:lineRule="auto"/>
        <w:ind w:left="720" w:hanging="720"/>
      </w:pPr>
      <w:r w:rsidRPr="008C3D53">
        <w:t>A:</w:t>
      </w:r>
      <w:r w:rsidRPr="008C3D53">
        <w:tab/>
        <w:t xml:space="preserve">No.  The Commission previously made clear that much more than just a company’s cost of service study must be considered when determining the appropriate level for basic charges, stating: “[e]mbedded cost studies should only be </w:t>
      </w:r>
      <w:r w:rsidRPr="008C3D53">
        <w:rPr>
          <w:i/>
        </w:rPr>
        <w:t xml:space="preserve">one consideration </w:t>
      </w:r>
      <w:r w:rsidRPr="008C3D53">
        <w:t>in determining rate spread and rate design.”</w:t>
      </w:r>
      <w:r w:rsidRPr="008C3D53">
        <w:rPr>
          <w:rStyle w:val="FootnoteReference"/>
        </w:rPr>
        <w:footnoteReference w:id="4"/>
      </w:r>
      <w:r w:rsidRPr="008C3D53">
        <w:t xml:space="preserve">  In the testimony that follows, I discuss the other factors that should be considered when determining what level of basic charge is appropriate in this case.</w:t>
      </w:r>
    </w:p>
    <w:p w:rsidR="00C44448" w:rsidRDefault="00C44448" w:rsidP="00C44448">
      <w:pPr>
        <w:spacing w:line="480" w:lineRule="auto"/>
        <w:ind w:left="720" w:hanging="720"/>
        <w:rPr>
          <w:rFonts w:ascii="Times-Roman" w:hAnsi="Times-Roman" w:cs="Times-Roman"/>
          <w:lang w:bidi="en-US"/>
        </w:rPr>
      </w:pPr>
      <w:r>
        <w:rPr>
          <w:rFonts w:ascii="Times-Roman" w:hAnsi="Times-Roman" w:cs="Times-Roman"/>
          <w:lang w:bidi="en-US"/>
        </w:rPr>
        <w:t>Q.</w:t>
      </w:r>
      <w:r>
        <w:rPr>
          <w:rFonts w:ascii="Times-Roman" w:hAnsi="Times-Roman" w:cs="Times-Roman"/>
          <w:lang w:bidi="en-US"/>
        </w:rPr>
        <w:tab/>
        <w:t>What other factors do you believe should be considered?</w:t>
      </w:r>
    </w:p>
    <w:p w:rsidR="00C44448" w:rsidRPr="00E74CD8" w:rsidRDefault="00C44448" w:rsidP="00C44448">
      <w:pPr>
        <w:spacing w:line="480" w:lineRule="auto"/>
        <w:ind w:left="720" w:hanging="720"/>
        <w:rPr>
          <w:rFonts w:ascii="Times-Roman" w:hAnsi="Times-Roman" w:cs="Times-Roman"/>
          <w:lang w:bidi="en-US"/>
        </w:rPr>
      </w:pPr>
      <w:r>
        <w:rPr>
          <w:rFonts w:ascii="Times-Roman" w:hAnsi="Times-Roman" w:cs="Times-Roman"/>
          <w:lang w:bidi="en-US"/>
        </w:rPr>
        <w:t>A.</w:t>
      </w:r>
      <w:r>
        <w:rPr>
          <w:rFonts w:ascii="Times-Roman" w:hAnsi="Times-Roman" w:cs="Times-Roman"/>
          <w:lang w:bidi="en-US"/>
        </w:rPr>
        <w:tab/>
        <w:t xml:space="preserve">Without getting into the debate regarding which charges are truly “fixed” or appropriate to recover in a flat monthly charge, I would first point out that the more the consumption-based cost is diminished and transferred to an unavoidable fixed monthly charge, the more one removes a customer’s incentive to use energy efficiently.  Particularly at a time when our national focus is on reducing consumption as much as possible, such a price signal is contrary to sound policy objectives.  By encouraging customers to reduce their discretionary consumption, </w:t>
      </w:r>
      <w:r>
        <w:rPr>
          <w:rFonts w:ascii="Times-Roman" w:hAnsi="Times-Roman" w:cs="Times-Roman"/>
          <w:lang w:bidi="en-US"/>
        </w:rPr>
        <w:lastRenderedPageBreak/>
        <w:t>the need to acquire additional resources, priced at a higher marginal cost, will be deferred.  By contrast, a price signal that tells a customer that their consumption level makes little or no difference in their monthly bill due to increasingly high fixed costs, renders the whole point of conservation meaningless.  The anti-conservation impact of increasing the basic charge was also noted by this Commission in the previously cited Washington Water Power case.</w:t>
      </w:r>
      <w:r>
        <w:rPr>
          <w:rStyle w:val="FootnoteReference"/>
          <w:rFonts w:ascii="Times-Roman" w:hAnsi="Times-Roman" w:cs="Times-Roman"/>
          <w:lang w:bidi="en-US"/>
        </w:rPr>
        <w:footnoteReference w:id="5"/>
      </w:r>
      <w:r>
        <w:rPr>
          <w:rFonts w:ascii="Times-Roman" w:hAnsi="Times-Roman" w:cs="Times-Roman"/>
          <w:lang w:bidi="en-US"/>
        </w:rPr>
        <w:t xml:space="preserve"> Second, higher fixed costs disproportionately impact low-use customers, many of whom will be low-income customers without the means to pay.   </w:t>
      </w:r>
    </w:p>
    <w:p w:rsidR="001E3BD2" w:rsidRPr="002800B8" w:rsidRDefault="001E3BD2" w:rsidP="001E3BD2">
      <w:pPr>
        <w:widowControl w:val="0"/>
        <w:autoSpaceDE w:val="0"/>
        <w:autoSpaceDN w:val="0"/>
        <w:adjustRightInd w:val="0"/>
        <w:spacing w:line="480" w:lineRule="auto"/>
        <w:ind w:left="720" w:hanging="720"/>
        <w:rPr>
          <w:rFonts w:ascii="Times New Roman" w:hAnsi="Times New Roman" w:cs="TimesNewRomanPS-BoldMT"/>
          <w:b/>
        </w:rPr>
      </w:pPr>
      <w:r>
        <w:rPr>
          <w:rFonts w:ascii="Times New Roman" w:hAnsi="Times New Roman" w:cs="TimesNewRomanPS-BoldMT"/>
          <w:b/>
        </w:rPr>
        <w:t>D.</w:t>
      </w:r>
      <w:r>
        <w:rPr>
          <w:rFonts w:ascii="Times New Roman" w:hAnsi="Times New Roman" w:cs="TimesNewRomanPS-BoldMT"/>
          <w:b/>
        </w:rPr>
        <w:tab/>
        <w:t>LOW-INCOME WEATHERIZATION ASSISTANCE</w:t>
      </w:r>
    </w:p>
    <w:p w:rsidR="001E3BD2" w:rsidRPr="00927595" w:rsidRDefault="001E3BD2" w:rsidP="001E3BD2">
      <w:pPr>
        <w:widowControl w:val="0"/>
        <w:autoSpaceDE w:val="0"/>
        <w:autoSpaceDN w:val="0"/>
        <w:adjustRightInd w:val="0"/>
        <w:spacing w:line="480" w:lineRule="auto"/>
        <w:ind w:left="720" w:hanging="720"/>
        <w:rPr>
          <w:rFonts w:ascii="Times New Roman" w:hAnsi="Times New Roman" w:cs="TimesNewRomanPS-BoldMT"/>
        </w:rPr>
      </w:pPr>
      <w:r w:rsidRPr="00927595">
        <w:rPr>
          <w:rFonts w:ascii="Times New Roman" w:hAnsi="Times New Roman" w:cs="TimesNewRomanPS-BoldMT"/>
        </w:rPr>
        <w:t>Q,</w:t>
      </w:r>
      <w:r w:rsidRPr="00927595">
        <w:rPr>
          <w:rFonts w:ascii="Times New Roman" w:hAnsi="Times New Roman" w:cs="TimesNewRomanPS-BoldMT"/>
        </w:rPr>
        <w:tab/>
        <w:t>What does the Energy Project propose with regard to the Company’s low-income energy efficiency program?</w:t>
      </w:r>
    </w:p>
    <w:p w:rsidR="001E3BD2" w:rsidRPr="00D44744" w:rsidRDefault="001E3BD2" w:rsidP="001E3BD2">
      <w:pPr>
        <w:widowControl w:val="0"/>
        <w:autoSpaceDE w:val="0"/>
        <w:autoSpaceDN w:val="0"/>
        <w:adjustRightInd w:val="0"/>
        <w:spacing w:line="480" w:lineRule="auto"/>
        <w:ind w:left="720" w:hanging="720"/>
        <w:rPr>
          <w:rFonts w:ascii="Times New Roman" w:hAnsi="Times New Roman" w:cs="TimesNewRomanPS-BoldMT"/>
          <w:b/>
        </w:rPr>
      </w:pPr>
      <w:r>
        <w:rPr>
          <w:rFonts w:ascii="Times New Roman" w:hAnsi="Times New Roman" w:cs="TimesNewRomanPS-BoldMT"/>
        </w:rPr>
        <w:t>A.</w:t>
      </w:r>
      <w:r>
        <w:rPr>
          <w:rFonts w:ascii="Times New Roman" w:hAnsi="Times New Roman" w:cs="TimesNewRomanPS-BoldMT"/>
        </w:rPr>
        <w:tab/>
        <w:t>We believe that this is a critical moment in time for PacifiCorp to increase its investment in its Low-Income Weatherization Assistance program (LIWA).  The advent of I-937 requires the utility to acquire all cost effective energy conservation</w:t>
      </w:r>
      <w:r w:rsidR="00FE3563">
        <w:rPr>
          <w:rFonts w:ascii="Times New Roman" w:hAnsi="Times New Roman" w:cs="TimesNewRomanPS-BoldMT"/>
        </w:rPr>
        <w:t>.</w:t>
      </w:r>
      <w:r>
        <w:rPr>
          <w:rFonts w:ascii="Times New Roman" w:hAnsi="Times New Roman" w:cs="TimesNewRomanPS-BoldMT"/>
          <w:b/>
        </w:rPr>
        <w:t xml:space="preserve">   </w:t>
      </w:r>
      <w:r>
        <w:rPr>
          <w:rFonts w:ascii="Times New Roman" w:hAnsi="Times New Roman" w:cs="TimesNewRomanPS-BoldMT"/>
        </w:rPr>
        <w:t>Numerous developments have taken place in the past few years that make increased investment in LIWA particularly timely and desirable for all utility ratepayers</w:t>
      </w:r>
      <w:r w:rsidR="00FE3563">
        <w:rPr>
          <w:rFonts w:ascii="Times New Roman" w:hAnsi="Times New Roman" w:cs="TimesNewRomanPS-BoldMT"/>
        </w:rPr>
        <w:t xml:space="preserve">.  </w:t>
      </w:r>
      <w:r>
        <w:rPr>
          <w:rFonts w:ascii="Times New Roman" w:hAnsi="Times New Roman" w:cs="TimesNewRomanPS-BoldMT"/>
        </w:rPr>
        <w:t xml:space="preserve">The American Recovery and Reinvestment Act added $59,000,000 to Washington’s normal DOE Weatherization Assistance Program (WAP) budget to be spent between 2009-2011 for low-income energy efficiency .  The community action agencies that deliver the federal Weatherization Assistance Program recruited new staff and trained many contractors to do the work correctly.  </w:t>
      </w:r>
    </w:p>
    <w:p w:rsidR="001E3BD2" w:rsidRDefault="001E3BD2" w:rsidP="001E3BD2">
      <w:pPr>
        <w:widowControl w:val="0"/>
        <w:autoSpaceDE w:val="0"/>
        <w:autoSpaceDN w:val="0"/>
        <w:adjustRightInd w:val="0"/>
        <w:spacing w:line="480" w:lineRule="auto"/>
        <w:ind w:left="720" w:hanging="720"/>
        <w:rPr>
          <w:rFonts w:ascii="Times New Roman" w:hAnsi="Times New Roman" w:cs="TimesNewRomanPS-BoldMT"/>
        </w:rPr>
      </w:pPr>
      <w:r>
        <w:rPr>
          <w:rFonts w:ascii="Times New Roman" w:hAnsi="Times New Roman" w:cs="TimesNewRomanPS-BoldMT"/>
        </w:rPr>
        <w:lastRenderedPageBreak/>
        <w:tab/>
        <w:t xml:space="preserve">Currently, the </w:t>
      </w:r>
      <w:r w:rsidR="006A30B2">
        <w:rPr>
          <w:rFonts w:ascii="Times New Roman" w:hAnsi="Times New Roman" w:cs="TimesNewRomanPS-BoldMT"/>
        </w:rPr>
        <w:t xml:space="preserve">Washington </w:t>
      </w:r>
      <w:r>
        <w:rPr>
          <w:rFonts w:ascii="Times New Roman" w:hAnsi="Times New Roman" w:cs="TimesNewRomanPS-BoldMT"/>
        </w:rPr>
        <w:t>Dep</w:t>
      </w:r>
      <w:r w:rsidR="006A30B2">
        <w:rPr>
          <w:rFonts w:ascii="Times New Roman" w:hAnsi="Times New Roman" w:cs="TimesNewRomanPS-BoldMT"/>
        </w:rPr>
        <w:t>artment</w:t>
      </w:r>
      <w:r>
        <w:rPr>
          <w:rFonts w:ascii="Times New Roman" w:hAnsi="Times New Roman" w:cs="TimesNewRomanPS-BoldMT"/>
        </w:rPr>
        <w:t xml:space="preserve"> of Commerce projects spending out the ARRA funds by June, 2011.  At the same time I hear much speculation whether there will be federal energy efficiency funding after ARRA , including changing the WAP program to something that is loan based.  Then too, as I mentioned previously, the LIHEAP budget is also questionable.  What many people do not realize is that the LIHEAP program allows the state to transfer funds to the DOE WAP for the purpose of doing energy efficiency, because this has a more permanent impact than simply paying the current bill.  This LIHEAP weatherization money is actually greater than the amount typically provided by the DOE WAP funds (pre-ARRA).  Thus, the anticipated drop in these two funding sources leaves the agencies looking for additional funds in order to maintain at least some of their increased level of production.  They have indicated to The Energy Project that they could easily handle a 50% increase in the PacifiCorp energy efficiency budget, approximately $500,000.  </w:t>
      </w:r>
    </w:p>
    <w:p w:rsidR="001E3BD2" w:rsidRDefault="001E3BD2" w:rsidP="001E3BD2">
      <w:pPr>
        <w:widowControl w:val="0"/>
        <w:autoSpaceDE w:val="0"/>
        <w:autoSpaceDN w:val="0"/>
        <w:adjustRightInd w:val="0"/>
        <w:spacing w:line="480" w:lineRule="auto"/>
        <w:ind w:left="720" w:hanging="720"/>
        <w:rPr>
          <w:rFonts w:ascii="Times New Roman" w:hAnsi="Times New Roman" w:cs="TimesNewRomanPS-BoldMT"/>
        </w:rPr>
      </w:pPr>
      <w:r>
        <w:rPr>
          <w:rFonts w:ascii="Times New Roman" w:hAnsi="Times New Roman" w:cs="TimesNewRomanPS-BoldMT"/>
        </w:rPr>
        <w:t>Q.</w:t>
      </w:r>
      <w:r>
        <w:rPr>
          <w:rFonts w:ascii="Times New Roman" w:hAnsi="Times New Roman" w:cs="TimesNewRomanPS-BoldMT"/>
        </w:rPr>
        <w:tab/>
        <w:t>What do you believe the consequence would be of not replacing AARA funds with those from another source?</w:t>
      </w:r>
    </w:p>
    <w:p w:rsidR="001E3BD2" w:rsidRDefault="001E3BD2" w:rsidP="001E3BD2">
      <w:pPr>
        <w:widowControl w:val="0"/>
        <w:autoSpaceDE w:val="0"/>
        <w:autoSpaceDN w:val="0"/>
        <w:adjustRightInd w:val="0"/>
        <w:spacing w:line="480" w:lineRule="auto"/>
        <w:ind w:lef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t xml:space="preserve">I believe that failure to fill the void of funding created by the expiration of AARA constitutes a lost opportunity cost of considerable proportion.  By funding AARA, Congress created an opportunity that resulted in the creation of substantial infrastructure in the form of increased personnel and the expansion of existing low-income weatherization programs to capture more of the abundance of cost-effective low-income conservation resources.  Increasing utility funding for energy efficiency most likely will not “fill the void” left when ARRA funding is </w:t>
      </w:r>
      <w:r>
        <w:rPr>
          <w:rFonts w:ascii="Times New Roman" w:hAnsi="Times New Roman" w:cs="TimesNewRomanPS-BoldMT"/>
        </w:rPr>
        <w:lastRenderedPageBreak/>
        <w:t>gone, but it will go a long way to keeping the accelerated effort going.  It is important to not lose the increased momentum we have created.  It is important to note that this sort of abandonment has been part of the history of energy efficiency.</w:t>
      </w:r>
    </w:p>
    <w:p w:rsidR="001E3BD2" w:rsidRDefault="001E3BD2" w:rsidP="001E3BD2">
      <w:pPr>
        <w:widowControl w:val="0"/>
        <w:autoSpaceDE w:val="0"/>
        <w:autoSpaceDN w:val="0"/>
        <w:adjustRightInd w:val="0"/>
        <w:spacing w:line="480" w:lineRule="auto"/>
        <w:ind w:left="720" w:hanging="720"/>
        <w:rPr>
          <w:rFonts w:ascii="Times New Roman" w:hAnsi="Times New Roman" w:cs="TimesNewRomanPS-BoldMT"/>
        </w:rPr>
      </w:pPr>
      <w:r>
        <w:rPr>
          <w:rFonts w:ascii="Times New Roman" w:hAnsi="Times New Roman" w:cs="TimesNewRomanPS-BoldMT"/>
        </w:rPr>
        <w:t>Q.</w:t>
      </w:r>
      <w:r>
        <w:rPr>
          <w:rFonts w:ascii="Times New Roman" w:hAnsi="Times New Roman" w:cs="TimesNewRomanPS-BoldMT"/>
        </w:rPr>
        <w:tab/>
        <w:t>What do you propose that PacifiCorp do to help facilitate the transition from AARA-level low-income weatherization funding to post-expiration funding levels to make the transition as seamless as possible?</w:t>
      </w:r>
    </w:p>
    <w:p w:rsidR="001E3BD2" w:rsidRDefault="001E3BD2" w:rsidP="001E3BD2">
      <w:pPr>
        <w:widowControl w:val="0"/>
        <w:autoSpaceDE w:val="0"/>
        <w:autoSpaceDN w:val="0"/>
        <w:adjustRightInd w:val="0"/>
        <w:spacing w:line="480" w:lineRule="auto"/>
        <w:ind w:lef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t xml:space="preserve">I propose that the Company increase its funding levels to LIWA by $500,000, regardless of whatever rate increase the Commission might ultimately approve for PacifiCorp.  The agencies and the Company should meet quarterly to plan how best to allocate the funds and track their success. </w:t>
      </w:r>
    </w:p>
    <w:p w:rsidR="001E3BD2" w:rsidRPr="00B828B8" w:rsidRDefault="001E3BD2" w:rsidP="001E3BD2">
      <w:pPr>
        <w:widowControl w:val="0"/>
        <w:autoSpaceDE w:val="0"/>
        <w:autoSpaceDN w:val="0"/>
        <w:adjustRightInd w:val="0"/>
        <w:spacing w:line="480" w:lineRule="auto"/>
        <w:ind w:left="720" w:hanging="720"/>
        <w:jc w:val="center"/>
        <w:rPr>
          <w:rFonts w:ascii="Times New Roman" w:hAnsi="Times New Roman" w:cs="TimesNewRomanPS-BoldMT"/>
          <w:b/>
        </w:rPr>
      </w:pPr>
      <w:r>
        <w:rPr>
          <w:rFonts w:ascii="Times New Roman" w:hAnsi="Times New Roman" w:cs="TimesNewRomanPS-BoldMT"/>
          <w:b/>
        </w:rPr>
        <w:t>IV.</w:t>
      </w:r>
      <w:r>
        <w:rPr>
          <w:rFonts w:ascii="Times New Roman" w:hAnsi="Times New Roman" w:cs="TimesNewRomanPS-BoldMT"/>
          <w:b/>
        </w:rPr>
        <w:tab/>
        <w:t>CONCLUSION</w:t>
      </w:r>
    </w:p>
    <w:p w:rsidR="001E3BD2" w:rsidRPr="00927595" w:rsidRDefault="001E3BD2" w:rsidP="001E3BD2">
      <w:pPr>
        <w:widowControl w:val="0"/>
        <w:autoSpaceDE w:val="0"/>
        <w:autoSpaceDN w:val="0"/>
        <w:adjustRightInd w:val="0"/>
        <w:spacing w:line="480" w:lineRule="auto"/>
        <w:ind w:left="720" w:hanging="720"/>
        <w:rPr>
          <w:rFonts w:ascii="Times New Roman" w:hAnsi="Times New Roman" w:cs="TimesNewRomanPS-BoldMT"/>
        </w:rPr>
      </w:pPr>
      <w:r w:rsidRPr="00927595">
        <w:rPr>
          <w:rFonts w:ascii="Times New Roman" w:hAnsi="Times New Roman" w:cs="TimesNewRomanPS-BoldMT"/>
        </w:rPr>
        <w:t>Q.</w:t>
      </w:r>
      <w:r w:rsidRPr="00927595">
        <w:rPr>
          <w:rFonts w:ascii="Times New Roman" w:hAnsi="Times New Roman" w:cs="TimesNewRomanPS-BoldMT"/>
        </w:rPr>
        <w:tab/>
      </w:r>
      <w:r>
        <w:rPr>
          <w:rFonts w:ascii="Times New Roman" w:hAnsi="Times New Roman" w:cs="TimesNewRomanPS-BoldMT"/>
        </w:rPr>
        <w:t>Please summarize your testimony</w:t>
      </w:r>
      <w:r w:rsidRPr="00927595">
        <w:rPr>
          <w:rFonts w:ascii="Times New Roman" w:hAnsi="Times New Roman" w:cs="TimesNewRomanPS-BoldMT"/>
        </w:rPr>
        <w:t>.</w:t>
      </w:r>
    </w:p>
    <w:p w:rsidR="001E3BD2" w:rsidRDefault="001E3BD2" w:rsidP="001E3BD2">
      <w:pPr>
        <w:widowControl w:val="0"/>
        <w:autoSpaceDE w:val="0"/>
        <w:autoSpaceDN w:val="0"/>
        <w:adjustRightInd w:val="0"/>
        <w:spacing w:line="480" w:lineRule="auto"/>
        <w:ind w:lef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t>The Energy Project, on behalf of the three federally recognized anti-poverty agencies that provide energy efficiency and energy bill assistance in PacifiCorp’s service territory, recommends that:</w:t>
      </w:r>
    </w:p>
    <w:p w:rsidR="001E3BD2" w:rsidRDefault="001E3BD2" w:rsidP="001E3BD2">
      <w:pPr>
        <w:widowControl w:val="0"/>
        <w:autoSpaceDE w:val="0"/>
        <w:autoSpaceDN w:val="0"/>
        <w:adjustRightInd w:val="0"/>
        <w:spacing w:line="480" w:lineRule="auto"/>
        <w:ind w:left="720" w:firstLine="720"/>
        <w:rPr>
          <w:rFonts w:ascii="Times New Roman" w:hAnsi="Times New Roman" w:cs="TimesNewRomanPS-BoldMT"/>
        </w:rPr>
      </w:pPr>
      <w:r>
        <w:rPr>
          <w:rFonts w:ascii="Times New Roman" w:hAnsi="Times New Roman" w:cs="TimesNewRomanPS-BoldMT"/>
        </w:rPr>
        <w:t>1)</w:t>
      </w:r>
      <w:r>
        <w:rPr>
          <w:rFonts w:ascii="Times New Roman" w:hAnsi="Times New Roman" w:cs="TimesNewRomanPS-BoldMT"/>
        </w:rPr>
        <w:tab/>
        <w:t xml:space="preserve"> PacifiCorp increase funding for the LIBA program by $363,</w:t>
      </w:r>
      <w:r w:rsidR="001927E4">
        <w:rPr>
          <w:rFonts w:ascii="Times New Roman" w:hAnsi="Times New Roman" w:cs="TimesNewRomanPS-BoldMT"/>
        </w:rPr>
        <w:t>264 over existing levels</w:t>
      </w:r>
      <w:r>
        <w:rPr>
          <w:rFonts w:ascii="Times New Roman" w:hAnsi="Times New Roman" w:cs="TimesNewRomanPS-BoldMT"/>
        </w:rPr>
        <w:t xml:space="preserve"> to cover the impact of the </w:t>
      </w:r>
      <w:r w:rsidR="001927E4">
        <w:rPr>
          <w:rFonts w:ascii="Times New Roman" w:hAnsi="Times New Roman" w:cs="TimesNewRomanPS-BoldMT"/>
        </w:rPr>
        <w:t xml:space="preserve">21% </w:t>
      </w:r>
      <w:r>
        <w:rPr>
          <w:rFonts w:ascii="Times New Roman" w:hAnsi="Times New Roman" w:cs="TimesNewRomanPS-BoldMT"/>
        </w:rPr>
        <w:t>r</w:t>
      </w:r>
      <w:r w:rsidR="006561F1">
        <w:rPr>
          <w:rFonts w:ascii="Times New Roman" w:hAnsi="Times New Roman" w:cs="TimesNewRomanPS-BoldMT"/>
        </w:rPr>
        <w:t>ate increase, extend the program to include the number of participants that the Company has proposed, and cover the needed increase in the certification fee</w:t>
      </w:r>
      <w:r w:rsidR="001927E4">
        <w:rPr>
          <w:rFonts w:ascii="Times New Roman" w:hAnsi="Times New Roman" w:cs="TimesNewRomanPS-BoldMT"/>
        </w:rPr>
        <w:t xml:space="preserve"> and</w:t>
      </w:r>
      <w:r>
        <w:rPr>
          <w:rFonts w:ascii="Times New Roman" w:hAnsi="Times New Roman" w:cs="TimesNewRomanPS-BoldMT"/>
        </w:rPr>
        <w:t>;</w:t>
      </w:r>
    </w:p>
    <w:p w:rsidR="001E3BD2" w:rsidRDefault="001E3BD2" w:rsidP="001E3BD2">
      <w:pPr>
        <w:widowControl w:val="0"/>
        <w:autoSpaceDE w:val="0"/>
        <w:autoSpaceDN w:val="0"/>
        <w:adjustRightInd w:val="0"/>
        <w:spacing w:line="480" w:lineRule="auto"/>
        <w:ind w:left="720" w:firstLine="720"/>
        <w:rPr>
          <w:rFonts w:ascii="Times New Roman" w:hAnsi="Times New Roman" w:cs="TimesNewRomanPS-BoldMT"/>
        </w:rPr>
      </w:pPr>
      <w:r>
        <w:rPr>
          <w:rFonts w:ascii="Times New Roman" w:hAnsi="Times New Roman" w:cs="TimesNewRomanPS-BoldMT"/>
        </w:rPr>
        <w:t>2)</w:t>
      </w:r>
      <w:r>
        <w:rPr>
          <w:rFonts w:ascii="Times New Roman" w:hAnsi="Times New Roman" w:cs="TimesNewRomanPS-BoldMT"/>
        </w:rPr>
        <w:tab/>
        <w:t>That certification for eligibility in the LIBA program continue to operate on an annual certification basis</w:t>
      </w:r>
      <w:r w:rsidR="00B819F0">
        <w:rPr>
          <w:rFonts w:ascii="Times New Roman" w:hAnsi="Times New Roman" w:cs="TimesNewRomanPS-BoldMT"/>
        </w:rPr>
        <w:t>;</w:t>
      </w:r>
      <w:r>
        <w:rPr>
          <w:rFonts w:ascii="Times New Roman" w:hAnsi="Times New Roman" w:cs="TimesNewRomanPS-BoldMT"/>
        </w:rPr>
        <w:t xml:space="preserve"> </w:t>
      </w:r>
    </w:p>
    <w:p w:rsidR="001E3BD2" w:rsidRDefault="001E3BD2" w:rsidP="001E3BD2">
      <w:pPr>
        <w:widowControl w:val="0"/>
        <w:autoSpaceDE w:val="0"/>
        <w:autoSpaceDN w:val="0"/>
        <w:adjustRightInd w:val="0"/>
        <w:spacing w:line="480" w:lineRule="auto"/>
        <w:ind w:left="720" w:firstLine="720"/>
        <w:rPr>
          <w:rFonts w:ascii="Times New Roman" w:hAnsi="Times New Roman" w:cs="TimesNewRomanPS-BoldMT"/>
        </w:rPr>
      </w:pPr>
      <w:r>
        <w:rPr>
          <w:rFonts w:ascii="Times New Roman" w:hAnsi="Times New Roman" w:cs="TimesNewRomanPS-BoldMT"/>
        </w:rPr>
        <w:t>3)</w:t>
      </w:r>
      <w:r>
        <w:rPr>
          <w:rFonts w:ascii="Times New Roman" w:hAnsi="Times New Roman" w:cs="TimesNewRomanPS-BoldMT"/>
        </w:rPr>
        <w:tab/>
        <w:t xml:space="preserve">That the Commission reject any increase to the monthly base </w:t>
      </w:r>
      <w:r>
        <w:rPr>
          <w:rFonts w:ascii="Times New Roman" w:hAnsi="Times New Roman" w:cs="TimesNewRomanPS-BoldMT"/>
        </w:rPr>
        <w:lastRenderedPageBreak/>
        <w:t>charge, and</w:t>
      </w:r>
      <w:r w:rsidR="00B819F0">
        <w:rPr>
          <w:rFonts w:ascii="Times New Roman" w:hAnsi="Times New Roman" w:cs="TimesNewRomanPS-BoldMT"/>
        </w:rPr>
        <w:t>;</w:t>
      </w:r>
      <w:r>
        <w:rPr>
          <w:rFonts w:ascii="Times New Roman" w:hAnsi="Times New Roman" w:cs="TimesNewRomanPS-BoldMT"/>
        </w:rPr>
        <w:t xml:space="preserve"> </w:t>
      </w:r>
    </w:p>
    <w:p w:rsidR="001E3BD2" w:rsidRPr="009446CD" w:rsidRDefault="001E3BD2" w:rsidP="001E3BD2">
      <w:pPr>
        <w:widowControl w:val="0"/>
        <w:autoSpaceDE w:val="0"/>
        <w:autoSpaceDN w:val="0"/>
        <w:adjustRightInd w:val="0"/>
        <w:spacing w:line="480" w:lineRule="auto"/>
        <w:ind w:left="720" w:firstLine="720"/>
        <w:rPr>
          <w:rFonts w:ascii="Times New Roman" w:hAnsi="Times New Roman" w:cs="TimesNewRomanPS-BoldMT"/>
          <w:b/>
          <w:color w:val="FF0000"/>
        </w:rPr>
      </w:pPr>
      <w:r>
        <w:rPr>
          <w:rFonts w:ascii="Times New Roman" w:hAnsi="Times New Roman" w:cs="TimesNewRomanPS-BoldMT"/>
        </w:rPr>
        <w:t>4)</w:t>
      </w:r>
      <w:r>
        <w:rPr>
          <w:rFonts w:ascii="Times New Roman" w:hAnsi="Times New Roman" w:cs="TimesNewRomanPS-BoldMT"/>
        </w:rPr>
        <w:tab/>
        <w:t xml:space="preserve">That the Company increase </w:t>
      </w:r>
      <w:r w:rsidR="006561F1">
        <w:rPr>
          <w:rFonts w:ascii="Times New Roman" w:hAnsi="Times New Roman" w:cs="TimesNewRomanPS-BoldMT"/>
        </w:rPr>
        <w:t>their</w:t>
      </w:r>
      <w:r>
        <w:rPr>
          <w:rFonts w:ascii="Times New Roman" w:hAnsi="Times New Roman" w:cs="TimesNewRomanPS-BoldMT"/>
        </w:rPr>
        <w:t xml:space="preserve"> funding for low-income energy efficiency by 50%, or approximately $500,000, to maintain the increased production capacity to capture cost-effective energy savings that the providing agencies have achieved over the last two years. </w:t>
      </w:r>
    </w:p>
    <w:p w:rsidR="001E3BD2" w:rsidRPr="00927595" w:rsidRDefault="001E3BD2" w:rsidP="001E3BD2">
      <w:pPr>
        <w:widowControl w:val="0"/>
        <w:autoSpaceDE w:val="0"/>
        <w:autoSpaceDN w:val="0"/>
        <w:adjustRightInd w:val="0"/>
        <w:spacing w:line="480" w:lineRule="auto"/>
        <w:ind w:left="720" w:hanging="720"/>
        <w:rPr>
          <w:rFonts w:ascii="Times New Roman" w:hAnsi="Times New Roman" w:cs="TimesNewRomanPS-BoldMT"/>
        </w:rPr>
      </w:pPr>
      <w:r w:rsidRPr="00927595">
        <w:rPr>
          <w:rFonts w:ascii="Times New Roman" w:hAnsi="Times New Roman" w:cs="TimesNewRomanPS-BoldMT"/>
        </w:rPr>
        <w:t>Q.</w:t>
      </w:r>
      <w:r w:rsidRPr="00927595">
        <w:rPr>
          <w:rFonts w:ascii="Times New Roman" w:hAnsi="Times New Roman" w:cs="TimesNewRomanPS-BoldMT"/>
        </w:rPr>
        <w:tab/>
        <w:t>Does that conclude your testimony?</w:t>
      </w:r>
    </w:p>
    <w:p w:rsidR="00C44448" w:rsidRDefault="001E3BD2" w:rsidP="001E3BD2">
      <w:pPr>
        <w:widowControl w:val="0"/>
        <w:autoSpaceDE w:val="0"/>
        <w:autoSpaceDN w:val="0"/>
        <w:adjustRightInd w:val="0"/>
        <w:spacing w:line="480" w:lineRule="auto"/>
        <w:ind w:lef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t xml:space="preserve"> Yes, it does.</w:t>
      </w:r>
    </w:p>
    <w:p w:rsidR="00D76EDF" w:rsidRDefault="002E4706" w:rsidP="00D76EDF">
      <w:pPr>
        <w:jc w:val="center"/>
      </w:pPr>
      <w:r>
        <w:rPr>
          <w:rFonts w:ascii="Times New Roman" w:hAnsi="Times New Roman" w:cs="TimesNewRomanPS-BoldMT"/>
        </w:rPr>
        <w:br w:type="page"/>
      </w:r>
      <w:r w:rsidR="00D76EDF">
        <w:lastRenderedPageBreak/>
        <w:t>CERTIFICATE OF SERVICE</w:t>
      </w:r>
    </w:p>
    <w:p w:rsidR="00D76EDF" w:rsidRDefault="00D76EDF" w:rsidP="00D76EDF"/>
    <w:p w:rsidR="00D76EDF" w:rsidRDefault="00D76EDF" w:rsidP="000B2A32">
      <w:r>
        <w:tab/>
        <w:t xml:space="preserve">I hereby certify that on the </w:t>
      </w:r>
      <w:r w:rsidR="000B2A32">
        <w:t>5th</w:t>
      </w:r>
      <w:r>
        <w:t xml:space="preserve"> day of </w:t>
      </w:r>
      <w:r w:rsidR="000B2A32">
        <w:t>October</w:t>
      </w:r>
      <w:r>
        <w:t>, 2009, I served the foregoing document</w:t>
      </w:r>
      <w:r w:rsidR="00CD1709">
        <w:t>(s)</w:t>
      </w:r>
      <w:r>
        <w:t xml:space="preserve"> on the following individuals via email and U.S. Mail at the addresses shown.</w:t>
      </w:r>
    </w:p>
    <w:p w:rsidR="000B2A32" w:rsidRDefault="000B2A32" w:rsidP="00D76EDF"/>
    <w:p w:rsidR="00D76EDF" w:rsidRDefault="00D76EDF" w:rsidP="00D76EDF">
      <w:r>
        <w:t>WUTC</w:t>
      </w:r>
    </w:p>
    <w:p w:rsidR="00D76EDF" w:rsidRDefault="00D76EDF" w:rsidP="00D76EDF">
      <w:r>
        <w:t>Records Center</w:t>
      </w:r>
    </w:p>
    <w:p w:rsidR="00D76EDF" w:rsidRDefault="00D76EDF" w:rsidP="00D76EDF">
      <w:r>
        <w:t>1300 S. Evergreen Dr. SW</w:t>
      </w:r>
    </w:p>
    <w:p w:rsidR="00D76EDF" w:rsidRDefault="00D76EDF" w:rsidP="00D76EDF">
      <w:r>
        <w:t>Olympia, WA 98504-7250</w:t>
      </w:r>
    </w:p>
    <w:p w:rsidR="00D76EDF" w:rsidRDefault="00357BA2" w:rsidP="00D76EDF">
      <w:hyperlink r:id="rId6" w:history="1">
        <w:r w:rsidR="00D76EDF" w:rsidRPr="00435AC8">
          <w:rPr>
            <w:rStyle w:val="Hyperlink"/>
          </w:rPr>
          <w:t>records@utc.wa.gov</w:t>
        </w:r>
      </w:hyperlink>
    </w:p>
    <w:p w:rsidR="00D76EDF" w:rsidRDefault="00D76EDF" w:rsidP="00D76EDF"/>
    <w:p w:rsidR="00D76EDF" w:rsidRDefault="00E21F7E" w:rsidP="00D76EDF">
      <w:r>
        <w:t>Katherine A. McDowell</w:t>
      </w:r>
    </w:p>
    <w:p w:rsidR="00E21F7E" w:rsidRDefault="00E21F7E" w:rsidP="00D76EDF">
      <w:r>
        <w:t>McDowall Rackner &amp; Gibson</w:t>
      </w:r>
    </w:p>
    <w:p w:rsidR="00E21F7E" w:rsidRDefault="00E21F7E" w:rsidP="00D76EDF">
      <w:r>
        <w:t>520 SW 6</w:t>
      </w:r>
      <w:r w:rsidRPr="00E21F7E">
        <w:rPr>
          <w:vertAlign w:val="superscript"/>
        </w:rPr>
        <w:t>th</w:t>
      </w:r>
      <w:r>
        <w:t xml:space="preserve"> Avenue, Suite 830</w:t>
      </w:r>
    </w:p>
    <w:p w:rsidR="00E21F7E" w:rsidRDefault="00E21F7E" w:rsidP="00D76EDF">
      <w:r>
        <w:t>Portland, OR  97204</w:t>
      </w:r>
    </w:p>
    <w:p w:rsidR="00E21F7E" w:rsidRDefault="00E21F7E" w:rsidP="00D76EDF"/>
    <w:p w:rsidR="00E21F7E" w:rsidRDefault="00E21F7E" w:rsidP="00D76EDF">
      <w:r>
        <w:t>Donald T. Trotter</w:t>
      </w:r>
    </w:p>
    <w:p w:rsidR="00E21F7E" w:rsidRDefault="00E21F7E" w:rsidP="00D76EDF">
      <w:r>
        <w:t>Assistant Attorney General</w:t>
      </w:r>
    </w:p>
    <w:p w:rsidR="00E21F7E" w:rsidRDefault="00E21F7E" w:rsidP="00D76EDF">
      <w:r>
        <w:t>1400 S. Evergreen Park Dr. SW</w:t>
      </w:r>
    </w:p>
    <w:p w:rsidR="00E21F7E" w:rsidRDefault="00E21F7E" w:rsidP="00D76EDF">
      <w:r>
        <w:t>P.O. Box 40128</w:t>
      </w:r>
    </w:p>
    <w:p w:rsidR="00E21F7E" w:rsidRDefault="00E21F7E" w:rsidP="00D76EDF">
      <w:r>
        <w:t>Olympia, WA 985041111-3188</w:t>
      </w:r>
    </w:p>
    <w:p w:rsidR="00E21F7E" w:rsidRDefault="00E21F7E" w:rsidP="00D76EDF"/>
    <w:p w:rsidR="00E21F7E" w:rsidRDefault="00E21F7E" w:rsidP="00D76EDF">
      <w:r>
        <w:t>Sarah Shifley</w:t>
      </w:r>
    </w:p>
    <w:p w:rsidR="00E21F7E" w:rsidRDefault="00E21F7E" w:rsidP="00D76EDF">
      <w:r>
        <w:t>Public Counsel Section</w:t>
      </w:r>
    </w:p>
    <w:p w:rsidR="00E21F7E" w:rsidRDefault="00E21F7E" w:rsidP="00D76EDF">
      <w:r>
        <w:t>Office of Attorney General</w:t>
      </w:r>
    </w:p>
    <w:p w:rsidR="00E21F7E" w:rsidRDefault="00E21F7E" w:rsidP="00D76EDF">
      <w:r>
        <w:t>800 Fifth Avenue, Suite 2000</w:t>
      </w:r>
    </w:p>
    <w:p w:rsidR="00E21F7E" w:rsidRDefault="00E21F7E" w:rsidP="00D76EDF">
      <w:r>
        <w:t>Seattle, WA 98104-3188</w:t>
      </w:r>
    </w:p>
    <w:p w:rsidR="00E21F7E" w:rsidRDefault="00E21F7E" w:rsidP="00D76EDF"/>
    <w:p w:rsidR="00E21F7E" w:rsidRDefault="00E21F7E" w:rsidP="00D76EDF">
      <w:r>
        <w:t>Arthur A. Butler</w:t>
      </w:r>
    </w:p>
    <w:p w:rsidR="00E21F7E" w:rsidRDefault="00E21F7E" w:rsidP="00D76EDF">
      <w:r>
        <w:t>Ater Wynne LLP</w:t>
      </w:r>
    </w:p>
    <w:p w:rsidR="00E21F7E" w:rsidRDefault="00E21F7E" w:rsidP="00D76EDF">
      <w:r>
        <w:t>601 Union Street, Suite 1501</w:t>
      </w:r>
    </w:p>
    <w:p w:rsidR="00E21F7E" w:rsidRDefault="00E21F7E" w:rsidP="00D76EDF">
      <w:r>
        <w:t>Seattle, WA  98101-3981</w:t>
      </w:r>
    </w:p>
    <w:p w:rsidR="00E21F7E" w:rsidRDefault="00E21F7E" w:rsidP="00D76EDF"/>
    <w:p w:rsidR="00E21F7E" w:rsidRDefault="00E21F7E" w:rsidP="00D76EDF">
      <w:r>
        <w:t>Judith Kim</w:t>
      </w:r>
    </w:p>
    <w:p w:rsidR="00E21F7E" w:rsidRDefault="00E21F7E" w:rsidP="00D76EDF">
      <w:r>
        <w:t>2001 S.E. 10</w:t>
      </w:r>
      <w:r w:rsidRPr="00E21F7E">
        <w:rPr>
          <w:vertAlign w:val="superscript"/>
        </w:rPr>
        <w:t>th</w:t>
      </w:r>
      <w:r>
        <w:t xml:space="preserve"> St.</w:t>
      </w:r>
    </w:p>
    <w:p w:rsidR="00E21F7E" w:rsidRDefault="00E21F7E" w:rsidP="00D76EDF">
      <w:r>
        <w:t>Wal-Mart U.S. Legal</w:t>
      </w:r>
    </w:p>
    <w:p w:rsidR="00E21F7E" w:rsidRDefault="00E21F7E" w:rsidP="00D76EDF">
      <w:r>
        <w:t>Dept. #8989</w:t>
      </w:r>
    </w:p>
    <w:p w:rsidR="00E21F7E" w:rsidRDefault="00E21F7E" w:rsidP="00D76EDF">
      <w:r>
        <w:t>Bentonville, AR  727716-0550</w:t>
      </w:r>
    </w:p>
    <w:p w:rsidR="00E21F7E" w:rsidRDefault="00E21F7E" w:rsidP="00D76EDF"/>
    <w:p w:rsidR="00E21F7E" w:rsidRDefault="00E21F7E" w:rsidP="00D76EDF">
      <w:r>
        <w:t>Irion Sanger &amp; Melinda Davison</w:t>
      </w:r>
    </w:p>
    <w:p w:rsidR="00E21F7E" w:rsidRDefault="00E21F7E" w:rsidP="00D76EDF">
      <w:r>
        <w:t>Davison Van Cleve, P.C.</w:t>
      </w:r>
    </w:p>
    <w:p w:rsidR="00E21F7E" w:rsidRDefault="00E21F7E" w:rsidP="00D76EDF">
      <w:r>
        <w:t>333 S.W. Taylor, Suite 400</w:t>
      </w:r>
    </w:p>
    <w:p w:rsidR="00E21F7E" w:rsidRDefault="00E21F7E" w:rsidP="00D76EDF">
      <w:r>
        <w:t>Portland, OR  97204</w:t>
      </w:r>
    </w:p>
    <w:p w:rsidR="00D76EDF" w:rsidRDefault="00D76EDF" w:rsidP="00D76EDF"/>
    <w:p w:rsidR="00D76EDF" w:rsidRDefault="00D76EDF" w:rsidP="00D76EDF"/>
    <w:p w:rsidR="00D76EDF" w:rsidRDefault="00D76EDF" w:rsidP="00D76EDF">
      <w:r>
        <w:lastRenderedPageBreak/>
        <w:tab/>
      </w:r>
      <w:r>
        <w:tab/>
      </w:r>
      <w:r>
        <w:tab/>
      </w:r>
      <w:r>
        <w:tab/>
      </w:r>
    </w:p>
    <w:p w:rsidR="00D76EDF" w:rsidRDefault="00D76EDF" w:rsidP="00D76EDF">
      <w:r>
        <w:tab/>
      </w:r>
      <w:r>
        <w:tab/>
      </w:r>
      <w:r>
        <w:tab/>
      </w:r>
      <w:r>
        <w:tab/>
      </w:r>
      <w:r>
        <w:tab/>
      </w:r>
      <w:r>
        <w:tab/>
      </w:r>
      <w:r>
        <w:tab/>
        <w:t>______________________________</w:t>
      </w:r>
    </w:p>
    <w:p w:rsidR="00D76EDF" w:rsidRDefault="00D76EDF" w:rsidP="00D76EDF">
      <w:r>
        <w:tab/>
      </w:r>
      <w:r>
        <w:tab/>
      </w:r>
      <w:r>
        <w:tab/>
      </w:r>
      <w:r>
        <w:tab/>
      </w:r>
      <w:r>
        <w:tab/>
      </w:r>
      <w:r>
        <w:tab/>
      </w:r>
      <w:r>
        <w:tab/>
        <w:t>Brad M. Purdy</w:t>
      </w:r>
    </w:p>
    <w:p w:rsidR="00D76EDF" w:rsidRDefault="00D76EDF" w:rsidP="00D76EDF">
      <w:r>
        <w:tab/>
      </w:r>
      <w:r>
        <w:tab/>
      </w:r>
      <w:r>
        <w:tab/>
      </w:r>
      <w:r>
        <w:tab/>
      </w:r>
      <w:r>
        <w:tab/>
      </w:r>
      <w:r>
        <w:tab/>
      </w:r>
      <w:r>
        <w:tab/>
        <w:t>Attorney for the Energy Project</w:t>
      </w:r>
    </w:p>
    <w:p w:rsidR="00D76EDF" w:rsidRDefault="00D76EDF" w:rsidP="00D76EDF"/>
    <w:p w:rsidR="00C44448" w:rsidRDefault="00D76EDF" w:rsidP="00D76EDF">
      <w:pPr>
        <w:widowControl w:val="0"/>
        <w:autoSpaceDE w:val="0"/>
        <w:autoSpaceDN w:val="0"/>
        <w:adjustRightInd w:val="0"/>
        <w:spacing w:line="480" w:lineRule="auto"/>
        <w:ind w:left="720" w:hanging="720"/>
        <w:jc w:val="center"/>
        <w:rPr>
          <w:rFonts w:ascii="Times New Roman" w:hAnsi="Times New Roman" w:cs="TimesNewRomanPS-BoldMT"/>
          <w:b/>
        </w:rPr>
      </w:pPr>
      <w:r>
        <w:rPr>
          <w:rFonts w:ascii="Times New Roman" w:hAnsi="Times New Roman" w:cs="TimesNewRomanPS-BoldMT"/>
          <w:b/>
        </w:rPr>
        <w:t xml:space="preserve"> </w:t>
      </w:r>
    </w:p>
    <w:p w:rsidR="00C44448" w:rsidRDefault="00C44448" w:rsidP="00B85259">
      <w:pPr>
        <w:widowControl w:val="0"/>
        <w:autoSpaceDE w:val="0"/>
        <w:autoSpaceDN w:val="0"/>
        <w:adjustRightInd w:val="0"/>
        <w:spacing w:line="480" w:lineRule="auto"/>
        <w:ind w:left="720" w:hanging="720"/>
        <w:jc w:val="center"/>
        <w:rPr>
          <w:rFonts w:ascii="Times New Roman" w:hAnsi="Times New Roman" w:cs="TimesNewRomanPS-BoldMT"/>
          <w:b/>
        </w:rPr>
      </w:pPr>
    </w:p>
    <w:p w:rsidR="00B828B8" w:rsidRPr="00B828B8" w:rsidRDefault="00B828B8" w:rsidP="00B828B8">
      <w:pPr>
        <w:spacing w:line="480" w:lineRule="auto"/>
        <w:ind w:left="720" w:hanging="720"/>
        <w:rPr>
          <w:rFonts w:ascii="Times New Roman" w:hAnsi="Times New Roman"/>
          <w:b/>
        </w:rPr>
      </w:pPr>
    </w:p>
    <w:sectPr w:rsidR="00B828B8" w:rsidRPr="00B828B8" w:rsidSect="001D3843">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lnNumType w:countBy="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10" w:rsidRDefault="001E7010" w:rsidP="00956EE4">
      <w:r>
        <w:separator/>
      </w:r>
    </w:p>
  </w:endnote>
  <w:endnote w:type="continuationSeparator" w:id="0">
    <w:p w:rsidR="001E7010" w:rsidRDefault="001E7010" w:rsidP="00956EE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E" w:rsidRDefault="00357BA2" w:rsidP="001D3843">
    <w:pPr>
      <w:pStyle w:val="Footer"/>
      <w:framePr w:wrap="around" w:vAnchor="text" w:hAnchor="margin" w:xAlign="right" w:y="1"/>
      <w:rPr>
        <w:rStyle w:val="PageNumber"/>
      </w:rPr>
    </w:pPr>
    <w:r>
      <w:rPr>
        <w:rStyle w:val="PageNumber"/>
      </w:rPr>
      <w:fldChar w:fldCharType="begin"/>
    </w:r>
    <w:r w:rsidR="00E21F7E">
      <w:rPr>
        <w:rStyle w:val="PageNumber"/>
      </w:rPr>
      <w:instrText xml:space="preserve">PAGE  </w:instrText>
    </w:r>
    <w:r>
      <w:rPr>
        <w:rStyle w:val="PageNumber"/>
      </w:rPr>
      <w:fldChar w:fldCharType="end"/>
    </w:r>
  </w:p>
  <w:p w:rsidR="00E21F7E" w:rsidRDefault="00E21F7E" w:rsidP="002C3D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6843"/>
      <w:docPartObj>
        <w:docPartGallery w:val="Page Numbers (Bottom of Page)"/>
        <w:docPartUnique/>
      </w:docPartObj>
    </w:sdtPr>
    <w:sdtContent>
      <w:p w:rsidR="00E21F7E" w:rsidRDefault="0027590B" w:rsidP="002C4A32">
        <w:pPr>
          <w:pStyle w:val="Footer"/>
        </w:pPr>
        <w:r>
          <w:t xml:space="preserve">PREFILED </w:t>
        </w:r>
        <w:r w:rsidR="00E21F7E">
          <w:t>DIRECT TESTIMONY OF CHARLES M. EBERDT</w:t>
        </w:r>
        <w:r w:rsidR="00E21F7E">
          <w:tab/>
        </w:r>
        <w:fldSimple w:instr=" PAGE   \* MERGEFORMAT ">
          <w:r>
            <w:rPr>
              <w:noProof/>
            </w:rPr>
            <w:t>3</w:t>
          </w:r>
        </w:fldSimple>
      </w:p>
    </w:sdtContent>
  </w:sdt>
  <w:p w:rsidR="00E21F7E" w:rsidRDefault="00E21F7E" w:rsidP="002C3D21">
    <w:pPr>
      <w:pStyle w:val="Head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E" w:rsidRDefault="00E21F7E" w:rsidP="00A45642">
    <w:pPr>
      <w:pStyle w:val="Footer"/>
      <w:tabs>
        <w:tab w:val="clear" w:pos="4320"/>
        <w:tab w:val="left" w:pos="774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10" w:rsidRDefault="001E7010" w:rsidP="00956EE4">
      <w:r>
        <w:separator/>
      </w:r>
    </w:p>
  </w:footnote>
  <w:footnote w:type="continuationSeparator" w:id="0">
    <w:p w:rsidR="001E7010" w:rsidRDefault="001E7010" w:rsidP="00956EE4">
      <w:r>
        <w:continuationSeparator/>
      </w:r>
    </w:p>
  </w:footnote>
  <w:footnote w:id="1">
    <w:p w:rsidR="00E21F7E" w:rsidRDefault="00E21F7E" w:rsidP="00C44448">
      <w:pPr>
        <w:pStyle w:val="FootnoteText"/>
      </w:pPr>
      <w:r>
        <w:rPr>
          <w:rStyle w:val="FootnoteReference"/>
        </w:rPr>
        <w:footnoteRef/>
      </w:r>
      <w:r>
        <w:t xml:space="preserve"> Avista Low-Income Rate Assistance Program (LIRAP): Annual Summary Report, For the period May 2008 through April 2009, p. 2.  The same report for the following year cites approximately the same average ($554.53) for the 2009-2010 program year on p. 6.</w:t>
      </w:r>
    </w:p>
  </w:footnote>
  <w:footnote w:id="2">
    <w:p w:rsidR="00E21F7E" w:rsidRDefault="00E21F7E" w:rsidP="00C44448">
      <w:pPr>
        <w:pStyle w:val="FootnoteText"/>
      </w:pPr>
      <w:r>
        <w:rPr>
          <w:rStyle w:val="FootnoteReference"/>
        </w:rPr>
        <w:footnoteRef/>
      </w:r>
      <w:r>
        <w:t xml:space="preserve"> Personal correspondence with Suzanne Hanson, PSE Program Manager. </w:t>
      </w:r>
    </w:p>
  </w:footnote>
  <w:footnote w:id="3">
    <w:p w:rsidR="00E21F7E" w:rsidRDefault="00E21F7E" w:rsidP="00C44448">
      <w:pPr>
        <w:pStyle w:val="FootnoteText"/>
      </w:pPr>
      <w:r>
        <w:rPr>
          <w:rStyle w:val="FootnoteReference"/>
        </w:rPr>
        <w:footnoteRef/>
      </w:r>
      <w:r>
        <w:t xml:space="preserve"> Direct Testimony of William R. Griffith, Exhibit No. WRG-1T, p. 4:13-20.</w:t>
      </w:r>
    </w:p>
  </w:footnote>
  <w:footnote w:id="4">
    <w:p w:rsidR="00E21F7E" w:rsidRPr="002255B7" w:rsidRDefault="00E21F7E" w:rsidP="00C44448">
      <w:pPr>
        <w:pStyle w:val="FootnoteText"/>
      </w:pPr>
      <w:r>
        <w:rPr>
          <w:rStyle w:val="FootnoteReference"/>
        </w:rPr>
        <w:footnoteRef/>
      </w:r>
      <w:r>
        <w:t xml:space="preserve"> </w:t>
      </w:r>
      <w:r>
        <w:rPr>
          <w:i/>
        </w:rPr>
        <w:t>WUTC v. Washington Water Power</w:t>
      </w:r>
      <w:r>
        <w:t>, Docket No. UG-901459, Third Supplemental Order, p. 4.</w:t>
      </w:r>
    </w:p>
  </w:footnote>
  <w:footnote w:id="5">
    <w:p w:rsidR="00E21F7E" w:rsidRDefault="00E21F7E" w:rsidP="00C44448">
      <w:pPr>
        <w:pStyle w:val="FootnoteText"/>
      </w:pPr>
      <w:r>
        <w:rPr>
          <w:rStyle w:val="FootnoteReference"/>
        </w:rPr>
        <w:footnoteRef/>
      </w:r>
      <w:r>
        <w:t xml:space="preserve"> Docket No. UG-901459, Third Supplemental Order, p. 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E" w:rsidRDefault="00E21F7E">
    <w:pPr>
      <w:pStyle w:val="Header"/>
    </w:pPr>
    <w:r>
      <w:tab/>
    </w:r>
    <w:r>
      <w:tab/>
      <w:t>Exhibit No. ___ CME-1T</w:t>
    </w:r>
  </w:p>
  <w:p w:rsidR="00E21F7E" w:rsidRDefault="00E21F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E" w:rsidRDefault="00E21F7E">
    <w:pPr>
      <w:pStyle w:val="Header"/>
    </w:pPr>
    <w:r>
      <w:tab/>
    </w:r>
    <w:r>
      <w:tab/>
      <w:t>Exhibit No. ___ CME-1T</w:t>
    </w:r>
  </w:p>
  <w:p w:rsidR="00E21F7E" w:rsidRDefault="00E21F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95C94"/>
    <w:rsid w:val="000023D0"/>
    <w:rsid w:val="0002457C"/>
    <w:rsid w:val="00031AB8"/>
    <w:rsid w:val="00032CCE"/>
    <w:rsid w:val="00055663"/>
    <w:rsid w:val="0009487B"/>
    <w:rsid w:val="00096F38"/>
    <w:rsid w:val="000A4909"/>
    <w:rsid w:val="000B2A32"/>
    <w:rsid w:val="000B7773"/>
    <w:rsid w:val="000D2DC3"/>
    <w:rsid w:val="000D3F78"/>
    <w:rsid w:val="001105F5"/>
    <w:rsid w:val="00114A84"/>
    <w:rsid w:val="00121DD2"/>
    <w:rsid w:val="00150C69"/>
    <w:rsid w:val="00160D89"/>
    <w:rsid w:val="00164E3D"/>
    <w:rsid w:val="00191E49"/>
    <w:rsid w:val="001927E4"/>
    <w:rsid w:val="001D2A14"/>
    <w:rsid w:val="001D2E39"/>
    <w:rsid w:val="001D3843"/>
    <w:rsid w:val="001E26AE"/>
    <w:rsid w:val="001E3BD2"/>
    <w:rsid w:val="001E7010"/>
    <w:rsid w:val="00212CA3"/>
    <w:rsid w:val="00214956"/>
    <w:rsid w:val="00217214"/>
    <w:rsid w:val="00233709"/>
    <w:rsid w:val="0027590B"/>
    <w:rsid w:val="00275B32"/>
    <w:rsid w:val="002800B8"/>
    <w:rsid w:val="00295C94"/>
    <w:rsid w:val="00296C37"/>
    <w:rsid w:val="002A3962"/>
    <w:rsid w:val="002B4EB6"/>
    <w:rsid w:val="002C11C3"/>
    <w:rsid w:val="002C3D21"/>
    <w:rsid w:val="002C4A32"/>
    <w:rsid w:val="002D137E"/>
    <w:rsid w:val="002E4706"/>
    <w:rsid w:val="002E6B62"/>
    <w:rsid w:val="002E7A60"/>
    <w:rsid w:val="002F35ED"/>
    <w:rsid w:val="002F783D"/>
    <w:rsid w:val="00300110"/>
    <w:rsid w:val="00307FBF"/>
    <w:rsid w:val="00321453"/>
    <w:rsid w:val="00321642"/>
    <w:rsid w:val="00323873"/>
    <w:rsid w:val="003254F6"/>
    <w:rsid w:val="00357BA2"/>
    <w:rsid w:val="003674F4"/>
    <w:rsid w:val="00370986"/>
    <w:rsid w:val="003B4EB9"/>
    <w:rsid w:val="003D46C2"/>
    <w:rsid w:val="003E706D"/>
    <w:rsid w:val="003F0B79"/>
    <w:rsid w:val="003F1E83"/>
    <w:rsid w:val="00404C64"/>
    <w:rsid w:val="004105E5"/>
    <w:rsid w:val="00435106"/>
    <w:rsid w:val="00454686"/>
    <w:rsid w:val="004577E6"/>
    <w:rsid w:val="00465822"/>
    <w:rsid w:val="00471A18"/>
    <w:rsid w:val="00483A1B"/>
    <w:rsid w:val="004C74A3"/>
    <w:rsid w:val="0050068E"/>
    <w:rsid w:val="00524073"/>
    <w:rsid w:val="00544CB6"/>
    <w:rsid w:val="00564FB4"/>
    <w:rsid w:val="0056691F"/>
    <w:rsid w:val="00570500"/>
    <w:rsid w:val="005A06C9"/>
    <w:rsid w:val="005A46AE"/>
    <w:rsid w:val="005C6537"/>
    <w:rsid w:val="005C66C2"/>
    <w:rsid w:val="005C7930"/>
    <w:rsid w:val="005D7B3D"/>
    <w:rsid w:val="005E185A"/>
    <w:rsid w:val="005F1451"/>
    <w:rsid w:val="00623B5A"/>
    <w:rsid w:val="006306ED"/>
    <w:rsid w:val="006479C0"/>
    <w:rsid w:val="006561F1"/>
    <w:rsid w:val="0066035E"/>
    <w:rsid w:val="006A13DB"/>
    <w:rsid w:val="006A30B2"/>
    <w:rsid w:val="006A6771"/>
    <w:rsid w:val="006D4F42"/>
    <w:rsid w:val="006D6661"/>
    <w:rsid w:val="006E627C"/>
    <w:rsid w:val="006F2E8E"/>
    <w:rsid w:val="0071571D"/>
    <w:rsid w:val="00716D32"/>
    <w:rsid w:val="007231D6"/>
    <w:rsid w:val="00731AFB"/>
    <w:rsid w:val="0074217F"/>
    <w:rsid w:val="00742190"/>
    <w:rsid w:val="0074792C"/>
    <w:rsid w:val="00787CEE"/>
    <w:rsid w:val="007D1A03"/>
    <w:rsid w:val="007D3863"/>
    <w:rsid w:val="007D7C27"/>
    <w:rsid w:val="007F0844"/>
    <w:rsid w:val="007F6DAA"/>
    <w:rsid w:val="007F7791"/>
    <w:rsid w:val="00804268"/>
    <w:rsid w:val="008327F7"/>
    <w:rsid w:val="008358B4"/>
    <w:rsid w:val="00856EF3"/>
    <w:rsid w:val="00874495"/>
    <w:rsid w:val="008757B3"/>
    <w:rsid w:val="00875F3F"/>
    <w:rsid w:val="008A1D09"/>
    <w:rsid w:val="008A344E"/>
    <w:rsid w:val="008C6378"/>
    <w:rsid w:val="008D0F00"/>
    <w:rsid w:val="008E7259"/>
    <w:rsid w:val="00927595"/>
    <w:rsid w:val="00936038"/>
    <w:rsid w:val="00936C32"/>
    <w:rsid w:val="00956EE4"/>
    <w:rsid w:val="00962BE9"/>
    <w:rsid w:val="00975282"/>
    <w:rsid w:val="00997A95"/>
    <w:rsid w:val="009A1B83"/>
    <w:rsid w:val="009A6F36"/>
    <w:rsid w:val="009B4C75"/>
    <w:rsid w:val="009B7DC7"/>
    <w:rsid w:val="009C2FDA"/>
    <w:rsid w:val="009F63DE"/>
    <w:rsid w:val="00A06B69"/>
    <w:rsid w:val="00A14130"/>
    <w:rsid w:val="00A35330"/>
    <w:rsid w:val="00A41DFE"/>
    <w:rsid w:val="00A45642"/>
    <w:rsid w:val="00A51078"/>
    <w:rsid w:val="00A540CD"/>
    <w:rsid w:val="00A8709A"/>
    <w:rsid w:val="00AC1484"/>
    <w:rsid w:val="00AC604D"/>
    <w:rsid w:val="00AD0C85"/>
    <w:rsid w:val="00AE2F77"/>
    <w:rsid w:val="00AF166A"/>
    <w:rsid w:val="00B22854"/>
    <w:rsid w:val="00B2666C"/>
    <w:rsid w:val="00B26902"/>
    <w:rsid w:val="00B4241C"/>
    <w:rsid w:val="00B45552"/>
    <w:rsid w:val="00B819F0"/>
    <w:rsid w:val="00B828B8"/>
    <w:rsid w:val="00B85259"/>
    <w:rsid w:val="00BA6DCE"/>
    <w:rsid w:val="00BD373E"/>
    <w:rsid w:val="00C00421"/>
    <w:rsid w:val="00C032E4"/>
    <w:rsid w:val="00C07C5E"/>
    <w:rsid w:val="00C36CC3"/>
    <w:rsid w:val="00C406ED"/>
    <w:rsid w:val="00C44448"/>
    <w:rsid w:val="00C5363A"/>
    <w:rsid w:val="00C81E3E"/>
    <w:rsid w:val="00C92F12"/>
    <w:rsid w:val="00CA18F4"/>
    <w:rsid w:val="00CA788E"/>
    <w:rsid w:val="00CB7722"/>
    <w:rsid w:val="00CD1709"/>
    <w:rsid w:val="00CE7770"/>
    <w:rsid w:val="00D44744"/>
    <w:rsid w:val="00D76EDF"/>
    <w:rsid w:val="00D90FBB"/>
    <w:rsid w:val="00D9683C"/>
    <w:rsid w:val="00DA283B"/>
    <w:rsid w:val="00DB1E1E"/>
    <w:rsid w:val="00DC77A9"/>
    <w:rsid w:val="00DD6D1D"/>
    <w:rsid w:val="00DD720F"/>
    <w:rsid w:val="00DF7F79"/>
    <w:rsid w:val="00E03471"/>
    <w:rsid w:val="00E1112E"/>
    <w:rsid w:val="00E11EE6"/>
    <w:rsid w:val="00E21F7E"/>
    <w:rsid w:val="00E46B58"/>
    <w:rsid w:val="00E6484B"/>
    <w:rsid w:val="00E814DF"/>
    <w:rsid w:val="00E87CC4"/>
    <w:rsid w:val="00EC4ECA"/>
    <w:rsid w:val="00ED0E60"/>
    <w:rsid w:val="00EF333C"/>
    <w:rsid w:val="00EF3D3D"/>
    <w:rsid w:val="00EF6CD9"/>
    <w:rsid w:val="00F04E2C"/>
    <w:rsid w:val="00F26C31"/>
    <w:rsid w:val="00FC09C2"/>
    <w:rsid w:val="00FC712D"/>
    <w:rsid w:val="00FE3563"/>
    <w:rsid w:val="00FE7AA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Title" w:uiPriority="99" w:qFormat="1"/>
    <w:lsdException w:name="Hyperlink" w:uiPriority="99"/>
    <w:lsdException w:name="No Spacing"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95C94"/>
  </w:style>
  <w:style w:type="paragraph" w:styleId="Header">
    <w:name w:val="header"/>
    <w:basedOn w:val="Normal"/>
    <w:link w:val="HeaderChar"/>
    <w:uiPriority w:val="99"/>
    <w:unhideWhenUsed/>
    <w:rsid w:val="00295C94"/>
    <w:pPr>
      <w:tabs>
        <w:tab w:val="center" w:pos="4320"/>
        <w:tab w:val="right" w:pos="8640"/>
      </w:tabs>
    </w:pPr>
  </w:style>
  <w:style w:type="character" w:customStyle="1" w:styleId="HeaderChar">
    <w:name w:val="Header Char"/>
    <w:basedOn w:val="DefaultParagraphFont"/>
    <w:link w:val="Header"/>
    <w:uiPriority w:val="99"/>
    <w:rsid w:val="00295C94"/>
    <w:rPr>
      <w:sz w:val="24"/>
    </w:rPr>
  </w:style>
  <w:style w:type="paragraph" w:styleId="Footer">
    <w:name w:val="footer"/>
    <w:basedOn w:val="Normal"/>
    <w:link w:val="FooterChar"/>
    <w:uiPriority w:val="99"/>
    <w:unhideWhenUsed/>
    <w:rsid w:val="00295C94"/>
    <w:pPr>
      <w:tabs>
        <w:tab w:val="center" w:pos="4320"/>
        <w:tab w:val="right" w:pos="8640"/>
      </w:tabs>
    </w:pPr>
  </w:style>
  <w:style w:type="character" w:customStyle="1" w:styleId="FooterChar">
    <w:name w:val="Footer Char"/>
    <w:basedOn w:val="DefaultParagraphFont"/>
    <w:link w:val="Footer"/>
    <w:uiPriority w:val="99"/>
    <w:rsid w:val="00295C94"/>
    <w:rPr>
      <w:sz w:val="24"/>
    </w:rPr>
  </w:style>
  <w:style w:type="character" w:styleId="PageNumber">
    <w:name w:val="page number"/>
    <w:basedOn w:val="DefaultParagraphFont"/>
    <w:uiPriority w:val="99"/>
    <w:semiHidden/>
    <w:unhideWhenUsed/>
    <w:rsid w:val="008358B4"/>
  </w:style>
  <w:style w:type="paragraph" w:styleId="FootnoteText">
    <w:name w:val="footnote text"/>
    <w:basedOn w:val="Normal"/>
    <w:link w:val="FootnoteTextChar"/>
    <w:uiPriority w:val="99"/>
    <w:rsid w:val="00DD720F"/>
  </w:style>
  <w:style w:type="character" w:customStyle="1" w:styleId="FootnoteTextChar">
    <w:name w:val="Footnote Text Char"/>
    <w:basedOn w:val="DefaultParagraphFont"/>
    <w:link w:val="FootnoteText"/>
    <w:uiPriority w:val="99"/>
    <w:rsid w:val="00DD720F"/>
  </w:style>
  <w:style w:type="character" w:styleId="FootnoteReference">
    <w:name w:val="footnote reference"/>
    <w:basedOn w:val="DefaultParagraphFont"/>
    <w:uiPriority w:val="99"/>
    <w:rsid w:val="00DD720F"/>
    <w:rPr>
      <w:vertAlign w:val="superscript"/>
    </w:rPr>
  </w:style>
  <w:style w:type="character" w:styleId="Hyperlink">
    <w:name w:val="Hyperlink"/>
    <w:basedOn w:val="DefaultParagraphFont"/>
    <w:uiPriority w:val="99"/>
    <w:rsid w:val="00DD720F"/>
    <w:rPr>
      <w:color w:val="0000FF" w:themeColor="hyperlink"/>
      <w:u w:val="single"/>
    </w:rPr>
  </w:style>
  <w:style w:type="paragraph" w:styleId="NoSpacing">
    <w:name w:val="No Spacing"/>
    <w:link w:val="NoSpacingChar"/>
    <w:qFormat/>
    <w:rsid w:val="002C3D21"/>
    <w:rPr>
      <w:rFonts w:ascii="PMingLiU" w:eastAsiaTheme="minorEastAsia" w:hAnsi="PMingLiU"/>
      <w:sz w:val="22"/>
      <w:szCs w:val="22"/>
    </w:rPr>
  </w:style>
  <w:style w:type="character" w:customStyle="1" w:styleId="NoSpacingChar">
    <w:name w:val="No Spacing Char"/>
    <w:basedOn w:val="DefaultParagraphFont"/>
    <w:link w:val="NoSpacing"/>
    <w:rsid w:val="002C3D21"/>
    <w:rPr>
      <w:rFonts w:ascii="PMingLiU" w:eastAsiaTheme="minorEastAsia" w:hAnsi="PMingLiU"/>
      <w:sz w:val="22"/>
      <w:szCs w:val="22"/>
    </w:rPr>
  </w:style>
  <w:style w:type="paragraph" w:styleId="BalloonText">
    <w:name w:val="Balloon Text"/>
    <w:basedOn w:val="Normal"/>
    <w:link w:val="BalloonTextChar"/>
    <w:rsid w:val="007D7C27"/>
    <w:rPr>
      <w:rFonts w:ascii="Tahoma" w:hAnsi="Tahoma" w:cs="Tahoma"/>
      <w:sz w:val="16"/>
      <w:szCs w:val="16"/>
    </w:rPr>
  </w:style>
  <w:style w:type="character" w:customStyle="1" w:styleId="BalloonTextChar">
    <w:name w:val="Balloon Text Char"/>
    <w:basedOn w:val="DefaultParagraphFont"/>
    <w:link w:val="BalloonText"/>
    <w:rsid w:val="007D7C27"/>
    <w:rPr>
      <w:rFonts w:ascii="Tahoma" w:hAnsi="Tahoma" w:cs="Tahoma"/>
      <w:sz w:val="16"/>
      <w:szCs w:val="16"/>
    </w:rPr>
  </w:style>
  <w:style w:type="character" w:styleId="FollowedHyperlink">
    <w:name w:val="FollowedHyperlink"/>
    <w:basedOn w:val="DefaultParagraphFont"/>
    <w:rsid w:val="002E7A60"/>
    <w:rPr>
      <w:color w:val="800080" w:themeColor="followedHyperlink"/>
      <w:u w:val="single"/>
    </w:rPr>
  </w:style>
  <w:style w:type="paragraph" w:styleId="Title">
    <w:name w:val="Title"/>
    <w:basedOn w:val="Normal"/>
    <w:link w:val="TitleChar"/>
    <w:uiPriority w:val="99"/>
    <w:qFormat/>
    <w:rsid w:val="00EC4ECA"/>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EC4ECA"/>
    <w:rPr>
      <w:rFonts w:ascii="Times New Roman" w:eastAsia="Times New Roman" w:hAnsi="Times New Roman" w:cs="Times New Roman"/>
      <w:b/>
      <w:bCs/>
    </w:rPr>
  </w:style>
  <w:style w:type="paragraph" w:styleId="ListParagraph">
    <w:name w:val="List Paragraph"/>
    <w:basedOn w:val="Normal"/>
    <w:rsid w:val="002E4706"/>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records@utc.wa.gov"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833B55-517E-49BD-B705-5DB5C75B3A62}"/>
</file>

<file path=customXml/itemProps2.xml><?xml version="1.0" encoding="utf-8"?>
<ds:datastoreItem xmlns:ds="http://schemas.openxmlformats.org/officeDocument/2006/customXml" ds:itemID="{7912E897-23EA-4985-8593-6546CAECD409}"/>
</file>

<file path=customXml/itemProps3.xml><?xml version="1.0" encoding="utf-8"?>
<ds:datastoreItem xmlns:ds="http://schemas.openxmlformats.org/officeDocument/2006/customXml" ds:itemID="{3ABA75BD-91AD-4DA3-8BC7-523B6E444E8C}"/>
</file>

<file path=customXml/itemProps4.xml><?xml version="1.0" encoding="utf-8"?>
<ds:datastoreItem xmlns:ds="http://schemas.openxmlformats.org/officeDocument/2006/customXml" ds:itemID="{A2716FD0-B762-4A4D-978E-3604433A5D10}"/>
</file>

<file path=docProps/app.xml><?xml version="1.0" encoding="utf-8"?>
<Properties xmlns="http://schemas.openxmlformats.org/officeDocument/2006/extended-properties" xmlns:vt="http://schemas.openxmlformats.org/officeDocument/2006/docPropsVTypes">
  <Template>Normal</Template>
  <TotalTime>60</TotalTime>
  <Pages>19</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Brad</cp:lastModifiedBy>
  <cp:revision>6</cp:revision>
  <cp:lastPrinted>2010-10-03T20:07:00Z</cp:lastPrinted>
  <dcterms:created xsi:type="dcterms:W3CDTF">2010-10-05T19:46:00Z</dcterms:created>
  <dcterms:modified xsi:type="dcterms:W3CDTF">2010-10-05T20:59:00Z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