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46" w:rsidRPr="00727FDC" w:rsidRDefault="00676046" w:rsidP="00676046">
      <w:pPr>
        <w:pStyle w:val="Header"/>
        <w:tabs>
          <w:tab w:val="clear" w:pos="4320"/>
          <w:tab w:val="clear" w:pos="8640"/>
        </w:tabs>
        <w:jc w:val="center"/>
        <w:rPr>
          <w:rFonts w:ascii="Times New Roman" w:hAnsi="Times New Roman"/>
          <w:sz w:val="24"/>
        </w:rPr>
      </w:pPr>
      <w:bookmarkStart w:id="0" w:name="_GoBack"/>
      <w:bookmarkEnd w:id="0"/>
      <w:r w:rsidRPr="00727FDC">
        <w:rPr>
          <w:rFonts w:ascii="Times New Roman" w:hAnsi="Times New Roman"/>
          <w:sz w:val="24"/>
        </w:rPr>
        <w:t>BEFORE THE WASHINGTON UTILITIES AND TRANSPORTATION COMMISSION</w:t>
      </w:r>
    </w:p>
    <w:p w:rsidR="00676046" w:rsidRDefault="00676046" w:rsidP="00676046">
      <w:pPr>
        <w:pStyle w:val="Header"/>
        <w:rPr>
          <w:rFonts w:ascii="Times New Roman" w:hAnsi="Times New Roman"/>
        </w:rPr>
      </w:pPr>
    </w:p>
    <w:p w:rsidR="00B16D14" w:rsidRPr="007D5EB2" w:rsidRDefault="00B16D14" w:rsidP="00676046">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676046" w:rsidRPr="007D5EB2" w:rsidTr="002803BA">
        <w:trPr>
          <w:trHeight w:val="2721"/>
        </w:trPr>
        <w:tc>
          <w:tcPr>
            <w:tcW w:w="4410" w:type="dxa"/>
            <w:tcBorders>
              <w:top w:val="single" w:sz="6" w:space="0" w:color="FFFFFF"/>
              <w:left w:val="single" w:sz="6" w:space="0" w:color="FFFFFF"/>
              <w:bottom w:val="single" w:sz="7" w:space="0" w:color="000000"/>
              <w:right w:val="single" w:sz="6" w:space="0" w:color="FFFFFF"/>
            </w:tcBorders>
          </w:tcPr>
          <w:p w:rsidR="00676046" w:rsidRDefault="002803BA" w:rsidP="003E3A33">
            <w:pPr>
              <w:spacing w:line="240" w:lineRule="atLeast"/>
              <w:rPr>
                <w:rFonts w:ascii="Times New Roman" w:hAnsi="Times New Roman" w:cs="Times New Roman"/>
                <w:sz w:val="24"/>
                <w:szCs w:val="24"/>
              </w:rPr>
            </w:pPr>
            <w:r>
              <w:rPr>
                <w:rFonts w:ascii="Times New Roman" w:hAnsi="Times New Roman" w:cs="Times New Roman"/>
                <w:sz w:val="24"/>
                <w:szCs w:val="24"/>
              </w:rPr>
              <w:t>SHUTTLE EXPRESS, INC.,</w:t>
            </w:r>
          </w:p>
          <w:p w:rsidR="002803BA" w:rsidRDefault="002803BA" w:rsidP="003E3A33">
            <w:pPr>
              <w:spacing w:line="240" w:lineRule="atLeast"/>
              <w:rPr>
                <w:rFonts w:ascii="Times New Roman" w:hAnsi="Times New Roman" w:cs="Times New Roman"/>
                <w:sz w:val="24"/>
                <w:szCs w:val="24"/>
              </w:rPr>
            </w:pPr>
          </w:p>
          <w:p w:rsidR="002803BA" w:rsidRDefault="002803BA" w:rsidP="002803BA">
            <w:pPr>
              <w:spacing w:line="240" w:lineRule="atLeast"/>
              <w:ind w:left="1496"/>
              <w:rPr>
                <w:rFonts w:ascii="Times New Roman" w:hAnsi="Times New Roman" w:cs="Times New Roman"/>
                <w:szCs w:val="24"/>
              </w:rPr>
            </w:pPr>
            <w:r w:rsidRPr="002803BA">
              <w:rPr>
                <w:rFonts w:ascii="Times New Roman" w:hAnsi="Times New Roman" w:cs="Times New Roman"/>
                <w:szCs w:val="24"/>
              </w:rPr>
              <w:t>Petitioner and Complainant,</w:t>
            </w:r>
          </w:p>
          <w:p w:rsidR="002803BA" w:rsidRDefault="002803BA" w:rsidP="002803BA">
            <w:pPr>
              <w:spacing w:line="240" w:lineRule="atLeast"/>
              <w:ind w:left="1496"/>
              <w:rPr>
                <w:rFonts w:ascii="Times New Roman" w:hAnsi="Times New Roman" w:cs="Times New Roman"/>
                <w:szCs w:val="24"/>
              </w:rPr>
            </w:pPr>
          </w:p>
          <w:p w:rsidR="002803BA" w:rsidRDefault="002803BA" w:rsidP="002803BA">
            <w:pPr>
              <w:spacing w:line="240" w:lineRule="atLeast"/>
              <w:ind w:left="686"/>
              <w:rPr>
                <w:rFonts w:ascii="Times New Roman" w:hAnsi="Times New Roman" w:cs="Times New Roman"/>
                <w:szCs w:val="24"/>
              </w:rPr>
            </w:pPr>
            <w:proofErr w:type="gramStart"/>
            <w:r>
              <w:rPr>
                <w:rFonts w:ascii="Times New Roman" w:hAnsi="Times New Roman" w:cs="Times New Roman"/>
                <w:szCs w:val="24"/>
              </w:rPr>
              <w:t>v</w:t>
            </w:r>
            <w:proofErr w:type="gramEnd"/>
            <w:r>
              <w:rPr>
                <w:rFonts w:ascii="Times New Roman" w:hAnsi="Times New Roman" w:cs="Times New Roman"/>
                <w:szCs w:val="24"/>
              </w:rPr>
              <w:t>.</w:t>
            </w:r>
          </w:p>
          <w:p w:rsidR="002803BA" w:rsidRDefault="002803BA" w:rsidP="002803BA">
            <w:pPr>
              <w:spacing w:line="240" w:lineRule="atLeast"/>
              <w:ind w:left="686"/>
              <w:rPr>
                <w:rFonts w:ascii="Times New Roman" w:hAnsi="Times New Roman" w:cs="Times New Roman"/>
                <w:szCs w:val="24"/>
              </w:rPr>
            </w:pPr>
          </w:p>
          <w:p w:rsidR="002803BA" w:rsidRDefault="002803BA" w:rsidP="00727FDC">
            <w:pPr>
              <w:spacing w:line="240" w:lineRule="atLeast"/>
              <w:rPr>
                <w:rFonts w:ascii="Times New Roman" w:hAnsi="Times New Roman" w:cs="Times New Roman"/>
                <w:szCs w:val="24"/>
              </w:rPr>
            </w:pPr>
            <w:r w:rsidRPr="00727FDC">
              <w:rPr>
                <w:rFonts w:ascii="Times New Roman" w:hAnsi="Times New Roman" w:cs="Times New Roman"/>
                <w:sz w:val="24"/>
                <w:szCs w:val="24"/>
              </w:rPr>
              <w:t>SPEEDISHUTTLE</w:t>
            </w:r>
            <w:r>
              <w:rPr>
                <w:rFonts w:ascii="Times New Roman" w:hAnsi="Times New Roman" w:cs="Times New Roman"/>
                <w:szCs w:val="24"/>
              </w:rPr>
              <w:t xml:space="preserve"> </w:t>
            </w:r>
            <w:r w:rsidRPr="00727FDC">
              <w:rPr>
                <w:rFonts w:ascii="Times New Roman" w:hAnsi="Times New Roman" w:cs="Times New Roman"/>
                <w:sz w:val="24"/>
                <w:szCs w:val="24"/>
              </w:rPr>
              <w:t>WASHINGTON</w:t>
            </w:r>
            <w:r>
              <w:rPr>
                <w:rFonts w:ascii="Times New Roman" w:hAnsi="Times New Roman" w:cs="Times New Roman"/>
                <w:szCs w:val="24"/>
              </w:rPr>
              <w:t xml:space="preserve">, </w:t>
            </w:r>
            <w:r w:rsidRPr="00727FDC">
              <w:rPr>
                <w:rFonts w:ascii="Times New Roman" w:hAnsi="Times New Roman" w:cs="Times New Roman"/>
                <w:sz w:val="24"/>
                <w:szCs w:val="24"/>
              </w:rPr>
              <w:t>LLC</w:t>
            </w:r>
            <w:r>
              <w:rPr>
                <w:rFonts w:ascii="Times New Roman" w:hAnsi="Times New Roman" w:cs="Times New Roman"/>
                <w:szCs w:val="24"/>
              </w:rPr>
              <w:t>,</w:t>
            </w:r>
          </w:p>
          <w:p w:rsidR="002803BA" w:rsidRDefault="002803BA" w:rsidP="002803BA">
            <w:pPr>
              <w:spacing w:line="240" w:lineRule="atLeast"/>
              <w:ind w:left="56"/>
              <w:rPr>
                <w:rFonts w:ascii="Times New Roman" w:hAnsi="Times New Roman" w:cs="Times New Roman"/>
                <w:szCs w:val="24"/>
              </w:rPr>
            </w:pPr>
          </w:p>
          <w:p w:rsidR="002803BA" w:rsidRPr="003E3A33" w:rsidRDefault="002803BA" w:rsidP="002803BA">
            <w:pPr>
              <w:spacing w:line="240" w:lineRule="atLeast"/>
              <w:ind w:left="1496"/>
              <w:rPr>
                <w:rFonts w:ascii="Times New Roman" w:hAnsi="Times New Roman" w:cs="Times New Roman"/>
                <w:sz w:val="24"/>
                <w:szCs w:val="24"/>
              </w:rPr>
            </w:pPr>
            <w:r>
              <w:rPr>
                <w:rFonts w:ascii="Times New Roman" w:hAnsi="Times New Roman" w:cs="Times New Roman"/>
                <w:szCs w:val="24"/>
              </w:rPr>
              <w:t>Respondent.</w:t>
            </w:r>
          </w:p>
        </w:tc>
        <w:tc>
          <w:tcPr>
            <w:tcW w:w="4770" w:type="dxa"/>
            <w:tcBorders>
              <w:top w:val="single" w:sz="6" w:space="0" w:color="FFFFFF"/>
              <w:left w:val="single" w:sz="7" w:space="0" w:color="000000"/>
              <w:bottom w:val="single" w:sz="6" w:space="0" w:color="FFFFFF"/>
              <w:right w:val="single" w:sz="6" w:space="0" w:color="FFFFFF"/>
            </w:tcBorders>
          </w:tcPr>
          <w:p w:rsidR="00B34312" w:rsidRDefault="00676046" w:rsidP="008F2228">
            <w:pPr>
              <w:rPr>
                <w:rFonts w:ascii="Times New Roman" w:hAnsi="Times New Roman" w:cs="Times New Roman"/>
                <w:sz w:val="24"/>
                <w:szCs w:val="24"/>
              </w:rPr>
            </w:pPr>
            <w:r w:rsidRPr="004554F5">
              <w:rPr>
                <w:rFonts w:ascii="Times New Roman" w:hAnsi="Times New Roman" w:cs="Times New Roman"/>
                <w:sz w:val="24"/>
                <w:szCs w:val="24"/>
              </w:rPr>
              <w:t>DOCKET</w:t>
            </w:r>
            <w:r w:rsidR="00B34312">
              <w:rPr>
                <w:rFonts w:ascii="Times New Roman" w:hAnsi="Times New Roman" w:cs="Times New Roman"/>
                <w:sz w:val="24"/>
                <w:szCs w:val="24"/>
              </w:rPr>
              <w:t xml:space="preserve"> NOS.</w:t>
            </w:r>
          </w:p>
          <w:p w:rsidR="00676046" w:rsidRPr="004554F5" w:rsidRDefault="00676046" w:rsidP="008F2228">
            <w:pPr>
              <w:rPr>
                <w:rFonts w:ascii="Times New Roman" w:hAnsi="Times New Roman" w:cs="Times New Roman"/>
                <w:sz w:val="24"/>
                <w:szCs w:val="24"/>
              </w:rPr>
            </w:pPr>
            <w:r>
              <w:rPr>
                <w:rFonts w:ascii="Times New Roman" w:hAnsi="Times New Roman" w:cs="Times New Roman"/>
                <w:sz w:val="24"/>
                <w:szCs w:val="24"/>
              </w:rPr>
              <w:t>TC-</w:t>
            </w:r>
            <w:r w:rsidR="00B34312">
              <w:rPr>
                <w:rFonts w:ascii="Times New Roman" w:hAnsi="Times New Roman" w:cs="Times New Roman"/>
                <w:sz w:val="24"/>
                <w:szCs w:val="24"/>
              </w:rPr>
              <w:t>143691 &amp; TC-160516</w:t>
            </w:r>
          </w:p>
          <w:p w:rsidR="00676046" w:rsidRPr="004554F5" w:rsidRDefault="00676046" w:rsidP="008F2228">
            <w:pPr>
              <w:rPr>
                <w:rFonts w:ascii="Times New Roman" w:hAnsi="Times New Roman" w:cs="Times New Roman"/>
                <w:sz w:val="24"/>
                <w:szCs w:val="24"/>
              </w:rPr>
            </w:pPr>
          </w:p>
          <w:p w:rsidR="00676046" w:rsidRDefault="00275619" w:rsidP="008F2228">
            <w:pPr>
              <w:rPr>
                <w:rFonts w:ascii="Times New Roman" w:hAnsi="Times New Roman" w:cs="Times New Roman"/>
                <w:sz w:val="24"/>
                <w:szCs w:val="24"/>
              </w:rPr>
            </w:pPr>
            <w:r>
              <w:rPr>
                <w:rFonts w:ascii="Times New Roman" w:hAnsi="Times New Roman" w:cs="Times New Roman"/>
                <w:sz w:val="24"/>
                <w:szCs w:val="24"/>
              </w:rPr>
              <w:t xml:space="preserve">SPEEDISHUTTLE’S </w:t>
            </w:r>
            <w:r w:rsidR="000E4EAF">
              <w:rPr>
                <w:rFonts w:ascii="Times New Roman" w:hAnsi="Times New Roman" w:cs="Times New Roman"/>
                <w:sz w:val="24"/>
                <w:szCs w:val="24"/>
              </w:rPr>
              <w:t>REPLY TO SHUTTLE EXPRESS’ PARTIAL CHALLENGE OF ORDER 06</w:t>
            </w:r>
          </w:p>
          <w:p w:rsidR="000E4EAF" w:rsidRPr="000E4EAF" w:rsidRDefault="000E4EAF" w:rsidP="008F2228">
            <w:pPr>
              <w:rPr>
                <w:rFonts w:ascii="Times New Roman" w:hAnsi="Times New Roman" w:cs="Times New Roman"/>
                <w:b/>
                <w:sz w:val="24"/>
                <w:szCs w:val="24"/>
              </w:rPr>
            </w:pPr>
            <w:r w:rsidRPr="000E4EAF">
              <w:rPr>
                <w:rFonts w:ascii="Times New Roman" w:hAnsi="Times New Roman" w:cs="Times New Roman"/>
                <w:b/>
                <w:sz w:val="24"/>
                <w:szCs w:val="24"/>
              </w:rPr>
              <w:t>Pursuant to WAC 480-07-825(5)(a)</w:t>
            </w:r>
          </w:p>
          <w:p w:rsidR="00676046" w:rsidRPr="004554F5" w:rsidRDefault="00676046" w:rsidP="008F2228">
            <w:pPr>
              <w:rPr>
                <w:rFonts w:ascii="Times New Roman" w:hAnsi="Times New Roman" w:cs="Times New Roman"/>
                <w:sz w:val="24"/>
                <w:szCs w:val="24"/>
              </w:rPr>
            </w:pPr>
          </w:p>
          <w:p w:rsidR="00676046" w:rsidRDefault="00676046" w:rsidP="008F2228"/>
        </w:tc>
      </w:tr>
    </w:tbl>
    <w:p w:rsidR="00024DB7" w:rsidRDefault="00275619" w:rsidP="004A7238">
      <w:pPr>
        <w:pStyle w:val="Heading1"/>
        <w:tabs>
          <w:tab w:val="left" w:pos="180"/>
        </w:tabs>
        <w:ind w:left="180" w:hanging="180"/>
        <w:rPr>
          <w:b/>
        </w:rPr>
      </w:pPr>
      <w:r>
        <w:rPr>
          <w:b/>
        </w:rPr>
        <w:t>introduction</w:t>
      </w:r>
    </w:p>
    <w:p w:rsidR="003C781E" w:rsidRPr="003C781E" w:rsidRDefault="00CA057B" w:rsidP="003C781E">
      <w:pPr>
        <w:pStyle w:val="StyleListParagraphLinespacingDouble"/>
      </w:pPr>
      <w:r>
        <w:t>Speedi</w:t>
      </w:r>
      <w:r w:rsidR="00742656">
        <w:t xml:space="preserve">shuttle Washington, LLC (“Speedishuttle”) </w:t>
      </w:r>
      <w:r w:rsidR="00CE694D">
        <w:t xml:space="preserve">here </w:t>
      </w:r>
      <w:r w:rsidR="00742656">
        <w:t>replies to the challenges Shuttle Express asserts against Order 06</w:t>
      </w:r>
      <w:r w:rsidR="00D01C36">
        <w:t>,</w:t>
      </w:r>
      <w:r w:rsidR="00540A46">
        <w:t xml:space="preserve"> including </w:t>
      </w:r>
      <w:r w:rsidR="00400407">
        <w:t xml:space="preserve">the bases for </w:t>
      </w:r>
      <w:r w:rsidR="00540A46">
        <w:t xml:space="preserve">Shuttle Express’ interpretation of RCW 81.04.200 and ¶7 of the Initial Order which found </w:t>
      </w:r>
      <w:r w:rsidR="00D01C36">
        <w:t xml:space="preserve">Shuttle Express lacked </w:t>
      </w:r>
      <w:r w:rsidR="00540A46">
        <w:t>a statutory right to rehearing</w:t>
      </w:r>
      <w:r w:rsidR="00742656">
        <w:t xml:space="preserve">.  </w:t>
      </w:r>
    </w:p>
    <w:p w:rsidR="009C34C7" w:rsidRDefault="003C781E" w:rsidP="00D01C36">
      <w:pPr>
        <w:pStyle w:val="Heading2"/>
      </w:pPr>
      <w:r w:rsidRPr="003C781E">
        <w:t>Speedishuttle May Reply As a Matter of Right.</w:t>
      </w:r>
    </w:p>
    <w:p w:rsidR="00B44AF4" w:rsidRDefault="00B44AF4" w:rsidP="00B44AF4">
      <w:pPr>
        <w:pStyle w:val="StyleListParagraphLinespacingDouble"/>
      </w:pPr>
      <w:r>
        <w:t xml:space="preserve">Any party to </w:t>
      </w:r>
      <w:r w:rsidR="00540A46">
        <w:t>an</w:t>
      </w:r>
      <w:r>
        <w:t xml:space="preserve"> adjudicat</w:t>
      </w:r>
      <w:r w:rsidR="008F5DED">
        <w:t>ive</w:t>
      </w:r>
      <w:r>
        <w:t xml:space="preserve"> proceeding may file an answer to a petition for administrative review.  WAC 480-07-825(4</w:t>
      </w:r>
      <w:proofErr w:type="gramStart"/>
      <w:r>
        <w:t>)(</w:t>
      </w:r>
      <w:proofErr w:type="gramEnd"/>
      <w:r>
        <w:t>a).  Further, a party who did not file the initial petition may challenge the subject initial order in its answer.  WAC 480-07-825(4</w:t>
      </w:r>
      <w:proofErr w:type="gramStart"/>
      <w:r>
        <w:t>)(</w:t>
      </w:r>
      <w:proofErr w:type="gramEnd"/>
      <w:r>
        <w:t>c).  In that instance, any party has the right to reply to the new challenges raised by another party’s answer.  WAC 480-07-825(5</w:t>
      </w:r>
      <w:proofErr w:type="gramStart"/>
      <w:r>
        <w:t>)(</w:t>
      </w:r>
      <w:proofErr w:type="gramEnd"/>
      <w:r>
        <w:t xml:space="preserve">a).  </w:t>
      </w:r>
    </w:p>
    <w:p w:rsidR="00F64B3D" w:rsidRPr="00F64B3D" w:rsidRDefault="00B44AF4" w:rsidP="00F64B3D">
      <w:pPr>
        <w:pStyle w:val="StyleListParagraphLinespacingDouble"/>
      </w:pPr>
      <w:r>
        <w:t xml:space="preserve">Here, Shuttle Express filed </w:t>
      </w:r>
      <w:r w:rsidR="00540A46">
        <w:t>its</w:t>
      </w:r>
      <w:r>
        <w:t xml:space="preserve"> </w:t>
      </w:r>
      <w:r w:rsidR="000501A2">
        <w:t>“</w:t>
      </w:r>
      <w:r>
        <w:t xml:space="preserve">Answer of Shuttle </w:t>
      </w:r>
      <w:r w:rsidR="00742656">
        <w:t>Express</w:t>
      </w:r>
      <w:r w:rsidR="00AD2CD6">
        <w:t>, Inc. i</w:t>
      </w:r>
      <w:r>
        <w:t xml:space="preserve">n </w:t>
      </w:r>
      <w:r w:rsidR="00742656">
        <w:t>Opposition</w:t>
      </w:r>
      <w:r>
        <w:t xml:space="preserve"> to Petition for Review and Partial Challenge of Order 06.</w:t>
      </w:r>
      <w:r w:rsidR="000501A2">
        <w:t>”</w:t>
      </w:r>
      <w:r>
        <w:t xml:space="preserve">  Speedishuttle may </w:t>
      </w:r>
      <w:r w:rsidR="00E22351">
        <w:t>there</w:t>
      </w:r>
      <w:r w:rsidR="00E82FDC">
        <w:t>fore</w:t>
      </w:r>
      <w:r w:rsidR="00E22351">
        <w:t xml:space="preserve"> </w:t>
      </w:r>
      <w:r>
        <w:t>reply as a matter of right to Shuttle Exp</w:t>
      </w:r>
      <w:r w:rsidR="00E82FDC">
        <w:t xml:space="preserve">ress’ partial challenge of the </w:t>
      </w:r>
      <w:r w:rsidR="00D01C36">
        <w:t xml:space="preserve">Initial </w:t>
      </w:r>
      <w:r w:rsidR="00E82FDC">
        <w:t>O</w:t>
      </w:r>
      <w:r w:rsidR="0069512E">
        <w:t xml:space="preserve">rder by Shuttle Express on the interpretation of RCW 81.04.200 and the Commission’s exercise of discretion </w:t>
      </w:r>
      <w:r w:rsidR="00AB3866">
        <w:t>as well</w:t>
      </w:r>
      <w:r w:rsidR="0069512E">
        <w:t xml:space="preserve"> the characterization of Shuttle Express’ </w:t>
      </w:r>
      <w:r w:rsidR="00AB3866">
        <w:t xml:space="preserve">combined </w:t>
      </w:r>
      <w:r w:rsidR="0069512E">
        <w:t xml:space="preserve">Petition for Rehearing </w:t>
      </w:r>
      <w:r w:rsidR="00AB3866">
        <w:t xml:space="preserve">and Complaint, filed </w:t>
      </w:r>
      <w:r w:rsidR="00AB3866">
        <w:lastRenderedPageBreak/>
        <w:t>May 16, 2016 (“Shuttle Express’ Petition for Rehearing”)</w:t>
      </w:r>
      <w:r w:rsidR="000501A2">
        <w:t>, as</w:t>
      </w:r>
      <w:r w:rsidR="0069512E">
        <w:t xml:space="preserve"> an </w:t>
      </w:r>
      <w:r w:rsidR="00D01C36">
        <w:t>“</w:t>
      </w:r>
      <w:r w:rsidR="0069512E">
        <w:t>initial pleading</w:t>
      </w:r>
      <w:r w:rsidR="00D01C36">
        <w:t>”</w:t>
      </w:r>
      <w:r w:rsidR="00AB3866">
        <w:t xml:space="preserve"> to the extent it seeks rehearing.  </w:t>
      </w:r>
    </w:p>
    <w:p w:rsidR="0039172E" w:rsidRPr="00F64B3D" w:rsidRDefault="00B44AF4" w:rsidP="00F64B3D">
      <w:pPr>
        <w:pStyle w:val="Heading1"/>
        <w:rPr>
          <w:b/>
        </w:rPr>
      </w:pPr>
      <w:r w:rsidRPr="00CA057B">
        <w:rPr>
          <w:b/>
        </w:rPr>
        <w:t>r</w:t>
      </w:r>
      <w:r w:rsidRPr="00F64B3D">
        <w:rPr>
          <w:b/>
        </w:rPr>
        <w:t>eply</w:t>
      </w:r>
    </w:p>
    <w:p w:rsidR="00E84B22" w:rsidRDefault="00E84B22" w:rsidP="009F55B2">
      <w:pPr>
        <w:pStyle w:val="Heading2"/>
        <w:numPr>
          <w:ilvl w:val="0"/>
          <w:numId w:val="22"/>
        </w:numPr>
      </w:pPr>
      <w:r>
        <w:t>Shuttle Express Is Not Entitled To Automatic</w:t>
      </w:r>
      <w:r w:rsidR="00E22351">
        <w:t>,</w:t>
      </w:r>
      <w:r>
        <w:t xml:space="preserve"> Unfettered Re</w:t>
      </w:r>
      <w:r w:rsidR="00F44365">
        <w:t>-</w:t>
      </w:r>
      <w:r>
        <w:t>litigation, Rehearing or Reopening.</w:t>
      </w:r>
    </w:p>
    <w:p w:rsidR="00E84B22" w:rsidRDefault="00B44AF4" w:rsidP="00B44AF4">
      <w:pPr>
        <w:pStyle w:val="StyleListParagraphLinespacingDouble"/>
      </w:pPr>
      <w:r>
        <w:t xml:space="preserve">Shuttle Express </w:t>
      </w:r>
      <w:r w:rsidR="00AD2CD6">
        <w:t xml:space="preserve">construes </w:t>
      </w:r>
      <w:r>
        <w:t>RCW 81.04.200 to claim the Commission must grant rehearing</w:t>
      </w:r>
      <w:r w:rsidR="00E84B22">
        <w:t xml:space="preserve"> without any exercise of discretion</w:t>
      </w:r>
      <w:r w:rsidR="00D01C36">
        <w:t xml:space="preserve">. </w:t>
      </w:r>
      <w:r w:rsidR="00A353D9">
        <w:t xml:space="preserve"> </w:t>
      </w:r>
      <w:r w:rsidR="00D01C36">
        <w:t>S</w:t>
      </w:r>
      <w:r w:rsidR="00A353D9">
        <w:t xml:space="preserve">ince </w:t>
      </w:r>
      <w:r w:rsidR="00AD2CD6">
        <w:t xml:space="preserve">Final </w:t>
      </w:r>
      <w:r w:rsidR="00E84B22">
        <w:t>Order 04</w:t>
      </w:r>
      <w:r>
        <w:t xml:space="preserve"> </w:t>
      </w:r>
      <w:r w:rsidR="00AD2CD6">
        <w:t xml:space="preserve">of March 30, 2015 </w:t>
      </w:r>
      <w:r>
        <w:t xml:space="preserve">was </w:t>
      </w:r>
      <w:r w:rsidR="00A353D9">
        <w:t xml:space="preserve">not </w:t>
      </w:r>
      <w:r w:rsidR="000501A2">
        <w:t xml:space="preserve">judicially </w:t>
      </w:r>
      <w:r w:rsidR="00A353D9">
        <w:t>appealed</w:t>
      </w:r>
      <w:r w:rsidR="00E22351">
        <w:t>,</w:t>
      </w:r>
      <w:r>
        <w:t xml:space="preserve"> </w:t>
      </w:r>
      <w:r w:rsidR="00D01C36">
        <w:t xml:space="preserve">it argues </w:t>
      </w:r>
      <w:r>
        <w:t xml:space="preserve">it may seek such rehearing within six months.  </w:t>
      </w:r>
      <w:r w:rsidR="00E84B22">
        <w:t>Shuttle Express</w:t>
      </w:r>
      <w:r w:rsidR="00E22351">
        <w:t>, tellingly,</w:t>
      </w:r>
      <w:r w:rsidR="00E84B22">
        <w:t xml:space="preserve"> cites no Commission decision or court case interpreting RCW 81.04.200 in this manner.  In contrast, Speedishuttle provides </w:t>
      </w:r>
      <w:r w:rsidR="00AD2CD6">
        <w:t xml:space="preserve">numerous authorities </w:t>
      </w:r>
      <w:r w:rsidR="00E84B22">
        <w:t xml:space="preserve">in which the Commission declined to allow rehearing because of the </w:t>
      </w:r>
      <w:r w:rsidR="00AD2CD6">
        <w:t>P</w:t>
      </w:r>
      <w:r w:rsidR="00E84B22">
        <w:t xml:space="preserve">etitioner’s failure to satisfy the </w:t>
      </w:r>
      <w:r w:rsidR="00291B6C">
        <w:t>requirements unde</w:t>
      </w:r>
      <w:r w:rsidR="00D01C36">
        <w:t>r the statute.  Shuttle Express</w:t>
      </w:r>
      <w:r w:rsidR="00592C1D">
        <w:t xml:space="preserve"> </w:t>
      </w:r>
      <w:r w:rsidR="00291B6C">
        <w:t xml:space="preserve">makes no attempt to </w:t>
      </w:r>
      <w:r w:rsidR="000501A2">
        <w:t>distinguish</w:t>
      </w:r>
      <w:r w:rsidR="00291B6C">
        <w:t xml:space="preserve"> this authority.</w:t>
      </w:r>
      <w:r w:rsidR="00291B6C">
        <w:rPr>
          <w:rStyle w:val="FootnoteReference"/>
        </w:rPr>
        <w:footnoteReference w:id="1"/>
      </w:r>
      <w:r w:rsidR="00291B6C">
        <w:t xml:space="preserve">  </w:t>
      </w:r>
    </w:p>
    <w:p w:rsidR="003630FC" w:rsidRDefault="00B44AF4" w:rsidP="00B44AF4">
      <w:pPr>
        <w:pStyle w:val="StyleListParagraphLinespacingDouble"/>
      </w:pPr>
      <w:r>
        <w:t xml:space="preserve">Critically, however, even </w:t>
      </w:r>
      <w:r w:rsidR="00592C1D">
        <w:t xml:space="preserve">accepting </w:t>
      </w:r>
      <w:r>
        <w:t xml:space="preserve">Shuttle Express’ argument as to the time for rehearing as true, the statute still states such petition “may be filed within six months… and the proceedings thereon </w:t>
      </w:r>
      <w:r w:rsidRPr="00B44AF4">
        <w:rPr>
          <w:b/>
          <w:i/>
        </w:rPr>
        <w:t>shall be as in this section provided</w:t>
      </w:r>
      <w:r w:rsidR="00291B6C">
        <w:t xml:space="preserve">.”  The plain words of the statute dictate </w:t>
      </w:r>
      <w:r>
        <w:t xml:space="preserve">Shuttle Express must </w:t>
      </w:r>
      <w:r w:rsidR="00291B6C">
        <w:t>meet</w:t>
      </w:r>
      <w:r>
        <w:t xml:space="preserve"> the standards</w:t>
      </w:r>
      <w:r w:rsidR="00291B6C">
        <w:t xml:space="preserve"> and </w:t>
      </w:r>
      <w:r w:rsidR="00E22351">
        <w:t>criteria</w:t>
      </w:r>
      <w:r>
        <w:t xml:space="preserve"> listed in RCW 81.04.200 in its petition for rehearing.  </w:t>
      </w:r>
      <w:r w:rsidR="00291B6C">
        <w:t>Necessarily</w:t>
      </w:r>
      <w:r w:rsidR="00E22351">
        <w:t xml:space="preserve"> then,</w:t>
      </w:r>
      <w:r w:rsidR="00291B6C">
        <w:t xml:space="preserve"> the Commission must evaluate whether </w:t>
      </w:r>
      <w:r w:rsidR="00AD2CD6">
        <w:t xml:space="preserve">those </w:t>
      </w:r>
      <w:r w:rsidR="00291B6C">
        <w:t>standard</w:t>
      </w:r>
      <w:r w:rsidR="00D01C36">
        <w:t>s</w:t>
      </w:r>
      <w:r w:rsidR="00291B6C">
        <w:t xml:space="preserve"> ha</w:t>
      </w:r>
      <w:r w:rsidR="00AD2CD6">
        <w:t>ve</w:t>
      </w:r>
      <w:r w:rsidR="00291B6C">
        <w:t xml:space="preserve"> been met.  </w:t>
      </w:r>
      <w:r w:rsidR="003630FC">
        <w:t xml:space="preserve">A review of decisions </w:t>
      </w:r>
      <w:r w:rsidR="000501A2">
        <w:t xml:space="preserve">under Title 81 RCW </w:t>
      </w:r>
      <w:r w:rsidR="003630FC">
        <w:t>reveals that is exactly what the Commission does.</w:t>
      </w:r>
      <w:r w:rsidR="00AB3866">
        <w:rPr>
          <w:rStyle w:val="FootnoteReference"/>
        </w:rPr>
        <w:footnoteReference w:id="2"/>
      </w:r>
      <w:r w:rsidR="003630FC">
        <w:t xml:space="preserve">  </w:t>
      </w:r>
    </w:p>
    <w:p w:rsidR="00B44AF4" w:rsidRDefault="00291B6C" w:rsidP="00B44AF4">
      <w:pPr>
        <w:pStyle w:val="StyleListParagraphLinespacingDouble"/>
      </w:pPr>
      <w:r>
        <w:lastRenderedPageBreak/>
        <w:t xml:space="preserve">Shuttle </w:t>
      </w:r>
      <w:proofErr w:type="gramStart"/>
      <w:r>
        <w:t>Express</w:t>
      </w:r>
      <w:proofErr w:type="gramEnd"/>
      <w:r>
        <w:t xml:space="preserve"> did not present </w:t>
      </w:r>
      <w:r w:rsidR="00B44AF4">
        <w:t xml:space="preserve">even a scintilla of evidence to </w:t>
      </w:r>
      <w:r>
        <w:t xml:space="preserve">support its </w:t>
      </w:r>
      <w:r w:rsidR="00E22351">
        <w:t>shotgun</w:t>
      </w:r>
      <w:r>
        <w:t xml:space="preserve"> accusations, and</w:t>
      </w:r>
      <w:r w:rsidR="00B44AF4">
        <w:t xml:space="preserve"> </w:t>
      </w:r>
      <w:r w:rsidR="00E22351">
        <w:t xml:space="preserve">therefore </w:t>
      </w:r>
      <w:r w:rsidR="00B44AF4">
        <w:t>cannot</w:t>
      </w:r>
      <w:r>
        <w:t xml:space="preserve"> meet the standard</w:t>
      </w:r>
      <w:r w:rsidR="00B44AF4">
        <w:t xml:space="preserve">.  </w:t>
      </w:r>
      <w:r w:rsidR="00AD2CD6">
        <w:t>Instead it</w:t>
      </w:r>
      <w:r w:rsidR="00D01C36">
        <w:t xml:space="preserve"> </w:t>
      </w:r>
      <w:r w:rsidR="000501A2">
        <w:t xml:space="preserve">repeatedly </w:t>
      </w:r>
      <w:r w:rsidR="00B44AF4">
        <w:t xml:space="preserve">argues </w:t>
      </w:r>
      <w:r w:rsidR="00E22351">
        <w:t xml:space="preserve">in conclusory, cursory </w:t>
      </w:r>
      <w:r w:rsidR="00D01C36">
        <w:t xml:space="preserve">argument-of-counsel </w:t>
      </w:r>
      <w:r w:rsidR="00B44AF4">
        <w:t>fashion t</w:t>
      </w:r>
      <w:r w:rsidR="00D01C36">
        <w:t>hat it has met the</w:t>
      </w:r>
      <w:r w:rsidR="00400407">
        <w:t>se</w:t>
      </w:r>
      <w:r w:rsidR="00D01C36">
        <w:t xml:space="preserve"> requirements</w:t>
      </w:r>
      <w:r w:rsidR="00AD2CD6">
        <w:t>.  But on this point</w:t>
      </w:r>
      <w:r w:rsidR="000501A2">
        <w:t>,</w:t>
      </w:r>
      <w:r w:rsidR="00AD2CD6">
        <w:t xml:space="preserve"> </w:t>
      </w:r>
      <w:r w:rsidR="00B44AF4">
        <w:t xml:space="preserve">the </w:t>
      </w:r>
      <w:r w:rsidR="00592C1D">
        <w:t>C</w:t>
      </w:r>
      <w:r w:rsidR="00B44AF4">
        <w:t xml:space="preserve">ommission’s reasoning in </w:t>
      </w:r>
      <w:r w:rsidR="00B44AF4" w:rsidRPr="00F44365">
        <w:rPr>
          <w:i/>
        </w:rPr>
        <w:t>Sure-</w:t>
      </w:r>
      <w:proofErr w:type="gramStart"/>
      <w:r w:rsidR="00B44AF4" w:rsidRPr="00F44365">
        <w:rPr>
          <w:i/>
        </w:rPr>
        <w:t>Way</w:t>
      </w:r>
      <w:r w:rsidR="00B44AF4">
        <w:t>,</w:t>
      </w:r>
      <w:proofErr w:type="gramEnd"/>
      <w:r w:rsidR="00B44AF4">
        <w:t xml:space="preserve"> is </w:t>
      </w:r>
      <w:r w:rsidR="00400407">
        <w:t xml:space="preserve">again </w:t>
      </w:r>
      <w:r w:rsidR="00B44AF4">
        <w:t xml:space="preserve">instructive.  </w:t>
      </w:r>
      <w:r w:rsidR="008C02CB">
        <w:t>The C</w:t>
      </w:r>
      <w:r w:rsidR="00B44AF4">
        <w:t xml:space="preserve">ommission </w:t>
      </w:r>
      <w:r w:rsidR="00E22351">
        <w:t xml:space="preserve">there </w:t>
      </w:r>
      <w:r w:rsidR="008C02CB">
        <w:t>specifically looked at the issue of whether the petition for rehearing was sufficient assuming it w</w:t>
      </w:r>
      <w:r w:rsidR="000501A2">
        <w:t>ere</w:t>
      </w:r>
      <w:r w:rsidR="008C02CB">
        <w:t xml:space="preserve"> timely filed.  It </w:t>
      </w:r>
      <w:r w:rsidR="00B44AF4">
        <w:t xml:space="preserve">found that “…the grounds stated in the petition do not meet standards for rehearing set out in the statute, </w:t>
      </w:r>
      <w:r w:rsidR="00B44AF4" w:rsidRPr="003630FC">
        <w:rPr>
          <w:b/>
          <w:i/>
        </w:rPr>
        <w:t>even after the required period has elapsed</w:t>
      </w:r>
      <w:r w:rsidR="00B44AF4" w:rsidRPr="003630FC">
        <w:rPr>
          <w:i/>
        </w:rPr>
        <w:t>.</w:t>
      </w:r>
      <w:r w:rsidR="00B44AF4">
        <w:t>”</w:t>
      </w:r>
      <w:r w:rsidR="00B44AF4" w:rsidRPr="00B44AF4">
        <w:rPr>
          <w:szCs w:val="24"/>
          <w:vertAlign w:val="superscript"/>
        </w:rPr>
        <w:t xml:space="preserve"> </w:t>
      </w:r>
      <w:r w:rsidR="00B44AF4" w:rsidRPr="00B44AF4">
        <w:rPr>
          <w:szCs w:val="24"/>
          <w:vertAlign w:val="superscript"/>
        </w:rPr>
        <w:footnoteReference w:id="3"/>
      </w:r>
      <w:r w:rsidR="00B44AF4">
        <w:t xml:space="preserve"> (</w:t>
      </w:r>
      <w:proofErr w:type="gramStart"/>
      <w:r w:rsidR="00B44AF4">
        <w:t>emphasis</w:t>
      </w:r>
      <w:proofErr w:type="gramEnd"/>
      <w:r w:rsidR="00B44AF4">
        <w:t xml:space="preserve"> added).  It reasoned:</w:t>
      </w:r>
    </w:p>
    <w:p w:rsidR="00B44AF4" w:rsidRDefault="00B44AF4" w:rsidP="00B44AF4">
      <w:pPr>
        <w:pStyle w:val="Quote"/>
      </w:pPr>
      <w:r>
        <w:t>There is no allegation that the effect of the order was not as contemplated by the Commission.  There is no demonstration of good and sufficient cause which for any reason was not considered and determined by the Commission in the former hearing.</w:t>
      </w:r>
      <w:r w:rsidRPr="00B44AF4">
        <w:rPr>
          <w:rFonts w:eastAsia="Times New Roman" w:cs="Times New Roman"/>
          <w:szCs w:val="24"/>
          <w:vertAlign w:val="superscript"/>
        </w:rPr>
        <w:t xml:space="preserve"> </w:t>
      </w:r>
      <w:r w:rsidRPr="00B44AF4">
        <w:rPr>
          <w:rFonts w:eastAsia="Times New Roman" w:cs="Times New Roman"/>
          <w:szCs w:val="24"/>
          <w:vertAlign w:val="superscript"/>
        </w:rPr>
        <w:footnoteReference w:id="4"/>
      </w:r>
    </w:p>
    <w:p w:rsidR="00400407" w:rsidRDefault="00400407" w:rsidP="00400407">
      <w:pPr>
        <w:pStyle w:val="Heading2"/>
      </w:pPr>
      <w:r>
        <w:t xml:space="preserve">The Low-Bar, Notice Pleading Standard to Automatically Invoke Rehearing Should be </w:t>
      </w:r>
      <w:proofErr w:type="gramStart"/>
      <w:r>
        <w:t>Rejected</w:t>
      </w:r>
      <w:proofErr w:type="gramEnd"/>
    </w:p>
    <w:p w:rsidR="001A332D" w:rsidRDefault="00D01C36" w:rsidP="00B44AF4">
      <w:pPr>
        <w:pStyle w:val="StyleListParagraphLinespacingDouble"/>
      </w:pPr>
      <w:r>
        <w:t xml:space="preserve">The </w:t>
      </w:r>
      <w:r w:rsidR="00A653C9">
        <w:t>Commission should conclude the same here.</w:t>
      </w:r>
      <w:r>
        <w:t xml:space="preserve">  And despite Shuttle Express’ new </w:t>
      </w:r>
      <w:r w:rsidR="00AD2CD6">
        <w:t xml:space="preserve">bootstrapping </w:t>
      </w:r>
      <w:r>
        <w:t>rationale,</w:t>
      </w:r>
      <w:r w:rsidR="00F64982">
        <w:t xml:space="preserve"> i</w:t>
      </w:r>
      <w:r w:rsidR="008C02CB">
        <w:t xml:space="preserve">n </w:t>
      </w:r>
      <w:r w:rsidR="008C02CB">
        <w:rPr>
          <w:i/>
        </w:rPr>
        <w:t>Sure-</w:t>
      </w:r>
      <w:r w:rsidR="008C02CB" w:rsidRPr="008C02CB">
        <w:rPr>
          <w:i/>
        </w:rPr>
        <w:t>way</w:t>
      </w:r>
      <w:r w:rsidR="008C02CB">
        <w:t xml:space="preserve">, the Commission </w:t>
      </w:r>
      <w:r w:rsidR="00F44365">
        <w:t xml:space="preserve">clarified that under the statute “such” petition” meant a “qualifying petition” not simply any </w:t>
      </w:r>
      <w:r w:rsidR="00E22351">
        <w:t>pleading</w:t>
      </w:r>
      <w:r w:rsidR="00F44365">
        <w:t>.</w:t>
      </w:r>
      <w:r w:rsidR="00F44365">
        <w:rPr>
          <w:rStyle w:val="FootnoteReference"/>
        </w:rPr>
        <w:footnoteReference w:id="5"/>
      </w:r>
      <w:r w:rsidR="003630FC">
        <w:t xml:space="preserve"> </w:t>
      </w:r>
      <w:r w:rsidR="00F44365">
        <w:t xml:space="preserve"> It also pointed out that the statute provides the Commission</w:t>
      </w:r>
      <w:r w:rsidR="00400407">
        <w:t xml:space="preserve"> the</w:t>
      </w:r>
      <w:r w:rsidR="00F44365">
        <w:t xml:space="preserve"> basis “to allow [the Commission] to make a preliminary decision on whether the petition qualifies as one which it may grant.”</w:t>
      </w:r>
      <w:r w:rsidR="00F44365">
        <w:rPr>
          <w:rStyle w:val="FootnoteReference"/>
        </w:rPr>
        <w:footnoteReference w:id="6"/>
      </w:r>
      <w:r w:rsidR="00F44365">
        <w:t xml:space="preserve">  </w:t>
      </w:r>
      <w:r w:rsidR="001A332D">
        <w:t xml:space="preserve">Critically, and completely </w:t>
      </w:r>
      <w:r w:rsidR="00A653C9">
        <w:t>unaddressed</w:t>
      </w:r>
      <w:r w:rsidR="001A332D">
        <w:t xml:space="preserve"> by Shuttle Express, “a petition for rehearing is an application for adjudication under RCW 34.05.413, </w:t>
      </w:r>
      <w:r w:rsidR="001A332D" w:rsidRPr="001A332D">
        <w:rPr>
          <w:b/>
          <w:i/>
        </w:rPr>
        <w:t>and the Commission may deny the application under RCW 34.05.416</w:t>
      </w:r>
      <w:r w:rsidR="001A332D">
        <w:t>.”</w:t>
      </w:r>
      <w:r w:rsidR="001A332D">
        <w:rPr>
          <w:rStyle w:val="FootnoteReference"/>
        </w:rPr>
        <w:footnoteReference w:id="7"/>
      </w:r>
      <w:r w:rsidR="001A332D">
        <w:t xml:space="preserve">  </w:t>
      </w:r>
    </w:p>
    <w:p w:rsidR="001A332D" w:rsidRDefault="00E22351" w:rsidP="00B44AF4">
      <w:pPr>
        <w:pStyle w:val="StyleListParagraphLinespacingDouble"/>
      </w:pPr>
      <w:r>
        <w:lastRenderedPageBreak/>
        <w:t>The</w:t>
      </w:r>
      <w:r w:rsidR="001A332D">
        <w:t xml:space="preserve"> Commission retains discretion to deny a request for adjudication, as provided by RCW 34.05.416:</w:t>
      </w:r>
    </w:p>
    <w:p w:rsidR="001A332D" w:rsidRPr="001A332D" w:rsidRDefault="001A332D" w:rsidP="001A332D">
      <w:pPr>
        <w:pStyle w:val="Quote"/>
      </w:pPr>
      <w:r>
        <w:rPr>
          <w:shd w:val="clear" w:color="auto" w:fill="FFFFFF"/>
        </w:rPr>
        <w:t>If an agency decides not to conduct an adjudicative proceeding in response to an application, the agency shall furnish the applicant a copy of its decision in writing, with a brief statement of the agency's reasons and of any administrative review available to the applicant.</w:t>
      </w:r>
    </w:p>
    <w:p w:rsidR="00B44AF4" w:rsidRDefault="001A332D" w:rsidP="00B44AF4">
      <w:pPr>
        <w:pStyle w:val="StyleListParagraphLinespacingDouble"/>
      </w:pPr>
      <w:r>
        <w:t>That right has been recognized and affirmed by Washington Courts.</w:t>
      </w:r>
      <w:r>
        <w:rPr>
          <w:rStyle w:val="FootnoteReference"/>
        </w:rPr>
        <w:footnoteReference w:id="8"/>
      </w:r>
      <w:r>
        <w:t xml:space="preserve"> </w:t>
      </w:r>
      <w:r w:rsidR="00B44AF4">
        <w:t xml:space="preserve">It appears Shuttle Express believes that bare allegations </w:t>
      </w:r>
      <w:r w:rsidR="00E22351">
        <w:t xml:space="preserve">of counsel </w:t>
      </w:r>
      <w:r w:rsidR="00B44AF4">
        <w:t xml:space="preserve">amounting to </w:t>
      </w:r>
      <w:r w:rsidR="00291B6C">
        <w:t xml:space="preserve">conclusory </w:t>
      </w:r>
      <w:r w:rsidR="00E22351">
        <w:t>regurgitation</w:t>
      </w:r>
      <w:r w:rsidR="00AD2CD6">
        <w:t>s</w:t>
      </w:r>
      <w:r w:rsidR="00A653C9">
        <w:t xml:space="preserve"> of the </w:t>
      </w:r>
      <w:r w:rsidR="00E22351">
        <w:t xml:space="preserve">statutory </w:t>
      </w:r>
      <w:r w:rsidR="00A653C9">
        <w:t>standard</w:t>
      </w:r>
      <w:r w:rsidR="00E22351">
        <w:t>s</w:t>
      </w:r>
      <w:r w:rsidR="00A653C9">
        <w:t xml:space="preserve"> </w:t>
      </w:r>
      <w:r w:rsidR="00B44AF4">
        <w:t>are sufficient to obta</w:t>
      </w:r>
      <w:r w:rsidR="00F44365">
        <w:t>in rehearing of an order every two</w:t>
      </w:r>
      <w:r w:rsidR="00B44AF4">
        <w:t xml:space="preserve"> years if the order is appealed and </w:t>
      </w:r>
      <w:r w:rsidR="00B44AF4" w:rsidRPr="00B44AF4">
        <w:rPr>
          <w:b/>
          <w:i/>
        </w:rPr>
        <w:t>every six months</w:t>
      </w:r>
      <w:r w:rsidR="00A653C9">
        <w:t xml:space="preserve"> if the order is not appealed</w:t>
      </w:r>
      <w:r w:rsidR="00F4009D">
        <w:t xml:space="preserve"> to </w:t>
      </w:r>
      <w:r w:rsidR="000501A2">
        <w:t>c</w:t>
      </w:r>
      <w:r w:rsidR="00AD2CD6">
        <w:t>ourt</w:t>
      </w:r>
      <w:r w:rsidR="00A653C9">
        <w:t xml:space="preserve">.  </w:t>
      </w:r>
      <w:r w:rsidR="00E22351">
        <w:t xml:space="preserve">Speedishuttle is </w:t>
      </w:r>
      <w:r w:rsidR="00AD2CD6">
        <w:t>un</w:t>
      </w:r>
      <w:r w:rsidR="00E22351">
        <w:t>aware of any decision so holding</w:t>
      </w:r>
      <w:r w:rsidR="00291B6C">
        <w:t>.</w:t>
      </w:r>
      <w:r w:rsidR="00B44AF4">
        <w:t xml:space="preserve">  </w:t>
      </w:r>
    </w:p>
    <w:p w:rsidR="00B44AF4" w:rsidRDefault="00B44AF4" w:rsidP="00B44AF4">
      <w:pPr>
        <w:pStyle w:val="StyleListParagraphLinespacingDouble"/>
      </w:pPr>
      <w:r>
        <w:t xml:space="preserve">The </w:t>
      </w:r>
      <w:r w:rsidRPr="00CA057B">
        <w:rPr>
          <w:i/>
        </w:rPr>
        <w:t>US West</w:t>
      </w:r>
      <w:r>
        <w:t xml:space="preserve"> case relied on by Shuttle Express</w:t>
      </w:r>
      <w:r w:rsidR="000501A2">
        <w:t xml:space="preserve"> in its Answer</w:t>
      </w:r>
      <w:r>
        <w:t xml:space="preserve"> </w:t>
      </w:r>
      <w:r w:rsidR="00291B6C">
        <w:t xml:space="preserve">was a telephone </w:t>
      </w:r>
      <w:r w:rsidR="00E22351">
        <w:t xml:space="preserve">general </w:t>
      </w:r>
      <w:r w:rsidR="00DD313A">
        <w:t>rate</w:t>
      </w:r>
      <w:r w:rsidR="00400407">
        <w:t xml:space="preserve"> case</w:t>
      </w:r>
      <w:r w:rsidR="00DD313A">
        <w:t xml:space="preserve">, </w:t>
      </w:r>
      <w:r w:rsidR="00291B6C">
        <w:t xml:space="preserve">not a transportation </w:t>
      </w:r>
      <w:r w:rsidR="00AD2CD6">
        <w:t>application case</w:t>
      </w:r>
      <w:r w:rsidR="00291B6C">
        <w:t xml:space="preserve">, and </w:t>
      </w:r>
      <w:r w:rsidR="008C02CB">
        <w:t>c</w:t>
      </w:r>
      <w:r w:rsidR="00E22351">
        <w:t>ontrary to Shuttle Express’ extrapolation</w:t>
      </w:r>
      <w:r w:rsidR="00AD2CD6">
        <w:t>,</w:t>
      </w:r>
      <w:r w:rsidR="00E22351">
        <w:t xml:space="preserve"> t</w:t>
      </w:r>
      <w:r w:rsidR="00291B6C">
        <w:t xml:space="preserve">he case </w:t>
      </w:r>
      <w:r>
        <w:t>does not hold anything “implicitly.”</w:t>
      </w:r>
      <w:r w:rsidR="009352E8">
        <w:rPr>
          <w:rStyle w:val="FootnoteReference"/>
        </w:rPr>
        <w:footnoteReference w:id="9"/>
      </w:r>
      <w:r>
        <w:t xml:space="preserve">  The </w:t>
      </w:r>
      <w:r w:rsidR="00AD2CD6">
        <w:t>C</w:t>
      </w:r>
      <w:r>
        <w:t xml:space="preserve">ourt </w:t>
      </w:r>
      <w:r w:rsidR="000501A2">
        <w:t xml:space="preserve">there </w:t>
      </w:r>
      <w:r>
        <w:t>confronted the reality before it</w:t>
      </w:r>
      <w:r w:rsidR="009352E8">
        <w:t>,</w:t>
      </w:r>
      <w:r>
        <w:t xml:space="preserve"> which</w:t>
      </w:r>
      <w:r w:rsidR="00400407">
        <w:t xml:space="preserve"> then had</w:t>
      </w:r>
      <w:r>
        <w:t xml:space="preserve"> included a petition for rehearing prior to the expiration of </w:t>
      </w:r>
      <w:r w:rsidR="00384E86">
        <w:t>two</w:t>
      </w:r>
      <w:r>
        <w:t xml:space="preserve"> years and the Commission’s exercise of its discretion.  It found the conclusions of the Commission justified</w:t>
      </w:r>
      <w:r w:rsidR="00A353D9">
        <w:t>, and provided</w:t>
      </w:r>
      <w:r w:rsidR="009352E8">
        <w:t xml:space="preserve"> sufficient reason to deny the application,</w:t>
      </w:r>
      <w:r>
        <w:t xml:space="preserve"> </w:t>
      </w:r>
      <w:r w:rsidR="00A353D9">
        <w:t>then</w:t>
      </w:r>
      <w:r>
        <w:t xml:space="preserve"> </w:t>
      </w:r>
      <w:r w:rsidR="009352E8">
        <w:t>affirmed the denial of the petition for rehearing</w:t>
      </w:r>
      <w:r w:rsidR="00AD2CD6">
        <w:t xml:space="preserve"> by the Commission</w:t>
      </w:r>
      <w:r>
        <w:t>.</w:t>
      </w:r>
      <w:r w:rsidR="009352E8">
        <w:t xml:space="preserve">  </w:t>
      </w:r>
      <w:r w:rsidR="00CA057B">
        <w:t xml:space="preserve">In fact, </w:t>
      </w:r>
      <w:r w:rsidR="009352E8">
        <w:t xml:space="preserve">Speedishuttle cited a </w:t>
      </w:r>
      <w:r w:rsidR="00CA057B">
        <w:t xml:space="preserve">recent </w:t>
      </w:r>
      <w:r w:rsidR="009352E8">
        <w:t xml:space="preserve">Commission decision that adopted the reasoning in </w:t>
      </w:r>
      <w:r w:rsidR="009352E8">
        <w:rPr>
          <w:i/>
        </w:rPr>
        <w:t>US West</w:t>
      </w:r>
      <w:r w:rsidR="009352E8">
        <w:t xml:space="preserve"> in analyzing the near</w:t>
      </w:r>
      <w:r w:rsidR="00384E86">
        <w:t>ly</w:t>
      </w:r>
      <w:r w:rsidR="009352E8">
        <w:t xml:space="preserve"> identical RCW 80.04.200 in its prior Petition for Administrative Review of Initial Order 06.  The </w:t>
      </w:r>
      <w:r w:rsidR="009352E8">
        <w:lastRenderedPageBreak/>
        <w:t>Commission</w:t>
      </w:r>
      <w:r w:rsidR="00384E86">
        <w:t xml:space="preserve"> there</w:t>
      </w:r>
      <w:r w:rsidR="009352E8">
        <w:t xml:space="preserve"> </w:t>
      </w:r>
      <w:r w:rsidR="00A353D9">
        <w:t xml:space="preserve">denied rehearing and </w:t>
      </w:r>
      <w:r w:rsidR="009352E8">
        <w:t>stated “[t]his statute establishes a two-year period during which an issue decided by the Commission need not be reheard.</w:t>
      </w:r>
      <w:r w:rsidR="00A353D9">
        <w:t>”</w:t>
      </w:r>
      <w:r w:rsidR="009352E8">
        <w:rPr>
          <w:rStyle w:val="FootnoteReference"/>
        </w:rPr>
        <w:footnoteReference w:id="10"/>
      </w:r>
      <w:r w:rsidR="009352E8">
        <w:t xml:space="preserve">  </w:t>
      </w:r>
    </w:p>
    <w:p w:rsidR="00B44AF4" w:rsidRDefault="00B44AF4" w:rsidP="00B44AF4">
      <w:pPr>
        <w:pStyle w:val="StyleListParagraphLinespacingDouble"/>
      </w:pPr>
      <w:r>
        <w:t xml:space="preserve">Shuttle Express tries to </w:t>
      </w:r>
      <w:r w:rsidR="00AD2CD6">
        <w:t xml:space="preserve">deflect </w:t>
      </w:r>
      <w:r>
        <w:t xml:space="preserve">the </w:t>
      </w:r>
      <w:r w:rsidR="00F44365">
        <w:t>requir</w:t>
      </w:r>
      <w:r>
        <w:t>ements</w:t>
      </w:r>
      <w:r w:rsidR="00F44365">
        <w:t xml:space="preserve"> set forth in case law</w:t>
      </w:r>
      <w:r>
        <w:t xml:space="preserve"> by citing to a 1927 case which </w:t>
      </w:r>
      <w:r w:rsidR="00F44365">
        <w:t xml:space="preserve">it claims held </w:t>
      </w:r>
      <w:r>
        <w:t>that a finding of “change</w:t>
      </w:r>
      <w:r w:rsidR="00A353D9">
        <w:t>d conditions” was not necessary.</w:t>
      </w:r>
      <w:r w:rsidRPr="00B44AF4">
        <w:rPr>
          <w:szCs w:val="24"/>
          <w:vertAlign w:val="superscript"/>
        </w:rPr>
        <w:footnoteReference w:id="11"/>
      </w:r>
      <w:r>
        <w:t xml:space="preserve">   However, even a</w:t>
      </w:r>
      <w:r w:rsidR="000501A2">
        <w:t>n</w:t>
      </w:r>
      <w:r>
        <w:t xml:space="preserve"> </w:t>
      </w:r>
      <w:r w:rsidR="000501A2">
        <w:t>overview</w:t>
      </w:r>
      <w:r>
        <w:t xml:space="preserve"> reading</w:t>
      </w:r>
      <w:r w:rsidR="00A653C9">
        <w:t xml:space="preserve"> of the cited case reveals it did not hold tha</w:t>
      </w:r>
      <w:r w:rsidR="00384E86">
        <w:t>t the C</w:t>
      </w:r>
      <w:r>
        <w:t xml:space="preserve">ommission’s </w:t>
      </w:r>
      <w:r w:rsidR="00384E86">
        <w:t xml:space="preserve">discretion was proscribed </w:t>
      </w:r>
      <w:r w:rsidR="000501A2">
        <w:t>or that</w:t>
      </w:r>
      <w:r w:rsidR="00F44365">
        <w:t xml:space="preserve"> it must </w:t>
      </w:r>
      <w:r w:rsidR="00AD2CD6">
        <w:t xml:space="preserve">order </w:t>
      </w:r>
      <w:r w:rsidR="00F44365">
        <w:t>the petition to move forward</w:t>
      </w:r>
      <w:r w:rsidR="00A653C9">
        <w:t xml:space="preserve"> to rehearing</w:t>
      </w:r>
      <w:r w:rsidR="00CA057B">
        <w:t xml:space="preserve"> without evaluation</w:t>
      </w:r>
      <w:r>
        <w:t xml:space="preserve">.  Rather, </w:t>
      </w:r>
      <w:r w:rsidR="00F44365">
        <w:t xml:space="preserve">it demonstrates </w:t>
      </w:r>
      <w:r>
        <w:t xml:space="preserve">that </w:t>
      </w:r>
      <w:r w:rsidR="00AD2CD6">
        <w:t xml:space="preserve">the </w:t>
      </w:r>
      <w:r>
        <w:t>predecessor statute to RCW 81.04.200 was substantially similar to the current statute and</w:t>
      </w:r>
      <w:r w:rsidR="00A353D9">
        <w:t xml:space="preserve"> lists multiple bases under which, if met, </w:t>
      </w:r>
      <w:r>
        <w:t>rehearing is authorized.</w:t>
      </w:r>
      <w:r w:rsidRPr="00B44AF4">
        <w:rPr>
          <w:szCs w:val="24"/>
          <w:vertAlign w:val="superscript"/>
        </w:rPr>
        <w:t xml:space="preserve"> </w:t>
      </w:r>
      <w:r w:rsidRPr="00B44AF4">
        <w:rPr>
          <w:szCs w:val="24"/>
          <w:vertAlign w:val="superscript"/>
        </w:rPr>
        <w:footnoteReference w:id="12"/>
      </w:r>
      <w:r>
        <w:t xml:space="preserve">  The court </w:t>
      </w:r>
      <w:r w:rsidR="00384E86">
        <w:t xml:space="preserve">there </w:t>
      </w:r>
      <w:r>
        <w:t>went on to state:</w:t>
      </w:r>
    </w:p>
    <w:p w:rsidR="00F44365" w:rsidRPr="00F44365" w:rsidRDefault="00B44AF4" w:rsidP="00F44365">
      <w:pPr>
        <w:pStyle w:val="Quote"/>
      </w:pPr>
      <w:r>
        <w:t>The order does not set out whether it was made because of changed conditions….</w:t>
      </w:r>
      <w:r w:rsidRPr="006A3968">
        <w:rPr>
          <w:b/>
          <w:i/>
        </w:rPr>
        <w:t>It may well be that the commission thought the effect of its former order was such as was not contemplated at the time of the original hearing</w:t>
      </w:r>
      <w:r w:rsidR="00F44365">
        <w:t>…</w:t>
      </w:r>
      <w:r w:rsidR="00A653C9">
        <w:rPr>
          <w:rStyle w:val="FootnoteReference"/>
        </w:rPr>
        <w:footnoteReference w:id="13"/>
      </w:r>
    </w:p>
    <w:p w:rsidR="00B44AF4" w:rsidRDefault="00B44AF4" w:rsidP="00B44AF4">
      <w:pPr>
        <w:pStyle w:val="StyleListParagraphLinespacingDouble"/>
      </w:pPr>
      <w:r>
        <w:t xml:space="preserve">Plainly, the </w:t>
      </w:r>
      <w:r w:rsidR="00A353D9">
        <w:t xml:space="preserve">correct </w:t>
      </w:r>
      <w:r>
        <w:t>co</w:t>
      </w:r>
      <w:r w:rsidR="00F44365">
        <w:t>nclusion is not that the C</w:t>
      </w:r>
      <w:r>
        <w:t>ommission is</w:t>
      </w:r>
      <w:r w:rsidR="00384E86">
        <w:t xml:space="preserve"> ever </w:t>
      </w:r>
      <w:r>
        <w:t>bound to rehear a petition, but rather the petition for rehearing</w:t>
      </w:r>
      <w:r w:rsidR="00AD2CD6">
        <w:t xml:space="preserve"> qualifies under the </w:t>
      </w:r>
      <w:r>
        <w:t xml:space="preserve">statutory bases </w:t>
      </w:r>
      <w:r w:rsidR="00AD2CD6">
        <w:t xml:space="preserve">in </w:t>
      </w:r>
      <w:r>
        <w:t>which the commission “m</w:t>
      </w:r>
      <w:r w:rsidR="00F44365">
        <w:t>ay review” such an order</w:t>
      </w:r>
      <w:r w:rsidR="00AD2CD6">
        <w:t>,</w:t>
      </w:r>
      <w:r w:rsidR="00384E86">
        <w:t xml:space="preserve"> </w:t>
      </w:r>
      <w:r w:rsidR="00384E86" w:rsidRPr="000501A2">
        <w:rPr>
          <w:u w:val="single"/>
        </w:rPr>
        <w:t>in its discretion</w:t>
      </w:r>
      <w:r w:rsidR="00F44365">
        <w:t xml:space="preserve">.  </w:t>
      </w:r>
      <w:r w:rsidR="00D01C36">
        <w:t>Again, t</w:t>
      </w:r>
      <w:r w:rsidR="00F44365">
        <w:t>he C</w:t>
      </w:r>
      <w:r>
        <w:t>ommission should not elect</w:t>
      </w:r>
      <w:r w:rsidR="00384E86">
        <w:t xml:space="preserve"> to </w:t>
      </w:r>
      <w:r w:rsidR="00AD2CD6">
        <w:t xml:space="preserve">do so </w:t>
      </w:r>
      <w:r w:rsidR="00384E86">
        <w:t xml:space="preserve">here.  </w:t>
      </w:r>
    </w:p>
    <w:p w:rsidR="00E84B22" w:rsidRDefault="00E84B22" w:rsidP="00B44AF4">
      <w:pPr>
        <w:pStyle w:val="StyleListParagraphLinespacingDouble"/>
      </w:pPr>
      <w:r>
        <w:t>Indeed</w:t>
      </w:r>
      <w:r w:rsidR="00384E86">
        <w:t>,</w:t>
      </w:r>
      <w:r>
        <w:t xml:space="preserve"> the Staff </w:t>
      </w:r>
      <w:r w:rsidR="00384E86">
        <w:t xml:space="preserve">on this issue </w:t>
      </w:r>
      <w:r w:rsidR="00D01C36">
        <w:t xml:space="preserve">appears to now </w:t>
      </w:r>
      <w:r>
        <w:t>share Speedishuttle’s concerns regarding Shuttle Express’ tactics and intent</w:t>
      </w:r>
      <w:r w:rsidR="00D01C36">
        <w:t xml:space="preserve"> on this focal </w:t>
      </w:r>
      <w:r w:rsidR="00AD2CD6">
        <w:t xml:space="preserve">rehearing </w:t>
      </w:r>
      <w:r w:rsidR="00D01C36">
        <w:t>issue</w:t>
      </w:r>
      <w:r>
        <w:t>:</w:t>
      </w:r>
    </w:p>
    <w:p w:rsidR="00E84B22" w:rsidRDefault="009F55B2" w:rsidP="00F44365">
      <w:pPr>
        <w:pStyle w:val="Quote"/>
      </w:pPr>
      <w:r>
        <w:t>…</w:t>
      </w:r>
      <w:r w:rsidR="00E84B22">
        <w:t xml:space="preserve">Staff fears that Shuttle Express will exploit the ambiguity in Initial Order 06 to justify complete relitigation of the BAP, as though the original proceedings never occurred. Staff is particularly concerned that Shuttle </w:t>
      </w:r>
      <w:r w:rsidR="00E84B22" w:rsidRPr="008E67D3">
        <w:t xml:space="preserve">Express will </w:t>
      </w:r>
      <w:proofErr w:type="spellStart"/>
      <w:r w:rsidR="00E84B22">
        <w:t>relitigate</w:t>
      </w:r>
      <w:proofErr w:type="spellEnd"/>
      <w:r w:rsidR="00E84B22">
        <w:t xml:space="preserve"> its dispute regarding </w:t>
      </w:r>
      <w:r w:rsidR="00E84B22" w:rsidRPr="008E67D3">
        <w:t>Speedis</w:t>
      </w:r>
      <w:r w:rsidR="00496648">
        <w:t>huttle’s “walk-up” kiosk at Sea</w:t>
      </w:r>
      <w:r w:rsidR="00E84B22" w:rsidRPr="008E67D3">
        <w:t>Tac Airport, even though the Commission already decided that its rules “do not prohib</w:t>
      </w:r>
      <w:r>
        <w:t>it Speedishuttle from offering ‘</w:t>
      </w:r>
      <w:r w:rsidR="00E84B22" w:rsidRPr="008E67D3">
        <w:t xml:space="preserve">walk-up’ service,” and that, in any event, “once a certificate has been </w:t>
      </w:r>
      <w:r w:rsidR="00E84B22" w:rsidRPr="008E67D3">
        <w:lastRenderedPageBreak/>
        <w:t xml:space="preserve">issued, the rules do not permit </w:t>
      </w:r>
      <w:r w:rsidR="00E84B22">
        <w:t>[the Commission]</w:t>
      </w:r>
      <w:r w:rsidR="00E84B22" w:rsidRPr="008E67D3">
        <w:t xml:space="preserve"> to attach conditions to it retroactively</w:t>
      </w:r>
      <w:r w:rsidR="00E84B22">
        <w:rPr>
          <w:sz w:val="23"/>
          <w:szCs w:val="23"/>
        </w:rPr>
        <w:t>.”</w:t>
      </w:r>
      <w:r w:rsidR="00E84B22">
        <w:rPr>
          <w:rStyle w:val="FootnoteReference"/>
        </w:rPr>
        <w:footnoteReference w:id="14"/>
      </w:r>
      <w:r w:rsidR="00E84B22">
        <w:t xml:space="preserve"> It is unclear why Shuttle Express thinks this issue is still alive.</w:t>
      </w:r>
      <w:r w:rsidR="00E84B22">
        <w:rPr>
          <w:rStyle w:val="FootnoteReference"/>
        </w:rPr>
        <w:footnoteReference w:id="15"/>
      </w:r>
    </w:p>
    <w:p w:rsidR="006A3968" w:rsidRDefault="006A3968" w:rsidP="00B44AF4">
      <w:pPr>
        <w:pStyle w:val="StyleListParagraphLinespacingDouble"/>
      </w:pPr>
      <w:r>
        <w:t xml:space="preserve">The Commission should </w:t>
      </w:r>
      <w:r w:rsidR="00384E86">
        <w:t xml:space="preserve">now </w:t>
      </w:r>
      <w:r>
        <w:t xml:space="preserve">step in, evaluate </w:t>
      </w:r>
      <w:r w:rsidR="00C440E5">
        <w:t xml:space="preserve">Initial </w:t>
      </w:r>
      <w:r>
        <w:t xml:space="preserve">Order 06 and prevent the full-blown relitigation of the very same issues decided by this Commission previously.  The weight of authority </w:t>
      </w:r>
      <w:r w:rsidR="00D01C36">
        <w:t xml:space="preserve">above </w:t>
      </w:r>
      <w:r>
        <w:t>demonstrates it has the discretion to do so</w:t>
      </w:r>
      <w:r w:rsidR="00384E86">
        <w:t xml:space="preserve"> which concomitantly involves its inherent right to control the scope of </w:t>
      </w:r>
      <w:r w:rsidR="00D01C36">
        <w:t xml:space="preserve">any </w:t>
      </w:r>
      <w:r w:rsidR="00384E86">
        <w:t>rehearing</w:t>
      </w:r>
      <w:r w:rsidR="00C440E5">
        <w:t xml:space="preserve"> under its procedural rules.</w:t>
      </w:r>
    </w:p>
    <w:p w:rsidR="000501A2" w:rsidRPr="000501A2" w:rsidRDefault="006A3968" w:rsidP="000501A2">
      <w:pPr>
        <w:pStyle w:val="Heading2"/>
      </w:pPr>
      <w:r>
        <w:t xml:space="preserve">Shuttle Express Presented No </w:t>
      </w:r>
      <w:r w:rsidR="00400407">
        <w:t xml:space="preserve">Admissible </w:t>
      </w:r>
      <w:r>
        <w:t xml:space="preserve">Evidence to Support Its </w:t>
      </w:r>
      <w:r w:rsidR="005C4CA1">
        <w:t xml:space="preserve">Bald </w:t>
      </w:r>
      <w:r>
        <w:t>Accusations</w:t>
      </w:r>
      <w:r w:rsidR="005C4CA1">
        <w:t>;</w:t>
      </w:r>
      <w:r>
        <w:t xml:space="preserve"> It Should Not Have the Opportunity for Rehearing</w:t>
      </w:r>
    </w:p>
    <w:p w:rsidR="00C440E5" w:rsidRDefault="00B52A62" w:rsidP="00AF5C46">
      <w:pPr>
        <w:pStyle w:val="StyleListParagraphLinespacingDouble"/>
      </w:pPr>
      <w:r>
        <w:t xml:space="preserve">Nowhere does Shuttle Express address the authority cited by Speedishuttle regarding the appropriate standard </w:t>
      </w:r>
      <w:r w:rsidR="000501A2">
        <w:t>by</w:t>
      </w:r>
      <w:r>
        <w:t xml:space="preserve"> which to analyze Shuttle Express’ petition</w:t>
      </w:r>
      <w:r w:rsidR="00540A46">
        <w:t xml:space="preserve"> for rehearing</w:t>
      </w:r>
      <w:r>
        <w:t xml:space="preserve">.  </w:t>
      </w:r>
      <w:r w:rsidR="00B44AF4">
        <w:t xml:space="preserve">Shuttle Express makes no apologies for its failure to supply evidentiary facts to support its petition, instead </w:t>
      </w:r>
      <w:r>
        <w:t xml:space="preserve">arguing the Commission should </w:t>
      </w:r>
      <w:r w:rsidR="000501A2">
        <w:t xml:space="preserve">simply </w:t>
      </w:r>
      <w:r>
        <w:t xml:space="preserve">apply a </w:t>
      </w:r>
      <w:r w:rsidR="00B44AF4">
        <w:t xml:space="preserve">notice pleading standard </w:t>
      </w:r>
      <w:r>
        <w:t xml:space="preserve">to </w:t>
      </w:r>
      <w:r w:rsidR="005C4CA1">
        <w:t xml:space="preserve">that </w:t>
      </w:r>
      <w:r>
        <w:t xml:space="preserve">petition.  </w:t>
      </w:r>
      <w:r w:rsidR="00C440E5">
        <w:t xml:space="preserve">Again, </w:t>
      </w:r>
      <w:r w:rsidR="008C02CB">
        <w:t>Shuttle Express cites no Commission decision or statute in support</w:t>
      </w:r>
      <w:r>
        <w:t xml:space="preserve"> of that </w:t>
      </w:r>
      <w:r w:rsidR="00400407">
        <w:t xml:space="preserve">broad </w:t>
      </w:r>
      <w:r>
        <w:t>claim</w:t>
      </w:r>
      <w:r w:rsidR="008C02CB">
        <w:t>.</w:t>
      </w:r>
      <w:r w:rsidR="008C02CB">
        <w:rPr>
          <w:rStyle w:val="FootnoteReference"/>
        </w:rPr>
        <w:footnoteReference w:id="16"/>
      </w:r>
      <w:r w:rsidR="008C02CB">
        <w:t xml:space="preserve">  </w:t>
      </w:r>
      <w:r w:rsidR="00B44AF4">
        <w:t xml:space="preserve">While </w:t>
      </w:r>
      <w:r>
        <w:t xml:space="preserve">such basic </w:t>
      </w:r>
      <w:r w:rsidR="00C440E5">
        <w:t xml:space="preserve">notice </w:t>
      </w:r>
      <w:r>
        <w:t>pleading</w:t>
      </w:r>
      <w:r w:rsidR="00B44AF4">
        <w:t xml:space="preserve"> might </w:t>
      </w:r>
      <w:r w:rsidR="00384E86">
        <w:t>suffice in some fashion</w:t>
      </w:r>
      <w:r w:rsidR="00B44AF4">
        <w:t xml:space="preserve"> for a complaint, </w:t>
      </w:r>
      <w:r>
        <w:t>it</w:t>
      </w:r>
      <w:r w:rsidR="00B44AF4">
        <w:t xml:space="preserve"> cannot </w:t>
      </w:r>
      <w:r>
        <w:t xml:space="preserve">for </w:t>
      </w:r>
      <w:r w:rsidR="00B44AF4">
        <w:t xml:space="preserve">a </w:t>
      </w:r>
      <w:r>
        <w:t>p</w:t>
      </w:r>
      <w:r w:rsidR="00384E86">
        <w:t>etition</w:t>
      </w:r>
      <w:r w:rsidR="00B44AF4">
        <w:t xml:space="preserve"> which seeks to reopen previous </w:t>
      </w:r>
      <w:r w:rsidR="000501A2">
        <w:t xml:space="preserve">closed </w:t>
      </w:r>
      <w:r w:rsidR="00B44AF4">
        <w:t xml:space="preserve">proceedings </w:t>
      </w:r>
      <w:r w:rsidR="00AF5C46">
        <w:t>and rehear new evidence</w:t>
      </w:r>
      <w:r w:rsidR="00C440E5">
        <w:t xml:space="preserve"> by making outlandish accusations and characterizations and </w:t>
      </w:r>
      <w:r w:rsidR="005C4CA1">
        <w:t xml:space="preserve">simply </w:t>
      </w:r>
      <w:r w:rsidR="00C440E5">
        <w:t xml:space="preserve">claim its unfettered discovery right will </w:t>
      </w:r>
      <w:r w:rsidR="000501A2">
        <w:t>subsequently</w:t>
      </w:r>
      <w:r w:rsidR="00C440E5">
        <w:t xml:space="preserve"> support those bare assertions</w:t>
      </w:r>
      <w:r w:rsidR="000501A2">
        <w:t xml:space="preserve"> in “the public interest</w:t>
      </w:r>
      <w:r>
        <w:t>.</w:t>
      </w:r>
      <w:r w:rsidR="000501A2">
        <w:t>”</w:t>
      </w:r>
      <w:r>
        <w:t xml:space="preserve">  </w:t>
      </w:r>
    </w:p>
    <w:p w:rsidR="00AF56F8" w:rsidRDefault="00AF5C46" w:rsidP="00AF5C46">
      <w:pPr>
        <w:pStyle w:val="StyleListParagraphLinespacingDouble"/>
      </w:pPr>
      <w:r>
        <w:t>Th</w:t>
      </w:r>
      <w:r w:rsidR="00C440E5">
        <w:t>is</w:t>
      </w:r>
      <w:r>
        <w:t xml:space="preserve"> is precisely why the C</w:t>
      </w:r>
      <w:r w:rsidR="00B44AF4">
        <w:t>ommission looks to CR 59 for guidance</w:t>
      </w:r>
      <w:r>
        <w:t xml:space="preserve">, as it </w:t>
      </w:r>
      <w:r w:rsidR="00B52A62">
        <w:t>sets forth the standard for a</w:t>
      </w:r>
      <w:r>
        <w:t xml:space="preserve"> </w:t>
      </w:r>
      <w:r w:rsidR="00C440E5">
        <w:t>“</w:t>
      </w:r>
      <w:r>
        <w:t>New Trial, Reconsideration and Amendment of Judgment</w:t>
      </w:r>
      <w:r w:rsidR="00AF56F8">
        <w:t>s.</w:t>
      </w:r>
      <w:r w:rsidR="00C440E5">
        <w:t xml:space="preserve">” </w:t>
      </w:r>
      <w:r w:rsidR="00AF56F8">
        <w:t xml:space="preserve"> It is therefore</w:t>
      </w:r>
      <w:r w:rsidR="000501A2">
        <w:t xml:space="preserve"> wholly</w:t>
      </w:r>
      <w:r w:rsidR="00AF56F8">
        <w:t xml:space="preserve"> </w:t>
      </w:r>
      <w:r w:rsidR="00400407">
        <w:t xml:space="preserve">inaccurate </w:t>
      </w:r>
      <w:r w:rsidR="00AF56F8">
        <w:t xml:space="preserve">to characterize Speedishuttle’s Petition for Administrative </w:t>
      </w:r>
      <w:r w:rsidR="00D01C36">
        <w:t>R</w:t>
      </w:r>
      <w:r w:rsidR="00AF56F8">
        <w:t xml:space="preserve">eview as a </w:t>
      </w:r>
      <w:r w:rsidR="00AF56F8">
        <w:lastRenderedPageBreak/>
        <w:t>dispositive motion.</w:t>
      </w:r>
      <w:r w:rsidR="00B52A62">
        <w:rPr>
          <w:rStyle w:val="FootnoteReference"/>
        </w:rPr>
        <w:footnoteReference w:id="17"/>
      </w:r>
      <w:r w:rsidR="00AF56F8">
        <w:t xml:space="preserve">  Instead</w:t>
      </w:r>
      <w:r w:rsidR="00C440E5">
        <w:t>,</w:t>
      </w:r>
      <w:r w:rsidR="00AF56F8">
        <w:t xml:space="preserve"> it is simply a </w:t>
      </w:r>
      <w:r w:rsidR="00B52A62">
        <w:t xml:space="preserve">request for </w:t>
      </w:r>
      <w:r w:rsidR="00AF56F8">
        <w:t>reexamination of the sufficiency of Shuttle Express’ Petition for Rehearing</w:t>
      </w:r>
      <w:r w:rsidR="00C440E5">
        <w:t xml:space="preserve"> under RCW 81.04.200</w:t>
      </w:r>
      <w:r w:rsidR="00AF56F8">
        <w:t xml:space="preserve"> </w:t>
      </w:r>
      <w:r w:rsidR="00400407">
        <w:t xml:space="preserve">in Initial Order 06 </w:t>
      </w:r>
      <w:r w:rsidR="00AF56F8">
        <w:t xml:space="preserve">on which Shuttle Express carries the burden to demonstrate such </w:t>
      </w:r>
      <w:r w:rsidR="000501A2">
        <w:t xml:space="preserve">extraordinary </w:t>
      </w:r>
      <w:r w:rsidR="00AF56F8">
        <w:t xml:space="preserve">relief is warranted.  </w:t>
      </w:r>
      <w:r w:rsidR="00384E86">
        <w:t xml:space="preserve">And just because Shuttle Express hopelessly entangled its Complaint and Petition </w:t>
      </w:r>
      <w:r w:rsidR="00540A46">
        <w:t xml:space="preserve">allegations </w:t>
      </w:r>
      <w:r w:rsidR="00384E86">
        <w:t>does not mean standards for review of both cannot be bifurcated</w:t>
      </w:r>
      <w:r w:rsidR="000501A2">
        <w:t>, separated</w:t>
      </w:r>
      <w:r w:rsidR="00D01C36">
        <w:t xml:space="preserve"> or distinguished</w:t>
      </w:r>
      <w:r w:rsidR="00384E86">
        <w:t xml:space="preserve">.  </w:t>
      </w:r>
    </w:p>
    <w:p w:rsidR="00B44AF4" w:rsidRDefault="00540A46" w:rsidP="00AF5C46">
      <w:pPr>
        <w:pStyle w:val="StyleListParagraphLinespacingDouble"/>
      </w:pPr>
      <w:r>
        <w:t>While i</w:t>
      </w:r>
      <w:r w:rsidR="00384E86">
        <w:t>t is true</w:t>
      </w:r>
      <w:r w:rsidR="00B44AF4">
        <w:t xml:space="preserve">, WAC 480-07-370 </w:t>
      </w:r>
      <w:r w:rsidR="000501A2">
        <w:t xml:space="preserve">generally </w:t>
      </w:r>
      <w:r w:rsidR="00B44AF4">
        <w:t>characterizes a petition for rehearing as a “pleading” and makes no specific mention of a specific standar</w:t>
      </w:r>
      <w:r>
        <w:t xml:space="preserve">d </w:t>
      </w:r>
      <w:r w:rsidR="00D01C36">
        <w:t>applicable to such a document, as noted</w:t>
      </w:r>
      <w:r w:rsidR="00B44AF4">
        <w:t xml:space="preserve">, </w:t>
      </w:r>
      <w:r w:rsidR="00384E86">
        <w:t>the</w:t>
      </w:r>
      <w:r w:rsidR="00B44AF4">
        <w:t xml:space="preserve"> Co</w:t>
      </w:r>
      <w:r w:rsidR="006A3968">
        <w:t xml:space="preserve">mmission has enunciated additional standards </w:t>
      </w:r>
      <w:r>
        <w:t xml:space="preserve">for interpreting the sufficiency of petitions for rehearing </w:t>
      </w:r>
      <w:r w:rsidR="006A3968">
        <w:t xml:space="preserve">in </w:t>
      </w:r>
      <w:r w:rsidR="00C277F3">
        <w:t>previous decisions</w:t>
      </w:r>
      <w:r w:rsidR="006A3968">
        <w:t>.</w:t>
      </w:r>
      <w:r w:rsidR="00D01C36">
        <w:t xml:space="preserve"> </w:t>
      </w:r>
      <w:r w:rsidR="006A3968">
        <w:t xml:space="preserve"> The Commission looks to CR 59</w:t>
      </w:r>
      <w:r w:rsidR="00C440E5">
        <w:t xml:space="preserve"> by analogy</w:t>
      </w:r>
      <w:r w:rsidR="006A3968">
        <w:t>, which requires competent evidence be presented.</w:t>
      </w:r>
      <w:r w:rsidR="00B52A62">
        <w:t xml:space="preserve">  Shuttle Express provides none, </w:t>
      </w:r>
      <w:r w:rsidR="00C440E5">
        <w:t xml:space="preserve">only </w:t>
      </w:r>
      <w:r w:rsidR="00400407">
        <w:t xml:space="preserve">increasingly </w:t>
      </w:r>
      <w:r w:rsidR="00C440E5">
        <w:t>e</w:t>
      </w:r>
      <w:r w:rsidR="000501A2">
        <w:t>scalating</w:t>
      </w:r>
      <w:r w:rsidR="00C440E5">
        <w:t xml:space="preserve"> intemperate allegations</w:t>
      </w:r>
      <w:r w:rsidR="000501A2">
        <w:t xml:space="preserve"> and the impugning of Speedishuttle’s veracity and motives</w:t>
      </w:r>
      <w:r w:rsidR="00B52A62">
        <w:t>.</w:t>
      </w:r>
    </w:p>
    <w:p w:rsidR="000501A2" w:rsidRDefault="000501A2" w:rsidP="000501A2">
      <w:pPr>
        <w:pStyle w:val="Heading2"/>
      </w:pPr>
      <w:r>
        <w:t xml:space="preserve">Shuttle Express’ Rendition of the Rehearing Statute Essentially </w:t>
      </w:r>
      <w:r w:rsidR="00F4009D">
        <w:t>Gu</w:t>
      </w:r>
      <w:r w:rsidR="000C43A6">
        <w:t>ts</w:t>
      </w:r>
      <w:r>
        <w:t xml:space="preserve"> the Viability of Judicial Review Petitions </w:t>
      </w:r>
      <w:proofErr w:type="gramStart"/>
      <w:r>
        <w:t>Under</w:t>
      </w:r>
      <w:proofErr w:type="gramEnd"/>
      <w:r>
        <w:t xml:space="preserve"> the State Administrative Procedure Act.</w:t>
      </w:r>
    </w:p>
    <w:p w:rsidR="000C43A6" w:rsidRPr="000C43A6" w:rsidRDefault="000C43A6" w:rsidP="000C43A6">
      <w:pPr>
        <w:pStyle w:val="StyleListParagraphLinespacingDouble"/>
      </w:pPr>
      <w:r>
        <w:t>The self-announced automatic right to rehearing as now portrayed by Shuttle Express in its September 1 Answer effectively nullifies judicial appeals under RCW 34.05.570 of the Administrative Procedure Act.  Under its astonishing premise, a disappointed application litigant merely waits six months after a Final Order and petition for rehearing, citing “new evidence,” result “otherwise not anticipated” or other such statutory incantations and triggers complete rehearing.  And here, Shuttle Express receives not just a new brief adjudicative proceed</w:t>
      </w:r>
      <w:r w:rsidR="00F4009D">
        <w:t>ing rehearing mandated by WAC 48</w:t>
      </w:r>
      <w:r>
        <w:t xml:space="preserve">0-30 et seq., but a full-blown conventional adjudicative proceeding with </w:t>
      </w:r>
      <w:proofErr w:type="spellStart"/>
      <w:r>
        <w:t>predistributed</w:t>
      </w:r>
      <w:proofErr w:type="spellEnd"/>
      <w:r>
        <w:t xml:space="preserve"> testimony, unfettered discovery and attendant </w:t>
      </w:r>
      <w:r>
        <w:lastRenderedPageBreak/>
        <w:t>protracted process.  This approach, of course, also facilitates a pe</w:t>
      </w:r>
      <w:r w:rsidR="00F4009D">
        <w:t>rmanent “cat and mouse” game in t</w:t>
      </w:r>
      <w:r>
        <w:t>h</w:t>
      </w:r>
      <w:r w:rsidR="009F55B2">
        <w:t>e interplay between RCW 34.05.57</w:t>
      </w:r>
      <w:r>
        <w:t>0</w:t>
      </w:r>
      <w:r w:rsidR="009F55B2">
        <w:t>(3)</w:t>
      </w:r>
      <w:r>
        <w:t xml:space="preserve"> and RCW 81.04.200, and renders hollow any final order granting certificate authority since an automatic “redo”</w:t>
      </w:r>
      <w:r w:rsidR="009C5B6A">
        <w:t xml:space="preserve"> of that proceeding </w:t>
      </w:r>
      <w:r>
        <w:t>potentially lies ahead</w:t>
      </w:r>
      <w:r w:rsidR="009C5B6A">
        <w:t xml:space="preserve"> for any successful applicant.  In </w:t>
      </w:r>
      <w:r w:rsidR="00F4009D">
        <w:t>short</w:t>
      </w:r>
      <w:r w:rsidR="009C5B6A">
        <w:t xml:space="preserve">, Shuttle Express advances yet another collateral attack, </w:t>
      </w:r>
      <w:r w:rsidR="00F4009D">
        <w:t xml:space="preserve">here, </w:t>
      </w:r>
      <w:r w:rsidR="009C5B6A">
        <w:t>this time on a statute</w:t>
      </w:r>
      <w:r w:rsidR="009F55B2">
        <w:t>,</w:t>
      </w:r>
      <w:r w:rsidR="009C5B6A">
        <w:t xml:space="preserve"> and in so doing, renders superfluous the entire petition for judicial review mechanism.</w:t>
      </w:r>
    </w:p>
    <w:p w:rsidR="0073737E" w:rsidRPr="00CA057B" w:rsidRDefault="006D1132" w:rsidP="006D1132">
      <w:pPr>
        <w:pStyle w:val="Heading1"/>
        <w:rPr>
          <w:b/>
        </w:rPr>
      </w:pPr>
      <w:r w:rsidRPr="00CA057B">
        <w:rPr>
          <w:b/>
        </w:rPr>
        <w:t>conclusion</w:t>
      </w:r>
    </w:p>
    <w:p w:rsidR="00D01C36" w:rsidRDefault="00540A46" w:rsidP="006D1132">
      <w:pPr>
        <w:pStyle w:val="StyleListParagraphLinespacingDouble"/>
      </w:pPr>
      <w:r>
        <w:t xml:space="preserve">Shuttle Express </w:t>
      </w:r>
      <w:r w:rsidR="00C440E5">
        <w:t>seeks to proscribe</w:t>
      </w:r>
      <w:r>
        <w:t xml:space="preserve"> the Commission’s jurisdiction and discretion under RCW 81.04.200 in an unprecedented fashion without any authority by</w:t>
      </w:r>
      <w:r w:rsidR="00C440E5">
        <w:t xml:space="preserve"> arguing that, on the basis of “</w:t>
      </w:r>
      <w:r>
        <w:t>shotgun” allegations, it apparently</w:t>
      </w:r>
      <w:r w:rsidR="009C5B6A" w:rsidRPr="009C5B6A">
        <w:rPr>
          <w:rFonts w:asciiTheme="minorHAnsi" w:eastAsiaTheme="minorHAnsi" w:hAnsiTheme="minorHAnsi" w:cstheme="minorBidi"/>
          <w:sz w:val="22"/>
          <w:szCs w:val="22"/>
        </w:rPr>
        <w:t xml:space="preserve"> </w:t>
      </w:r>
      <w:r w:rsidR="009C5B6A" w:rsidRPr="009C5B6A">
        <w:t>has</w:t>
      </w:r>
      <w:r>
        <w:t xml:space="preserve"> an automatic right to rehearing once six months have passed if it did not file a Petition for Judicial Review</w:t>
      </w:r>
      <w:r w:rsidR="00D01C36">
        <w:t xml:space="preserve">. </w:t>
      </w:r>
      <w:r>
        <w:t xml:space="preserve"> </w:t>
      </w:r>
      <w:r w:rsidR="00D01C36">
        <w:t xml:space="preserve">According to it, </w:t>
      </w:r>
      <w:r>
        <w:t>the Commission must</w:t>
      </w:r>
      <w:r w:rsidR="00F4009D">
        <w:t xml:space="preserve"> then</w:t>
      </w:r>
      <w:r>
        <w:t xml:space="preserve"> order a full-blown “do-over” of the original application case.  Not only is this a deeply flawed argument constraining th</w:t>
      </w:r>
      <w:r w:rsidR="00D01C36">
        <w:t>e C</w:t>
      </w:r>
      <w:r>
        <w:t xml:space="preserve">ommission’s broad discretion over proceedings under Title 81 RCW, but it is </w:t>
      </w:r>
      <w:r w:rsidR="00400407">
        <w:t xml:space="preserve">paralyzing </w:t>
      </w:r>
      <w:r>
        <w:t xml:space="preserve">to the orderly decision-making of this administrative body.  </w:t>
      </w:r>
    </w:p>
    <w:p w:rsidR="006D1132" w:rsidRDefault="00540A46" w:rsidP="006D1132">
      <w:pPr>
        <w:pStyle w:val="StyleListParagraphLinespacingDouble"/>
      </w:pPr>
      <w:r>
        <w:t>In Shuttle Express’ now transparent</w:t>
      </w:r>
      <w:r w:rsidR="00D01C36">
        <w:t>ly self-serving</w:t>
      </w:r>
      <w:r>
        <w:t xml:space="preserve"> view </w:t>
      </w:r>
      <w:r w:rsidR="00C440E5">
        <w:t xml:space="preserve">in </w:t>
      </w:r>
      <w:r>
        <w:t>its Answer to the Petition for Review</w:t>
      </w:r>
      <w:r w:rsidR="005C4CA1">
        <w:t xml:space="preserve"> in critiquing Order 06</w:t>
      </w:r>
      <w:r>
        <w:t xml:space="preserve">, any party who objects to an application result who does not file a judicial appeal of that decision, has, six months </w:t>
      </w:r>
      <w:r w:rsidR="00846C15">
        <w:t>after</w:t>
      </w:r>
      <w:r>
        <w:t xml:space="preserve"> that Order</w:t>
      </w:r>
      <w:r w:rsidR="00D01C36">
        <w:t>,</w:t>
      </w:r>
      <w:r>
        <w:t xml:space="preserve"> essentially an automatic, unfettered right to a complete “redo” of that application.  Clearly</w:t>
      </w:r>
      <w:r w:rsidR="00D01C36">
        <w:t>,</w:t>
      </w:r>
      <w:r>
        <w:t xml:space="preserve"> under this analysis, no new entrant </w:t>
      </w:r>
      <w:r w:rsidR="00D01C36">
        <w:t xml:space="preserve">granted operating authority </w:t>
      </w:r>
      <w:r>
        <w:t xml:space="preserve">is </w:t>
      </w:r>
      <w:r w:rsidR="00400407">
        <w:t xml:space="preserve">ever </w:t>
      </w:r>
      <w:r>
        <w:t xml:space="preserve">safe or secure in making </w:t>
      </w:r>
      <w:r w:rsidR="00496648">
        <w:t>the necessary</w:t>
      </w:r>
      <w:r>
        <w:t xml:space="preserve"> investments to launch regulated service</w:t>
      </w:r>
      <w:r w:rsidR="009C5B6A">
        <w:t>,</w:t>
      </w:r>
      <w:r>
        <w:t xml:space="preserve"> but instead, remains in a</w:t>
      </w:r>
      <w:r w:rsidR="00400407">
        <w:t>n indefinite</w:t>
      </w:r>
      <w:r>
        <w:t xml:space="preserve"> suspended </w:t>
      </w:r>
      <w:r w:rsidR="00D01C36">
        <w:t xml:space="preserve">animation </w:t>
      </w:r>
      <w:r>
        <w:t xml:space="preserve">period </w:t>
      </w:r>
      <w:r w:rsidR="00400407">
        <w:t xml:space="preserve">in </w:t>
      </w:r>
      <w:r>
        <w:t xml:space="preserve">which it is apparently forever subject to the spontaneous whims of an incumbent provider </w:t>
      </w:r>
      <w:r w:rsidR="00D01C36">
        <w:t xml:space="preserve">who disagrees </w:t>
      </w:r>
      <w:r>
        <w:t xml:space="preserve">with the outcome of </w:t>
      </w:r>
      <w:r w:rsidR="00400407">
        <w:t xml:space="preserve">an application </w:t>
      </w:r>
      <w:r>
        <w:t>proceeding</w:t>
      </w:r>
      <w:r w:rsidR="00C440E5">
        <w:t xml:space="preserve">. </w:t>
      </w:r>
      <w:r w:rsidR="00D01C36">
        <w:t xml:space="preserve"> </w:t>
      </w:r>
      <w:r w:rsidR="00C440E5">
        <w:t xml:space="preserve">That new entrant is </w:t>
      </w:r>
      <w:r w:rsidR="00400407">
        <w:t xml:space="preserve">then </w:t>
      </w:r>
      <w:r w:rsidR="00C440E5">
        <w:t xml:space="preserve">completely vulnerable to an incumbent </w:t>
      </w:r>
      <w:r w:rsidR="00D01C36">
        <w:t xml:space="preserve">who </w:t>
      </w:r>
      <w:r>
        <w:t xml:space="preserve">can throw </w:t>
      </w:r>
      <w:r>
        <w:lastRenderedPageBreak/>
        <w:t>any bare assertion</w:t>
      </w:r>
      <w:r w:rsidR="00D01C36">
        <w:t>s</w:t>
      </w:r>
      <w:r>
        <w:t xml:space="preserve"> against the wall claiming “changed conditions,” </w:t>
      </w:r>
      <w:r w:rsidR="00D01C36">
        <w:t>“</w:t>
      </w:r>
      <w:r>
        <w:t>result</w:t>
      </w:r>
      <w:r w:rsidR="00400407">
        <w:t>s</w:t>
      </w:r>
      <w:r>
        <w:t xml:space="preserve"> no</w:t>
      </w:r>
      <w:r w:rsidR="00D01C36">
        <w:t>t</w:t>
      </w:r>
      <w:r>
        <w:t xml:space="preserve"> considered or anticipated,</w:t>
      </w:r>
      <w:r w:rsidR="00D01C36">
        <w:t>”</w:t>
      </w:r>
      <w:r>
        <w:t xml:space="preserve"> or some other </w:t>
      </w:r>
      <w:r w:rsidR="00400407">
        <w:t xml:space="preserve">rote </w:t>
      </w:r>
      <w:r w:rsidR="009C5B6A">
        <w:t xml:space="preserve">or specious </w:t>
      </w:r>
      <w:r>
        <w:t xml:space="preserve">contention and </w:t>
      </w:r>
      <w:r w:rsidR="00C440E5">
        <w:t>force</w:t>
      </w:r>
      <w:r>
        <w:t xml:space="preserve"> a complete rehearing.  </w:t>
      </w:r>
      <w:r w:rsidR="00400407">
        <w:t xml:space="preserve">This is indeed chilling.  </w:t>
      </w:r>
      <w:r w:rsidR="00D01C36">
        <w:t xml:space="preserve">What new applicant would ever consider entering the Washington </w:t>
      </w:r>
      <w:r w:rsidR="009C5B6A">
        <w:t xml:space="preserve">regulated </w:t>
      </w:r>
      <w:r w:rsidR="00D01C36">
        <w:t xml:space="preserve">marketplace facing that </w:t>
      </w:r>
      <w:r w:rsidR="00C440E5">
        <w:t xml:space="preserve">uncertain </w:t>
      </w:r>
      <w:r w:rsidR="00D01C36">
        <w:t>atmospheric condition?</w:t>
      </w:r>
    </w:p>
    <w:p w:rsidR="00540A46" w:rsidRPr="006D1132" w:rsidRDefault="00540A46" w:rsidP="00F4009D">
      <w:pPr>
        <w:pStyle w:val="StyleListParagraphLinespacingDouble"/>
      </w:pPr>
      <w:r>
        <w:t xml:space="preserve">The Commission should reject such a unilateral and prejudicial construction of the </w:t>
      </w:r>
      <w:r w:rsidR="00C440E5">
        <w:t xml:space="preserve">rehearing </w:t>
      </w:r>
      <w:r>
        <w:t>statute.  The Commission is not and should not be constrained in exercising its jurisdiction by inflammatory accusations and pejorative labels sought to be affixed to a respondent</w:t>
      </w:r>
      <w:r w:rsidR="009F55B2">
        <w:t>/</w:t>
      </w:r>
      <w:r w:rsidR="00C440E5">
        <w:t>new entrant,</w:t>
      </w:r>
      <w:r>
        <w:t xml:space="preserve"> as here</w:t>
      </w:r>
      <w:r w:rsidR="009C5B6A">
        <w:t xml:space="preserve"> invoking some automatic procedural remedy</w:t>
      </w:r>
      <w:r>
        <w:t xml:space="preserve">.  The Commission has the discretion to accept, reject or limit the scope of a petition for rehearing consistent with the latitude given </w:t>
      </w:r>
      <w:r w:rsidR="00B3712F">
        <w:t>i</w:t>
      </w:r>
      <w:r w:rsidR="00C440E5">
        <w:t>t</w:t>
      </w:r>
      <w:r w:rsidR="00B3712F">
        <w:t xml:space="preserve"> by</w:t>
      </w:r>
      <w:r w:rsidR="00C440E5">
        <w:t xml:space="preserve"> </w:t>
      </w:r>
      <w:r>
        <w:t>the appellate courts to interpret RCW 81.68.040.</w:t>
      </w:r>
      <w:r>
        <w:rPr>
          <w:rStyle w:val="FootnoteReference"/>
        </w:rPr>
        <w:footnoteReference w:id="18"/>
      </w:r>
      <w:r w:rsidR="00496648">
        <w:t xml:space="preserve">  Shuttle Express’ </w:t>
      </w:r>
      <w:r w:rsidR="009C5B6A">
        <w:t>rather audacious</w:t>
      </w:r>
      <w:r w:rsidR="00B3712F">
        <w:t xml:space="preserve"> </w:t>
      </w:r>
      <w:r w:rsidR="00F4009D">
        <w:t xml:space="preserve">statutory </w:t>
      </w:r>
      <w:r w:rsidR="00496648">
        <w:t>argument yet again evokes the Commission’s admonition in 2014</w:t>
      </w:r>
      <w:r w:rsidR="009C5B6A">
        <w:t xml:space="preserve"> to it</w:t>
      </w:r>
      <w:r w:rsidR="00496648">
        <w:t xml:space="preserve"> about Shuttle Express </w:t>
      </w:r>
      <w:r w:rsidR="006465CD">
        <w:t xml:space="preserve">fundamentally misconceiving </w:t>
      </w:r>
      <w:r w:rsidR="00400407">
        <w:t xml:space="preserve">that </w:t>
      </w:r>
      <w:r w:rsidR="00496648">
        <w:t xml:space="preserve">it </w:t>
      </w:r>
      <w:r w:rsidR="006465CD">
        <w:t xml:space="preserve">knew </w:t>
      </w:r>
      <w:r w:rsidR="00496648">
        <w:t xml:space="preserve">better how to regulate </w:t>
      </w:r>
      <w:r w:rsidR="006465CD">
        <w:t xml:space="preserve">itself </w:t>
      </w:r>
      <w:r w:rsidR="00496648">
        <w:t>than the Commission</w:t>
      </w:r>
      <w:r w:rsidR="00400407">
        <w:t>.</w:t>
      </w:r>
      <w:r w:rsidR="00496648">
        <w:rPr>
          <w:rStyle w:val="FootnoteReference"/>
        </w:rPr>
        <w:footnoteReference w:id="19"/>
      </w:r>
      <w:r w:rsidR="00496648">
        <w:t xml:space="preserve"> </w:t>
      </w:r>
      <w:r w:rsidR="00400407">
        <w:t xml:space="preserve"> I</w:t>
      </w:r>
      <w:r w:rsidR="00496648">
        <w:t>ts latest construction of the rehearing statute is yet</w:t>
      </w:r>
      <w:r w:rsidR="00234070">
        <w:t xml:space="preserve"> another</w:t>
      </w:r>
      <w:r w:rsidR="006465CD">
        <w:t xml:space="preserve"> manifestation of that </w:t>
      </w:r>
      <w:r w:rsidR="00400407">
        <w:t xml:space="preserve">inherent </w:t>
      </w:r>
      <w:r w:rsidR="006465CD">
        <w:t>belief.</w:t>
      </w:r>
    </w:p>
    <w:p w:rsidR="006F59AE" w:rsidRPr="00757D1F" w:rsidRDefault="006F59AE" w:rsidP="00430D0C">
      <w:pPr>
        <w:pStyle w:val="StyleListParagraphLinespacingDouble"/>
        <w:numPr>
          <w:ilvl w:val="0"/>
          <w:numId w:val="0"/>
        </w:numPr>
        <w:ind w:left="360"/>
      </w:pPr>
      <w:r w:rsidRPr="00757D1F">
        <w:rPr>
          <w:szCs w:val="24"/>
        </w:rPr>
        <w:t xml:space="preserve">DATED this </w:t>
      </w:r>
      <w:r w:rsidR="00C71410">
        <w:rPr>
          <w:szCs w:val="24"/>
        </w:rPr>
        <w:t>_____</w:t>
      </w:r>
      <w:r w:rsidRPr="00757D1F">
        <w:t>day of</w:t>
      </w:r>
      <w:r w:rsidR="00C71410">
        <w:t xml:space="preserve"> September</w:t>
      </w:r>
      <w:r w:rsidR="00C77D39">
        <w:t>, 2016</w:t>
      </w:r>
      <w:r w:rsidRPr="00757D1F">
        <w:t>.</w:t>
      </w:r>
      <w:r w:rsidR="00F32E6A" w:rsidRPr="00F32E6A">
        <w:rPr>
          <w:rStyle w:val="FootnoteReference"/>
        </w:rPr>
        <w:t xml:space="preserve"> </w:t>
      </w:r>
    </w:p>
    <w:tbl>
      <w:tblPr>
        <w:tblW w:w="0" w:type="auto"/>
        <w:tblLayout w:type="fixed"/>
        <w:tblLook w:val="0000" w:firstRow="0" w:lastRow="0" w:firstColumn="0" w:lastColumn="0" w:noHBand="0" w:noVBand="0"/>
      </w:tblPr>
      <w:tblGrid>
        <w:gridCol w:w="4698"/>
        <w:gridCol w:w="4860"/>
      </w:tblGrid>
      <w:tr w:rsidR="006F59AE" w:rsidRPr="00DD2273" w:rsidTr="008F2228">
        <w:trPr>
          <w:cantSplit/>
        </w:trPr>
        <w:tc>
          <w:tcPr>
            <w:tcW w:w="4698" w:type="dxa"/>
          </w:tcPr>
          <w:p w:rsidR="006F59AE" w:rsidRPr="00712413" w:rsidRDefault="006F59AE" w:rsidP="008F2228">
            <w:pPr>
              <w:keepNext/>
              <w:tabs>
                <w:tab w:val="left" w:pos="432"/>
              </w:tabs>
              <w:spacing w:line="240" w:lineRule="exact"/>
              <w:rPr>
                <w:rFonts w:ascii="Times New Roman" w:hAnsi="Times New Roman"/>
                <w:sz w:val="20"/>
                <w:szCs w:val="20"/>
              </w:rPr>
            </w:pPr>
          </w:p>
        </w:tc>
        <w:tc>
          <w:tcPr>
            <w:tcW w:w="4860" w:type="dxa"/>
          </w:tcPr>
          <w:p w:rsidR="006F59AE" w:rsidRDefault="006F59AE" w:rsidP="008F2228">
            <w:pPr>
              <w:keepNext/>
              <w:spacing w:line="240" w:lineRule="exact"/>
              <w:rPr>
                <w:rFonts w:ascii="Times New Roman" w:hAnsi="Times New Roman"/>
                <w:caps/>
                <w:sz w:val="20"/>
                <w:szCs w:val="20"/>
              </w:rPr>
            </w:pPr>
            <w:r w:rsidRPr="00712413">
              <w:rPr>
                <w:rFonts w:ascii="Times New Roman" w:hAnsi="Times New Roman"/>
                <w:caps/>
              </w:rPr>
              <w:t>RESPECTFULLY sUBMITTED</w:t>
            </w:r>
            <w:r w:rsidRPr="00712413">
              <w:rPr>
                <w:rFonts w:ascii="Times New Roman" w:hAnsi="Times New Roman"/>
                <w:caps/>
                <w:sz w:val="20"/>
                <w:szCs w:val="20"/>
              </w:rPr>
              <w:t>,</w:t>
            </w:r>
          </w:p>
          <w:p w:rsidR="006F59AE" w:rsidRPr="00712413" w:rsidRDefault="006F59AE" w:rsidP="008F2228">
            <w:pPr>
              <w:keepNext/>
              <w:spacing w:line="240" w:lineRule="exact"/>
              <w:rPr>
                <w:rFonts w:ascii="Times New Roman" w:hAnsi="Times New Roman"/>
                <w:caps/>
                <w:sz w:val="20"/>
                <w:szCs w:val="20"/>
              </w:rPr>
            </w:pPr>
          </w:p>
          <w:p w:rsidR="006F59AE" w:rsidRPr="00712413" w:rsidRDefault="006F59AE" w:rsidP="008F2228">
            <w:pPr>
              <w:keepNext/>
              <w:tabs>
                <w:tab w:val="right" w:pos="4572"/>
              </w:tabs>
              <w:spacing w:line="240" w:lineRule="exact"/>
              <w:rPr>
                <w:rFonts w:ascii="Times New Roman" w:hAnsi="Times New Roman"/>
                <w:sz w:val="20"/>
                <w:szCs w:val="20"/>
                <w:u w:val="single"/>
              </w:rPr>
            </w:pPr>
            <w:r w:rsidRPr="00712413">
              <w:rPr>
                <w:rFonts w:ascii="Times New Roman" w:hAnsi="Times New Roman"/>
                <w:sz w:val="20"/>
                <w:szCs w:val="20"/>
              </w:rPr>
              <w:t xml:space="preserve">By </w:t>
            </w:r>
            <w:r w:rsidRPr="00712413">
              <w:rPr>
                <w:rFonts w:ascii="Times New Roman" w:hAnsi="Times New Roman"/>
                <w:sz w:val="20"/>
                <w:szCs w:val="20"/>
                <w:u w:val="single"/>
              </w:rPr>
              <w:tab/>
            </w:r>
          </w:p>
          <w:p w:rsidR="006F59AE" w:rsidRDefault="006F59AE" w:rsidP="008F2228">
            <w:pPr>
              <w:keepNext/>
              <w:tabs>
                <w:tab w:val="left" w:pos="432"/>
                <w:tab w:val="right" w:pos="4932"/>
              </w:tabs>
              <w:spacing w:line="240" w:lineRule="exact"/>
              <w:rPr>
                <w:rFonts w:ascii="Times New Roman" w:hAnsi="Times New Roman"/>
              </w:rPr>
            </w:pPr>
            <w:r>
              <w:rPr>
                <w:rFonts w:ascii="Times New Roman" w:hAnsi="Times New Roman"/>
                <w:sz w:val="20"/>
                <w:szCs w:val="20"/>
              </w:rPr>
              <w:t xml:space="preserve">       </w:t>
            </w:r>
            <w:r w:rsidRPr="00712413">
              <w:rPr>
                <w:rFonts w:ascii="Times New Roman" w:hAnsi="Times New Roman"/>
              </w:rPr>
              <w:t xml:space="preserve">David W. Wiley, WSBA #08614 </w:t>
            </w:r>
          </w:p>
          <w:p w:rsidR="00264949" w:rsidRPr="00712413" w:rsidRDefault="00264949" w:rsidP="008F2228">
            <w:pPr>
              <w:keepNext/>
              <w:tabs>
                <w:tab w:val="left" w:pos="432"/>
                <w:tab w:val="right" w:pos="4932"/>
              </w:tabs>
              <w:spacing w:line="240" w:lineRule="exact"/>
              <w:rPr>
                <w:rFonts w:ascii="Times New Roman" w:hAnsi="Times New Roman"/>
              </w:rPr>
            </w:pPr>
            <w:r>
              <w:rPr>
                <w:rFonts w:ascii="Times New Roman" w:hAnsi="Times New Roman"/>
              </w:rPr>
              <w:t xml:space="preserve">      Daniel J. Velloth, WSBA #44379</w:t>
            </w:r>
          </w:p>
          <w:p w:rsidR="00C77D39" w:rsidRDefault="006F59AE" w:rsidP="008F2228">
            <w:pPr>
              <w:keepNext/>
              <w:tabs>
                <w:tab w:val="left" w:pos="432"/>
                <w:tab w:val="right" w:pos="4932"/>
              </w:tabs>
              <w:spacing w:line="240" w:lineRule="exact"/>
              <w:rPr>
                <w:rStyle w:val="Hyperlink"/>
                <w:rFonts w:ascii="Times New Roman" w:hAnsi="Times New Roman"/>
                <w:sz w:val="20"/>
                <w:szCs w:val="20"/>
              </w:rPr>
            </w:pPr>
            <w:r w:rsidRPr="00712413">
              <w:rPr>
                <w:rFonts w:ascii="Times New Roman" w:hAnsi="Times New Roman"/>
                <w:sz w:val="20"/>
                <w:szCs w:val="20"/>
              </w:rPr>
              <w:t xml:space="preserve">       </w:t>
            </w:r>
            <w:hyperlink r:id="rId9" w:history="1">
              <w:r w:rsidRPr="00712413">
                <w:rPr>
                  <w:rStyle w:val="Hyperlink"/>
                  <w:rFonts w:ascii="Times New Roman" w:hAnsi="Times New Roman"/>
                  <w:sz w:val="20"/>
                  <w:szCs w:val="20"/>
                </w:rPr>
                <w:t>dwiley@williamskastner.com</w:t>
              </w:r>
            </w:hyperlink>
          </w:p>
          <w:p w:rsidR="00264949" w:rsidRDefault="00264949" w:rsidP="008F2228">
            <w:pPr>
              <w:keepNext/>
              <w:tabs>
                <w:tab w:val="left" w:pos="432"/>
                <w:tab w:val="right" w:pos="4932"/>
              </w:tabs>
              <w:spacing w:line="240" w:lineRule="exact"/>
              <w:rPr>
                <w:rStyle w:val="Hyperlink"/>
                <w:rFonts w:ascii="Times New Roman" w:hAnsi="Times New Roman"/>
                <w:sz w:val="20"/>
                <w:szCs w:val="20"/>
              </w:rPr>
            </w:pPr>
            <w:r w:rsidRPr="0023690C">
              <w:rPr>
                <w:rStyle w:val="Hyperlink"/>
                <w:rFonts w:ascii="Times New Roman" w:hAnsi="Times New Roman"/>
                <w:sz w:val="20"/>
                <w:szCs w:val="20"/>
                <w:u w:val="none"/>
              </w:rPr>
              <w:t xml:space="preserve">       </w:t>
            </w:r>
            <w:r>
              <w:rPr>
                <w:rStyle w:val="Hyperlink"/>
                <w:rFonts w:ascii="Times New Roman" w:hAnsi="Times New Roman"/>
                <w:sz w:val="20"/>
                <w:szCs w:val="20"/>
              </w:rPr>
              <w:t>dvelloth@williamskastner.com</w:t>
            </w:r>
          </w:p>
          <w:p w:rsidR="006F59AE" w:rsidRPr="00712413" w:rsidRDefault="006F59AE" w:rsidP="00564905">
            <w:pPr>
              <w:keepNext/>
              <w:tabs>
                <w:tab w:val="left" w:pos="432"/>
                <w:tab w:val="right" w:pos="4932"/>
              </w:tabs>
              <w:spacing w:line="240" w:lineRule="exact"/>
              <w:rPr>
                <w:rFonts w:ascii="Times New Roman" w:hAnsi="Times New Roman"/>
              </w:rPr>
            </w:pPr>
            <w:r w:rsidRPr="00712413">
              <w:rPr>
                <w:rFonts w:ascii="Times New Roman" w:hAnsi="Times New Roman"/>
                <w:sz w:val="20"/>
                <w:szCs w:val="20"/>
              </w:rPr>
              <w:t xml:space="preserve"> </w:t>
            </w:r>
            <w:r w:rsidR="00C77D39">
              <w:rPr>
                <w:rFonts w:ascii="Times New Roman" w:hAnsi="Times New Roman"/>
                <w:sz w:val="20"/>
                <w:szCs w:val="20"/>
              </w:rPr>
              <w:t xml:space="preserve">      </w:t>
            </w:r>
            <w:r w:rsidRPr="00712413">
              <w:rPr>
                <w:rFonts w:ascii="Times New Roman" w:hAnsi="Times New Roman"/>
              </w:rPr>
              <w:t>A</w:t>
            </w:r>
            <w:r w:rsidR="00564905">
              <w:rPr>
                <w:rFonts w:ascii="Times New Roman" w:hAnsi="Times New Roman"/>
              </w:rPr>
              <w:t>ttorney</w:t>
            </w:r>
            <w:r w:rsidR="00264949">
              <w:rPr>
                <w:rFonts w:ascii="Times New Roman" w:hAnsi="Times New Roman"/>
              </w:rPr>
              <w:t>s</w:t>
            </w:r>
            <w:r w:rsidRPr="00712413">
              <w:rPr>
                <w:rFonts w:ascii="Times New Roman" w:hAnsi="Times New Roman"/>
              </w:rPr>
              <w:t xml:space="preserve"> for </w:t>
            </w:r>
            <w:r>
              <w:rPr>
                <w:rFonts w:ascii="Times New Roman" w:hAnsi="Times New Roman"/>
              </w:rPr>
              <w:t>Speedishuttle Washington, LLC</w:t>
            </w:r>
          </w:p>
        </w:tc>
      </w:tr>
      <w:tr w:rsidR="00C77D39" w:rsidRPr="00DD2273" w:rsidTr="008F2228">
        <w:trPr>
          <w:cantSplit/>
        </w:trPr>
        <w:tc>
          <w:tcPr>
            <w:tcW w:w="4698" w:type="dxa"/>
          </w:tcPr>
          <w:p w:rsidR="00C77D39" w:rsidRPr="00712413" w:rsidRDefault="00C77D39" w:rsidP="008F2228">
            <w:pPr>
              <w:keepNext/>
              <w:tabs>
                <w:tab w:val="left" w:pos="432"/>
              </w:tabs>
              <w:spacing w:line="240" w:lineRule="exact"/>
              <w:rPr>
                <w:rFonts w:ascii="Times New Roman" w:hAnsi="Times New Roman"/>
                <w:sz w:val="20"/>
                <w:szCs w:val="20"/>
              </w:rPr>
            </w:pPr>
          </w:p>
        </w:tc>
        <w:tc>
          <w:tcPr>
            <w:tcW w:w="4860" w:type="dxa"/>
          </w:tcPr>
          <w:p w:rsidR="00C77D39" w:rsidRPr="00712413" w:rsidRDefault="00C77D39" w:rsidP="008F2228">
            <w:pPr>
              <w:keepNext/>
              <w:spacing w:line="240" w:lineRule="exact"/>
              <w:rPr>
                <w:rFonts w:ascii="Times New Roman" w:hAnsi="Times New Roman"/>
                <w:caps/>
              </w:rPr>
            </w:pPr>
          </w:p>
        </w:tc>
      </w:tr>
    </w:tbl>
    <w:p w:rsidR="00C00B34" w:rsidRDefault="005F3C8E" w:rsidP="00C77CAD">
      <w:pPr>
        <w:pStyle w:val="StyleListParagraphTimesNewRoman12ptLinespacingDouble"/>
        <w:sectPr w:rsidR="00C00B34" w:rsidSect="00E7662C">
          <w:headerReference w:type="even" r:id="rId10"/>
          <w:headerReference w:type="default" r:id="rId11"/>
          <w:footerReference w:type="even" r:id="rId12"/>
          <w:footerReference w:type="default" r:id="rId13"/>
          <w:headerReference w:type="first" r:id="rId14"/>
          <w:footerReference w:type="first" r:id="rId15"/>
          <w:pgSz w:w="12240" w:h="15840" w:code="1"/>
          <w:pgMar w:top="1354" w:right="1440" w:bottom="1440" w:left="1440" w:header="720" w:footer="720" w:gutter="0"/>
          <w:paperSrc w:first="261" w:other="261"/>
          <w:cols w:space="720"/>
          <w:docGrid w:linePitch="360"/>
        </w:sectPr>
      </w:pPr>
      <w:r>
        <w:br w:type="page"/>
      </w:r>
    </w:p>
    <w:p w:rsidR="005F3C8E" w:rsidRDefault="005F3C8E" w:rsidP="00C77CAD">
      <w:pPr>
        <w:pStyle w:val="StyleListParagraphTimesNewRoman12ptLinespacingDouble"/>
      </w:pPr>
    </w:p>
    <w:p w:rsidR="001C5C4C" w:rsidRPr="00316687" w:rsidRDefault="001C5C4C" w:rsidP="001C5C4C">
      <w:pPr>
        <w:keepNext/>
        <w:keepLines/>
        <w:jc w:val="center"/>
        <w:rPr>
          <w:rFonts w:ascii="Times New Roman" w:hAnsi="Times New Roman" w:cs="Times New Roman"/>
          <w:b/>
          <w:sz w:val="24"/>
          <w:szCs w:val="24"/>
        </w:rPr>
      </w:pPr>
      <w:r w:rsidRPr="00316687">
        <w:rPr>
          <w:rFonts w:ascii="Times New Roman" w:hAnsi="Times New Roman" w:cs="Times New Roman"/>
          <w:b/>
          <w:sz w:val="24"/>
          <w:szCs w:val="24"/>
        </w:rPr>
        <w:t>CERTIFICATE OF SERVICE</w:t>
      </w:r>
    </w:p>
    <w:p w:rsidR="001C5C4C" w:rsidRPr="008B20AC" w:rsidRDefault="001C5C4C" w:rsidP="001C5C4C">
      <w:pPr>
        <w:keepNext/>
        <w:keepLines/>
        <w:rPr>
          <w:rFonts w:ascii="Times New Roman" w:hAnsi="Times New Roman"/>
          <w:color w:val="0000FF"/>
          <w:sz w:val="24"/>
          <w:u w:val="single"/>
        </w:rPr>
      </w:pPr>
      <w:r w:rsidRPr="00316687">
        <w:rPr>
          <w:rFonts w:ascii="Times New Roman" w:hAnsi="Times New Roman" w:cs="Times New Roman"/>
          <w:sz w:val="24"/>
          <w:szCs w:val="24"/>
        </w:rPr>
        <w:tab/>
      </w:r>
      <w:r w:rsidRPr="008B20AC">
        <w:rPr>
          <w:rFonts w:ascii="Times New Roman" w:hAnsi="Times New Roman"/>
          <w:sz w:val="24"/>
        </w:rPr>
        <w:t xml:space="preserve">I hereby certify that </w:t>
      </w:r>
      <w:r>
        <w:rPr>
          <w:rFonts w:ascii="Times New Roman" w:hAnsi="Times New Roman"/>
          <w:sz w:val="24"/>
        </w:rPr>
        <w:t xml:space="preserve">on September 12, 2016, I caused to be served the original and </w:t>
      </w:r>
      <w:r w:rsidR="00BD575A">
        <w:rPr>
          <w:rFonts w:ascii="Times New Roman" w:hAnsi="Times New Roman"/>
          <w:sz w:val="24"/>
        </w:rPr>
        <w:t>three</w:t>
      </w:r>
      <w:r w:rsidR="00B63828">
        <w:rPr>
          <w:rFonts w:ascii="Times New Roman" w:hAnsi="Times New Roman"/>
          <w:sz w:val="24"/>
        </w:rPr>
        <w:t xml:space="preserve"> (</w:t>
      </w:r>
      <w:r w:rsidR="00BD575A">
        <w:rPr>
          <w:rFonts w:ascii="Times New Roman" w:hAnsi="Times New Roman"/>
          <w:sz w:val="24"/>
        </w:rPr>
        <w:t>3</w:t>
      </w:r>
      <w:r w:rsidR="00B63828">
        <w:rPr>
          <w:rFonts w:ascii="Times New Roman" w:hAnsi="Times New Roman"/>
          <w:sz w:val="24"/>
        </w:rPr>
        <w:t xml:space="preserve">) copies </w:t>
      </w:r>
      <w:r>
        <w:rPr>
          <w:rFonts w:ascii="Times New Roman" w:hAnsi="Times New Roman"/>
          <w:sz w:val="24"/>
        </w:rPr>
        <w:t>of the forego</w:t>
      </w:r>
      <w:r w:rsidR="00BA1A83">
        <w:rPr>
          <w:rFonts w:ascii="Times New Roman" w:hAnsi="Times New Roman"/>
          <w:sz w:val="24"/>
        </w:rPr>
        <w:t>ing document</w:t>
      </w:r>
      <w:r>
        <w:rPr>
          <w:rFonts w:ascii="Times New Roman" w:hAnsi="Times New Roman"/>
          <w:sz w:val="24"/>
        </w:rPr>
        <w:t xml:space="preserve"> to the following address via Fed Ex:</w:t>
      </w:r>
      <w:r w:rsidRPr="008B20AC">
        <w:rPr>
          <w:rFonts w:ascii="Times New Roman" w:hAnsi="Times New Roman"/>
          <w:sz w:val="24"/>
        </w:rPr>
        <w:t xml:space="preserve"> </w:t>
      </w:r>
    </w:p>
    <w:p w:rsidR="001C5C4C" w:rsidRPr="008B20AC" w:rsidRDefault="001C5C4C" w:rsidP="001C5C4C">
      <w:pPr>
        <w:rPr>
          <w:rFonts w:ascii="Times New Roman" w:hAnsi="Times New Roman"/>
          <w:sz w:val="24"/>
        </w:rPr>
      </w:pPr>
    </w:p>
    <w:p w:rsidR="001C5C4C" w:rsidRPr="008B20AC" w:rsidRDefault="001C5C4C" w:rsidP="001C5C4C">
      <w:pPr>
        <w:ind w:left="720"/>
        <w:rPr>
          <w:rFonts w:ascii="Times New Roman" w:hAnsi="Times New Roman"/>
          <w:sz w:val="24"/>
        </w:rPr>
      </w:pPr>
      <w:r w:rsidRPr="008B20AC">
        <w:rPr>
          <w:rFonts w:ascii="Times New Roman" w:hAnsi="Times New Roman"/>
          <w:sz w:val="24"/>
        </w:rPr>
        <w:t>Steven V. King, Executive Director and Secretary</w:t>
      </w:r>
    </w:p>
    <w:p w:rsidR="001C5C4C" w:rsidRPr="008B20AC" w:rsidRDefault="001C5C4C" w:rsidP="001C5C4C">
      <w:pPr>
        <w:ind w:firstLine="720"/>
        <w:rPr>
          <w:rFonts w:ascii="Times New Roman" w:hAnsi="Times New Roman"/>
          <w:sz w:val="24"/>
        </w:rPr>
      </w:pPr>
      <w:r w:rsidRPr="008B20AC">
        <w:rPr>
          <w:rFonts w:ascii="Times New Roman" w:hAnsi="Times New Roman"/>
          <w:sz w:val="24"/>
        </w:rPr>
        <w:t>Washington Utilities and Transportation Commission</w:t>
      </w:r>
    </w:p>
    <w:p w:rsidR="001C5C4C" w:rsidRPr="008B20AC" w:rsidRDefault="001C5C4C" w:rsidP="001C5C4C">
      <w:pPr>
        <w:ind w:firstLine="720"/>
        <w:rPr>
          <w:rFonts w:ascii="Times New Roman" w:hAnsi="Times New Roman"/>
          <w:sz w:val="24"/>
        </w:rPr>
      </w:pPr>
      <w:r w:rsidRPr="008B20AC">
        <w:rPr>
          <w:rFonts w:ascii="Times New Roman" w:hAnsi="Times New Roman"/>
          <w:sz w:val="24"/>
        </w:rPr>
        <w:t>Attn.:  Records Center</w:t>
      </w:r>
    </w:p>
    <w:p w:rsidR="001C5C4C" w:rsidRPr="008B20AC" w:rsidRDefault="001C5C4C" w:rsidP="001C5C4C">
      <w:pPr>
        <w:ind w:firstLine="720"/>
        <w:rPr>
          <w:rFonts w:ascii="Times New Roman" w:hAnsi="Times New Roman"/>
          <w:sz w:val="24"/>
        </w:rPr>
      </w:pPr>
      <w:r w:rsidRPr="008B20AC">
        <w:rPr>
          <w:rFonts w:ascii="Times New Roman" w:hAnsi="Times New Roman"/>
          <w:sz w:val="24"/>
        </w:rPr>
        <w:t>P.O. Box 47250</w:t>
      </w:r>
    </w:p>
    <w:p w:rsidR="001C5C4C" w:rsidRPr="008B20AC" w:rsidRDefault="001C5C4C" w:rsidP="001C5C4C">
      <w:pPr>
        <w:ind w:firstLine="720"/>
        <w:rPr>
          <w:rFonts w:ascii="Times New Roman" w:hAnsi="Times New Roman"/>
          <w:sz w:val="24"/>
        </w:rPr>
      </w:pPr>
      <w:r w:rsidRPr="008B20AC">
        <w:rPr>
          <w:rFonts w:ascii="Times New Roman" w:hAnsi="Times New Roman"/>
          <w:sz w:val="24"/>
        </w:rPr>
        <w:t>1300 S. Evergreen Park Dr. SW</w:t>
      </w:r>
    </w:p>
    <w:p w:rsidR="001C5C4C" w:rsidRPr="008B20AC" w:rsidRDefault="001C5C4C" w:rsidP="001C5C4C">
      <w:pPr>
        <w:ind w:firstLine="720"/>
        <w:rPr>
          <w:rFonts w:ascii="Times New Roman" w:hAnsi="Times New Roman"/>
          <w:sz w:val="24"/>
        </w:rPr>
      </w:pPr>
      <w:r w:rsidRPr="008B20AC">
        <w:rPr>
          <w:rFonts w:ascii="Times New Roman" w:hAnsi="Times New Roman"/>
          <w:sz w:val="24"/>
        </w:rPr>
        <w:t>Olympia, WA 98504-7250</w:t>
      </w:r>
    </w:p>
    <w:p w:rsidR="001C5C4C" w:rsidRDefault="00BA1A83" w:rsidP="001C5C4C">
      <w:pPr>
        <w:ind w:firstLine="720"/>
        <w:rPr>
          <w:rFonts w:ascii="Times New Roman" w:hAnsi="Times New Roman"/>
          <w:sz w:val="24"/>
        </w:rPr>
      </w:pPr>
      <w:r>
        <w:rPr>
          <w:rFonts w:ascii="Times New Roman" w:hAnsi="Times New Roman"/>
          <w:sz w:val="24"/>
        </w:rPr>
        <w:t xml:space="preserve">Attn: Greg </w:t>
      </w:r>
      <w:proofErr w:type="spellStart"/>
      <w:r>
        <w:rPr>
          <w:rFonts w:ascii="Times New Roman" w:hAnsi="Times New Roman"/>
          <w:sz w:val="24"/>
        </w:rPr>
        <w:t>Kopta</w:t>
      </w:r>
      <w:proofErr w:type="spellEnd"/>
    </w:p>
    <w:p w:rsidR="00BA1A83" w:rsidRPr="008B20AC" w:rsidRDefault="00BA1A83" w:rsidP="001C5C4C">
      <w:pPr>
        <w:ind w:firstLine="720"/>
        <w:rPr>
          <w:rFonts w:ascii="Times New Roman" w:hAnsi="Times New Roman"/>
          <w:sz w:val="24"/>
        </w:rPr>
      </w:pPr>
    </w:p>
    <w:p w:rsidR="001C5C4C" w:rsidRDefault="001C5C4C" w:rsidP="001C5C4C">
      <w:pPr>
        <w:rPr>
          <w:rStyle w:val="Hyperlink"/>
          <w:rFonts w:ascii="Times New Roman" w:hAnsi="Times New Roman"/>
          <w:sz w:val="24"/>
        </w:rPr>
      </w:pPr>
      <w:r w:rsidRPr="008B2564">
        <w:rPr>
          <w:rStyle w:val="Hyperlink"/>
          <w:rFonts w:ascii="Times New Roman" w:hAnsi="Times New Roman"/>
          <w:color w:val="auto"/>
          <w:sz w:val="24"/>
          <w:u w:val="none"/>
        </w:rPr>
        <w:t xml:space="preserve">I further certify that I have also provided to the Washington Utilities and Transportation Commission’s Secretary an official electronic file containing the foregoing </w:t>
      </w:r>
      <w:r>
        <w:rPr>
          <w:rStyle w:val="Hyperlink"/>
          <w:rFonts w:ascii="Times New Roman" w:hAnsi="Times New Roman"/>
          <w:color w:val="auto"/>
          <w:sz w:val="24"/>
          <w:u w:val="none"/>
        </w:rPr>
        <w:t xml:space="preserve">document via the WUTC’s </w:t>
      </w:r>
      <w:r w:rsidRPr="005F0478">
        <w:rPr>
          <w:rStyle w:val="Hyperlink"/>
          <w:rFonts w:ascii="Times New Roman" w:hAnsi="Times New Roman"/>
          <w:color w:val="auto"/>
          <w:sz w:val="24"/>
          <w:u w:val="none"/>
        </w:rPr>
        <w:t>web portal</w:t>
      </w:r>
      <w:r>
        <w:rPr>
          <w:rStyle w:val="Hyperlink"/>
          <w:rFonts w:ascii="Times New Roman" w:hAnsi="Times New Roman"/>
          <w:color w:val="auto"/>
          <w:sz w:val="24"/>
          <w:u w:val="none"/>
        </w:rPr>
        <w:t>;</w:t>
      </w:r>
      <w:r w:rsidR="001332AF">
        <w:rPr>
          <w:rStyle w:val="Hyperlink"/>
          <w:rFonts w:ascii="Times New Roman" w:hAnsi="Times New Roman"/>
          <w:sz w:val="24"/>
          <w:u w:val="none"/>
        </w:rPr>
        <w:t xml:space="preserve"> </w:t>
      </w:r>
      <w:r w:rsidRPr="008B20AC">
        <w:rPr>
          <w:rFonts w:ascii="Times New Roman" w:hAnsi="Times New Roman"/>
          <w:sz w:val="24"/>
        </w:rPr>
        <w:t>and</w:t>
      </w:r>
    </w:p>
    <w:p w:rsidR="001C5C4C" w:rsidRPr="001332AF" w:rsidRDefault="001C5C4C" w:rsidP="001C5C4C">
      <w:pPr>
        <w:rPr>
          <w:rStyle w:val="Hyperlink"/>
          <w:rFonts w:ascii="Times New Roman" w:hAnsi="Times New Roman"/>
          <w:sz w:val="24"/>
          <w:u w:val="none"/>
        </w:rPr>
      </w:pPr>
    </w:p>
    <w:p w:rsidR="001C5C4C" w:rsidRPr="008B20AC" w:rsidRDefault="001C5C4C" w:rsidP="001C5C4C">
      <w:pPr>
        <w:keepNext/>
        <w:keepLines/>
        <w:rPr>
          <w:rFonts w:ascii="Times New Roman" w:hAnsi="Times New Roman"/>
          <w:sz w:val="24"/>
        </w:rPr>
      </w:pPr>
      <w:proofErr w:type="gramStart"/>
      <w:r w:rsidRPr="008B20AC">
        <w:rPr>
          <w:rFonts w:ascii="Times New Roman" w:hAnsi="Times New Roman"/>
          <w:sz w:val="24"/>
        </w:rPr>
        <w:t>served</w:t>
      </w:r>
      <w:proofErr w:type="gramEnd"/>
      <w:r w:rsidRPr="008B20AC">
        <w:rPr>
          <w:rFonts w:ascii="Times New Roman" w:hAnsi="Times New Roman"/>
          <w:sz w:val="24"/>
        </w:rPr>
        <w:t xml:space="preserve"> a copy via email and</w:t>
      </w:r>
      <w:r>
        <w:rPr>
          <w:rFonts w:ascii="Times New Roman" w:hAnsi="Times New Roman"/>
          <w:sz w:val="24"/>
        </w:rPr>
        <w:t>/or</w:t>
      </w:r>
      <w:r w:rsidRPr="008B20AC">
        <w:rPr>
          <w:rFonts w:ascii="Times New Roman" w:hAnsi="Times New Roman"/>
          <w:sz w:val="24"/>
        </w:rPr>
        <w:t xml:space="preserve"> first class mail, postage prepaid, to:</w:t>
      </w:r>
      <w:r w:rsidRPr="008B20AC">
        <w:rPr>
          <w:rFonts w:ascii="Times New Roman" w:hAnsi="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1C5C4C" w:rsidRPr="00316687" w:rsidTr="00F60206">
        <w:tc>
          <w:tcPr>
            <w:tcW w:w="4338" w:type="dxa"/>
            <w:shd w:val="clear" w:color="auto" w:fill="auto"/>
          </w:tcPr>
          <w:p w:rsidR="001C5C4C" w:rsidRPr="00316687" w:rsidRDefault="001C5C4C" w:rsidP="00F60206">
            <w:pPr>
              <w:keepNext/>
              <w:keepLines/>
              <w:rPr>
                <w:rFonts w:ascii="Times New Roman" w:hAnsi="Times New Roman" w:cs="Times New Roman"/>
                <w:sz w:val="24"/>
                <w:szCs w:val="24"/>
              </w:rPr>
            </w:pPr>
            <w:r>
              <w:rPr>
                <w:rFonts w:ascii="Times New Roman" w:hAnsi="Times New Roman" w:cs="Times New Roman"/>
                <w:sz w:val="24"/>
                <w:szCs w:val="24"/>
              </w:rPr>
              <w:t>Julian Beattie</w:t>
            </w:r>
          </w:p>
          <w:p w:rsidR="001C5C4C" w:rsidRDefault="001C5C4C" w:rsidP="00F60206">
            <w:pPr>
              <w:keepNext/>
              <w:keepLines/>
              <w:rPr>
                <w:rFonts w:ascii="Times New Roman" w:hAnsi="Times New Roman" w:cs="Times New Roman"/>
                <w:sz w:val="24"/>
                <w:szCs w:val="24"/>
              </w:rPr>
            </w:pPr>
            <w:r>
              <w:rPr>
                <w:rFonts w:ascii="Times New Roman" w:hAnsi="Times New Roman" w:cs="Times New Roman"/>
                <w:sz w:val="24"/>
                <w:szCs w:val="24"/>
              </w:rPr>
              <w:t>Office of the Attorney General</w:t>
            </w:r>
          </w:p>
          <w:p w:rsidR="001C5C4C" w:rsidRPr="00316687" w:rsidRDefault="001C5C4C" w:rsidP="00F60206">
            <w:pPr>
              <w:keepNext/>
              <w:keepLines/>
              <w:rPr>
                <w:rFonts w:ascii="Times New Roman" w:hAnsi="Times New Roman" w:cs="Times New Roman"/>
                <w:sz w:val="24"/>
                <w:szCs w:val="24"/>
              </w:rPr>
            </w:pPr>
            <w:r>
              <w:rPr>
                <w:rFonts w:ascii="Times New Roman" w:hAnsi="Times New Roman" w:cs="Times New Roman"/>
                <w:sz w:val="24"/>
                <w:szCs w:val="24"/>
              </w:rPr>
              <w:t>Utilities and Transportation Division</w:t>
            </w:r>
          </w:p>
          <w:p w:rsidR="001C5C4C" w:rsidRPr="00316687" w:rsidRDefault="001C5C4C" w:rsidP="00F60206">
            <w:pPr>
              <w:keepNext/>
              <w:keepLines/>
              <w:rPr>
                <w:rFonts w:ascii="Times New Roman" w:hAnsi="Times New Roman" w:cs="Times New Roman"/>
                <w:sz w:val="24"/>
                <w:szCs w:val="24"/>
              </w:rPr>
            </w:pPr>
            <w:r w:rsidRPr="00316687">
              <w:rPr>
                <w:rFonts w:ascii="Times New Roman" w:hAnsi="Times New Roman" w:cs="Times New Roman"/>
                <w:sz w:val="24"/>
                <w:szCs w:val="24"/>
              </w:rPr>
              <w:t>1400 S. Evergreen Park Dr. SW</w:t>
            </w:r>
          </w:p>
          <w:p w:rsidR="001C5C4C" w:rsidRPr="00316687" w:rsidRDefault="001C5C4C" w:rsidP="00F60206">
            <w:pPr>
              <w:keepNext/>
              <w:keepLines/>
              <w:rPr>
                <w:rFonts w:ascii="Times New Roman" w:hAnsi="Times New Roman" w:cs="Times New Roman"/>
                <w:sz w:val="24"/>
                <w:szCs w:val="24"/>
              </w:rPr>
            </w:pPr>
            <w:r w:rsidRPr="00316687">
              <w:rPr>
                <w:rFonts w:ascii="Times New Roman" w:hAnsi="Times New Roman" w:cs="Times New Roman"/>
                <w:sz w:val="24"/>
                <w:szCs w:val="24"/>
              </w:rPr>
              <w:t>PO Box 40128</w:t>
            </w:r>
          </w:p>
          <w:p w:rsidR="001C5C4C" w:rsidRPr="00316687" w:rsidRDefault="001C5C4C" w:rsidP="00F60206">
            <w:pPr>
              <w:keepNext/>
              <w:keepLines/>
              <w:rPr>
                <w:rFonts w:ascii="Times New Roman" w:hAnsi="Times New Roman" w:cs="Times New Roman"/>
                <w:sz w:val="24"/>
                <w:szCs w:val="24"/>
              </w:rPr>
            </w:pPr>
            <w:r w:rsidRPr="00316687">
              <w:rPr>
                <w:rFonts w:ascii="Times New Roman" w:hAnsi="Times New Roman" w:cs="Times New Roman"/>
                <w:sz w:val="24"/>
                <w:szCs w:val="24"/>
              </w:rPr>
              <w:t>Olympia, WA  98504-0128</w:t>
            </w:r>
          </w:p>
          <w:p w:rsidR="001C5C4C" w:rsidRPr="00316687" w:rsidRDefault="001C5C4C" w:rsidP="00F60206">
            <w:pPr>
              <w:keepNext/>
              <w:keepLines/>
              <w:rPr>
                <w:rFonts w:ascii="Times New Roman" w:hAnsi="Times New Roman" w:cs="Times New Roman"/>
                <w:sz w:val="24"/>
                <w:szCs w:val="24"/>
              </w:rPr>
            </w:pPr>
            <w:r w:rsidRPr="00316687">
              <w:rPr>
                <w:rFonts w:ascii="Times New Roman" w:hAnsi="Times New Roman" w:cs="Times New Roman"/>
                <w:sz w:val="24"/>
                <w:szCs w:val="24"/>
              </w:rPr>
              <w:t>(360) 664-1192</w:t>
            </w:r>
          </w:p>
          <w:p w:rsidR="001C5C4C" w:rsidRPr="00316687" w:rsidRDefault="001C5C4C" w:rsidP="00F60206">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hyperlink r:id="rId16" w:history="1">
              <w:r w:rsidRPr="0014570A">
                <w:rPr>
                  <w:rStyle w:val="Hyperlink"/>
                  <w:rFonts w:ascii="Times New Roman" w:hAnsi="Times New Roman" w:cs="Times New Roman"/>
                  <w:sz w:val="24"/>
                  <w:szCs w:val="24"/>
                </w:rPr>
                <w:t>jbeattie@utc.wa.gov</w:t>
              </w:r>
            </w:hyperlink>
          </w:p>
          <w:p w:rsidR="001C5C4C" w:rsidRPr="00316687" w:rsidRDefault="001C5C4C" w:rsidP="00F60206">
            <w:pPr>
              <w:keepNext/>
              <w:keepLines/>
              <w:rPr>
                <w:rFonts w:ascii="Times New Roman" w:hAnsi="Times New Roman" w:cs="Times New Roman"/>
                <w:sz w:val="24"/>
                <w:szCs w:val="24"/>
              </w:rPr>
            </w:pPr>
          </w:p>
        </w:tc>
        <w:tc>
          <w:tcPr>
            <w:tcW w:w="4860" w:type="dxa"/>
            <w:shd w:val="clear" w:color="auto" w:fill="auto"/>
          </w:tcPr>
          <w:p w:rsidR="001C5C4C" w:rsidRDefault="001C5C4C" w:rsidP="00F60206">
            <w:pPr>
              <w:keepNext/>
              <w:keepLines/>
              <w:rPr>
                <w:rFonts w:ascii="Times New Roman" w:hAnsi="Times New Roman" w:cs="Times New Roman"/>
                <w:sz w:val="24"/>
                <w:szCs w:val="24"/>
              </w:rPr>
            </w:pPr>
            <w:r>
              <w:rPr>
                <w:rFonts w:ascii="Times New Roman" w:hAnsi="Times New Roman" w:cs="Times New Roman"/>
                <w:sz w:val="24"/>
                <w:szCs w:val="24"/>
              </w:rPr>
              <w:t xml:space="preserve">Greg </w:t>
            </w:r>
            <w:proofErr w:type="spellStart"/>
            <w:r>
              <w:rPr>
                <w:rFonts w:ascii="Times New Roman" w:hAnsi="Times New Roman" w:cs="Times New Roman"/>
                <w:sz w:val="24"/>
                <w:szCs w:val="24"/>
              </w:rPr>
              <w:t>Kopta</w:t>
            </w:r>
            <w:proofErr w:type="spellEnd"/>
          </w:p>
          <w:p w:rsidR="001C5C4C" w:rsidRDefault="001C5C4C" w:rsidP="00F60206">
            <w:pPr>
              <w:keepNext/>
              <w:keepLines/>
              <w:rPr>
                <w:rFonts w:ascii="Times New Roman" w:hAnsi="Times New Roman" w:cs="Times New Roman"/>
                <w:sz w:val="24"/>
                <w:szCs w:val="24"/>
              </w:rPr>
            </w:pPr>
            <w:r>
              <w:rPr>
                <w:rFonts w:ascii="Times New Roman" w:hAnsi="Times New Roman" w:cs="Times New Roman"/>
                <w:sz w:val="24"/>
                <w:szCs w:val="24"/>
              </w:rPr>
              <w:t xml:space="preserve">Director/Administrative Law </w:t>
            </w:r>
            <w:r w:rsidR="009600FC">
              <w:rPr>
                <w:rFonts w:ascii="Times New Roman" w:hAnsi="Times New Roman" w:cs="Times New Roman"/>
                <w:sz w:val="24"/>
                <w:szCs w:val="24"/>
              </w:rPr>
              <w:t>Division</w:t>
            </w:r>
          </w:p>
          <w:p w:rsidR="001C5C4C" w:rsidRDefault="001C5C4C" w:rsidP="00F60206">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1300 S. Evergreen Park Drive SW</w:t>
            </w:r>
          </w:p>
          <w:p w:rsidR="001C5C4C" w:rsidRDefault="001C5C4C" w:rsidP="00F60206">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P.O. Box 47250</w:t>
            </w:r>
          </w:p>
          <w:p w:rsidR="001C5C4C" w:rsidRDefault="001C5C4C" w:rsidP="00F60206">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Olympia, WA 98504-7250</w:t>
            </w:r>
          </w:p>
          <w:p w:rsidR="001C5C4C" w:rsidRDefault="001C5C4C" w:rsidP="00F60206">
            <w:pPr>
              <w:keepNext/>
              <w:keepLines/>
              <w:rPr>
                <w:rFonts w:ascii="Times New Roman" w:hAnsi="Times New Roman" w:cs="Times New Roman"/>
                <w:sz w:val="24"/>
                <w:szCs w:val="24"/>
              </w:rPr>
            </w:pPr>
            <w:r>
              <w:rPr>
                <w:rFonts w:ascii="Times New Roman" w:hAnsi="Times New Roman" w:cs="Times New Roman"/>
                <w:color w:val="000000"/>
                <w:sz w:val="24"/>
                <w:szCs w:val="24"/>
              </w:rPr>
              <w:t>(360)-664-1355</w:t>
            </w:r>
          </w:p>
          <w:p w:rsidR="001C5C4C" w:rsidRPr="00316687" w:rsidRDefault="001C5C4C" w:rsidP="00F60206">
            <w:pPr>
              <w:keepNext/>
              <w:keepLines/>
              <w:rPr>
                <w:rFonts w:ascii="Times New Roman" w:hAnsi="Times New Roman" w:cs="Times New Roman"/>
                <w:sz w:val="24"/>
                <w:szCs w:val="24"/>
              </w:rPr>
            </w:pPr>
            <w:r>
              <w:rPr>
                <w:rFonts w:ascii="Times New Roman" w:hAnsi="Times New Roman" w:cs="Times New Roman"/>
                <w:sz w:val="24"/>
                <w:szCs w:val="24"/>
              </w:rPr>
              <w:t>gkopta@utc.wa.gov</w:t>
            </w:r>
          </w:p>
        </w:tc>
      </w:tr>
      <w:tr w:rsidR="001C5C4C" w:rsidRPr="00316687" w:rsidTr="00F60206">
        <w:tc>
          <w:tcPr>
            <w:tcW w:w="4338" w:type="dxa"/>
            <w:shd w:val="clear" w:color="auto" w:fill="auto"/>
          </w:tcPr>
          <w:p w:rsidR="001C5C4C" w:rsidRPr="00316687" w:rsidRDefault="001C5C4C" w:rsidP="00F60206">
            <w:pPr>
              <w:keepNext/>
              <w:keepLines/>
              <w:rPr>
                <w:rFonts w:ascii="Times New Roman" w:hAnsi="Times New Roman" w:cs="Times New Roman"/>
                <w:sz w:val="24"/>
                <w:szCs w:val="24"/>
              </w:rPr>
            </w:pPr>
            <w:r w:rsidRPr="00316687">
              <w:rPr>
                <w:rFonts w:ascii="Times New Roman" w:hAnsi="Times New Roman" w:cs="Times New Roman"/>
                <w:sz w:val="24"/>
                <w:szCs w:val="24"/>
              </w:rPr>
              <w:t>Brooks Harlow</w:t>
            </w:r>
          </w:p>
          <w:p w:rsidR="001C5C4C" w:rsidRPr="00316687" w:rsidRDefault="001C5C4C" w:rsidP="00F60206">
            <w:pPr>
              <w:keepNext/>
              <w:keepLines/>
              <w:rPr>
                <w:rFonts w:ascii="Times New Roman" w:hAnsi="Times New Roman" w:cs="Times New Roman"/>
                <w:sz w:val="24"/>
                <w:szCs w:val="24"/>
              </w:rPr>
            </w:pPr>
            <w:r w:rsidRPr="00316687">
              <w:rPr>
                <w:rFonts w:ascii="Times New Roman" w:hAnsi="Times New Roman" w:cs="Times New Roman"/>
                <w:sz w:val="24"/>
                <w:szCs w:val="24"/>
              </w:rPr>
              <w:t>Lukas, Nace, Gutierrez &amp; Sachs, LLP</w:t>
            </w:r>
          </w:p>
          <w:p w:rsidR="001C5C4C" w:rsidRPr="00316687" w:rsidRDefault="001C5C4C" w:rsidP="00F60206">
            <w:pPr>
              <w:keepNext/>
              <w:keepLines/>
              <w:rPr>
                <w:rFonts w:ascii="Times New Roman" w:hAnsi="Times New Roman" w:cs="Times New Roman"/>
                <w:sz w:val="24"/>
                <w:szCs w:val="24"/>
              </w:rPr>
            </w:pPr>
            <w:r w:rsidRPr="00316687">
              <w:rPr>
                <w:rFonts w:ascii="Times New Roman" w:hAnsi="Times New Roman" w:cs="Times New Roman"/>
                <w:sz w:val="24"/>
                <w:szCs w:val="24"/>
              </w:rPr>
              <w:t>8300 Greensboro Dr. Suite 1200</w:t>
            </w:r>
          </w:p>
          <w:p w:rsidR="001C5C4C" w:rsidRPr="00316687" w:rsidRDefault="001C5C4C" w:rsidP="00F60206">
            <w:pPr>
              <w:keepNext/>
              <w:keepLines/>
              <w:rPr>
                <w:rFonts w:ascii="Times New Roman" w:hAnsi="Times New Roman" w:cs="Times New Roman"/>
                <w:sz w:val="24"/>
                <w:szCs w:val="24"/>
              </w:rPr>
            </w:pPr>
            <w:r w:rsidRPr="00316687">
              <w:rPr>
                <w:rFonts w:ascii="Times New Roman" w:hAnsi="Times New Roman" w:cs="Times New Roman"/>
                <w:sz w:val="24"/>
                <w:szCs w:val="24"/>
              </w:rPr>
              <w:t>McLean, VA 22102</w:t>
            </w:r>
          </w:p>
          <w:p w:rsidR="001C5C4C" w:rsidRPr="00316687" w:rsidRDefault="001C5C4C" w:rsidP="00F60206">
            <w:pPr>
              <w:keepNext/>
              <w:keepLines/>
              <w:rPr>
                <w:rFonts w:ascii="Times New Roman" w:hAnsi="Times New Roman" w:cs="Times New Roman"/>
                <w:sz w:val="24"/>
                <w:szCs w:val="24"/>
              </w:rPr>
            </w:pPr>
            <w:r w:rsidRPr="00316687">
              <w:rPr>
                <w:rFonts w:ascii="Times New Roman" w:hAnsi="Times New Roman" w:cs="Times New Roman"/>
                <w:sz w:val="24"/>
                <w:szCs w:val="24"/>
              </w:rPr>
              <w:t>(703) 584-8680</w:t>
            </w:r>
          </w:p>
          <w:p w:rsidR="001C5C4C" w:rsidRPr="00316687" w:rsidRDefault="001C5C4C" w:rsidP="00F60206">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hyperlink r:id="rId17" w:history="1">
              <w:r w:rsidRPr="00316687">
                <w:rPr>
                  <w:rStyle w:val="Hyperlink"/>
                  <w:rFonts w:ascii="Times New Roman" w:hAnsi="Times New Roman" w:cs="Times New Roman"/>
                  <w:sz w:val="24"/>
                  <w:szCs w:val="24"/>
                </w:rPr>
                <w:t>bharlow@fcclaw.com</w:t>
              </w:r>
            </w:hyperlink>
          </w:p>
          <w:p w:rsidR="001C5C4C" w:rsidRPr="00316687" w:rsidRDefault="001C5C4C" w:rsidP="00F60206">
            <w:pPr>
              <w:keepNext/>
              <w:keepLines/>
              <w:rPr>
                <w:rFonts w:ascii="Times New Roman" w:hAnsi="Times New Roman" w:cs="Times New Roman"/>
                <w:sz w:val="24"/>
                <w:szCs w:val="24"/>
              </w:rPr>
            </w:pPr>
          </w:p>
        </w:tc>
        <w:tc>
          <w:tcPr>
            <w:tcW w:w="4860" w:type="dxa"/>
            <w:shd w:val="clear" w:color="auto" w:fill="auto"/>
          </w:tcPr>
          <w:p w:rsidR="001C5C4C" w:rsidRPr="00B318AF" w:rsidRDefault="001C5C4C" w:rsidP="00F60206">
            <w:pPr>
              <w:keepNext/>
              <w:keepLines/>
              <w:rPr>
                <w:rFonts w:ascii="Times New Roman" w:hAnsi="Times New Roman" w:cs="Times New Roman"/>
                <w:color w:val="0000FF"/>
                <w:sz w:val="24"/>
                <w:szCs w:val="24"/>
                <w:u w:val="single"/>
              </w:rPr>
            </w:pPr>
          </w:p>
        </w:tc>
      </w:tr>
    </w:tbl>
    <w:p w:rsidR="001C5C4C" w:rsidRDefault="001C5C4C" w:rsidP="001C5C4C">
      <w:pPr>
        <w:keepNext/>
        <w:keepLines/>
        <w:jc w:val="cente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p>
    <w:p w:rsidR="001C5C4C" w:rsidRDefault="001C5C4C" w:rsidP="001C5C4C">
      <w:pPr>
        <w:keepNext/>
        <w:keepLines/>
        <w:rPr>
          <w:rFonts w:ascii="Times New Roman" w:hAnsi="Times New Roman" w:cs="Times New Roman"/>
          <w:sz w:val="24"/>
          <w:szCs w:val="24"/>
        </w:rPr>
      </w:pPr>
      <w:r>
        <w:rPr>
          <w:rFonts w:ascii="Times New Roman" w:hAnsi="Times New Roman" w:cs="Times New Roman"/>
          <w:sz w:val="24"/>
          <w:szCs w:val="24"/>
        </w:rPr>
        <w:t>Dated at Seattle, Washington this 12</w:t>
      </w:r>
      <w:r w:rsidRPr="00075DF4">
        <w:rPr>
          <w:rFonts w:ascii="Times New Roman" w:hAnsi="Times New Roman" w:cs="Times New Roman"/>
          <w:sz w:val="24"/>
          <w:szCs w:val="24"/>
          <w:vertAlign w:val="superscript"/>
        </w:rPr>
        <w:t>th</w:t>
      </w:r>
      <w:r>
        <w:rPr>
          <w:rFonts w:ascii="Times New Roman" w:hAnsi="Times New Roman" w:cs="Times New Roman"/>
          <w:sz w:val="24"/>
          <w:szCs w:val="24"/>
        </w:rPr>
        <w:t xml:space="preserve"> day of September, 2016.</w:t>
      </w:r>
    </w:p>
    <w:p w:rsidR="001C5C4C" w:rsidRDefault="001C5C4C" w:rsidP="001C5C4C">
      <w:pPr>
        <w:keepNext/>
        <w:keepLines/>
        <w:rPr>
          <w:rFonts w:ascii="Times New Roman" w:hAnsi="Times New Roman" w:cs="Times New Roman"/>
          <w:sz w:val="20"/>
          <w:szCs w:val="24"/>
        </w:rPr>
      </w:pPr>
    </w:p>
    <w:p w:rsidR="001C5C4C" w:rsidRPr="00B318AF" w:rsidRDefault="001C5C4C" w:rsidP="001C5C4C">
      <w:pPr>
        <w:keepNext/>
        <w:keepLines/>
        <w:rPr>
          <w:rFonts w:ascii="Times New Roman" w:hAnsi="Times New Roman" w:cs="Times New Roman"/>
          <w:sz w:val="20"/>
          <w:szCs w:val="24"/>
        </w:rPr>
      </w:pPr>
    </w:p>
    <w:p w:rsidR="001C5C4C" w:rsidRDefault="001C5C4C" w:rsidP="001C5C4C">
      <w:pPr>
        <w:keepNext/>
        <w:keepLines/>
        <w:ind w:left="4608"/>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C5C4C" w:rsidRDefault="001C5C4C" w:rsidP="001C5C4C">
      <w:pPr>
        <w:keepNext/>
        <w:keepLines/>
        <w:ind w:left="4608"/>
        <w:rPr>
          <w:rFonts w:ascii="Times New Roman" w:hAnsi="Times New Roman" w:cs="Times New Roman"/>
          <w:sz w:val="24"/>
          <w:szCs w:val="24"/>
        </w:rPr>
      </w:pPr>
      <w:r>
        <w:rPr>
          <w:rFonts w:ascii="Times New Roman" w:hAnsi="Times New Roman" w:cs="Times New Roman"/>
          <w:sz w:val="24"/>
          <w:szCs w:val="24"/>
        </w:rPr>
        <w:t>Maggi Gruber</w:t>
      </w:r>
    </w:p>
    <w:p w:rsidR="001C5C4C" w:rsidRDefault="001C5C4C" w:rsidP="001C5C4C">
      <w:pPr>
        <w:keepNext/>
        <w:keepLines/>
        <w:ind w:left="4608"/>
        <w:rPr>
          <w:rFonts w:ascii="Times New Roman" w:hAnsi="Times New Roman" w:cs="Times New Roman"/>
          <w:sz w:val="24"/>
          <w:szCs w:val="24"/>
        </w:rPr>
      </w:pPr>
      <w:r>
        <w:rPr>
          <w:rFonts w:ascii="Times New Roman" w:hAnsi="Times New Roman" w:cs="Times New Roman"/>
          <w:sz w:val="24"/>
          <w:szCs w:val="24"/>
        </w:rPr>
        <w:t>Legal Assistant</w:t>
      </w:r>
    </w:p>
    <w:p w:rsidR="00B318AF" w:rsidRDefault="00B318AF" w:rsidP="001C5C4C">
      <w:pPr>
        <w:keepNext/>
        <w:keepLines/>
        <w:jc w:val="center"/>
        <w:rPr>
          <w:rFonts w:ascii="Times New Roman" w:hAnsi="Times New Roman" w:cs="Times New Roman"/>
          <w:sz w:val="24"/>
          <w:szCs w:val="24"/>
        </w:rPr>
      </w:pPr>
    </w:p>
    <w:sectPr w:rsidR="00B318AF" w:rsidSect="00E7662C">
      <w:pgSz w:w="12240" w:h="15840" w:code="1"/>
      <w:pgMar w:top="1354"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228" w:rsidRDefault="008F2228">
      <w:r>
        <w:separator/>
      </w:r>
    </w:p>
  </w:endnote>
  <w:endnote w:type="continuationSeparator" w:id="0">
    <w:p w:rsidR="008F2228" w:rsidRDefault="008F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8C2" w:rsidRDefault="008F78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91" w:type="dxa"/>
      <w:tblLayout w:type="fixed"/>
      <w:tblCellMar>
        <w:left w:w="91" w:type="dxa"/>
        <w:right w:w="91" w:type="dxa"/>
      </w:tblCellMar>
      <w:tblLook w:val="0000" w:firstRow="0" w:lastRow="0" w:firstColumn="0" w:lastColumn="0" w:noHBand="0" w:noVBand="0"/>
    </w:tblPr>
    <w:tblGrid>
      <w:gridCol w:w="6029"/>
      <w:gridCol w:w="202"/>
      <w:gridCol w:w="3489"/>
    </w:tblGrid>
    <w:tr w:rsidR="008F2228" w:rsidTr="00403A09">
      <w:trPr>
        <w:trHeight w:val="700"/>
      </w:trPr>
      <w:tc>
        <w:tcPr>
          <w:tcW w:w="6029" w:type="dxa"/>
        </w:tcPr>
        <w:p w:rsidR="008F2228" w:rsidRPr="000E4EAF" w:rsidRDefault="000E4EAF" w:rsidP="00275619">
          <w:pPr>
            <w:rPr>
              <w:rStyle w:val="PageNumber"/>
              <w:rFonts w:ascii="Times New Roman" w:hAnsi="Times New Roman" w:cs="Times New Roman"/>
              <w:sz w:val="24"/>
              <w:szCs w:val="24"/>
            </w:rPr>
          </w:pPr>
          <w:r w:rsidRPr="000E4EAF">
            <w:rPr>
              <w:rFonts w:ascii="Times New Roman" w:hAnsi="Times New Roman" w:cs="Times New Roman"/>
              <w:sz w:val="20"/>
              <w:szCs w:val="24"/>
            </w:rPr>
            <w:t xml:space="preserve">SPEEDISHUTTLE’S REPLY TO SHUTTLE EXPRESS’ PARTIAL CHALLENGE OF ORDER 06 </w:t>
          </w:r>
          <w:r w:rsidR="00A0655B" w:rsidRPr="00F77010">
            <w:rPr>
              <w:rFonts w:ascii="Times New Roman" w:hAnsi="Times New Roman" w:cs="Times New Roman"/>
              <w:sz w:val="12"/>
              <w:szCs w:val="24"/>
            </w:rPr>
            <w:t>-</w:t>
          </w:r>
          <w:r w:rsidR="00F25241" w:rsidRPr="00F25241">
            <w:rPr>
              <w:rFonts w:ascii="Times New Roman" w:hAnsi="Times New Roman" w:cs="Times New Roman"/>
              <w:sz w:val="20"/>
              <w:szCs w:val="24"/>
            </w:rPr>
            <w:fldChar w:fldCharType="begin"/>
          </w:r>
          <w:r w:rsidR="00F25241" w:rsidRPr="00F25241">
            <w:rPr>
              <w:rFonts w:ascii="Times New Roman" w:hAnsi="Times New Roman" w:cs="Times New Roman"/>
              <w:sz w:val="20"/>
              <w:szCs w:val="24"/>
            </w:rPr>
            <w:instrText xml:space="preserve"> PAGE   \* MERGEFORMAT </w:instrText>
          </w:r>
          <w:r w:rsidR="00F25241" w:rsidRPr="00F25241">
            <w:rPr>
              <w:rFonts w:ascii="Times New Roman" w:hAnsi="Times New Roman" w:cs="Times New Roman"/>
              <w:sz w:val="20"/>
              <w:szCs w:val="24"/>
            </w:rPr>
            <w:fldChar w:fldCharType="separate"/>
          </w:r>
          <w:r w:rsidR="00E7662C">
            <w:rPr>
              <w:rFonts w:ascii="Times New Roman" w:hAnsi="Times New Roman" w:cs="Times New Roman"/>
              <w:noProof/>
              <w:sz w:val="20"/>
              <w:szCs w:val="24"/>
            </w:rPr>
            <w:t>10</w:t>
          </w:r>
          <w:r w:rsidR="00F25241" w:rsidRPr="00F25241">
            <w:rPr>
              <w:rFonts w:ascii="Times New Roman" w:hAnsi="Times New Roman" w:cs="Times New Roman"/>
              <w:noProof/>
              <w:sz w:val="20"/>
              <w:szCs w:val="24"/>
            </w:rPr>
            <w:fldChar w:fldCharType="end"/>
          </w:r>
        </w:p>
      </w:tc>
      <w:tc>
        <w:tcPr>
          <w:tcW w:w="202" w:type="dxa"/>
        </w:tcPr>
        <w:p w:rsidR="008F2228" w:rsidRDefault="008F2228" w:rsidP="008F2228">
          <w:pPr>
            <w:pStyle w:val="FirmName"/>
            <w:spacing w:line="200" w:lineRule="exact"/>
            <w:jc w:val="left"/>
            <w:rPr>
              <w:b/>
              <w:sz w:val="16"/>
            </w:rPr>
          </w:pPr>
        </w:p>
      </w:tc>
      <w:tc>
        <w:tcPr>
          <w:tcW w:w="3489" w:type="dxa"/>
        </w:tcPr>
        <w:p w:rsidR="008F2228" w:rsidRDefault="008F2228" w:rsidP="008F2228">
          <w:pPr>
            <w:pStyle w:val="FirmName"/>
            <w:spacing w:line="240" w:lineRule="auto"/>
            <w:ind w:left="-86"/>
            <w:jc w:val="left"/>
            <w:rPr>
              <w:sz w:val="16"/>
            </w:rPr>
          </w:pPr>
        </w:p>
      </w:tc>
    </w:tr>
  </w:tbl>
  <w:p w:rsidR="008F2228" w:rsidRDefault="008F2228" w:rsidP="00A273DB">
    <w:pPr>
      <w:pStyle w:val="Footer"/>
    </w:pPr>
    <w:r>
      <w:rPr>
        <w:sz w:val="16"/>
      </w:rPr>
      <w:fldChar w:fldCharType="begin"/>
    </w:r>
    <w:r>
      <w:rPr>
        <w:sz w:val="16"/>
      </w:rPr>
      <w:instrText xml:space="preserve"> </w:instrText>
    </w:r>
    <w:r w:rsidRPr="00A273DB">
      <w:rPr>
        <w:sz w:val="16"/>
      </w:rPr>
      <w:instrText>IF "</w:instrText>
    </w:r>
    <w:r w:rsidRPr="00A273DB">
      <w:rPr>
        <w:sz w:val="16"/>
      </w:rPr>
      <w:fldChar w:fldCharType="begin"/>
    </w:r>
    <w:r w:rsidRPr="00A273DB">
      <w:rPr>
        <w:sz w:val="16"/>
      </w:rPr>
      <w:instrText xml:space="preserve"> DOCVARIABLE "SWDocIDLocation" </w:instrText>
    </w:r>
    <w:r w:rsidRPr="00A273DB">
      <w:rPr>
        <w:sz w:val="16"/>
      </w:rPr>
      <w:fldChar w:fldCharType="separate"/>
    </w:r>
    <w:r w:rsidR="00E7662C">
      <w:rPr>
        <w:sz w:val="16"/>
      </w:rPr>
      <w:instrText>1</w:instrText>
    </w:r>
    <w:r w:rsidRPr="00A273DB">
      <w:rPr>
        <w:sz w:val="16"/>
      </w:rPr>
      <w:fldChar w:fldCharType="end"/>
    </w:r>
    <w:r w:rsidRPr="00A273DB">
      <w:rPr>
        <w:sz w:val="16"/>
      </w:rPr>
      <w:instrText>" = "1" "</w:instrText>
    </w:r>
    <w:r w:rsidRPr="00A273DB">
      <w:rPr>
        <w:sz w:val="16"/>
      </w:rPr>
      <w:fldChar w:fldCharType="begin"/>
    </w:r>
    <w:r w:rsidRPr="00A273DB">
      <w:rPr>
        <w:sz w:val="16"/>
      </w:rPr>
      <w:instrText xml:space="preserve"> DOCPROPERTY "SWDocID" </w:instrText>
    </w:r>
    <w:r w:rsidRPr="00A273DB">
      <w:rPr>
        <w:sz w:val="16"/>
      </w:rPr>
      <w:fldChar w:fldCharType="separate"/>
    </w:r>
    <w:r w:rsidR="00E7662C">
      <w:rPr>
        <w:sz w:val="16"/>
      </w:rPr>
      <w:instrText xml:space="preserve"> 5847231.4</w:instrText>
    </w:r>
    <w:r w:rsidRPr="00A273DB">
      <w:rPr>
        <w:sz w:val="16"/>
      </w:rPr>
      <w:fldChar w:fldCharType="end"/>
    </w:r>
    <w:r w:rsidRPr="00A273DB">
      <w:rPr>
        <w:sz w:val="16"/>
      </w:rPr>
      <w:instrText>" ""</w:instrText>
    </w:r>
    <w:r>
      <w:rPr>
        <w:sz w:val="16"/>
      </w:rPr>
      <w:instrText xml:space="preserve"> </w:instrText>
    </w:r>
    <w:r>
      <w:rPr>
        <w:sz w:val="16"/>
      </w:rPr>
      <w:fldChar w:fldCharType="separate"/>
    </w:r>
    <w:r w:rsidR="00E7662C">
      <w:rPr>
        <w:noProof/>
        <w:sz w:val="16"/>
      </w:rPr>
      <w:t xml:space="preserve"> 5847231.4</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8C2" w:rsidRDefault="008F7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228" w:rsidRDefault="008F2228">
      <w:r>
        <w:separator/>
      </w:r>
    </w:p>
  </w:footnote>
  <w:footnote w:type="continuationSeparator" w:id="0">
    <w:p w:rsidR="008F2228" w:rsidRDefault="008F2228">
      <w:r>
        <w:continuationSeparator/>
      </w:r>
    </w:p>
  </w:footnote>
  <w:footnote w:id="1">
    <w:p w:rsidR="000501A2" w:rsidRDefault="00291B6C">
      <w:pPr>
        <w:pStyle w:val="FootnoteText"/>
      </w:pPr>
      <w:r>
        <w:rPr>
          <w:rStyle w:val="FootnoteReference"/>
        </w:rPr>
        <w:footnoteRef/>
      </w:r>
      <w:r>
        <w:t xml:space="preserve"> See e.g., Order M.V.G. No. 1533, </w:t>
      </w:r>
      <w:r w:rsidRPr="00EE7D23">
        <w:rPr>
          <w:i/>
        </w:rPr>
        <w:t xml:space="preserve">In re Sure-Way Incineration, </w:t>
      </w:r>
      <w:proofErr w:type="spellStart"/>
      <w:r w:rsidRPr="00EE7D23">
        <w:rPr>
          <w:i/>
        </w:rPr>
        <w:t>Inc</w:t>
      </w:r>
      <w:proofErr w:type="spellEnd"/>
      <w:r>
        <w:t xml:space="preserve">, Application GA-868 (Feb. 1992), at 7-8; Order M.V. No. 128561, </w:t>
      </w:r>
      <w:r w:rsidRPr="00363D85">
        <w:rPr>
          <w:i/>
        </w:rPr>
        <w:t>In re App. P-66910 of Frank E. Nonnemacher d/b/a Nonnemacher Farms</w:t>
      </w:r>
      <w:r>
        <w:t xml:space="preserve">, (1983) (citing </w:t>
      </w:r>
      <w:r w:rsidRPr="00C10B94">
        <w:t xml:space="preserve">Order M.V. No. 125248, </w:t>
      </w:r>
      <w:r w:rsidRPr="00C10B94">
        <w:rPr>
          <w:i/>
        </w:rPr>
        <w:t>In re App. P-65613 of Washington Air Taxi Express, d/b/a WATE, INC.,</w:t>
      </w:r>
      <w:r w:rsidRPr="00C10B94">
        <w:t xml:space="preserve"> (198</w:t>
      </w:r>
      <w:r>
        <w:t xml:space="preserve">2); Order SBC No. 398; </w:t>
      </w:r>
      <w:r w:rsidRPr="00C10B94">
        <w:rPr>
          <w:i/>
        </w:rPr>
        <w:t>In re App. B-277 of Island Ferry</w:t>
      </w:r>
      <w:r w:rsidR="000501A2">
        <w:t>, (1982)</w:t>
      </w:r>
      <w:r>
        <w:t>.</w:t>
      </w:r>
    </w:p>
  </w:footnote>
  <w:footnote w:id="2">
    <w:p w:rsidR="00AB3866" w:rsidRDefault="00AB3866">
      <w:pPr>
        <w:pStyle w:val="FootnoteText"/>
      </w:pPr>
      <w:r>
        <w:rPr>
          <w:rStyle w:val="FootnoteReference"/>
        </w:rPr>
        <w:footnoteRef/>
      </w:r>
      <w:r>
        <w:t xml:space="preserve"> Order M.V. No. 141979, </w:t>
      </w:r>
      <w:r w:rsidRPr="003630FC">
        <w:rPr>
          <w:i/>
        </w:rPr>
        <w:t>WUTC v. K-Lines, Inc.</w:t>
      </w:r>
      <w:r>
        <w:t xml:space="preserve">, Hearing No. H-4990 (Sept., 1990) (petition denied because petitioner did not demonstrate the Commission’s decision had an unintended result); Order M.V. No. 129068, </w:t>
      </w:r>
      <w:r w:rsidRPr="003630FC">
        <w:rPr>
          <w:i/>
        </w:rPr>
        <w:t>In re John F. Mitchell</w:t>
      </w:r>
      <w:r>
        <w:t>, App. No. P-67157 (Jan., 1984)(Affidavits submitted after a hearing, alleging protestant’s misconduct and impeaching protestant’s testimony, generally do not affect disposition of an application.  Such allegations of misconduct are relevant only when they impact the continuing ability of the protestant to serve the public.)</w:t>
      </w:r>
    </w:p>
  </w:footnote>
  <w:footnote w:id="3">
    <w:p w:rsidR="00B44AF4" w:rsidRPr="00473567" w:rsidRDefault="00B44AF4" w:rsidP="00B44AF4">
      <w:pPr>
        <w:pStyle w:val="FootnoteText"/>
      </w:pPr>
      <w:r>
        <w:rPr>
          <w:rStyle w:val="FootnoteReference"/>
        </w:rPr>
        <w:footnoteRef/>
      </w:r>
      <w:r>
        <w:t xml:space="preserve"> </w:t>
      </w:r>
      <w:r w:rsidR="00AD2CD6">
        <w:t xml:space="preserve">Order M.V.G. No. 1533, </w:t>
      </w:r>
      <w:r>
        <w:rPr>
          <w:i/>
        </w:rPr>
        <w:t xml:space="preserve">Sure-Way Incineration, </w:t>
      </w:r>
      <w:proofErr w:type="spellStart"/>
      <w:r>
        <w:rPr>
          <w:i/>
        </w:rPr>
        <w:t>Inc</w:t>
      </w:r>
      <w:proofErr w:type="spellEnd"/>
      <w:r>
        <w:rPr>
          <w:i/>
        </w:rPr>
        <w:t xml:space="preserve">, </w:t>
      </w:r>
      <w:r>
        <w:t>¶10, 11, p. 8.</w:t>
      </w:r>
    </w:p>
  </w:footnote>
  <w:footnote w:id="4">
    <w:p w:rsidR="00B44AF4" w:rsidRPr="006E2C2E" w:rsidRDefault="00B44AF4" w:rsidP="00B44AF4">
      <w:pPr>
        <w:pStyle w:val="FootnoteText"/>
        <w:rPr>
          <w:i/>
        </w:rPr>
      </w:pPr>
      <w:r>
        <w:rPr>
          <w:rStyle w:val="FootnoteReference"/>
        </w:rPr>
        <w:footnoteRef/>
      </w:r>
      <w:r>
        <w:t xml:space="preserve"> </w:t>
      </w:r>
      <w:r>
        <w:rPr>
          <w:i/>
        </w:rPr>
        <w:t xml:space="preserve">Id.  </w:t>
      </w:r>
    </w:p>
  </w:footnote>
  <w:footnote w:id="5">
    <w:p w:rsidR="00F44365" w:rsidRPr="00F44365" w:rsidRDefault="00F44365">
      <w:pPr>
        <w:pStyle w:val="FootnoteText"/>
      </w:pPr>
      <w:r>
        <w:rPr>
          <w:rStyle w:val="FootnoteReference"/>
        </w:rPr>
        <w:footnoteRef/>
      </w:r>
      <w:r>
        <w:t xml:space="preserve"> </w:t>
      </w:r>
      <w:r>
        <w:rPr>
          <w:i/>
        </w:rPr>
        <w:t>Id.</w:t>
      </w:r>
      <w:r>
        <w:t xml:space="preserve">, ¶7, p.7.  </w:t>
      </w:r>
    </w:p>
  </w:footnote>
  <w:footnote w:id="6">
    <w:p w:rsidR="00F44365" w:rsidRPr="00F44365" w:rsidRDefault="00F44365">
      <w:pPr>
        <w:pStyle w:val="FootnoteText"/>
      </w:pPr>
      <w:r>
        <w:rPr>
          <w:rStyle w:val="FootnoteReference"/>
        </w:rPr>
        <w:footnoteRef/>
      </w:r>
      <w:r>
        <w:t xml:space="preserve"> </w:t>
      </w:r>
      <w:r>
        <w:rPr>
          <w:i/>
        </w:rPr>
        <w:t>Id.</w:t>
      </w:r>
      <w:r>
        <w:t xml:space="preserve">, ¶8, p.7.  </w:t>
      </w:r>
    </w:p>
  </w:footnote>
  <w:footnote w:id="7">
    <w:p w:rsidR="001A332D" w:rsidRPr="001A332D" w:rsidRDefault="001A332D">
      <w:pPr>
        <w:pStyle w:val="FootnoteText"/>
      </w:pPr>
      <w:r>
        <w:rPr>
          <w:rStyle w:val="FootnoteReference"/>
        </w:rPr>
        <w:footnoteRef/>
      </w:r>
      <w:r>
        <w:t xml:space="preserve"> </w:t>
      </w:r>
      <w:r>
        <w:rPr>
          <w:i/>
        </w:rPr>
        <w:t>Id.</w:t>
      </w:r>
    </w:p>
  </w:footnote>
  <w:footnote w:id="8">
    <w:p w:rsidR="001A332D" w:rsidRDefault="001A332D" w:rsidP="001A332D">
      <w:pPr>
        <w:pStyle w:val="FootnoteText"/>
      </w:pPr>
      <w:r>
        <w:rPr>
          <w:rStyle w:val="FootnoteReference"/>
        </w:rPr>
        <w:footnoteRef/>
      </w:r>
      <w:r>
        <w:t xml:space="preserve"> </w:t>
      </w:r>
      <w:r w:rsidRPr="001A332D">
        <w:rPr>
          <w:i/>
        </w:rPr>
        <w:t>Lawrence v. Dep't of Health</w:t>
      </w:r>
      <w:r>
        <w:t>, 133 Wash. App. 665, 678, 138 P.3d 124, 131 (2006) (citing RCW 34.05.416, “On the contrary, the [Medical Quality Assurance] Commission had legislatively delegated discretion to decide not to hold a public hearing.”)</w:t>
      </w:r>
    </w:p>
  </w:footnote>
  <w:footnote w:id="9">
    <w:p w:rsidR="009352E8" w:rsidRDefault="009352E8" w:rsidP="009352E8">
      <w:pPr>
        <w:pStyle w:val="FootnoteText"/>
      </w:pPr>
      <w:r>
        <w:rPr>
          <w:rStyle w:val="FootnoteReference"/>
        </w:rPr>
        <w:footnoteRef/>
      </w:r>
      <w:r>
        <w:t xml:space="preserve"> </w:t>
      </w:r>
      <w:r w:rsidRPr="009352E8">
        <w:rPr>
          <w:i/>
        </w:rPr>
        <w:t>US W</w:t>
      </w:r>
      <w:r w:rsidR="008C02CB">
        <w:rPr>
          <w:i/>
        </w:rPr>
        <w:t>est</w:t>
      </w:r>
      <w:r w:rsidRPr="009352E8">
        <w:rPr>
          <w:i/>
        </w:rPr>
        <w:t xml:space="preserve">. </w:t>
      </w:r>
      <w:proofErr w:type="spellStart"/>
      <w:r w:rsidRPr="009352E8">
        <w:rPr>
          <w:i/>
        </w:rPr>
        <w:t>Commc'ns</w:t>
      </w:r>
      <w:proofErr w:type="spellEnd"/>
      <w:r w:rsidRPr="009352E8">
        <w:rPr>
          <w:i/>
        </w:rPr>
        <w:t xml:space="preserve">, Inc. v. Washington Utilities &amp; Transp. </w:t>
      </w:r>
      <w:proofErr w:type="spellStart"/>
      <w:r w:rsidRPr="009352E8">
        <w:rPr>
          <w:i/>
        </w:rPr>
        <w:t>Comm'n</w:t>
      </w:r>
      <w:proofErr w:type="spellEnd"/>
      <w:r>
        <w:t>, 134 Wash. 2d 74, 949 P.2d 1337 (1997), as corrected (Mar. 3, 1998)</w:t>
      </w:r>
    </w:p>
  </w:footnote>
  <w:footnote w:id="10">
    <w:p w:rsidR="009352E8" w:rsidRDefault="009352E8">
      <w:pPr>
        <w:pStyle w:val="FootnoteText"/>
      </w:pPr>
      <w:r>
        <w:rPr>
          <w:rStyle w:val="FootnoteReference"/>
        </w:rPr>
        <w:footnoteRef/>
      </w:r>
      <w:r>
        <w:t xml:space="preserve"> </w:t>
      </w:r>
      <w:r w:rsidRPr="00DE5718">
        <w:rPr>
          <w:i/>
        </w:rPr>
        <w:t>WUTC v. Pacific Power and Light Company</w:t>
      </w:r>
      <w:r w:rsidRPr="00DE5718">
        <w:t xml:space="preserve">, </w:t>
      </w:r>
      <w:r>
        <w:t>2015 Wash. UTC LEXIS 734, *69-70, 320 P.U.R.4th 178 (Wash. U.T.C. 2015).</w:t>
      </w:r>
    </w:p>
  </w:footnote>
  <w:footnote w:id="11">
    <w:p w:rsidR="00B44AF4" w:rsidRDefault="00B44AF4" w:rsidP="00B44AF4">
      <w:pPr>
        <w:pStyle w:val="FootnoteText"/>
      </w:pPr>
      <w:r>
        <w:rPr>
          <w:rStyle w:val="FootnoteReference"/>
        </w:rPr>
        <w:footnoteRef/>
      </w:r>
      <w:r>
        <w:t xml:space="preserve"> See Answer of Shuttle Express</w:t>
      </w:r>
      <w:r w:rsidR="00DD313A">
        <w:t>, fn. 9, p. 18</w:t>
      </w:r>
      <w:r>
        <w:t xml:space="preserve"> (citing </w:t>
      </w:r>
      <w:r w:rsidRPr="001B43C3">
        <w:rPr>
          <w:i/>
        </w:rPr>
        <w:t>Dryden Commercial Club v. Dep't of Pub. Works of Washington</w:t>
      </w:r>
      <w:r>
        <w:t xml:space="preserve">, 142 Wash. 317, 320, 252 P. 911, 912 (1927)).  </w:t>
      </w:r>
    </w:p>
  </w:footnote>
  <w:footnote w:id="12">
    <w:p w:rsidR="00B44AF4" w:rsidRDefault="00B44AF4" w:rsidP="00B44AF4">
      <w:pPr>
        <w:pStyle w:val="FootnoteText"/>
      </w:pPr>
      <w:r>
        <w:rPr>
          <w:rStyle w:val="FootnoteReference"/>
        </w:rPr>
        <w:footnoteRef/>
      </w:r>
      <w:r>
        <w:t xml:space="preserve"> </w:t>
      </w:r>
      <w:r>
        <w:rPr>
          <w:i/>
        </w:rPr>
        <w:t>Id.,</w:t>
      </w:r>
      <w:r>
        <w:t xml:space="preserve"> at 319.  </w:t>
      </w:r>
    </w:p>
  </w:footnote>
  <w:footnote w:id="13">
    <w:p w:rsidR="00A653C9" w:rsidRDefault="00A653C9">
      <w:pPr>
        <w:pStyle w:val="FootnoteText"/>
      </w:pPr>
      <w:r>
        <w:rPr>
          <w:rStyle w:val="FootnoteReference"/>
        </w:rPr>
        <w:footnoteRef/>
      </w:r>
      <w:r>
        <w:t xml:space="preserve"> </w:t>
      </w:r>
      <w:r w:rsidRPr="00B44AF4">
        <w:rPr>
          <w:i/>
        </w:rPr>
        <w:t>Dryden Commercial Club v. Dep't of Pub. Works of Washington</w:t>
      </w:r>
      <w:r>
        <w:t xml:space="preserve">, 142 Wash. 317, 320, 252 P. 911, 912 (1927).  </w:t>
      </w:r>
    </w:p>
  </w:footnote>
  <w:footnote w:id="14">
    <w:p w:rsidR="00E84B22" w:rsidRDefault="00E84B22" w:rsidP="00E84B22">
      <w:pPr>
        <w:pStyle w:val="FootnoteText"/>
      </w:pPr>
      <w:r>
        <w:rPr>
          <w:rStyle w:val="FootnoteReference"/>
        </w:rPr>
        <w:footnoteRef/>
      </w:r>
      <w:r>
        <w:t xml:space="preserve"> Notice of Determination not to Amend Order 04, p. 3 (Dec. 14, 2015).</w:t>
      </w:r>
    </w:p>
  </w:footnote>
  <w:footnote w:id="15">
    <w:p w:rsidR="00E84B22" w:rsidRDefault="00E84B22">
      <w:pPr>
        <w:pStyle w:val="FootnoteText"/>
      </w:pPr>
      <w:r>
        <w:rPr>
          <w:rStyle w:val="FootnoteReference"/>
        </w:rPr>
        <w:footnoteRef/>
      </w:r>
      <w:r>
        <w:t xml:space="preserve"> Commission Staff’s Answer to Speedishuttle’s Petition for Administrative Review of Initial Order 06 (“Staff Answer”)</w:t>
      </w:r>
      <w:r w:rsidR="00F64982">
        <w:t>, ¶</w:t>
      </w:r>
      <w:r>
        <w:t xml:space="preserve">4.  </w:t>
      </w:r>
    </w:p>
  </w:footnote>
  <w:footnote w:id="16">
    <w:p w:rsidR="008C02CB" w:rsidRDefault="008C02CB">
      <w:pPr>
        <w:pStyle w:val="FootnoteText"/>
      </w:pPr>
      <w:r>
        <w:rPr>
          <w:rStyle w:val="FootnoteReference"/>
        </w:rPr>
        <w:footnoteRef/>
      </w:r>
      <w:r>
        <w:t xml:space="preserve"> Answer of Shuttle Express, ¶9, p. 4.  Shuttle Express simply </w:t>
      </w:r>
      <w:r w:rsidR="0023690C">
        <w:t>aver</w:t>
      </w:r>
      <w:r>
        <w:t>s “[</w:t>
      </w:r>
      <w:proofErr w:type="spellStart"/>
      <w:r>
        <w:t>i</w:t>
      </w:r>
      <w:proofErr w:type="spellEnd"/>
      <w:r>
        <w:t xml:space="preserve">]n addition to CR 12 the Commission should consider CR 8…”  It cites no authority for this proposition.  </w:t>
      </w:r>
    </w:p>
  </w:footnote>
  <w:footnote w:id="17">
    <w:p w:rsidR="00B52A62" w:rsidRDefault="00B52A62">
      <w:pPr>
        <w:pStyle w:val="FootnoteText"/>
      </w:pPr>
      <w:r>
        <w:rPr>
          <w:rStyle w:val="FootnoteReference"/>
        </w:rPr>
        <w:footnoteRef/>
      </w:r>
      <w:r>
        <w:t xml:space="preserve"> Answer of Shuttle Express, ¶¶8-10, pp. 3-4, citing WAC 480-07-380(a) and CR 12.  </w:t>
      </w:r>
    </w:p>
  </w:footnote>
  <w:footnote w:id="18">
    <w:p w:rsidR="00540A46" w:rsidRPr="00540A46" w:rsidRDefault="00540A46">
      <w:pPr>
        <w:pStyle w:val="FootnoteText"/>
        <w:rPr>
          <w:i/>
        </w:rPr>
      </w:pPr>
      <w:r>
        <w:rPr>
          <w:rStyle w:val="FootnoteReference"/>
        </w:rPr>
        <w:footnoteRef/>
      </w:r>
      <w:r>
        <w:t xml:space="preserve"> </w:t>
      </w:r>
      <w:r>
        <w:rPr>
          <w:i/>
        </w:rPr>
        <w:t>Pacific Northwest Transportation Service, Inc., v. Utilities and Transportation Commission</w:t>
      </w:r>
      <w:r w:rsidRPr="00496648">
        <w:t>,</w:t>
      </w:r>
      <w:r>
        <w:rPr>
          <w:i/>
        </w:rPr>
        <w:t xml:space="preserve"> </w:t>
      </w:r>
      <w:r w:rsidRPr="00496648">
        <w:t xml:space="preserve">91 </w:t>
      </w:r>
      <w:proofErr w:type="spellStart"/>
      <w:r w:rsidRPr="00496648">
        <w:t>Wn</w:t>
      </w:r>
      <w:proofErr w:type="spellEnd"/>
      <w:r w:rsidRPr="00496648">
        <w:t>. App. 589, 596-597</w:t>
      </w:r>
      <w:r w:rsidR="00496648" w:rsidRPr="00496648">
        <w:t>, 959 P.2d 160 (1998).</w:t>
      </w:r>
    </w:p>
  </w:footnote>
  <w:footnote w:id="19">
    <w:p w:rsidR="00496648" w:rsidRPr="006465CD" w:rsidRDefault="00496648">
      <w:pPr>
        <w:pStyle w:val="FootnoteText"/>
      </w:pPr>
      <w:r>
        <w:rPr>
          <w:rStyle w:val="FootnoteReference"/>
        </w:rPr>
        <w:footnoteRef/>
      </w:r>
      <w:r>
        <w:t xml:space="preserve"> </w:t>
      </w:r>
      <w:r w:rsidR="006465CD">
        <w:t xml:space="preserve">Order 04, Docket TC-120323, </w:t>
      </w:r>
      <w:r w:rsidR="006465CD">
        <w:rPr>
          <w:i/>
        </w:rPr>
        <w:t xml:space="preserve">In re WUTC v. Shuttle Express, Inc. </w:t>
      </w:r>
      <w:r w:rsidR="006465CD">
        <w:t>(Mar. 2014</w:t>
      </w:r>
      <w:r w:rsidR="005C4CA1">
        <w:t>)</w:t>
      </w:r>
      <w:r w:rsidR="006465CD">
        <w:t xml:space="preserve">, </w:t>
      </w:r>
      <w:r w:rsidR="006465CD">
        <w:rPr>
          <w:rFonts w:cs="Times New Roman"/>
        </w:rPr>
        <w:t>¶</w:t>
      </w:r>
      <w:r w:rsidR="006465CD">
        <w:t>31, 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8C2" w:rsidRDefault="008F78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FEA" w:rsidRPr="00E7662C" w:rsidRDefault="00BF1FEA" w:rsidP="00E766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8C2" w:rsidRDefault="008F78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07893504"/>
    <w:multiLevelType w:val="hybridMultilevel"/>
    <w:tmpl w:val="2842F4AA"/>
    <w:lvl w:ilvl="0" w:tplc="710092F4">
      <w:start w:val="1"/>
      <w:numFmt w:val="upperLetter"/>
      <w:pStyle w:val="Heading3"/>
      <w:lvlText w:val="%1)"/>
      <w:lvlJc w:val="left"/>
      <w:pPr>
        <w:ind w:left="630" w:hanging="360"/>
      </w:pPr>
      <w:rPr>
        <w:rFonts w:hint="default"/>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12C76A5"/>
    <w:multiLevelType w:val="hybridMultilevel"/>
    <w:tmpl w:val="A9D28EF6"/>
    <w:lvl w:ilvl="0" w:tplc="C8BA0608">
      <w:start w:val="1"/>
      <w:numFmt w:val="decimal"/>
      <w:pStyle w:val="StyleListParagraphLinespacingDouble"/>
      <w:lvlText w:val="%1"/>
      <w:lvlJc w:val="left"/>
      <w:pPr>
        <w:ind w:left="360" w:hanging="864"/>
      </w:pPr>
      <w:rPr>
        <w:rFonts w:ascii="Times New Roman" w:hAnsi="Times New Roman" w:hint="default"/>
        <w:b w:val="0"/>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00761B1"/>
    <w:multiLevelType w:val="multilevel"/>
    <w:tmpl w:val="31CA7196"/>
    <w:lvl w:ilvl="0">
      <w:start w:val="1"/>
      <w:numFmt w:val="upperRoman"/>
      <w:suff w:val="nothing"/>
      <w:lvlText w:val="%1"/>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1">
      <w:start w:val="1"/>
      <w:numFmt w:val="upperLetter"/>
      <w:suff w:val="nothing"/>
      <w:lvlText w:val="%2.  "/>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2">
      <w:start w:val="1"/>
      <w:numFmt w:val="lowerLetter"/>
      <w:suff w:val="nothing"/>
      <w:lvlText w:val="%3"/>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abstractNum w:abstractNumId="15">
    <w:nsid w:val="61793A4B"/>
    <w:multiLevelType w:val="hybridMultilevel"/>
    <w:tmpl w:val="1CF09EC0"/>
    <w:lvl w:ilvl="0" w:tplc="F068862C">
      <w:start w:val="1"/>
      <w:numFmt w:val="upperLetter"/>
      <w:pStyle w:val="Heading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CF31F2"/>
    <w:multiLevelType w:val="multilevel"/>
    <w:tmpl w:val="B4FA7426"/>
    <w:lvl w:ilvl="0">
      <w:start w:val="1"/>
      <w:numFmt w:val="upperRoman"/>
      <w:pStyle w:val="Heading1"/>
      <w:lvlText w:val="%1."/>
      <w:lvlJc w:val="right"/>
      <w:pPr>
        <w:ind w:left="360" w:hanging="360"/>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720" w:hanging="360"/>
      </w:pPr>
      <w:rPr>
        <w:rFonts w:ascii="9999999" w:hAnsi="9999999"/>
        <w:b/>
        <w:i w:val="0"/>
        <w:caps w:val="0"/>
        <w:strike w:val="0"/>
        <w:dstrike w:val="0"/>
        <w:outline w:val="0"/>
        <w:shadow w:val="0"/>
        <w:emboss w:val="0"/>
        <w:imprint w:val="0"/>
        <w:vanish w:val="0"/>
        <w:color w:val="000000"/>
        <w:sz w:val="24"/>
        <w:u w:val="none"/>
        <w:effect w:val="none"/>
        <w:vertAlign w:val="baseline"/>
      </w:rPr>
    </w:lvl>
    <w:lvl w:ilvl="2">
      <w:start w:val="1"/>
      <w:numFmt w:val="decimal"/>
      <w:suff w:val="nothing"/>
      <w:lvlText w:val="%3)  "/>
      <w:lvlJc w:val="left"/>
      <w:pPr>
        <w:tabs>
          <w:tab w:val="num" w:pos="0"/>
        </w:tabs>
        <w:ind w:left="72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none"/>
      <w:pStyle w:val="Heading4"/>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pStyle w:val="Heading5"/>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pStyle w:val="Heading7"/>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abstractNum w:abstractNumId="17">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7"/>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3"/>
  </w:num>
  <w:num w:numId="15">
    <w:abstractNumId w:val="10"/>
  </w:num>
  <w:num w:numId="16">
    <w:abstractNumId w:val="13"/>
    <w:lvlOverride w:ilvl="0">
      <w:startOverride w:val="10"/>
    </w:lvlOverride>
  </w:num>
  <w:num w:numId="17">
    <w:abstractNumId w:val="13"/>
    <w:lvlOverride w:ilvl="0">
      <w:startOverride w:val="15"/>
    </w:lvlOverride>
  </w:num>
  <w:num w:numId="18">
    <w:abstractNumId w:val="9"/>
  </w:num>
  <w:num w:numId="19">
    <w:abstractNumId w:val="14"/>
  </w:num>
  <w:num w:numId="20">
    <w:abstractNumId w:val="15"/>
  </w:num>
  <w:num w:numId="21">
    <w:abstractNumId w:val="13"/>
  </w:num>
  <w:num w:numId="22">
    <w:abstractNumId w:val="15"/>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5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676046"/>
    <w:rsid w:val="000039FD"/>
    <w:rsid w:val="000102E3"/>
    <w:rsid w:val="00012A84"/>
    <w:rsid w:val="000141AD"/>
    <w:rsid w:val="000146E8"/>
    <w:rsid w:val="00014DEA"/>
    <w:rsid w:val="00014E0E"/>
    <w:rsid w:val="000216E0"/>
    <w:rsid w:val="00024DB7"/>
    <w:rsid w:val="00025F9F"/>
    <w:rsid w:val="00026207"/>
    <w:rsid w:val="000278A7"/>
    <w:rsid w:val="00030223"/>
    <w:rsid w:val="00040879"/>
    <w:rsid w:val="00041BC6"/>
    <w:rsid w:val="000421C8"/>
    <w:rsid w:val="0004416A"/>
    <w:rsid w:val="000501A2"/>
    <w:rsid w:val="00050AD0"/>
    <w:rsid w:val="00051472"/>
    <w:rsid w:val="000532F7"/>
    <w:rsid w:val="00056ADF"/>
    <w:rsid w:val="00056CD3"/>
    <w:rsid w:val="000650F2"/>
    <w:rsid w:val="00076CB8"/>
    <w:rsid w:val="000772AF"/>
    <w:rsid w:val="00082CE0"/>
    <w:rsid w:val="000835CA"/>
    <w:rsid w:val="00084CC5"/>
    <w:rsid w:val="00086407"/>
    <w:rsid w:val="00091035"/>
    <w:rsid w:val="000927C3"/>
    <w:rsid w:val="0009468C"/>
    <w:rsid w:val="00095DB6"/>
    <w:rsid w:val="000A1495"/>
    <w:rsid w:val="000A3CB5"/>
    <w:rsid w:val="000B4820"/>
    <w:rsid w:val="000B526B"/>
    <w:rsid w:val="000B5406"/>
    <w:rsid w:val="000B6EA1"/>
    <w:rsid w:val="000C43A6"/>
    <w:rsid w:val="000C5A30"/>
    <w:rsid w:val="000E4EAF"/>
    <w:rsid w:val="000E6609"/>
    <w:rsid w:val="000F25FF"/>
    <w:rsid w:val="000F763B"/>
    <w:rsid w:val="0010102A"/>
    <w:rsid w:val="001075DF"/>
    <w:rsid w:val="00110667"/>
    <w:rsid w:val="001112F5"/>
    <w:rsid w:val="001121AC"/>
    <w:rsid w:val="00114852"/>
    <w:rsid w:val="00126950"/>
    <w:rsid w:val="001332AF"/>
    <w:rsid w:val="001368C7"/>
    <w:rsid w:val="00140930"/>
    <w:rsid w:val="00145935"/>
    <w:rsid w:val="0015402E"/>
    <w:rsid w:val="001540F0"/>
    <w:rsid w:val="001573A1"/>
    <w:rsid w:val="001646D6"/>
    <w:rsid w:val="00166E55"/>
    <w:rsid w:val="00170F84"/>
    <w:rsid w:val="0018174D"/>
    <w:rsid w:val="001825F9"/>
    <w:rsid w:val="0018694B"/>
    <w:rsid w:val="00191174"/>
    <w:rsid w:val="00192199"/>
    <w:rsid w:val="001A332D"/>
    <w:rsid w:val="001A3A5E"/>
    <w:rsid w:val="001A6198"/>
    <w:rsid w:val="001B3664"/>
    <w:rsid w:val="001B7DBE"/>
    <w:rsid w:val="001C5C4C"/>
    <w:rsid w:val="001C641A"/>
    <w:rsid w:val="001C6E25"/>
    <w:rsid w:val="001D30B2"/>
    <w:rsid w:val="001E3EA3"/>
    <w:rsid w:val="001E53B7"/>
    <w:rsid w:val="001E5AC3"/>
    <w:rsid w:val="001F3F97"/>
    <w:rsid w:val="00202DCC"/>
    <w:rsid w:val="00205116"/>
    <w:rsid w:val="002076B7"/>
    <w:rsid w:val="00207AC4"/>
    <w:rsid w:val="00207F7C"/>
    <w:rsid w:val="00211FE9"/>
    <w:rsid w:val="002200A2"/>
    <w:rsid w:val="00221562"/>
    <w:rsid w:val="002243CA"/>
    <w:rsid w:val="0022634C"/>
    <w:rsid w:val="00230872"/>
    <w:rsid w:val="0023382E"/>
    <w:rsid w:val="00234070"/>
    <w:rsid w:val="0023690C"/>
    <w:rsid w:val="0024018F"/>
    <w:rsid w:val="002406FA"/>
    <w:rsid w:val="002425DA"/>
    <w:rsid w:val="00244521"/>
    <w:rsid w:val="00252BAF"/>
    <w:rsid w:val="00256251"/>
    <w:rsid w:val="002642CE"/>
    <w:rsid w:val="00264949"/>
    <w:rsid w:val="00265614"/>
    <w:rsid w:val="00266CA5"/>
    <w:rsid w:val="00271872"/>
    <w:rsid w:val="00275619"/>
    <w:rsid w:val="00275B59"/>
    <w:rsid w:val="00276A83"/>
    <w:rsid w:val="002803BA"/>
    <w:rsid w:val="0028185D"/>
    <w:rsid w:val="00285014"/>
    <w:rsid w:val="00285161"/>
    <w:rsid w:val="002852D3"/>
    <w:rsid w:val="0028624B"/>
    <w:rsid w:val="00291B6C"/>
    <w:rsid w:val="0029284D"/>
    <w:rsid w:val="002A7307"/>
    <w:rsid w:val="002B1949"/>
    <w:rsid w:val="002B2462"/>
    <w:rsid w:val="002B4A89"/>
    <w:rsid w:val="002C0A62"/>
    <w:rsid w:val="002C1AE4"/>
    <w:rsid w:val="002D0485"/>
    <w:rsid w:val="002D679A"/>
    <w:rsid w:val="002D717B"/>
    <w:rsid w:val="002E33BE"/>
    <w:rsid w:val="002E4AC7"/>
    <w:rsid w:val="002E59AF"/>
    <w:rsid w:val="002E5AB5"/>
    <w:rsid w:val="002F32A8"/>
    <w:rsid w:val="002F4BB2"/>
    <w:rsid w:val="002F5618"/>
    <w:rsid w:val="002F76CF"/>
    <w:rsid w:val="00300975"/>
    <w:rsid w:val="003035D6"/>
    <w:rsid w:val="00305F37"/>
    <w:rsid w:val="00311965"/>
    <w:rsid w:val="00312C83"/>
    <w:rsid w:val="00316DD6"/>
    <w:rsid w:val="00320922"/>
    <w:rsid w:val="00321B7F"/>
    <w:rsid w:val="003245E7"/>
    <w:rsid w:val="00326A96"/>
    <w:rsid w:val="00327618"/>
    <w:rsid w:val="00330C8F"/>
    <w:rsid w:val="003339B8"/>
    <w:rsid w:val="0033598A"/>
    <w:rsid w:val="0033665F"/>
    <w:rsid w:val="00336DA6"/>
    <w:rsid w:val="00343181"/>
    <w:rsid w:val="00346B6C"/>
    <w:rsid w:val="00351950"/>
    <w:rsid w:val="00352A67"/>
    <w:rsid w:val="00356D6E"/>
    <w:rsid w:val="00360A47"/>
    <w:rsid w:val="003627A8"/>
    <w:rsid w:val="003630FC"/>
    <w:rsid w:val="00364A79"/>
    <w:rsid w:val="0036554D"/>
    <w:rsid w:val="00367964"/>
    <w:rsid w:val="00375C67"/>
    <w:rsid w:val="00380471"/>
    <w:rsid w:val="00384E86"/>
    <w:rsid w:val="00386F54"/>
    <w:rsid w:val="003900CF"/>
    <w:rsid w:val="0039172E"/>
    <w:rsid w:val="00392353"/>
    <w:rsid w:val="00395163"/>
    <w:rsid w:val="00395644"/>
    <w:rsid w:val="00396591"/>
    <w:rsid w:val="003A297E"/>
    <w:rsid w:val="003A2E9C"/>
    <w:rsid w:val="003A39AF"/>
    <w:rsid w:val="003A5740"/>
    <w:rsid w:val="003B34EC"/>
    <w:rsid w:val="003B409E"/>
    <w:rsid w:val="003B4A03"/>
    <w:rsid w:val="003B5EC2"/>
    <w:rsid w:val="003B6866"/>
    <w:rsid w:val="003C0B90"/>
    <w:rsid w:val="003C388B"/>
    <w:rsid w:val="003C781E"/>
    <w:rsid w:val="003C7928"/>
    <w:rsid w:val="003D5BA7"/>
    <w:rsid w:val="003E09F8"/>
    <w:rsid w:val="003E3A33"/>
    <w:rsid w:val="003E4800"/>
    <w:rsid w:val="003F296C"/>
    <w:rsid w:val="003F3DBB"/>
    <w:rsid w:val="003F591F"/>
    <w:rsid w:val="003F77CF"/>
    <w:rsid w:val="00400407"/>
    <w:rsid w:val="004021BA"/>
    <w:rsid w:val="00403A09"/>
    <w:rsid w:val="00403E44"/>
    <w:rsid w:val="004047B1"/>
    <w:rsid w:val="00406BA7"/>
    <w:rsid w:val="00410465"/>
    <w:rsid w:val="004277BF"/>
    <w:rsid w:val="00430D0C"/>
    <w:rsid w:val="004317E5"/>
    <w:rsid w:val="004377A2"/>
    <w:rsid w:val="00441FE5"/>
    <w:rsid w:val="00445647"/>
    <w:rsid w:val="004472F8"/>
    <w:rsid w:val="00450945"/>
    <w:rsid w:val="00450C4A"/>
    <w:rsid w:val="00454E50"/>
    <w:rsid w:val="00457DCD"/>
    <w:rsid w:val="004641B6"/>
    <w:rsid w:val="00475C80"/>
    <w:rsid w:val="004832FD"/>
    <w:rsid w:val="00486131"/>
    <w:rsid w:val="004869AC"/>
    <w:rsid w:val="00496201"/>
    <w:rsid w:val="00496648"/>
    <w:rsid w:val="00497A31"/>
    <w:rsid w:val="00497F99"/>
    <w:rsid w:val="004A15AF"/>
    <w:rsid w:val="004A27BD"/>
    <w:rsid w:val="004A5338"/>
    <w:rsid w:val="004A6525"/>
    <w:rsid w:val="004A7238"/>
    <w:rsid w:val="004B0B43"/>
    <w:rsid w:val="004B0B70"/>
    <w:rsid w:val="004B119B"/>
    <w:rsid w:val="004B24C7"/>
    <w:rsid w:val="004B3701"/>
    <w:rsid w:val="004B58D6"/>
    <w:rsid w:val="004C00A9"/>
    <w:rsid w:val="004C2A54"/>
    <w:rsid w:val="004C3371"/>
    <w:rsid w:val="004C5FEB"/>
    <w:rsid w:val="004D1B0F"/>
    <w:rsid w:val="004D3556"/>
    <w:rsid w:val="004D4767"/>
    <w:rsid w:val="004F0FC7"/>
    <w:rsid w:val="004F23B2"/>
    <w:rsid w:val="00505B37"/>
    <w:rsid w:val="00507312"/>
    <w:rsid w:val="00510B57"/>
    <w:rsid w:val="00514EB7"/>
    <w:rsid w:val="00515935"/>
    <w:rsid w:val="00522888"/>
    <w:rsid w:val="00535F04"/>
    <w:rsid w:val="00540A46"/>
    <w:rsid w:val="00542FCD"/>
    <w:rsid w:val="00551B1D"/>
    <w:rsid w:val="005600C4"/>
    <w:rsid w:val="00564905"/>
    <w:rsid w:val="00564EFF"/>
    <w:rsid w:val="0057518F"/>
    <w:rsid w:val="00581CB6"/>
    <w:rsid w:val="00587BA8"/>
    <w:rsid w:val="00592C1D"/>
    <w:rsid w:val="00594F3A"/>
    <w:rsid w:val="005957A0"/>
    <w:rsid w:val="0059621C"/>
    <w:rsid w:val="005A37EA"/>
    <w:rsid w:val="005A7E98"/>
    <w:rsid w:val="005B0C43"/>
    <w:rsid w:val="005B171E"/>
    <w:rsid w:val="005B2159"/>
    <w:rsid w:val="005B603F"/>
    <w:rsid w:val="005B7C55"/>
    <w:rsid w:val="005C4753"/>
    <w:rsid w:val="005C4CA1"/>
    <w:rsid w:val="005C53B6"/>
    <w:rsid w:val="005D6AA4"/>
    <w:rsid w:val="005E1484"/>
    <w:rsid w:val="005E4EB3"/>
    <w:rsid w:val="005E5C25"/>
    <w:rsid w:val="005E5F60"/>
    <w:rsid w:val="005F0478"/>
    <w:rsid w:val="005F14E9"/>
    <w:rsid w:val="005F3C8E"/>
    <w:rsid w:val="005F447B"/>
    <w:rsid w:val="006016E7"/>
    <w:rsid w:val="00607563"/>
    <w:rsid w:val="00615EEE"/>
    <w:rsid w:val="0062261B"/>
    <w:rsid w:val="00625914"/>
    <w:rsid w:val="0062732A"/>
    <w:rsid w:val="006307D2"/>
    <w:rsid w:val="006343B6"/>
    <w:rsid w:val="00634400"/>
    <w:rsid w:val="006446B1"/>
    <w:rsid w:val="006465CD"/>
    <w:rsid w:val="00647760"/>
    <w:rsid w:val="0065059A"/>
    <w:rsid w:val="0065658C"/>
    <w:rsid w:val="00661B24"/>
    <w:rsid w:val="00674E18"/>
    <w:rsid w:val="00676046"/>
    <w:rsid w:val="006760F8"/>
    <w:rsid w:val="006838DF"/>
    <w:rsid w:val="006846C3"/>
    <w:rsid w:val="006860D7"/>
    <w:rsid w:val="0069512E"/>
    <w:rsid w:val="006957E2"/>
    <w:rsid w:val="00695886"/>
    <w:rsid w:val="00695921"/>
    <w:rsid w:val="006978E1"/>
    <w:rsid w:val="006A3968"/>
    <w:rsid w:val="006A762F"/>
    <w:rsid w:val="006B12EC"/>
    <w:rsid w:val="006C10D7"/>
    <w:rsid w:val="006D1132"/>
    <w:rsid w:val="006E1237"/>
    <w:rsid w:val="006E2E2F"/>
    <w:rsid w:val="006E56D7"/>
    <w:rsid w:val="006F59AE"/>
    <w:rsid w:val="006F6448"/>
    <w:rsid w:val="006F7CCD"/>
    <w:rsid w:val="0071495A"/>
    <w:rsid w:val="00717609"/>
    <w:rsid w:val="00720397"/>
    <w:rsid w:val="007214B5"/>
    <w:rsid w:val="007250BE"/>
    <w:rsid w:val="00727FDC"/>
    <w:rsid w:val="007324DB"/>
    <w:rsid w:val="007354CD"/>
    <w:rsid w:val="0073737E"/>
    <w:rsid w:val="00742656"/>
    <w:rsid w:val="00743FB6"/>
    <w:rsid w:val="007453C3"/>
    <w:rsid w:val="00747F36"/>
    <w:rsid w:val="00756801"/>
    <w:rsid w:val="00757D1F"/>
    <w:rsid w:val="00761804"/>
    <w:rsid w:val="00762745"/>
    <w:rsid w:val="007711E2"/>
    <w:rsid w:val="007715D4"/>
    <w:rsid w:val="00772495"/>
    <w:rsid w:val="0077249A"/>
    <w:rsid w:val="007773B2"/>
    <w:rsid w:val="007852E1"/>
    <w:rsid w:val="00787DD8"/>
    <w:rsid w:val="007A4314"/>
    <w:rsid w:val="007B136F"/>
    <w:rsid w:val="007B52F4"/>
    <w:rsid w:val="007B605D"/>
    <w:rsid w:val="007B7FA9"/>
    <w:rsid w:val="007C4507"/>
    <w:rsid w:val="007D1FB7"/>
    <w:rsid w:val="007D2D52"/>
    <w:rsid w:val="007D378F"/>
    <w:rsid w:val="007D51CC"/>
    <w:rsid w:val="007D590C"/>
    <w:rsid w:val="007D741D"/>
    <w:rsid w:val="007E0820"/>
    <w:rsid w:val="007E36A3"/>
    <w:rsid w:val="007F1213"/>
    <w:rsid w:val="007F2242"/>
    <w:rsid w:val="007F7816"/>
    <w:rsid w:val="008019C9"/>
    <w:rsid w:val="008026C8"/>
    <w:rsid w:val="008068F6"/>
    <w:rsid w:val="008078F9"/>
    <w:rsid w:val="00814D8E"/>
    <w:rsid w:val="00820D2B"/>
    <w:rsid w:val="008307CF"/>
    <w:rsid w:val="00830DA8"/>
    <w:rsid w:val="008335B0"/>
    <w:rsid w:val="00846C15"/>
    <w:rsid w:val="00847D2B"/>
    <w:rsid w:val="00851E66"/>
    <w:rsid w:val="008668E0"/>
    <w:rsid w:val="008765E3"/>
    <w:rsid w:val="00877711"/>
    <w:rsid w:val="00877E63"/>
    <w:rsid w:val="0088064A"/>
    <w:rsid w:val="00887742"/>
    <w:rsid w:val="00892606"/>
    <w:rsid w:val="00895465"/>
    <w:rsid w:val="00895D33"/>
    <w:rsid w:val="008A21B6"/>
    <w:rsid w:val="008B2564"/>
    <w:rsid w:val="008B34B0"/>
    <w:rsid w:val="008B6F0C"/>
    <w:rsid w:val="008C02CB"/>
    <w:rsid w:val="008C6AE9"/>
    <w:rsid w:val="008D22DC"/>
    <w:rsid w:val="008D3D00"/>
    <w:rsid w:val="008D5274"/>
    <w:rsid w:val="008D5AA4"/>
    <w:rsid w:val="008D6D7B"/>
    <w:rsid w:val="008E201A"/>
    <w:rsid w:val="008E542A"/>
    <w:rsid w:val="008F2228"/>
    <w:rsid w:val="008F2926"/>
    <w:rsid w:val="008F5DED"/>
    <w:rsid w:val="008F78C2"/>
    <w:rsid w:val="00906326"/>
    <w:rsid w:val="0090635D"/>
    <w:rsid w:val="0091569B"/>
    <w:rsid w:val="009201E3"/>
    <w:rsid w:val="0092313C"/>
    <w:rsid w:val="009233A6"/>
    <w:rsid w:val="009352E8"/>
    <w:rsid w:val="00943DD4"/>
    <w:rsid w:val="0094656B"/>
    <w:rsid w:val="00952124"/>
    <w:rsid w:val="009547BE"/>
    <w:rsid w:val="009550B3"/>
    <w:rsid w:val="009600FC"/>
    <w:rsid w:val="0096160C"/>
    <w:rsid w:val="00963C7A"/>
    <w:rsid w:val="00964911"/>
    <w:rsid w:val="009670F5"/>
    <w:rsid w:val="009720F7"/>
    <w:rsid w:val="009736B3"/>
    <w:rsid w:val="00976577"/>
    <w:rsid w:val="009816A6"/>
    <w:rsid w:val="009817A7"/>
    <w:rsid w:val="00982CD2"/>
    <w:rsid w:val="00986E61"/>
    <w:rsid w:val="0099694B"/>
    <w:rsid w:val="009A04C8"/>
    <w:rsid w:val="009A5EDA"/>
    <w:rsid w:val="009A6157"/>
    <w:rsid w:val="009A620E"/>
    <w:rsid w:val="009A73E2"/>
    <w:rsid w:val="009B33E2"/>
    <w:rsid w:val="009C34C7"/>
    <w:rsid w:val="009C5B6A"/>
    <w:rsid w:val="009D2EC1"/>
    <w:rsid w:val="009D4E98"/>
    <w:rsid w:val="009D526C"/>
    <w:rsid w:val="009E0F3C"/>
    <w:rsid w:val="009E27A5"/>
    <w:rsid w:val="009E2D47"/>
    <w:rsid w:val="009F0607"/>
    <w:rsid w:val="009F4A13"/>
    <w:rsid w:val="009F50B9"/>
    <w:rsid w:val="009F55B2"/>
    <w:rsid w:val="00A010E5"/>
    <w:rsid w:val="00A011FF"/>
    <w:rsid w:val="00A0655B"/>
    <w:rsid w:val="00A06C42"/>
    <w:rsid w:val="00A078BD"/>
    <w:rsid w:val="00A106B0"/>
    <w:rsid w:val="00A11F6F"/>
    <w:rsid w:val="00A12DD0"/>
    <w:rsid w:val="00A13D5D"/>
    <w:rsid w:val="00A273DB"/>
    <w:rsid w:val="00A33E17"/>
    <w:rsid w:val="00A353D9"/>
    <w:rsid w:val="00A46439"/>
    <w:rsid w:val="00A469AE"/>
    <w:rsid w:val="00A54DC8"/>
    <w:rsid w:val="00A55DA7"/>
    <w:rsid w:val="00A6529C"/>
    <w:rsid w:val="00A653C9"/>
    <w:rsid w:val="00A721BD"/>
    <w:rsid w:val="00A81F37"/>
    <w:rsid w:val="00A8462D"/>
    <w:rsid w:val="00A84EB9"/>
    <w:rsid w:val="00A857E5"/>
    <w:rsid w:val="00A86763"/>
    <w:rsid w:val="00A94416"/>
    <w:rsid w:val="00A94C35"/>
    <w:rsid w:val="00A96331"/>
    <w:rsid w:val="00AA085D"/>
    <w:rsid w:val="00AA09AB"/>
    <w:rsid w:val="00AA3624"/>
    <w:rsid w:val="00AA593E"/>
    <w:rsid w:val="00AA6D49"/>
    <w:rsid w:val="00AB3866"/>
    <w:rsid w:val="00AC02F8"/>
    <w:rsid w:val="00AC0E52"/>
    <w:rsid w:val="00AD2CD6"/>
    <w:rsid w:val="00AD7339"/>
    <w:rsid w:val="00AE0299"/>
    <w:rsid w:val="00AE1FF3"/>
    <w:rsid w:val="00AE2DCE"/>
    <w:rsid w:val="00AE6D37"/>
    <w:rsid w:val="00AF09EC"/>
    <w:rsid w:val="00AF502E"/>
    <w:rsid w:val="00AF56F8"/>
    <w:rsid w:val="00AF5C46"/>
    <w:rsid w:val="00B032EA"/>
    <w:rsid w:val="00B046F5"/>
    <w:rsid w:val="00B06C23"/>
    <w:rsid w:val="00B16D14"/>
    <w:rsid w:val="00B16D4E"/>
    <w:rsid w:val="00B17003"/>
    <w:rsid w:val="00B1761D"/>
    <w:rsid w:val="00B221C8"/>
    <w:rsid w:val="00B27777"/>
    <w:rsid w:val="00B318AF"/>
    <w:rsid w:val="00B32EAF"/>
    <w:rsid w:val="00B34312"/>
    <w:rsid w:val="00B35F9A"/>
    <w:rsid w:val="00B37094"/>
    <w:rsid w:val="00B3712F"/>
    <w:rsid w:val="00B379F7"/>
    <w:rsid w:val="00B44AF4"/>
    <w:rsid w:val="00B47A26"/>
    <w:rsid w:val="00B51E55"/>
    <w:rsid w:val="00B52A62"/>
    <w:rsid w:val="00B6223F"/>
    <w:rsid w:val="00B62D6E"/>
    <w:rsid w:val="00B63828"/>
    <w:rsid w:val="00B65827"/>
    <w:rsid w:val="00B6771B"/>
    <w:rsid w:val="00B67813"/>
    <w:rsid w:val="00B67F62"/>
    <w:rsid w:val="00B700E4"/>
    <w:rsid w:val="00B72C90"/>
    <w:rsid w:val="00B74142"/>
    <w:rsid w:val="00B80F56"/>
    <w:rsid w:val="00B86416"/>
    <w:rsid w:val="00B87276"/>
    <w:rsid w:val="00B91300"/>
    <w:rsid w:val="00B94DCC"/>
    <w:rsid w:val="00B94F93"/>
    <w:rsid w:val="00B94F9B"/>
    <w:rsid w:val="00B97201"/>
    <w:rsid w:val="00BA1A83"/>
    <w:rsid w:val="00BA4CCB"/>
    <w:rsid w:val="00BA7A13"/>
    <w:rsid w:val="00BC1E60"/>
    <w:rsid w:val="00BC6F5E"/>
    <w:rsid w:val="00BD03A9"/>
    <w:rsid w:val="00BD5108"/>
    <w:rsid w:val="00BD575A"/>
    <w:rsid w:val="00BD64AC"/>
    <w:rsid w:val="00BD6E77"/>
    <w:rsid w:val="00BE5412"/>
    <w:rsid w:val="00BF0959"/>
    <w:rsid w:val="00BF1FEA"/>
    <w:rsid w:val="00BF488F"/>
    <w:rsid w:val="00BF67A1"/>
    <w:rsid w:val="00C00950"/>
    <w:rsid w:val="00C00B34"/>
    <w:rsid w:val="00C0168F"/>
    <w:rsid w:val="00C16A6E"/>
    <w:rsid w:val="00C17FC0"/>
    <w:rsid w:val="00C2544B"/>
    <w:rsid w:val="00C26665"/>
    <w:rsid w:val="00C277F3"/>
    <w:rsid w:val="00C31947"/>
    <w:rsid w:val="00C3676B"/>
    <w:rsid w:val="00C37B74"/>
    <w:rsid w:val="00C440E5"/>
    <w:rsid w:val="00C47E2D"/>
    <w:rsid w:val="00C54CD9"/>
    <w:rsid w:val="00C60DB0"/>
    <w:rsid w:val="00C62630"/>
    <w:rsid w:val="00C62AA2"/>
    <w:rsid w:val="00C62F38"/>
    <w:rsid w:val="00C63D0D"/>
    <w:rsid w:val="00C63F9C"/>
    <w:rsid w:val="00C63FED"/>
    <w:rsid w:val="00C67643"/>
    <w:rsid w:val="00C700B4"/>
    <w:rsid w:val="00C71410"/>
    <w:rsid w:val="00C76EDF"/>
    <w:rsid w:val="00C77CAD"/>
    <w:rsid w:val="00C77D39"/>
    <w:rsid w:val="00C80C1F"/>
    <w:rsid w:val="00C817C6"/>
    <w:rsid w:val="00C85BDC"/>
    <w:rsid w:val="00C8627C"/>
    <w:rsid w:val="00C95AC4"/>
    <w:rsid w:val="00CA057B"/>
    <w:rsid w:val="00CA2CB2"/>
    <w:rsid w:val="00CA5709"/>
    <w:rsid w:val="00CB0DDA"/>
    <w:rsid w:val="00CB0E7F"/>
    <w:rsid w:val="00CB734E"/>
    <w:rsid w:val="00CC5B3C"/>
    <w:rsid w:val="00CC624F"/>
    <w:rsid w:val="00CD18D3"/>
    <w:rsid w:val="00CD341D"/>
    <w:rsid w:val="00CD4A96"/>
    <w:rsid w:val="00CD4F87"/>
    <w:rsid w:val="00CD5E57"/>
    <w:rsid w:val="00CD6E49"/>
    <w:rsid w:val="00CE3C90"/>
    <w:rsid w:val="00CE3EA0"/>
    <w:rsid w:val="00CE694D"/>
    <w:rsid w:val="00CF5429"/>
    <w:rsid w:val="00CF746B"/>
    <w:rsid w:val="00D01C36"/>
    <w:rsid w:val="00D0545D"/>
    <w:rsid w:val="00D14520"/>
    <w:rsid w:val="00D27CA3"/>
    <w:rsid w:val="00D32FA9"/>
    <w:rsid w:val="00D339D5"/>
    <w:rsid w:val="00D33CDE"/>
    <w:rsid w:val="00D34F32"/>
    <w:rsid w:val="00D36B86"/>
    <w:rsid w:val="00D371B1"/>
    <w:rsid w:val="00D403B9"/>
    <w:rsid w:val="00D42FB2"/>
    <w:rsid w:val="00D42FBA"/>
    <w:rsid w:val="00D43F02"/>
    <w:rsid w:val="00D45F4E"/>
    <w:rsid w:val="00D52F9F"/>
    <w:rsid w:val="00D556E8"/>
    <w:rsid w:val="00D57A90"/>
    <w:rsid w:val="00D73A46"/>
    <w:rsid w:val="00D73A5C"/>
    <w:rsid w:val="00D8232D"/>
    <w:rsid w:val="00D82E36"/>
    <w:rsid w:val="00D878BF"/>
    <w:rsid w:val="00D8790B"/>
    <w:rsid w:val="00D91EC4"/>
    <w:rsid w:val="00D92E96"/>
    <w:rsid w:val="00DA0FFA"/>
    <w:rsid w:val="00DB1DCA"/>
    <w:rsid w:val="00DB41E0"/>
    <w:rsid w:val="00DC2282"/>
    <w:rsid w:val="00DD313A"/>
    <w:rsid w:val="00DD56DE"/>
    <w:rsid w:val="00DF07B9"/>
    <w:rsid w:val="00DF4276"/>
    <w:rsid w:val="00E0179F"/>
    <w:rsid w:val="00E01C6A"/>
    <w:rsid w:val="00E020E5"/>
    <w:rsid w:val="00E04083"/>
    <w:rsid w:val="00E11940"/>
    <w:rsid w:val="00E12C19"/>
    <w:rsid w:val="00E16A79"/>
    <w:rsid w:val="00E22351"/>
    <w:rsid w:val="00E24512"/>
    <w:rsid w:val="00E27C7D"/>
    <w:rsid w:val="00E326AB"/>
    <w:rsid w:val="00E400B1"/>
    <w:rsid w:val="00E47DDB"/>
    <w:rsid w:val="00E51685"/>
    <w:rsid w:val="00E52536"/>
    <w:rsid w:val="00E5414D"/>
    <w:rsid w:val="00E54739"/>
    <w:rsid w:val="00E623AE"/>
    <w:rsid w:val="00E64374"/>
    <w:rsid w:val="00E6546E"/>
    <w:rsid w:val="00E66CE6"/>
    <w:rsid w:val="00E711B2"/>
    <w:rsid w:val="00E722AE"/>
    <w:rsid w:val="00E72B66"/>
    <w:rsid w:val="00E7300D"/>
    <w:rsid w:val="00E74EFF"/>
    <w:rsid w:val="00E7662C"/>
    <w:rsid w:val="00E82FDC"/>
    <w:rsid w:val="00E845D7"/>
    <w:rsid w:val="00E84B22"/>
    <w:rsid w:val="00E939FF"/>
    <w:rsid w:val="00E96521"/>
    <w:rsid w:val="00EB19A4"/>
    <w:rsid w:val="00EB7F03"/>
    <w:rsid w:val="00EC14E4"/>
    <w:rsid w:val="00EC700B"/>
    <w:rsid w:val="00EC7BB2"/>
    <w:rsid w:val="00ED5F40"/>
    <w:rsid w:val="00EE1A93"/>
    <w:rsid w:val="00EE1C12"/>
    <w:rsid w:val="00EE1CD6"/>
    <w:rsid w:val="00EE4A0C"/>
    <w:rsid w:val="00EE4DA8"/>
    <w:rsid w:val="00EF33FB"/>
    <w:rsid w:val="00EF3EC7"/>
    <w:rsid w:val="00EF46FE"/>
    <w:rsid w:val="00EF601E"/>
    <w:rsid w:val="00EF6089"/>
    <w:rsid w:val="00EF6E45"/>
    <w:rsid w:val="00F01827"/>
    <w:rsid w:val="00F03B26"/>
    <w:rsid w:val="00F03ECD"/>
    <w:rsid w:val="00F054BE"/>
    <w:rsid w:val="00F07EDB"/>
    <w:rsid w:val="00F20156"/>
    <w:rsid w:val="00F21877"/>
    <w:rsid w:val="00F23148"/>
    <w:rsid w:val="00F23866"/>
    <w:rsid w:val="00F2468C"/>
    <w:rsid w:val="00F25241"/>
    <w:rsid w:val="00F32E6A"/>
    <w:rsid w:val="00F3359B"/>
    <w:rsid w:val="00F33709"/>
    <w:rsid w:val="00F4009D"/>
    <w:rsid w:val="00F41D6F"/>
    <w:rsid w:val="00F42935"/>
    <w:rsid w:val="00F44365"/>
    <w:rsid w:val="00F47C73"/>
    <w:rsid w:val="00F51184"/>
    <w:rsid w:val="00F55519"/>
    <w:rsid w:val="00F64982"/>
    <w:rsid w:val="00F64B3D"/>
    <w:rsid w:val="00F66D68"/>
    <w:rsid w:val="00F70823"/>
    <w:rsid w:val="00F73BD1"/>
    <w:rsid w:val="00F75E9D"/>
    <w:rsid w:val="00F77010"/>
    <w:rsid w:val="00F81205"/>
    <w:rsid w:val="00F833B2"/>
    <w:rsid w:val="00F84A4C"/>
    <w:rsid w:val="00F855BC"/>
    <w:rsid w:val="00F90566"/>
    <w:rsid w:val="00F90838"/>
    <w:rsid w:val="00F91696"/>
    <w:rsid w:val="00F943F1"/>
    <w:rsid w:val="00F96B31"/>
    <w:rsid w:val="00FA4464"/>
    <w:rsid w:val="00FC0133"/>
    <w:rsid w:val="00FC0179"/>
    <w:rsid w:val="00FC7640"/>
    <w:rsid w:val="00FD0094"/>
    <w:rsid w:val="00FD29A9"/>
    <w:rsid w:val="00FD567C"/>
    <w:rsid w:val="00FE3352"/>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StyleListParagraphLinespacingDouble"/>
    <w:uiPriority w:val="9"/>
    <w:qFormat/>
    <w:rsid w:val="00B06C23"/>
    <w:pPr>
      <w:keepNext/>
      <w:numPr>
        <w:numId w:val="13"/>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uiPriority w:val="9"/>
    <w:qFormat/>
    <w:rsid w:val="00D01C36"/>
    <w:pPr>
      <w:keepNext/>
      <w:numPr>
        <w:numId w:val="20"/>
      </w:numPr>
      <w:spacing w:after="240"/>
      <w:outlineLvl w:val="1"/>
    </w:pPr>
    <w:rPr>
      <w:rFonts w:ascii="Times New Roman" w:hAnsi="Times New Roman" w:cs="Times New Roman"/>
      <w:b/>
      <w:bCs/>
      <w:iCs/>
      <w:sz w:val="24"/>
      <w:szCs w:val="28"/>
      <w:u w:val="single"/>
    </w:rPr>
  </w:style>
  <w:style w:type="paragraph" w:styleId="Heading3">
    <w:name w:val="heading 3"/>
    <w:basedOn w:val="Normal"/>
    <w:next w:val="BodyText2"/>
    <w:uiPriority w:val="9"/>
    <w:qFormat/>
    <w:rsid w:val="00BD64AC"/>
    <w:pPr>
      <w:keepNext/>
      <w:numPr>
        <w:numId w:val="15"/>
      </w:numPr>
      <w:spacing w:after="240" w:line="480" w:lineRule="auto"/>
      <w:ind w:left="288" w:firstLine="0"/>
      <w:outlineLvl w:val="2"/>
    </w:pPr>
    <w:rPr>
      <w:rFonts w:ascii="Times New Roman" w:hAnsi="Times New Roman" w:cs="Arial"/>
      <w:bCs/>
      <w:sz w:val="24"/>
      <w:szCs w:val="26"/>
    </w:rPr>
  </w:style>
  <w:style w:type="paragraph" w:styleId="Heading4">
    <w:name w:val="heading 4"/>
    <w:basedOn w:val="Normal"/>
    <w:next w:val="BodyText2"/>
    <w:uiPriority w:val="9"/>
    <w:unhideWhenUsed/>
    <w:qFormat/>
    <w:rsid w:val="00B06C23"/>
    <w:pPr>
      <w:keepNext/>
      <w:numPr>
        <w:ilvl w:val="3"/>
        <w:numId w:val="13"/>
      </w:numPr>
      <w:tabs>
        <w:tab w:val="clear" w:pos="0"/>
      </w:tabs>
      <w:spacing w:before="240" w:after="60"/>
      <w:outlineLvl w:val="3"/>
    </w:pPr>
    <w:rPr>
      <w:b/>
      <w:bCs/>
      <w:sz w:val="28"/>
      <w:szCs w:val="28"/>
    </w:rPr>
  </w:style>
  <w:style w:type="paragraph" w:styleId="Heading5">
    <w:name w:val="heading 5"/>
    <w:basedOn w:val="Normal"/>
    <w:next w:val="BodyText2"/>
    <w:uiPriority w:val="9"/>
    <w:unhideWhenUsed/>
    <w:qFormat/>
    <w:rsid w:val="00B06C23"/>
    <w:pPr>
      <w:numPr>
        <w:ilvl w:val="4"/>
        <w:numId w:val="13"/>
      </w:numPr>
      <w:tabs>
        <w:tab w:val="clear" w:pos="0"/>
      </w:tabs>
      <w:spacing w:before="240" w:after="60"/>
      <w:outlineLvl w:val="4"/>
    </w:pPr>
    <w:rPr>
      <w:b/>
      <w:bCs/>
      <w:i/>
      <w:iCs/>
      <w:sz w:val="26"/>
      <w:szCs w:val="26"/>
    </w:rPr>
  </w:style>
  <w:style w:type="paragraph" w:styleId="Heading6">
    <w:name w:val="heading 6"/>
    <w:basedOn w:val="Normal"/>
    <w:next w:val="BodyText2"/>
    <w:uiPriority w:val="9"/>
    <w:unhideWhenUsed/>
    <w:qFormat/>
    <w:rsid w:val="00B06C23"/>
    <w:pPr>
      <w:numPr>
        <w:ilvl w:val="5"/>
        <w:numId w:val="13"/>
      </w:numPr>
      <w:tabs>
        <w:tab w:val="clear" w:pos="0"/>
      </w:tabs>
      <w:spacing w:before="240" w:after="60"/>
      <w:outlineLvl w:val="5"/>
    </w:pPr>
    <w:rPr>
      <w:b/>
      <w:bCs/>
    </w:rPr>
  </w:style>
  <w:style w:type="paragraph" w:styleId="Heading7">
    <w:name w:val="heading 7"/>
    <w:basedOn w:val="Normal"/>
    <w:next w:val="BodyText2"/>
    <w:uiPriority w:val="9"/>
    <w:unhideWhenUsed/>
    <w:qFormat/>
    <w:rsid w:val="00B06C23"/>
    <w:pPr>
      <w:numPr>
        <w:ilvl w:val="6"/>
        <w:numId w:val="13"/>
      </w:numPr>
      <w:tabs>
        <w:tab w:val="clear" w:pos="0"/>
      </w:tabs>
      <w:spacing w:before="240" w:after="60"/>
      <w:outlineLvl w:val="6"/>
    </w:pPr>
  </w:style>
  <w:style w:type="paragraph" w:styleId="Heading8">
    <w:name w:val="heading 8"/>
    <w:basedOn w:val="Normal"/>
    <w:next w:val="BodyText2"/>
    <w:uiPriority w:val="9"/>
    <w:unhideWhenUsed/>
    <w:qFormat/>
    <w:rsid w:val="00B06C23"/>
    <w:pPr>
      <w:numPr>
        <w:ilvl w:val="7"/>
        <w:numId w:val="13"/>
      </w:numPr>
      <w:tabs>
        <w:tab w:val="clear" w:pos="0"/>
      </w:tabs>
      <w:spacing w:before="240" w:after="60"/>
      <w:outlineLvl w:val="7"/>
    </w:pPr>
    <w:rPr>
      <w:i/>
      <w:iCs/>
    </w:rPr>
  </w:style>
  <w:style w:type="paragraph" w:styleId="Heading9">
    <w:name w:val="heading 9"/>
    <w:basedOn w:val="Normal"/>
    <w:next w:val="BodyText2"/>
    <w:uiPriority w:val="9"/>
    <w:unhideWhenUsed/>
    <w:qFormat/>
    <w:rsid w:val="00B06C23"/>
    <w:pPr>
      <w:numPr>
        <w:ilvl w:val="8"/>
        <w:numId w:val="13"/>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paragraph" w:customStyle="1" w:styleId="StyleListParagraphLinespacingDouble">
    <w:name w:val="Style List Paragraph + Line spacing:  Double"/>
    <w:basedOn w:val="ListParagraph"/>
    <w:rsid w:val="00F25241"/>
    <w:pPr>
      <w:numPr>
        <w:numId w:val="14"/>
      </w:numPr>
      <w:spacing w:line="480" w:lineRule="auto"/>
    </w:pPr>
    <w:rPr>
      <w:rFonts w:eastAsia="Times New Roman" w:cs="Times New Roman"/>
      <w:szCs w:val="20"/>
    </w:rPr>
  </w:style>
  <w:style w:type="character" w:customStyle="1" w:styleId="sspagshow">
    <w:name w:val="ss_pag_show"/>
    <w:basedOn w:val="DefaultParagraphFont"/>
    <w:rsid w:val="009352E8"/>
  </w:style>
  <w:style w:type="character" w:customStyle="1" w:styleId="BodyText2Char">
    <w:name w:val="Body Text 2 Char"/>
    <w:basedOn w:val="DefaultParagraphFont"/>
    <w:link w:val="BodyText2"/>
    <w:rsid w:val="006D1132"/>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StyleListParagraphLinespacingDouble"/>
    <w:uiPriority w:val="9"/>
    <w:qFormat/>
    <w:rsid w:val="00B06C23"/>
    <w:pPr>
      <w:keepNext/>
      <w:numPr>
        <w:numId w:val="13"/>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uiPriority w:val="9"/>
    <w:qFormat/>
    <w:rsid w:val="00D01C36"/>
    <w:pPr>
      <w:keepNext/>
      <w:numPr>
        <w:numId w:val="20"/>
      </w:numPr>
      <w:spacing w:after="240"/>
      <w:outlineLvl w:val="1"/>
    </w:pPr>
    <w:rPr>
      <w:rFonts w:ascii="Times New Roman" w:hAnsi="Times New Roman" w:cs="Times New Roman"/>
      <w:b/>
      <w:bCs/>
      <w:iCs/>
      <w:sz w:val="24"/>
      <w:szCs w:val="28"/>
      <w:u w:val="single"/>
    </w:rPr>
  </w:style>
  <w:style w:type="paragraph" w:styleId="Heading3">
    <w:name w:val="heading 3"/>
    <w:basedOn w:val="Normal"/>
    <w:next w:val="BodyText2"/>
    <w:uiPriority w:val="9"/>
    <w:qFormat/>
    <w:rsid w:val="00BD64AC"/>
    <w:pPr>
      <w:keepNext/>
      <w:numPr>
        <w:numId w:val="15"/>
      </w:numPr>
      <w:spacing w:after="240" w:line="480" w:lineRule="auto"/>
      <w:ind w:left="288" w:firstLine="0"/>
      <w:outlineLvl w:val="2"/>
    </w:pPr>
    <w:rPr>
      <w:rFonts w:ascii="Times New Roman" w:hAnsi="Times New Roman" w:cs="Arial"/>
      <w:bCs/>
      <w:sz w:val="24"/>
      <w:szCs w:val="26"/>
    </w:rPr>
  </w:style>
  <w:style w:type="paragraph" w:styleId="Heading4">
    <w:name w:val="heading 4"/>
    <w:basedOn w:val="Normal"/>
    <w:next w:val="BodyText2"/>
    <w:uiPriority w:val="9"/>
    <w:unhideWhenUsed/>
    <w:qFormat/>
    <w:rsid w:val="00B06C23"/>
    <w:pPr>
      <w:keepNext/>
      <w:numPr>
        <w:ilvl w:val="3"/>
        <w:numId w:val="13"/>
      </w:numPr>
      <w:tabs>
        <w:tab w:val="clear" w:pos="0"/>
      </w:tabs>
      <w:spacing w:before="240" w:after="60"/>
      <w:outlineLvl w:val="3"/>
    </w:pPr>
    <w:rPr>
      <w:b/>
      <w:bCs/>
      <w:sz w:val="28"/>
      <w:szCs w:val="28"/>
    </w:rPr>
  </w:style>
  <w:style w:type="paragraph" w:styleId="Heading5">
    <w:name w:val="heading 5"/>
    <w:basedOn w:val="Normal"/>
    <w:next w:val="BodyText2"/>
    <w:uiPriority w:val="9"/>
    <w:unhideWhenUsed/>
    <w:qFormat/>
    <w:rsid w:val="00B06C23"/>
    <w:pPr>
      <w:numPr>
        <w:ilvl w:val="4"/>
        <w:numId w:val="13"/>
      </w:numPr>
      <w:tabs>
        <w:tab w:val="clear" w:pos="0"/>
      </w:tabs>
      <w:spacing w:before="240" w:after="60"/>
      <w:outlineLvl w:val="4"/>
    </w:pPr>
    <w:rPr>
      <w:b/>
      <w:bCs/>
      <w:i/>
      <w:iCs/>
      <w:sz w:val="26"/>
      <w:szCs w:val="26"/>
    </w:rPr>
  </w:style>
  <w:style w:type="paragraph" w:styleId="Heading6">
    <w:name w:val="heading 6"/>
    <w:basedOn w:val="Normal"/>
    <w:next w:val="BodyText2"/>
    <w:uiPriority w:val="9"/>
    <w:unhideWhenUsed/>
    <w:qFormat/>
    <w:rsid w:val="00B06C23"/>
    <w:pPr>
      <w:numPr>
        <w:ilvl w:val="5"/>
        <w:numId w:val="13"/>
      </w:numPr>
      <w:tabs>
        <w:tab w:val="clear" w:pos="0"/>
      </w:tabs>
      <w:spacing w:before="240" w:after="60"/>
      <w:outlineLvl w:val="5"/>
    </w:pPr>
    <w:rPr>
      <w:b/>
      <w:bCs/>
    </w:rPr>
  </w:style>
  <w:style w:type="paragraph" w:styleId="Heading7">
    <w:name w:val="heading 7"/>
    <w:basedOn w:val="Normal"/>
    <w:next w:val="BodyText2"/>
    <w:uiPriority w:val="9"/>
    <w:unhideWhenUsed/>
    <w:qFormat/>
    <w:rsid w:val="00B06C23"/>
    <w:pPr>
      <w:numPr>
        <w:ilvl w:val="6"/>
        <w:numId w:val="13"/>
      </w:numPr>
      <w:tabs>
        <w:tab w:val="clear" w:pos="0"/>
      </w:tabs>
      <w:spacing w:before="240" w:after="60"/>
      <w:outlineLvl w:val="6"/>
    </w:pPr>
  </w:style>
  <w:style w:type="paragraph" w:styleId="Heading8">
    <w:name w:val="heading 8"/>
    <w:basedOn w:val="Normal"/>
    <w:next w:val="BodyText2"/>
    <w:uiPriority w:val="9"/>
    <w:unhideWhenUsed/>
    <w:qFormat/>
    <w:rsid w:val="00B06C23"/>
    <w:pPr>
      <w:numPr>
        <w:ilvl w:val="7"/>
        <w:numId w:val="13"/>
      </w:numPr>
      <w:tabs>
        <w:tab w:val="clear" w:pos="0"/>
      </w:tabs>
      <w:spacing w:before="240" w:after="60"/>
      <w:outlineLvl w:val="7"/>
    </w:pPr>
    <w:rPr>
      <w:i/>
      <w:iCs/>
    </w:rPr>
  </w:style>
  <w:style w:type="paragraph" w:styleId="Heading9">
    <w:name w:val="heading 9"/>
    <w:basedOn w:val="Normal"/>
    <w:next w:val="BodyText2"/>
    <w:uiPriority w:val="9"/>
    <w:unhideWhenUsed/>
    <w:qFormat/>
    <w:rsid w:val="00B06C23"/>
    <w:pPr>
      <w:numPr>
        <w:ilvl w:val="8"/>
        <w:numId w:val="13"/>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paragraph" w:customStyle="1" w:styleId="StyleListParagraphLinespacingDouble">
    <w:name w:val="Style List Paragraph + Line spacing:  Double"/>
    <w:basedOn w:val="ListParagraph"/>
    <w:rsid w:val="00F25241"/>
    <w:pPr>
      <w:numPr>
        <w:numId w:val="14"/>
      </w:numPr>
      <w:spacing w:line="480" w:lineRule="auto"/>
    </w:pPr>
    <w:rPr>
      <w:rFonts w:eastAsia="Times New Roman" w:cs="Times New Roman"/>
      <w:szCs w:val="20"/>
    </w:rPr>
  </w:style>
  <w:style w:type="character" w:customStyle="1" w:styleId="sspagshow">
    <w:name w:val="ss_pag_show"/>
    <w:basedOn w:val="DefaultParagraphFont"/>
    <w:rsid w:val="009352E8"/>
  </w:style>
  <w:style w:type="character" w:customStyle="1" w:styleId="BodyText2Char">
    <w:name w:val="Body Text 2 Char"/>
    <w:basedOn w:val="DefaultParagraphFont"/>
    <w:link w:val="BodyText2"/>
    <w:rsid w:val="006D113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8683">
      <w:bodyDiv w:val="1"/>
      <w:marLeft w:val="0"/>
      <w:marRight w:val="0"/>
      <w:marTop w:val="0"/>
      <w:marBottom w:val="0"/>
      <w:divBdr>
        <w:top w:val="none" w:sz="0" w:space="0" w:color="auto"/>
        <w:left w:val="none" w:sz="0" w:space="0" w:color="auto"/>
        <w:bottom w:val="none" w:sz="0" w:space="0" w:color="auto"/>
        <w:right w:val="none" w:sz="0" w:space="0" w:color="auto"/>
      </w:divBdr>
    </w:div>
    <w:div w:id="456870658">
      <w:bodyDiv w:val="1"/>
      <w:marLeft w:val="0"/>
      <w:marRight w:val="0"/>
      <w:marTop w:val="0"/>
      <w:marBottom w:val="0"/>
      <w:divBdr>
        <w:top w:val="none" w:sz="0" w:space="0" w:color="auto"/>
        <w:left w:val="none" w:sz="0" w:space="0" w:color="auto"/>
        <w:bottom w:val="none" w:sz="0" w:space="0" w:color="auto"/>
        <w:right w:val="none" w:sz="0" w:space="0" w:color="auto"/>
      </w:divBdr>
      <w:divsChild>
        <w:div w:id="1439761192">
          <w:marLeft w:val="0"/>
          <w:marRight w:val="0"/>
          <w:marTop w:val="0"/>
          <w:marBottom w:val="0"/>
          <w:divBdr>
            <w:top w:val="none" w:sz="0" w:space="0" w:color="auto"/>
            <w:left w:val="none" w:sz="0" w:space="0" w:color="auto"/>
            <w:bottom w:val="none" w:sz="0" w:space="0" w:color="auto"/>
            <w:right w:val="none" w:sz="0" w:space="0" w:color="auto"/>
          </w:divBdr>
          <w:divsChild>
            <w:div w:id="9740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2030">
      <w:bodyDiv w:val="1"/>
      <w:marLeft w:val="0"/>
      <w:marRight w:val="0"/>
      <w:marTop w:val="0"/>
      <w:marBottom w:val="0"/>
      <w:divBdr>
        <w:top w:val="none" w:sz="0" w:space="0" w:color="auto"/>
        <w:left w:val="none" w:sz="0" w:space="0" w:color="auto"/>
        <w:bottom w:val="none" w:sz="0" w:space="0" w:color="auto"/>
        <w:right w:val="none" w:sz="0" w:space="0" w:color="auto"/>
      </w:divBdr>
    </w:div>
    <w:div w:id="1773550374">
      <w:bodyDiv w:val="1"/>
      <w:marLeft w:val="0"/>
      <w:marRight w:val="0"/>
      <w:marTop w:val="0"/>
      <w:marBottom w:val="0"/>
      <w:divBdr>
        <w:top w:val="none" w:sz="0" w:space="0" w:color="auto"/>
        <w:left w:val="none" w:sz="0" w:space="0" w:color="auto"/>
        <w:bottom w:val="none" w:sz="0" w:space="0" w:color="auto"/>
        <w:right w:val="none" w:sz="0" w:space="0" w:color="auto"/>
      </w:divBdr>
      <w:divsChild>
        <w:div w:id="363025640">
          <w:marLeft w:val="0"/>
          <w:marRight w:val="0"/>
          <w:marTop w:val="0"/>
          <w:marBottom w:val="0"/>
          <w:divBdr>
            <w:top w:val="none" w:sz="0" w:space="0" w:color="auto"/>
            <w:left w:val="none" w:sz="0" w:space="0" w:color="auto"/>
            <w:bottom w:val="none" w:sz="0" w:space="0" w:color="auto"/>
            <w:right w:val="none" w:sz="0" w:space="0" w:color="auto"/>
          </w:divBdr>
          <w:divsChild>
            <w:div w:id="17145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bharlow@fcclaw.com" TargetMode="External"/><Relationship Id="rId2" Type="http://schemas.openxmlformats.org/officeDocument/2006/relationships/numbering" Target="numbering.xml"/><Relationship Id="rId16" Type="http://schemas.openxmlformats.org/officeDocument/2006/relationships/hyperlink" Target="mailto:jbeattie@utc.wa.gov"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wiley@williamskastner.com" TargetMode="External"/><Relationship Id="rId14" Type="http://schemas.openxmlformats.org/officeDocument/2006/relationships/header" Target="header3.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4\STARTUP\WK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A5653E4-75AF-4B98-B173-8EC3EE5484DF}">
  <ds:schemaRefs>
    <ds:schemaRef ds:uri="http://schemas.openxmlformats.org/officeDocument/2006/bibliography"/>
  </ds:schemaRefs>
</ds:datastoreItem>
</file>

<file path=customXml/itemProps2.xml><?xml version="1.0" encoding="utf-8"?>
<ds:datastoreItem xmlns:ds="http://schemas.openxmlformats.org/officeDocument/2006/customXml" ds:itemID="{AE7E3832-5854-4718-8445-0FEF69C84CC1}"/>
</file>

<file path=customXml/itemProps3.xml><?xml version="1.0" encoding="utf-8"?>
<ds:datastoreItem xmlns:ds="http://schemas.openxmlformats.org/officeDocument/2006/customXml" ds:itemID="{68AE683C-4B30-4E6D-98D9-5CB7F509F307}"/>
</file>

<file path=customXml/itemProps4.xml><?xml version="1.0" encoding="utf-8"?>
<ds:datastoreItem xmlns:ds="http://schemas.openxmlformats.org/officeDocument/2006/customXml" ds:itemID="{88E62F45-4951-4538-9F6F-009D1F03FA90}"/>
</file>

<file path=customXml/itemProps5.xml><?xml version="1.0" encoding="utf-8"?>
<ds:datastoreItem xmlns:ds="http://schemas.openxmlformats.org/officeDocument/2006/customXml" ds:itemID="{1CE7C3CD-F613-4687-938C-456AB9D09B36}"/>
</file>

<file path=docProps/app.xml><?xml version="1.0" encoding="utf-8"?>
<Properties xmlns="http://schemas.openxmlformats.org/officeDocument/2006/extended-properties" xmlns:vt="http://schemas.openxmlformats.org/officeDocument/2006/docPropsVTypes">
  <Template>WKNormal.dotx</Template>
  <TotalTime>62</TotalTime>
  <Pages>10</Pages>
  <Words>2470</Words>
  <Characters>13911</Characters>
  <Application>Microsoft Office Word</Application>
  <DocSecurity>0</DocSecurity>
  <Lines>268</Lines>
  <Paragraphs>86</Paragraphs>
  <ScaleCrop>false</ScaleCrop>
  <HeadingPairs>
    <vt:vector size="2" baseType="variant">
      <vt:variant>
        <vt:lpstr>Title</vt:lpstr>
      </vt:variant>
      <vt:variant>
        <vt:i4>1</vt:i4>
      </vt:variant>
    </vt:vector>
  </HeadingPairs>
  <TitlesOfParts>
    <vt:vector size="1" baseType="lpstr">
      <vt:lpstr/>
    </vt:vector>
  </TitlesOfParts>
  <Company>Williams, Kastner &amp; Gibbs PLLC</Company>
  <LinksUpToDate>false</LinksUpToDate>
  <CharactersWithSpaces>16430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 Gruber</dc:creator>
  <cp:keywords/>
  <dc:description/>
  <cp:lastModifiedBy>Dave Wiley</cp:lastModifiedBy>
  <cp:revision>32</cp:revision>
  <cp:lastPrinted>2016-09-12T21:44:00Z</cp:lastPrinted>
  <dcterms:created xsi:type="dcterms:W3CDTF">2016-09-12T16:35:00Z</dcterms:created>
  <dcterms:modified xsi:type="dcterms:W3CDTF">2016-09-12T21:44:00Z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5847231.4</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