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6706D9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April 29</w:t>
      </w:r>
      <w:r w:rsidR="00B7308C">
        <w:rPr>
          <w:rStyle w:val="InitialStyle"/>
          <w:rFonts w:ascii="Times New Roman" w:hAnsi="Times New Roman"/>
          <w:b/>
          <w:sz w:val="20"/>
          <w:szCs w:val="16"/>
        </w:rPr>
        <w:t>, 2016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>123(1</w:t>
      </w:r>
      <w:proofErr w:type="gramStart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)(</w:t>
      </w:r>
      <w:proofErr w:type="gramEnd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>WUTC Docket No.</w:t>
      </w:r>
      <w:proofErr w:type="gramEnd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UT-110423</w:t>
      </w: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6706D9">
        <w:rPr>
          <w:rStyle w:val="InitialStyle"/>
          <w:rFonts w:ascii="Times New Roman" w:hAnsi="Times New Roman"/>
          <w:sz w:val="20"/>
          <w:szCs w:val="16"/>
        </w:rPr>
        <w:t>First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6706D9">
        <w:rPr>
          <w:rStyle w:val="InitialStyle"/>
          <w:rFonts w:ascii="Times New Roman" w:hAnsi="Times New Roman"/>
          <w:sz w:val="20"/>
          <w:szCs w:val="16"/>
        </w:rPr>
        <w:t>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</w:t>
      </w:r>
      <w:bookmarkStart w:id="0" w:name="_GoBack"/>
      <w:bookmarkEnd w:id="0"/>
      <w:r w:rsidRPr="00D65374">
        <w:rPr>
          <w:rStyle w:val="InitialStyle"/>
          <w:rFonts w:ascii="Times New Roman" w:hAnsi="Times New Roman"/>
          <w:sz w:val="20"/>
        </w:rPr>
        <w:t xml:space="preserve">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are any questions regarding this </w:t>
      </w:r>
      <w:r w:rsidR="00B876F8">
        <w:rPr>
          <w:rStyle w:val="InitialStyle"/>
          <w:rFonts w:ascii="Times New Roman" w:hAnsi="Times New Roman"/>
          <w:sz w:val="20"/>
          <w:szCs w:val="16"/>
        </w:rPr>
        <w:t>filing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</w:t>
      </w:r>
      <w:r w:rsidRPr="00F345BA">
        <w:rPr>
          <w:rStyle w:val="InitialStyle"/>
          <w:rFonts w:ascii="Segoe Script" w:hAnsi="Segoe Script"/>
          <w:sz w:val="20"/>
          <w:szCs w:val="16"/>
        </w:rPr>
        <w:t xml:space="preserve">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Matt </w:t>
      </w:r>
      <w:r w:rsidR="00B7308C" w:rsidRPr="006706D9">
        <w:rPr>
          <w:rStyle w:val="InitialStyle"/>
          <w:rFonts w:ascii="Segoe Script" w:hAnsi="Segoe Script"/>
          <w:sz w:val="20"/>
          <w:szCs w:val="16"/>
          <w:u w:val="single"/>
        </w:rPr>
        <w:t xml:space="preserve">W. </w:t>
      </w:r>
      <w:r w:rsidR="00F345BA" w:rsidRPr="006706D9">
        <w:rPr>
          <w:rStyle w:val="InitialStyle"/>
          <w:rFonts w:ascii="Segoe Script" w:hAnsi="Segoe Script"/>
          <w:sz w:val="20"/>
          <w:szCs w:val="16"/>
          <w:u w:val="single"/>
        </w:rPr>
        <w:t>Dean</w:t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F345BA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Matt </w:t>
      </w:r>
      <w:r w:rsidR="00B7308C">
        <w:rPr>
          <w:rStyle w:val="InitialStyle"/>
          <w:rFonts w:ascii="Times New Roman" w:hAnsi="Times New Roman"/>
          <w:sz w:val="20"/>
          <w:szCs w:val="16"/>
        </w:rPr>
        <w:t xml:space="preserve">W. </w:t>
      </w:r>
      <w:r>
        <w:rPr>
          <w:rStyle w:val="InitialStyle"/>
          <w:rFonts w:ascii="Times New Roman" w:hAnsi="Times New Roman"/>
          <w:sz w:val="20"/>
          <w:szCs w:val="16"/>
        </w:rPr>
        <w:t>Dean</w:t>
      </w:r>
    </w:p>
    <w:p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F345BA">
        <w:rPr>
          <w:rStyle w:val="InitialStyle"/>
          <w:rFonts w:ascii="Times New Roman" w:hAnsi="Times New Roman"/>
          <w:sz w:val="20"/>
          <w:szCs w:val="16"/>
        </w:rPr>
        <w:t>103</w:t>
      </w:r>
    </w:p>
    <w:p w:rsidR="00964CDF" w:rsidRPr="00AB7373" w:rsidRDefault="00DE19A8" w:rsidP="00B12507">
      <w:pPr>
        <w:ind w:left="3600" w:firstLine="720"/>
        <w:rPr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F345BA">
        <w:rPr>
          <w:rStyle w:val="InitialStyle"/>
          <w:rFonts w:ascii="Times New Roman" w:hAnsi="Times New Roman"/>
          <w:sz w:val="20"/>
          <w:szCs w:val="16"/>
        </w:rPr>
        <w:t>Agent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proofErr w:type="gramEnd"/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6" w:rsidRDefault="007B1056">
      <w:r>
        <w:separator/>
      </w:r>
    </w:p>
  </w:endnote>
  <w:endnote w:type="continuationSeparator" w:id="0">
    <w:p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BD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</w:r>
    <w:r>
      <w:rPr>
        <w:rFonts w:ascii="Bookman Old Style" w:hAnsi="Bookman Old Style"/>
        <w:sz w:val="20"/>
        <w:szCs w:val="20"/>
      </w:rPr>
      <w:pict>
        <v:group id="_x0000_s2067" editas="canvas" style="width:457.85pt;height:3.6pt;mso-position-horizontal-relative:char;mso-position-vertical-relative:line" coordorigin="1513,12239" coordsize="7044,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513;top:12239;width:7044;height:55" o:preferrelative="f" filled="t" fillcolor="#c0504d [3205]" stroked="t" strokecolor="#f2f2f2 [3041]" strokeweight="3pt">
            <v:fill o:detectmouseclick="t"/>
            <v:shadow type="perspective" color="#622423 [1605]" opacity=".5" offset="1pt" offset2="-1pt"/>
            <v:path o:extrusionok="t" o:connecttype="none"/>
            <o:lock v:ext="edit" text="t"/>
          </v:shape>
          <w10:wrap type="none"/>
          <w10:anchorlock/>
        </v:group>
      </w:pict>
    </w:r>
  </w:p>
  <w:p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:rsidR="00884ABD" w:rsidRPr="00792598" w:rsidRDefault="006706D9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</w:t>
    </w:r>
    <w:r w:rsidR="00884ABD" w:rsidRPr="00792598">
      <w:rPr>
        <w:rFonts w:ascii="Bookman Old Style" w:hAnsi="Bookman Old Style"/>
        <w:sz w:val="20"/>
        <w:szCs w:val="20"/>
      </w:rPr>
      <w:t xml:space="preserve"> Road • Oklahoma City, OK 73114</w:t>
    </w: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</w:t>
    </w:r>
    <w:r w:rsidR="006706D9">
      <w:rPr>
        <w:rFonts w:ascii="Bookman Old Style" w:hAnsi="Bookman Old Style"/>
        <w:sz w:val="20"/>
        <w:szCs w:val="20"/>
      </w:rPr>
      <w:t>88</w:t>
    </w:r>
    <w:r>
      <w:rPr>
        <w:rFonts w:ascii="Bookman Old Style" w:hAnsi="Bookman Old Style"/>
        <w:sz w:val="20"/>
        <w:szCs w:val="20"/>
      </w:rPr>
      <w:t xml:space="preserve">) </w:t>
    </w:r>
    <w:r w:rsidR="006706D9">
      <w:rPr>
        <w:rFonts w:ascii="Bookman Old Style" w:hAnsi="Bookman Old Style"/>
        <w:sz w:val="20"/>
        <w:szCs w:val="20"/>
      </w:rPr>
      <w:t>716-8880</w:t>
    </w:r>
  </w:p>
  <w:p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6" w:rsidRDefault="007B1056">
      <w:r>
        <w:separator/>
      </w:r>
    </w:p>
  </w:footnote>
  <w:footnote w:type="continuationSeparator" w:id="0">
    <w:p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6706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08AFEFE6" wp14:editId="6092F590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6706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BD"/>
    <w:rsid w:val="00016A07"/>
    <w:rsid w:val="000817D3"/>
    <w:rsid w:val="00103FA9"/>
    <w:rsid w:val="001901E3"/>
    <w:rsid w:val="001A3C00"/>
    <w:rsid w:val="002214A9"/>
    <w:rsid w:val="002D593A"/>
    <w:rsid w:val="0034698E"/>
    <w:rsid w:val="004106BB"/>
    <w:rsid w:val="00451C5C"/>
    <w:rsid w:val="005C580C"/>
    <w:rsid w:val="006706D9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7308C"/>
    <w:rsid w:val="00B876F8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0ADEF-3838-4C4E-AA44-72B0D314AC24}"/>
</file>

<file path=customXml/itemProps2.xml><?xml version="1.0" encoding="utf-8"?>
<ds:datastoreItem xmlns:ds="http://schemas.openxmlformats.org/officeDocument/2006/customXml" ds:itemID="{3B95DA7E-40E7-4167-9B49-3C4EA6918FD5}"/>
</file>

<file path=customXml/itemProps3.xml><?xml version="1.0" encoding="utf-8"?>
<ds:datastoreItem xmlns:ds="http://schemas.openxmlformats.org/officeDocument/2006/customXml" ds:itemID="{EBEB9897-C447-4817-A1E9-7DCC1195DA1F}"/>
</file>

<file path=customXml/itemProps4.xml><?xml version="1.0" encoding="utf-8"?>
<ds:datastoreItem xmlns:ds="http://schemas.openxmlformats.org/officeDocument/2006/customXml" ds:itemID="{5E921193-6D71-4C8F-B4AC-033227C58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2565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mdean</cp:lastModifiedBy>
  <cp:revision>20</cp:revision>
  <cp:lastPrinted>2012-04-16T15:13:00Z</cp:lastPrinted>
  <dcterms:created xsi:type="dcterms:W3CDTF">2013-07-31T13:33:00Z</dcterms:created>
  <dcterms:modified xsi:type="dcterms:W3CDTF">2016-04-29T14:53:00Z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