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F27" w:rsidRDefault="008B4F27" w:rsidP="008B4F27">
      <w:pPr>
        <w:pStyle w:val="center"/>
        <w:rPr>
          <w:b/>
        </w:rPr>
      </w:pPr>
    </w:p>
    <w:p w:rsidR="0071640B" w:rsidRDefault="0071640B" w:rsidP="008B4F27">
      <w:pPr>
        <w:pStyle w:val="center"/>
        <w:rPr>
          <w:b/>
        </w:rPr>
      </w:pPr>
    </w:p>
    <w:p w:rsidR="0071640B" w:rsidRDefault="0071640B" w:rsidP="008B4F27">
      <w:pPr>
        <w:pStyle w:val="center"/>
        <w:rPr>
          <w:b/>
        </w:rPr>
      </w:pPr>
    </w:p>
    <w:p w:rsidR="0071640B" w:rsidRDefault="0071640B" w:rsidP="008B4F27">
      <w:pPr>
        <w:pStyle w:val="center"/>
        <w:rPr>
          <w:b/>
        </w:rPr>
      </w:pPr>
    </w:p>
    <w:p w:rsidR="008B4F27" w:rsidRDefault="008B4F27" w:rsidP="008B4F27">
      <w:pPr>
        <w:pStyle w:val="center"/>
        <w:rPr>
          <w:b/>
        </w:rPr>
      </w:pPr>
    </w:p>
    <w:p w:rsidR="008B4F27" w:rsidRDefault="008B4F27" w:rsidP="008B4F27">
      <w:pPr>
        <w:pStyle w:val="center"/>
        <w:rPr>
          <w:b/>
        </w:rPr>
      </w:pPr>
      <w:r>
        <w:rPr>
          <w:b/>
        </w:rPr>
        <w:t>BEFORE THE WASHINGTON UTILITIES AND TRANSPORTATION COMMISSION</w:t>
      </w:r>
    </w:p>
    <w:p w:rsidR="008B4F27" w:rsidRDefault="008B4F27" w:rsidP="008B4F27">
      <w:pPr>
        <w:pStyle w:val="center"/>
        <w:jc w:val="left"/>
        <w:rPr>
          <w:b/>
        </w:rPr>
      </w:pPr>
    </w:p>
    <w:tbl>
      <w:tblPr>
        <w:tblW w:w="0" w:type="auto"/>
        <w:tblLayout w:type="fixed"/>
        <w:tblLook w:val="0000"/>
      </w:tblPr>
      <w:tblGrid>
        <w:gridCol w:w="5148"/>
        <w:gridCol w:w="4950"/>
      </w:tblGrid>
      <w:tr w:rsidR="008B4F27" w:rsidTr="00B44CB0">
        <w:tc>
          <w:tcPr>
            <w:tcW w:w="5148" w:type="dxa"/>
            <w:tcBorders>
              <w:bottom w:val="single" w:sz="4" w:space="0" w:color="auto"/>
              <w:right w:val="single" w:sz="4" w:space="0" w:color="auto"/>
            </w:tcBorders>
          </w:tcPr>
          <w:p w:rsidR="008B4F27" w:rsidRDefault="008B4F27" w:rsidP="00B44CB0">
            <w:pPr>
              <w:pStyle w:val="plain"/>
              <w:spacing w:after="120" w:line="240" w:lineRule="auto"/>
            </w:pPr>
          </w:p>
          <w:p w:rsidR="008B4F27" w:rsidRDefault="008B4F27" w:rsidP="00B44CB0">
            <w:pPr>
              <w:pStyle w:val="plain"/>
              <w:spacing w:after="120" w:line="240" w:lineRule="auto"/>
            </w:pPr>
            <w:r>
              <w:t>IN THE MATTER OF:</w:t>
            </w:r>
          </w:p>
          <w:p w:rsidR="008B4F27" w:rsidRDefault="00360BAA" w:rsidP="00B44CB0">
            <w:pPr>
              <w:pStyle w:val="plain"/>
              <w:spacing w:after="120" w:line="240" w:lineRule="auto"/>
              <w:rPr>
                <w:caps/>
              </w:rPr>
            </w:pPr>
            <w:r>
              <w:t>LEVEL 3 COMMUNICATIONS LLC</w:t>
            </w:r>
            <w:r w:rsidR="008B4F27">
              <w:t>’S PETITION FOR ENFORECEMENT OF INTERCONNECTION AGREEMENT WITH QWEST CORPORATION</w:t>
            </w:r>
          </w:p>
          <w:p w:rsidR="008B4F27" w:rsidRDefault="008B4F27" w:rsidP="00B44CB0">
            <w:pPr>
              <w:pStyle w:val="plain"/>
              <w:spacing w:after="120" w:line="240" w:lineRule="auto"/>
            </w:pPr>
          </w:p>
        </w:tc>
        <w:tc>
          <w:tcPr>
            <w:tcW w:w="4950" w:type="dxa"/>
            <w:tcBorders>
              <w:left w:val="nil"/>
            </w:tcBorders>
          </w:tcPr>
          <w:p w:rsidR="008B4F27" w:rsidRDefault="008B4F27" w:rsidP="00B44CB0">
            <w:pPr>
              <w:pStyle w:val="normalblock"/>
            </w:pPr>
          </w:p>
          <w:p w:rsidR="008B4F27" w:rsidRPr="00B67A79" w:rsidRDefault="008B4F27" w:rsidP="00B44CB0">
            <w:pPr>
              <w:pStyle w:val="plain"/>
              <w:spacing w:line="240" w:lineRule="auto"/>
              <w:ind w:left="360" w:hanging="360"/>
              <w:rPr>
                <w:caps/>
              </w:rPr>
            </w:pPr>
            <w:r>
              <w:t>DOCKET NO. UT-053039</w:t>
            </w:r>
            <w:r w:rsidRPr="00B67A79">
              <w:t xml:space="preserve"> </w:t>
            </w:r>
          </w:p>
          <w:p w:rsidR="008B4F27" w:rsidRPr="00B67A79" w:rsidRDefault="008B4F27" w:rsidP="00B44CB0">
            <w:pPr>
              <w:pStyle w:val="plain"/>
              <w:spacing w:line="240" w:lineRule="auto"/>
              <w:ind w:left="360"/>
              <w:rPr>
                <w:caps/>
              </w:rPr>
            </w:pPr>
          </w:p>
          <w:p w:rsidR="008B4F27" w:rsidRDefault="008B4F27" w:rsidP="00B44CB0">
            <w:pPr>
              <w:pStyle w:val="normalblock"/>
            </w:pPr>
          </w:p>
        </w:tc>
      </w:tr>
      <w:tr w:rsidR="008B4F27" w:rsidTr="00B44CB0">
        <w:tc>
          <w:tcPr>
            <w:tcW w:w="5148" w:type="dxa"/>
            <w:tcBorders>
              <w:bottom w:val="single" w:sz="4" w:space="0" w:color="auto"/>
              <w:right w:val="single" w:sz="4" w:space="0" w:color="auto"/>
            </w:tcBorders>
          </w:tcPr>
          <w:p w:rsidR="008B4F27" w:rsidRDefault="008B4F27" w:rsidP="00B44CB0">
            <w:pPr>
              <w:pStyle w:val="plain"/>
              <w:tabs>
                <w:tab w:val="left" w:pos="720"/>
                <w:tab w:val="left" w:pos="2160"/>
              </w:tabs>
              <w:spacing w:before="120" w:after="120" w:line="240" w:lineRule="auto"/>
              <w:ind w:left="144"/>
              <w:rPr>
                <w:caps/>
              </w:rPr>
            </w:pPr>
            <w:r>
              <w:rPr>
                <w:caps/>
              </w:rPr>
              <w:t>Pac-West telecomm, Inc.</w:t>
            </w:r>
          </w:p>
          <w:p w:rsidR="008B4F27" w:rsidRDefault="008B4F27" w:rsidP="00B44CB0">
            <w:pPr>
              <w:pStyle w:val="plain"/>
              <w:tabs>
                <w:tab w:val="left" w:pos="720"/>
                <w:tab w:val="left" w:pos="2160"/>
              </w:tabs>
              <w:spacing w:after="120" w:line="240" w:lineRule="auto"/>
              <w:ind w:left="2880"/>
              <w:rPr>
                <w:caps/>
              </w:rPr>
            </w:pPr>
            <w:r>
              <w:t>Petitioner,</w:t>
            </w:r>
          </w:p>
          <w:p w:rsidR="008B4F27" w:rsidRDefault="008B4F27" w:rsidP="00B44CB0">
            <w:pPr>
              <w:pStyle w:val="plain"/>
              <w:tabs>
                <w:tab w:val="left" w:pos="720"/>
                <w:tab w:val="left" w:pos="2160"/>
              </w:tabs>
              <w:spacing w:after="120" w:line="240" w:lineRule="auto"/>
              <w:ind w:left="144"/>
            </w:pPr>
            <w:r>
              <w:t>v.</w:t>
            </w:r>
          </w:p>
          <w:p w:rsidR="008B4F27" w:rsidRDefault="008B4F27" w:rsidP="00B44CB0">
            <w:pPr>
              <w:pStyle w:val="plain"/>
              <w:tabs>
                <w:tab w:val="left" w:pos="720"/>
                <w:tab w:val="left" w:pos="2160"/>
              </w:tabs>
              <w:spacing w:after="120" w:line="240" w:lineRule="auto"/>
              <w:ind w:left="144"/>
            </w:pPr>
            <w:r>
              <w:t>QWEST CORPORATION</w:t>
            </w:r>
            <w:r>
              <w:rPr>
                <w:caps/>
              </w:rPr>
              <w:t xml:space="preserve">, </w:t>
            </w:r>
          </w:p>
          <w:p w:rsidR="008B4F27" w:rsidRDefault="008B4F27" w:rsidP="00B44CB0">
            <w:pPr>
              <w:pStyle w:val="normalblock"/>
              <w:spacing w:line="240" w:lineRule="atLeast"/>
            </w:pPr>
            <w:r>
              <w:tab/>
            </w:r>
            <w:r>
              <w:tab/>
            </w:r>
            <w:r>
              <w:tab/>
            </w:r>
            <w:r>
              <w:tab/>
              <w:t xml:space="preserve">Respondent.   </w:t>
            </w:r>
          </w:p>
          <w:p w:rsidR="008B4F27" w:rsidRDefault="008B4F27" w:rsidP="00B44CB0">
            <w:pPr>
              <w:pStyle w:val="normalblock"/>
              <w:spacing w:line="240" w:lineRule="atLeast"/>
            </w:pPr>
          </w:p>
        </w:tc>
        <w:tc>
          <w:tcPr>
            <w:tcW w:w="4950" w:type="dxa"/>
            <w:tcBorders>
              <w:left w:val="nil"/>
            </w:tcBorders>
          </w:tcPr>
          <w:p w:rsidR="008B4F27" w:rsidRDefault="008B4F27" w:rsidP="00B44CB0">
            <w:pPr>
              <w:pStyle w:val="normalblock"/>
            </w:pPr>
          </w:p>
          <w:p w:rsidR="008B4F27" w:rsidRPr="00B67A79" w:rsidRDefault="008B4F27" w:rsidP="00B44CB0">
            <w:pPr>
              <w:pStyle w:val="plain"/>
              <w:spacing w:line="240" w:lineRule="auto"/>
              <w:ind w:left="360" w:hanging="360"/>
              <w:rPr>
                <w:caps/>
              </w:rPr>
            </w:pPr>
            <w:r w:rsidRPr="00B67A79">
              <w:t xml:space="preserve">DOCKET NO. UT-053036 </w:t>
            </w:r>
          </w:p>
          <w:p w:rsidR="008B4F27" w:rsidRPr="00B67A79" w:rsidRDefault="008B4F27" w:rsidP="00B44CB0">
            <w:pPr>
              <w:pStyle w:val="plain"/>
              <w:spacing w:line="240" w:lineRule="auto"/>
              <w:ind w:left="360"/>
              <w:rPr>
                <w:caps/>
              </w:rPr>
            </w:pPr>
          </w:p>
          <w:p w:rsidR="008B4F27" w:rsidRDefault="008B4F27" w:rsidP="00B44CB0">
            <w:pPr>
              <w:pStyle w:val="Header"/>
              <w:rPr>
                <w:rFonts w:ascii="Times New Roman" w:hAnsi="Times New Roman" w:cs="Times New Roman"/>
                <w:b/>
                <w:sz w:val="24"/>
                <w:szCs w:val="24"/>
              </w:rPr>
            </w:pPr>
            <w:r w:rsidRPr="0071640B">
              <w:rPr>
                <w:rFonts w:ascii="Times New Roman" w:hAnsi="Times New Roman" w:cs="Times New Roman"/>
                <w:b/>
                <w:sz w:val="24"/>
                <w:szCs w:val="24"/>
              </w:rPr>
              <w:t>QWEST’S POST-HEARING OPENING BRIEF</w:t>
            </w:r>
          </w:p>
          <w:p w:rsidR="009219CA" w:rsidRDefault="009219CA" w:rsidP="00B44CB0">
            <w:pPr>
              <w:pStyle w:val="Header"/>
              <w:rPr>
                <w:rFonts w:ascii="Times New Roman" w:hAnsi="Times New Roman" w:cs="Times New Roman"/>
                <w:b/>
                <w:sz w:val="24"/>
                <w:szCs w:val="24"/>
              </w:rPr>
            </w:pPr>
          </w:p>
          <w:p w:rsidR="009219CA" w:rsidRPr="009219CA" w:rsidRDefault="009219CA" w:rsidP="00B44CB0">
            <w:pPr>
              <w:pStyle w:val="Header"/>
              <w:rPr>
                <w:rFonts w:ascii="Times New Roman" w:hAnsi="Times New Roman" w:cs="Times New Roman"/>
                <w:sz w:val="24"/>
                <w:szCs w:val="24"/>
              </w:rPr>
            </w:pPr>
            <w:r>
              <w:rPr>
                <w:rFonts w:ascii="Times New Roman" w:hAnsi="Times New Roman" w:cs="Times New Roman"/>
                <w:sz w:val="24"/>
                <w:szCs w:val="24"/>
              </w:rPr>
              <w:t>REDACTED</w:t>
            </w:r>
          </w:p>
        </w:tc>
      </w:tr>
    </w:tbl>
    <w:p w:rsidR="00F62337" w:rsidRDefault="00F62337" w:rsidP="006D54C7">
      <w:pPr>
        <w:rPr>
          <w:rFonts w:ascii="Times New Roman" w:hAnsi="Times New Roman" w:cs="Times New Roman"/>
          <w:sz w:val="24"/>
          <w:szCs w:val="24"/>
        </w:rPr>
        <w:sectPr w:rsidR="00F62337" w:rsidSect="00B4003E">
          <w:footerReference w:type="default" r:id="rId8"/>
          <w:pgSz w:w="12240" w:h="15840"/>
          <w:pgMar w:top="1440" w:right="1440" w:bottom="1440" w:left="1440" w:header="720" w:footer="720" w:gutter="0"/>
          <w:cols w:space="720"/>
          <w:titlePg/>
          <w:docGrid w:linePitch="360"/>
        </w:sectPr>
      </w:pPr>
    </w:p>
    <w:p w:rsidR="004141EE" w:rsidRDefault="004141EE" w:rsidP="006D54C7">
      <w:pPr>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rPr>
        <w:id w:val="76183549"/>
        <w:docPartObj>
          <w:docPartGallery w:val="Table of Contents"/>
          <w:docPartUnique/>
        </w:docPartObj>
      </w:sdtPr>
      <w:sdtContent>
        <w:p w:rsidR="002C616A" w:rsidRPr="002C616A" w:rsidRDefault="002C616A" w:rsidP="002C616A">
          <w:pPr>
            <w:pStyle w:val="TOCHead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OF CONTENTS</w:t>
          </w:r>
        </w:p>
        <w:p w:rsidR="005F21FC" w:rsidRPr="00BB65BB" w:rsidRDefault="002C4EC6" w:rsidP="00BB65BB">
          <w:pPr>
            <w:pStyle w:val="TOC1"/>
            <w:rPr>
              <w:rFonts w:ascii="Times New Roman" w:eastAsiaTheme="minorEastAsia" w:hAnsi="Times New Roman"/>
              <w:noProof/>
              <w:sz w:val="24"/>
            </w:rPr>
          </w:pPr>
          <w:r w:rsidRPr="002C4EC6">
            <w:fldChar w:fldCharType="begin"/>
          </w:r>
          <w:r w:rsidR="002C616A" w:rsidRPr="002C616A">
            <w:instrText xml:space="preserve"> TOC \o "1-3" \h \z \u </w:instrText>
          </w:r>
          <w:r w:rsidRPr="002C4EC6">
            <w:fldChar w:fldCharType="separate"/>
          </w:r>
          <w:hyperlink w:anchor="_Toc350950420" w:history="1">
            <w:r w:rsidR="005F21FC" w:rsidRPr="00BB65BB">
              <w:rPr>
                <w:rStyle w:val="Hyperlink"/>
                <w:rFonts w:ascii="Times New Roman" w:hAnsi="Times New Roman" w:cs="Times New Roman"/>
                <w:noProof/>
                <w:sz w:val="24"/>
                <w:szCs w:val="24"/>
              </w:rPr>
              <w:t>I.</w:t>
            </w:r>
            <w:r w:rsidR="005F21FC" w:rsidRPr="00BB65BB">
              <w:rPr>
                <w:rFonts w:ascii="Times New Roman" w:eastAsiaTheme="minorEastAsia" w:hAnsi="Times New Roman"/>
                <w:noProof/>
                <w:sz w:val="24"/>
              </w:rPr>
              <w:tab/>
            </w:r>
            <w:r w:rsidR="005F21FC" w:rsidRPr="00BB65BB">
              <w:rPr>
                <w:rStyle w:val="Hyperlink"/>
                <w:rFonts w:ascii="Times New Roman" w:hAnsi="Times New Roman" w:cs="Times New Roman"/>
                <w:noProof/>
                <w:sz w:val="24"/>
                <w:szCs w:val="24"/>
              </w:rPr>
              <w:t>INTRODUCTION</w:t>
            </w:r>
            <w:r w:rsidR="005F21FC" w:rsidRPr="00BB65BB">
              <w:rPr>
                <w:rFonts w:ascii="Times New Roman" w:hAnsi="Times New Roman"/>
                <w:noProof/>
                <w:webHidden/>
                <w:sz w:val="24"/>
              </w:rPr>
              <w:tab/>
            </w:r>
            <w:r w:rsidRPr="00BB65BB">
              <w:rPr>
                <w:rFonts w:ascii="Times New Roman" w:hAnsi="Times New Roman"/>
                <w:noProof/>
                <w:webHidden/>
                <w:sz w:val="24"/>
              </w:rPr>
              <w:fldChar w:fldCharType="begin"/>
            </w:r>
            <w:r w:rsidR="005F21FC" w:rsidRPr="00BB65BB">
              <w:rPr>
                <w:rFonts w:ascii="Times New Roman" w:hAnsi="Times New Roman"/>
                <w:noProof/>
                <w:webHidden/>
                <w:sz w:val="24"/>
              </w:rPr>
              <w:instrText xml:space="preserve"> PAGEREF _Toc350950420 \h </w:instrText>
            </w:r>
            <w:r w:rsidRPr="00BB65BB">
              <w:rPr>
                <w:rFonts w:ascii="Times New Roman" w:hAnsi="Times New Roman"/>
                <w:noProof/>
                <w:webHidden/>
                <w:sz w:val="24"/>
              </w:rPr>
            </w:r>
            <w:r w:rsidRPr="00BB65BB">
              <w:rPr>
                <w:rFonts w:ascii="Times New Roman" w:hAnsi="Times New Roman"/>
                <w:noProof/>
                <w:webHidden/>
                <w:sz w:val="24"/>
              </w:rPr>
              <w:fldChar w:fldCharType="separate"/>
            </w:r>
            <w:r w:rsidR="00174178">
              <w:rPr>
                <w:rFonts w:ascii="Times New Roman" w:hAnsi="Times New Roman"/>
                <w:noProof/>
                <w:webHidden/>
                <w:sz w:val="24"/>
              </w:rPr>
              <w:t>1</w:t>
            </w:r>
            <w:r w:rsidRPr="00BB65BB">
              <w:rPr>
                <w:rFonts w:ascii="Times New Roman" w:hAnsi="Times New Roman"/>
                <w:noProof/>
                <w:webHidden/>
                <w:sz w:val="24"/>
              </w:rPr>
              <w:fldChar w:fldCharType="end"/>
            </w:r>
          </w:hyperlink>
        </w:p>
        <w:p w:rsidR="005F21FC" w:rsidRPr="00BB65BB" w:rsidRDefault="002C4EC6" w:rsidP="00BB65BB">
          <w:pPr>
            <w:pStyle w:val="TOC1"/>
            <w:rPr>
              <w:rFonts w:ascii="Times New Roman" w:eastAsiaTheme="minorEastAsia" w:hAnsi="Times New Roman"/>
              <w:noProof/>
              <w:sz w:val="24"/>
            </w:rPr>
          </w:pPr>
          <w:hyperlink w:anchor="_Toc350950421" w:history="1">
            <w:r w:rsidR="005F21FC" w:rsidRPr="00BB65BB">
              <w:rPr>
                <w:rStyle w:val="Hyperlink"/>
                <w:rFonts w:ascii="Times New Roman" w:hAnsi="Times New Roman" w:cs="Times New Roman"/>
                <w:noProof/>
                <w:sz w:val="24"/>
                <w:szCs w:val="24"/>
              </w:rPr>
              <w:t>II.</w:t>
            </w:r>
            <w:r w:rsidR="005F21FC" w:rsidRPr="00BB65BB">
              <w:rPr>
                <w:rFonts w:ascii="Times New Roman" w:eastAsiaTheme="minorEastAsia" w:hAnsi="Times New Roman"/>
                <w:noProof/>
                <w:sz w:val="24"/>
              </w:rPr>
              <w:tab/>
            </w:r>
            <w:r w:rsidR="005F21FC" w:rsidRPr="00BB65BB">
              <w:rPr>
                <w:rStyle w:val="Hyperlink"/>
                <w:rFonts w:ascii="Times New Roman" w:hAnsi="Times New Roman" w:cs="Times New Roman"/>
                <w:noProof/>
                <w:sz w:val="24"/>
                <w:szCs w:val="24"/>
              </w:rPr>
              <w:t>BACKGROUND</w:t>
            </w:r>
            <w:r w:rsidR="005F21FC" w:rsidRPr="00BB65BB">
              <w:rPr>
                <w:rFonts w:ascii="Times New Roman" w:hAnsi="Times New Roman"/>
                <w:noProof/>
                <w:webHidden/>
                <w:sz w:val="24"/>
              </w:rPr>
              <w:tab/>
            </w:r>
            <w:r w:rsidRPr="00BB65BB">
              <w:rPr>
                <w:rFonts w:ascii="Times New Roman" w:hAnsi="Times New Roman"/>
                <w:noProof/>
                <w:webHidden/>
                <w:sz w:val="24"/>
              </w:rPr>
              <w:fldChar w:fldCharType="begin"/>
            </w:r>
            <w:r w:rsidR="005F21FC" w:rsidRPr="00BB65BB">
              <w:rPr>
                <w:rFonts w:ascii="Times New Roman" w:hAnsi="Times New Roman"/>
                <w:noProof/>
                <w:webHidden/>
                <w:sz w:val="24"/>
              </w:rPr>
              <w:instrText xml:space="preserve"> PAGEREF _Toc350950421 \h </w:instrText>
            </w:r>
            <w:r w:rsidRPr="00BB65BB">
              <w:rPr>
                <w:rFonts w:ascii="Times New Roman" w:hAnsi="Times New Roman"/>
                <w:noProof/>
                <w:webHidden/>
                <w:sz w:val="24"/>
              </w:rPr>
            </w:r>
            <w:r w:rsidRPr="00BB65BB">
              <w:rPr>
                <w:rFonts w:ascii="Times New Roman" w:hAnsi="Times New Roman"/>
                <w:noProof/>
                <w:webHidden/>
                <w:sz w:val="24"/>
              </w:rPr>
              <w:fldChar w:fldCharType="separate"/>
            </w:r>
            <w:r w:rsidR="00174178">
              <w:rPr>
                <w:rFonts w:ascii="Times New Roman" w:hAnsi="Times New Roman"/>
                <w:noProof/>
                <w:webHidden/>
                <w:sz w:val="24"/>
              </w:rPr>
              <w:t>4</w:t>
            </w:r>
            <w:r w:rsidRPr="00BB65BB">
              <w:rPr>
                <w:rFonts w:ascii="Times New Roman" w:hAnsi="Times New Roman"/>
                <w:noProof/>
                <w:webHidden/>
                <w:sz w:val="24"/>
              </w:rPr>
              <w:fldChar w:fldCharType="end"/>
            </w:r>
          </w:hyperlink>
        </w:p>
        <w:p w:rsidR="005F21FC" w:rsidRPr="00BB65BB" w:rsidRDefault="002C4EC6" w:rsidP="00BB65BB">
          <w:pPr>
            <w:pStyle w:val="TOC1"/>
            <w:ind w:left="450"/>
            <w:rPr>
              <w:rFonts w:ascii="Times New Roman" w:eastAsiaTheme="minorEastAsia" w:hAnsi="Times New Roman"/>
              <w:noProof/>
              <w:sz w:val="24"/>
            </w:rPr>
          </w:pPr>
          <w:hyperlink w:anchor="_Toc350950422" w:history="1">
            <w:r w:rsidR="005F21FC" w:rsidRPr="00BB65BB">
              <w:rPr>
                <w:rStyle w:val="Hyperlink"/>
                <w:rFonts w:ascii="Times New Roman" w:hAnsi="Times New Roman" w:cs="Times New Roman"/>
                <w:noProof/>
                <w:sz w:val="24"/>
                <w:szCs w:val="24"/>
              </w:rPr>
              <w:t>a.</w:t>
            </w:r>
            <w:r w:rsidR="005D5D47" w:rsidRPr="00BB65BB">
              <w:rPr>
                <w:rFonts w:ascii="Times New Roman" w:eastAsiaTheme="minorEastAsia" w:hAnsi="Times New Roman"/>
                <w:noProof/>
                <w:sz w:val="24"/>
              </w:rPr>
              <w:t xml:space="preserve"> </w:t>
            </w:r>
            <w:r w:rsidR="005F21FC" w:rsidRPr="00BB65BB">
              <w:rPr>
                <w:rStyle w:val="Hyperlink"/>
                <w:rFonts w:ascii="Times New Roman" w:hAnsi="Times New Roman" w:cs="Times New Roman"/>
                <w:noProof/>
                <w:sz w:val="24"/>
                <w:szCs w:val="24"/>
              </w:rPr>
              <w:t>VNXX Generally</w:t>
            </w:r>
            <w:r w:rsidR="005F21FC" w:rsidRPr="00BB65BB">
              <w:rPr>
                <w:rFonts w:ascii="Times New Roman" w:hAnsi="Times New Roman"/>
                <w:noProof/>
                <w:webHidden/>
                <w:sz w:val="24"/>
              </w:rPr>
              <w:tab/>
            </w:r>
            <w:r w:rsidRPr="00BB65BB">
              <w:rPr>
                <w:rFonts w:ascii="Times New Roman" w:hAnsi="Times New Roman"/>
                <w:noProof/>
                <w:webHidden/>
                <w:sz w:val="24"/>
              </w:rPr>
              <w:fldChar w:fldCharType="begin"/>
            </w:r>
            <w:r w:rsidR="005F21FC" w:rsidRPr="00BB65BB">
              <w:rPr>
                <w:rFonts w:ascii="Times New Roman" w:hAnsi="Times New Roman"/>
                <w:noProof/>
                <w:webHidden/>
                <w:sz w:val="24"/>
              </w:rPr>
              <w:instrText xml:space="preserve"> PAGEREF _Toc350950422 \h </w:instrText>
            </w:r>
            <w:r w:rsidRPr="00BB65BB">
              <w:rPr>
                <w:rFonts w:ascii="Times New Roman" w:hAnsi="Times New Roman"/>
                <w:noProof/>
                <w:webHidden/>
                <w:sz w:val="24"/>
              </w:rPr>
            </w:r>
            <w:r w:rsidRPr="00BB65BB">
              <w:rPr>
                <w:rFonts w:ascii="Times New Roman" w:hAnsi="Times New Roman"/>
                <w:noProof/>
                <w:webHidden/>
                <w:sz w:val="24"/>
              </w:rPr>
              <w:fldChar w:fldCharType="separate"/>
            </w:r>
            <w:r w:rsidR="00174178">
              <w:rPr>
                <w:rFonts w:ascii="Times New Roman" w:hAnsi="Times New Roman"/>
                <w:noProof/>
                <w:webHidden/>
                <w:sz w:val="24"/>
              </w:rPr>
              <w:t>4</w:t>
            </w:r>
            <w:r w:rsidRPr="00BB65BB">
              <w:rPr>
                <w:rFonts w:ascii="Times New Roman" w:hAnsi="Times New Roman"/>
                <w:noProof/>
                <w:webHidden/>
                <w:sz w:val="24"/>
              </w:rPr>
              <w:fldChar w:fldCharType="end"/>
            </w:r>
          </w:hyperlink>
        </w:p>
        <w:p w:rsidR="005F21FC" w:rsidRPr="00BB65BB" w:rsidRDefault="002C4EC6" w:rsidP="00BB65BB">
          <w:pPr>
            <w:pStyle w:val="TOC1"/>
            <w:ind w:left="450"/>
            <w:rPr>
              <w:rFonts w:ascii="Times New Roman" w:eastAsiaTheme="minorEastAsia" w:hAnsi="Times New Roman"/>
              <w:noProof/>
              <w:sz w:val="24"/>
            </w:rPr>
          </w:pPr>
          <w:hyperlink w:anchor="_Toc350950423" w:history="1">
            <w:r w:rsidR="005F21FC" w:rsidRPr="00BB65BB">
              <w:rPr>
                <w:rStyle w:val="Hyperlink"/>
                <w:rFonts w:ascii="Times New Roman" w:hAnsi="Times New Roman" w:cs="Times New Roman"/>
                <w:noProof/>
                <w:sz w:val="24"/>
                <w:szCs w:val="24"/>
              </w:rPr>
              <w:t>b.</w:t>
            </w:r>
            <w:r w:rsidR="00BB65BB" w:rsidRPr="00BB65BB">
              <w:rPr>
                <w:rStyle w:val="Hyperlink"/>
                <w:rFonts w:ascii="Times New Roman" w:hAnsi="Times New Roman" w:cs="Times New Roman"/>
                <w:noProof/>
                <w:sz w:val="24"/>
                <w:szCs w:val="24"/>
              </w:rPr>
              <w:t xml:space="preserve"> </w:t>
            </w:r>
            <w:r w:rsidR="005F21FC" w:rsidRPr="00BB65BB">
              <w:rPr>
                <w:rStyle w:val="Hyperlink"/>
                <w:rFonts w:ascii="Times New Roman" w:hAnsi="Times New Roman" w:cs="Times New Roman"/>
                <w:noProof/>
                <w:sz w:val="24"/>
                <w:szCs w:val="24"/>
              </w:rPr>
              <w:t>Relevant Docket History</w:t>
            </w:r>
            <w:r w:rsidR="005F21FC" w:rsidRPr="00BB65BB">
              <w:rPr>
                <w:rFonts w:ascii="Times New Roman" w:hAnsi="Times New Roman"/>
                <w:noProof/>
                <w:webHidden/>
                <w:sz w:val="24"/>
              </w:rPr>
              <w:tab/>
            </w:r>
            <w:r w:rsidRPr="00BB65BB">
              <w:rPr>
                <w:rFonts w:ascii="Times New Roman" w:hAnsi="Times New Roman"/>
                <w:noProof/>
                <w:webHidden/>
                <w:sz w:val="24"/>
              </w:rPr>
              <w:fldChar w:fldCharType="begin"/>
            </w:r>
            <w:r w:rsidR="005F21FC" w:rsidRPr="00BB65BB">
              <w:rPr>
                <w:rFonts w:ascii="Times New Roman" w:hAnsi="Times New Roman"/>
                <w:noProof/>
                <w:webHidden/>
                <w:sz w:val="24"/>
              </w:rPr>
              <w:instrText xml:space="preserve"> PAGEREF _Toc350950423 \h </w:instrText>
            </w:r>
            <w:r w:rsidRPr="00BB65BB">
              <w:rPr>
                <w:rFonts w:ascii="Times New Roman" w:hAnsi="Times New Roman"/>
                <w:noProof/>
                <w:webHidden/>
                <w:sz w:val="24"/>
              </w:rPr>
            </w:r>
            <w:r w:rsidRPr="00BB65BB">
              <w:rPr>
                <w:rFonts w:ascii="Times New Roman" w:hAnsi="Times New Roman"/>
                <w:noProof/>
                <w:webHidden/>
                <w:sz w:val="24"/>
              </w:rPr>
              <w:fldChar w:fldCharType="separate"/>
            </w:r>
            <w:r w:rsidR="00174178">
              <w:rPr>
                <w:rFonts w:ascii="Times New Roman" w:hAnsi="Times New Roman"/>
                <w:noProof/>
                <w:webHidden/>
                <w:sz w:val="24"/>
              </w:rPr>
              <w:t>6</w:t>
            </w:r>
            <w:r w:rsidRPr="00BB65BB">
              <w:rPr>
                <w:rFonts w:ascii="Times New Roman" w:hAnsi="Times New Roman"/>
                <w:noProof/>
                <w:webHidden/>
                <w:sz w:val="24"/>
              </w:rPr>
              <w:fldChar w:fldCharType="end"/>
            </w:r>
          </w:hyperlink>
        </w:p>
        <w:p w:rsidR="005F21FC" w:rsidRPr="00BB65BB" w:rsidRDefault="002C4EC6" w:rsidP="00BB65BB">
          <w:pPr>
            <w:pStyle w:val="TOC1"/>
            <w:rPr>
              <w:rFonts w:ascii="Times New Roman" w:eastAsiaTheme="minorEastAsia" w:hAnsi="Times New Roman"/>
              <w:noProof/>
              <w:sz w:val="24"/>
            </w:rPr>
          </w:pPr>
          <w:hyperlink w:anchor="_Toc350950424" w:history="1">
            <w:r w:rsidR="005F21FC" w:rsidRPr="00BB65BB">
              <w:rPr>
                <w:rStyle w:val="Hyperlink"/>
                <w:rFonts w:ascii="Times New Roman" w:hAnsi="Times New Roman" w:cs="Times New Roman"/>
                <w:noProof/>
                <w:sz w:val="24"/>
                <w:szCs w:val="24"/>
              </w:rPr>
              <w:t>III.</w:t>
            </w:r>
            <w:r w:rsidR="005F21FC" w:rsidRPr="00BB65BB">
              <w:rPr>
                <w:rFonts w:ascii="Times New Roman" w:eastAsiaTheme="minorEastAsia" w:hAnsi="Times New Roman"/>
                <w:noProof/>
                <w:sz w:val="24"/>
              </w:rPr>
              <w:tab/>
            </w:r>
            <w:r w:rsidR="005F21FC" w:rsidRPr="00BB65BB">
              <w:rPr>
                <w:rStyle w:val="Hyperlink"/>
                <w:rFonts w:ascii="Times New Roman" w:hAnsi="Times New Roman" w:cs="Times New Roman"/>
                <w:noProof/>
                <w:sz w:val="24"/>
                <w:szCs w:val="24"/>
              </w:rPr>
              <w:t>LEGAL ARGUMENTS</w:t>
            </w:r>
            <w:r w:rsidR="005F21FC" w:rsidRPr="00BB65BB">
              <w:rPr>
                <w:rFonts w:ascii="Times New Roman" w:hAnsi="Times New Roman"/>
                <w:noProof/>
                <w:webHidden/>
                <w:sz w:val="24"/>
              </w:rPr>
              <w:tab/>
            </w:r>
            <w:r w:rsidRPr="00BB65BB">
              <w:rPr>
                <w:rFonts w:ascii="Times New Roman" w:hAnsi="Times New Roman"/>
                <w:noProof/>
                <w:webHidden/>
                <w:sz w:val="24"/>
              </w:rPr>
              <w:fldChar w:fldCharType="begin"/>
            </w:r>
            <w:r w:rsidR="005F21FC" w:rsidRPr="00BB65BB">
              <w:rPr>
                <w:rFonts w:ascii="Times New Roman" w:hAnsi="Times New Roman"/>
                <w:noProof/>
                <w:webHidden/>
                <w:sz w:val="24"/>
              </w:rPr>
              <w:instrText xml:space="preserve"> PAGEREF _Toc350950424 \h </w:instrText>
            </w:r>
            <w:r w:rsidRPr="00BB65BB">
              <w:rPr>
                <w:rFonts w:ascii="Times New Roman" w:hAnsi="Times New Roman"/>
                <w:noProof/>
                <w:webHidden/>
                <w:sz w:val="24"/>
              </w:rPr>
            </w:r>
            <w:r w:rsidRPr="00BB65BB">
              <w:rPr>
                <w:rFonts w:ascii="Times New Roman" w:hAnsi="Times New Roman"/>
                <w:noProof/>
                <w:webHidden/>
                <w:sz w:val="24"/>
              </w:rPr>
              <w:fldChar w:fldCharType="separate"/>
            </w:r>
            <w:r w:rsidR="00174178">
              <w:rPr>
                <w:rFonts w:ascii="Times New Roman" w:hAnsi="Times New Roman"/>
                <w:noProof/>
                <w:webHidden/>
                <w:sz w:val="24"/>
              </w:rPr>
              <w:t>8</w:t>
            </w:r>
            <w:r w:rsidRPr="00BB65BB">
              <w:rPr>
                <w:rFonts w:ascii="Times New Roman" w:hAnsi="Times New Roman"/>
                <w:noProof/>
                <w:webHidden/>
                <w:sz w:val="24"/>
              </w:rPr>
              <w:fldChar w:fldCharType="end"/>
            </w:r>
          </w:hyperlink>
        </w:p>
        <w:p w:rsidR="005F21FC" w:rsidRPr="00BB65BB" w:rsidRDefault="002C4EC6" w:rsidP="00BB65BB">
          <w:pPr>
            <w:pStyle w:val="TOC1"/>
            <w:ind w:left="450"/>
            <w:rPr>
              <w:rFonts w:ascii="Times New Roman" w:eastAsiaTheme="minorEastAsia" w:hAnsi="Times New Roman"/>
              <w:noProof/>
              <w:sz w:val="24"/>
            </w:rPr>
          </w:pPr>
          <w:hyperlink w:anchor="_Toc350950425" w:history="1">
            <w:r w:rsidR="005F21FC" w:rsidRPr="00BB65BB">
              <w:rPr>
                <w:rStyle w:val="Hyperlink"/>
                <w:rFonts w:ascii="Times New Roman" w:hAnsi="Times New Roman" w:cs="Times New Roman"/>
                <w:noProof/>
                <w:sz w:val="24"/>
                <w:szCs w:val="24"/>
              </w:rPr>
              <w:t>a.</w:t>
            </w:r>
            <w:r w:rsidR="00BB65BB">
              <w:rPr>
                <w:rFonts w:ascii="Times New Roman" w:eastAsiaTheme="minorEastAsia" w:hAnsi="Times New Roman"/>
                <w:noProof/>
                <w:sz w:val="24"/>
              </w:rPr>
              <w:t xml:space="preserve"> </w:t>
            </w:r>
            <w:r w:rsidR="005F21FC" w:rsidRPr="00BB65BB">
              <w:rPr>
                <w:rStyle w:val="Hyperlink"/>
                <w:rFonts w:ascii="Times New Roman" w:hAnsi="Times New Roman" w:cs="Times New Roman"/>
                <w:noProof/>
                <w:sz w:val="24"/>
                <w:szCs w:val="24"/>
              </w:rPr>
              <w:t>Jurisdiction</w:t>
            </w:r>
            <w:r w:rsidR="005F21FC" w:rsidRPr="00BB65BB">
              <w:rPr>
                <w:rFonts w:ascii="Times New Roman" w:hAnsi="Times New Roman"/>
                <w:noProof/>
                <w:webHidden/>
                <w:sz w:val="24"/>
              </w:rPr>
              <w:tab/>
            </w:r>
            <w:r w:rsidRPr="00BB65BB">
              <w:rPr>
                <w:rFonts w:ascii="Times New Roman" w:hAnsi="Times New Roman"/>
                <w:noProof/>
                <w:webHidden/>
                <w:sz w:val="24"/>
              </w:rPr>
              <w:fldChar w:fldCharType="begin"/>
            </w:r>
            <w:r w:rsidR="005F21FC" w:rsidRPr="00BB65BB">
              <w:rPr>
                <w:rFonts w:ascii="Times New Roman" w:hAnsi="Times New Roman"/>
                <w:noProof/>
                <w:webHidden/>
                <w:sz w:val="24"/>
              </w:rPr>
              <w:instrText xml:space="preserve"> PAGEREF _Toc350950425 \h </w:instrText>
            </w:r>
            <w:r w:rsidRPr="00BB65BB">
              <w:rPr>
                <w:rFonts w:ascii="Times New Roman" w:hAnsi="Times New Roman"/>
                <w:noProof/>
                <w:webHidden/>
                <w:sz w:val="24"/>
              </w:rPr>
            </w:r>
            <w:r w:rsidRPr="00BB65BB">
              <w:rPr>
                <w:rFonts w:ascii="Times New Roman" w:hAnsi="Times New Roman"/>
                <w:noProof/>
                <w:webHidden/>
                <w:sz w:val="24"/>
              </w:rPr>
              <w:fldChar w:fldCharType="separate"/>
            </w:r>
            <w:r w:rsidR="00174178">
              <w:rPr>
                <w:rFonts w:ascii="Times New Roman" w:hAnsi="Times New Roman"/>
                <w:noProof/>
                <w:webHidden/>
                <w:sz w:val="24"/>
              </w:rPr>
              <w:t>8</w:t>
            </w:r>
            <w:r w:rsidRPr="00BB65BB">
              <w:rPr>
                <w:rFonts w:ascii="Times New Roman" w:hAnsi="Times New Roman"/>
                <w:noProof/>
                <w:webHidden/>
                <w:sz w:val="24"/>
              </w:rPr>
              <w:fldChar w:fldCharType="end"/>
            </w:r>
          </w:hyperlink>
        </w:p>
        <w:p w:rsidR="005F21FC" w:rsidRPr="00BB65BB" w:rsidRDefault="002C4EC6" w:rsidP="00BB65BB">
          <w:pPr>
            <w:pStyle w:val="TOC1"/>
            <w:ind w:left="450"/>
            <w:rPr>
              <w:rFonts w:ascii="Times New Roman" w:eastAsiaTheme="minorEastAsia" w:hAnsi="Times New Roman"/>
              <w:noProof/>
              <w:sz w:val="24"/>
            </w:rPr>
          </w:pPr>
          <w:hyperlink w:anchor="_Toc350950426" w:history="1">
            <w:r w:rsidR="005F21FC" w:rsidRPr="00BB65BB">
              <w:rPr>
                <w:rStyle w:val="Hyperlink"/>
                <w:rFonts w:ascii="Times New Roman" w:hAnsi="Times New Roman" w:cs="Times New Roman"/>
                <w:noProof/>
                <w:sz w:val="24"/>
                <w:szCs w:val="24"/>
              </w:rPr>
              <w:t>b.</w:t>
            </w:r>
            <w:r w:rsidR="00BB65BB">
              <w:rPr>
                <w:rStyle w:val="Hyperlink"/>
                <w:rFonts w:ascii="Times New Roman" w:hAnsi="Times New Roman" w:cs="Times New Roman"/>
                <w:noProof/>
                <w:sz w:val="24"/>
                <w:szCs w:val="24"/>
              </w:rPr>
              <w:t xml:space="preserve"> </w:t>
            </w:r>
            <w:r w:rsidR="005F21FC" w:rsidRPr="00BB65BB">
              <w:rPr>
                <w:rStyle w:val="Hyperlink"/>
                <w:rFonts w:ascii="Times New Roman" w:hAnsi="Times New Roman" w:cs="Times New Roman"/>
                <w:noProof/>
                <w:sz w:val="24"/>
                <w:szCs w:val="24"/>
              </w:rPr>
              <w:t>Burden of Proof</w:t>
            </w:r>
            <w:r w:rsidR="005F21FC" w:rsidRPr="00BB65BB">
              <w:rPr>
                <w:rFonts w:ascii="Times New Roman" w:hAnsi="Times New Roman"/>
                <w:noProof/>
                <w:webHidden/>
                <w:sz w:val="24"/>
              </w:rPr>
              <w:tab/>
            </w:r>
            <w:r w:rsidRPr="00BB65BB">
              <w:rPr>
                <w:rFonts w:ascii="Times New Roman" w:hAnsi="Times New Roman"/>
                <w:noProof/>
                <w:webHidden/>
                <w:sz w:val="24"/>
              </w:rPr>
              <w:fldChar w:fldCharType="begin"/>
            </w:r>
            <w:r w:rsidR="005F21FC" w:rsidRPr="00BB65BB">
              <w:rPr>
                <w:rFonts w:ascii="Times New Roman" w:hAnsi="Times New Roman"/>
                <w:noProof/>
                <w:webHidden/>
                <w:sz w:val="24"/>
              </w:rPr>
              <w:instrText xml:space="preserve"> PAGEREF _Toc350950426 \h </w:instrText>
            </w:r>
            <w:r w:rsidRPr="00BB65BB">
              <w:rPr>
                <w:rFonts w:ascii="Times New Roman" w:hAnsi="Times New Roman"/>
                <w:noProof/>
                <w:webHidden/>
                <w:sz w:val="24"/>
              </w:rPr>
            </w:r>
            <w:r w:rsidRPr="00BB65BB">
              <w:rPr>
                <w:rFonts w:ascii="Times New Roman" w:hAnsi="Times New Roman"/>
                <w:noProof/>
                <w:webHidden/>
                <w:sz w:val="24"/>
              </w:rPr>
              <w:fldChar w:fldCharType="separate"/>
            </w:r>
            <w:r w:rsidR="00174178">
              <w:rPr>
                <w:rFonts w:ascii="Times New Roman" w:hAnsi="Times New Roman"/>
                <w:noProof/>
                <w:webHidden/>
                <w:sz w:val="24"/>
              </w:rPr>
              <w:t>11</w:t>
            </w:r>
            <w:r w:rsidRPr="00BB65BB">
              <w:rPr>
                <w:rFonts w:ascii="Times New Roman" w:hAnsi="Times New Roman"/>
                <w:noProof/>
                <w:webHidden/>
                <w:sz w:val="24"/>
              </w:rPr>
              <w:fldChar w:fldCharType="end"/>
            </w:r>
          </w:hyperlink>
        </w:p>
        <w:p w:rsidR="005F21FC" w:rsidRPr="00BB65BB" w:rsidRDefault="002C4EC6" w:rsidP="00BB65BB">
          <w:pPr>
            <w:pStyle w:val="TOC1"/>
            <w:rPr>
              <w:rFonts w:ascii="Times New Roman" w:eastAsiaTheme="minorEastAsia" w:hAnsi="Times New Roman"/>
              <w:noProof/>
              <w:sz w:val="24"/>
            </w:rPr>
          </w:pPr>
          <w:hyperlink w:anchor="_Toc350950427" w:history="1">
            <w:r w:rsidR="005F21FC" w:rsidRPr="00BB65BB">
              <w:rPr>
                <w:rStyle w:val="Hyperlink"/>
                <w:rFonts w:ascii="Times New Roman" w:hAnsi="Times New Roman" w:cs="Times New Roman"/>
                <w:noProof/>
                <w:sz w:val="24"/>
                <w:szCs w:val="24"/>
              </w:rPr>
              <w:t>IV.</w:t>
            </w:r>
            <w:r w:rsidR="005F21FC" w:rsidRPr="00BB65BB">
              <w:rPr>
                <w:rFonts w:ascii="Times New Roman" w:eastAsiaTheme="minorEastAsia" w:hAnsi="Times New Roman"/>
                <w:noProof/>
                <w:sz w:val="24"/>
              </w:rPr>
              <w:tab/>
            </w:r>
            <w:r w:rsidR="005F21FC" w:rsidRPr="00BB65BB">
              <w:rPr>
                <w:rStyle w:val="Hyperlink"/>
                <w:rFonts w:ascii="Times New Roman" w:hAnsi="Times New Roman" w:cs="Times New Roman"/>
                <w:noProof/>
                <w:sz w:val="24"/>
                <w:szCs w:val="24"/>
              </w:rPr>
              <w:t>NATURE AND AMOUNT OF TRAFFIC</w:t>
            </w:r>
            <w:r w:rsidR="005F21FC" w:rsidRPr="00BB65BB">
              <w:rPr>
                <w:rFonts w:ascii="Times New Roman" w:hAnsi="Times New Roman"/>
                <w:noProof/>
                <w:webHidden/>
                <w:sz w:val="24"/>
              </w:rPr>
              <w:tab/>
            </w:r>
            <w:r w:rsidRPr="00BB65BB">
              <w:rPr>
                <w:rFonts w:ascii="Times New Roman" w:hAnsi="Times New Roman"/>
                <w:noProof/>
                <w:webHidden/>
                <w:sz w:val="24"/>
              </w:rPr>
              <w:fldChar w:fldCharType="begin"/>
            </w:r>
            <w:r w:rsidR="005F21FC" w:rsidRPr="00BB65BB">
              <w:rPr>
                <w:rFonts w:ascii="Times New Roman" w:hAnsi="Times New Roman"/>
                <w:noProof/>
                <w:webHidden/>
                <w:sz w:val="24"/>
              </w:rPr>
              <w:instrText xml:space="preserve"> PAGEREF _Toc350950427 \h </w:instrText>
            </w:r>
            <w:r w:rsidRPr="00BB65BB">
              <w:rPr>
                <w:rFonts w:ascii="Times New Roman" w:hAnsi="Times New Roman"/>
                <w:noProof/>
                <w:webHidden/>
                <w:sz w:val="24"/>
              </w:rPr>
            </w:r>
            <w:r w:rsidRPr="00BB65BB">
              <w:rPr>
                <w:rFonts w:ascii="Times New Roman" w:hAnsi="Times New Roman"/>
                <w:noProof/>
                <w:webHidden/>
                <w:sz w:val="24"/>
              </w:rPr>
              <w:fldChar w:fldCharType="separate"/>
            </w:r>
            <w:r w:rsidR="00174178">
              <w:rPr>
                <w:rFonts w:ascii="Times New Roman" w:hAnsi="Times New Roman"/>
                <w:noProof/>
                <w:webHidden/>
                <w:sz w:val="24"/>
              </w:rPr>
              <w:t>12</w:t>
            </w:r>
            <w:r w:rsidRPr="00BB65BB">
              <w:rPr>
                <w:rFonts w:ascii="Times New Roman" w:hAnsi="Times New Roman"/>
                <w:noProof/>
                <w:webHidden/>
                <w:sz w:val="24"/>
              </w:rPr>
              <w:fldChar w:fldCharType="end"/>
            </w:r>
          </w:hyperlink>
        </w:p>
        <w:p w:rsidR="005F21FC" w:rsidRPr="00BB65BB" w:rsidRDefault="002C4EC6" w:rsidP="00BB65BB">
          <w:pPr>
            <w:pStyle w:val="TOC1"/>
            <w:rPr>
              <w:rFonts w:ascii="Times New Roman" w:eastAsiaTheme="minorEastAsia" w:hAnsi="Times New Roman"/>
              <w:noProof/>
              <w:sz w:val="24"/>
            </w:rPr>
          </w:pPr>
          <w:hyperlink w:anchor="_Toc350950428" w:history="1">
            <w:r w:rsidR="005F21FC" w:rsidRPr="00BB65BB">
              <w:rPr>
                <w:rStyle w:val="Hyperlink"/>
                <w:rFonts w:ascii="Times New Roman" w:hAnsi="Times New Roman" w:cs="Times New Roman"/>
                <w:noProof/>
                <w:sz w:val="24"/>
                <w:szCs w:val="24"/>
              </w:rPr>
              <w:t>V.</w:t>
            </w:r>
            <w:r w:rsidR="005F21FC" w:rsidRPr="00BB65BB">
              <w:rPr>
                <w:rFonts w:ascii="Times New Roman" w:eastAsiaTheme="minorEastAsia" w:hAnsi="Times New Roman"/>
                <w:noProof/>
                <w:sz w:val="24"/>
              </w:rPr>
              <w:tab/>
            </w:r>
            <w:r w:rsidR="005F21FC" w:rsidRPr="00BB65BB">
              <w:rPr>
                <w:rStyle w:val="Hyperlink"/>
                <w:rFonts w:ascii="Times New Roman" w:hAnsi="Times New Roman" w:cs="Times New Roman"/>
                <w:noProof/>
                <w:sz w:val="24"/>
                <w:szCs w:val="24"/>
              </w:rPr>
              <w:t>REFUND CLAIM</w:t>
            </w:r>
            <w:r w:rsidR="005F21FC" w:rsidRPr="00BB65BB">
              <w:rPr>
                <w:rFonts w:ascii="Times New Roman" w:hAnsi="Times New Roman"/>
                <w:noProof/>
                <w:webHidden/>
                <w:sz w:val="24"/>
              </w:rPr>
              <w:tab/>
            </w:r>
            <w:r w:rsidRPr="00BB65BB">
              <w:rPr>
                <w:rFonts w:ascii="Times New Roman" w:hAnsi="Times New Roman"/>
                <w:noProof/>
                <w:webHidden/>
                <w:sz w:val="24"/>
              </w:rPr>
              <w:fldChar w:fldCharType="begin"/>
            </w:r>
            <w:r w:rsidR="005F21FC" w:rsidRPr="00BB65BB">
              <w:rPr>
                <w:rFonts w:ascii="Times New Roman" w:hAnsi="Times New Roman"/>
                <w:noProof/>
                <w:webHidden/>
                <w:sz w:val="24"/>
              </w:rPr>
              <w:instrText xml:space="preserve"> PAGEREF _Toc350950428 \h </w:instrText>
            </w:r>
            <w:r w:rsidRPr="00BB65BB">
              <w:rPr>
                <w:rFonts w:ascii="Times New Roman" w:hAnsi="Times New Roman"/>
                <w:noProof/>
                <w:webHidden/>
                <w:sz w:val="24"/>
              </w:rPr>
            </w:r>
            <w:r w:rsidRPr="00BB65BB">
              <w:rPr>
                <w:rFonts w:ascii="Times New Roman" w:hAnsi="Times New Roman"/>
                <w:noProof/>
                <w:webHidden/>
                <w:sz w:val="24"/>
              </w:rPr>
              <w:fldChar w:fldCharType="separate"/>
            </w:r>
            <w:r w:rsidR="00174178">
              <w:rPr>
                <w:rFonts w:ascii="Times New Roman" w:hAnsi="Times New Roman"/>
                <w:noProof/>
                <w:webHidden/>
                <w:sz w:val="24"/>
              </w:rPr>
              <w:t>15</w:t>
            </w:r>
            <w:r w:rsidRPr="00BB65BB">
              <w:rPr>
                <w:rFonts w:ascii="Times New Roman" w:hAnsi="Times New Roman"/>
                <w:noProof/>
                <w:webHidden/>
                <w:sz w:val="24"/>
              </w:rPr>
              <w:fldChar w:fldCharType="end"/>
            </w:r>
          </w:hyperlink>
        </w:p>
        <w:p w:rsidR="005F21FC" w:rsidRPr="00BB65BB" w:rsidRDefault="002C4EC6" w:rsidP="00BB65BB">
          <w:pPr>
            <w:pStyle w:val="TOC1"/>
            <w:rPr>
              <w:rFonts w:ascii="Times New Roman" w:eastAsiaTheme="minorEastAsia" w:hAnsi="Times New Roman"/>
              <w:noProof/>
              <w:sz w:val="24"/>
            </w:rPr>
          </w:pPr>
          <w:hyperlink w:anchor="_Toc350950429" w:history="1">
            <w:r w:rsidR="005F21FC" w:rsidRPr="00BB65BB">
              <w:rPr>
                <w:rStyle w:val="Hyperlink"/>
                <w:rFonts w:ascii="Times New Roman" w:hAnsi="Times New Roman" w:cs="Times New Roman"/>
                <w:noProof/>
                <w:sz w:val="24"/>
                <w:szCs w:val="24"/>
              </w:rPr>
              <w:t>VI.</w:t>
            </w:r>
            <w:r w:rsidR="005F21FC" w:rsidRPr="00BB65BB">
              <w:rPr>
                <w:rFonts w:ascii="Times New Roman" w:eastAsiaTheme="minorEastAsia" w:hAnsi="Times New Roman"/>
                <w:noProof/>
                <w:sz w:val="24"/>
              </w:rPr>
              <w:tab/>
            </w:r>
            <w:r w:rsidR="005F21FC" w:rsidRPr="00BB65BB">
              <w:rPr>
                <w:rStyle w:val="Hyperlink"/>
                <w:rFonts w:ascii="Times New Roman" w:hAnsi="Times New Roman" w:cs="Times New Roman"/>
                <w:noProof/>
                <w:sz w:val="24"/>
                <w:szCs w:val="24"/>
              </w:rPr>
              <w:t>TRANSPORT/ACCESS CHARGES</w:t>
            </w:r>
            <w:r w:rsidR="005F21FC" w:rsidRPr="00BB65BB">
              <w:rPr>
                <w:rFonts w:ascii="Times New Roman" w:hAnsi="Times New Roman"/>
                <w:noProof/>
                <w:webHidden/>
                <w:sz w:val="24"/>
              </w:rPr>
              <w:tab/>
            </w:r>
            <w:r w:rsidRPr="00BB65BB">
              <w:rPr>
                <w:rFonts w:ascii="Times New Roman" w:hAnsi="Times New Roman"/>
                <w:noProof/>
                <w:webHidden/>
                <w:sz w:val="24"/>
              </w:rPr>
              <w:fldChar w:fldCharType="begin"/>
            </w:r>
            <w:r w:rsidR="005F21FC" w:rsidRPr="00BB65BB">
              <w:rPr>
                <w:rFonts w:ascii="Times New Roman" w:hAnsi="Times New Roman"/>
                <w:noProof/>
                <w:webHidden/>
                <w:sz w:val="24"/>
              </w:rPr>
              <w:instrText xml:space="preserve"> PAGEREF _Toc350950429 \h </w:instrText>
            </w:r>
            <w:r w:rsidRPr="00BB65BB">
              <w:rPr>
                <w:rFonts w:ascii="Times New Roman" w:hAnsi="Times New Roman"/>
                <w:noProof/>
                <w:webHidden/>
                <w:sz w:val="24"/>
              </w:rPr>
            </w:r>
            <w:r w:rsidRPr="00BB65BB">
              <w:rPr>
                <w:rFonts w:ascii="Times New Roman" w:hAnsi="Times New Roman"/>
                <w:noProof/>
                <w:webHidden/>
                <w:sz w:val="24"/>
              </w:rPr>
              <w:fldChar w:fldCharType="separate"/>
            </w:r>
            <w:r w:rsidR="00174178">
              <w:rPr>
                <w:rFonts w:ascii="Times New Roman" w:hAnsi="Times New Roman"/>
                <w:noProof/>
                <w:webHidden/>
                <w:sz w:val="24"/>
              </w:rPr>
              <w:t>17</w:t>
            </w:r>
            <w:r w:rsidRPr="00BB65BB">
              <w:rPr>
                <w:rFonts w:ascii="Times New Roman" w:hAnsi="Times New Roman"/>
                <w:noProof/>
                <w:webHidden/>
                <w:sz w:val="24"/>
              </w:rPr>
              <w:fldChar w:fldCharType="end"/>
            </w:r>
          </w:hyperlink>
        </w:p>
        <w:p w:rsidR="005F21FC" w:rsidRDefault="002C4EC6" w:rsidP="00BB65BB">
          <w:pPr>
            <w:pStyle w:val="TOC1"/>
            <w:rPr>
              <w:rFonts w:eastAsiaTheme="minorEastAsia"/>
              <w:noProof/>
            </w:rPr>
          </w:pPr>
          <w:hyperlink w:anchor="_Toc350950430" w:history="1">
            <w:r w:rsidR="005F21FC" w:rsidRPr="00BB65BB">
              <w:rPr>
                <w:rStyle w:val="Hyperlink"/>
                <w:rFonts w:ascii="Times New Roman" w:hAnsi="Times New Roman" w:cs="Times New Roman"/>
                <w:noProof/>
                <w:sz w:val="24"/>
                <w:szCs w:val="24"/>
              </w:rPr>
              <w:t>VII.</w:t>
            </w:r>
            <w:r w:rsidR="005F21FC" w:rsidRPr="00BB65BB">
              <w:rPr>
                <w:rFonts w:ascii="Times New Roman" w:eastAsiaTheme="minorEastAsia" w:hAnsi="Times New Roman"/>
                <w:noProof/>
                <w:sz w:val="24"/>
              </w:rPr>
              <w:tab/>
            </w:r>
            <w:r w:rsidR="005F21FC" w:rsidRPr="00BB65BB">
              <w:rPr>
                <w:rStyle w:val="Hyperlink"/>
                <w:rFonts w:ascii="Times New Roman" w:hAnsi="Times New Roman" w:cs="Times New Roman"/>
                <w:noProof/>
                <w:sz w:val="24"/>
                <w:szCs w:val="24"/>
              </w:rPr>
              <w:t>CONCLUSION</w:t>
            </w:r>
            <w:r w:rsidR="005F21FC" w:rsidRPr="00BB65BB">
              <w:rPr>
                <w:rFonts w:ascii="Times New Roman" w:hAnsi="Times New Roman"/>
                <w:noProof/>
                <w:webHidden/>
                <w:sz w:val="24"/>
              </w:rPr>
              <w:tab/>
            </w:r>
            <w:r w:rsidRPr="00BB65BB">
              <w:rPr>
                <w:rFonts w:ascii="Times New Roman" w:hAnsi="Times New Roman"/>
                <w:noProof/>
                <w:webHidden/>
                <w:sz w:val="24"/>
              </w:rPr>
              <w:fldChar w:fldCharType="begin"/>
            </w:r>
            <w:r w:rsidR="005F21FC" w:rsidRPr="00BB65BB">
              <w:rPr>
                <w:rFonts w:ascii="Times New Roman" w:hAnsi="Times New Roman"/>
                <w:noProof/>
                <w:webHidden/>
                <w:sz w:val="24"/>
              </w:rPr>
              <w:instrText xml:space="preserve"> PAGEREF _Toc350950430 \h </w:instrText>
            </w:r>
            <w:r w:rsidRPr="00BB65BB">
              <w:rPr>
                <w:rFonts w:ascii="Times New Roman" w:hAnsi="Times New Roman"/>
                <w:noProof/>
                <w:webHidden/>
                <w:sz w:val="24"/>
              </w:rPr>
            </w:r>
            <w:r w:rsidRPr="00BB65BB">
              <w:rPr>
                <w:rFonts w:ascii="Times New Roman" w:hAnsi="Times New Roman"/>
                <w:noProof/>
                <w:webHidden/>
                <w:sz w:val="24"/>
              </w:rPr>
              <w:fldChar w:fldCharType="separate"/>
            </w:r>
            <w:r w:rsidR="00174178">
              <w:rPr>
                <w:rFonts w:ascii="Times New Roman" w:hAnsi="Times New Roman"/>
                <w:noProof/>
                <w:webHidden/>
                <w:sz w:val="24"/>
              </w:rPr>
              <w:t>18</w:t>
            </w:r>
            <w:r w:rsidRPr="00BB65BB">
              <w:rPr>
                <w:rFonts w:ascii="Times New Roman" w:hAnsi="Times New Roman"/>
                <w:noProof/>
                <w:webHidden/>
                <w:sz w:val="24"/>
              </w:rPr>
              <w:fldChar w:fldCharType="end"/>
            </w:r>
          </w:hyperlink>
        </w:p>
        <w:p w:rsidR="002C616A" w:rsidRDefault="002C4EC6">
          <w:r w:rsidRPr="002C616A">
            <w:rPr>
              <w:rFonts w:ascii="Times New Roman" w:hAnsi="Times New Roman" w:cs="Times New Roman"/>
              <w:sz w:val="24"/>
              <w:szCs w:val="24"/>
            </w:rPr>
            <w:fldChar w:fldCharType="end"/>
          </w:r>
        </w:p>
      </w:sdtContent>
    </w:sdt>
    <w:p w:rsidR="00B4003E" w:rsidRDefault="00B4003E">
      <w:pPr>
        <w:pStyle w:val="TOAHeading"/>
        <w:tabs>
          <w:tab w:val="right" w:leader="dot" w:pos="9350"/>
        </w:tabs>
        <w:rPr>
          <w:rFonts w:cs="Times New Roman"/>
        </w:rPr>
        <w:sectPr w:rsidR="00B4003E" w:rsidSect="00F62337">
          <w:pgSz w:w="12240" w:h="15840"/>
          <w:pgMar w:top="1440" w:right="1440" w:bottom="1440" w:left="1440" w:header="720" w:footer="720" w:gutter="0"/>
          <w:cols w:space="720"/>
          <w:titlePg/>
          <w:docGrid w:linePitch="360"/>
        </w:sectPr>
      </w:pPr>
    </w:p>
    <w:p w:rsidR="008A5162" w:rsidRPr="008A5162" w:rsidRDefault="005F21FC">
      <w:pPr>
        <w:pStyle w:val="TOAHeading"/>
        <w:tabs>
          <w:tab w:val="right" w:leader="dot" w:pos="9350"/>
        </w:tabs>
        <w:rPr>
          <w:rFonts w:eastAsiaTheme="minorEastAsia" w:cs="Times New Roman"/>
          <w:b w:val="0"/>
          <w:bCs w:val="0"/>
          <w:noProof/>
        </w:rPr>
      </w:pPr>
      <w:r>
        <w:rPr>
          <w:rFonts w:cs="Times New Roman"/>
        </w:rPr>
        <w:lastRenderedPageBreak/>
        <w:t>TABLE OF AUTHORITIES</w:t>
      </w:r>
      <w:r w:rsidR="002C4EC6" w:rsidRPr="002C4EC6">
        <w:rPr>
          <w:rFonts w:cs="Times New Roman"/>
        </w:rPr>
        <w:fldChar w:fldCharType="begin"/>
      </w:r>
      <w:r w:rsidR="00870680">
        <w:rPr>
          <w:rFonts w:cs="Times New Roman"/>
        </w:rPr>
        <w:instrText xml:space="preserve"> TOA \h \c "1" \p </w:instrText>
      </w:r>
      <w:r w:rsidR="002C4EC6" w:rsidRPr="002C4EC6">
        <w:rPr>
          <w:rFonts w:cs="Times New Roman"/>
        </w:rPr>
        <w:fldChar w:fldCharType="separate"/>
      </w:r>
    </w:p>
    <w:p w:rsidR="008A5162" w:rsidRPr="008A5162" w:rsidRDefault="008A5162">
      <w:pPr>
        <w:pStyle w:val="TableofAuthorities"/>
        <w:tabs>
          <w:tab w:val="right" w:leader="dot" w:pos="9350"/>
        </w:tabs>
        <w:rPr>
          <w:rFonts w:ascii="Times New Roman" w:hAnsi="Times New Roman" w:cs="Times New Roman"/>
          <w:noProof/>
          <w:sz w:val="24"/>
          <w:szCs w:val="24"/>
        </w:rPr>
      </w:pPr>
      <w:r w:rsidRPr="008A5162">
        <w:rPr>
          <w:rFonts w:ascii="Times New Roman" w:hAnsi="Times New Roman" w:cs="Times New Roman"/>
          <w:bCs/>
          <w:i/>
          <w:iCs/>
          <w:noProof/>
          <w:sz w:val="24"/>
          <w:szCs w:val="24"/>
        </w:rPr>
        <w:t xml:space="preserve">AT&amp;T v. PAC-WEST  </w:t>
      </w:r>
      <w:r w:rsidRPr="008A5162">
        <w:rPr>
          <w:rFonts w:ascii="Times New Roman" w:hAnsi="Times New Roman" w:cs="Times New Roman"/>
          <w:bCs/>
          <w:iCs/>
          <w:noProof/>
          <w:sz w:val="24"/>
          <w:szCs w:val="24"/>
        </w:rPr>
        <w:t>651 F.3d 980</w:t>
      </w:r>
      <w:r w:rsidRPr="008A5162">
        <w:rPr>
          <w:rFonts w:ascii="Times New Roman" w:hAnsi="Times New Roman" w:cs="Times New Roman"/>
          <w:noProof/>
          <w:sz w:val="24"/>
          <w:szCs w:val="24"/>
        </w:rPr>
        <w:t>, 991 (9</w:t>
      </w:r>
      <w:r w:rsidRPr="008A5162">
        <w:rPr>
          <w:rFonts w:ascii="Times New Roman" w:hAnsi="Times New Roman" w:cs="Times New Roman"/>
          <w:noProof/>
          <w:sz w:val="24"/>
          <w:szCs w:val="24"/>
          <w:vertAlign w:val="superscript"/>
        </w:rPr>
        <w:t>th</w:t>
      </w:r>
      <w:r w:rsidRPr="008A5162">
        <w:rPr>
          <w:rFonts w:ascii="Times New Roman" w:hAnsi="Times New Roman" w:cs="Times New Roman"/>
          <w:noProof/>
          <w:sz w:val="24"/>
          <w:szCs w:val="24"/>
        </w:rPr>
        <w:t xml:space="preserve"> Ci</w:t>
      </w:r>
      <w:r>
        <w:rPr>
          <w:rFonts w:ascii="Times New Roman" w:hAnsi="Times New Roman" w:cs="Times New Roman"/>
          <w:noProof/>
          <w:sz w:val="24"/>
          <w:szCs w:val="24"/>
        </w:rPr>
        <w:t>r. 2011)</w:t>
      </w:r>
      <w:r w:rsidR="00E17546">
        <w:rPr>
          <w:rFonts w:ascii="Times New Roman" w:hAnsi="Times New Roman" w:cs="Times New Roman"/>
          <w:noProof/>
          <w:sz w:val="24"/>
          <w:szCs w:val="24"/>
        </w:rPr>
        <w:t>.</w:t>
      </w:r>
      <w:r w:rsidR="00E17546">
        <w:rPr>
          <w:rFonts w:ascii="Times New Roman" w:hAnsi="Times New Roman" w:cs="Times New Roman"/>
          <w:noProof/>
          <w:sz w:val="24"/>
          <w:szCs w:val="24"/>
        </w:rPr>
        <w:tab/>
        <w:t>9</w:t>
      </w:r>
    </w:p>
    <w:p w:rsidR="008A5162" w:rsidRPr="008A5162" w:rsidRDefault="008A5162">
      <w:pPr>
        <w:pStyle w:val="TableofAuthorities"/>
        <w:tabs>
          <w:tab w:val="right" w:leader="dot" w:pos="9350"/>
        </w:tabs>
        <w:rPr>
          <w:rFonts w:ascii="Times New Roman" w:hAnsi="Times New Roman" w:cs="Times New Roman"/>
          <w:noProof/>
          <w:sz w:val="24"/>
          <w:szCs w:val="24"/>
        </w:rPr>
      </w:pPr>
      <w:r w:rsidRPr="008A5162">
        <w:rPr>
          <w:rFonts w:ascii="Times New Roman" w:hAnsi="Times New Roman" w:cs="Times New Roman"/>
          <w:i/>
          <w:noProof/>
          <w:sz w:val="24"/>
          <w:szCs w:val="24"/>
        </w:rPr>
        <w:t>Forbes v. American Building Maintenance Company West</w:t>
      </w:r>
      <w:r w:rsidR="00CB6933">
        <w:rPr>
          <w:rFonts w:ascii="Times New Roman" w:hAnsi="Times New Roman" w:cs="Times New Roman"/>
          <w:noProof/>
          <w:sz w:val="24"/>
          <w:szCs w:val="24"/>
        </w:rPr>
        <w:t>, 170 Wn.2d 157, 166-168</w:t>
      </w:r>
      <w:r w:rsidR="00356702">
        <w:rPr>
          <w:rFonts w:ascii="Times New Roman" w:hAnsi="Times New Roman" w:cs="Times New Roman"/>
          <w:noProof/>
          <w:sz w:val="24"/>
          <w:szCs w:val="24"/>
        </w:rPr>
        <w:t xml:space="preserve"> (2010)</w:t>
      </w:r>
      <w:r w:rsidRPr="008A5162">
        <w:rPr>
          <w:rFonts w:ascii="Times New Roman" w:hAnsi="Times New Roman" w:cs="Times New Roman"/>
          <w:noProof/>
          <w:sz w:val="24"/>
          <w:szCs w:val="24"/>
        </w:rPr>
        <w:tab/>
        <w:t>16</w:t>
      </w:r>
    </w:p>
    <w:p w:rsidR="008A5162" w:rsidRPr="008A5162" w:rsidRDefault="008A5162">
      <w:pPr>
        <w:pStyle w:val="TableofAuthorities"/>
        <w:tabs>
          <w:tab w:val="right" w:leader="dot" w:pos="9350"/>
        </w:tabs>
        <w:rPr>
          <w:rFonts w:ascii="Times New Roman" w:hAnsi="Times New Roman" w:cs="Times New Roman"/>
          <w:noProof/>
          <w:sz w:val="24"/>
          <w:szCs w:val="24"/>
        </w:rPr>
      </w:pPr>
      <w:r w:rsidRPr="008A5162">
        <w:rPr>
          <w:rFonts w:ascii="Times New Roman" w:hAnsi="Times New Roman" w:cs="Times New Roman"/>
          <w:i/>
          <w:noProof/>
          <w:sz w:val="24"/>
          <w:szCs w:val="24"/>
        </w:rPr>
        <w:t>Humphrey Industries, LTD v. Clay Street Associates, et al.</w:t>
      </w:r>
      <w:r w:rsidRPr="008A5162">
        <w:rPr>
          <w:rFonts w:ascii="Times New Roman" w:hAnsi="Times New Roman" w:cs="Times New Roman"/>
          <w:noProof/>
          <w:sz w:val="24"/>
          <w:szCs w:val="24"/>
        </w:rPr>
        <w:t>, 2013 Wash. LEXIS 141, *12-*</w:t>
      </w:r>
      <w:r w:rsidR="00201268">
        <w:rPr>
          <w:rFonts w:ascii="Times New Roman" w:hAnsi="Times New Roman" w:cs="Times New Roman"/>
          <w:noProof/>
          <w:sz w:val="24"/>
          <w:szCs w:val="24"/>
        </w:rPr>
        <w:t>16 (Wash. Supreme Ct., 2013)</w:t>
      </w:r>
      <w:r w:rsidR="0029515C">
        <w:rPr>
          <w:rFonts w:ascii="Times New Roman" w:hAnsi="Times New Roman" w:cs="Times New Roman"/>
          <w:noProof/>
          <w:sz w:val="24"/>
          <w:szCs w:val="24"/>
        </w:rPr>
        <w:t>;</w:t>
      </w:r>
      <w:r w:rsidR="0029515C">
        <w:rPr>
          <w:rFonts w:ascii="Times New Roman" w:hAnsi="Times New Roman" w:cs="Times New Roman"/>
          <w:noProof/>
          <w:sz w:val="24"/>
          <w:szCs w:val="24"/>
        </w:rPr>
        <w:tab/>
        <w:t>15, 16</w:t>
      </w:r>
    </w:p>
    <w:p w:rsidR="008A5162" w:rsidRPr="008A5162" w:rsidRDefault="008A5162">
      <w:pPr>
        <w:pStyle w:val="TableofAuthorities"/>
        <w:tabs>
          <w:tab w:val="right" w:leader="dot" w:pos="9350"/>
        </w:tabs>
        <w:rPr>
          <w:rFonts w:ascii="Times New Roman" w:hAnsi="Times New Roman" w:cs="Times New Roman"/>
          <w:noProof/>
          <w:sz w:val="24"/>
          <w:szCs w:val="24"/>
        </w:rPr>
      </w:pPr>
      <w:r w:rsidRPr="008A5162">
        <w:rPr>
          <w:rFonts w:ascii="Times New Roman" w:hAnsi="Times New Roman" w:cs="Times New Roman"/>
          <w:i/>
          <w:noProof/>
          <w:sz w:val="24"/>
          <w:szCs w:val="24"/>
        </w:rPr>
        <w:t>In the Matter of Implementation of the Local Competition Provisions of the Telecommunications Act of 1996; Intercarrier Compensation for ISP-Bound Traffic</w:t>
      </w:r>
      <w:r w:rsidRPr="008A5162">
        <w:rPr>
          <w:rFonts w:ascii="Times New Roman" w:hAnsi="Times New Roman" w:cs="Times New Roman"/>
          <w:noProof/>
          <w:sz w:val="24"/>
          <w:szCs w:val="24"/>
        </w:rPr>
        <w:t>, 16 FCC</w:t>
      </w:r>
      <w:r>
        <w:rPr>
          <w:rFonts w:ascii="Times New Roman" w:hAnsi="Times New Roman" w:cs="Times New Roman"/>
          <w:noProof/>
          <w:sz w:val="24"/>
          <w:szCs w:val="24"/>
        </w:rPr>
        <w:t xml:space="preserve"> Rcd 9151 (FCC April 27, 2001)</w:t>
      </w:r>
      <w:r w:rsidRPr="008A5162">
        <w:rPr>
          <w:rFonts w:ascii="Times New Roman" w:hAnsi="Times New Roman" w:cs="Times New Roman"/>
          <w:noProof/>
          <w:sz w:val="24"/>
          <w:szCs w:val="24"/>
        </w:rPr>
        <w:t>.</w:t>
      </w:r>
      <w:r w:rsidRPr="008A5162">
        <w:rPr>
          <w:rFonts w:ascii="Times New Roman" w:hAnsi="Times New Roman" w:cs="Times New Roman"/>
          <w:noProof/>
          <w:sz w:val="24"/>
          <w:szCs w:val="24"/>
        </w:rPr>
        <w:tab/>
        <w:t>1</w:t>
      </w:r>
    </w:p>
    <w:p w:rsidR="00AD3B34" w:rsidRPr="008A5162" w:rsidRDefault="00AD3B34" w:rsidP="00AD3B34">
      <w:pPr>
        <w:pStyle w:val="TableofAuthorities"/>
        <w:tabs>
          <w:tab w:val="right" w:leader="dot" w:pos="9350"/>
        </w:tabs>
        <w:rPr>
          <w:rFonts w:ascii="Times New Roman" w:hAnsi="Times New Roman" w:cs="Times New Roman"/>
          <w:noProof/>
          <w:sz w:val="24"/>
          <w:szCs w:val="24"/>
        </w:rPr>
      </w:pPr>
      <w:r w:rsidRPr="008A5162">
        <w:rPr>
          <w:rFonts w:ascii="Times New Roman" w:hAnsi="Times New Roman" w:cs="Times New Roman"/>
          <w:i/>
          <w:noProof/>
          <w:sz w:val="24"/>
          <w:szCs w:val="24"/>
        </w:rPr>
        <w:t xml:space="preserve">Level 3 Communications, LLC v. Qwest Corporation, </w:t>
      </w:r>
      <w:r w:rsidRPr="008A5162">
        <w:rPr>
          <w:rFonts w:ascii="Times New Roman" w:hAnsi="Times New Roman" w:cs="Times New Roman"/>
          <w:noProof/>
          <w:sz w:val="24"/>
          <w:szCs w:val="24"/>
        </w:rPr>
        <w:t>Docket UT-053039, Order No. 5 (February 9, 2006).</w:t>
      </w:r>
      <w:r w:rsidRPr="008A5162">
        <w:rPr>
          <w:rFonts w:ascii="Times New Roman" w:hAnsi="Times New Roman" w:cs="Times New Roman"/>
          <w:noProof/>
          <w:sz w:val="24"/>
          <w:szCs w:val="24"/>
        </w:rPr>
        <w:tab/>
        <w:t>7</w:t>
      </w:r>
    </w:p>
    <w:p w:rsidR="008A5162" w:rsidRPr="008A5162" w:rsidRDefault="008A5162">
      <w:pPr>
        <w:pStyle w:val="TableofAuthorities"/>
        <w:tabs>
          <w:tab w:val="right" w:leader="dot" w:pos="9350"/>
        </w:tabs>
        <w:rPr>
          <w:rFonts w:ascii="Times New Roman" w:hAnsi="Times New Roman" w:cs="Times New Roman"/>
          <w:noProof/>
          <w:sz w:val="24"/>
          <w:szCs w:val="24"/>
        </w:rPr>
      </w:pPr>
      <w:r>
        <w:rPr>
          <w:rFonts w:ascii="Times New Roman" w:hAnsi="Times New Roman" w:cs="Times New Roman"/>
          <w:i/>
          <w:noProof/>
          <w:sz w:val="24"/>
          <w:szCs w:val="24"/>
        </w:rPr>
        <w:t>Qwest Corporation v. Level 3 Communications</w:t>
      </w:r>
      <w:r w:rsidRPr="008A5162">
        <w:rPr>
          <w:rFonts w:ascii="Times New Roman" w:hAnsi="Times New Roman" w:cs="Times New Roman"/>
          <w:i/>
          <w:noProof/>
          <w:sz w:val="24"/>
          <w:szCs w:val="24"/>
        </w:rPr>
        <w:t xml:space="preserve">, LLC,; </w:t>
      </w:r>
      <w:r w:rsidRPr="008A5162">
        <w:rPr>
          <w:rFonts w:ascii="Times New Roman" w:hAnsi="Times New Roman" w:cs="Times New Roman"/>
          <w:noProof/>
          <w:sz w:val="24"/>
          <w:szCs w:val="24"/>
        </w:rPr>
        <w:t>Order 10,</w:t>
      </w:r>
      <w:r w:rsidRPr="008A5162">
        <w:rPr>
          <w:rFonts w:ascii="Times New Roman" w:hAnsi="Times New Roman" w:cs="Times New Roman"/>
          <w:i/>
          <w:noProof/>
          <w:sz w:val="24"/>
          <w:szCs w:val="24"/>
        </w:rPr>
        <w:t xml:space="preserve"> </w:t>
      </w:r>
      <w:r w:rsidRPr="008A5162">
        <w:rPr>
          <w:rFonts w:ascii="Times New Roman" w:hAnsi="Times New Roman" w:cs="Times New Roman"/>
          <w:noProof/>
          <w:sz w:val="24"/>
          <w:szCs w:val="24"/>
        </w:rPr>
        <w:t>Docket UT-</w:t>
      </w:r>
      <w:r w:rsidR="00AD3B34">
        <w:rPr>
          <w:rFonts w:ascii="Times New Roman" w:hAnsi="Times New Roman" w:cs="Times New Roman"/>
          <w:noProof/>
          <w:sz w:val="24"/>
          <w:szCs w:val="24"/>
        </w:rPr>
        <w:t>0</w:t>
      </w:r>
      <w:r w:rsidRPr="008A5162">
        <w:rPr>
          <w:rFonts w:ascii="Times New Roman" w:hAnsi="Times New Roman" w:cs="Times New Roman"/>
          <w:noProof/>
          <w:sz w:val="24"/>
          <w:szCs w:val="24"/>
        </w:rPr>
        <w:t>6</w:t>
      </w:r>
      <w:r>
        <w:rPr>
          <w:rFonts w:ascii="Times New Roman" w:hAnsi="Times New Roman" w:cs="Times New Roman"/>
          <w:noProof/>
          <w:sz w:val="24"/>
          <w:szCs w:val="24"/>
        </w:rPr>
        <w:t>3038; Order 3, Docket UT-063055</w:t>
      </w:r>
      <w:r w:rsidR="00356702">
        <w:rPr>
          <w:rFonts w:ascii="Times New Roman" w:hAnsi="Times New Roman" w:cs="Times New Roman"/>
          <w:noProof/>
          <w:sz w:val="24"/>
          <w:szCs w:val="24"/>
        </w:rPr>
        <w:t xml:space="preserve"> (July 16, 2008)</w:t>
      </w:r>
      <w:r w:rsidR="00911BD5">
        <w:rPr>
          <w:rFonts w:ascii="Times New Roman" w:hAnsi="Times New Roman" w:cs="Times New Roman"/>
          <w:noProof/>
          <w:sz w:val="24"/>
          <w:szCs w:val="24"/>
        </w:rPr>
        <w:t>.</w:t>
      </w:r>
      <w:r w:rsidR="00911BD5">
        <w:rPr>
          <w:rFonts w:ascii="Times New Roman" w:hAnsi="Times New Roman" w:cs="Times New Roman"/>
          <w:noProof/>
          <w:sz w:val="24"/>
          <w:szCs w:val="24"/>
        </w:rPr>
        <w:tab/>
        <w:t>5</w:t>
      </w:r>
      <w:r w:rsidR="0029515C">
        <w:rPr>
          <w:rFonts w:ascii="Times New Roman" w:hAnsi="Times New Roman" w:cs="Times New Roman"/>
          <w:noProof/>
          <w:sz w:val="24"/>
          <w:szCs w:val="24"/>
        </w:rPr>
        <w:t>, 10</w:t>
      </w:r>
    </w:p>
    <w:p w:rsidR="008A4E23" w:rsidRPr="008A4E23" w:rsidRDefault="008A4E23">
      <w:pPr>
        <w:pStyle w:val="TableofAuthorities"/>
        <w:tabs>
          <w:tab w:val="right" w:leader="dot" w:pos="9350"/>
        </w:tabs>
        <w:rPr>
          <w:rFonts w:ascii="Times New Roman" w:hAnsi="Times New Roman" w:cs="Times New Roman"/>
          <w:i/>
          <w:noProof/>
          <w:sz w:val="24"/>
          <w:szCs w:val="24"/>
        </w:rPr>
      </w:pPr>
      <w:r w:rsidRPr="008A4E23">
        <w:rPr>
          <w:rFonts w:ascii="Times New Roman" w:hAnsi="Times New Roman" w:cs="Times New Roman"/>
          <w:i/>
          <w:sz w:val="24"/>
          <w:szCs w:val="24"/>
        </w:rPr>
        <w:t>Qwest Corporation v. Washington State Utilities and Transportation Commission</w:t>
      </w:r>
      <w:r w:rsidRPr="008A4E23">
        <w:rPr>
          <w:rFonts w:ascii="Times New Roman" w:hAnsi="Times New Roman" w:cs="Times New Roman"/>
          <w:sz w:val="24"/>
          <w:szCs w:val="24"/>
        </w:rPr>
        <w:t>, 484 F.Supp.2d 1160, 1177 (W.D. Wash. 2007)</w:t>
      </w:r>
      <w:r w:rsidR="00911BD5">
        <w:rPr>
          <w:rFonts w:ascii="Times New Roman" w:hAnsi="Times New Roman" w:cs="Times New Roman"/>
          <w:noProof/>
          <w:sz w:val="24"/>
          <w:szCs w:val="24"/>
        </w:rPr>
        <w:t>.</w:t>
      </w:r>
      <w:r w:rsidR="00911BD5">
        <w:rPr>
          <w:rFonts w:ascii="Times New Roman" w:hAnsi="Times New Roman" w:cs="Times New Roman"/>
          <w:noProof/>
          <w:sz w:val="24"/>
          <w:szCs w:val="24"/>
        </w:rPr>
        <w:tab/>
        <w:t>1, 2</w:t>
      </w:r>
      <w:r w:rsidR="00B4240E">
        <w:rPr>
          <w:rFonts w:ascii="Times New Roman" w:hAnsi="Times New Roman" w:cs="Times New Roman"/>
          <w:noProof/>
          <w:sz w:val="24"/>
          <w:szCs w:val="24"/>
        </w:rPr>
        <w:t>, 7</w:t>
      </w:r>
    </w:p>
    <w:p w:rsidR="008A5162" w:rsidRDefault="008A5162">
      <w:pPr>
        <w:pStyle w:val="TableofAuthorities"/>
        <w:tabs>
          <w:tab w:val="right" w:leader="dot" w:pos="9350"/>
        </w:tabs>
        <w:rPr>
          <w:rFonts w:ascii="Times New Roman" w:hAnsi="Times New Roman" w:cs="Times New Roman"/>
          <w:noProof/>
          <w:sz w:val="24"/>
          <w:szCs w:val="24"/>
        </w:rPr>
      </w:pPr>
      <w:r w:rsidRPr="008A5162">
        <w:rPr>
          <w:rFonts w:ascii="Times New Roman" w:hAnsi="Times New Roman" w:cs="Times New Roman"/>
          <w:i/>
          <w:noProof/>
          <w:sz w:val="24"/>
          <w:szCs w:val="24"/>
        </w:rPr>
        <w:t>Scoccolo Construction, Inc. v. The City of Renton</w:t>
      </w:r>
      <w:r w:rsidRPr="008A5162">
        <w:rPr>
          <w:rFonts w:ascii="Times New Roman" w:hAnsi="Times New Roman" w:cs="Times New Roman"/>
          <w:noProof/>
          <w:sz w:val="24"/>
          <w:szCs w:val="24"/>
        </w:rPr>
        <w:t>, 158 Wn.2d 506, 51</w:t>
      </w:r>
      <w:r>
        <w:rPr>
          <w:rFonts w:ascii="Times New Roman" w:hAnsi="Times New Roman" w:cs="Times New Roman"/>
          <w:noProof/>
          <w:sz w:val="24"/>
          <w:szCs w:val="24"/>
        </w:rPr>
        <w:t>9-520</w:t>
      </w:r>
      <w:r w:rsidR="00356702">
        <w:rPr>
          <w:rFonts w:ascii="Times New Roman" w:hAnsi="Times New Roman" w:cs="Times New Roman"/>
          <w:noProof/>
          <w:sz w:val="24"/>
          <w:szCs w:val="24"/>
        </w:rPr>
        <w:t xml:space="preserve"> (2006)</w:t>
      </w:r>
      <w:r w:rsidR="0056102E">
        <w:rPr>
          <w:rFonts w:ascii="Times New Roman" w:hAnsi="Times New Roman" w:cs="Times New Roman"/>
          <w:noProof/>
          <w:sz w:val="24"/>
          <w:szCs w:val="24"/>
        </w:rPr>
        <w:t>.</w:t>
      </w:r>
      <w:r w:rsidR="0056102E">
        <w:rPr>
          <w:rFonts w:ascii="Times New Roman" w:hAnsi="Times New Roman" w:cs="Times New Roman"/>
          <w:noProof/>
          <w:sz w:val="24"/>
          <w:szCs w:val="24"/>
        </w:rPr>
        <w:tab/>
        <w:t>15</w:t>
      </w:r>
    </w:p>
    <w:p w:rsidR="00CB6933" w:rsidRPr="008A5162" w:rsidRDefault="00CB6933" w:rsidP="00CB6933">
      <w:pPr>
        <w:pStyle w:val="TableofAuthorities"/>
        <w:tabs>
          <w:tab w:val="right" w:leader="dot" w:pos="9350"/>
        </w:tabs>
        <w:rPr>
          <w:rFonts w:ascii="Times New Roman" w:hAnsi="Times New Roman" w:cs="Times New Roman"/>
          <w:noProof/>
          <w:sz w:val="24"/>
          <w:szCs w:val="24"/>
        </w:rPr>
      </w:pPr>
      <w:r w:rsidRPr="008A5162">
        <w:rPr>
          <w:rFonts w:ascii="Times New Roman" w:hAnsi="Times New Roman" w:cs="Times New Roman"/>
          <w:i/>
          <w:noProof/>
          <w:sz w:val="24"/>
          <w:szCs w:val="24"/>
        </w:rPr>
        <w:t>Stevens v. Brink’s Home Security, Inc.</w:t>
      </w:r>
      <w:r w:rsidRPr="008A5162">
        <w:rPr>
          <w:rFonts w:ascii="Times New Roman" w:hAnsi="Times New Roman" w:cs="Times New Roman"/>
          <w:noProof/>
          <w:sz w:val="24"/>
          <w:szCs w:val="24"/>
        </w:rPr>
        <w:t>, 162 Wn.2d 42,</w:t>
      </w:r>
      <w:r w:rsidR="00EF1A63">
        <w:rPr>
          <w:rFonts w:ascii="Times New Roman" w:hAnsi="Times New Roman" w:cs="Times New Roman"/>
          <w:noProof/>
          <w:sz w:val="24"/>
          <w:szCs w:val="24"/>
        </w:rPr>
        <w:t xml:space="preserve"> 50-52</w:t>
      </w:r>
      <w:r w:rsidR="00356702">
        <w:rPr>
          <w:rFonts w:ascii="Times New Roman" w:hAnsi="Times New Roman" w:cs="Times New Roman"/>
          <w:noProof/>
          <w:sz w:val="24"/>
          <w:szCs w:val="24"/>
        </w:rPr>
        <w:t xml:space="preserve"> (2007)</w:t>
      </w:r>
      <w:r>
        <w:rPr>
          <w:rFonts w:ascii="Times New Roman" w:hAnsi="Times New Roman" w:cs="Times New Roman"/>
          <w:noProof/>
          <w:sz w:val="24"/>
          <w:szCs w:val="24"/>
        </w:rPr>
        <w:t>.</w:t>
      </w:r>
      <w:r>
        <w:rPr>
          <w:rFonts w:ascii="Times New Roman" w:hAnsi="Times New Roman" w:cs="Times New Roman"/>
          <w:noProof/>
          <w:sz w:val="24"/>
          <w:szCs w:val="24"/>
        </w:rPr>
        <w:tab/>
        <w:t>15</w:t>
      </w:r>
    </w:p>
    <w:p w:rsidR="0020799B" w:rsidRPr="008A5162" w:rsidRDefault="0020799B" w:rsidP="0020799B">
      <w:pPr>
        <w:pStyle w:val="TableofAuthorities"/>
        <w:tabs>
          <w:tab w:val="right" w:leader="dot" w:pos="9350"/>
        </w:tabs>
        <w:rPr>
          <w:rFonts w:ascii="Times New Roman" w:hAnsi="Times New Roman" w:cs="Times New Roman"/>
          <w:noProof/>
          <w:sz w:val="24"/>
          <w:szCs w:val="24"/>
        </w:rPr>
      </w:pPr>
      <w:r w:rsidRPr="008A5162">
        <w:rPr>
          <w:rFonts w:ascii="Times New Roman" w:hAnsi="Times New Roman" w:cs="Times New Roman"/>
          <w:noProof/>
          <w:sz w:val="24"/>
          <w:szCs w:val="24"/>
        </w:rPr>
        <w:t>47 U.S.C. §251(b)(5).</w:t>
      </w:r>
      <w:r w:rsidRPr="008A5162">
        <w:rPr>
          <w:rFonts w:ascii="Times New Roman" w:hAnsi="Times New Roman" w:cs="Times New Roman"/>
          <w:noProof/>
          <w:sz w:val="24"/>
          <w:szCs w:val="24"/>
        </w:rPr>
        <w:tab/>
        <w:t>6</w:t>
      </w:r>
    </w:p>
    <w:p w:rsidR="00CB6933" w:rsidRDefault="00201268" w:rsidP="008A5162">
      <w:pPr>
        <w:pStyle w:val="TableofAuthorities"/>
        <w:tabs>
          <w:tab w:val="right" w:leader="dot" w:pos="9350"/>
        </w:tabs>
        <w:rPr>
          <w:rFonts w:ascii="Times New Roman" w:hAnsi="Times New Roman" w:cs="Times New Roman"/>
          <w:noProof/>
          <w:sz w:val="24"/>
          <w:szCs w:val="24"/>
        </w:rPr>
      </w:pPr>
      <w:r>
        <w:rPr>
          <w:rFonts w:ascii="Times New Roman" w:hAnsi="Times New Roman" w:cs="Times New Roman"/>
          <w:noProof/>
          <w:sz w:val="24"/>
          <w:szCs w:val="24"/>
        </w:rPr>
        <w:t xml:space="preserve">RCW </w:t>
      </w:r>
      <w:r w:rsidR="00CB6933">
        <w:rPr>
          <w:rFonts w:ascii="Times New Roman" w:hAnsi="Times New Roman" w:cs="Times New Roman"/>
          <w:noProof/>
          <w:sz w:val="24"/>
          <w:szCs w:val="24"/>
        </w:rPr>
        <w:t>4.56.110(4)</w:t>
      </w:r>
      <w:r w:rsidR="00CB6933" w:rsidRPr="00CB6933">
        <w:rPr>
          <w:rFonts w:ascii="Times New Roman" w:hAnsi="Times New Roman" w:cs="Times New Roman"/>
          <w:noProof/>
          <w:sz w:val="24"/>
          <w:szCs w:val="24"/>
        </w:rPr>
        <w:t xml:space="preserve"> </w:t>
      </w:r>
      <w:r w:rsidR="00CB6933">
        <w:rPr>
          <w:rFonts w:ascii="Times New Roman" w:hAnsi="Times New Roman" w:cs="Times New Roman"/>
          <w:noProof/>
          <w:sz w:val="24"/>
          <w:szCs w:val="24"/>
        </w:rPr>
        <w:tab/>
        <w:t>15</w:t>
      </w:r>
    </w:p>
    <w:p w:rsidR="00CB6933" w:rsidRDefault="00CB6933" w:rsidP="008A5162">
      <w:pPr>
        <w:pStyle w:val="TableofAuthorities"/>
        <w:tabs>
          <w:tab w:val="right" w:leader="dot" w:pos="9350"/>
        </w:tabs>
        <w:rPr>
          <w:rFonts w:ascii="Times New Roman" w:hAnsi="Times New Roman" w:cs="Times New Roman"/>
          <w:noProof/>
          <w:sz w:val="24"/>
          <w:szCs w:val="24"/>
        </w:rPr>
      </w:pPr>
      <w:r>
        <w:rPr>
          <w:rFonts w:ascii="Times New Roman" w:hAnsi="Times New Roman" w:cs="Times New Roman"/>
          <w:noProof/>
          <w:sz w:val="24"/>
          <w:szCs w:val="24"/>
        </w:rPr>
        <w:t>RCW §19.52.020(1)</w:t>
      </w:r>
      <w:r w:rsidRPr="00CB6933">
        <w:rPr>
          <w:rFonts w:ascii="Times New Roman" w:hAnsi="Times New Roman" w:cs="Times New Roman"/>
          <w:noProof/>
          <w:sz w:val="24"/>
          <w:szCs w:val="24"/>
        </w:rPr>
        <w:t xml:space="preserve"> </w:t>
      </w:r>
      <w:r>
        <w:rPr>
          <w:rFonts w:ascii="Times New Roman" w:hAnsi="Times New Roman" w:cs="Times New Roman"/>
          <w:noProof/>
          <w:sz w:val="24"/>
          <w:szCs w:val="24"/>
        </w:rPr>
        <w:tab/>
        <w:t>15</w:t>
      </w:r>
    </w:p>
    <w:p w:rsidR="008A5162" w:rsidRPr="008A5162" w:rsidRDefault="008A5162" w:rsidP="008A5162">
      <w:pPr>
        <w:pStyle w:val="TableofAuthorities"/>
        <w:tabs>
          <w:tab w:val="right" w:leader="dot" w:pos="9350"/>
        </w:tabs>
        <w:rPr>
          <w:rFonts w:ascii="Times New Roman" w:hAnsi="Times New Roman" w:cs="Times New Roman"/>
          <w:noProof/>
          <w:sz w:val="24"/>
          <w:szCs w:val="24"/>
        </w:rPr>
      </w:pPr>
      <w:r w:rsidRPr="008A5162">
        <w:rPr>
          <w:rFonts w:ascii="Times New Roman" w:hAnsi="Times New Roman" w:cs="Times New Roman"/>
          <w:noProof/>
          <w:sz w:val="24"/>
          <w:szCs w:val="24"/>
        </w:rPr>
        <w:t>RCW 80.36.200.</w:t>
      </w:r>
      <w:r w:rsidRPr="008A5162">
        <w:rPr>
          <w:rFonts w:ascii="Times New Roman" w:hAnsi="Times New Roman" w:cs="Times New Roman"/>
          <w:noProof/>
          <w:sz w:val="24"/>
          <w:szCs w:val="24"/>
        </w:rPr>
        <w:tab/>
        <w:t>3</w:t>
      </w:r>
    </w:p>
    <w:p w:rsidR="008A5162" w:rsidRPr="008A5162" w:rsidRDefault="008A5162" w:rsidP="008A5162"/>
    <w:p w:rsidR="00563568" w:rsidRDefault="002C4EC6" w:rsidP="006D54C7">
      <w:pPr>
        <w:rPr>
          <w:rFonts w:ascii="Times New Roman" w:hAnsi="Times New Roman" w:cs="Times New Roman"/>
          <w:sz w:val="24"/>
          <w:szCs w:val="24"/>
        </w:rPr>
        <w:sectPr w:rsidR="00563568" w:rsidSect="00F62337">
          <w:pgSz w:w="12240" w:h="15840"/>
          <w:pgMar w:top="1440" w:right="1440" w:bottom="1440" w:left="1440" w:header="720" w:footer="720" w:gutter="0"/>
          <w:cols w:space="720"/>
          <w:titlePg/>
          <w:docGrid w:linePitch="360"/>
        </w:sectPr>
      </w:pPr>
      <w:r>
        <w:rPr>
          <w:rFonts w:ascii="Times New Roman" w:hAnsi="Times New Roman" w:cs="Times New Roman"/>
          <w:sz w:val="24"/>
          <w:szCs w:val="24"/>
        </w:rPr>
        <w:fldChar w:fldCharType="end"/>
      </w:r>
    </w:p>
    <w:p w:rsidR="004141EE" w:rsidRPr="008B4F27" w:rsidRDefault="004141EE" w:rsidP="006D54C7">
      <w:pPr>
        <w:rPr>
          <w:rFonts w:ascii="Times New Roman" w:hAnsi="Times New Roman" w:cs="Times New Roman"/>
          <w:sz w:val="24"/>
          <w:szCs w:val="24"/>
        </w:rPr>
      </w:pPr>
    </w:p>
    <w:p w:rsidR="00D20098" w:rsidRPr="0076035E" w:rsidRDefault="00D20098" w:rsidP="00BD2D97">
      <w:pPr>
        <w:pStyle w:val="Heading1"/>
        <w:numPr>
          <w:ilvl w:val="0"/>
          <w:numId w:val="7"/>
        </w:numPr>
        <w:spacing w:before="0"/>
        <w:jc w:val="center"/>
        <w:rPr>
          <w:rFonts w:ascii="Times New Roman" w:hAnsi="Times New Roman" w:cs="Times New Roman"/>
          <w:color w:val="000000" w:themeColor="text1"/>
          <w:sz w:val="24"/>
          <w:szCs w:val="24"/>
        </w:rPr>
      </w:pPr>
      <w:bookmarkStart w:id="0" w:name="_Toc350950420"/>
      <w:r w:rsidRPr="0076035E">
        <w:rPr>
          <w:rFonts w:ascii="Times New Roman" w:hAnsi="Times New Roman" w:cs="Times New Roman"/>
          <w:color w:val="000000" w:themeColor="text1"/>
          <w:sz w:val="24"/>
          <w:szCs w:val="24"/>
        </w:rPr>
        <w:t>INTRODUCTION</w:t>
      </w:r>
      <w:bookmarkEnd w:id="0"/>
    </w:p>
    <w:p w:rsidR="00471064" w:rsidRDefault="006D5437" w:rsidP="00944E33">
      <w:pPr>
        <w:pStyle w:val="AutoNumBodyCharCharCharChar"/>
      </w:pPr>
      <w:r>
        <w:t>Qwest Corporation (</w:t>
      </w:r>
      <w:r w:rsidR="00D96D42">
        <w:t>“</w:t>
      </w:r>
      <w:r>
        <w:t>Qwest</w:t>
      </w:r>
      <w:r w:rsidR="00D96D42">
        <w:t>”</w:t>
      </w:r>
      <w:r>
        <w:t>)</w:t>
      </w:r>
      <w:r>
        <w:rPr>
          <w:rStyle w:val="FootnoteReference"/>
        </w:rPr>
        <w:footnoteReference w:id="1"/>
      </w:r>
      <w:r w:rsidR="00471064">
        <w:t xml:space="preserve"> hereby submits its opening post-hearing brief in this matter.  The issues that remain to be decided are quite limited, and relate to the nature and amount of traffic </w:t>
      </w:r>
      <w:r w:rsidR="00096B1E">
        <w:t xml:space="preserve">originated by Qwest and terminated </w:t>
      </w:r>
      <w:r w:rsidR="00471064">
        <w:t>to Pac-West’s ISP customers during the time 2004-2009</w:t>
      </w:r>
      <w:r w:rsidR="00D96D42">
        <w:t xml:space="preserve">, the amount of compensation to be refunded to Qwest, </w:t>
      </w:r>
      <w:r w:rsidR="00850C12">
        <w:t>and</w:t>
      </w:r>
      <w:r w:rsidR="00D96D42">
        <w:t xml:space="preserve"> the additional amounts that Pac-West should be ordered to pay for the use of Qwest’s network to </w:t>
      </w:r>
      <w:r w:rsidR="00CD7178">
        <w:t xml:space="preserve">originate and transport </w:t>
      </w:r>
      <w:r w:rsidR="00C6602E">
        <w:t>Pac-West’s VNXX</w:t>
      </w:r>
      <w:r w:rsidR="00CD7178">
        <w:t xml:space="preserve"> </w:t>
      </w:r>
      <w:r w:rsidR="00D96D42">
        <w:t xml:space="preserve">interexchange </w:t>
      </w:r>
      <w:r w:rsidR="00CD7178">
        <w:t>traffic</w:t>
      </w:r>
      <w:r w:rsidR="00471064">
        <w:t>.</w:t>
      </w:r>
    </w:p>
    <w:p w:rsidR="002E66CE" w:rsidRDefault="00974BB3" w:rsidP="00944E33">
      <w:pPr>
        <w:pStyle w:val="AutoNumBodyCharCharCharChar"/>
      </w:pPr>
      <w:r>
        <w:t>It is simple.  The parties entered into an amendment to their interconnection agreement</w:t>
      </w:r>
      <w:r w:rsidR="002E1DCD">
        <w:t xml:space="preserve"> (“ICA”) to implement</w:t>
      </w:r>
      <w:r>
        <w:t xml:space="preserve"> </w:t>
      </w:r>
      <w:r w:rsidR="002E1DCD">
        <w:t>terms of the ISP-Remand Order.  Pac-West believed that the compensation regime established in that Order included V</w:t>
      </w:r>
      <w:r w:rsidR="002E66CE">
        <w:t>irtual NXX (“VNXX”) traffic.  It does not.  Although the Commission originally agreed with Pac-West, the Commission has since reversed its ruling, and has entered orders consistent with the remand from the Federal District Court</w:t>
      </w:r>
      <w:r w:rsidR="00850C12">
        <w:rPr>
          <w:rStyle w:val="FootnoteReference"/>
        </w:rPr>
        <w:footnoteReference w:id="2"/>
      </w:r>
      <w:r w:rsidR="002E66CE">
        <w:t xml:space="preserve">, holding that VNXX </w:t>
      </w:r>
      <w:r w:rsidR="00CD7178">
        <w:t xml:space="preserve">traffic </w:t>
      </w:r>
      <w:r w:rsidR="002E66CE">
        <w:t>is not local traffic, and is therefore not compensable under th</w:t>
      </w:r>
      <w:r w:rsidR="006D5437" w:rsidRPr="009D5E8E">
        <w:t xml:space="preserve">e </w:t>
      </w:r>
      <w:r w:rsidR="00192D99" w:rsidRPr="00192D99">
        <w:rPr>
          <w:i/>
        </w:rPr>
        <w:t>ISP-Remand Order</w:t>
      </w:r>
      <w:r w:rsidR="006D5437" w:rsidRPr="009D5E8E">
        <w:t>.</w:t>
      </w:r>
      <w:r w:rsidR="00CD7178">
        <w:rPr>
          <w:rStyle w:val="FootnoteReference"/>
        </w:rPr>
        <w:footnoteReference w:id="3"/>
      </w:r>
      <w:r w:rsidR="006D5437" w:rsidRPr="009D5E8E">
        <w:t xml:space="preserve">  </w:t>
      </w:r>
    </w:p>
    <w:p w:rsidR="006D5437" w:rsidRPr="009D5E8E" w:rsidRDefault="00850C12" w:rsidP="00944E33">
      <w:pPr>
        <w:pStyle w:val="AutoNumBodyCharCharCharChar"/>
      </w:pPr>
      <w:r>
        <w:t>Pac-West will argue, as it has in the past,</w:t>
      </w:r>
      <w:r w:rsidR="00360BAA">
        <w:t xml:space="preserve"> that VNXX traffic that is destined</w:t>
      </w:r>
      <w:r>
        <w:t xml:space="preserve"> for the internet is jurisdictionally </w:t>
      </w:r>
      <w:proofErr w:type="gramStart"/>
      <w:r>
        <w:t>interstate</w:t>
      </w:r>
      <w:proofErr w:type="gramEnd"/>
      <w:r>
        <w:t xml:space="preserve"> and that the Commission consequently has no jurisdiction to determine the compensation scheme for that traffic.  This is simply wrong.  Either the traffic is interstate traffic and subject to the existing compensation scheme of access charges, or it is a class of traffic for which no compensation scheme exists.  Regardless, the Commission can enforce the provisions of the ICA that impose access charges, </w:t>
      </w:r>
      <w:r w:rsidR="00D377CD">
        <w:t xml:space="preserve">and, because the traffic was exchanged over facilities established under the ICA, </w:t>
      </w:r>
      <w:r>
        <w:lastRenderedPageBreak/>
        <w:t xml:space="preserve">it can </w:t>
      </w:r>
      <w:r w:rsidR="00D377CD">
        <w:t xml:space="preserve"> prescribe compensation for this traffic</w:t>
      </w:r>
      <w:r w:rsidR="00912088">
        <w:t>.  W</w:t>
      </w:r>
      <w:r w:rsidR="006D5437" w:rsidRPr="009D5E8E">
        <w:t>h</w:t>
      </w:r>
      <w:r w:rsidR="00471064">
        <w:t>e</w:t>
      </w:r>
      <w:r w:rsidR="006D5437" w:rsidRPr="009D5E8E">
        <w:t xml:space="preserve">ther </w:t>
      </w:r>
      <w:r w:rsidR="00471064">
        <w:t>ISP</w:t>
      </w:r>
      <w:r w:rsidR="006D5437" w:rsidRPr="009D5E8E">
        <w:t xml:space="preserve">-bound </w:t>
      </w:r>
      <w:r w:rsidR="00471064">
        <w:t>VNXX</w:t>
      </w:r>
      <w:r w:rsidR="006D5437" w:rsidRPr="009D5E8E">
        <w:t xml:space="preserve"> is jurisdictionally interstate</w:t>
      </w:r>
      <w:r w:rsidR="00912088">
        <w:t xml:space="preserve"> or not</w:t>
      </w:r>
      <w:r w:rsidR="006D5437" w:rsidRPr="009D5E8E">
        <w:t xml:space="preserve">, it is clear that the </w:t>
      </w:r>
      <w:r w:rsidR="00471064">
        <w:t>FCC</w:t>
      </w:r>
      <w:r w:rsidR="006D5437" w:rsidRPr="009D5E8E">
        <w:t xml:space="preserve"> has not acted to d</w:t>
      </w:r>
      <w:r w:rsidR="00471064">
        <w:t>isp</w:t>
      </w:r>
      <w:r w:rsidR="006D5437" w:rsidRPr="009D5E8E">
        <w:t xml:space="preserve">lace state regulation of that traffic, and </w:t>
      </w:r>
      <w:r w:rsidR="00912088">
        <w:t xml:space="preserve">thus </w:t>
      </w:r>
      <w:r w:rsidR="006D5437" w:rsidRPr="009D5E8E">
        <w:t>has not preempted state commission</w:t>
      </w:r>
      <w:r w:rsidR="002E66CE">
        <w:t>s</w:t>
      </w:r>
      <w:r w:rsidR="006D5437" w:rsidRPr="009D5E8E">
        <w:t xml:space="preserve"> from determining the appropriate compensation scheme for this traffic.  </w:t>
      </w:r>
    </w:p>
    <w:p w:rsidR="006D5437" w:rsidRDefault="006D5437" w:rsidP="00944E33">
      <w:pPr>
        <w:pStyle w:val="AutoNumBodyCharCharCharChar"/>
      </w:pPr>
      <w:r w:rsidRPr="009D5E8E">
        <w:t>Th</w:t>
      </w:r>
      <w:r w:rsidR="00F544F4">
        <w:t>at is exactly what this Commission has done</w:t>
      </w:r>
      <w:r w:rsidR="00A6672F">
        <w:t xml:space="preserve"> by </w:t>
      </w:r>
      <w:r w:rsidR="00F544F4">
        <w:t>add</w:t>
      </w:r>
      <w:r w:rsidR="00471064">
        <w:t>ress</w:t>
      </w:r>
      <w:r w:rsidR="00F544F4">
        <w:t>ing</w:t>
      </w:r>
      <w:r w:rsidR="00471064">
        <w:t xml:space="preserve"> the issue of </w:t>
      </w:r>
      <w:r w:rsidR="001C00B0">
        <w:t xml:space="preserve">intercarrier </w:t>
      </w:r>
      <w:r w:rsidR="00471064">
        <w:t>compensation in</w:t>
      </w:r>
      <w:r w:rsidRPr="009D5E8E">
        <w:t xml:space="preserve"> the generic </w:t>
      </w:r>
      <w:r w:rsidR="00471064">
        <w:t>VNXX</w:t>
      </w:r>
      <w:r w:rsidRPr="009D5E8E">
        <w:t xml:space="preserve"> docket</w:t>
      </w:r>
      <w:r w:rsidR="00C96C59">
        <w:t xml:space="preserve">.  There, the Commission </w:t>
      </w:r>
      <w:r w:rsidR="001C00B0">
        <w:t xml:space="preserve">prospectively </w:t>
      </w:r>
      <w:r w:rsidR="00C96C59">
        <w:t>ordered a</w:t>
      </w:r>
      <w:r w:rsidRPr="009D5E8E">
        <w:t xml:space="preserve"> bill and keep</w:t>
      </w:r>
      <w:r w:rsidR="00C96C59">
        <w:t xml:space="preserve"> </w:t>
      </w:r>
      <w:r w:rsidR="001C00B0">
        <w:t xml:space="preserve">compensation </w:t>
      </w:r>
      <w:r w:rsidR="00C96C59">
        <w:t>structure</w:t>
      </w:r>
      <w:r w:rsidRPr="009D5E8E">
        <w:t xml:space="preserve"> </w:t>
      </w:r>
      <w:r w:rsidR="001C00B0">
        <w:t>for VNXX</w:t>
      </w:r>
      <w:r w:rsidRPr="009D5E8E">
        <w:t xml:space="preserve"> traffic,</w:t>
      </w:r>
      <w:r w:rsidR="00C96C59">
        <w:t xml:space="preserve"> with the </w:t>
      </w:r>
      <w:r w:rsidR="00471064">
        <w:t>CLEC</w:t>
      </w:r>
      <w:r w:rsidRPr="009D5E8E">
        <w:t xml:space="preserve"> </w:t>
      </w:r>
      <w:r w:rsidR="00C96C59">
        <w:t xml:space="preserve">required to </w:t>
      </w:r>
      <w:r w:rsidR="001C00B0">
        <w:t>compensate the originating LEC</w:t>
      </w:r>
      <w:r w:rsidR="001C00B0" w:rsidRPr="009D5E8E">
        <w:t xml:space="preserve"> </w:t>
      </w:r>
      <w:r w:rsidR="001C00B0">
        <w:t xml:space="preserve">for the </w:t>
      </w:r>
      <w:r w:rsidRPr="009D5E8E">
        <w:t>transport</w:t>
      </w:r>
      <w:r w:rsidR="001C00B0">
        <w:t xml:space="preserve"> of the traffic</w:t>
      </w:r>
      <w:r w:rsidRPr="009D5E8E">
        <w:t>.  Pac-</w:t>
      </w:r>
      <w:r w:rsidR="00974BB3">
        <w:t>W</w:t>
      </w:r>
      <w:r w:rsidRPr="009D5E8E">
        <w:t>est did not app</w:t>
      </w:r>
      <w:r w:rsidR="00974BB3">
        <w:t>eal that decision and with the L</w:t>
      </w:r>
      <w:r w:rsidRPr="009D5E8E">
        <w:t>evel 3 settlement, pending appeals of that decision will be withdrawn</w:t>
      </w:r>
      <w:r w:rsidR="00A6672F">
        <w:t xml:space="preserve">.  Consequently, </w:t>
      </w:r>
      <w:r w:rsidRPr="009D5E8E">
        <w:t xml:space="preserve">the </w:t>
      </w:r>
      <w:r w:rsidR="00974BB3">
        <w:t>C</w:t>
      </w:r>
      <w:r w:rsidRPr="009D5E8E">
        <w:t>ommission’s decision on that issue is final.</w:t>
      </w:r>
      <w:r w:rsidR="00974BB3">
        <w:t xml:space="preserve">  </w:t>
      </w:r>
      <w:r w:rsidR="00C96C59">
        <w:t xml:space="preserve">Even if it were not final, </w:t>
      </w:r>
      <w:r w:rsidR="00974BB3">
        <w:t>the new ICA between Qwest and Pac-West includes terms for the exchange of VNXX traffic that are consistent with the decision in the generic docket.</w:t>
      </w:r>
    </w:p>
    <w:p w:rsidR="00912088" w:rsidRDefault="00C96C59" w:rsidP="00912088">
      <w:pPr>
        <w:pStyle w:val="AutoNumBodyCharCharCharChar"/>
      </w:pPr>
      <w:r>
        <w:t xml:space="preserve">The decision in the generic docket does not necessarily apply retroactively though, so the Commission is still faced with deciding </w:t>
      </w:r>
      <w:r w:rsidR="00773905">
        <w:t xml:space="preserve">what the </w:t>
      </w:r>
      <w:r w:rsidR="00A6672F">
        <w:t xml:space="preserve">Parties’ </w:t>
      </w:r>
      <w:r w:rsidR="00773905">
        <w:t xml:space="preserve">ICA </w:t>
      </w:r>
      <w:r w:rsidR="00A6672F">
        <w:t xml:space="preserve">required </w:t>
      </w:r>
      <w:r w:rsidR="00773905">
        <w:t>in terms of compensation for VNXX traffic during the period 2004 through 2009.</w:t>
      </w:r>
      <w:r w:rsidR="00912088">
        <w:t xml:space="preserve">  </w:t>
      </w:r>
      <w:r w:rsidR="006D5437" w:rsidRPr="009D5E8E">
        <w:t>Th</w:t>
      </w:r>
      <w:r w:rsidR="00773905">
        <w:t xml:space="preserve">us, </w:t>
      </w:r>
      <w:r w:rsidR="00360BAA">
        <w:t xml:space="preserve">at this point, </w:t>
      </w:r>
      <w:r w:rsidR="00773905">
        <w:t xml:space="preserve">the </w:t>
      </w:r>
      <w:r w:rsidR="00360BAA">
        <w:t>case</w:t>
      </w:r>
      <w:r w:rsidR="006D5437" w:rsidRPr="009D5E8E">
        <w:t xml:space="preserve"> is all about the money</w:t>
      </w:r>
      <w:r w:rsidR="00471064">
        <w:t xml:space="preserve">.  </w:t>
      </w:r>
    </w:p>
    <w:p w:rsidR="006D5437" w:rsidRPr="009D5E8E" w:rsidRDefault="007A6930" w:rsidP="00944E33">
      <w:pPr>
        <w:pStyle w:val="AutoNumBodyCharCharCharChar"/>
      </w:pPr>
      <w:r>
        <w:t>The f</w:t>
      </w:r>
      <w:r w:rsidR="006D5437" w:rsidRPr="009D5E8E">
        <w:t xml:space="preserve">irst </w:t>
      </w:r>
      <w:r>
        <w:t>issue is the</w:t>
      </w:r>
      <w:r w:rsidR="006D5437" w:rsidRPr="009D5E8E">
        <w:t xml:space="preserve"> refund</w:t>
      </w:r>
      <w:r>
        <w:t xml:space="preserve"> of the monies that Qwest originally paid </w:t>
      </w:r>
      <w:r w:rsidR="001C00B0">
        <w:t xml:space="preserve">to </w:t>
      </w:r>
      <w:r>
        <w:t xml:space="preserve">Pac-West in 2006, after the Commission ordered reciprocal compensation </w:t>
      </w:r>
      <w:r w:rsidR="001C00B0">
        <w:t xml:space="preserve">payments </w:t>
      </w:r>
      <w:r>
        <w:t>on ISP-bound VNXX traffic</w:t>
      </w:r>
      <w:r w:rsidR="00471064">
        <w:t xml:space="preserve">.  </w:t>
      </w:r>
      <w:r w:rsidR="006D5437" w:rsidRPr="009D5E8E">
        <w:t>P</w:t>
      </w:r>
      <w:r w:rsidR="00471064">
        <w:t>ac-West</w:t>
      </w:r>
      <w:r w:rsidR="006D5437" w:rsidRPr="009D5E8E">
        <w:t xml:space="preserve"> demanded payment of nearly $1 million in 2005, after the original </w:t>
      </w:r>
      <w:r>
        <w:t>C</w:t>
      </w:r>
      <w:r w:rsidR="006D5437" w:rsidRPr="009D5E8E">
        <w:t>ommission order.</w:t>
      </w:r>
      <w:r w:rsidR="00471064">
        <w:t xml:space="preserve">  </w:t>
      </w:r>
      <w:r w:rsidR="006D5437" w:rsidRPr="009D5E8E">
        <w:t xml:space="preserve">In </w:t>
      </w:r>
      <w:r w:rsidR="00471064">
        <w:t>M</w:t>
      </w:r>
      <w:r w:rsidR="006D5437" w:rsidRPr="009D5E8E">
        <w:t xml:space="preserve">arch 2006, </w:t>
      </w:r>
      <w:r w:rsidR="00471064">
        <w:t>Q</w:t>
      </w:r>
      <w:r w:rsidR="006D5437" w:rsidRPr="009D5E8E">
        <w:t>west paid an agreed amount</w:t>
      </w:r>
      <w:r w:rsidR="009B3445">
        <w:t xml:space="preserve"> for VNXX traffic</w:t>
      </w:r>
      <w:r w:rsidR="006D5437" w:rsidRPr="009D5E8E">
        <w:t xml:space="preserve"> </w:t>
      </w:r>
      <w:r w:rsidR="00912088">
        <w:t>–</w:t>
      </w:r>
      <w:r w:rsidR="006D5437" w:rsidRPr="009D5E8E">
        <w:t xml:space="preserve"> </w:t>
      </w:r>
      <w:r w:rsidR="007C5C26">
        <w:rPr>
          <w:b/>
        </w:rPr>
        <w:t>[BEGIN REDACTED</w:t>
      </w:r>
      <w:r w:rsidR="00360BAA">
        <w:rPr>
          <w:b/>
        </w:rPr>
        <w:t xml:space="preserve"> </w:t>
      </w:r>
      <w:r w:rsidR="007C5C26">
        <w:rPr>
          <w:b/>
        </w:rPr>
        <w:t>XXXXXXXX</w:t>
      </w:r>
      <w:r w:rsidR="007E5005">
        <w:rPr>
          <w:b/>
        </w:rPr>
        <w:t xml:space="preserve"> </w:t>
      </w:r>
      <w:r w:rsidR="00360BAA">
        <w:rPr>
          <w:b/>
        </w:rPr>
        <w:t>END</w:t>
      </w:r>
      <w:r w:rsidR="007C5C26">
        <w:rPr>
          <w:b/>
        </w:rPr>
        <w:t xml:space="preserve"> REDACTED</w:t>
      </w:r>
      <w:r w:rsidR="00360BAA">
        <w:rPr>
          <w:b/>
        </w:rPr>
        <w:t>]</w:t>
      </w:r>
      <w:r w:rsidR="006D5437" w:rsidRPr="009D5E8E">
        <w:t xml:space="preserve"> - which included </w:t>
      </w:r>
      <w:r w:rsidR="009B3445">
        <w:t>an amount</w:t>
      </w:r>
      <w:r w:rsidR="00471064">
        <w:t xml:space="preserve"> </w:t>
      </w:r>
      <w:r w:rsidR="006D5437" w:rsidRPr="009D5E8E">
        <w:t xml:space="preserve">for interest </w:t>
      </w:r>
      <w:r w:rsidR="009B3445">
        <w:t xml:space="preserve">at </w:t>
      </w:r>
      <w:r w:rsidR="00912088">
        <w:t>an annual rate in excess of 12%</w:t>
      </w:r>
      <w:r w:rsidR="00471064">
        <w:t xml:space="preserve">.  </w:t>
      </w:r>
      <w:r>
        <w:t xml:space="preserve">Subsequently, Qwest paid Pac-West on VNXX traffic </w:t>
      </w:r>
      <w:r w:rsidR="006D5437" w:rsidRPr="009D5E8E">
        <w:t>under protest</w:t>
      </w:r>
      <w:r w:rsidR="00471064">
        <w:t>.</w:t>
      </w:r>
      <w:r>
        <w:t xml:space="preserve">  Qwest ceased paying </w:t>
      </w:r>
      <w:r w:rsidR="001C00B0">
        <w:t xml:space="preserve">Pac-West for </w:t>
      </w:r>
      <w:r>
        <w:t>VNXX traffic in 2007, when the Federal District Court held that pending the Commission’s decision on remand, “</w:t>
      </w:r>
      <w:r w:rsidR="009B3445">
        <w:t>Qwest is not, under the WUTC’s present analysis, obligated to pay Pac-West…the interim compensation rates established by the FCC.”</w:t>
      </w:r>
      <w:r w:rsidR="009B3445">
        <w:rPr>
          <w:rStyle w:val="FootnoteReference"/>
        </w:rPr>
        <w:footnoteReference w:id="4"/>
      </w:r>
    </w:p>
    <w:p w:rsidR="006D5437" w:rsidRPr="009D5E8E" w:rsidRDefault="006D5437" w:rsidP="00944E33">
      <w:pPr>
        <w:pStyle w:val="AutoNumBodyCharCharCharChar"/>
      </w:pPr>
      <w:r w:rsidRPr="009D5E8E">
        <w:lastRenderedPageBreak/>
        <w:t xml:space="preserve">The </w:t>
      </w:r>
      <w:r w:rsidR="0044398C">
        <w:t>C</w:t>
      </w:r>
      <w:r w:rsidRPr="009D5E8E">
        <w:t>ommission has already reversed, multiple times, the original holding and analysis that required the original payment</w:t>
      </w:r>
      <w:r w:rsidR="00471064">
        <w:t xml:space="preserve">.  </w:t>
      </w:r>
      <w:r w:rsidRPr="009D5E8E">
        <w:t>Pac-</w:t>
      </w:r>
      <w:r w:rsidR="00471064">
        <w:t>W</w:t>
      </w:r>
      <w:r w:rsidRPr="009D5E8E">
        <w:t>est continues to hold money that it has no lawful claim on</w:t>
      </w:r>
      <w:r w:rsidR="0002259D">
        <w:t xml:space="preserve"> and</w:t>
      </w:r>
      <w:r w:rsidRPr="009D5E8E">
        <w:t xml:space="preserve"> continues to claim that there are issues of fact with regard to the nature of the traffic, yet offers not a shred of traffic data to contradict </w:t>
      </w:r>
      <w:r w:rsidR="00471064">
        <w:t>Q</w:t>
      </w:r>
      <w:r w:rsidRPr="009D5E8E">
        <w:t>west’s detailed studies</w:t>
      </w:r>
      <w:r w:rsidR="0002259D">
        <w:t>.</w:t>
      </w:r>
    </w:p>
    <w:p w:rsidR="006D5437" w:rsidRPr="009D5E8E" w:rsidRDefault="007A6930" w:rsidP="00944E33">
      <w:pPr>
        <w:pStyle w:val="AutoNumBodyCharCharCharChar"/>
      </w:pPr>
      <w:r>
        <w:t>The se</w:t>
      </w:r>
      <w:r w:rsidR="006D5437" w:rsidRPr="009D5E8E">
        <w:t xml:space="preserve">cond </w:t>
      </w:r>
      <w:r>
        <w:t xml:space="preserve">issue is that of determining the appropriate </w:t>
      </w:r>
      <w:r w:rsidR="00C75CD1">
        <w:t xml:space="preserve">intercarrier </w:t>
      </w:r>
      <w:r w:rsidR="006D5437" w:rsidRPr="009D5E8E">
        <w:t xml:space="preserve">compensation for use of </w:t>
      </w:r>
      <w:r w:rsidR="00F32017">
        <w:t>Qwest’s</w:t>
      </w:r>
      <w:r w:rsidR="006D5437" w:rsidRPr="009D5E8E">
        <w:t xml:space="preserve"> facilities</w:t>
      </w:r>
      <w:r w:rsidR="00F32017">
        <w:t xml:space="preserve"> to transport interexchange traffic</w:t>
      </w:r>
      <w:r w:rsidR="00471064">
        <w:t xml:space="preserve">.  </w:t>
      </w:r>
      <w:r w:rsidR="006D5437" w:rsidRPr="009D5E8E">
        <w:t>It is und</w:t>
      </w:r>
      <w:r w:rsidR="00471064">
        <w:t>isp</w:t>
      </w:r>
      <w:r w:rsidR="006D5437" w:rsidRPr="009D5E8E">
        <w:t xml:space="preserve">uted that </w:t>
      </w:r>
      <w:r w:rsidR="00C75CD1">
        <w:t xml:space="preserve">the </w:t>
      </w:r>
      <w:r w:rsidR="00471064">
        <w:t>VNXX</w:t>
      </w:r>
      <w:r w:rsidR="00C75CD1">
        <w:t xml:space="preserve"> numbering scheme creates a</w:t>
      </w:r>
      <w:r w:rsidR="006D5437" w:rsidRPr="009D5E8E">
        <w:t xml:space="preserve"> routing </w:t>
      </w:r>
      <w:r w:rsidR="00C75CD1">
        <w:t xml:space="preserve">scenario that </w:t>
      </w:r>
      <w:r w:rsidR="006D5437" w:rsidRPr="009D5E8E">
        <w:t xml:space="preserve">enables </w:t>
      </w:r>
      <w:r w:rsidR="00C75CD1">
        <w:t xml:space="preserve">traffic to </w:t>
      </w:r>
      <w:r w:rsidR="0002259D">
        <w:t xml:space="preserve">leave the originating local calling area and </w:t>
      </w:r>
      <w:r w:rsidR="00C75CD1">
        <w:t>cross</w:t>
      </w:r>
      <w:r w:rsidR="006D5437" w:rsidRPr="009D5E8E">
        <w:t xml:space="preserve"> exchange boundaries.  It is und</w:t>
      </w:r>
      <w:r w:rsidR="00471064">
        <w:t>isp</w:t>
      </w:r>
      <w:r w:rsidR="006D5437" w:rsidRPr="009D5E8E">
        <w:t xml:space="preserve">uted that </w:t>
      </w:r>
      <w:r w:rsidR="00471064">
        <w:t>P</w:t>
      </w:r>
      <w:r w:rsidR="006D5437" w:rsidRPr="009D5E8E">
        <w:t>ac-</w:t>
      </w:r>
      <w:r w:rsidR="00471064">
        <w:t>W</w:t>
      </w:r>
      <w:r w:rsidR="006D5437" w:rsidRPr="009D5E8E">
        <w:t xml:space="preserve">est used </w:t>
      </w:r>
      <w:r w:rsidR="00471064">
        <w:t>VNXX</w:t>
      </w:r>
      <w:r w:rsidR="006D5437" w:rsidRPr="009D5E8E">
        <w:t xml:space="preserve"> routing, thereby enabling interexchange traffic, with no option for </w:t>
      </w:r>
      <w:r w:rsidR="00471064">
        <w:t>Q</w:t>
      </w:r>
      <w:r w:rsidR="006D5437" w:rsidRPr="009D5E8E">
        <w:t xml:space="preserve">west to refuse to complete the calls, even if </w:t>
      </w:r>
      <w:r w:rsidR="00471064">
        <w:t>Q</w:t>
      </w:r>
      <w:r w:rsidR="006D5437" w:rsidRPr="009D5E8E">
        <w:t xml:space="preserve">west had been able to identify </w:t>
      </w:r>
      <w:r w:rsidR="0044398C">
        <w:t xml:space="preserve">and segregate </w:t>
      </w:r>
      <w:r w:rsidR="0002259D">
        <w:t>it</w:t>
      </w:r>
      <w:r w:rsidR="0002259D" w:rsidRPr="009D5E8E">
        <w:t xml:space="preserve"> </w:t>
      </w:r>
      <w:r w:rsidR="0044398C">
        <w:t>on a</w:t>
      </w:r>
      <w:r w:rsidR="006D5437" w:rsidRPr="009D5E8E">
        <w:t xml:space="preserve"> real</w:t>
      </w:r>
      <w:r w:rsidR="0044398C">
        <w:t>-</w:t>
      </w:r>
      <w:r w:rsidR="006D5437" w:rsidRPr="009D5E8E">
        <w:t>time</w:t>
      </w:r>
      <w:r w:rsidR="0044398C">
        <w:t xml:space="preserve"> basis.</w:t>
      </w:r>
      <w:r w:rsidR="0044398C">
        <w:rPr>
          <w:rStyle w:val="FootnoteReference"/>
        </w:rPr>
        <w:footnoteReference w:id="5"/>
      </w:r>
    </w:p>
    <w:p w:rsidR="006D5437" w:rsidRPr="009D5E8E" w:rsidRDefault="006D5437" w:rsidP="00944E33">
      <w:pPr>
        <w:pStyle w:val="AutoNumBodyCharCharCharChar"/>
      </w:pPr>
      <w:r w:rsidRPr="009D5E8E">
        <w:t>It is und</w:t>
      </w:r>
      <w:r w:rsidR="00471064">
        <w:t>isp</w:t>
      </w:r>
      <w:r w:rsidRPr="009D5E8E">
        <w:t>uted that carriers who wish to enable interexchange calling should purchase tariffed access services and compensate the originat</w:t>
      </w:r>
      <w:r w:rsidR="00471064">
        <w:t>ing local exchange carrier</w:t>
      </w:r>
      <w:r w:rsidR="00BE5839">
        <w:t xml:space="preserve"> accordingly</w:t>
      </w:r>
      <w:r w:rsidRPr="009D5E8E">
        <w:t>.</w:t>
      </w:r>
      <w:r w:rsidR="00471064">
        <w:t xml:space="preserve">  </w:t>
      </w:r>
      <w:r w:rsidRPr="009D5E8E">
        <w:t>It is therefore und</w:t>
      </w:r>
      <w:r w:rsidR="00471064">
        <w:t>isp</w:t>
      </w:r>
      <w:r w:rsidRPr="009D5E8E">
        <w:t xml:space="preserve">uted that </w:t>
      </w:r>
      <w:r w:rsidR="00974BB3">
        <w:t>P</w:t>
      </w:r>
      <w:r w:rsidRPr="009D5E8E">
        <w:t>ac-</w:t>
      </w:r>
      <w:r w:rsidR="00974BB3">
        <w:t>W</w:t>
      </w:r>
      <w:r w:rsidRPr="009D5E8E">
        <w:t xml:space="preserve">est, who enabled </w:t>
      </w:r>
      <w:r w:rsidR="00C75CD1">
        <w:t xml:space="preserve">this </w:t>
      </w:r>
      <w:r w:rsidRPr="009D5E8E">
        <w:t>interex</w:t>
      </w:r>
      <w:r w:rsidR="0044398C">
        <w:t>c</w:t>
      </w:r>
      <w:r w:rsidRPr="009D5E8E">
        <w:t xml:space="preserve">hange </w:t>
      </w:r>
      <w:r w:rsidR="00C75CD1">
        <w:t>traffic</w:t>
      </w:r>
      <w:r w:rsidRPr="009D5E8E">
        <w:t xml:space="preserve">, also received access services </w:t>
      </w:r>
      <w:r w:rsidR="00C75CD1">
        <w:t xml:space="preserve">from Qwest </w:t>
      </w:r>
      <w:r w:rsidRPr="009D5E8E">
        <w:t>that should have been ordered out of the access tariff</w:t>
      </w:r>
      <w:r w:rsidR="0002259D">
        <w:t>.</w:t>
      </w:r>
    </w:p>
    <w:p w:rsidR="006D5437" w:rsidRPr="009D5E8E" w:rsidRDefault="006D5437" w:rsidP="00944E33">
      <w:pPr>
        <w:pStyle w:val="AutoNumBodyCharCharCharChar"/>
      </w:pPr>
      <w:r w:rsidRPr="009D5E8E">
        <w:t>It is further und</w:t>
      </w:r>
      <w:r w:rsidR="00471064">
        <w:t>isp</w:t>
      </w:r>
      <w:r w:rsidR="001A1D36">
        <w:t>uted that Pac-West</w:t>
      </w:r>
      <w:r w:rsidRPr="009D5E8E">
        <w:t xml:space="preserve"> did</w:t>
      </w:r>
      <w:r w:rsidR="001A1D36">
        <w:t xml:space="preserve"> not</w:t>
      </w:r>
      <w:r w:rsidRPr="009D5E8E">
        <w:t xml:space="preserve"> </w:t>
      </w:r>
      <w:r w:rsidR="00974343">
        <w:t xml:space="preserve">formally </w:t>
      </w:r>
      <w:r w:rsidRPr="009D5E8E">
        <w:t xml:space="preserve">order </w:t>
      </w:r>
      <w:r w:rsidR="0090097C">
        <w:t xml:space="preserve">access services </w:t>
      </w:r>
      <w:r w:rsidRPr="009D5E8E">
        <w:t>out of the tariff</w:t>
      </w:r>
      <w:r w:rsidR="001A1D36">
        <w:t>.  As Qwest has acknowledged</w:t>
      </w:r>
      <w:r w:rsidRPr="009D5E8E">
        <w:t xml:space="preserve">, the tariff language does not specifically describe </w:t>
      </w:r>
      <w:r w:rsidR="00471064">
        <w:t>VNXX</w:t>
      </w:r>
      <w:r w:rsidR="0090097C">
        <w:t xml:space="preserve"> numbering arbitrage</w:t>
      </w:r>
      <w:r w:rsidRPr="009D5E8E">
        <w:t xml:space="preserve">.  </w:t>
      </w:r>
      <w:r w:rsidR="001A1D36">
        <w:t xml:space="preserve">However, to allow Pac-West to claim that </w:t>
      </w:r>
      <w:r w:rsidR="00F873D1">
        <w:t xml:space="preserve">it </w:t>
      </w:r>
      <w:r w:rsidR="001A1D36">
        <w:t>did not order, and thus do</w:t>
      </w:r>
      <w:r w:rsidR="00F873D1">
        <w:t>es</w:t>
      </w:r>
      <w:r w:rsidR="001A1D36">
        <w:t xml:space="preserve"> not have to pay for, the </w:t>
      </w:r>
      <w:r w:rsidR="0090097C">
        <w:t xml:space="preserve">access </w:t>
      </w:r>
      <w:r w:rsidR="001A1D36">
        <w:t>service</w:t>
      </w:r>
      <w:r w:rsidR="0090097C">
        <w:t>s</w:t>
      </w:r>
      <w:r w:rsidR="001A1D36">
        <w:t xml:space="preserve"> that </w:t>
      </w:r>
      <w:r w:rsidR="00F873D1">
        <w:t>it was</w:t>
      </w:r>
      <w:r w:rsidR="001A1D36">
        <w:t xml:space="preserve"> clearly affirmatively seeking to avoid paying for by use of VNXX numbering would simply reward </w:t>
      </w:r>
      <w:r w:rsidR="0090097C">
        <w:t>Pac-West for its</w:t>
      </w:r>
      <w:r w:rsidR="001A1D36">
        <w:t xml:space="preserve"> access avoidance scheme.  Pac-West</w:t>
      </w:r>
      <w:r w:rsidRPr="009D5E8E">
        <w:t xml:space="preserve"> essentially jumped on the train without buying a ticket, and now, when asked to pay for the transport </w:t>
      </w:r>
      <w:r w:rsidR="00F873D1">
        <w:t>it</w:t>
      </w:r>
      <w:r w:rsidR="00F873D1" w:rsidRPr="009D5E8E">
        <w:t xml:space="preserve"> </w:t>
      </w:r>
      <w:r w:rsidRPr="009D5E8E">
        <w:t xml:space="preserve">undeniably received, </w:t>
      </w:r>
      <w:r w:rsidR="00F873D1">
        <w:t>is</w:t>
      </w:r>
      <w:r w:rsidR="00F873D1" w:rsidRPr="009D5E8E">
        <w:t xml:space="preserve"> </w:t>
      </w:r>
      <w:r w:rsidRPr="009D5E8E">
        <w:t xml:space="preserve">saying </w:t>
      </w:r>
      <w:r w:rsidR="001A1D36">
        <w:t>“</w:t>
      </w:r>
      <w:r w:rsidRPr="009D5E8E">
        <w:t xml:space="preserve">well, </w:t>
      </w:r>
      <w:r w:rsidR="00F873D1">
        <w:t xml:space="preserve">I </w:t>
      </w:r>
      <w:r w:rsidRPr="009D5E8E">
        <w:t xml:space="preserve">didn’t go through the turnstile and buy a ticket, so you can’t make </w:t>
      </w:r>
      <w:r w:rsidR="00F873D1">
        <w:t>me</w:t>
      </w:r>
      <w:r w:rsidR="00F873D1" w:rsidRPr="009D5E8E">
        <w:t xml:space="preserve"> </w:t>
      </w:r>
      <w:r w:rsidRPr="009D5E8E">
        <w:lastRenderedPageBreak/>
        <w:t>pay.</w:t>
      </w:r>
      <w:r w:rsidR="001A1D36">
        <w:t>”</w:t>
      </w:r>
    </w:p>
    <w:p w:rsidR="009F5352" w:rsidRDefault="00BA6EA8" w:rsidP="00944E33">
      <w:pPr>
        <w:pStyle w:val="AutoNumBodyCharCharCharChar"/>
      </w:pPr>
      <w:r>
        <w:t xml:space="preserve">The answer to the </w:t>
      </w:r>
      <w:r w:rsidR="0090097C">
        <w:t xml:space="preserve">intercarrier </w:t>
      </w:r>
      <w:r>
        <w:t xml:space="preserve">compensation question is that Pac-West should be required to pay the over </w:t>
      </w:r>
      <w:r w:rsidR="006D5437" w:rsidRPr="009D5E8E">
        <w:t>$6 million in access charges</w:t>
      </w:r>
      <w:r>
        <w:t xml:space="preserve"> as shown in Qwest’s calculations</w:t>
      </w:r>
      <w:r w:rsidR="006D5437" w:rsidRPr="009D5E8E">
        <w:t xml:space="preserve">.  </w:t>
      </w:r>
      <w:r>
        <w:t xml:space="preserve">Alternatively, Qwest has proposed another compensation </w:t>
      </w:r>
      <w:r w:rsidR="0090097C">
        <w:t>solution</w:t>
      </w:r>
      <w:r>
        <w:t>, which is to require Pac-West to pay</w:t>
      </w:r>
      <w:r w:rsidR="0090097C">
        <w:t>, at a minimum,</w:t>
      </w:r>
      <w:r>
        <w:t xml:space="preserve"> for the transport it received on Qwest’s facilities.  This amount is approximately </w:t>
      </w:r>
      <w:r w:rsidR="006D5437" w:rsidRPr="009D5E8E">
        <w:t>$900,000</w:t>
      </w:r>
      <w:r>
        <w:t>, and</w:t>
      </w:r>
      <w:r w:rsidR="006D5437" w:rsidRPr="009D5E8E">
        <w:t xml:space="preserve"> is </w:t>
      </w:r>
      <w:r>
        <w:t>more than</w:t>
      </w:r>
      <w:r w:rsidR="006D5437" w:rsidRPr="009D5E8E">
        <w:t xml:space="preserve"> fair to </w:t>
      </w:r>
      <w:r w:rsidR="00974BB3">
        <w:t>Pac-West</w:t>
      </w:r>
      <w:r w:rsidR="006D5437" w:rsidRPr="009D5E8E">
        <w:t xml:space="preserve"> – </w:t>
      </w:r>
      <w:r>
        <w:t xml:space="preserve">it </w:t>
      </w:r>
      <w:r w:rsidR="006D5437" w:rsidRPr="009D5E8E">
        <w:t xml:space="preserve">only asks them to pay for facilities they </w:t>
      </w:r>
      <w:r w:rsidR="007A6930">
        <w:t>have a</w:t>
      </w:r>
      <w:r w:rsidR="006D5437" w:rsidRPr="009D5E8E">
        <w:t xml:space="preserve">lready </w:t>
      </w:r>
      <w:r w:rsidR="009B3445">
        <w:t>received</w:t>
      </w:r>
      <w:r w:rsidR="009B3445" w:rsidRPr="009D5E8E">
        <w:t xml:space="preserve"> </w:t>
      </w:r>
      <w:r w:rsidR="006D5437" w:rsidRPr="009D5E8E">
        <w:t xml:space="preserve">the benefit of.  </w:t>
      </w:r>
      <w:r>
        <w:t>It provides some measure of c</w:t>
      </w:r>
      <w:r w:rsidR="006D5437" w:rsidRPr="009D5E8E">
        <w:t>ompensat</w:t>
      </w:r>
      <w:r>
        <w:t>ion to</w:t>
      </w:r>
      <w:r w:rsidR="006D5437" w:rsidRPr="009D5E8E">
        <w:t xml:space="preserve"> </w:t>
      </w:r>
      <w:r>
        <w:t>Qwest, and is</w:t>
      </w:r>
      <w:r w:rsidR="006D5437" w:rsidRPr="009D5E8E">
        <w:t xml:space="preserve"> consistent with the</w:t>
      </w:r>
      <w:r w:rsidR="007A6930">
        <w:t xml:space="preserve"> outcome in the</w:t>
      </w:r>
      <w:r w:rsidR="006D5437" w:rsidRPr="009D5E8E">
        <w:t xml:space="preserve"> </w:t>
      </w:r>
      <w:r w:rsidR="00471064">
        <w:t>VNXX</w:t>
      </w:r>
      <w:r>
        <w:t xml:space="preserve"> generic docket</w:t>
      </w:r>
      <w:r w:rsidR="006D5437" w:rsidRPr="009D5E8E">
        <w:t xml:space="preserve">. </w:t>
      </w:r>
    </w:p>
    <w:p w:rsidR="00912088" w:rsidRDefault="00912088" w:rsidP="00944E33">
      <w:pPr>
        <w:pStyle w:val="AutoNumBodyCharCharCharChar"/>
      </w:pPr>
      <w:r>
        <w:t>The refunds and other compensation sought by Qwest are shown in the Confidential Executive Summary, Appendix A, in accordance with the Administrative Law Judge’s request at the close of the hearing.</w:t>
      </w:r>
      <w:r>
        <w:rPr>
          <w:rStyle w:val="FootnoteReference"/>
        </w:rPr>
        <w:footnoteReference w:id="6"/>
      </w:r>
      <w:r>
        <w:t xml:space="preserve">  </w:t>
      </w:r>
    </w:p>
    <w:p w:rsidR="00EE1BF6" w:rsidRDefault="00EE1BF6" w:rsidP="00EE1BF6">
      <w:pPr>
        <w:pStyle w:val="AutoNumBodyCharCharCharChar"/>
        <w:numPr>
          <w:ilvl w:val="0"/>
          <w:numId w:val="0"/>
        </w:numPr>
        <w:ind w:left="720"/>
      </w:pPr>
    </w:p>
    <w:p w:rsidR="0076035E" w:rsidRPr="0076035E" w:rsidRDefault="0076035E" w:rsidP="00BD2D97">
      <w:pPr>
        <w:pStyle w:val="Heading1"/>
        <w:numPr>
          <w:ilvl w:val="0"/>
          <w:numId w:val="7"/>
        </w:numPr>
        <w:spacing w:before="0"/>
        <w:jc w:val="center"/>
        <w:rPr>
          <w:rFonts w:ascii="Times New Roman" w:hAnsi="Times New Roman" w:cs="Times New Roman"/>
          <w:color w:val="000000" w:themeColor="text1"/>
          <w:sz w:val="24"/>
          <w:szCs w:val="24"/>
        </w:rPr>
      </w:pPr>
      <w:bookmarkStart w:id="1" w:name="_Toc350950421"/>
      <w:r>
        <w:rPr>
          <w:rFonts w:ascii="Times New Roman" w:hAnsi="Times New Roman" w:cs="Times New Roman"/>
          <w:color w:val="000000" w:themeColor="text1"/>
          <w:sz w:val="24"/>
          <w:szCs w:val="24"/>
        </w:rPr>
        <w:t>BACKGROUND</w:t>
      </w:r>
      <w:bookmarkEnd w:id="1"/>
    </w:p>
    <w:p w:rsidR="00944E33" w:rsidRPr="00944E33" w:rsidRDefault="00944E33" w:rsidP="00944E33">
      <w:pPr>
        <w:pStyle w:val="AutoNumBodyCharCharCharChar"/>
      </w:pPr>
      <w:r>
        <w:t xml:space="preserve">In this </w:t>
      </w:r>
      <w:r w:rsidRPr="00944E33">
        <w:t>section</w:t>
      </w:r>
      <w:r>
        <w:t xml:space="preserve"> of the brief, Qwest provides a brief background of VNXX and the relevant docket history</w:t>
      </w:r>
      <w:r w:rsidR="00912088">
        <w:t>, based on the direct testimony of William Easton, hearing exhibit WRE-1T</w:t>
      </w:r>
      <w:r>
        <w:t xml:space="preserve">.  </w:t>
      </w:r>
    </w:p>
    <w:p w:rsidR="00944E33" w:rsidRPr="0076035E" w:rsidRDefault="00944E33" w:rsidP="0076035E">
      <w:pPr>
        <w:pStyle w:val="Heading1"/>
        <w:numPr>
          <w:ilvl w:val="1"/>
          <w:numId w:val="5"/>
        </w:numPr>
        <w:spacing w:before="0"/>
        <w:rPr>
          <w:rFonts w:ascii="Times New Roman" w:hAnsi="Times New Roman" w:cs="Times New Roman"/>
          <w:color w:val="000000" w:themeColor="text1"/>
          <w:sz w:val="24"/>
          <w:szCs w:val="24"/>
        </w:rPr>
      </w:pPr>
      <w:bookmarkStart w:id="2" w:name="_Toc350950422"/>
      <w:r w:rsidRPr="0076035E">
        <w:rPr>
          <w:rFonts w:ascii="Times New Roman" w:hAnsi="Times New Roman" w:cs="Times New Roman"/>
          <w:color w:val="000000" w:themeColor="text1"/>
          <w:sz w:val="24"/>
          <w:szCs w:val="24"/>
        </w:rPr>
        <w:t>VNXX Generally</w:t>
      </w:r>
      <w:bookmarkEnd w:id="2"/>
    </w:p>
    <w:p w:rsidR="00944E33" w:rsidRDefault="00BC2600" w:rsidP="00944E33">
      <w:pPr>
        <w:pStyle w:val="AutoNumBodyCharCharCharChar"/>
      </w:pPr>
      <w:r>
        <w:t>“VNXX”</w:t>
      </w:r>
      <w:r w:rsidR="00944E33">
        <w:t xml:space="preserve"> is a number assignment scheme used by Competitive Local Exchange Carriers (“CLECs”) serving </w:t>
      </w:r>
      <w:r w:rsidR="000473B5">
        <w:t>Internet service providers (“</w:t>
      </w:r>
      <w:r w:rsidR="00944E33">
        <w:t>ISPs</w:t>
      </w:r>
      <w:r w:rsidR="000473B5">
        <w:t>”)</w:t>
      </w:r>
      <w:r w:rsidR="00944E33">
        <w:t xml:space="preserve"> to allow </w:t>
      </w:r>
      <w:r w:rsidR="00944E33" w:rsidRPr="00457F10">
        <w:rPr>
          <w:bCs/>
        </w:rPr>
        <w:t>d</w:t>
      </w:r>
      <w:r w:rsidR="00944E33">
        <w:rPr>
          <w:bCs/>
        </w:rPr>
        <w:t>ial-up customers to place long distance calls to connect to the Internet without pay</w:t>
      </w:r>
      <w:r w:rsidR="00944E33" w:rsidRPr="00457F10">
        <w:rPr>
          <w:bCs/>
        </w:rPr>
        <w:t>ing toll</w:t>
      </w:r>
      <w:r w:rsidR="00944E33">
        <w:rPr>
          <w:bCs/>
        </w:rPr>
        <w:t xml:space="preserve"> </w:t>
      </w:r>
      <w:r w:rsidR="00944E33" w:rsidRPr="00457F10">
        <w:rPr>
          <w:bCs/>
        </w:rPr>
        <w:t>charges</w:t>
      </w:r>
      <w:r w:rsidR="00944E33">
        <w:rPr>
          <w:bCs/>
        </w:rPr>
        <w:t>.</w:t>
      </w:r>
      <w:r w:rsidR="00944E33">
        <w:t xml:space="preserve">  In a VNXX telephone numbering arrangement, a CLEC assigns a telephone number to one of its ISP customers that is not physically located in the local calling area associated with the NXX</w:t>
      </w:r>
      <w:r w:rsidR="00944E33">
        <w:rPr>
          <w:rStyle w:val="FootnoteReference"/>
        </w:rPr>
        <w:footnoteReference w:id="7"/>
      </w:r>
      <w:r w:rsidR="00944E33">
        <w:t xml:space="preserve"> of the assigned telephone number.  To a </w:t>
      </w:r>
      <w:r w:rsidR="000473B5">
        <w:t>dial-up ISP</w:t>
      </w:r>
      <w:r w:rsidR="00944E33">
        <w:t xml:space="preserve"> customer who is located in </w:t>
      </w:r>
      <w:r w:rsidR="00944E33">
        <w:lastRenderedPageBreak/>
        <w:t xml:space="preserve">the same local calling area as the one associated with the telephone number assigned to the ISP, a call to the VNXX number appears to be local.  In other words, the calling party does not need to dial “1+”, and no toll charges are assessed to the calling party.  Yet, in reality, the calls actually terminate to the CLEC ISP customer physically located in a separate local calling area.  So, while the calls appear to be local, they are not.  In effect, VNXX is a number assignment scheme that disguises interexchange calls as local calls.  </w:t>
      </w:r>
    </w:p>
    <w:p w:rsidR="00944E33" w:rsidRDefault="00944E33" w:rsidP="00944E33">
      <w:pPr>
        <w:pStyle w:val="AutoNumBodyCharCharCharChar"/>
      </w:pPr>
      <w:r w:rsidRPr="00944E33">
        <w:t>By assigning VNXX</w:t>
      </w:r>
      <w:r w:rsidR="000473B5">
        <w:t xml:space="preserve"> telephone number</w:t>
      </w:r>
      <w:r w:rsidRPr="00944E33">
        <w:t xml:space="preserve">s to its </w:t>
      </w:r>
      <w:r w:rsidR="000473B5">
        <w:t xml:space="preserve">ISP </w:t>
      </w:r>
      <w:r w:rsidRPr="00944E33">
        <w:t>customers</w:t>
      </w:r>
      <w:r w:rsidR="000473B5">
        <w:t>,</w:t>
      </w:r>
      <w:r w:rsidRPr="00944E33">
        <w:t xml:space="preserve"> Pac-West creates the interexchange link between the caller and the ISP and functions as an IXC with respect to </w:t>
      </w:r>
      <w:r w:rsidR="00D34187">
        <w:t xml:space="preserve">the </w:t>
      </w:r>
      <w:r w:rsidRPr="00944E33">
        <w:t xml:space="preserve">VNXX </w:t>
      </w:r>
      <w:r w:rsidR="00D34187">
        <w:t>service it is providing to its ISP customers</w:t>
      </w:r>
      <w:r w:rsidRPr="00944E33">
        <w:t xml:space="preserve">.  The practical effect is that, through the use of </w:t>
      </w:r>
      <w:r w:rsidR="00D34187">
        <w:t xml:space="preserve">the </w:t>
      </w:r>
      <w:r w:rsidRPr="00944E33">
        <w:t>VNXX</w:t>
      </w:r>
      <w:r w:rsidR="00D34187">
        <w:t xml:space="preserve"> numbering scheme</w:t>
      </w:r>
      <w:r w:rsidRPr="00944E33">
        <w:t>, the CLEC provides its ISP customer a toll-free interexchange service, but at no extra charge to the calling party, and without the proper intercarrier compensation being paid to the originating ILEC.  VNXX thus ignores the historic and current framework for NXX code assignments, network architectures, and the rating and billing of calls which have been based upon the geographic assignment of NXX codes and the associated local rate center configuration. As such, VNXX is inconsistent with the existing national framework for calls within which all carriers currently operate.</w:t>
      </w:r>
      <w:r>
        <w:rPr>
          <w:rStyle w:val="FootnoteReference"/>
        </w:rPr>
        <w:footnoteReference w:id="8"/>
      </w:r>
      <w:r>
        <w:t xml:space="preserve">  </w:t>
      </w:r>
    </w:p>
    <w:p w:rsidR="00944E33" w:rsidRDefault="00944E33" w:rsidP="00944E33">
      <w:pPr>
        <w:pStyle w:val="AutoNumBodyCharCharCharChar"/>
      </w:pPr>
      <w:r w:rsidRPr="00944E33">
        <w:lastRenderedPageBreak/>
        <w:t>When two carriers collaborate to complete a local call, the originating carrier is compensated by its end user, and the terminating carrier is entitled to compensation from the originating carrier for the transport and termination it provides pursuant to Section 251(b)(5) of the Telecommunications Act.</w:t>
      </w:r>
      <w:r w:rsidR="000473B5">
        <w:rPr>
          <w:rStyle w:val="FootnoteReference"/>
        </w:rPr>
        <w:footnoteReference w:id="9"/>
      </w:r>
      <w:r w:rsidRPr="00944E33">
        <w:t xml:space="preserve">  The payment to the terminating carrier for the transport and termination of local traffic is referred to as reciprocal compensation.  By contrast, interexchange (toll) traffic is traffic that originates and terminates between end users physically located in different local calling areas/EAS areas and is commonly referred </w:t>
      </w:r>
      <w:r>
        <w:t>to as “long distance” traffic.</w:t>
      </w:r>
    </w:p>
    <w:p w:rsidR="00944E33" w:rsidRDefault="00944E33" w:rsidP="00944E33">
      <w:pPr>
        <w:pStyle w:val="AutoNumBodyCharCharCharChar"/>
      </w:pPr>
      <w:r w:rsidRPr="00944E33">
        <w:t xml:space="preserve">The Commission’s existing rules and orders categorize traffic that originates and terminates in different </w:t>
      </w:r>
      <w:r w:rsidR="005A3D04">
        <w:t>local calling areas</w:t>
      </w:r>
      <w:r w:rsidR="005A3D04" w:rsidRPr="00944E33">
        <w:t xml:space="preserve"> </w:t>
      </w:r>
      <w:r w:rsidRPr="00944E33">
        <w:t xml:space="preserve">as interexchange traffic and applicable interexchange compensation rules apply.  This interexchange access traffic is governed by the switched access compensation rules that have been defined since 1984 and that are still in effect today.  </w:t>
      </w:r>
      <w:r w:rsidR="005A3D04">
        <w:t xml:space="preserve">A CLEC’s use of </w:t>
      </w:r>
      <w:r w:rsidRPr="00944E33">
        <w:t xml:space="preserve">VNXX </w:t>
      </w:r>
      <w:r w:rsidR="005A3D04">
        <w:t xml:space="preserve">numbering arbitrage is an attempt to </w:t>
      </w:r>
      <w:r w:rsidRPr="00944E33">
        <w:t xml:space="preserve">turn these historical local and interexchange compensation rules on their head by making interexchange calls appear to be local.   The use of VNXX numbering arrangements not only denies originating carriers, such as Qwest, the access compensation to which they are entitled for interexchange </w:t>
      </w:r>
      <w:r w:rsidR="005A3D04">
        <w:t>traffic</w:t>
      </w:r>
      <w:r w:rsidRPr="00944E33">
        <w:t xml:space="preserve">, but also attempts to force them to pay reciprocal compensation for traffic which is not truly local. </w:t>
      </w:r>
    </w:p>
    <w:p w:rsidR="00944E33" w:rsidRPr="0076035E" w:rsidRDefault="0076035E" w:rsidP="0076035E">
      <w:pPr>
        <w:pStyle w:val="Heading1"/>
        <w:numPr>
          <w:ilvl w:val="0"/>
          <w:numId w:val="8"/>
        </w:numPr>
        <w:spacing w:before="0"/>
        <w:rPr>
          <w:rFonts w:ascii="Times New Roman" w:hAnsi="Times New Roman" w:cs="Times New Roman"/>
          <w:color w:val="000000" w:themeColor="text1"/>
          <w:sz w:val="24"/>
          <w:szCs w:val="24"/>
        </w:rPr>
      </w:pPr>
      <w:bookmarkStart w:id="3" w:name="_Toc350950423"/>
      <w:r w:rsidRPr="0076035E">
        <w:rPr>
          <w:rFonts w:ascii="Times New Roman" w:hAnsi="Times New Roman" w:cs="Times New Roman"/>
          <w:color w:val="000000" w:themeColor="text1"/>
          <w:sz w:val="24"/>
          <w:szCs w:val="24"/>
        </w:rPr>
        <w:t>Relevant Docket History</w:t>
      </w:r>
      <w:r w:rsidR="00B44CB0" w:rsidRPr="0076035E">
        <w:rPr>
          <w:rStyle w:val="FootnoteReference"/>
          <w:rFonts w:ascii="Times New Roman" w:hAnsi="Times New Roman" w:cs="Times New Roman"/>
          <w:b w:val="0"/>
          <w:color w:val="000000" w:themeColor="text1"/>
          <w:sz w:val="24"/>
          <w:szCs w:val="24"/>
        </w:rPr>
        <w:footnoteReference w:id="10"/>
      </w:r>
      <w:bookmarkEnd w:id="3"/>
    </w:p>
    <w:p w:rsidR="00944E33" w:rsidRDefault="00944E33" w:rsidP="00944E33">
      <w:pPr>
        <w:pStyle w:val="AutoNumBodyCharCharCharChar"/>
      </w:pPr>
      <w:r>
        <w:t xml:space="preserve">This dispute between the parties dates back to 2004 when Qwest began withholding reciprocal compensation payments from Level 3 and Pac-West for VNXX traffic.  In </w:t>
      </w:r>
      <w:r>
        <w:lastRenderedPageBreak/>
        <w:t xml:space="preserve">response, in June 2005, both Level 3 and Pac-West filed Petitions for Enforcement of Interconnection Agreements with the Commission, asking the Commission to enforce the terms of the interconnection agreements concerning compensation for traffic to </w:t>
      </w:r>
      <w:r w:rsidR="000473B5">
        <w:t>ISPs</w:t>
      </w:r>
      <w:r>
        <w:t xml:space="preserve">, including VNXX traffic.  In its counterclaims, Qwest asserted </w:t>
      </w:r>
      <w:r w:rsidR="005756EA">
        <w:t xml:space="preserve">among other things </w:t>
      </w:r>
      <w:r>
        <w:t>that the CLECs’ use of VNXX was illegal and that the traffic in question was not subject to the FCC ordered compensation for ISP-bound traffic since the calls did not physically originate and terminate in the same local calling area.</w:t>
      </w:r>
      <w:r w:rsidR="00BA180E">
        <w:rPr>
          <w:rStyle w:val="FootnoteReference"/>
        </w:rPr>
        <w:footnoteReference w:id="11"/>
      </w:r>
    </w:p>
    <w:p w:rsidR="00944E33" w:rsidRDefault="00944E33" w:rsidP="00944E33">
      <w:pPr>
        <w:pStyle w:val="AutoNumBodyCharCharCharChar"/>
      </w:pPr>
      <w:r w:rsidRPr="00944E33">
        <w:t>In February 2006, the Commission granted Level 3’s and Pac-West’s motions for summary judgment, finding that Qwest must compensate the CLECs for ISP traffic, regardless of whether the traffic physically originated and terminated in the same local calling area.</w:t>
      </w:r>
      <w:r>
        <w:rPr>
          <w:rStyle w:val="FootnoteReference"/>
        </w:rPr>
        <w:footnoteReference w:id="12"/>
      </w:r>
      <w:r w:rsidRPr="00944E33">
        <w:t xml:space="preserve"> As a result of the order, Qwest was required to retroactively pay Level 3 and Pac-West reciprocal compensation, plus interest.  Going forward, Qwest was required to pay reciprocal compensation for all ISP traffic.</w:t>
      </w:r>
      <w:r w:rsidR="00BA180E">
        <w:t xml:space="preserve">  Qwest appealed that decision to federal court.</w:t>
      </w:r>
    </w:p>
    <w:p w:rsidR="00944E33" w:rsidRDefault="00BA180E" w:rsidP="00944E33">
      <w:pPr>
        <w:pStyle w:val="AutoNumBodyCharCharCharChar"/>
      </w:pPr>
      <w:r w:rsidRPr="00944E33">
        <w:t>In April 2007</w:t>
      </w:r>
      <w:r>
        <w:t xml:space="preserve"> </w:t>
      </w:r>
      <w:r w:rsidR="00944E33" w:rsidRPr="00944E33">
        <w:t xml:space="preserve">the U.S. District Court for the Western District of Washington issued a decision finding the Commission’s decision was inconsistent with the FCC’s </w:t>
      </w:r>
      <w:r w:rsidR="00944E33" w:rsidRPr="000473B5">
        <w:rPr>
          <w:i/>
        </w:rPr>
        <w:t>ISP Remand Order</w:t>
      </w:r>
      <w:r w:rsidR="00944E33" w:rsidRPr="00944E33">
        <w:t xml:space="preserve"> and remanded the case back to the Commission for further proceedings.</w:t>
      </w:r>
      <w:r w:rsidR="00944E33">
        <w:rPr>
          <w:rStyle w:val="FootnoteReference"/>
        </w:rPr>
        <w:footnoteReference w:id="13"/>
      </w:r>
      <w:r w:rsidR="00944E33" w:rsidRPr="00944E33">
        <w:t xml:space="preserve"> </w:t>
      </w:r>
    </w:p>
    <w:p w:rsidR="00944E33" w:rsidRDefault="00944E33" w:rsidP="00944E33">
      <w:pPr>
        <w:pStyle w:val="AutoNumBodyCharCharCharChar"/>
      </w:pPr>
      <w:r w:rsidRPr="00944E33">
        <w:t xml:space="preserve">In May 2006, Qwest brought a complaint against nine CLECs asserting that the CLECs violated state law by using VNXX arrangements to provide ISP service, in an attempt to </w:t>
      </w:r>
      <w:r w:rsidRPr="00944E33">
        <w:lastRenderedPageBreak/>
        <w:t>avoid access charges.  The Qwest complaint was docketed as UT-063038.  In July 2008, the Commission issued its final order in the VNXX complaint case, finding that VNXX service was lawful if compensation was paid to the originating LEC for transport it provides.</w:t>
      </w:r>
      <w:r w:rsidR="000473B5">
        <w:rPr>
          <w:rStyle w:val="FootnoteReference"/>
        </w:rPr>
        <w:footnoteReference w:id="14"/>
      </w:r>
    </w:p>
    <w:p w:rsidR="001A56DD" w:rsidRDefault="00944E33" w:rsidP="00944E33">
      <w:pPr>
        <w:pStyle w:val="AutoNumBodyCharCharCharChar"/>
      </w:pPr>
      <w:r w:rsidRPr="00944E33">
        <w:t>On November 14, 2011 the Commission issued Order 12 in this docket. The Commission found that VNXX traffic does not originate and terminate within the same local calling area and is thus, either intrastate interexchange traffic subject to commission determined compensation and not subject to section 251(b)(5) of the Act, or interstate interexchange traffic subject to the FCC’s jurisdiction.  The Commission also found that the VNXX traffic in question is intraLATA toll or toll-like traffic under the agreements, and that it is necessary to conduct a further evidentiary proceeding to determine the location of the ISP modems in each Qwest local calling area and to determine the volume of VNXX ISP-bound traffic subject to compensation.</w:t>
      </w:r>
      <w:r w:rsidR="001A56DD" w:rsidRPr="00CB4623">
        <w:t xml:space="preserve">  </w:t>
      </w:r>
    </w:p>
    <w:p w:rsidR="00EE1BF6" w:rsidRPr="00CB4623" w:rsidRDefault="00EE1BF6" w:rsidP="00EE1BF6">
      <w:pPr>
        <w:pStyle w:val="AutoNumBodyCharCharCharChar"/>
        <w:numPr>
          <w:ilvl w:val="0"/>
          <w:numId w:val="0"/>
        </w:numPr>
        <w:ind w:left="720"/>
      </w:pPr>
    </w:p>
    <w:p w:rsidR="0076035E" w:rsidRPr="0076035E" w:rsidRDefault="0076035E" w:rsidP="0076035E">
      <w:pPr>
        <w:pStyle w:val="Heading1"/>
        <w:numPr>
          <w:ilvl w:val="0"/>
          <w:numId w:val="7"/>
        </w:numPr>
        <w:spacing w:before="0"/>
        <w:jc w:val="center"/>
        <w:rPr>
          <w:rFonts w:ascii="Times New Roman" w:hAnsi="Times New Roman" w:cs="Times New Roman"/>
          <w:color w:val="000000" w:themeColor="text1"/>
          <w:sz w:val="24"/>
          <w:szCs w:val="24"/>
        </w:rPr>
      </w:pPr>
      <w:bookmarkStart w:id="4" w:name="_Toc350950424"/>
      <w:r>
        <w:rPr>
          <w:rFonts w:ascii="Times New Roman" w:hAnsi="Times New Roman" w:cs="Times New Roman"/>
          <w:color w:val="000000" w:themeColor="text1"/>
          <w:sz w:val="24"/>
          <w:szCs w:val="24"/>
        </w:rPr>
        <w:t>LEGAL ARGUMENTS</w:t>
      </w:r>
      <w:bookmarkEnd w:id="4"/>
    </w:p>
    <w:p w:rsidR="00DC4E4B" w:rsidRPr="00C721E2" w:rsidRDefault="00BA6EA8" w:rsidP="00C721E2">
      <w:pPr>
        <w:pStyle w:val="AutoNumBodyCharCharCharChar"/>
      </w:pPr>
      <w:r>
        <w:t xml:space="preserve">The legal issues are </w:t>
      </w:r>
      <w:r w:rsidR="00DC4E4B">
        <w:t>s</w:t>
      </w:r>
      <w:r w:rsidR="00B44CB0">
        <w:t>traightforward</w:t>
      </w:r>
      <w:r w:rsidR="00DC4E4B">
        <w:t xml:space="preserve">.  Does the Commission have jurisdiction to decide the remaining issues in this case?  And, if so, who has the </w:t>
      </w:r>
      <w:r w:rsidR="00CB4623">
        <w:t>burden of proof on these issues?</w:t>
      </w:r>
    </w:p>
    <w:p w:rsidR="00535247" w:rsidRPr="0076035E" w:rsidRDefault="00535247" w:rsidP="00535247">
      <w:pPr>
        <w:pStyle w:val="Heading1"/>
        <w:numPr>
          <w:ilvl w:val="1"/>
          <w:numId w:val="5"/>
        </w:numPr>
        <w:spacing w:before="0"/>
        <w:rPr>
          <w:rFonts w:ascii="Times New Roman" w:hAnsi="Times New Roman" w:cs="Times New Roman"/>
          <w:color w:val="000000" w:themeColor="text1"/>
          <w:sz w:val="24"/>
          <w:szCs w:val="24"/>
        </w:rPr>
      </w:pPr>
      <w:bookmarkStart w:id="5" w:name="_Toc350950425"/>
      <w:r>
        <w:rPr>
          <w:rFonts w:ascii="Times New Roman" w:hAnsi="Times New Roman" w:cs="Times New Roman"/>
          <w:color w:val="000000" w:themeColor="text1"/>
          <w:sz w:val="24"/>
          <w:szCs w:val="24"/>
        </w:rPr>
        <w:t>Jurisdiction</w:t>
      </w:r>
      <w:bookmarkEnd w:id="5"/>
    </w:p>
    <w:p w:rsidR="007A6930" w:rsidRDefault="00DC4E4B" w:rsidP="00944E33">
      <w:pPr>
        <w:pStyle w:val="AutoNumBodyCharCharCharChar"/>
      </w:pPr>
      <w:r>
        <w:t>Qwest believes it is clear from the Commission’s prior orders that the jurisdictional issue has been decided, and that the Commission is lawfully and properly continuing to exercise jurisdiction over this case.</w:t>
      </w:r>
      <w:r>
        <w:rPr>
          <w:rStyle w:val="FootnoteReference"/>
        </w:rPr>
        <w:footnoteReference w:id="15"/>
      </w:r>
      <w:r>
        <w:t xml:space="preserve">  The nature of this action is a petition to enforce the ICA, something the Commission undeniably has the authority to do.  </w:t>
      </w:r>
      <w:r w:rsidR="009B3445">
        <w:t>The Commission’s authority to enforce ICAs encompasses both intrastate and interstate traffic</w:t>
      </w:r>
      <w:r w:rsidR="00435230">
        <w:t xml:space="preserve"> in accordance with the terms of the ICA</w:t>
      </w:r>
      <w:r w:rsidR="009B3445">
        <w:t xml:space="preserve">.  The Commission </w:t>
      </w:r>
      <w:r w:rsidR="00435230">
        <w:t xml:space="preserve">also </w:t>
      </w:r>
      <w:r w:rsidR="009B3445">
        <w:t>has authority over intrastate interexchange traffic independent of its authority to enforce the ICA.</w:t>
      </w:r>
      <w:r w:rsidR="005804BC">
        <w:t xml:space="preserve">  </w:t>
      </w:r>
    </w:p>
    <w:p w:rsidR="007A6930" w:rsidRDefault="007A6930" w:rsidP="00944E33">
      <w:pPr>
        <w:pStyle w:val="AutoNumBodyCharCharCharChar"/>
      </w:pPr>
      <w:r>
        <w:lastRenderedPageBreak/>
        <w:t xml:space="preserve">In addition to having found already that it has subject matter jurisdiction, the Commission has squarely rejected the interpretation of the ICA that </w:t>
      </w:r>
      <w:r w:rsidR="00435230">
        <w:t>Pac-West</w:t>
      </w:r>
      <w:r>
        <w:t xml:space="preserve"> proffer</w:t>
      </w:r>
      <w:r w:rsidR="00435230">
        <w:t>s</w:t>
      </w:r>
      <w:r>
        <w:t xml:space="preserve"> in </w:t>
      </w:r>
      <w:r w:rsidR="00435230">
        <w:t>an</w:t>
      </w:r>
      <w:r>
        <w:t xml:space="preserve"> attempt to avoid paying compensation for VNXX </w:t>
      </w:r>
      <w:r w:rsidR="00C12E6C">
        <w:t xml:space="preserve">traffic </w:t>
      </w:r>
      <w:r>
        <w:t xml:space="preserve">to ISPs.  Based on an exhaustive review of the ICAs, the Commission ruled </w:t>
      </w:r>
      <w:r w:rsidR="002E480F">
        <w:t xml:space="preserve">in </w:t>
      </w:r>
      <w:r w:rsidR="002E480F" w:rsidRPr="00037B20">
        <w:t>Order 12</w:t>
      </w:r>
      <w:r w:rsidR="002E480F">
        <w:t xml:space="preserve"> </w:t>
      </w:r>
      <w:r>
        <w:t xml:space="preserve">that these calls fit within the ICA definition of IntraLATA Toll traffic: "In light of our findings above </w:t>
      </w:r>
      <w:r>
        <w:rPr>
          <w:i/>
        </w:rPr>
        <w:t>and our review of the terms of the parties’ interconnection agreements</w:t>
      </w:r>
      <w:r>
        <w:t>, we interpret those agreements to require Pac-West and Level 3’s VNXX ISP-bound traffic to be treated as IntraLATA Toll or Toll-like traffic, unless the parties subsequently agree to different terms."</w:t>
      </w:r>
      <w:r w:rsidR="00037B20">
        <w:rPr>
          <w:rStyle w:val="FootnoteReference"/>
        </w:rPr>
        <w:footnoteReference w:id="16"/>
      </w:r>
      <w:r>
        <w:t xml:space="preserve">  </w:t>
      </w:r>
    </w:p>
    <w:p w:rsidR="007A6930" w:rsidRPr="001A1D36" w:rsidRDefault="00435230" w:rsidP="00944E33">
      <w:pPr>
        <w:pStyle w:val="AutoNumBodyCharCharCharChar"/>
      </w:pPr>
      <w:r>
        <w:t>No one disputes</w:t>
      </w:r>
      <w:r w:rsidR="007A6930" w:rsidRPr="00B9381F">
        <w:t xml:space="preserve"> that this case is an action under the </w:t>
      </w:r>
      <w:r w:rsidR="007A6930">
        <w:t>ICA</w:t>
      </w:r>
      <w:r w:rsidR="007A6930" w:rsidRPr="00B9381F">
        <w:t xml:space="preserve">.  </w:t>
      </w:r>
      <w:r w:rsidR="007A6930">
        <w:t xml:space="preserve"> </w:t>
      </w:r>
      <w:r w:rsidR="007A6930" w:rsidRPr="001A1D36">
        <w:t>The facilities used to complete the calls were facilities or</w:t>
      </w:r>
      <w:r w:rsidR="007A6930">
        <w:t>dered and provided under the ICA</w:t>
      </w:r>
      <w:r w:rsidR="007A6930" w:rsidRPr="001A1D36">
        <w:t xml:space="preserve">.  And the </w:t>
      </w:r>
      <w:r w:rsidR="007A6930">
        <w:t>C</w:t>
      </w:r>
      <w:r w:rsidR="007A6930" w:rsidRPr="001A1D36">
        <w:t xml:space="preserve">ommission has jurisdiction to enforce the </w:t>
      </w:r>
      <w:r w:rsidR="007A6930">
        <w:t>ICA</w:t>
      </w:r>
      <w:r w:rsidR="007A6930" w:rsidRPr="001A1D36">
        <w:t xml:space="preserve"> – </w:t>
      </w:r>
      <w:r w:rsidR="007A6930">
        <w:t>Pac-West</w:t>
      </w:r>
      <w:r w:rsidR="007A6930" w:rsidRPr="001A1D36">
        <w:t xml:space="preserve"> conceded that point when </w:t>
      </w:r>
      <w:r w:rsidR="00F873D1">
        <w:t>it</w:t>
      </w:r>
      <w:r w:rsidR="00F873D1" w:rsidRPr="001A1D36">
        <w:t xml:space="preserve"> </w:t>
      </w:r>
      <w:r w:rsidR="007A6930" w:rsidRPr="001A1D36">
        <w:t xml:space="preserve">asked the </w:t>
      </w:r>
      <w:r w:rsidR="007A6930">
        <w:t>C</w:t>
      </w:r>
      <w:r w:rsidR="007A6930" w:rsidRPr="001A1D36">
        <w:t xml:space="preserve">ommission to do so – </w:t>
      </w:r>
      <w:r w:rsidR="00F873D1">
        <w:t>it is</w:t>
      </w:r>
      <w:r w:rsidR="007A6930" w:rsidRPr="001A1D36">
        <w:t xml:space="preserve"> the ones who initiated this action.  Included in the </w:t>
      </w:r>
      <w:r w:rsidR="007A6930">
        <w:t>ICA</w:t>
      </w:r>
      <w:r w:rsidR="007A6930" w:rsidRPr="001A1D36">
        <w:t xml:space="preserve"> are provisions that reference the access tariffs as the proper compensation method when interexchange, as opposed to local, traffic is being exchanged.</w:t>
      </w:r>
    </w:p>
    <w:p w:rsidR="007A6930" w:rsidRDefault="007A6930" w:rsidP="00944E33">
      <w:pPr>
        <w:pStyle w:val="AutoNumBodyCharCharCharChar"/>
      </w:pPr>
      <w:r>
        <w:t xml:space="preserve">In prior decisions in this docket, the Commission explained that "CLECs should bear the cost of using Qwest’s network to serve their customers," and that "this fundamental principle of intercarrier compensation [] is reflected </w:t>
      </w:r>
      <w:r>
        <w:rPr>
          <w:i/>
        </w:rPr>
        <w:t>in interconnection agreements between these parties</w:t>
      </w:r>
      <w:r>
        <w:t xml:space="preserve"> and those of all other companies within our jurisdiction."</w:t>
      </w:r>
      <w:r w:rsidR="00037B20">
        <w:rPr>
          <w:rStyle w:val="FootnoteReference"/>
        </w:rPr>
        <w:footnoteReference w:id="17"/>
      </w:r>
      <w:r>
        <w:t xml:space="preserve">  </w:t>
      </w:r>
    </w:p>
    <w:p w:rsidR="00D377CD" w:rsidRDefault="00435230">
      <w:pPr>
        <w:pStyle w:val="AutoNumBodyCharCharCharChar"/>
      </w:pPr>
      <w:r>
        <w:t>A</w:t>
      </w:r>
      <w:r w:rsidR="005804BC">
        <w:t xml:space="preserve">s to the periods of time where the ISP-bound VNXX traffic was sent to Pac-West </w:t>
      </w:r>
      <w:r w:rsidR="0071640B">
        <w:t>modems outside the local calling area of the calling party</w:t>
      </w:r>
      <w:r w:rsidR="005804BC">
        <w:t>, the Commission may exercise jurisdiction where the FCC has chosen not to.  F</w:t>
      </w:r>
      <w:r w:rsidR="00683B90" w:rsidRPr="00B9381F">
        <w:t xml:space="preserve">or traffic that is bound for the internet - even for </w:t>
      </w:r>
      <w:r w:rsidR="00683B90" w:rsidRPr="005804BC">
        <w:rPr>
          <w:i/>
        </w:rPr>
        <w:t>jurisdictionally</w:t>
      </w:r>
      <w:r w:rsidR="00683B90" w:rsidRPr="00B9381F">
        <w:t xml:space="preserve"> </w:t>
      </w:r>
      <w:r w:rsidR="00683B90" w:rsidRPr="005804BC">
        <w:rPr>
          <w:i/>
        </w:rPr>
        <w:t>interstate</w:t>
      </w:r>
      <w:r w:rsidR="00683B90" w:rsidRPr="00B9381F">
        <w:t xml:space="preserve"> traffic - the following discussion from a 2011 9</w:t>
      </w:r>
      <w:r w:rsidR="00683B90" w:rsidRPr="005804BC">
        <w:rPr>
          <w:vertAlign w:val="superscript"/>
        </w:rPr>
        <w:t>th</w:t>
      </w:r>
      <w:r w:rsidR="005804BC">
        <w:t xml:space="preserve"> cir</w:t>
      </w:r>
      <w:r w:rsidR="0071640B">
        <w:t>cuit decision affirms the Commission’s authority to decide these issues</w:t>
      </w:r>
      <w:r>
        <w:t>:</w:t>
      </w:r>
    </w:p>
    <w:p w:rsidR="005804BC" w:rsidRDefault="0013558B" w:rsidP="00435230">
      <w:pPr>
        <w:pStyle w:val="AutoNumBodyCharCharCharChar"/>
        <w:numPr>
          <w:ilvl w:val="0"/>
          <w:numId w:val="0"/>
        </w:numPr>
        <w:spacing w:line="240" w:lineRule="auto"/>
        <w:ind w:left="1440"/>
      </w:pPr>
      <w:r w:rsidRPr="005804BC">
        <w:t>We begin with a few well-settled principles. First, there is no question that, for jurisdictional purposes, ISP-</w:t>
      </w:r>
      <w:r w:rsidRPr="00683B90">
        <w:t>bound</w:t>
      </w:r>
      <w:r w:rsidRPr="005804BC">
        <w:t xml:space="preserve"> traffic is interstate in nature. </w:t>
      </w:r>
      <w:r w:rsidR="00435230">
        <w:t xml:space="preserve"> </w:t>
      </w:r>
      <w:r w:rsidRPr="005804BC">
        <w:t xml:space="preserve">ISP-bound traffic is therefore subject to the FCC's congressionally-delegated jurisdiction.  Within </w:t>
      </w:r>
      <w:r w:rsidRPr="005804BC">
        <w:lastRenderedPageBreak/>
        <w:t xml:space="preserve">this ambit, the FCC's actions can preempt state regulation to the contrary. </w:t>
      </w:r>
      <w:r w:rsidR="005804BC">
        <w:t xml:space="preserve"> </w:t>
      </w:r>
      <w:r w:rsidRPr="005804BC">
        <w:t xml:space="preserve">But, as the district court noted, </w:t>
      </w:r>
      <w:r w:rsidR="005804BC">
        <w:t>‘</w:t>
      </w:r>
      <w:r w:rsidRPr="005804BC">
        <w:t>[a] matter may be subject to FCC jurisdiction without the FCC having exercised that jurisdiction and preempted state regulation.</w:t>
      </w:r>
      <w:r w:rsidR="005804BC">
        <w:t>’</w:t>
      </w:r>
      <w:r w:rsidRPr="005804BC">
        <w:t xml:space="preserve"> </w:t>
      </w:r>
      <w:r w:rsidR="005804BC">
        <w:t xml:space="preserve"> </w:t>
      </w:r>
      <w:r w:rsidRPr="005804BC">
        <w:t xml:space="preserve">Determining whether the FCC has </w:t>
      </w:r>
      <w:r w:rsidRPr="00683B90">
        <w:t>chosen</w:t>
      </w:r>
      <w:r w:rsidRPr="005804BC">
        <w:t xml:space="preserve"> to d</w:t>
      </w:r>
      <w:r w:rsidR="005804BC">
        <w:t>isp</w:t>
      </w:r>
      <w:r w:rsidRPr="005804BC">
        <w:t xml:space="preserve">lace state law turns on the scope of its intent in exercising its jurisdiction. </w:t>
      </w:r>
      <w:r w:rsidR="005804BC">
        <w:t xml:space="preserve"> </w:t>
      </w:r>
      <w:r w:rsidRPr="005804BC">
        <w:t xml:space="preserve">In issuing the </w:t>
      </w:r>
      <w:r w:rsidRPr="00435230">
        <w:rPr>
          <w:i/>
        </w:rPr>
        <w:t>ISP Remand Order</w:t>
      </w:r>
      <w:r w:rsidRPr="005804BC">
        <w:t>, the FCC clearly understood that it was d</w:t>
      </w:r>
      <w:r w:rsidR="005804BC">
        <w:t>isp</w:t>
      </w:r>
      <w:r w:rsidRPr="005804BC">
        <w:t>lacing at least some state laws.</w:t>
      </w:r>
      <w:r w:rsidR="006F7CE5">
        <w:rPr>
          <w:rStyle w:val="FootnoteReference"/>
        </w:rPr>
        <w:footnoteReference w:id="18"/>
      </w:r>
      <w:r w:rsidR="0071640B" w:rsidRPr="00435230">
        <w:rPr>
          <w:b/>
          <w:bCs/>
          <w:i/>
          <w:iCs/>
          <w:sz w:val="20"/>
          <w:szCs w:val="20"/>
        </w:rPr>
        <w:t xml:space="preserve"> </w:t>
      </w:r>
    </w:p>
    <w:p w:rsidR="0013558B" w:rsidRPr="005804BC" w:rsidRDefault="007A6930" w:rsidP="00944E33">
      <w:pPr>
        <w:pStyle w:val="AutoNumBodyCharCharCharChar"/>
      </w:pPr>
      <w:r>
        <w:t xml:space="preserve">The court </w:t>
      </w:r>
      <w:r w:rsidR="00435230">
        <w:t xml:space="preserve">goes on to </w:t>
      </w:r>
      <w:r w:rsidR="0013558B" w:rsidRPr="005804BC">
        <w:t>quote the FCC</w:t>
      </w:r>
      <w:r>
        <w:t xml:space="preserve"> on ISP-bound traffic</w:t>
      </w:r>
      <w:r w:rsidR="00435230">
        <w:t>, where the FCC clearly indicated the scope of its preemption:</w:t>
      </w:r>
      <w:r w:rsidR="005804BC">
        <w:t>“</w:t>
      </w:r>
      <w:r w:rsidR="0013558B" w:rsidRPr="005804BC">
        <w:t>Because we now exercise our authority under section 201 to determine the appropriate intercarrier compensation for ISP-bound traffic, however, state c</w:t>
      </w:r>
      <w:r w:rsidR="005804BC">
        <w:t>ommissions will no longer</w:t>
      </w:r>
      <w:r w:rsidR="0013558B" w:rsidRPr="005804BC">
        <w:t xml:space="preserve"> have a</w:t>
      </w:r>
      <w:r w:rsidR="005804BC">
        <w:t>uthority to address this issue.”</w:t>
      </w:r>
      <w:r w:rsidR="00435230">
        <w:t xml:space="preserve">  However, it is clear that this preemption applies only to ISP-bound calls that originate and terminate in the same local calling area, and it does not apply to VNXX calls.</w:t>
      </w:r>
    </w:p>
    <w:p w:rsidR="00435230" w:rsidRDefault="007A6930" w:rsidP="00944E33">
      <w:pPr>
        <w:pStyle w:val="AutoNumBodyCharCharCharChar"/>
      </w:pPr>
      <w:r>
        <w:t>Continuing its discussion</w:t>
      </w:r>
      <w:r w:rsidR="00435230">
        <w:t xml:space="preserve"> of this issue</w:t>
      </w:r>
      <w:r>
        <w:t>, the court states</w:t>
      </w:r>
      <w:r w:rsidR="00435230">
        <w:t>:</w:t>
      </w:r>
      <w:r>
        <w:t xml:space="preserve"> </w:t>
      </w:r>
    </w:p>
    <w:p w:rsidR="007A6930" w:rsidRDefault="0013558B" w:rsidP="00435230">
      <w:pPr>
        <w:pStyle w:val="AutoNumBodyCharCharCharChar"/>
        <w:numPr>
          <w:ilvl w:val="0"/>
          <w:numId w:val="0"/>
        </w:numPr>
        <w:spacing w:line="240" w:lineRule="auto"/>
        <w:ind w:left="1080"/>
      </w:pPr>
      <w:r w:rsidRPr="005804BC">
        <w:t xml:space="preserve">Nonetheless, it is also well settled that, with the </w:t>
      </w:r>
      <w:r w:rsidRPr="00985A12">
        <w:rPr>
          <w:i/>
        </w:rPr>
        <w:t>ISP Remand Order</w:t>
      </w:r>
      <w:r w:rsidRPr="005804BC">
        <w:t xml:space="preserve"> and related </w:t>
      </w:r>
      <w:r w:rsidRPr="00683B90">
        <w:t>pronouncements</w:t>
      </w:r>
      <w:r w:rsidRPr="005804BC">
        <w:t xml:space="preserve">, the FCC has not exercised its jurisdiction over all manifestations of ISP-bound traffic.  For example, this Court held in </w:t>
      </w:r>
      <w:r w:rsidRPr="00985A12">
        <w:rPr>
          <w:i/>
        </w:rPr>
        <w:t>Peevey</w:t>
      </w:r>
      <w:r w:rsidRPr="005804BC">
        <w:t xml:space="preserve"> that the CPUC correctly interpreted the </w:t>
      </w:r>
      <w:r w:rsidRPr="00985A12">
        <w:rPr>
          <w:i/>
        </w:rPr>
        <w:t>ISP Remand Order</w:t>
      </w:r>
      <w:r w:rsidRPr="005804BC">
        <w:t xml:space="preserve"> as not applying to interexchange (that is, non-local) ISP-bound traffic. </w:t>
      </w:r>
      <w:r w:rsidRPr="00985A12">
        <w:rPr>
          <w:i/>
        </w:rPr>
        <w:t>See</w:t>
      </w:r>
      <w:r w:rsidRPr="005804BC">
        <w:t xml:space="preserve"> 462 F.3d at 1159. Other courts have reached the same conclusion. </w:t>
      </w:r>
      <w:r w:rsidRPr="00985A12">
        <w:rPr>
          <w:i/>
        </w:rPr>
        <w:t>See</w:t>
      </w:r>
      <w:r w:rsidRPr="005804BC">
        <w:t xml:space="preserve"> </w:t>
      </w:r>
      <w:r w:rsidRPr="00985A12">
        <w:rPr>
          <w:i/>
        </w:rPr>
        <w:t>Global NAPs I</w:t>
      </w:r>
      <w:r w:rsidRPr="005804BC">
        <w:t xml:space="preserve">, 444 F.3d at 72; </w:t>
      </w:r>
      <w:r w:rsidRPr="00985A12">
        <w:rPr>
          <w:i/>
        </w:rPr>
        <w:t>Global NAPs, Inc. v. Verizon New Eng., Inc.</w:t>
      </w:r>
      <w:r w:rsidRPr="005804BC">
        <w:t>, 603 F.3d71, 81-82 (1st Cir. 2010) ("</w:t>
      </w:r>
      <w:r w:rsidRPr="00985A12">
        <w:rPr>
          <w:i/>
        </w:rPr>
        <w:t>Global NAPs III</w:t>
      </w:r>
      <w:r w:rsidRPr="005804BC">
        <w:t>") (same,</w:t>
      </w:r>
      <w:r w:rsidR="00E1710A" w:rsidRPr="005804BC">
        <w:t xml:space="preserve"> </w:t>
      </w:r>
      <w:r w:rsidRPr="00683B90">
        <w:t xml:space="preserve">even after </w:t>
      </w:r>
      <w:r w:rsidRPr="00985A12">
        <w:rPr>
          <w:i/>
        </w:rPr>
        <w:t>ISP Mandate Order</w:t>
      </w:r>
      <w:r w:rsidRPr="00683B90">
        <w:t xml:space="preserve">); cf. </w:t>
      </w:r>
      <w:r w:rsidRPr="00985A12">
        <w:rPr>
          <w:i/>
        </w:rPr>
        <w:t>Global NAPs, Inc. v. Verizon New Eng., Inc.</w:t>
      </w:r>
      <w:r w:rsidRPr="00683B90">
        <w:t>, 454 F.3d 91, 98 (2d Cir. 2006)</w:t>
      </w:r>
      <w:r w:rsidR="00E1710A">
        <w:t xml:space="preserve"> </w:t>
      </w:r>
      <w:r w:rsidRPr="00683B90">
        <w:t>("</w:t>
      </w:r>
      <w:r w:rsidRPr="00985A12">
        <w:rPr>
          <w:i/>
        </w:rPr>
        <w:t>Global Naps II</w:t>
      </w:r>
      <w:r w:rsidRPr="00683B90">
        <w:t>") (holding that the FCC did not intend "to preempt the state commissions' authority to define</w:t>
      </w:r>
      <w:r w:rsidR="00E1710A">
        <w:t xml:space="preserve"> </w:t>
      </w:r>
      <w:r w:rsidRPr="00683B90">
        <w:t xml:space="preserve">local calling areas for the purposes of intercarrier compensation").  In sum, it is well settled that the </w:t>
      </w:r>
      <w:r w:rsidRPr="005770E1">
        <w:rPr>
          <w:i/>
        </w:rPr>
        <w:t>ISP Remand Order</w:t>
      </w:r>
      <w:r w:rsidRPr="00683B90">
        <w:t xml:space="preserve"> has preemptive effect with regard to the ISP-related issues it encompass</w:t>
      </w:r>
      <w:r w:rsidR="007A6930">
        <w:t>es.</w:t>
      </w:r>
    </w:p>
    <w:p w:rsidR="00BC18CE" w:rsidRDefault="007A6930" w:rsidP="00944E33">
      <w:pPr>
        <w:pStyle w:val="AutoNumBodyCharCharCharChar"/>
      </w:pPr>
      <w:r>
        <w:t>On the other hand, t</w:t>
      </w:r>
      <w:r w:rsidR="00BC18CE">
        <w:t xml:space="preserve">he FCC has clearly chosen </w:t>
      </w:r>
      <w:r w:rsidR="00BC18CE" w:rsidRPr="007A6930">
        <w:rPr>
          <w:i/>
        </w:rPr>
        <w:t>not</w:t>
      </w:r>
      <w:r w:rsidR="00BC18CE">
        <w:t xml:space="preserve"> to regulate non-local ISP-bound traffic, despite many opportunities to do so.</w:t>
      </w:r>
      <w:r w:rsidR="0044398C">
        <w:t xml:space="preserve">  </w:t>
      </w:r>
      <w:r>
        <w:t>Pac-West acknowledged this in it</w:t>
      </w:r>
      <w:r w:rsidR="00A43E37">
        <w:t>s</w:t>
      </w:r>
      <w:r>
        <w:t xml:space="preserve"> Motion for Summary Determination filed on </w:t>
      </w:r>
      <w:r w:rsidR="00A43E37">
        <w:t>June 1, 2012</w:t>
      </w:r>
      <w:r>
        <w:t>, in which Pac-West and Level 3 jointly argued that because the FCC “</w:t>
      </w:r>
      <w:r w:rsidRPr="007A6930">
        <w:t>has not yet decided what compensation regime applies to non-local (VNXX) ISP-bound traffic</w:t>
      </w:r>
      <w:r>
        <w:t>”,</w:t>
      </w:r>
      <w:r w:rsidR="00A43E37">
        <w:rPr>
          <w:rStyle w:val="FootnoteReference"/>
        </w:rPr>
        <w:footnoteReference w:id="19"/>
      </w:r>
      <w:r>
        <w:t xml:space="preserve"> the Commission has no authority to act, but </w:t>
      </w:r>
      <w:r>
        <w:lastRenderedPageBreak/>
        <w:t xml:space="preserve">rather must wait for the FCC to act.  This argument is plainly contrary to the reasoning in the </w:t>
      </w:r>
      <w:r w:rsidRPr="005770E1">
        <w:rPr>
          <w:i/>
        </w:rPr>
        <w:t>AT&amp;T v. Pac-West</w:t>
      </w:r>
      <w:r>
        <w:t xml:space="preserve"> case discussed above, and is unsupported by citation to authority</w:t>
      </w:r>
      <w:r w:rsidRPr="007A6930">
        <w:t xml:space="preserve">. </w:t>
      </w:r>
    </w:p>
    <w:p w:rsidR="00626686" w:rsidRPr="0076035E" w:rsidRDefault="00626686" w:rsidP="00626686">
      <w:pPr>
        <w:pStyle w:val="Heading1"/>
        <w:numPr>
          <w:ilvl w:val="0"/>
          <w:numId w:val="9"/>
        </w:numPr>
        <w:spacing w:before="0"/>
        <w:rPr>
          <w:rFonts w:ascii="Times New Roman" w:hAnsi="Times New Roman" w:cs="Times New Roman"/>
          <w:color w:val="000000" w:themeColor="text1"/>
          <w:sz w:val="24"/>
          <w:szCs w:val="24"/>
        </w:rPr>
      </w:pPr>
      <w:bookmarkStart w:id="6" w:name="_Toc350950426"/>
      <w:r>
        <w:rPr>
          <w:rFonts w:ascii="Times New Roman" w:hAnsi="Times New Roman" w:cs="Times New Roman"/>
          <w:color w:val="000000" w:themeColor="text1"/>
          <w:sz w:val="24"/>
          <w:szCs w:val="24"/>
        </w:rPr>
        <w:t>Burden of Proof</w:t>
      </w:r>
      <w:bookmarkEnd w:id="6"/>
    </w:p>
    <w:p w:rsidR="00743BB8" w:rsidRDefault="00743BB8" w:rsidP="00F27744">
      <w:pPr>
        <w:pStyle w:val="AutoNumBodyCharCharCharChar"/>
      </w:pPr>
      <w:r w:rsidRPr="00743BB8">
        <w:t>In complaint proceedings before the Commission, the complainant carries the burden of proof.</w:t>
      </w:r>
      <w:r w:rsidRPr="009B21AC">
        <w:rPr>
          <w:rStyle w:val="FootnoteReference"/>
        </w:rPr>
        <w:footnoteReference w:id="20"/>
      </w:r>
      <w:r w:rsidRPr="00743BB8">
        <w:t xml:space="preserve"> </w:t>
      </w:r>
      <w:r>
        <w:t xml:space="preserve"> </w:t>
      </w:r>
      <w:r w:rsidRPr="00743BB8">
        <w:t>A party who files a counterclaim carries the burden of proof with respect to its counterclaim.</w:t>
      </w:r>
      <w:r>
        <w:rPr>
          <w:rStyle w:val="FootnoteReference"/>
        </w:rPr>
        <w:footnoteReference w:id="21"/>
      </w:r>
      <w:r w:rsidRPr="00743BB8">
        <w:t xml:space="preserve">  In this case, Pac-West is the complainant and has sought to recover reciprocal compensation on VNXX traffic.  Since the Commission initially required Qwest to pay reciprocal compensation on VNXX traffic, Pac-West now bears the burden of proving that it is entitled to retain the payments made by Qwest for VNXX traffic and the amount or portion of the payments that it is entitled to retain.  In this case, Qwest filed counterclaims which encompassed its claims for access charges and, in the alternative, compensation for the transport that Qwest provides.  Qwest bears the burden of proof on these </w:t>
      </w:r>
      <w:r>
        <w:t>counterc</w:t>
      </w:r>
      <w:r w:rsidRPr="00743BB8">
        <w:t>laims.</w:t>
      </w:r>
      <w:r w:rsidR="00F27744">
        <w:t xml:space="preserve">  </w:t>
      </w:r>
      <w:r>
        <w:t>As will be discussed in more detail bel</w:t>
      </w:r>
      <w:r w:rsidR="00A43E37">
        <w:t>ow, Qwest has met</w:t>
      </w:r>
      <w:r w:rsidR="005756EA">
        <w:t xml:space="preserve"> its burden while Pac-West has not</w:t>
      </w:r>
      <w:r>
        <w:t>.</w:t>
      </w:r>
    </w:p>
    <w:p w:rsidR="005804BC" w:rsidRDefault="00A43E37" w:rsidP="00944E33">
      <w:pPr>
        <w:pStyle w:val="AutoNumBodyCharCharCharChar"/>
      </w:pPr>
      <w:r>
        <w:t>On the issue of the refund, the only proof that is necessary is that Qwest paid the amount owed under the Commission order.  Exhibit WRE-</w:t>
      </w:r>
      <w:r w:rsidR="009B3445">
        <w:t>16C</w:t>
      </w:r>
      <w:r>
        <w:t xml:space="preserve">, as well as other testimony, establishes that fact.  Pac-West </w:t>
      </w:r>
      <w:r w:rsidR="005770E1">
        <w:t xml:space="preserve">now </w:t>
      </w:r>
      <w:r>
        <w:t xml:space="preserve">has the burden of establishing that the traffic was in fact compensable, i.e., local ISP-bound traffic.  Pac-West offered no evidence on that issue.  </w:t>
      </w:r>
    </w:p>
    <w:p w:rsidR="005804BC" w:rsidRDefault="00BC18CE" w:rsidP="00944E33">
      <w:pPr>
        <w:pStyle w:val="AutoNumBodyCharCharCharChar"/>
      </w:pPr>
      <w:r w:rsidRPr="005804BC">
        <w:t>Re</w:t>
      </w:r>
      <w:r w:rsidR="00A43E37">
        <w:t xml:space="preserve">garding the </w:t>
      </w:r>
      <w:r w:rsidR="0051633C">
        <w:t xml:space="preserve">amounts </w:t>
      </w:r>
      <w:r w:rsidR="00A43E37">
        <w:t xml:space="preserve">paid under protest and for which Qwest now seeks a refund as well, the analysis is the same.  </w:t>
      </w:r>
      <w:r w:rsidR="00C954A1">
        <w:t>Qwest has established that those am</w:t>
      </w:r>
      <w:r w:rsidRPr="005804BC">
        <w:t>ounts</w:t>
      </w:r>
      <w:r w:rsidR="00C954A1">
        <w:t xml:space="preserve"> were </w:t>
      </w:r>
      <w:r w:rsidR="00F9103F">
        <w:t xml:space="preserve">paid for </w:t>
      </w:r>
      <w:r w:rsidR="00F9103F">
        <w:lastRenderedPageBreak/>
        <w:t>traffic that was</w:t>
      </w:r>
      <w:r w:rsidR="00C954A1">
        <w:t xml:space="preserve"> VNXX traffic.  Pac-West has not</w:t>
      </w:r>
      <w:r w:rsidRPr="005804BC">
        <w:t xml:space="preserve"> challenged </w:t>
      </w:r>
      <w:r w:rsidR="00C954A1">
        <w:t>the</w:t>
      </w:r>
      <w:r w:rsidRPr="005804BC">
        <w:t xml:space="preserve"> calculation with evidence</w:t>
      </w:r>
      <w:r w:rsidR="00C954A1">
        <w:t xml:space="preserve"> to show that the traffic was </w:t>
      </w:r>
      <w:r w:rsidR="00F9103F">
        <w:t xml:space="preserve">indeed </w:t>
      </w:r>
      <w:r w:rsidR="00C954A1">
        <w:t xml:space="preserve">local.  </w:t>
      </w:r>
    </w:p>
    <w:p w:rsidR="00BC18CE" w:rsidRDefault="00C954A1" w:rsidP="00E05770">
      <w:pPr>
        <w:pStyle w:val="AutoNumBodyCharCharCharChar"/>
      </w:pPr>
      <w:r>
        <w:t xml:space="preserve">For the period of </w:t>
      </w:r>
      <w:r w:rsidR="00A43E37">
        <w:t>2007-2009</w:t>
      </w:r>
      <w:r>
        <w:t>, Qwest agrees that it has the bu</w:t>
      </w:r>
      <w:r w:rsidR="00A43E37">
        <w:t>rden of proof</w:t>
      </w:r>
      <w:r w:rsidR="005770E1">
        <w:t xml:space="preserve"> on its claim for access charges, and in the alternative, its claim for transport compensation</w:t>
      </w:r>
      <w:r>
        <w:t xml:space="preserve">.  Qwest has provided evidence showing transport </w:t>
      </w:r>
      <w:r w:rsidR="00BC18CE" w:rsidRPr="005804BC">
        <w:t xml:space="preserve">routes and minutes </w:t>
      </w:r>
      <w:r>
        <w:t xml:space="preserve">of use.  Qwest has provided </w:t>
      </w:r>
      <w:r w:rsidR="00BC18CE" w:rsidRPr="005804BC">
        <w:t xml:space="preserve">a reasonable calculation for compensation for the use of </w:t>
      </w:r>
      <w:r>
        <w:t>its network</w:t>
      </w:r>
      <w:r w:rsidR="00BC18CE" w:rsidRPr="005804BC">
        <w:t xml:space="preserve"> facilities.  </w:t>
      </w:r>
      <w:r>
        <w:t xml:space="preserve">Pac-West has done little more than refuse to pay.  </w:t>
      </w:r>
    </w:p>
    <w:p w:rsidR="00EE1BF6" w:rsidRPr="00E05770" w:rsidRDefault="00EE1BF6" w:rsidP="00EE1BF6">
      <w:pPr>
        <w:pStyle w:val="AutoNumBodyCharCharCharChar"/>
        <w:numPr>
          <w:ilvl w:val="0"/>
          <w:numId w:val="0"/>
        </w:numPr>
        <w:ind w:left="720"/>
      </w:pPr>
    </w:p>
    <w:p w:rsidR="00E05770" w:rsidRPr="0076035E" w:rsidRDefault="00E05770" w:rsidP="00E05770">
      <w:pPr>
        <w:pStyle w:val="Heading1"/>
        <w:numPr>
          <w:ilvl w:val="0"/>
          <w:numId w:val="7"/>
        </w:numPr>
        <w:spacing w:before="0"/>
        <w:jc w:val="center"/>
        <w:rPr>
          <w:rFonts w:ascii="Times New Roman" w:hAnsi="Times New Roman" w:cs="Times New Roman"/>
          <w:color w:val="000000" w:themeColor="text1"/>
          <w:sz w:val="24"/>
          <w:szCs w:val="24"/>
        </w:rPr>
      </w:pPr>
      <w:bookmarkStart w:id="7" w:name="_Toc350950427"/>
      <w:r>
        <w:rPr>
          <w:rFonts w:ascii="Times New Roman" w:hAnsi="Times New Roman" w:cs="Times New Roman"/>
          <w:color w:val="000000" w:themeColor="text1"/>
          <w:sz w:val="24"/>
          <w:szCs w:val="24"/>
        </w:rPr>
        <w:t>NATURE AND AMOUNT OF TRAFFIC</w:t>
      </w:r>
      <w:bookmarkEnd w:id="7"/>
    </w:p>
    <w:p w:rsidR="004D278A" w:rsidRDefault="004D278A" w:rsidP="00944E33">
      <w:pPr>
        <w:pStyle w:val="AutoNumBodyCharCharCharChar"/>
      </w:pPr>
      <w:r>
        <w:t>During the time periods at issue in this dispute, Pac-West was in the business of providing service to Internet service providers.  As a result, substantially all of the traffic exchanged between Qwest and Pac-West was ISP traffic.</w:t>
      </w:r>
      <w:r>
        <w:rPr>
          <w:rStyle w:val="FootnoteReference"/>
        </w:rPr>
        <w:footnoteReference w:id="22"/>
      </w:r>
      <w:r>
        <w:t xml:space="preserve">  </w:t>
      </w:r>
      <w:r w:rsidRPr="004E64F3">
        <w:t xml:space="preserve">The vast majority of </w:t>
      </w:r>
      <w:r>
        <w:t xml:space="preserve">this traffic </w:t>
      </w:r>
      <w:r w:rsidRPr="004E64F3">
        <w:t xml:space="preserve">was </w:t>
      </w:r>
      <w:r>
        <w:t xml:space="preserve">also </w:t>
      </w:r>
      <w:r w:rsidRPr="004E64F3">
        <w:t>VNXX traffic.  Pac-West assigned telephone numbers to its ISP customers to make it appear that the calls were delivered to ISP modem</w:t>
      </w:r>
      <w:r>
        <w:t>s</w:t>
      </w:r>
      <w:r w:rsidRPr="004E64F3">
        <w:t xml:space="preserve"> located in the callers</w:t>
      </w:r>
      <w:r>
        <w:t>’</w:t>
      </w:r>
      <w:r w:rsidRPr="004E64F3">
        <w:t xml:space="preserve"> local calling area.  In fact, </w:t>
      </w:r>
      <w:r>
        <w:t>from February, 2006 through</w:t>
      </w:r>
      <w:r w:rsidR="005770E1">
        <w:t xml:space="preserve"> </w:t>
      </w:r>
      <w:r w:rsidR="00B35260">
        <w:t>November</w:t>
      </w:r>
      <w:r>
        <w:t>, 2007</w:t>
      </w:r>
      <w:r w:rsidRPr="004E64F3">
        <w:t xml:space="preserve">, from </w:t>
      </w:r>
      <w:r w:rsidRPr="004E64F3">
        <w:rPr>
          <w:b/>
        </w:rPr>
        <w:t xml:space="preserve">[BEGIN </w:t>
      </w:r>
      <w:r w:rsidR="00386F77">
        <w:rPr>
          <w:b/>
        </w:rPr>
        <w:t>REDACTED XXXXXXXXXX END REDACTED</w:t>
      </w:r>
      <w:r w:rsidRPr="004E64F3">
        <w:rPr>
          <w:b/>
        </w:rPr>
        <w:t>]</w:t>
      </w:r>
      <w:r>
        <w:t xml:space="preserve"> </w:t>
      </w:r>
      <w:r w:rsidRPr="004E64F3">
        <w:t>of the calls delivered by Qwest to Pac-West were delivered to ISP modems located outside the callers</w:t>
      </w:r>
      <w:r w:rsidR="005770E1">
        <w:t>’</w:t>
      </w:r>
      <w:r w:rsidRPr="004E64F3">
        <w:t xml:space="preserve"> local calling area.</w:t>
      </w:r>
      <w:r>
        <w:rPr>
          <w:rStyle w:val="FootnoteReference"/>
        </w:rPr>
        <w:footnoteReference w:id="23"/>
      </w:r>
      <w:r>
        <w:t xml:space="preserve">  The Commission has already determined that Pac-West was not entitled to reciprocal compensation on this VNXX traffic under its ICA with Qwest.</w:t>
      </w:r>
    </w:p>
    <w:p w:rsidR="00C954A1" w:rsidRDefault="004D278A" w:rsidP="00944E33">
      <w:pPr>
        <w:pStyle w:val="AutoNumBodyCharCharCharChar"/>
      </w:pPr>
      <w:r>
        <w:t xml:space="preserve">At hearing, Qwest proved both the amount and the percentage of </w:t>
      </w:r>
      <w:r w:rsidR="00F253FD">
        <w:t xml:space="preserve">traffic terminating to </w:t>
      </w:r>
      <w:r>
        <w:t>Pac-West that was VNXX traffic for the relevant time periods.  Qwest’s proof was based on straightforward and uncontradicted calculations.  To determine the amount of VNXX traffic, Qwest first calculated the percentage of Pac-West’s traffic that was VNXX traffic using systems that record the amount of traffic carried on particular trunk groups.</w:t>
      </w:r>
      <w:r>
        <w:rPr>
          <w:rStyle w:val="FootnoteReference"/>
        </w:rPr>
        <w:footnoteReference w:id="24"/>
      </w:r>
      <w:r>
        <w:t xml:space="preserve">  Each trunk group originates at a Qwest switch that corresponds with a particular local calling </w:t>
      </w:r>
      <w:r>
        <w:lastRenderedPageBreak/>
        <w:t>area.  Traffic delivered to Pac-West from these trunk groups was switched by Pac-West and terminated a</w:t>
      </w:r>
      <w:r w:rsidR="00C954A1">
        <w:t xml:space="preserve">t Pac-West modems in Tukwila </w:t>
      </w:r>
      <w:r>
        <w:t xml:space="preserve">during the time period from 2004 through </w:t>
      </w:r>
      <w:r w:rsidR="00B35260">
        <w:t>November</w:t>
      </w:r>
      <w:r>
        <w:t xml:space="preserve"> 2007.</w:t>
      </w:r>
      <w:r>
        <w:rPr>
          <w:rStyle w:val="FootnoteReference"/>
        </w:rPr>
        <w:footnoteReference w:id="25"/>
      </w:r>
      <w:r>
        <w:t xml:space="preserve">  Tukwila is part of the Seattle local calling area.  </w:t>
      </w:r>
    </w:p>
    <w:p w:rsidR="004D278A" w:rsidRDefault="004D278A" w:rsidP="00944E33">
      <w:pPr>
        <w:pStyle w:val="AutoNumBodyCharCharCharChar"/>
      </w:pPr>
      <w:r>
        <w:t>Thus, to determine the percentage of Pac-West’s traffic that is VNXX traffic (and therefore not compensable local traffic), Qwest divided the amount of traffic that originated and was carried over trunks outside of the Seattle local calling area by the total amount of traffic delivered to Pac-West.</w:t>
      </w:r>
      <w:r>
        <w:rPr>
          <w:rStyle w:val="FootnoteReference"/>
        </w:rPr>
        <w:footnoteReference w:id="26"/>
      </w:r>
      <w:r>
        <w:t xml:space="preserve">  The resulting percentage equals the portion of Pac-West’s traffic that is VNXX traffic for the time period in question.</w:t>
      </w:r>
    </w:p>
    <w:p w:rsidR="00E20AAC" w:rsidRDefault="004D278A" w:rsidP="00944E33">
      <w:pPr>
        <w:pStyle w:val="AutoNumBodyCharCharCharChar"/>
      </w:pPr>
      <w:r>
        <w:t>To quantify the amount of VNXX traffic, Qwest next applied the VNXX percentages to Pac-West billed amounts that were previously paid by Qwest.  Qwest Exhibit WRE-8C sets forth the VNXX percentages and the amounts that Qwest paid Pac-West for VNXX traffic through December, 2007.</w:t>
      </w:r>
      <w:r>
        <w:rPr>
          <w:rStyle w:val="FootnoteReference"/>
        </w:rPr>
        <w:footnoteReference w:id="27"/>
      </w:r>
      <w:r>
        <w:t xml:space="preserve">  Beginning in late 2007 through the end of 2009, Pac-West had no modems, switches or servers located in Washington.</w:t>
      </w:r>
      <w:r>
        <w:rPr>
          <w:rStyle w:val="FootnoteReference"/>
        </w:rPr>
        <w:footnoteReference w:id="28"/>
      </w:r>
      <w:r>
        <w:t xml:space="preserve">  As a result, all of </w:t>
      </w:r>
      <w:r w:rsidR="00F253FD">
        <w:t xml:space="preserve">traffic terminating to </w:t>
      </w:r>
      <w:r>
        <w:t xml:space="preserve">Pac-West’s </w:t>
      </w:r>
      <w:r w:rsidR="00F253FD">
        <w:t xml:space="preserve">ISP customers </w:t>
      </w:r>
      <w:r>
        <w:t>during this time period was VNXX traffic.</w:t>
      </w:r>
      <w:r>
        <w:rPr>
          <w:rStyle w:val="FootnoteReference"/>
        </w:rPr>
        <w:footnoteReference w:id="29"/>
      </w:r>
    </w:p>
    <w:p w:rsidR="00C954A1" w:rsidRPr="00C954A1" w:rsidRDefault="00E352E5" w:rsidP="00944E33">
      <w:pPr>
        <w:pStyle w:val="AutoNumBodyCharCharCharChar"/>
        <w:rPr>
          <w:rFonts w:ascii="Calibri"/>
        </w:rPr>
      </w:pPr>
      <w:r>
        <w:t xml:space="preserve">PacWest did not offer any evidence to refute Qwest's traffic studies and analysis.  Indeed, even though PacWest has known for literally </w:t>
      </w:r>
      <w:r w:rsidR="00C954A1" w:rsidRPr="00C954A1">
        <w:rPr>
          <w:i/>
        </w:rPr>
        <w:t>years</w:t>
      </w:r>
      <w:r>
        <w:t xml:space="preserve"> what Qwest's refund claim is, and how it was calculated, </w:t>
      </w:r>
      <w:r w:rsidR="00C954A1">
        <w:t>and</w:t>
      </w:r>
      <w:r>
        <w:t xml:space="preserve"> has known since 2011 that the purpose of this evidentiary hearing was to determine the nature and amount of the traffic</w:t>
      </w:r>
      <w:r w:rsidR="00C954A1">
        <w:t>, Pac-West’s o</w:t>
      </w:r>
      <w:r>
        <w:t xml:space="preserve">pening testimony was a mere </w:t>
      </w:r>
      <w:r w:rsidR="00C954A1">
        <w:t>eight</w:t>
      </w:r>
      <w:r>
        <w:t xml:space="preserve"> pages</w:t>
      </w:r>
      <w:r w:rsidR="00C954A1">
        <w:t xml:space="preserve"> long,</w:t>
      </w:r>
      <w:r>
        <w:t xml:space="preserve"> with no </w:t>
      </w:r>
      <w:r w:rsidR="00F27744">
        <w:t xml:space="preserve">data on </w:t>
      </w:r>
      <w:r w:rsidR="00C954A1">
        <w:t xml:space="preserve">the </w:t>
      </w:r>
      <w:r w:rsidR="007B3CD5">
        <w:t xml:space="preserve">amount </w:t>
      </w:r>
      <w:r>
        <w:t xml:space="preserve">of </w:t>
      </w:r>
      <w:r w:rsidR="007B3CD5">
        <w:t xml:space="preserve">traffic </w:t>
      </w:r>
      <w:r w:rsidR="00C954A1">
        <w:t xml:space="preserve">at issue, or any </w:t>
      </w:r>
      <w:r w:rsidR="00F27744">
        <w:t>evidence regarding</w:t>
      </w:r>
      <w:r w:rsidR="00C954A1">
        <w:t xml:space="preserve"> the </w:t>
      </w:r>
      <w:r>
        <w:t xml:space="preserve">originating/terminating locations of calls.  </w:t>
      </w:r>
    </w:p>
    <w:p w:rsidR="00C954A1" w:rsidRPr="00C954A1" w:rsidRDefault="00C954A1" w:rsidP="00944E33">
      <w:pPr>
        <w:pStyle w:val="AutoNumBodyCharCharCharChar"/>
        <w:rPr>
          <w:rFonts w:ascii="Calibri"/>
        </w:rPr>
      </w:pPr>
      <w:r>
        <w:t xml:space="preserve">Qwest asked Pac-West repeatedly for information regarding the number of minutes at issue, and any evidence that Pac-West had that might show the originating and </w:t>
      </w:r>
      <w:r>
        <w:lastRenderedPageBreak/>
        <w:t xml:space="preserve">terminating location of the calls.  WRE-4C reflects the last information provided by Pac-West, which showed only the total minutes for Washington and Oregon for certain months in 2006.  Pac-West simply did not respond to Qwest’s specific request </w:t>
      </w:r>
      <w:r w:rsidR="00242D61">
        <w:t>to clarify how to determine more detailed information than the aggregate number of minutes, or to explain any methodology it employed to contest Qwest’s calculation of the proper VNXX percentage.</w:t>
      </w:r>
      <w:r>
        <w:t xml:space="preserve">  </w:t>
      </w:r>
    </w:p>
    <w:p w:rsidR="00242D61" w:rsidRPr="00242D61" w:rsidRDefault="00242D61" w:rsidP="00944E33">
      <w:pPr>
        <w:pStyle w:val="AutoNumBodyCharCharCharChar"/>
        <w:rPr>
          <w:rFonts w:ascii="Calibri"/>
        </w:rPr>
      </w:pPr>
      <w:r>
        <w:t>In a March 19</w:t>
      </w:r>
      <w:r w:rsidR="00874A3F">
        <w:t>, 2012</w:t>
      </w:r>
      <w:r>
        <w:t xml:space="preserve"> pleading in which </w:t>
      </w:r>
      <w:r w:rsidR="00E352E5">
        <w:t>Pac</w:t>
      </w:r>
      <w:r>
        <w:t>-</w:t>
      </w:r>
      <w:r w:rsidR="00E352E5">
        <w:t>West</w:t>
      </w:r>
      <w:r>
        <w:t xml:space="preserve"> claimed that it was premature at that time to order refunds to Qwest, Pac-West argued that this evidentiary proceeding was necessary to determine modem locations, and other information relevant to determining the proper compensation for the traffic.  In light of these arguments, it was reasonable for Qwest to expect that Pac-West would produce such relevant dat</w:t>
      </w:r>
      <w:r w:rsidR="0051633C">
        <w:t>a</w:t>
      </w:r>
      <w:r>
        <w:t xml:space="preserve"> in its direct testimony</w:t>
      </w:r>
      <w:r w:rsidR="0051633C">
        <w:t>,</w:t>
      </w:r>
      <w:r>
        <w:t xml:space="preserve">  </w:t>
      </w:r>
      <w:r w:rsidR="0051633C">
        <w:t>o</w:t>
      </w:r>
      <w:r>
        <w:t>r at least in its rebuttal testimony.  However, what is clear now is that Pac-West</w:t>
      </w:r>
      <w:r w:rsidR="00E352E5">
        <w:t xml:space="preserve"> has no data</w:t>
      </w:r>
      <w:r>
        <w:t xml:space="preserve"> that sheds any light on these issues</w:t>
      </w:r>
      <w:r w:rsidR="00E352E5">
        <w:t xml:space="preserve">.  </w:t>
      </w:r>
    </w:p>
    <w:p w:rsidR="00146FFA" w:rsidRDefault="00242D61" w:rsidP="00944E33">
      <w:pPr>
        <w:pStyle w:val="AutoNumBodyCharCharCharChar"/>
      </w:pPr>
      <w:r>
        <w:t>Pac-West</w:t>
      </w:r>
      <w:r w:rsidR="00F27744">
        <w:t xml:space="preserve"> seems to suggest that data in the form of call detail records (“CDRs”) would be relevant to the determination of the nature and amount of traffic.  Pac-West</w:t>
      </w:r>
      <w:r>
        <w:t xml:space="preserve"> complained that Qwest refused to produce </w:t>
      </w:r>
      <w:r w:rsidR="00E352E5" w:rsidRPr="00242D61">
        <w:t>CDRs</w:t>
      </w:r>
      <w:r>
        <w:t>, and stated in its reply testimony that Pac-West’s CDRs were offered to Qwest.</w:t>
      </w:r>
      <w:r w:rsidR="007B3CD5">
        <w:rPr>
          <w:rStyle w:val="FootnoteReference"/>
        </w:rPr>
        <w:footnoteReference w:id="30"/>
      </w:r>
      <w:r w:rsidR="00874A3F">
        <w:t xml:space="preserve"> </w:t>
      </w:r>
      <w:r>
        <w:t xml:space="preserve"> However, Qwest has e</w:t>
      </w:r>
      <w:r w:rsidRPr="00874A3F">
        <w:t>xplained in its testimony, and in its data request responses</w:t>
      </w:r>
      <w:r w:rsidR="00E352E5" w:rsidRPr="00874A3F">
        <w:t xml:space="preserve"> </w:t>
      </w:r>
      <w:r w:rsidR="00874A3F" w:rsidRPr="00874A3F">
        <w:t>to Pac-West, that the CDRs will not show anything about the originating and terminating locations of the calls.</w:t>
      </w:r>
      <w:r w:rsidR="00874A3F">
        <w:t xml:space="preserve">  CDRs will show only the originating and terminating numbers – and </w:t>
      </w:r>
      <w:r w:rsidR="00F253FD">
        <w:t xml:space="preserve">the </w:t>
      </w:r>
      <w:r w:rsidR="00874A3F">
        <w:t>VNXX numbering</w:t>
      </w:r>
      <w:r w:rsidR="00F253FD">
        <w:t xml:space="preserve"> arbitrage</w:t>
      </w:r>
      <w:r w:rsidR="00874A3F">
        <w:t xml:space="preserve"> is </w:t>
      </w:r>
      <w:r w:rsidR="00F253FD">
        <w:t xml:space="preserve">specifically </w:t>
      </w:r>
      <w:r w:rsidR="00874A3F">
        <w:t>designed to make the originating and terminating numbers show as a local call.  Thus, CDRs offer no insight into how much traffic is truly local and how much is VNXX</w:t>
      </w:r>
      <w:r w:rsidR="0013701C">
        <w:t>.</w:t>
      </w:r>
      <w:r w:rsidR="007B3CD5">
        <w:rPr>
          <w:rStyle w:val="FootnoteReference"/>
        </w:rPr>
        <w:footnoteReference w:id="31"/>
      </w:r>
      <w:r w:rsidR="0013701C">
        <w:t xml:space="preserve">  </w:t>
      </w:r>
    </w:p>
    <w:p w:rsidR="009A6418" w:rsidRDefault="00874A3F" w:rsidP="00944E33">
      <w:pPr>
        <w:pStyle w:val="AutoNumBodyCharCharCharChar"/>
      </w:pPr>
      <w:r>
        <w:t xml:space="preserve">Pac-West provided no </w:t>
      </w:r>
      <w:r w:rsidR="009A6418">
        <w:t xml:space="preserve">meaningful </w:t>
      </w:r>
      <w:r>
        <w:t>data to the Commission</w:t>
      </w:r>
      <w:r w:rsidR="009A6418">
        <w:t xml:space="preserve"> from which the type or amount of traffic can be determined</w:t>
      </w:r>
      <w:r>
        <w:t>.  Pac-West also claimed that Qwest had not provided any information, or workpapers, or calculations, or traffic detail.</w:t>
      </w:r>
      <w:r w:rsidR="00F27744">
        <w:rPr>
          <w:rStyle w:val="FootnoteReference"/>
        </w:rPr>
        <w:footnoteReference w:id="32"/>
      </w:r>
      <w:r>
        <w:t xml:space="preserve">  This claim is simply </w:t>
      </w:r>
      <w:r>
        <w:lastRenderedPageBreak/>
        <w:t>false.  Qwest responded to all of the Pac-West data requests, and provided</w:t>
      </w:r>
      <w:r w:rsidR="00742EF3">
        <w:t xml:space="preserve"> volumes of data, workpapers, route-by-route analysis, and other items requested by Pac-West.</w:t>
      </w:r>
      <w:r w:rsidR="007B3CD5">
        <w:rPr>
          <w:rStyle w:val="FootnoteReference"/>
        </w:rPr>
        <w:footnoteReference w:id="33"/>
      </w:r>
      <w:r w:rsidR="00742EF3">
        <w:t xml:space="preserve">  </w:t>
      </w:r>
    </w:p>
    <w:p w:rsidR="00E20AAC" w:rsidRDefault="00E352E5" w:rsidP="00944E33">
      <w:pPr>
        <w:pStyle w:val="AutoNumBodyCharCharCharChar"/>
      </w:pPr>
      <w:r>
        <w:t xml:space="preserve">In fact, </w:t>
      </w:r>
      <w:r w:rsidR="009A6418">
        <w:t>in 2005</w:t>
      </w:r>
      <w:r w:rsidR="00F253FD">
        <w:t>,</w:t>
      </w:r>
      <w:r w:rsidR="009A6418">
        <w:t xml:space="preserve"> </w:t>
      </w:r>
      <w:r>
        <w:t>PacWest did not contest</w:t>
      </w:r>
      <w:r w:rsidR="00742EF3">
        <w:t xml:space="preserve"> or deny</w:t>
      </w:r>
      <w:r>
        <w:t xml:space="preserve"> that the traffic was VNX</w:t>
      </w:r>
      <w:r w:rsidR="00742EF3">
        <w:t>X as Qwest calculated.  PacWest’s arguments at this point are little more than an attempt to delay the outcome of this proceeding.</w:t>
      </w:r>
      <w:r>
        <w:t xml:space="preserve">   </w:t>
      </w:r>
    </w:p>
    <w:p w:rsidR="002233F5" w:rsidRPr="00242D61" w:rsidRDefault="002233F5" w:rsidP="002233F5">
      <w:pPr>
        <w:pStyle w:val="AutoNumBodyCharCharCharChar"/>
        <w:numPr>
          <w:ilvl w:val="0"/>
          <w:numId w:val="0"/>
        </w:numPr>
        <w:ind w:left="720"/>
      </w:pPr>
    </w:p>
    <w:p w:rsidR="00531997" w:rsidRPr="0076035E" w:rsidRDefault="00531997" w:rsidP="00531997">
      <w:pPr>
        <w:pStyle w:val="Heading1"/>
        <w:numPr>
          <w:ilvl w:val="0"/>
          <w:numId w:val="7"/>
        </w:numPr>
        <w:spacing w:before="0"/>
        <w:jc w:val="center"/>
        <w:rPr>
          <w:rFonts w:ascii="Times New Roman" w:hAnsi="Times New Roman" w:cs="Times New Roman"/>
          <w:color w:val="000000" w:themeColor="text1"/>
          <w:sz w:val="24"/>
          <w:szCs w:val="24"/>
        </w:rPr>
      </w:pPr>
      <w:bookmarkStart w:id="8" w:name="_Toc350950428"/>
      <w:r>
        <w:rPr>
          <w:rFonts w:ascii="Times New Roman" w:hAnsi="Times New Roman" w:cs="Times New Roman"/>
          <w:color w:val="000000" w:themeColor="text1"/>
          <w:sz w:val="24"/>
          <w:szCs w:val="24"/>
        </w:rPr>
        <w:t>REFUND CLAIM</w:t>
      </w:r>
      <w:bookmarkEnd w:id="8"/>
    </w:p>
    <w:p w:rsidR="00CE6607" w:rsidRPr="005D0BDA" w:rsidRDefault="00CE6607" w:rsidP="00944E33">
      <w:pPr>
        <w:pStyle w:val="AutoNumBodyCharCharCharChar"/>
      </w:pPr>
      <w:r w:rsidRPr="005D0BDA">
        <w:t>In Orders 12 and 13, the Commission determined that Qwest is not required to pay reciprocal compensation on VNXX traffic under the ICA between Qwest and Pac-West.</w:t>
      </w:r>
      <w:r w:rsidRPr="005D0BDA">
        <w:rPr>
          <w:rStyle w:val="FootnoteReference"/>
        </w:rPr>
        <w:footnoteReference w:id="34"/>
      </w:r>
      <w:r w:rsidRPr="005D0BDA">
        <w:t xml:space="preserve">  The purpose of this proceeding is to determine the amount of the refund to be awarded to Qwest for prior payments of reciprocal compensation on VNXX traffic and to determine what compensation is due to Qwest for originating </w:t>
      </w:r>
      <w:r w:rsidR="00F253FD">
        <w:t xml:space="preserve">and transporting </w:t>
      </w:r>
      <w:r w:rsidRPr="005D0BDA">
        <w:t>this interexchange traffic.</w:t>
      </w:r>
    </w:p>
    <w:p w:rsidR="00756601" w:rsidRDefault="00CE6607" w:rsidP="00944E33">
      <w:pPr>
        <w:pStyle w:val="AutoNumBodyCharCharCharChar"/>
      </w:pPr>
      <w:r w:rsidRPr="005D0BDA">
        <w:t xml:space="preserve">The amount of the refund due to Qwest is undisputed.  Only Qwest </w:t>
      </w:r>
      <w:r w:rsidR="00D53ECC">
        <w:t>submitted</w:t>
      </w:r>
      <w:r w:rsidRPr="005D0BDA">
        <w:t xml:space="preserve"> evidence addressing the proper amount of the refund.  To comply with the Commission’s initial orders requiring Qwest to pay reciprocal compensation on VNXX traffic, Qwest paid Pac-West </w:t>
      </w:r>
      <w:r w:rsidRPr="005D0BDA">
        <w:rPr>
          <w:b/>
        </w:rPr>
        <w:t xml:space="preserve">[BEGIN </w:t>
      </w:r>
      <w:r w:rsidR="00422FB6">
        <w:rPr>
          <w:b/>
        </w:rPr>
        <w:t>REDACTED XXXXXXXX END REDACTED</w:t>
      </w:r>
      <w:r w:rsidRPr="005D0BDA">
        <w:rPr>
          <w:b/>
        </w:rPr>
        <w:t>]</w:t>
      </w:r>
      <w:r w:rsidRPr="005D0BDA">
        <w:t xml:space="preserve"> for VNXX traffic for the time period from February, 2004 through January, 2006.</w:t>
      </w:r>
      <w:r w:rsidRPr="005D0BDA">
        <w:rPr>
          <w:rStyle w:val="FootnoteReference"/>
        </w:rPr>
        <w:footnoteReference w:id="35"/>
      </w:r>
      <w:r w:rsidRPr="005D0BDA">
        <w:t xml:space="preserve">  From February, 2006 through December, 2007, Qwest paid an additional </w:t>
      </w:r>
      <w:r w:rsidR="009317C0">
        <w:rPr>
          <w:b/>
        </w:rPr>
        <w:t>[BEGIN REDACTED XXXXXXXX</w:t>
      </w:r>
      <w:r w:rsidR="0092657C">
        <w:rPr>
          <w:b/>
        </w:rPr>
        <w:t xml:space="preserve"> </w:t>
      </w:r>
      <w:r w:rsidR="009317C0">
        <w:rPr>
          <w:b/>
        </w:rPr>
        <w:t>END REDACTED</w:t>
      </w:r>
      <w:r w:rsidRPr="005D0BDA">
        <w:rPr>
          <w:b/>
        </w:rPr>
        <w:t>]</w:t>
      </w:r>
      <w:r w:rsidRPr="005D0BDA">
        <w:t xml:space="preserve"> under protest to comply with the Commission’s orders.</w:t>
      </w:r>
      <w:r w:rsidRPr="005D0BDA">
        <w:rPr>
          <w:rStyle w:val="FootnoteReference"/>
        </w:rPr>
        <w:footnoteReference w:id="36"/>
      </w:r>
      <w:r w:rsidRPr="005D0BDA">
        <w:t xml:space="preserve">  When the payments are added together, the principal amount of the refund due to Qwest is </w:t>
      </w:r>
      <w:r w:rsidR="003E4D73">
        <w:rPr>
          <w:b/>
        </w:rPr>
        <w:t>[BEGIN REDACTED XXXXXXXX</w:t>
      </w:r>
      <w:r w:rsidR="007E5005">
        <w:rPr>
          <w:b/>
        </w:rPr>
        <w:t xml:space="preserve"> </w:t>
      </w:r>
      <w:r w:rsidR="003E4D73">
        <w:rPr>
          <w:b/>
        </w:rPr>
        <w:t>END REDACTED</w:t>
      </w:r>
      <w:r w:rsidRPr="005D0BDA">
        <w:rPr>
          <w:b/>
        </w:rPr>
        <w:t>].</w:t>
      </w:r>
      <w:r w:rsidRPr="0092657C">
        <w:rPr>
          <w:rStyle w:val="FootnoteReference"/>
        </w:rPr>
        <w:footnoteReference w:id="37"/>
      </w:r>
      <w:r w:rsidRPr="005D0BDA">
        <w:rPr>
          <w:b/>
        </w:rPr>
        <w:t xml:space="preserve">  </w:t>
      </w:r>
      <w:r w:rsidRPr="005D0BDA">
        <w:t xml:space="preserve">In addition, as discussed below, Qwest is entitled to interest on the amounts it paid at the statutory rate of 12% per annum.  Simple interest at 12% on the amounts that Qwest paid under protest </w:t>
      </w:r>
      <w:r w:rsidRPr="005D0BDA">
        <w:lastRenderedPageBreak/>
        <w:t xml:space="preserve">equals </w:t>
      </w:r>
      <w:r w:rsidR="003E4D73">
        <w:rPr>
          <w:b/>
        </w:rPr>
        <w:t>[BEGIN REDACTED XXXXXXXXXX</w:t>
      </w:r>
      <w:r w:rsidR="0092657C">
        <w:rPr>
          <w:b/>
        </w:rPr>
        <w:t xml:space="preserve"> </w:t>
      </w:r>
      <w:r w:rsidR="003E4D73">
        <w:rPr>
          <w:b/>
        </w:rPr>
        <w:t>END REDACTED</w:t>
      </w:r>
      <w:r w:rsidRPr="005D0BDA">
        <w:rPr>
          <w:b/>
        </w:rPr>
        <w:t>]</w:t>
      </w:r>
      <w:r w:rsidRPr="005D0BDA">
        <w:t>.</w:t>
      </w:r>
      <w:r w:rsidRPr="005D0BDA">
        <w:rPr>
          <w:rStyle w:val="FootnoteReference"/>
        </w:rPr>
        <w:footnoteReference w:id="38"/>
      </w:r>
      <w:r w:rsidRPr="005D0BDA">
        <w:t xml:space="preserve">  Thus, the total amount of the refund due to Qwest as of December 31, 2012 is </w:t>
      </w:r>
      <w:r w:rsidRPr="005D0BDA">
        <w:rPr>
          <w:b/>
        </w:rPr>
        <w:t xml:space="preserve">[BEGIN </w:t>
      </w:r>
      <w:r w:rsidR="0020799B">
        <w:rPr>
          <w:b/>
        </w:rPr>
        <w:t>REDACTED</w:t>
      </w:r>
      <w:r w:rsidRPr="005D0BDA">
        <w:t xml:space="preserve"> </w:t>
      </w:r>
      <w:r w:rsidR="00D84728">
        <w:rPr>
          <w:b/>
        </w:rPr>
        <w:t>XXXXXXXXXX</w:t>
      </w:r>
      <w:r w:rsidR="0092657C">
        <w:rPr>
          <w:b/>
        </w:rPr>
        <w:t xml:space="preserve"> </w:t>
      </w:r>
      <w:r w:rsidR="00D84728">
        <w:rPr>
          <w:b/>
        </w:rPr>
        <w:t>END REDACTED</w:t>
      </w:r>
      <w:r w:rsidRPr="005D0BDA">
        <w:rPr>
          <w:b/>
        </w:rPr>
        <w:t>]</w:t>
      </w:r>
      <w:r w:rsidRPr="005D0BDA">
        <w:t>.</w:t>
      </w:r>
      <w:r w:rsidRPr="005D0BDA">
        <w:rPr>
          <w:rStyle w:val="FootnoteReference"/>
        </w:rPr>
        <w:footnoteReference w:id="39"/>
      </w:r>
      <w:r w:rsidR="0013701C">
        <w:t xml:space="preserve">  </w:t>
      </w:r>
      <w:r w:rsidR="004E1EC1" w:rsidRPr="00756601">
        <w:t>The dollar amount of the refund is essentially undisputed</w:t>
      </w:r>
      <w:r w:rsidR="00756601">
        <w:t>.</w:t>
      </w:r>
    </w:p>
    <w:p w:rsidR="00C12666" w:rsidRDefault="00C12666" w:rsidP="00944E33">
      <w:pPr>
        <w:pStyle w:val="AutoNumBodyCharCharCharChar"/>
      </w:pPr>
      <w:r w:rsidRPr="0042491B">
        <w:t xml:space="preserve">Qwest is entitled to recover interest on the payments made to Pac-West for VNXX traffic.  Section 3.4.2 of the ICA between the Parties provides in pertinent part that in the event Pac-West </w:t>
      </w:r>
      <w:r w:rsidRPr="00756601">
        <w:t>withholds</w:t>
      </w:r>
      <w:r w:rsidR="004E1EC1" w:rsidRPr="00756601">
        <w:t xml:space="preserve"> payments due to Qwest, “and upon resolution o</w:t>
      </w:r>
      <w:r w:rsidRPr="00756601">
        <w:t>f the matter it is determined that such payments should have been made to [Qwest], [Qwest] is entitled to collect interest on the withheld amount…”</w:t>
      </w:r>
      <w:r w:rsidRPr="00756601">
        <w:rPr>
          <w:rStyle w:val="FootnoteReference"/>
        </w:rPr>
        <w:footnoteReference w:id="40"/>
      </w:r>
      <w:r w:rsidRPr="00756601">
        <w:t xml:space="preserve">  Th</w:t>
      </w:r>
      <w:r w:rsidR="004E1EC1" w:rsidRPr="00756601">
        <w:t>e ICA does not specify an interest rate.  However</w:t>
      </w:r>
      <w:r w:rsidRPr="00756601">
        <w:t>, after the Commission initially ordered Qwest to pay reciprocal compensation on VNXX tra</w:t>
      </w:r>
      <w:r w:rsidR="005B796B">
        <w:t>ffic, Pac-West argued</w:t>
      </w:r>
      <w:r w:rsidRPr="00756601">
        <w:t xml:space="preserve"> that the appropriate int</w:t>
      </w:r>
      <w:r w:rsidR="004E1EC1" w:rsidRPr="00756601">
        <w:t>erest rate was 18% per annum.</w:t>
      </w:r>
      <w:r w:rsidR="004E1EC1" w:rsidRPr="00756601">
        <w:rPr>
          <w:rStyle w:val="FootnoteReference"/>
        </w:rPr>
        <w:footnoteReference w:id="41"/>
      </w:r>
      <w:r w:rsidR="004E1EC1" w:rsidRPr="00756601">
        <w:t xml:space="preserve">  Ultimately, Qwest pa</w:t>
      </w:r>
      <w:r w:rsidRPr="00756601">
        <w:t>i</w:t>
      </w:r>
      <w:r w:rsidR="004E1EC1" w:rsidRPr="00756601">
        <w:t>d</w:t>
      </w:r>
      <w:r w:rsidR="004E1EC1" w:rsidRPr="00756601">
        <w:rPr>
          <w:b/>
        </w:rPr>
        <w:t xml:space="preserve"> </w:t>
      </w:r>
      <w:r>
        <w:t>an interest rate greater than 12% on the amounts that it had withheld for VNXX traffic.</w:t>
      </w:r>
      <w:r>
        <w:rPr>
          <w:rStyle w:val="FootnoteReference"/>
        </w:rPr>
        <w:footnoteReference w:id="42"/>
      </w:r>
    </w:p>
    <w:p w:rsidR="00CE2A55" w:rsidRDefault="00C12666" w:rsidP="00944E33">
      <w:pPr>
        <w:pStyle w:val="AutoNumBodyCharCharCharChar"/>
      </w:pPr>
      <w:r>
        <w:t xml:space="preserve">In this case, Qwest is requesting 12% interest on the amounts that it paid to Pac-West for VNXX traffic.  Twelve </w:t>
      </w:r>
      <w:r w:rsidR="004E1EC1" w:rsidRPr="00756601">
        <w:t>percent (12%) is the Washington statutory post-judg</w:t>
      </w:r>
      <w:r w:rsidRPr="00756601">
        <w:t>ment interest rate and is also the appropriate prejudgment interest rate for cont</w:t>
      </w:r>
      <w:r w:rsidR="004E1EC1" w:rsidRPr="00756601">
        <w:t>ract claims.</w:t>
      </w:r>
      <w:r w:rsidR="004E1EC1" w:rsidRPr="00756601">
        <w:rPr>
          <w:rStyle w:val="FootnoteReference"/>
        </w:rPr>
        <w:footnoteReference w:id="43"/>
      </w:r>
      <w:r w:rsidR="004E1EC1" w:rsidRPr="00756601">
        <w:t xml:space="preserve">  Unde</w:t>
      </w:r>
      <w:r w:rsidRPr="00756601">
        <w:t>r Washington la</w:t>
      </w:r>
      <w:r w:rsidR="004E1EC1" w:rsidRPr="00756601">
        <w:t>w, prejudgment in</w:t>
      </w:r>
      <w:r w:rsidRPr="00756601">
        <w:t>terest is always appropriate when a claim is liquidated.</w:t>
      </w:r>
      <w:r w:rsidRPr="00756601">
        <w:rPr>
          <w:rStyle w:val="FootnoteReference"/>
        </w:rPr>
        <w:footnoteReference w:id="44"/>
      </w:r>
      <w:r w:rsidRPr="00756601">
        <w:t xml:space="preserve">  A claim is liquidated where the evidence furnishes</w:t>
      </w:r>
      <w:r>
        <w:t xml:space="preserve"> data which, if believed, makes it possible to compute the amount with exactness.</w:t>
      </w:r>
      <w:r>
        <w:rPr>
          <w:rStyle w:val="FootnoteReference"/>
        </w:rPr>
        <w:footnoteReference w:id="45"/>
      </w:r>
      <w:r>
        <w:t xml:space="preserve">  </w:t>
      </w:r>
    </w:p>
    <w:p w:rsidR="006D54C7" w:rsidRPr="00CE2A55" w:rsidRDefault="00C12666" w:rsidP="00944E33">
      <w:pPr>
        <w:pStyle w:val="AutoNumBodyCharCharCharChar"/>
      </w:pPr>
      <w:r>
        <w:lastRenderedPageBreak/>
        <w:t xml:space="preserve">Here, Qwest presented exact evidence as to </w:t>
      </w:r>
      <w:r w:rsidR="00D53ECC">
        <w:t xml:space="preserve">the </w:t>
      </w:r>
      <w:r>
        <w:t xml:space="preserve">portion of Pac-West’s traffic that was VNXX traffic and the dates and amounts that it </w:t>
      </w:r>
      <w:r w:rsidR="00D53ECC">
        <w:t>paid</w:t>
      </w:r>
      <w:r>
        <w:t xml:space="preserve"> Pac-West for this traffic.</w:t>
      </w:r>
      <w:r>
        <w:rPr>
          <w:rStyle w:val="FootnoteReference"/>
        </w:rPr>
        <w:footnoteReference w:id="46"/>
      </w:r>
      <w:r>
        <w:t xml:space="preserve">  Thus, the Commission should award Qwest prejudgment interest both because the ICA between the Parties provides for prejudgment interest and because Qwest’s claim is a liquidated contract claim for which prejudgment interest is always appropriate under Washington law. </w:t>
      </w:r>
    </w:p>
    <w:p w:rsidR="00E20AAC" w:rsidRPr="006D54C7" w:rsidRDefault="00E20AAC" w:rsidP="00E20AAC">
      <w:pPr>
        <w:pStyle w:val="ListParagraph"/>
        <w:ind w:left="1440"/>
        <w:rPr>
          <w:sz w:val="24"/>
          <w:szCs w:val="24"/>
        </w:rPr>
      </w:pPr>
    </w:p>
    <w:p w:rsidR="00EE1BF6" w:rsidRPr="0076035E" w:rsidRDefault="00EE1BF6" w:rsidP="00EE1BF6">
      <w:pPr>
        <w:pStyle w:val="Heading1"/>
        <w:numPr>
          <w:ilvl w:val="0"/>
          <w:numId w:val="7"/>
        </w:numPr>
        <w:spacing w:before="0"/>
        <w:jc w:val="center"/>
        <w:rPr>
          <w:rFonts w:ascii="Times New Roman" w:hAnsi="Times New Roman" w:cs="Times New Roman"/>
          <w:color w:val="000000" w:themeColor="text1"/>
          <w:sz w:val="24"/>
          <w:szCs w:val="24"/>
        </w:rPr>
      </w:pPr>
      <w:bookmarkStart w:id="9" w:name="_Toc350950429"/>
      <w:r>
        <w:rPr>
          <w:rFonts w:ascii="Times New Roman" w:hAnsi="Times New Roman" w:cs="Times New Roman"/>
          <w:color w:val="000000" w:themeColor="text1"/>
          <w:sz w:val="24"/>
          <w:szCs w:val="24"/>
        </w:rPr>
        <w:t>TRANSPORT/ACCESS CHARGES</w:t>
      </w:r>
      <w:bookmarkEnd w:id="9"/>
    </w:p>
    <w:p w:rsidR="00C12666" w:rsidRPr="00FF14DA" w:rsidRDefault="00BC7EDB" w:rsidP="00944E33">
      <w:pPr>
        <w:pStyle w:val="AutoNumBodyCharCharCharChar"/>
      </w:pPr>
      <w:r>
        <w:t xml:space="preserve">For the period after Pac-West emerged from bankruptcy until the time a new ICA was </w:t>
      </w:r>
      <w:r w:rsidR="00D53ECC">
        <w:t>executed</w:t>
      </w:r>
      <w:r>
        <w:t xml:space="preserve"> between Qwest and Pac-West, Pac-West used local interconnection facilities supplied by Qwest to enable customers to make interexchange calls via VNXX numbers.  </w:t>
      </w:r>
      <w:r w:rsidR="00C12666" w:rsidRPr="00FF14DA">
        <w:t>The Commission has already determined that VNXX traffic is interexchange traffic and that it is subject to the intercarrier compensation rules applicable to interexchange traffic under the Parties’ ICA.</w:t>
      </w:r>
      <w:r w:rsidR="00C12666" w:rsidRPr="00FF14DA">
        <w:rPr>
          <w:rStyle w:val="FootnoteReference"/>
        </w:rPr>
        <w:footnoteReference w:id="47"/>
      </w:r>
      <w:r w:rsidR="00C12666" w:rsidRPr="00FF14DA">
        <w:t xml:space="preserve">  When, as with VNXX traffic, Qwest originates an interexchange call, it is entitled to access charges to cover its costs of switching and transporting the call.</w:t>
      </w:r>
      <w:r w:rsidR="00C12666" w:rsidRPr="00FF14DA">
        <w:rPr>
          <w:rStyle w:val="FootnoteReference"/>
        </w:rPr>
        <w:footnoteReference w:id="48"/>
      </w:r>
      <w:r w:rsidR="00C12666" w:rsidRPr="00FF14DA">
        <w:t xml:space="preserve">  In this case, Qwest is seeking access charges for the VNXX traffic exchanged by the parties during the time period subsequent to Pac-West’s bankruptcy reorganization, from December, 2007 through December, 2009.</w:t>
      </w:r>
    </w:p>
    <w:p w:rsidR="00C12666" w:rsidRPr="00FF14DA" w:rsidRDefault="00C12666" w:rsidP="00944E33">
      <w:pPr>
        <w:pStyle w:val="AutoNumBodyCharCharCharChar"/>
      </w:pPr>
      <w:r w:rsidRPr="00FF14DA">
        <w:t xml:space="preserve">For the time period from December, 2007 through December, 2009, the appropriate rate to use for Pac-West’s VNXX traffic is a composite (or average) switched access rate for interstate traffic.  Pac-West’s use of VNXX </w:t>
      </w:r>
      <w:r w:rsidR="00A95795">
        <w:t xml:space="preserve">numbering </w:t>
      </w:r>
      <w:r w:rsidRPr="00FF14DA">
        <w:t>disguised its traffic as local traffic such that Qwest’s billing systems could not capture the proper call record information to apply specific rate elements.</w:t>
      </w:r>
      <w:r w:rsidRPr="00FF14DA">
        <w:rPr>
          <w:rStyle w:val="FootnoteReference"/>
        </w:rPr>
        <w:footnoteReference w:id="49"/>
      </w:r>
      <w:r w:rsidRPr="00FF14DA">
        <w:t xml:space="preserve">  As a result, the use of a composite rate is appropriate.</w:t>
      </w:r>
    </w:p>
    <w:p w:rsidR="00C12666" w:rsidRPr="00FF14DA" w:rsidRDefault="00C12666" w:rsidP="00944E33">
      <w:pPr>
        <w:pStyle w:val="AutoNumBodyCharCharCharChar"/>
      </w:pPr>
      <w:r w:rsidRPr="00FF14DA">
        <w:t xml:space="preserve">At hearing, only Qwest presented evidence as to the proper amount of access charges that </w:t>
      </w:r>
      <w:r w:rsidRPr="00FF14DA">
        <w:lastRenderedPageBreak/>
        <w:t xml:space="preserve">Pac-West should have paid Qwest for originating and transporting VNXX traffic.  Qwest witness </w:t>
      </w:r>
      <w:r w:rsidR="0071640B">
        <w:t xml:space="preserve">William </w:t>
      </w:r>
      <w:r w:rsidRPr="00FF14DA">
        <w:t xml:space="preserve">Easton testified that Qwest originated and transported </w:t>
      </w:r>
      <w:r w:rsidR="00E23753">
        <w:rPr>
          <w:b/>
        </w:rPr>
        <w:t>[BEGIN REDACTED XXXXXXXXXXXXX END REDACTED</w:t>
      </w:r>
      <w:r w:rsidRPr="00FF14DA">
        <w:rPr>
          <w:b/>
        </w:rPr>
        <w:t>]</w:t>
      </w:r>
      <w:r w:rsidRPr="00FF14DA">
        <w:t xml:space="preserve"> minutes of VNXX traffic during the time period from December, 2007 through December, 2009.  The amount of access charges Pac-West should be required to pay Qwest for the origination and transport of this traffic is </w:t>
      </w:r>
      <w:r w:rsidR="00A81AC6">
        <w:rPr>
          <w:b/>
        </w:rPr>
        <w:t>[BEGIN REDACTED XXXXXXXXXX</w:t>
      </w:r>
      <w:r w:rsidR="00722383">
        <w:rPr>
          <w:b/>
        </w:rPr>
        <w:t xml:space="preserve"> </w:t>
      </w:r>
      <w:r w:rsidR="00A81AC6">
        <w:rPr>
          <w:b/>
        </w:rPr>
        <w:t>END REDACTED</w:t>
      </w:r>
      <w:r w:rsidRPr="00FF14DA">
        <w:rPr>
          <w:b/>
        </w:rPr>
        <w:t>]</w:t>
      </w:r>
      <w:r w:rsidRPr="00FF14DA">
        <w:t>.</w:t>
      </w:r>
      <w:r w:rsidRPr="00FF14DA">
        <w:rPr>
          <w:rStyle w:val="FootnoteReference"/>
        </w:rPr>
        <w:footnoteReference w:id="50"/>
      </w:r>
    </w:p>
    <w:p w:rsidR="00E20AAC" w:rsidRDefault="00C12666" w:rsidP="00944E33">
      <w:pPr>
        <w:pStyle w:val="AutoNumBodyCharCharCharChar"/>
      </w:pPr>
      <w:r>
        <w:t xml:space="preserve">If, the Commission determines not to require Pac-West to pay Qwest switched access charges on VNXX traffic, the Commission should at a minimum require Pac-West to compensate Qwest for the transport that Qwest provided to Pac-West </w:t>
      </w:r>
      <w:r w:rsidR="00A95795">
        <w:t xml:space="preserve">to haul this </w:t>
      </w:r>
      <w:r>
        <w:t>VNXX traffic, consistent with the Commission’s finding in the VNXX complaint case.  In the VNXX complaint case, the Commission determined that VNXX was permissible “provided that the CLEC bears the cost of transporting VNXX calls…”</w:t>
      </w:r>
      <w:r>
        <w:rPr>
          <w:rStyle w:val="FootnoteReference"/>
        </w:rPr>
        <w:footnoteReference w:id="51"/>
      </w:r>
      <w:r>
        <w:t xml:space="preserve">  Under this approach, Pac-West should pay Qwest </w:t>
      </w:r>
      <w:r w:rsidR="00E02736">
        <w:rPr>
          <w:b/>
        </w:rPr>
        <w:t>[BEGIN REDACTED XXXXXXXX</w:t>
      </w:r>
      <w:r w:rsidRPr="00DD6C88">
        <w:rPr>
          <w:b/>
        </w:rPr>
        <w:t xml:space="preserve"> END</w:t>
      </w:r>
      <w:r w:rsidR="00E02736">
        <w:rPr>
          <w:b/>
        </w:rPr>
        <w:t xml:space="preserve"> REDACTED</w:t>
      </w:r>
      <w:r w:rsidRPr="00DD6C88">
        <w:rPr>
          <w:b/>
        </w:rPr>
        <w:t>]</w:t>
      </w:r>
      <w:r>
        <w:t xml:space="preserve"> to compensate Qwest for the transport of VNXX traffic that Qwest provided to Pac-West during the time period from December, 2007 through December, 2009.</w:t>
      </w:r>
      <w:r>
        <w:rPr>
          <w:rStyle w:val="FootnoteReference"/>
        </w:rPr>
        <w:footnoteReference w:id="52"/>
      </w:r>
    </w:p>
    <w:p w:rsidR="00E20AAC" w:rsidRPr="006D54C7" w:rsidRDefault="00E20AAC" w:rsidP="00E20AAC">
      <w:pPr>
        <w:pStyle w:val="ListParagraph"/>
        <w:ind w:left="1080"/>
        <w:rPr>
          <w:sz w:val="24"/>
          <w:szCs w:val="24"/>
        </w:rPr>
      </w:pPr>
    </w:p>
    <w:p w:rsidR="006B4E98" w:rsidRPr="0076035E" w:rsidRDefault="006B4E98" w:rsidP="006B4E98">
      <w:pPr>
        <w:pStyle w:val="Heading1"/>
        <w:numPr>
          <w:ilvl w:val="0"/>
          <w:numId w:val="7"/>
        </w:numPr>
        <w:spacing w:before="0"/>
        <w:jc w:val="center"/>
        <w:rPr>
          <w:rFonts w:ascii="Times New Roman" w:hAnsi="Times New Roman" w:cs="Times New Roman"/>
          <w:color w:val="000000" w:themeColor="text1"/>
          <w:sz w:val="24"/>
          <w:szCs w:val="24"/>
        </w:rPr>
      </w:pPr>
      <w:bookmarkStart w:id="10" w:name="_Toc350950430"/>
      <w:r>
        <w:rPr>
          <w:rFonts w:ascii="Times New Roman" w:hAnsi="Times New Roman" w:cs="Times New Roman"/>
          <w:color w:val="000000" w:themeColor="text1"/>
          <w:sz w:val="24"/>
          <w:szCs w:val="24"/>
        </w:rPr>
        <w:t>CONCLUSION</w:t>
      </w:r>
      <w:bookmarkEnd w:id="10"/>
    </w:p>
    <w:p w:rsidR="002233F5" w:rsidRDefault="00B44CB0" w:rsidP="00174178">
      <w:pPr>
        <w:pStyle w:val="AutoNumBodyCharCharCharChar"/>
      </w:pPr>
      <w:r>
        <w:t>For the reasons stated herein, the Commission should order Pac-West to make refunds to Qwest of principle and in</w:t>
      </w:r>
      <w:r w:rsidR="0071640B">
        <w:t>terest as shown in Exhibit WRE-8</w:t>
      </w:r>
      <w:r>
        <w:t>C, with additional interest from January 1, 2013 through the date of payment.  The Commission should also order Pac-West to pay Qwest compensation for the use of Qwest’s network facilities that enabled VNXX for the period November 19, 2007 through December 3, 2009, as set forth in Exhibit</w:t>
      </w:r>
      <w:r w:rsidR="0071640B">
        <w:t>s</w:t>
      </w:r>
      <w:r>
        <w:t xml:space="preserve"> WRE-</w:t>
      </w:r>
      <w:r w:rsidR="0071640B">
        <w:t>11C or WRE-13</w:t>
      </w:r>
      <w:r>
        <w:t>C</w:t>
      </w:r>
      <w:r w:rsidR="0071640B">
        <w:t>.</w:t>
      </w:r>
      <w:r w:rsidR="00F27744">
        <w:t xml:space="preserve">  These numbers are also shown in Confidential Appendix A.</w:t>
      </w:r>
    </w:p>
    <w:tbl>
      <w:tblPr>
        <w:tblW w:w="0" w:type="auto"/>
        <w:tblInd w:w="-106" w:type="dxa"/>
        <w:tblLayout w:type="fixed"/>
        <w:tblLook w:val="01E0"/>
      </w:tblPr>
      <w:tblGrid>
        <w:gridCol w:w="4248"/>
        <w:gridCol w:w="5328"/>
      </w:tblGrid>
      <w:tr w:rsidR="00B44CB0" w:rsidRPr="00A068DB" w:rsidTr="00B44CB0">
        <w:trPr>
          <w:trHeight w:val="666"/>
        </w:trPr>
        <w:tc>
          <w:tcPr>
            <w:tcW w:w="9576" w:type="dxa"/>
            <w:gridSpan w:val="2"/>
          </w:tcPr>
          <w:p w:rsidR="00B44CB0" w:rsidRPr="002233F5" w:rsidRDefault="00B44CB0" w:rsidP="002233F5">
            <w:pPr>
              <w:keepNext/>
              <w:spacing w:line="240" w:lineRule="auto"/>
              <w:rPr>
                <w:rFonts w:ascii="Times New Roman" w:hAnsi="Times New Roman" w:cs="Times New Roman"/>
                <w:sz w:val="24"/>
                <w:szCs w:val="24"/>
              </w:rPr>
            </w:pPr>
            <w:r w:rsidRPr="002233F5">
              <w:rPr>
                <w:rFonts w:ascii="Times New Roman" w:hAnsi="Times New Roman" w:cs="Times New Roman"/>
                <w:sz w:val="24"/>
                <w:szCs w:val="24"/>
              </w:rPr>
              <w:lastRenderedPageBreak/>
              <w:t>Respectfully submitted this 15</w:t>
            </w:r>
            <w:r w:rsidRPr="002233F5">
              <w:rPr>
                <w:rFonts w:ascii="Times New Roman" w:hAnsi="Times New Roman" w:cs="Times New Roman"/>
                <w:sz w:val="24"/>
                <w:szCs w:val="24"/>
                <w:vertAlign w:val="superscript"/>
              </w:rPr>
              <w:t>th</w:t>
            </w:r>
            <w:r w:rsidRPr="002233F5">
              <w:rPr>
                <w:rFonts w:ascii="Times New Roman" w:hAnsi="Times New Roman" w:cs="Times New Roman"/>
                <w:sz w:val="24"/>
                <w:szCs w:val="24"/>
              </w:rPr>
              <w:t xml:space="preserve"> day of March, 2013</w:t>
            </w:r>
            <w:r w:rsidR="002233F5" w:rsidRPr="002233F5">
              <w:rPr>
                <w:rFonts w:ascii="Times New Roman" w:hAnsi="Times New Roman" w:cs="Times New Roman"/>
                <w:sz w:val="24"/>
                <w:szCs w:val="24"/>
              </w:rPr>
              <w:t>.</w:t>
            </w:r>
          </w:p>
        </w:tc>
      </w:tr>
      <w:tr w:rsidR="00B44CB0" w:rsidRPr="00A068DB" w:rsidTr="00B44CB0">
        <w:trPr>
          <w:trHeight w:val="3573"/>
        </w:trPr>
        <w:tc>
          <w:tcPr>
            <w:tcW w:w="4248" w:type="dxa"/>
          </w:tcPr>
          <w:p w:rsidR="00B44CB0" w:rsidRPr="002233F5" w:rsidRDefault="00174178" w:rsidP="00B44CB0">
            <w:pPr>
              <w:keepNext/>
              <w:keepLines/>
              <w:rPr>
                <w:rFonts w:ascii="Times New Roman" w:hAnsi="Times New Roman" w:cs="Times New Roman"/>
                <w:sz w:val="24"/>
                <w:szCs w:val="24"/>
              </w:rPr>
            </w:pPr>
            <w:r>
              <w:rPr>
                <w:rFonts w:ascii="Times New Roman" w:hAnsi="Times New Roman" w:cs="Times New Roman"/>
                <w:sz w:val="24"/>
                <w:szCs w:val="24"/>
              </w:rPr>
              <w:t xml:space="preserve"> </w:t>
            </w:r>
          </w:p>
        </w:tc>
        <w:tc>
          <w:tcPr>
            <w:tcW w:w="5328" w:type="dxa"/>
          </w:tcPr>
          <w:p w:rsidR="00B44CB0" w:rsidRPr="002233F5" w:rsidRDefault="00B44CB0" w:rsidP="00B44CB0">
            <w:pPr>
              <w:pStyle w:val="LawFirm"/>
              <w:keepNext/>
              <w:keepLines/>
              <w:rPr>
                <w:rFonts w:ascii="Times New Roman" w:hAnsi="Times New Roman" w:cs="Times New Roman"/>
              </w:rPr>
            </w:pPr>
            <w:r w:rsidRPr="002233F5">
              <w:rPr>
                <w:rFonts w:ascii="Times New Roman" w:hAnsi="Times New Roman" w:cs="Times New Roman"/>
              </w:rPr>
              <w:t>Qwest Corporation dba CenturyLink QC</w:t>
            </w:r>
          </w:p>
          <w:p w:rsidR="00B44CB0" w:rsidRPr="002233F5" w:rsidRDefault="00B44CB0" w:rsidP="00B44CB0">
            <w:pPr>
              <w:pStyle w:val="LawFirm"/>
              <w:keepNext/>
              <w:keepLines/>
              <w:rPr>
                <w:rFonts w:ascii="Times New Roman" w:hAnsi="Times New Roman" w:cs="Times New Roman"/>
              </w:rPr>
            </w:pPr>
            <w:r w:rsidRPr="002233F5">
              <w:rPr>
                <w:rFonts w:ascii="Times New Roman" w:hAnsi="Times New Roman" w:cs="Times New Roman"/>
              </w:rPr>
              <w:t>CenturyLink, Inc.</w:t>
            </w:r>
            <w:r w:rsidRPr="002233F5">
              <w:rPr>
                <w:rFonts w:ascii="Times New Roman" w:hAnsi="Times New Roman" w:cs="Times New Roman"/>
              </w:rPr>
              <w:br/>
            </w:r>
          </w:p>
          <w:p w:rsidR="00B44CB0" w:rsidRPr="002233F5" w:rsidRDefault="00B44CB0" w:rsidP="00B44CB0">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By:  _______________________</w:t>
            </w:r>
          </w:p>
          <w:p w:rsidR="00B44CB0" w:rsidRPr="002233F5" w:rsidRDefault="00B44CB0" w:rsidP="00B44CB0">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Lisa A. Anderl WSBA # 13236</w:t>
            </w:r>
          </w:p>
          <w:p w:rsidR="00B44CB0" w:rsidRPr="002233F5" w:rsidRDefault="00B44CB0" w:rsidP="00B44CB0">
            <w:pPr>
              <w:pStyle w:val="LawFirm"/>
              <w:keepNext/>
              <w:keepLines/>
              <w:rPr>
                <w:rFonts w:ascii="Times New Roman" w:hAnsi="Times New Roman" w:cs="Times New Roman"/>
              </w:rPr>
            </w:pPr>
            <w:r w:rsidRPr="002233F5">
              <w:rPr>
                <w:rFonts w:ascii="Times New Roman" w:hAnsi="Times New Roman" w:cs="Times New Roman"/>
              </w:rPr>
              <w:t>Qwest Corporation dba CenturyLink QC</w:t>
            </w:r>
          </w:p>
          <w:p w:rsidR="00B44CB0" w:rsidRPr="002233F5" w:rsidRDefault="00B44CB0" w:rsidP="00B44CB0">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1600 7th Ave</w:t>
            </w:r>
          </w:p>
          <w:p w:rsidR="00B44CB0" w:rsidRPr="002233F5" w:rsidRDefault="00B44CB0" w:rsidP="00B44CB0">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Seattle, Washington 98191</w:t>
            </w:r>
          </w:p>
          <w:p w:rsidR="00B44CB0" w:rsidRPr="002233F5" w:rsidRDefault="00B44CB0" w:rsidP="00B44CB0">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(206) 345-1574</w:t>
            </w:r>
          </w:p>
          <w:p w:rsidR="00B44CB0" w:rsidRPr="002233F5" w:rsidRDefault="002C4EC6" w:rsidP="00B44CB0">
            <w:pPr>
              <w:keepNext/>
              <w:keepLines/>
              <w:spacing w:after="0" w:line="240" w:lineRule="auto"/>
              <w:rPr>
                <w:rFonts w:ascii="Times New Roman" w:hAnsi="Times New Roman" w:cs="Times New Roman"/>
                <w:sz w:val="24"/>
                <w:szCs w:val="24"/>
              </w:rPr>
            </w:pPr>
            <w:hyperlink r:id="rId9" w:history="1">
              <w:r w:rsidR="00B44CB0" w:rsidRPr="002233F5">
                <w:rPr>
                  <w:rStyle w:val="Hyperlink"/>
                  <w:rFonts w:ascii="Times New Roman" w:hAnsi="Times New Roman" w:cs="Times New Roman"/>
                  <w:sz w:val="24"/>
                  <w:szCs w:val="24"/>
                </w:rPr>
                <w:t>lisa.anderl@centurylink.com</w:t>
              </w:r>
            </w:hyperlink>
            <w:r w:rsidR="00B44CB0" w:rsidRPr="002233F5">
              <w:rPr>
                <w:rFonts w:ascii="Times New Roman" w:hAnsi="Times New Roman" w:cs="Times New Roman"/>
                <w:sz w:val="24"/>
                <w:szCs w:val="24"/>
              </w:rPr>
              <w:t xml:space="preserve"> </w:t>
            </w:r>
          </w:p>
          <w:p w:rsidR="00B44CB0" w:rsidRPr="002233F5" w:rsidRDefault="00B44CB0" w:rsidP="00B44CB0">
            <w:pPr>
              <w:keepNext/>
              <w:keepLines/>
              <w:spacing w:after="0" w:line="240" w:lineRule="auto"/>
              <w:rPr>
                <w:rFonts w:ascii="Times New Roman" w:hAnsi="Times New Roman" w:cs="Times New Roman"/>
                <w:sz w:val="24"/>
                <w:szCs w:val="24"/>
              </w:rPr>
            </w:pPr>
          </w:p>
          <w:p w:rsidR="00B44CB0" w:rsidRPr="002233F5" w:rsidRDefault="00B44CB0" w:rsidP="00B44CB0">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Thomas M. Dethlefs, No. 31773 (Colorado)</w:t>
            </w:r>
          </w:p>
          <w:p w:rsidR="00B44CB0" w:rsidRPr="002233F5" w:rsidRDefault="00B44CB0" w:rsidP="00B44CB0">
            <w:pPr>
              <w:pStyle w:val="LawFirm"/>
              <w:keepNext/>
              <w:keepLines/>
              <w:rPr>
                <w:rFonts w:ascii="Times New Roman" w:hAnsi="Times New Roman" w:cs="Times New Roman"/>
              </w:rPr>
            </w:pPr>
            <w:r w:rsidRPr="002233F5">
              <w:rPr>
                <w:rFonts w:ascii="Times New Roman" w:hAnsi="Times New Roman" w:cs="Times New Roman"/>
              </w:rPr>
              <w:t>Qwest Corporation dba CenturyLink QC</w:t>
            </w:r>
          </w:p>
          <w:p w:rsidR="00B44CB0" w:rsidRPr="002233F5" w:rsidRDefault="00B44CB0" w:rsidP="00B44CB0">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1801 California Street, 10th Floor</w:t>
            </w:r>
          </w:p>
          <w:p w:rsidR="00B44CB0" w:rsidRPr="002233F5" w:rsidRDefault="00B44CB0" w:rsidP="00B44CB0">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Denver, Colorado 80202</w:t>
            </w:r>
          </w:p>
          <w:p w:rsidR="00B44CB0" w:rsidRPr="002233F5" w:rsidRDefault="00B44CB0" w:rsidP="00B44CB0">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(303) 992-5791</w:t>
            </w:r>
          </w:p>
          <w:p w:rsidR="00B44CB0" w:rsidRPr="002233F5" w:rsidRDefault="00B44CB0" w:rsidP="00B44CB0">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Fax: (303) 383-8512</w:t>
            </w:r>
          </w:p>
          <w:p w:rsidR="00B44CB0" w:rsidRDefault="002C4EC6" w:rsidP="002233F5">
            <w:pPr>
              <w:keepNext/>
              <w:keepLines/>
              <w:spacing w:after="0" w:line="240" w:lineRule="auto"/>
            </w:pPr>
            <w:hyperlink r:id="rId10" w:history="1">
              <w:r w:rsidR="00B44CB0" w:rsidRPr="002233F5">
                <w:rPr>
                  <w:rStyle w:val="Hyperlink"/>
                  <w:rFonts w:ascii="Times New Roman" w:hAnsi="Times New Roman" w:cs="Times New Roman"/>
                  <w:sz w:val="24"/>
                  <w:szCs w:val="24"/>
                </w:rPr>
                <w:t>thomas.dethlefs@centurylink.com</w:t>
              </w:r>
            </w:hyperlink>
          </w:p>
          <w:p w:rsidR="00F27744" w:rsidRDefault="00F27744" w:rsidP="002233F5">
            <w:pPr>
              <w:keepNext/>
              <w:keepLines/>
              <w:spacing w:after="0" w:line="240" w:lineRule="auto"/>
            </w:pPr>
          </w:p>
          <w:p w:rsidR="00F27744" w:rsidRPr="002233F5" w:rsidRDefault="00F27744" w:rsidP="002233F5">
            <w:pPr>
              <w:keepNext/>
              <w:keepLines/>
              <w:spacing w:after="0" w:line="240" w:lineRule="auto"/>
              <w:rPr>
                <w:rFonts w:ascii="Times New Roman" w:hAnsi="Times New Roman" w:cs="Times New Roman"/>
                <w:sz w:val="24"/>
                <w:szCs w:val="24"/>
              </w:rPr>
            </w:pPr>
          </w:p>
        </w:tc>
      </w:tr>
    </w:tbl>
    <w:p w:rsidR="00D20098" w:rsidRPr="00D20098" w:rsidRDefault="00D20098" w:rsidP="00B44CB0">
      <w:pPr>
        <w:pStyle w:val="AutoNumBodyCharCharCharChar"/>
        <w:numPr>
          <w:ilvl w:val="0"/>
          <w:numId w:val="0"/>
        </w:numPr>
        <w:ind w:left="720"/>
      </w:pPr>
    </w:p>
    <w:sectPr w:rsidR="00D20098" w:rsidRPr="00D20098" w:rsidSect="0056356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178" w:rsidRDefault="00174178" w:rsidP="006D5437">
      <w:pPr>
        <w:spacing w:after="0" w:line="240" w:lineRule="auto"/>
      </w:pPr>
      <w:r>
        <w:separator/>
      </w:r>
    </w:p>
  </w:endnote>
  <w:endnote w:type="continuationSeparator" w:id="0">
    <w:p w:rsidR="00174178" w:rsidRDefault="00174178" w:rsidP="006D5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178" w:rsidRDefault="00174178" w:rsidP="00563568">
    <w:pPr>
      <w:pStyle w:val="Footer"/>
      <w:jc w:val="center"/>
      <w:rPr>
        <w:rFonts w:ascii="Times New Roman" w:hAnsi="Times New Roman" w:cs="Times New Roman"/>
        <w:sz w:val="20"/>
        <w:szCs w:val="24"/>
      </w:rPr>
    </w:pPr>
    <w:r>
      <w:rPr>
        <w:rFonts w:ascii="Times New Roman" w:hAnsi="Times New Roman" w:cs="Times New Roman"/>
        <w:sz w:val="20"/>
        <w:szCs w:val="24"/>
      </w:rPr>
      <w:t>-</w:t>
    </w:r>
    <w:r w:rsidRPr="00563568">
      <w:rPr>
        <w:rFonts w:ascii="Times New Roman" w:hAnsi="Times New Roman" w:cs="Times New Roman"/>
        <w:sz w:val="20"/>
        <w:szCs w:val="24"/>
      </w:rPr>
      <w:fldChar w:fldCharType="begin"/>
    </w:r>
    <w:r w:rsidRPr="00563568">
      <w:rPr>
        <w:rFonts w:ascii="Times New Roman" w:hAnsi="Times New Roman" w:cs="Times New Roman"/>
        <w:sz w:val="20"/>
        <w:szCs w:val="24"/>
      </w:rPr>
      <w:instrText xml:space="preserve"> PAGE   \* MERGEFORMAT </w:instrText>
    </w:r>
    <w:r w:rsidRPr="00563568">
      <w:rPr>
        <w:rFonts w:ascii="Times New Roman" w:hAnsi="Times New Roman" w:cs="Times New Roman"/>
        <w:sz w:val="20"/>
        <w:szCs w:val="24"/>
      </w:rPr>
      <w:fldChar w:fldCharType="separate"/>
    </w:r>
    <w:r w:rsidR="002969F5">
      <w:rPr>
        <w:rFonts w:ascii="Times New Roman" w:hAnsi="Times New Roman" w:cs="Times New Roman"/>
        <w:noProof/>
        <w:sz w:val="20"/>
        <w:szCs w:val="24"/>
      </w:rPr>
      <w:t>19</w:t>
    </w:r>
    <w:r w:rsidRPr="00563568">
      <w:rPr>
        <w:rFonts w:ascii="Times New Roman" w:hAnsi="Times New Roman" w:cs="Times New Roman"/>
        <w:sz w:val="20"/>
        <w:szCs w:val="24"/>
      </w:rPr>
      <w:fldChar w:fldCharType="end"/>
    </w:r>
    <w:r>
      <w:rPr>
        <w:rFonts w:ascii="Times New Roman" w:hAnsi="Times New Roman" w:cs="Times New Roman"/>
        <w:sz w:val="20"/>
        <w:szCs w:val="24"/>
      </w:rPr>
      <w:t>-</w:t>
    </w:r>
  </w:p>
  <w:p w:rsidR="00174178" w:rsidRDefault="00174178" w:rsidP="000B21C3">
    <w:pPr>
      <w:pStyle w:val="Footer"/>
      <w:rPr>
        <w:rFonts w:ascii="Times New Roman" w:hAnsi="Times New Roman" w:cs="Times New Roman"/>
        <w:sz w:val="20"/>
        <w:szCs w:val="24"/>
      </w:rPr>
    </w:pPr>
    <w:r w:rsidRPr="000B21C3">
      <w:rPr>
        <w:rFonts w:ascii="Times New Roman" w:hAnsi="Times New Roman" w:cs="Times New Roman"/>
        <w:sz w:val="20"/>
        <w:szCs w:val="24"/>
      </w:rPr>
      <w:t xml:space="preserve">QWEST’S </w:t>
    </w:r>
    <w:r>
      <w:rPr>
        <w:rFonts w:ascii="Times New Roman" w:hAnsi="Times New Roman" w:cs="Times New Roman"/>
        <w:sz w:val="20"/>
        <w:szCs w:val="24"/>
      </w:rPr>
      <w:t>POST-HEARING</w:t>
    </w:r>
  </w:p>
  <w:p w:rsidR="00174178" w:rsidRPr="00CF21A3" w:rsidRDefault="00174178" w:rsidP="004503A3">
    <w:pPr>
      <w:framePr w:w="2163" w:h="907" w:hSpace="187" w:wrap="around" w:vAnchor="page" w:hAnchor="page" w:x="9630" w:y="13951" w:anchorLock="1"/>
      <w:spacing w:after="0"/>
      <w:rPr>
        <w:rFonts w:ascii="Times New Roman" w:hAnsi="Times New Roman" w:cs="Times New Roman"/>
        <w:b/>
        <w:sz w:val="20"/>
        <w:szCs w:val="20"/>
      </w:rPr>
    </w:pPr>
    <w:r w:rsidRPr="00CF21A3">
      <w:rPr>
        <w:rFonts w:ascii="Times New Roman" w:hAnsi="Times New Roman" w:cs="Times New Roman"/>
        <w:b/>
        <w:sz w:val="20"/>
        <w:szCs w:val="20"/>
      </w:rPr>
      <w:t xml:space="preserve">Qwest </w:t>
    </w:r>
  </w:p>
  <w:p w:rsidR="00174178" w:rsidRPr="00CF21A3" w:rsidRDefault="00174178" w:rsidP="004503A3">
    <w:pPr>
      <w:framePr w:w="2163" w:h="907" w:hSpace="187" w:wrap="around" w:vAnchor="page" w:hAnchor="page" w:x="9630" w:y="13951" w:anchorLock="1"/>
      <w:spacing w:after="0" w:line="240" w:lineRule="auto"/>
      <w:rPr>
        <w:rFonts w:ascii="Times New Roman" w:hAnsi="Times New Roman" w:cs="Times New Roman"/>
        <w:sz w:val="16"/>
        <w:szCs w:val="16"/>
      </w:rPr>
    </w:pPr>
    <w:r w:rsidRPr="00CF21A3">
      <w:rPr>
        <w:rFonts w:ascii="Times New Roman" w:hAnsi="Times New Roman" w:cs="Times New Roman"/>
        <w:sz w:val="16"/>
        <w:szCs w:val="16"/>
      </w:rPr>
      <w:t>1600 7</w:t>
    </w:r>
    <w:r w:rsidRPr="00CF21A3">
      <w:rPr>
        <w:rFonts w:ascii="Times New Roman" w:hAnsi="Times New Roman" w:cs="Times New Roman"/>
        <w:sz w:val="16"/>
        <w:szCs w:val="16"/>
        <w:vertAlign w:val="superscript"/>
      </w:rPr>
      <w:t>th</w:t>
    </w:r>
    <w:r w:rsidRPr="00CF21A3">
      <w:rPr>
        <w:rFonts w:ascii="Times New Roman" w:hAnsi="Times New Roman" w:cs="Times New Roman"/>
        <w:sz w:val="16"/>
        <w:szCs w:val="16"/>
      </w:rPr>
      <w:t xml:space="preserve"> Ave., Suite 1506</w:t>
    </w:r>
  </w:p>
  <w:p w:rsidR="00174178" w:rsidRPr="00CF21A3" w:rsidRDefault="00174178" w:rsidP="004503A3">
    <w:pPr>
      <w:framePr w:w="2163" w:h="907" w:hSpace="187" w:wrap="around" w:vAnchor="page" w:hAnchor="page" w:x="9630" w:y="13951" w:anchorLock="1"/>
      <w:spacing w:after="0" w:line="240" w:lineRule="auto"/>
      <w:rPr>
        <w:rFonts w:ascii="Times New Roman" w:hAnsi="Times New Roman" w:cs="Times New Roman"/>
        <w:sz w:val="16"/>
        <w:szCs w:val="16"/>
      </w:rPr>
    </w:pPr>
    <w:r w:rsidRPr="00CF21A3">
      <w:rPr>
        <w:rFonts w:ascii="Times New Roman" w:hAnsi="Times New Roman" w:cs="Times New Roman"/>
        <w:sz w:val="16"/>
        <w:szCs w:val="16"/>
      </w:rPr>
      <w:t>Seattle, WA  98191</w:t>
    </w:r>
  </w:p>
  <w:p w:rsidR="00174178" w:rsidRPr="00CF21A3" w:rsidRDefault="00174178" w:rsidP="004503A3">
    <w:pPr>
      <w:framePr w:w="2163" w:h="907" w:hSpace="187" w:wrap="around" w:vAnchor="page" w:hAnchor="page" w:x="9630" w:y="13951" w:anchorLock="1"/>
      <w:spacing w:after="0" w:line="240" w:lineRule="auto"/>
      <w:rPr>
        <w:rFonts w:ascii="Times New Roman" w:hAnsi="Times New Roman" w:cs="Times New Roman"/>
        <w:sz w:val="16"/>
        <w:szCs w:val="16"/>
      </w:rPr>
    </w:pPr>
    <w:r w:rsidRPr="00CF21A3">
      <w:rPr>
        <w:rFonts w:ascii="Times New Roman" w:hAnsi="Times New Roman" w:cs="Times New Roman"/>
        <w:sz w:val="16"/>
        <w:szCs w:val="16"/>
      </w:rPr>
      <w:t>Telephone:  (206) 398-2500</w:t>
    </w:r>
  </w:p>
  <w:p w:rsidR="00174178" w:rsidRDefault="00174178" w:rsidP="000B21C3">
    <w:pPr>
      <w:pStyle w:val="Footer"/>
      <w:rPr>
        <w:rFonts w:ascii="Times New Roman" w:hAnsi="Times New Roman" w:cs="Times New Roman"/>
        <w:sz w:val="20"/>
        <w:szCs w:val="24"/>
      </w:rPr>
    </w:pPr>
    <w:r>
      <w:rPr>
        <w:rFonts w:ascii="Times New Roman" w:hAnsi="Times New Roman" w:cs="Times New Roman"/>
        <w:sz w:val="20"/>
        <w:szCs w:val="24"/>
      </w:rPr>
      <w:t>OPENING BRIEF</w:t>
    </w:r>
  </w:p>
  <w:p w:rsidR="00174178" w:rsidRDefault="00174178" w:rsidP="004503A3">
    <w:pPr>
      <w:pStyle w:val="Footer"/>
      <w:jc w:val="center"/>
      <w:rPr>
        <w:rFonts w:ascii="Times New Roman" w:hAnsi="Times New Roman" w:cs="Times New Roman"/>
        <w:sz w:val="20"/>
        <w:szCs w:val="24"/>
      </w:rPr>
    </w:pPr>
    <w:r>
      <w:rPr>
        <w:rFonts w:ascii="Times New Roman" w:hAnsi="Times New Roman" w:cs="Times New Roman"/>
        <w:sz w:val="20"/>
        <w:szCs w:val="24"/>
      </w:rPr>
      <w:t>REDACTED</w:t>
    </w:r>
  </w:p>
  <w:p w:rsidR="00174178" w:rsidRDefault="00174178" w:rsidP="004503A3">
    <w:pPr>
      <w:pStyle w:val="Footer"/>
      <w:jc w:val="center"/>
      <w:rPr>
        <w:rFonts w:ascii="Times New Roman" w:hAnsi="Times New Roman" w:cs="Times New Roman"/>
        <w:sz w:val="20"/>
        <w:szCs w:val="24"/>
      </w:rPr>
    </w:pPr>
    <w:r>
      <w:rPr>
        <w:rFonts w:ascii="Times New Roman" w:hAnsi="Times New Roman" w:cs="Times New Roman"/>
        <w:sz w:val="20"/>
        <w:szCs w:val="24"/>
      </w:rPr>
      <w:t>CONFIDENTIAL PURSUANT TO</w:t>
    </w:r>
  </w:p>
  <w:p w:rsidR="00174178" w:rsidRPr="008B4F27" w:rsidRDefault="00174178" w:rsidP="004503A3">
    <w:pPr>
      <w:pStyle w:val="Footer"/>
      <w:jc w:val="center"/>
      <w:rPr>
        <w:rFonts w:ascii="Times New Roman" w:hAnsi="Times New Roman" w:cs="Times New Roman"/>
        <w:sz w:val="20"/>
        <w:szCs w:val="24"/>
      </w:rPr>
    </w:pPr>
    <w:r>
      <w:rPr>
        <w:rFonts w:ascii="Times New Roman" w:hAnsi="Times New Roman" w:cs="Times New Roman"/>
        <w:sz w:val="20"/>
        <w:szCs w:val="24"/>
      </w:rPr>
      <w:t>PROTECTIVER ORDER IN UT-053036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178" w:rsidRDefault="00174178" w:rsidP="006D5437">
      <w:pPr>
        <w:spacing w:after="0" w:line="240" w:lineRule="auto"/>
      </w:pPr>
      <w:r>
        <w:separator/>
      </w:r>
    </w:p>
  </w:footnote>
  <w:footnote w:type="continuationSeparator" w:id="0">
    <w:p w:rsidR="00174178" w:rsidRDefault="00174178" w:rsidP="006D5437">
      <w:pPr>
        <w:spacing w:after="0" w:line="240" w:lineRule="auto"/>
      </w:pPr>
      <w:r>
        <w:continuationSeparator/>
      </w:r>
    </w:p>
  </w:footnote>
  <w:footnote w:id="1">
    <w:p w:rsidR="00174178" w:rsidRPr="006D5437" w:rsidRDefault="00174178">
      <w:pPr>
        <w:pStyle w:val="FootnoteText"/>
        <w:rPr>
          <w:rFonts w:ascii="Times New Roman" w:hAnsi="Times New Roman" w:cs="Times New Roman"/>
        </w:rPr>
      </w:pPr>
      <w:r w:rsidRPr="006D5437">
        <w:rPr>
          <w:rStyle w:val="FootnoteReference"/>
          <w:rFonts w:ascii="Times New Roman" w:hAnsi="Times New Roman" w:cs="Times New Roman"/>
        </w:rPr>
        <w:footnoteRef/>
      </w:r>
      <w:r w:rsidRPr="006D5437">
        <w:rPr>
          <w:rFonts w:ascii="Times New Roman" w:hAnsi="Times New Roman" w:cs="Times New Roman"/>
        </w:rPr>
        <w:t xml:space="preserve"> </w:t>
      </w:r>
      <w:r>
        <w:rPr>
          <w:rFonts w:ascii="Times New Roman" w:hAnsi="Times New Roman" w:cs="Times New Roman"/>
        </w:rPr>
        <w:t>Qwest Corporation, and its parent company Qwest Communications International Inc., were acquired by CenturyLink Inc., in a merger that closed on April l, 2011.  Qwest Corporation is still a separate corporate entity, with a d/b/a of CenturyLink QC.  Because this proceeding began in 2005, and there are significant volumes of documents that all reference “Qwest” as the respondent, that naming convention will continue to be used in this brief.</w:t>
      </w:r>
    </w:p>
  </w:footnote>
  <w:footnote w:id="2">
    <w:p w:rsidR="00174178" w:rsidRPr="00470994" w:rsidRDefault="00174178">
      <w:pPr>
        <w:pStyle w:val="FootnoteText"/>
        <w:rPr>
          <w:rFonts w:ascii="Times New Roman" w:hAnsi="Times New Roman" w:cs="Times New Roman"/>
        </w:rPr>
      </w:pPr>
      <w:r>
        <w:rPr>
          <w:rStyle w:val="FootnoteReference"/>
        </w:rPr>
        <w:footnoteRef/>
      </w:r>
      <w:r>
        <w:t xml:space="preserve"> </w:t>
      </w:r>
      <w:r w:rsidRPr="00470994">
        <w:rPr>
          <w:rFonts w:ascii="Times New Roman" w:hAnsi="Times New Roman" w:cs="Times New Roman"/>
          <w:i/>
        </w:rPr>
        <w:t>Qwest Corporation v. Washington State Utilities and Transportation Commission</w:t>
      </w:r>
      <w:r w:rsidRPr="00470994">
        <w:rPr>
          <w:rFonts w:ascii="Times New Roman" w:hAnsi="Times New Roman" w:cs="Times New Roman"/>
        </w:rPr>
        <w:t>, 484 F.Supp.2d 1160, (W.D. Wash. 2007)(“</w:t>
      </w:r>
      <w:r w:rsidRPr="00470994">
        <w:rPr>
          <w:rFonts w:ascii="Times New Roman" w:hAnsi="Times New Roman" w:cs="Times New Roman"/>
          <w:i/>
        </w:rPr>
        <w:t>Qwest</w:t>
      </w:r>
      <w:r w:rsidRPr="00470994">
        <w:rPr>
          <w:rFonts w:ascii="Times New Roman" w:hAnsi="Times New Roman" w:cs="Times New Roman"/>
        </w:rPr>
        <w:t>”).</w:t>
      </w:r>
    </w:p>
  </w:footnote>
  <w:footnote w:id="3">
    <w:p w:rsidR="00174178" w:rsidRPr="00CD7178" w:rsidRDefault="00174178">
      <w:pPr>
        <w:pStyle w:val="FootnoteText"/>
        <w:rPr>
          <w:rFonts w:ascii="Times New Roman" w:hAnsi="Times New Roman" w:cs="Times New Roman"/>
        </w:rPr>
      </w:pPr>
      <w:r w:rsidRPr="00470994">
        <w:rPr>
          <w:rStyle w:val="FootnoteReference"/>
          <w:rFonts w:ascii="Times New Roman" w:hAnsi="Times New Roman" w:cs="Times New Roman"/>
        </w:rPr>
        <w:footnoteRef/>
      </w:r>
      <w:r w:rsidRPr="00470994">
        <w:rPr>
          <w:rFonts w:ascii="Times New Roman" w:hAnsi="Times New Roman" w:cs="Times New Roman"/>
        </w:rPr>
        <w:t xml:space="preserve"> Order on Remand and Report and Order, </w:t>
      </w:r>
      <w:r w:rsidRPr="00470994">
        <w:rPr>
          <w:rFonts w:ascii="Times New Roman" w:hAnsi="Times New Roman" w:cs="Times New Roman"/>
          <w:i/>
        </w:rPr>
        <w:t>In the Matter of Implementation of the Local Competition Provisions of the Telecommunications Act of 1996; Intercarrier Compensation for ISP-Bound Traffic</w:t>
      </w:r>
      <w:r w:rsidRPr="00470994">
        <w:rPr>
          <w:rFonts w:ascii="Times New Roman" w:hAnsi="Times New Roman" w:cs="Times New Roman"/>
        </w:rPr>
        <w:t>, 16 FCC Rcd 9151 (FCC April 27, 2001</w:t>
      </w:r>
      <w:proofErr w:type="gramStart"/>
      <w:r w:rsidRPr="00470994">
        <w:rPr>
          <w:rFonts w:ascii="Times New Roman" w:hAnsi="Times New Roman" w:cs="Times New Roman"/>
        </w:rPr>
        <w:t>)(</w:t>
      </w:r>
      <w:proofErr w:type="gramEnd"/>
      <w:r w:rsidRPr="00470994">
        <w:rPr>
          <w:rFonts w:ascii="Times New Roman" w:hAnsi="Times New Roman" w:cs="Times New Roman"/>
        </w:rPr>
        <w:t>“</w:t>
      </w:r>
      <w:r w:rsidRPr="00470994">
        <w:rPr>
          <w:rFonts w:ascii="Times New Roman" w:hAnsi="Times New Roman" w:cs="Times New Roman"/>
          <w:i/>
        </w:rPr>
        <w:t>ISP Remand Order</w:t>
      </w:r>
      <w:r w:rsidRPr="00470994">
        <w:rPr>
          <w:rFonts w:ascii="Times New Roman" w:hAnsi="Times New Roman" w:cs="Times New Roman"/>
        </w:rPr>
        <w:t>”).</w:t>
      </w:r>
    </w:p>
  </w:footnote>
  <w:footnote w:id="4">
    <w:p w:rsidR="00174178" w:rsidRPr="00FF4CF3" w:rsidRDefault="00174178" w:rsidP="00CE2FAA">
      <w:pPr>
        <w:pStyle w:val="FootnoteText"/>
        <w:rPr>
          <w:rFonts w:ascii="Times New Roman" w:hAnsi="Times New Roman" w:cs="Times New Roman"/>
        </w:rPr>
      </w:pPr>
      <w:r w:rsidRPr="00756601">
        <w:rPr>
          <w:rStyle w:val="FootnoteReference"/>
          <w:rFonts w:ascii="Times New Roman" w:hAnsi="Times New Roman" w:cs="Times New Roman"/>
        </w:rPr>
        <w:footnoteRef/>
      </w:r>
      <w:r w:rsidRPr="00756601">
        <w:rPr>
          <w:rFonts w:ascii="Times New Roman" w:hAnsi="Times New Roman" w:cs="Times New Roman"/>
        </w:rPr>
        <w:t xml:space="preserve"> </w:t>
      </w:r>
      <w:r>
        <w:rPr>
          <w:rFonts w:ascii="Times New Roman" w:hAnsi="Times New Roman" w:cs="Times New Roman"/>
          <w:i/>
        </w:rPr>
        <w:t xml:space="preserve">Qwest, </w:t>
      </w:r>
      <w:proofErr w:type="gramStart"/>
      <w:r w:rsidRPr="00FF2477">
        <w:rPr>
          <w:rFonts w:ascii="Times New Roman" w:hAnsi="Times New Roman" w:cs="Times New Roman"/>
        </w:rPr>
        <w:t>484 F.Supp.2d</w:t>
      </w:r>
      <w:r>
        <w:rPr>
          <w:rFonts w:ascii="Times New Roman" w:hAnsi="Times New Roman" w:cs="Times New Roman"/>
        </w:rPr>
        <w:t>, at 1177</w:t>
      </w:r>
      <w:proofErr w:type="gramEnd"/>
      <w:r>
        <w:rPr>
          <w:rFonts w:ascii="Times New Roman" w:hAnsi="Times New Roman" w:cs="Times New Roman"/>
        </w:rPr>
        <w:t>.</w:t>
      </w:r>
    </w:p>
  </w:footnote>
  <w:footnote w:id="5">
    <w:p w:rsidR="00174178" w:rsidRPr="001A1D36" w:rsidRDefault="00174178" w:rsidP="00CE2FAA">
      <w:pPr>
        <w:pStyle w:val="NormalWeb"/>
        <w:spacing w:before="0" w:beforeAutospacing="0" w:after="0" w:afterAutospacing="0"/>
        <w:rPr>
          <w:sz w:val="20"/>
          <w:szCs w:val="20"/>
        </w:rPr>
      </w:pPr>
      <w:r w:rsidRPr="001A1D36">
        <w:rPr>
          <w:rStyle w:val="FootnoteReference"/>
          <w:sz w:val="20"/>
          <w:szCs w:val="20"/>
        </w:rPr>
        <w:footnoteRef/>
      </w:r>
      <w:r>
        <w:rPr>
          <w:sz w:val="20"/>
          <w:szCs w:val="20"/>
        </w:rPr>
        <w:t xml:space="preserve"> </w:t>
      </w:r>
      <w:r w:rsidRPr="001A1D36">
        <w:rPr>
          <w:sz w:val="20"/>
          <w:szCs w:val="20"/>
        </w:rPr>
        <w:t xml:space="preserve">RCW 80.36.200 provides that “[e]very telecommunications company operating in this state shall </w:t>
      </w:r>
      <w:proofErr w:type="gramStart"/>
      <w:r w:rsidRPr="001A1D36">
        <w:rPr>
          <w:sz w:val="20"/>
          <w:szCs w:val="20"/>
        </w:rPr>
        <w:t>receive</w:t>
      </w:r>
      <w:r>
        <w:rPr>
          <w:sz w:val="20"/>
          <w:szCs w:val="20"/>
        </w:rPr>
        <w:t>,</w:t>
      </w:r>
      <w:proofErr w:type="gramEnd"/>
      <w:r w:rsidRPr="001A1D36">
        <w:rPr>
          <w:sz w:val="20"/>
          <w:szCs w:val="20"/>
        </w:rPr>
        <w:t xml:space="preserve"> transmit and deliver, without discrimination or delay, the messages of any other telecommunications company.</w:t>
      </w:r>
    </w:p>
    <w:p w:rsidR="00174178" w:rsidRDefault="00174178">
      <w:pPr>
        <w:pStyle w:val="FootnoteText"/>
      </w:pPr>
    </w:p>
  </w:footnote>
  <w:footnote w:id="6">
    <w:p w:rsidR="00174178" w:rsidRPr="00912088" w:rsidRDefault="00174178" w:rsidP="00BD2D97">
      <w:pPr>
        <w:pStyle w:val="FootnoteText"/>
        <w:rPr>
          <w:rFonts w:ascii="Times New Roman" w:hAnsi="Times New Roman" w:cs="Times New Roman"/>
        </w:rPr>
      </w:pPr>
      <w:r w:rsidRPr="00137ABC">
        <w:rPr>
          <w:rStyle w:val="FootnoteReference"/>
          <w:rFonts w:ascii="Times New Roman" w:hAnsi="Times New Roman" w:cs="Times New Roman"/>
        </w:rPr>
        <w:footnoteRef/>
      </w:r>
      <w:r w:rsidRPr="00137ABC">
        <w:rPr>
          <w:rFonts w:ascii="Times New Roman" w:hAnsi="Times New Roman" w:cs="Times New Roman"/>
        </w:rPr>
        <w:t xml:space="preserve"> </w:t>
      </w:r>
      <w:r>
        <w:rPr>
          <w:rFonts w:ascii="Times New Roman" w:hAnsi="Times New Roman" w:cs="Times New Roman"/>
        </w:rPr>
        <w:t>Tr. 492.</w:t>
      </w:r>
    </w:p>
  </w:footnote>
  <w:footnote w:id="7">
    <w:p w:rsidR="00174178" w:rsidRPr="00944E33" w:rsidRDefault="00174178" w:rsidP="00BD2D97">
      <w:pPr>
        <w:spacing w:after="0" w:line="288" w:lineRule="auto"/>
        <w:rPr>
          <w:rFonts w:ascii="Times New Roman" w:hAnsi="Times New Roman" w:cs="Times New Roman"/>
          <w:sz w:val="20"/>
          <w:szCs w:val="20"/>
        </w:rPr>
      </w:pPr>
      <w:r w:rsidRPr="00944E33">
        <w:rPr>
          <w:rStyle w:val="FootnoteReference"/>
          <w:rFonts w:ascii="Times New Roman" w:hAnsi="Times New Roman" w:cs="Times New Roman"/>
          <w:sz w:val="20"/>
          <w:szCs w:val="20"/>
        </w:rPr>
        <w:footnoteRef/>
      </w:r>
      <w:r w:rsidRPr="00944E33">
        <w:rPr>
          <w:rFonts w:ascii="Times New Roman" w:hAnsi="Times New Roman" w:cs="Times New Roman"/>
          <w:sz w:val="20"/>
          <w:szCs w:val="20"/>
        </w:rPr>
        <w:t xml:space="preserve"> As the Commission noted in its November 14</w:t>
      </w:r>
      <w:r w:rsidRPr="00944E33">
        <w:rPr>
          <w:rFonts w:ascii="Times New Roman" w:hAnsi="Times New Roman" w:cs="Times New Roman"/>
          <w:sz w:val="20"/>
          <w:szCs w:val="20"/>
          <w:vertAlign w:val="superscript"/>
        </w:rPr>
        <w:t>th</w:t>
      </w:r>
      <w:r w:rsidRPr="00944E33">
        <w:rPr>
          <w:rFonts w:ascii="Times New Roman" w:hAnsi="Times New Roman" w:cs="Times New Roman"/>
          <w:sz w:val="20"/>
          <w:szCs w:val="20"/>
        </w:rPr>
        <w:t xml:space="preserve"> 2011 order</w:t>
      </w:r>
      <w:r>
        <w:rPr>
          <w:rFonts w:ascii="Times New Roman" w:hAnsi="Times New Roman" w:cs="Times New Roman"/>
          <w:sz w:val="20"/>
          <w:szCs w:val="20"/>
        </w:rPr>
        <w:t xml:space="preserve"> in this docket</w:t>
      </w:r>
      <w:r w:rsidRPr="00944E33">
        <w:rPr>
          <w:rFonts w:ascii="Times New Roman" w:hAnsi="Times New Roman" w:cs="Times New Roman"/>
          <w:sz w:val="20"/>
          <w:szCs w:val="20"/>
        </w:rPr>
        <w:t xml:space="preserve">, </w:t>
      </w:r>
      <w:r>
        <w:rPr>
          <w:rFonts w:ascii="Times New Roman" w:hAnsi="Times New Roman" w:cs="Times New Roman"/>
          <w:sz w:val="20"/>
          <w:szCs w:val="20"/>
        </w:rPr>
        <w:t xml:space="preserve">Order 12, </w:t>
      </w:r>
      <w:r w:rsidRPr="00944E33">
        <w:rPr>
          <w:rFonts w:ascii="Times New Roman" w:hAnsi="Times New Roman" w:cs="Times New Roman"/>
          <w:sz w:val="20"/>
          <w:szCs w:val="20"/>
        </w:rPr>
        <w:t>“a telephone number typically has ten digits, labeled by telecommunications carriers as NPA-NXX-XXXX.  The first three digits are known as the Numbering Plan Area (NPA) or area code.  The second set of three digits is the exchange or NXX code. These codes generally correspond to geographic areas served by a local exchange carrier that operates central offices and switches that are identified by NXX codes.  When a customer dials a number, the NXX code helps direct that call to a particular central office and, in turn, helps to route that call to the called number on the terminating end.  Historically, the NXX number determines whether a call is to terminate within or outside the local calling area.  This, in turn, determines whether a call is rated a local call or an interexchange call, and determines the applicable intercarrier compensation between carriers.” (¶ 18).</w:t>
      </w:r>
    </w:p>
    <w:p w:rsidR="00174178" w:rsidRPr="00944E33" w:rsidRDefault="00174178" w:rsidP="00944E33">
      <w:pPr>
        <w:pStyle w:val="FootnoteText"/>
        <w:rPr>
          <w:rFonts w:ascii="Times New Roman" w:hAnsi="Times New Roman" w:cs="Times New Roman"/>
        </w:rPr>
      </w:pPr>
    </w:p>
  </w:footnote>
  <w:footnote w:id="8">
    <w:p w:rsidR="00174178" w:rsidRPr="0071640B" w:rsidRDefault="00174178" w:rsidP="00944E33">
      <w:pPr>
        <w:pStyle w:val="AutoNumBodyCharCharCharChar"/>
        <w:numPr>
          <w:ilvl w:val="0"/>
          <w:numId w:val="0"/>
        </w:numPr>
        <w:ind w:left="720" w:hanging="720"/>
        <w:rPr>
          <w:sz w:val="20"/>
          <w:szCs w:val="20"/>
        </w:rPr>
      </w:pPr>
      <w:r w:rsidRPr="0071640B">
        <w:rPr>
          <w:rStyle w:val="FootnoteReference"/>
          <w:sz w:val="20"/>
          <w:szCs w:val="20"/>
        </w:rPr>
        <w:footnoteRef/>
      </w:r>
      <w:r w:rsidRPr="0071640B">
        <w:rPr>
          <w:sz w:val="20"/>
          <w:szCs w:val="20"/>
        </w:rPr>
        <w:t xml:space="preserve">  In its Final VNXX Order in the VNXX complaint docket, the Commission stated: </w:t>
      </w:r>
    </w:p>
    <w:p w:rsidR="00174178" w:rsidRDefault="00174178">
      <w:pPr>
        <w:spacing w:after="120" w:line="240" w:lineRule="auto"/>
        <w:ind w:left="720"/>
        <w:jc w:val="both"/>
        <w:rPr>
          <w:rFonts w:ascii="Times New Roman" w:hAnsi="Times New Roman" w:cs="Times New Roman"/>
          <w:bCs/>
          <w:sz w:val="20"/>
          <w:szCs w:val="20"/>
        </w:rPr>
      </w:pPr>
      <w:r w:rsidRPr="0071640B">
        <w:rPr>
          <w:rFonts w:ascii="Times New Roman" w:hAnsi="Times New Roman" w:cs="Times New Roman"/>
          <w:bCs/>
          <w:sz w:val="20"/>
          <w:szCs w:val="20"/>
        </w:rPr>
        <w:t>VNXX traffic arrangements occur when the carrier assigns a telephone number from a rate center (NXX) in a local calling area different from the one where the customer is physically located.  For example, a customer in Seattle is assigned a number for a local calling area in Olympia.  The effect of this assignment is that a call to the VNXX number appears to terminate within the Olympia local calling area, but will actually terminate in the Seattle local calling area.  Because intercarrier compensation depends on whether this call is classified as “local” (subject to reciprocal compensation) or interexchange (subject to access charges), the classification decision is central to determining who pays whom and how much.</w:t>
      </w:r>
    </w:p>
    <w:p w:rsidR="00174178" w:rsidRDefault="00174178">
      <w:pPr>
        <w:spacing w:line="240" w:lineRule="auto"/>
        <w:ind w:left="720"/>
        <w:jc w:val="both"/>
        <w:rPr>
          <w:rFonts w:ascii="Times New Roman" w:hAnsi="Times New Roman" w:cs="Times New Roman"/>
          <w:bCs/>
          <w:sz w:val="20"/>
          <w:szCs w:val="20"/>
        </w:rPr>
      </w:pPr>
      <w:r w:rsidRPr="0071640B">
        <w:rPr>
          <w:rFonts w:ascii="Times New Roman" w:hAnsi="Times New Roman" w:cs="Times New Roman"/>
          <w:bCs/>
          <w:sz w:val="20"/>
          <w:szCs w:val="20"/>
        </w:rPr>
        <w:t>The great majority of VNXX calls are made to ISPs (ISP-bound traffic).  CLECs use VNXX arrangements primarily to serve their ISP customers.  VNXX enables the ISP dial-up customers to connect with the Internet without incurring toll or access charges. (Citations omitted).</w:t>
      </w:r>
    </w:p>
    <w:p w:rsidR="00174178" w:rsidRPr="0071640B" w:rsidRDefault="00174178" w:rsidP="00B06D38">
      <w:pPr>
        <w:spacing w:after="0"/>
        <w:jc w:val="both"/>
      </w:pPr>
      <w:r w:rsidRPr="00FE019F">
        <w:rPr>
          <w:rFonts w:ascii="Times New Roman" w:hAnsi="Times New Roman" w:cs="Times New Roman"/>
          <w:i/>
          <w:sz w:val="20"/>
          <w:szCs w:val="20"/>
        </w:rPr>
        <w:t xml:space="preserve">QWEST CORPORATION V. LEVEL 3 COMMUNICATIONS, LLC, et al; In the Matter of the Request of MCIMETRO ACCESS TRANSMISSION SERVICES, LLC d/b/a VERIZON ACCESS TRANSMISSION SERVICES and QWEST CORPORATION For Approval of Negotiated Agreement Under Telecommunications Act of 1996; </w:t>
      </w:r>
      <w:r w:rsidRPr="00FE019F">
        <w:rPr>
          <w:rFonts w:ascii="Times New Roman" w:hAnsi="Times New Roman" w:cs="Times New Roman"/>
          <w:sz w:val="20"/>
          <w:szCs w:val="20"/>
        </w:rPr>
        <w:t>Order 10,</w:t>
      </w:r>
      <w:r w:rsidRPr="00FE019F">
        <w:rPr>
          <w:rFonts w:ascii="Times New Roman" w:hAnsi="Times New Roman" w:cs="Times New Roman"/>
          <w:i/>
          <w:sz w:val="20"/>
          <w:szCs w:val="20"/>
        </w:rPr>
        <w:t xml:space="preserve"> </w:t>
      </w:r>
      <w:r w:rsidRPr="00FE019F">
        <w:rPr>
          <w:rFonts w:ascii="Times New Roman" w:hAnsi="Times New Roman" w:cs="Times New Roman"/>
          <w:sz w:val="20"/>
          <w:szCs w:val="20"/>
        </w:rPr>
        <w:t>Docket UT-</w:t>
      </w:r>
      <w:r>
        <w:rPr>
          <w:rFonts w:ascii="Times New Roman" w:hAnsi="Times New Roman" w:cs="Times New Roman"/>
          <w:sz w:val="20"/>
          <w:szCs w:val="20"/>
        </w:rPr>
        <w:t>0</w:t>
      </w:r>
      <w:r w:rsidRPr="00FE019F">
        <w:rPr>
          <w:rFonts w:ascii="Times New Roman" w:hAnsi="Times New Roman" w:cs="Times New Roman"/>
          <w:sz w:val="20"/>
          <w:szCs w:val="20"/>
        </w:rPr>
        <w:t>63038; Order 3, Docket UT-063055; ¶¶21-22, 2008 Wash. UTC LEXIS 515 (WUTC July 16, 2008)</w:t>
      </w:r>
      <w:r>
        <w:rPr>
          <w:rFonts w:ascii="Times New Roman" w:hAnsi="Times New Roman" w:cs="Times New Roman"/>
          <w:sz w:val="20"/>
          <w:szCs w:val="20"/>
        </w:rPr>
        <w:t xml:space="preserve"> (“</w:t>
      </w:r>
      <w:r w:rsidRPr="00137ABC">
        <w:rPr>
          <w:rFonts w:ascii="Times New Roman" w:hAnsi="Times New Roman" w:cs="Times New Roman"/>
          <w:i/>
          <w:sz w:val="20"/>
          <w:szCs w:val="20"/>
        </w:rPr>
        <w:t>Final</w:t>
      </w:r>
      <w:r>
        <w:rPr>
          <w:rFonts w:ascii="Times New Roman" w:hAnsi="Times New Roman" w:cs="Times New Roman"/>
          <w:sz w:val="20"/>
          <w:szCs w:val="20"/>
        </w:rPr>
        <w:t xml:space="preserve"> </w:t>
      </w:r>
      <w:r w:rsidRPr="00FE019F">
        <w:rPr>
          <w:rFonts w:ascii="Times New Roman" w:hAnsi="Times New Roman" w:cs="Times New Roman"/>
          <w:i/>
          <w:sz w:val="20"/>
          <w:szCs w:val="20"/>
        </w:rPr>
        <w:t xml:space="preserve">VNXX </w:t>
      </w:r>
      <w:r>
        <w:rPr>
          <w:rFonts w:ascii="Times New Roman" w:hAnsi="Times New Roman" w:cs="Times New Roman"/>
          <w:i/>
          <w:sz w:val="20"/>
          <w:szCs w:val="20"/>
        </w:rPr>
        <w:t>Order</w:t>
      </w:r>
      <w:r>
        <w:rPr>
          <w:rFonts w:ascii="Times New Roman" w:hAnsi="Times New Roman" w:cs="Times New Roman"/>
          <w:sz w:val="20"/>
          <w:szCs w:val="20"/>
        </w:rPr>
        <w:t>”).</w:t>
      </w:r>
    </w:p>
  </w:footnote>
  <w:footnote w:id="9">
    <w:p w:rsidR="00174178" w:rsidRPr="00BA180E" w:rsidRDefault="00174178" w:rsidP="00B06D38">
      <w:pPr>
        <w:pStyle w:val="FootnoteText"/>
        <w:rPr>
          <w:rFonts w:ascii="Times New Roman" w:hAnsi="Times New Roman" w:cs="Times New Roman"/>
        </w:rPr>
      </w:pPr>
      <w:r w:rsidRPr="00BA180E">
        <w:rPr>
          <w:rStyle w:val="FootnoteReference"/>
          <w:rFonts w:ascii="Times New Roman" w:hAnsi="Times New Roman" w:cs="Times New Roman"/>
        </w:rPr>
        <w:footnoteRef/>
      </w:r>
      <w:r w:rsidRPr="00BA180E">
        <w:rPr>
          <w:rFonts w:ascii="Times New Roman" w:hAnsi="Times New Roman" w:cs="Times New Roman"/>
        </w:rPr>
        <w:t xml:space="preserve"> 47 U.S.C. §251(b</w:t>
      </w:r>
      <w:proofErr w:type="gramStart"/>
      <w:r w:rsidRPr="00BA180E">
        <w:rPr>
          <w:rFonts w:ascii="Times New Roman" w:hAnsi="Times New Roman" w:cs="Times New Roman"/>
        </w:rPr>
        <w:t>)(</w:t>
      </w:r>
      <w:proofErr w:type="gramEnd"/>
      <w:r w:rsidRPr="00BA180E">
        <w:rPr>
          <w:rFonts w:ascii="Times New Roman" w:hAnsi="Times New Roman" w:cs="Times New Roman"/>
        </w:rPr>
        <w:t>5).</w:t>
      </w:r>
    </w:p>
  </w:footnote>
  <w:footnote w:id="10">
    <w:p w:rsidR="00174178" w:rsidRPr="00BA180E" w:rsidRDefault="00174178">
      <w:pPr>
        <w:pStyle w:val="FootnoteText"/>
        <w:rPr>
          <w:rFonts w:ascii="Times New Roman" w:hAnsi="Times New Roman" w:cs="Times New Roman"/>
        </w:rPr>
      </w:pPr>
      <w:r>
        <w:rPr>
          <w:rStyle w:val="FootnoteReference"/>
          <w:rFonts w:ascii="Times New Roman" w:hAnsi="Times New Roman" w:cs="Times New Roman"/>
        </w:rPr>
        <w:footnoteRef/>
      </w:r>
      <w:r w:rsidRPr="00137ABC">
        <w:rPr>
          <w:rFonts w:ascii="Times New Roman" w:hAnsi="Times New Roman" w:cs="Times New Roman"/>
        </w:rPr>
        <w:t xml:space="preserve"> In addition to the discussion below, see Appendix </w:t>
      </w:r>
      <w:r>
        <w:rPr>
          <w:rFonts w:ascii="Times New Roman" w:hAnsi="Times New Roman" w:cs="Times New Roman"/>
        </w:rPr>
        <w:t>B</w:t>
      </w:r>
      <w:r w:rsidRPr="00137ABC">
        <w:rPr>
          <w:rFonts w:ascii="Times New Roman" w:hAnsi="Times New Roman" w:cs="Times New Roman"/>
        </w:rPr>
        <w:t xml:space="preserve"> for relevant excerpts from the Commission’s orders in this docket and the generic VNXX docket.</w:t>
      </w:r>
    </w:p>
  </w:footnote>
  <w:footnote w:id="11">
    <w:p w:rsidR="00174178" w:rsidRPr="00BA180E" w:rsidRDefault="00174178">
      <w:pPr>
        <w:pStyle w:val="FootnoteText"/>
        <w:rPr>
          <w:rFonts w:ascii="Times New Roman" w:hAnsi="Times New Roman" w:cs="Times New Roman"/>
        </w:rPr>
      </w:pPr>
      <w:r w:rsidRPr="00137ABC">
        <w:rPr>
          <w:rStyle w:val="FootnoteReference"/>
          <w:rFonts w:ascii="Times New Roman" w:hAnsi="Times New Roman" w:cs="Times New Roman"/>
        </w:rPr>
        <w:footnoteRef/>
      </w:r>
      <w:r w:rsidRPr="00137ABC">
        <w:rPr>
          <w:rFonts w:ascii="Times New Roman" w:hAnsi="Times New Roman" w:cs="Times New Roman"/>
        </w:rPr>
        <w:t xml:space="preserve"> </w:t>
      </w:r>
      <w:r>
        <w:rPr>
          <w:rFonts w:ascii="Times New Roman" w:hAnsi="Times New Roman" w:cs="Times New Roman"/>
        </w:rPr>
        <w:t xml:space="preserve">In accordance with the Administrative Law Judge’s request at the close of the hearings (Tr. 496), Qwest has reviewed the original petition for enforcement and Qwest’s own counterclaims.  </w:t>
      </w:r>
      <w:r w:rsidRPr="00CE2FAA">
        <w:rPr>
          <w:rFonts w:ascii="Times New Roman" w:hAnsi="Times New Roman" w:cs="Times New Roman"/>
        </w:rPr>
        <w:t xml:space="preserve">Pac-West asked the Commission to enforce the ICA, and to order Qwest to pay for transport and termination of all ISP-bound traffic, including FX/VNXX (June 8, 2005 Petition for Enforcement, page 6, ¶ A.)  That issue has been decided against Pac-West in prior Commission </w:t>
      </w:r>
      <w:proofErr w:type="gramStart"/>
      <w:r w:rsidRPr="00CE2FAA">
        <w:rPr>
          <w:rFonts w:ascii="Times New Roman" w:hAnsi="Times New Roman" w:cs="Times New Roman"/>
        </w:rPr>
        <w:t>orders,</w:t>
      </w:r>
      <w:proofErr w:type="gramEnd"/>
      <w:r w:rsidRPr="00CE2FAA">
        <w:rPr>
          <w:rFonts w:ascii="Times New Roman" w:hAnsi="Times New Roman" w:cs="Times New Roman"/>
        </w:rPr>
        <w:t xml:space="preserve"> and no further or other relief should be granted to Pac-West.  Qwest, in its counterclaims, asked the Commission for various relief, including prohibiting VNXX, invalidating Pac-West’s bills for VNXX traffic, etc. (June 15, 2005 Answer and Counterclaims, pages 24-25, ¶¶ A.-F.).  Much of that relief has been overtaken by subsequent events.  For example, the Commission has determined the terms and conditions under which VNXX traffic may be exchanged, so Qwest is no longer seeking a declaration that VNXX is prohibited or unlawful.  Paragraphs A., C., and E., are the only ones still implicated at this stage of the proceedings, and would be fully satisfied with an order requiring refunds with interest, and compensation for transport facilities as set fo</w:t>
      </w:r>
      <w:r>
        <w:rPr>
          <w:rFonts w:ascii="Times New Roman" w:hAnsi="Times New Roman" w:cs="Times New Roman"/>
        </w:rPr>
        <w:t>rth in Confidential Appendix A.</w:t>
      </w:r>
    </w:p>
  </w:footnote>
  <w:footnote w:id="12">
    <w:p w:rsidR="00174178" w:rsidRPr="00BA180E" w:rsidRDefault="00174178" w:rsidP="00944E33">
      <w:pPr>
        <w:pStyle w:val="FootnoteText"/>
        <w:rPr>
          <w:rFonts w:ascii="Times New Roman" w:hAnsi="Times New Roman" w:cs="Times New Roman"/>
        </w:rPr>
      </w:pPr>
      <w:r>
        <w:rPr>
          <w:rStyle w:val="FootnoteReference"/>
          <w:rFonts w:ascii="Times New Roman" w:hAnsi="Times New Roman" w:cs="Times New Roman"/>
        </w:rPr>
        <w:footnoteRef/>
      </w:r>
      <w:r w:rsidRPr="00137ABC">
        <w:rPr>
          <w:rFonts w:ascii="Times New Roman" w:hAnsi="Times New Roman" w:cs="Times New Roman"/>
        </w:rPr>
        <w:t xml:space="preserve"> </w:t>
      </w:r>
      <w:r w:rsidRPr="00137ABC">
        <w:rPr>
          <w:rFonts w:ascii="Times New Roman" w:hAnsi="Times New Roman" w:cs="Times New Roman"/>
          <w:i/>
        </w:rPr>
        <w:t xml:space="preserve">Level 3 Communications, LLC v. Qwest Corporation, </w:t>
      </w:r>
      <w:r w:rsidRPr="00137ABC">
        <w:rPr>
          <w:rFonts w:ascii="Times New Roman" w:hAnsi="Times New Roman" w:cs="Times New Roman"/>
        </w:rPr>
        <w:t>Docket UT-053039, Order No. 5 (February 9, 2006).</w:t>
      </w:r>
    </w:p>
  </w:footnote>
  <w:footnote w:id="13">
    <w:p w:rsidR="00174178" w:rsidRPr="00BA180E" w:rsidRDefault="00174178" w:rsidP="00944E33">
      <w:pPr>
        <w:pStyle w:val="FootnoteText"/>
        <w:rPr>
          <w:rFonts w:ascii="Times New Roman" w:hAnsi="Times New Roman" w:cs="Times New Roman"/>
          <w:i/>
        </w:rPr>
      </w:pPr>
      <w:r>
        <w:rPr>
          <w:rStyle w:val="FootnoteReference"/>
          <w:rFonts w:ascii="Times New Roman" w:hAnsi="Times New Roman" w:cs="Times New Roman"/>
        </w:rPr>
        <w:footnoteRef/>
      </w:r>
      <w:r w:rsidRPr="00137ABC">
        <w:rPr>
          <w:rFonts w:ascii="Times New Roman" w:hAnsi="Times New Roman" w:cs="Times New Roman"/>
        </w:rPr>
        <w:t xml:space="preserve"> </w:t>
      </w:r>
      <w:r w:rsidRPr="00137ABC">
        <w:rPr>
          <w:rFonts w:ascii="Times New Roman" w:hAnsi="Times New Roman" w:cs="Times New Roman"/>
          <w:i/>
          <w:szCs w:val="22"/>
        </w:rPr>
        <w:t>Qwest</w:t>
      </w:r>
      <w:r w:rsidRPr="00137ABC">
        <w:rPr>
          <w:rFonts w:ascii="Times New Roman" w:hAnsi="Times New Roman" w:cs="Times New Roman"/>
          <w:szCs w:val="22"/>
        </w:rPr>
        <w:t>, 484 F. S</w:t>
      </w:r>
      <w:r>
        <w:rPr>
          <w:rFonts w:ascii="Times New Roman" w:hAnsi="Times New Roman" w:cs="Times New Roman"/>
          <w:szCs w:val="22"/>
        </w:rPr>
        <w:t>upp. 2d at 1177</w:t>
      </w:r>
      <w:r w:rsidRPr="00137ABC">
        <w:rPr>
          <w:rFonts w:ascii="Times New Roman" w:hAnsi="Times New Roman" w:cs="Times New Roman"/>
          <w:szCs w:val="22"/>
        </w:rPr>
        <w:t xml:space="preserve"> </w:t>
      </w:r>
    </w:p>
  </w:footnote>
  <w:footnote w:id="14">
    <w:p w:rsidR="00174178" w:rsidRDefault="00174178">
      <w:pPr>
        <w:pStyle w:val="FootnoteText"/>
      </w:pPr>
      <w:r w:rsidRPr="00137ABC">
        <w:rPr>
          <w:rStyle w:val="FootnoteReference"/>
          <w:rFonts w:ascii="Times New Roman" w:hAnsi="Times New Roman" w:cs="Times New Roman"/>
        </w:rPr>
        <w:footnoteRef/>
      </w:r>
      <w:r w:rsidRPr="00137ABC">
        <w:rPr>
          <w:rFonts w:ascii="Times New Roman" w:hAnsi="Times New Roman" w:cs="Times New Roman"/>
        </w:rPr>
        <w:t xml:space="preserve"> </w:t>
      </w:r>
      <w:proofErr w:type="gramStart"/>
      <w:r w:rsidRPr="00137ABC">
        <w:rPr>
          <w:rFonts w:ascii="Times New Roman" w:hAnsi="Times New Roman" w:cs="Times New Roman"/>
          <w:i/>
        </w:rPr>
        <w:t>Final V</w:t>
      </w:r>
      <w:r>
        <w:rPr>
          <w:rFonts w:ascii="Times New Roman" w:hAnsi="Times New Roman" w:cs="Times New Roman"/>
          <w:i/>
        </w:rPr>
        <w:t>NXX Order</w:t>
      </w:r>
      <w:r w:rsidRPr="009A6418">
        <w:rPr>
          <w:rFonts w:ascii="Times New Roman" w:hAnsi="Times New Roman" w:cs="Times New Roman"/>
        </w:rPr>
        <w:t xml:space="preserve">; </w:t>
      </w:r>
      <w:r>
        <w:rPr>
          <w:rFonts w:ascii="Times New Roman" w:hAnsi="Times New Roman" w:cs="Times New Roman"/>
        </w:rPr>
        <w:t>¶¶ 268, 276.</w:t>
      </w:r>
      <w:proofErr w:type="gramEnd"/>
    </w:p>
  </w:footnote>
  <w:footnote w:id="15">
    <w:p w:rsidR="00174178" w:rsidRPr="00406CB4" w:rsidRDefault="00174178">
      <w:pPr>
        <w:pStyle w:val="FootnoteText"/>
        <w:rPr>
          <w:rFonts w:ascii="Times New Roman" w:hAnsi="Times New Roman" w:cs="Times New Roman"/>
        </w:rPr>
      </w:pPr>
      <w:r w:rsidRPr="00406CB4">
        <w:rPr>
          <w:rStyle w:val="FootnoteReference"/>
          <w:rFonts w:ascii="Times New Roman" w:hAnsi="Times New Roman" w:cs="Times New Roman"/>
        </w:rPr>
        <w:footnoteRef/>
      </w:r>
      <w:r w:rsidRPr="00406CB4">
        <w:rPr>
          <w:rFonts w:ascii="Times New Roman" w:hAnsi="Times New Roman" w:cs="Times New Roman"/>
        </w:rPr>
        <w:t xml:space="preserve"> </w:t>
      </w:r>
      <w:r w:rsidRPr="00FE019F">
        <w:rPr>
          <w:rFonts w:ascii="Times New Roman" w:hAnsi="Times New Roman" w:cs="Times New Roman"/>
          <w:i/>
        </w:rPr>
        <w:t>See e.g.</w:t>
      </w:r>
      <w:r>
        <w:rPr>
          <w:rFonts w:ascii="Times New Roman" w:hAnsi="Times New Roman" w:cs="Times New Roman"/>
        </w:rPr>
        <w:t xml:space="preserve"> Order 18 in this proceeding, ¶¶ 12-20.</w:t>
      </w:r>
    </w:p>
  </w:footnote>
  <w:footnote w:id="16">
    <w:p w:rsidR="00174178" w:rsidRPr="00470994" w:rsidRDefault="00174178">
      <w:pPr>
        <w:pStyle w:val="FootnoteText"/>
        <w:rPr>
          <w:rFonts w:ascii="Times New Roman" w:hAnsi="Times New Roman" w:cs="Times New Roman"/>
        </w:rPr>
      </w:pPr>
      <w:r w:rsidRPr="00470994">
        <w:rPr>
          <w:rStyle w:val="FootnoteReference"/>
          <w:rFonts w:ascii="Times New Roman" w:hAnsi="Times New Roman" w:cs="Times New Roman"/>
        </w:rPr>
        <w:footnoteRef/>
      </w:r>
      <w:r w:rsidRPr="00470994">
        <w:rPr>
          <w:rFonts w:ascii="Times New Roman" w:hAnsi="Times New Roman" w:cs="Times New Roman"/>
        </w:rPr>
        <w:t xml:space="preserve"> Order 12 in this proceeding, ¶95 (emphasis added).</w:t>
      </w:r>
    </w:p>
  </w:footnote>
  <w:footnote w:id="17">
    <w:p w:rsidR="00174178" w:rsidRDefault="00174178">
      <w:pPr>
        <w:pStyle w:val="FootnoteText"/>
      </w:pPr>
      <w:r w:rsidRPr="00470994">
        <w:rPr>
          <w:rStyle w:val="FootnoteReference"/>
          <w:rFonts w:ascii="Times New Roman" w:hAnsi="Times New Roman" w:cs="Times New Roman"/>
        </w:rPr>
        <w:footnoteRef/>
      </w:r>
      <w:r w:rsidRPr="00470994">
        <w:rPr>
          <w:rFonts w:ascii="Times New Roman" w:hAnsi="Times New Roman" w:cs="Times New Roman"/>
        </w:rPr>
        <w:t xml:space="preserve"> Order 12 in this proceeding, ¶77 (emphasis added).</w:t>
      </w:r>
    </w:p>
  </w:footnote>
  <w:footnote w:id="18">
    <w:p w:rsidR="00174178" w:rsidRPr="006F7CE5" w:rsidRDefault="00174178">
      <w:pPr>
        <w:pStyle w:val="FootnoteText"/>
        <w:rPr>
          <w:rFonts w:ascii="Times New Roman" w:hAnsi="Times New Roman" w:cs="Times New Roman"/>
        </w:rPr>
      </w:pPr>
      <w:r w:rsidRPr="006F7CE5">
        <w:rPr>
          <w:rStyle w:val="FootnoteReference"/>
          <w:rFonts w:ascii="Times New Roman" w:hAnsi="Times New Roman" w:cs="Times New Roman"/>
        </w:rPr>
        <w:footnoteRef/>
      </w:r>
      <w:r w:rsidRPr="006F7CE5">
        <w:rPr>
          <w:rFonts w:ascii="Times New Roman" w:hAnsi="Times New Roman" w:cs="Times New Roman"/>
        </w:rPr>
        <w:t xml:space="preserve"> </w:t>
      </w:r>
      <w:r w:rsidRPr="006F7CE5">
        <w:rPr>
          <w:rFonts w:ascii="Times New Roman" w:hAnsi="Times New Roman" w:cs="Times New Roman"/>
          <w:bCs/>
          <w:i/>
          <w:iCs/>
        </w:rPr>
        <w:t>AT&amp;T v. PAC-</w:t>
      </w:r>
      <w:proofErr w:type="gramStart"/>
      <w:r w:rsidRPr="006F7CE5">
        <w:rPr>
          <w:rFonts w:ascii="Times New Roman" w:hAnsi="Times New Roman" w:cs="Times New Roman"/>
          <w:bCs/>
          <w:i/>
          <w:iCs/>
        </w:rPr>
        <w:t xml:space="preserve">WEST  </w:t>
      </w:r>
      <w:r w:rsidRPr="00985A12">
        <w:rPr>
          <w:rFonts w:ascii="Times New Roman" w:hAnsi="Times New Roman" w:cs="Times New Roman"/>
          <w:bCs/>
          <w:iCs/>
        </w:rPr>
        <w:t>651</w:t>
      </w:r>
      <w:proofErr w:type="gramEnd"/>
      <w:r w:rsidRPr="00985A12">
        <w:rPr>
          <w:rFonts w:ascii="Times New Roman" w:hAnsi="Times New Roman" w:cs="Times New Roman"/>
          <w:bCs/>
          <w:iCs/>
        </w:rPr>
        <w:t xml:space="preserve"> F.3d 980</w:t>
      </w:r>
      <w:r>
        <w:rPr>
          <w:rFonts w:ascii="Times New Roman" w:hAnsi="Times New Roman" w:cs="Times New Roman"/>
        </w:rPr>
        <w:t>, 991 (9</w:t>
      </w:r>
      <w:r w:rsidRPr="00985A12">
        <w:rPr>
          <w:rFonts w:ascii="Times New Roman" w:hAnsi="Times New Roman" w:cs="Times New Roman"/>
          <w:vertAlign w:val="superscript"/>
        </w:rPr>
        <w:t>th</w:t>
      </w:r>
      <w:r>
        <w:rPr>
          <w:rFonts w:ascii="Times New Roman" w:hAnsi="Times New Roman" w:cs="Times New Roman"/>
        </w:rPr>
        <w:t xml:space="preserve"> Cir. 2011)(quotations in original).</w:t>
      </w:r>
    </w:p>
  </w:footnote>
  <w:footnote w:id="19">
    <w:p w:rsidR="00174178" w:rsidRPr="00A43E37" w:rsidRDefault="00174178" w:rsidP="002F6CC3">
      <w:pPr>
        <w:spacing w:after="0" w:line="240" w:lineRule="auto"/>
        <w:rPr>
          <w:rFonts w:ascii="Times New Roman" w:hAnsi="Times New Roman" w:cs="Times New Roman"/>
          <w:sz w:val="20"/>
          <w:szCs w:val="20"/>
        </w:rPr>
      </w:pPr>
      <w:r w:rsidRPr="00A43E37">
        <w:rPr>
          <w:rStyle w:val="FootnoteReference"/>
          <w:rFonts w:ascii="Times New Roman" w:hAnsi="Times New Roman" w:cs="Times New Roman"/>
          <w:sz w:val="20"/>
          <w:szCs w:val="20"/>
        </w:rPr>
        <w:footnoteRef/>
      </w:r>
      <w:r w:rsidRPr="00A43E37">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Level 3 and Pac-West </w:t>
      </w:r>
      <w:r w:rsidRPr="00A43E37">
        <w:rPr>
          <w:rFonts w:ascii="Times New Roman" w:hAnsi="Times New Roman" w:cs="Times New Roman"/>
          <w:sz w:val="20"/>
          <w:szCs w:val="20"/>
        </w:rPr>
        <w:t>Motion for Summary Determination, ¶ 24</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A43E37">
        <w:rPr>
          <w:rFonts w:ascii="Times New Roman" w:hAnsi="Times New Roman" w:cs="Times New Roman"/>
          <w:sz w:val="20"/>
          <w:szCs w:val="20"/>
        </w:rPr>
        <w:t xml:space="preserve">Thus, and contrary to the Commission’s apparent assumption in Order No. 12, the fact that the </w:t>
      </w:r>
      <w:r w:rsidRPr="00A43E37">
        <w:rPr>
          <w:rFonts w:ascii="Times New Roman" w:hAnsi="Times New Roman" w:cs="Times New Roman"/>
          <w:i/>
          <w:iCs/>
          <w:sz w:val="20"/>
          <w:szCs w:val="20"/>
        </w:rPr>
        <w:t xml:space="preserve">compensation regime </w:t>
      </w:r>
      <w:r w:rsidRPr="00A43E37">
        <w:rPr>
          <w:rFonts w:ascii="Times New Roman" w:hAnsi="Times New Roman" w:cs="Times New Roman"/>
          <w:sz w:val="20"/>
          <w:szCs w:val="20"/>
        </w:rPr>
        <w:t xml:space="preserve">only applies to some ISP-bound traffic does not create a jurisdictional </w:t>
      </w:r>
      <w:r w:rsidRPr="00A43E37">
        <w:rPr>
          <w:rFonts w:ascii="Times New Roman" w:hAnsi="Times New Roman" w:cs="Times New Roman"/>
          <w:i/>
          <w:sz w:val="20"/>
          <w:szCs w:val="20"/>
        </w:rPr>
        <w:t>lacuna</w:t>
      </w:r>
      <w:r w:rsidRPr="00A43E37">
        <w:rPr>
          <w:rFonts w:ascii="Times New Roman" w:hAnsi="Times New Roman" w:cs="Times New Roman"/>
          <w:sz w:val="20"/>
          <w:szCs w:val="20"/>
        </w:rPr>
        <w:t xml:space="preserve"> which this Commission may fill with its </w:t>
      </w:r>
      <w:r w:rsidRPr="00A43E37">
        <w:rPr>
          <w:rFonts w:ascii="Times New Roman" w:hAnsi="Times New Roman" w:cs="Times New Roman"/>
          <w:i/>
          <w:iCs/>
          <w:sz w:val="20"/>
          <w:szCs w:val="20"/>
        </w:rPr>
        <w:t xml:space="preserve">intrastate </w:t>
      </w:r>
      <w:r w:rsidRPr="00A43E37">
        <w:rPr>
          <w:rFonts w:ascii="Times New Roman" w:hAnsi="Times New Roman" w:cs="Times New Roman"/>
          <w:sz w:val="20"/>
          <w:szCs w:val="20"/>
        </w:rPr>
        <w:t>ratemaking authority.  Rather, it simply means that the relevant ratemaking body—</w:t>
      </w:r>
      <w:r w:rsidRPr="00A43E37">
        <w:rPr>
          <w:rFonts w:ascii="Times New Roman" w:hAnsi="Times New Roman" w:cs="Times New Roman"/>
          <w:i/>
          <w:sz w:val="20"/>
          <w:szCs w:val="20"/>
        </w:rPr>
        <w:t>the Federal Communications Commission</w:t>
      </w:r>
      <w:r w:rsidRPr="00A43E37">
        <w:rPr>
          <w:rFonts w:ascii="Times New Roman" w:hAnsi="Times New Roman" w:cs="Times New Roman"/>
          <w:sz w:val="20"/>
          <w:szCs w:val="20"/>
        </w:rPr>
        <w:t xml:space="preserve">—has not yet decided what compensation regime applies to non-local (VNXX) ISP-bound traffic.  However, because ISP-bound traffic is jurisdictionally interstate, and because this Commission’s rulings establish that VNXX ISP-bound traffic is </w:t>
      </w:r>
      <w:r w:rsidRPr="00A43E37">
        <w:rPr>
          <w:rFonts w:ascii="Times New Roman" w:hAnsi="Times New Roman" w:cs="Times New Roman"/>
          <w:i/>
          <w:iCs/>
          <w:sz w:val="20"/>
          <w:szCs w:val="20"/>
        </w:rPr>
        <w:t xml:space="preserve">not </w:t>
      </w:r>
      <w:r w:rsidRPr="00A43E37">
        <w:rPr>
          <w:rFonts w:ascii="Times New Roman" w:hAnsi="Times New Roman" w:cs="Times New Roman"/>
          <w:sz w:val="20"/>
          <w:szCs w:val="20"/>
        </w:rPr>
        <w:t xml:space="preserve">addressed in the parties’ ICAs, the rates applicable to such traffic must be established </w:t>
      </w:r>
      <w:r w:rsidRPr="00A43E37">
        <w:rPr>
          <w:rFonts w:ascii="Times New Roman" w:hAnsi="Times New Roman" w:cs="Times New Roman"/>
          <w:i/>
          <w:iCs/>
          <w:sz w:val="20"/>
          <w:szCs w:val="20"/>
        </w:rPr>
        <w:t xml:space="preserve">by </w:t>
      </w:r>
      <w:r w:rsidRPr="00A43E37">
        <w:rPr>
          <w:rFonts w:ascii="Times New Roman" w:hAnsi="Times New Roman" w:cs="Times New Roman"/>
          <w:i/>
          <w:sz w:val="20"/>
          <w:szCs w:val="20"/>
        </w:rPr>
        <w:t xml:space="preserve">the FCC; </w:t>
      </w:r>
      <w:r w:rsidRPr="00A43E37">
        <w:rPr>
          <w:rFonts w:ascii="Times New Roman" w:hAnsi="Times New Roman" w:cs="Times New Roman"/>
          <w:sz w:val="20"/>
          <w:szCs w:val="20"/>
        </w:rPr>
        <w:t>that decision does not default to this Commission as a result of FCC inaction.</w:t>
      </w:r>
      <w:r>
        <w:rPr>
          <w:rFonts w:ascii="Times New Roman" w:hAnsi="Times New Roman" w:cs="Times New Roman"/>
          <w:sz w:val="20"/>
          <w:szCs w:val="20"/>
        </w:rPr>
        <w:t>” (footnotes omitted).</w:t>
      </w:r>
    </w:p>
  </w:footnote>
  <w:footnote w:id="20">
    <w:p w:rsidR="00174178" w:rsidRPr="009A6418" w:rsidRDefault="00174178" w:rsidP="002F6CC3">
      <w:pPr>
        <w:pStyle w:val="FootnoteText"/>
        <w:rPr>
          <w:rFonts w:ascii="Times New Roman" w:hAnsi="Times New Roman" w:cs="Times New Roman"/>
        </w:rPr>
      </w:pPr>
      <w:r w:rsidRPr="009A6418">
        <w:rPr>
          <w:rStyle w:val="FootnoteReference"/>
          <w:rFonts w:ascii="Times New Roman" w:hAnsi="Times New Roman" w:cs="Times New Roman"/>
        </w:rPr>
        <w:footnoteRef/>
      </w:r>
      <w:r w:rsidRPr="009A6418">
        <w:rPr>
          <w:rFonts w:ascii="Times New Roman" w:hAnsi="Times New Roman" w:cs="Times New Roman"/>
        </w:rPr>
        <w:t xml:space="preserve"> </w:t>
      </w:r>
      <w:r w:rsidRPr="009A6418">
        <w:rPr>
          <w:rFonts w:ascii="Times New Roman" w:hAnsi="Times New Roman" w:cs="Times New Roman"/>
          <w:i/>
        </w:rPr>
        <w:t>QWEST CORPORATION V. LEVEL 3 COMMUNICATIONS, LLC, et al;</w:t>
      </w:r>
      <w:r>
        <w:rPr>
          <w:rFonts w:ascii="Times New Roman" w:hAnsi="Times New Roman" w:cs="Times New Roman"/>
          <w:i/>
        </w:rPr>
        <w:t xml:space="preserve"> In the Matter of the Request of MCIMETRO ACCESS TRANSMISSION SERVICES, LLC d/b/a VERIZON ACCESS TRANSMISSION SERVICES and QWEST CORPORATION For Approval of Negotiated Agreement Under Telecommunications Act of 1996; </w:t>
      </w:r>
      <w:r>
        <w:rPr>
          <w:rFonts w:ascii="Times New Roman" w:hAnsi="Times New Roman" w:cs="Times New Roman"/>
        </w:rPr>
        <w:t>Order 5,</w:t>
      </w:r>
      <w:r w:rsidRPr="009A6418">
        <w:rPr>
          <w:rFonts w:ascii="Times New Roman" w:hAnsi="Times New Roman" w:cs="Times New Roman"/>
          <w:i/>
        </w:rPr>
        <w:t xml:space="preserve"> </w:t>
      </w:r>
      <w:r w:rsidRPr="009A6418">
        <w:rPr>
          <w:rFonts w:ascii="Times New Roman" w:hAnsi="Times New Roman" w:cs="Times New Roman"/>
        </w:rPr>
        <w:t xml:space="preserve">Docket No. UT-063038; Order </w:t>
      </w:r>
      <w:r>
        <w:rPr>
          <w:rFonts w:ascii="Times New Roman" w:hAnsi="Times New Roman" w:cs="Times New Roman"/>
        </w:rPr>
        <w:t>2</w:t>
      </w:r>
      <w:r w:rsidRPr="009A6418">
        <w:rPr>
          <w:rFonts w:ascii="Times New Roman" w:hAnsi="Times New Roman" w:cs="Times New Roman"/>
        </w:rPr>
        <w:t>; Docket  No. UT-063055</w:t>
      </w:r>
      <w:r>
        <w:rPr>
          <w:rFonts w:ascii="Times New Roman" w:hAnsi="Times New Roman" w:cs="Times New Roman"/>
        </w:rPr>
        <w:t>, ¶¶18, 125;</w:t>
      </w:r>
      <w:r w:rsidRPr="009A6418">
        <w:rPr>
          <w:rFonts w:ascii="Times New Roman" w:hAnsi="Times New Roman" w:cs="Times New Roman"/>
        </w:rPr>
        <w:t xml:space="preserve"> 2007 Wash. UTC LEXIS 624, (WUTC October 5, 2007)(finding that CLEC failed to meet burden of proof to show that traffic in question was local traffic)</w:t>
      </w:r>
      <w:r>
        <w:rPr>
          <w:rFonts w:ascii="Times New Roman" w:hAnsi="Times New Roman" w:cs="Times New Roman"/>
        </w:rPr>
        <w:t>;</w:t>
      </w:r>
      <w:r w:rsidRPr="009A6418">
        <w:rPr>
          <w:rFonts w:ascii="Times New Roman" w:hAnsi="Times New Roman" w:cs="Times New Roman"/>
        </w:rPr>
        <w:t xml:space="preserve"> </w:t>
      </w:r>
      <w:r>
        <w:rPr>
          <w:rFonts w:ascii="Times New Roman" w:hAnsi="Times New Roman" w:cs="Times New Roman"/>
          <w:i/>
        </w:rPr>
        <w:t xml:space="preserve">Final VNXX Order, </w:t>
      </w:r>
      <w:r>
        <w:rPr>
          <w:rFonts w:ascii="Times New Roman" w:hAnsi="Times New Roman" w:cs="Times New Roman"/>
        </w:rPr>
        <w:t>¶276</w:t>
      </w:r>
      <w:r>
        <w:rPr>
          <w:rFonts w:ascii="Times New Roman" w:hAnsi="Times New Roman" w:cs="Times New Roman"/>
          <w:i/>
        </w:rPr>
        <w:t xml:space="preserve"> </w:t>
      </w:r>
    </w:p>
  </w:footnote>
  <w:footnote w:id="21">
    <w:p w:rsidR="00174178" w:rsidRPr="009A6418" w:rsidRDefault="00174178" w:rsidP="002F6CC3">
      <w:pPr>
        <w:pStyle w:val="FootnoteText"/>
        <w:rPr>
          <w:rFonts w:ascii="Times New Roman" w:hAnsi="Times New Roman" w:cs="Times New Roman"/>
        </w:rPr>
      </w:pPr>
      <w:r w:rsidRPr="009A6418">
        <w:rPr>
          <w:rStyle w:val="FootnoteReference"/>
          <w:rFonts w:ascii="Times New Roman" w:hAnsi="Times New Roman" w:cs="Times New Roman"/>
        </w:rPr>
        <w:footnoteRef/>
      </w:r>
      <w:r w:rsidRPr="009A6418">
        <w:rPr>
          <w:rFonts w:ascii="Times New Roman" w:hAnsi="Times New Roman" w:cs="Times New Roman"/>
        </w:rPr>
        <w:t xml:space="preserve"> Id.</w:t>
      </w:r>
    </w:p>
  </w:footnote>
  <w:footnote w:id="22">
    <w:p w:rsidR="00174178" w:rsidRPr="009A6418" w:rsidRDefault="00174178" w:rsidP="004D278A">
      <w:pPr>
        <w:pStyle w:val="FootnoteText"/>
        <w:rPr>
          <w:rFonts w:ascii="Times New Roman" w:hAnsi="Times New Roman" w:cs="Times New Roman"/>
        </w:rPr>
      </w:pPr>
      <w:r w:rsidRPr="009A6418">
        <w:rPr>
          <w:rStyle w:val="FootnoteReference"/>
          <w:rFonts w:ascii="Times New Roman" w:hAnsi="Times New Roman" w:cs="Times New Roman"/>
        </w:rPr>
        <w:footnoteRef/>
      </w:r>
      <w:r>
        <w:rPr>
          <w:rFonts w:ascii="Times New Roman" w:hAnsi="Times New Roman" w:cs="Times New Roman"/>
        </w:rPr>
        <w:t xml:space="preserve"> </w:t>
      </w:r>
      <w:proofErr w:type="spellStart"/>
      <w:proofErr w:type="gramStart"/>
      <w:r>
        <w:rPr>
          <w:rFonts w:ascii="Times New Roman" w:hAnsi="Times New Roman" w:cs="Times New Roman"/>
        </w:rPr>
        <w:t>Shiffman</w:t>
      </w:r>
      <w:proofErr w:type="spellEnd"/>
      <w:r>
        <w:rPr>
          <w:rFonts w:ascii="Times New Roman" w:hAnsi="Times New Roman" w:cs="Times New Roman"/>
        </w:rPr>
        <w:t>,</w:t>
      </w:r>
      <w:r w:rsidRPr="009A6418">
        <w:rPr>
          <w:rFonts w:ascii="Times New Roman" w:hAnsi="Times New Roman" w:cs="Times New Roman"/>
        </w:rPr>
        <w:t xml:space="preserve"> </w:t>
      </w:r>
      <w:r>
        <w:rPr>
          <w:rFonts w:ascii="Times New Roman" w:hAnsi="Times New Roman" w:cs="Times New Roman"/>
        </w:rPr>
        <w:t>Exhibit SS-1T</w:t>
      </w:r>
      <w:r w:rsidRPr="009A6418">
        <w:rPr>
          <w:rFonts w:ascii="Times New Roman" w:hAnsi="Times New Roman" w:cs="Times New Roman"/>
        </w:rPr>
        <w:t>, p. 3 line 10 – p. 4 line 2.</w:t>
      </w:r>
      <w:proofErr w:type="gramEnd"/>
    </w:p>
  </w:footnote>
  <w:footnote w:id="23">
    <w:p w:rsidR="00174178" w:rsidRPr="009A6418" w:rsidRDefault="00174178" w:rsidP="004D278A">
      <w:pPr>
        <w:pStyle w:val="FootnoteText"/>
        <w:rPr>
          <w:rFonts w:ascii="Times New Roman" w:hAnsi="Times New Roman" w:cs="Times New Roman"/>
        </w:rPr>
      </w:pPr>
      <w:r w:rsidRPr="009A6418">
        <w:rPr>
          <w:rStyle w:val="FootnoteReference"/>
          <w:rFonts w:ascii="Times New Roman" w:hAnsi="Times New Roman" w:cs="Times New Roman"/>
        </w:rPr>
        <w:footnoteRef/>
      </w:r>
      <w:r w:rsidRPr="009A6418">
        <w:rPr>
          <w:rFonts w:ascii="Times New Roman" w:hAnsi="Times New Roman" w:cs="Times New Roman"/>
        </w:rPr>
        <w:t xml:space="preserve"> </w:t>
      </w:r>
      <w:r>
        <w:rPr>
          <w:rFonts w:ascii="Times New Roman" w:hAnsi="Times New Roman" w:cs="Times New Roman"/>
        </w:rPr>
        <w:t xml:space="preserve">Exhibit </w:t>
      </w:r>
      <w:r w:rsidRPr="009A6418">
        <w:rPr>
          <w:rFonts w:ascii="Times New Roman" w:hAnsi="Times New Roman" w:cs="Times New Roman"/>
        </w:rPr>
        <w:t>WRE-8C.</w:t>
      </w:r>
    </w:p>
  </w:footnote>
  <w:footnote w:id="24">
    <w:p w:rsidR="00174178" w:rsidRPr="009A6418" w:rsidRDefault="00174178" w:rsidP="004D278A">
      <w:pPr>
        <w:pStyle w:val="FootnoteText"/>
        <w:rPr>
          <w:rFonts w:ascii="Times New Roman" w:hAnsi="Times New Roman" w:cs="Times New Roman"/>
        </w:rPr>
      </w:pPr>
      <w:r w:rsidRPr="009A6418">
        <w:rPr>
          <w:rStyle w:val="FootnoteReference"/>
          <w:rFonts w:ascii="Times New Roman" w:hAnsi="Times New Roman" w:cs="Times New Roman"/>
        </w:rPr>
        <w:footnoteRef/>
      </w:r>
      <w:r w:rsidRPr="009A6418">
        <w:rPr>
          <w:rFonts w:ascii="Times New Roman" w:hAnsi="Times New Roman" w:cs="Times New Roman"/>
        </w:rPr>
        <w:t xml:space="preserve"> Easton, </w:t>
      </w:r>
      <w:r>
        <w:rPr>
          <w:rFonts w:ascii="Times New Roman" w:hAnsi="Times New Roman" w:cs="Times New Roman"/>
        </w:rPr>
        <w:t xml:space="preserve">Exhibit </w:t>
      </w:r>
      <w:r w:rsidRPr="009A6418">
        <w:rPr>
          <w:rFonts w:ascii="Times New Roman" w:hAnsi="Times New Roman" w:cs="Times New Roman"/>
        </w:rPr>
        <w:t>WRE-1T, p. 13 line 24 – p. 17 line 20.</w:t>
      </w:r>
    </w:p>
  </w:footnote>
  <w:footnote w:id="25">
    <w:p w:rsidR="00174178" w:rsidRPr="009A6418" w:rsidRDefault="00174178" w:rsidP="004D278A">
      <w:pPr>
        <w:pStyle w:val="FootnoteText"/>
        <w:rPr>
          <w:rFonts w:ascii="Times New Roman" w:hAnsi="Times New Roman" w:cs="Times New Roman"/>
        </w:rPr>
      </w:pPr>
      <w:r w:rsidRPr="009A6418">
        <w:rPr>
          <w:rStyle w:val="FootnoteReference"/>
          <w:rFonts w:ascii="Times New Roman" w:hAnsi="Times New Roman" w:cs="Times New Roman"/>
        </w:rPr>
        <w:footnoteRef/>
      </w:r>
      <w:r w:rsidRPr="009A6418">
        <w:rPr>
          <w:rFonts w:ascii="Times New Roman" w:hAnsi="Times New Roman" w:cs="Times New Roman"/>
        </w:rPr>
        <w:t xml:space="preserve"> Easton, </w:t>
      </w:r>
      <w:r>
        <w:rPr>
          <w:rFonts w:ascii="Times New Roman" w:hAnsi="Times New Roman" w:cs="Times New Roman"/>
        </w:rPr>
        <w:t xml:space="preserve">Exhibit </w:t>
      </w:r>
      <w:r w:rsidRPr="009A6418">
        <w:rPr>
          <w:rFonts w:ascii="Times New Roman" w:hAnsi="Times New Roman" w:cs="Times New Roman"/>
        </w:rPr>
        <w:t>WRE-1T, p. 17 line 22 – p. 21 line 2.</w:t>
      </w:r>
    </w:p>
  </w:footnote>
  <w:footnote w:id="26">
    <w:p w:rsidR="00174178" w:rsidRPr="009A6418" w:rsidRDefault="00174178" w:rsidP="004D278A">
      <w:pPr>
        <w:pStyle w:val="FootnoteText"/>
        <w:rPr>
          <w:rFonts w:ascii="Times New Roman" w:hAnsi="Times New Roman" w:cs="Times New Roman"/>
        </w:rPr>
      </w:pPr>
      <w:r w:rsidRPr="009A6418">
        <w:rPr>
          <w:rStyle w:val="FootnoteReference"/>
          <w:rFonts w:ascii="Times New Roman" w:hAnsi="Times New Roman" w:cs="Times New Roman"/>
        </w:rPr>
        <w:footnoteRef/>
      </w:r>
      <w:r w:rsidRPr="009A6418">
        <w:rPr>
          <w:rFonts w:ascii="Times New Roman" w:hAnsi="Times New Roman" w:cs="Times New Roman"/>
        </w:rPr>
        <w:t xml:space="preserve"> Id.</w:t>
      </w:r>
    </w:p>
  </w:footnote>
  <w:footnote w:id="27">
    <w:p w:rsidR="00174178" w:rsidRPr="009A6418" w:rsidRDefault="00174178" w:rsidP="004D278A">
      <w:pPr>
        <w:pStyle w:val="FootnoteText"/>
        <w:rPr>
          <w:rFonts w:ascii="Times New Roman" w:hAnsi="Times New Roman" w:cs="Times New Roman"/>
        </w:rPr>
      </w:pPr>
      <w:r w:rsidRPr="009A6418">
        <w:rPr>
          <w:rStyle w:val="FootnoteReference"/>
          <w:rFonts w:ascii="Times New Roman" w:hAnsi="Times New Roman" w:cs="Times New Roman"/>
        </w:rPr>
        <w:footnoteRef/>
      </w:r>
      <w:r w:rsidRPr="009A6418">
        <w:rPr>
          <w:rFonts w:ascii="Times New Roman" w:hAnsi="Times New Roman" w:cs="Times New Roman"/>
        </w:rPr>
        <w:t xml:space="preserve"> Pac-West and Qwest stipulated to the amount of VNXX traffic for the time period prior to February, 2006 when Qwest made the payment to Pac-West to comply with the Commission’s order initially requiring Qwest to pay reciprocal compensation for termination of VNXX traffic. WRE-16C, p. 3; WRE-8C.</w:t>
      </w:r>
    </w:p>
  </w:footnote>
  <w:footnote w:id="28">
    <w:p w:rsidR="00174178" w:rsidRPr="009A6418" w:rsidRDefault="00174178" w:rsidP="004D278A">
      <w:pPr>
        <w:pStyle w:val="FootnoteText"/>
        <w:rPr>
          <w:rFonts w:ascii="Times New Roman" w:hAnsi="Times New Roman" w:cs="Times New Roman"/>
        </w:rPr>
      </w:pPr>
      <w:r w:rsidRPr="009A6418">
        <w:rPr>
          <w:rStyle w:val="FootnoteReference"/>
          <w:rFonts w:ascii="Times New Roman" w:hAnsi="Times New Roman" w:cs="Times New Roman"/>
        </w:rPr>
        <w:footnoteRef/>
      </w:r>
      <w:r w:rsidRPr="009A6418">
        <w:rPr>
          <w:rFonts w:ascii="Times New Roman" w:hAnsi="Times New Roman" w:cs="Times New Roman"/>
        </w:rPr>
        <w:t xml:space="preserve"> Easton, WRE-1T, p. 20 line 9 – p. 21 line 2.</w:t>
      </w:r>
    </w:p>
  </w:footnote>
  <w:footnote w:id="29">
    <w:p w:rsidR="00174178" w:rsidRPr="009A6418" w:rsidRDefault="00174178" w:rsidP="004D278A">
      <w:pPr>
        <w:pStyle w:val="FootnoteText"/>
        <w:rPr>
          <w:rFonts w:ascii="Times New Roman" w:hAnsi="Times New Roman" w:cs="Times New Roman"/>
        </w:rPr>
      </w:pPr>
      <w:r w:rsidRPr="009A6418">
        <w:rPr>
          <w:rStyle w:val="FootnoteReference"/>
          <w:rFonts w:ascii="Times New Roman" w:hAnsi="Times New Roman" w:cs="Times New Roman"/>
        </w:rPr>
        <w:footnoteRef/>
      </w:r>
      <w:r w:rsidRPr="009A6418">
        <w:rPr>
          <w:rFonts w:ascii="Times New Roman" w:hAnsi="Times New Roman" w:cs="Times New Roman"/>
        </w:rPr>
        <w:t xml:space="preserve"> Easton, WRE-1T, p. 23 lines 3 – 11.</w:t>
      </w:r>
    </w:p>
  </w:footnote>
  <w:footnote w:id="30">
    <w:p w:rsidR="00174178" w:rsidRPr="00470994" w:rsidRDefault="00174178">
      <w:pPr>
        <w:pStyle w:val="FootnoteText"/>
        <w:rPr>
          <w:rFonts w:ascii="Times New Roman" w:hAnsi="Times New Roman" w:cs="Times New Roman"/>
          <w:lang w:val="fr-FR"/>
        </w:rPr>
      </w:pPr>
      <w:r w:rsidRPr="00470994">
        <w:rPr>
          <w:rStyle w:val="FootnoteReference"/>
          <w:rFonts w:ascii="Times New Roman" w:hAnsi="Times New Roman" w:cs="Times New Roman"/>
        </w:rPr>
        <w:footnoteRef/>
      </w:r>
      <w:r w:rsidRPr="00470994">
        <w:rPr>
          <w:rFonts w:ascii="Times New Roman" w:hAnsi="Times New Roman" w:cs="Times New Roman"/>
          <w:lang w:val="fr-FR"/>
        </w:rPr>
        <w:t xml:space="preserve"> Shiffman, Ex. SS-2T, p. 13, lines 1-3.</w:t>
      </w:r>
    </w:p>
  </w:footnote>
  <w:footnote w:id="31">
    <w:p w:rsidR="00174178" w:rsidRPr="00470994" w:rsidRDefault="00174178">
      <w:pPr>
        <w:pStyle w:val="FootnoteText"/>
        <w:rPr>
          <w:rFonts w:ascii="Times New Roman" w:hAnsi="Times New Roman" w:cs="Times New Roman"/>
        </w:rPr>
      </w:pPr>
      <w:r w:rsidRPr="00470994">
        <w:rPr>
          <w:rStyle w:val="FootnoteReference"/>
          <w:rFonts w:ascii="Times New Roman" w:hAnsi="Times New Roman" w:cs="Times New Roman"/>
        </w:rPr>
        <w:footnoteRef/>
      </w:r>
      <w:r w:rsidRPr="00470994">
        <w:rPr>
          <w:rFonts w:ascii="Times New Roman" w:hAnsi="Times New Roman" w:cs="Times New Roman"/>
        </w:rPr>
        <w:t xml:space="preserve"> Easton, Ex. WRE-14RT, p. 21 line 13 – p. 22 line 4.</w:t>
      </w:r>
    </w:p>
  </w:footnote>
  <w:footnote w:id="32">
    <w:p w:rsidR="00174178" w:rsidRPr="00470994" w:rsidRDefault="00174178">
      <w:pPr>
        <w:pStyle w:val="FootnoteText"/>
        <w:rPr>
          <w:rFonts w:ascii="Times New Roman" w:hAnsi="Times New Roman" w:cs="Times New Roman"/>
        </w:rPr>
      </w:pPr>
      <w:r w:rsidRPr="00470994">
        <w:rPr>
          <w:rStyle w:val="FootnoteReference"/>
          <w:rFonts w:ascii="Times New Roman" w:hAnsi="Times New Roman" w:cs="Times New Roman"/>
        </w:rPr>
        <w:footnoteRef/>
      </w:r>
      <w:r w:rsidRPr="00470994">
        <w:rPr>
          <w:rFonts w:ascii="Times New Roman" w:hAnsi="Times New Roman" w:cs="Times New Roman"/>
        </w:rPr>
        <w:t xml:space="preserve"> See, Ex. SS-2RT, p. 13, lines 4-6 and lines 14-21.</w:t>
      </w:r>
    </w:p>
  </w:footnote>
  <w:footnote w:id="33">
    <w:p w:rsidR="00174178" w:rsidRDefault="00174178">
      <w:pPr>
        <w:pStyle w:val="FootnoteText"/>
      </w:pPr>
      <w:r w:rsidRPr="00470994">
        <w:rPr>
          <w:rStyle w:val="FootnoteReference"/>
          <w:rFonts w:ascii="Times New Roman" w:hAnsi="Times New Roman" w:cs="Times New Roman"/>
        </w:rPr>
        <w:footnoteRef/>
      </w:r>
      <w:r w:rsidRPr="00470994">
        <w:rPr>
          <w:rFonts w:ascii="Times New Roman" w:hAnsi="Times New Roman" w:cs="Times New Roman"/>
        </w:rPr>
        <w:t xml:space="preserve"> Exhibits SS-5-X through SS-15-XC.</w:t>
      </w:r>
    </w:p>
  </w:footnote>
  <w:footnote w:id="34">
    <w:p w:rsidR="00174178" w:rsidRPr="00944E33" w:rsidRDefault="00174178" w:rsidP="00CE6607">
      <w:pPr>
        <w:pStyle w:val="FootnoteText"/>
        <w:rPr>
          <w:rFonts w:ascii="Times New Roman" w:hAnsi="Times New Roman" w:cs="Times New Roman"/>
        </w:rPr>
      </w:pPr>
      <w:r w:rsidRPr="00944E33">
        <w:rPr>
          <w:rStyle w:val="FootnoteReference"/>
          <w:rFonts w:ascii="Times New Roman" w:hAnsi="Times New Roman" w:cs="Times New Roman"/>
        </w:rPr>
        <w:footnoteRef/>
      </w:r>
      <w:r w:rsidRPr="00944E33">
        <w:rPr>
          <w:rFonts w:ascii="Times New Roman" w:hAnsi="Times New Roman" w:cs="Times New Roman"/>
        </w:rPr>
        <w:t xml:space="preserve"> </w:t>
      </w:r>
      <w:proofErr w:type="gramStart"/>
      <w:r w:rsidRPr="00944E33">
        <w:rPr>
          <w:rFonts w:ascii="Times New Roman" w:hAnsi="Times New Roman" w:cs="Times New Roman"/>
        </w:rPr>
        <w:t>Order 12</w:t>
      </w:r>
      <w:r>
        <w:rPr>
          <w:rFonts w:ascii="Times New Roman" w:hAnsi="Times New Roman" w:cs="Times New Roman"/>
        </w:rPr>
        <w:t xml:space="preserve"> in this proceeding</w:t>
      </w:r>
      <w:r w:rsidRPr="00944E33">
        <w:rPr>
          <w:rFonts w:ascii="Times New Roman" w:hAnsi="Times New Roman" w:cs="Times New Roman"/>
        </w:rPr>
        <w:t>,</w:t>
      </w:r>
      <w:r>
        <w:rPr>
          <w:rFonts w:ascii="Times New Roman" w:hAnsi="Times New Roman" w:cs="Times New Roman"/>
        </w:rPr>
        <w:t xml:space="preserve"> </w:t>
      </w:r>
      <w:r w:rsidRPr="00944E33">
        <w:rPr>
          <w:rFonts w:ascii="Times New Roman" w:hAnsi="Times New Roman" w:cs="Times New Roman"/>
        </w:rPr>
        <w:t>Conclusions of Law 10 &amp; 11</w:t>
      </w:r>
      <w:r>
        <w:rPr>
          <w:rFonts w:ascii="Times New Roman" w:hAnsi="Times New Roman" w:cs="Times New Roman"/>
        </w:rPr>
        <w:t xml:space="preserve">; </w:t>
      </w:r>
      <w:r w:rsidRPr="00944E33">
        <w:rPr>
          <w:rFonts w:ascii="Times New Roman" w:hAnsi="Times New Roman" w:cs="Times New Roman"/>
        </w:rPr>
        <w:t>Order 13</w:t>
      </w:r>
      <w:r>
        <w:rPr>
          <w:rFonts w:ascii="Times New Roman" w:hAnsi="Times New Roman" w:cs="Times New Roman"/>
        </w:rPr>
        <w:t xml:space="preserve"> in this proceeding, ¶¶30, 31.</w:t>
      </w:r>
      <w:proofErr w:type="gramEnd"/>
      <w:r>
        <w:rPr>
          <w:rFonts w:ascii="Times New Roman" w:hAnsi="Times New Roman" w:cs="Times New Roman"/>
        </w:rPr>
        <w:t xml:space="preserve"> </w:t>
      </w:r>
    </w:p>
  </w:footnote>
  <w:footnote w:id="35">
    <w:p w:rsidR="00174178" w:rsidRPr="00944E33" w:rsidRDefault="00174178" w:rsidP="00CE6607">
      <w:pPr>
        <w:pStyle w:val="FootnoteText"/>
        <w:rPr>
          <w:rFonts w:ascii="Times New Roman" w:hAnsi="Times New Roman" w:cs="Times New Roman"/>
        </w:rPr>
      </w:pPr>
      <w:r w:rsidRPr="00944E33">
        <w:rPr>
          <w:rStyle w:val="FootnoteReference"/>
          <w:rFonts w:ascii="Times New Roman" w:hAnsi="Times New Roman" w:cs="Times New Roman"/>
        </w:rPr>
        <w:footnoteRef/>
      </w:r>
      <w:r w:rsidRPr="00944E33">
        <w:rPr>
          <w:rFonts w:ascii="Times New Roman" w:hAnsi="Times New Roman" w:cs="Times New Roman"/>
        </w:rPr>
        <w:t xml:space="preserve"> WRE-1T, p. 26 line 10 – p. 28 line 12; WRE-8C.</w:t>
      </w:r>
    </w:p>
  </w:footnote>
  <w:footnote w:id="36">
    <w:p w:rsidR="00174178" w:rsidRPr="00944E33" w:rsidRDefault="00174178" w:rsidP="00CE6607">
      <w:pPr>
        <w:pStyle w:val="FootnoteText"/>
        <w:rPr>
          <w:rFonts w:ascii="Times New Roman" w:hAnsi="Times New Roman" w:cs="Times New Roman"/>
        </w:rPr>
      </w:pPr>
      <w:r w:rsidRPr="00944E33">
        <w:rPr>
          <w:rStyle w:val="FootnoteReference"/>
          <w:rFonts w:ascii="Times New Roman" w:hAnsi="Times New Roman" w:cs="Times New Roman"/>
        </w:rPr>
        <w:footnoteRef/>
      </w:r>
      <w:r w:rsidRPr="00944E33">
        <w:rPr>
          <w:rFonts w:ascii="Times New Roman" w:hAnsi="Times New Roman" w:cs="Times New Roman"/>
        </w:rPr>
        <w:t xml:space="preserve"> </w:t>
      </w:r>
      <w:r w:rsidRPr="00944E33">
        <w:rPr>
          <w:rFonts w:ascii="Times New Roman" w:hAnsi="Times New Roman" w:cs="Times New Roman"/>
          <w:i/>
        </w:rPr>
        <w:t>Id.</w:t>
      </w:r>
    </w:p>
  </w:footnote>
  <w:footnote w:id="37">
    <w:p w:rsidR="00174178" w:rsidRPr="00944E33" w:rsidRDefault="00174178" w:rsidP="00CE6607">
      <w:pPr>
        <w:pStyle w:val="FootnoteText"/>
        <w:rPr>
          <w:rFonts w:ascii="Times New Roman" w:hAnsi="Times New Roman" w:cs="Times New Roman"/>
        </w:rPr>
      </w:pPr>
      <w:r w:rsidRPr="00944E33">
        <w:rPr>
          <w:rStyle w:val="FootnoteReference"/>
          <w:rFonts w:ascii="Times New Roman" w:hAnsi="Times New Roman" w:cs="Times New Roman"/>
        </w:rPr>
        <w:footnoteRef/>
      </w:r>
      <w:r w:rsidRPr="00944E33">
        <w:rPr>
          <w:rFonts w:ascii="Times New Roman" w:hAnsi="Times New Roman" w:cs="Times New Roman"/>
        </w:rPr>
        <w:t xml:space="preserve"> </w:t>
      </w:r>
      <w:r w:rsidRPr="00944E33">
        <w:rPr>
          <w:rFonts w:ascii="Times New Roman" w:hAnsi="Times New Roman" w:cs="Times New Roman"/>
          <w:i/>
        </w:rPr>
        <w:t>Id.</w:t>
      </w:r>
    </w:p>
  </w:footnote>
  <w:footnote w:id="38">
    <w:p w:rsidR="00174178" w:rsidRPr="00944E33" w:rsidRDefault="00174178" w:rsidP="00CE6607">
      <w:pPr>
        <w:pStyle w:val="FootnoteText"/>
        <w:rPr>
          <w:rFonts w:ascii="Times New Roman" w:hAnsi="Times New Roman" w:cs="Times New Roman"/>
        </w:rPr>
      </w:pPr>
      <w:r w:rsidRPr="00944E33">
        <w:rPr>
          <w:rStyle w:val="FootnoteReference"/>
          <w:rFonts w:ascii="Times New Roman" w:hAnsi="Times New Roman" w:cs="Times New Roman"/>
        </w:rPr>
        <w:footnoteRef/>
      </w:r>
      <w:r w:rsidRPr="00944E33">
        <w:rPr>
          <w:rFonts w:ascii="Times New Roman" w:hAnsi="Times New Roman" w:cs="Times New Roman"/>
        </w:rPr>
        <w:t xml:space="preserve"> </w:t>
      </w:r>
      <w:r w:rsidRPr="00944E33">
        <w:rPr>
          <w:rFonts w:ascii="Times New Roman" w:hAnsi="Times New Roman" w:cs="Times New Roman"/>
          <w:i/>
        </w:rPr>
        <w:t>Id.</w:t>
      </w:r>
    </w:p>
  </w:footnote>
  <w:footnote w:id="39">
    <w:p w:rsidR="00174178" w:rsidRPr="00944E33" w:rsidRDefault="00174178" w:rsidP="00CE6607">
      <w:pPr>
        <w:pStyle w:val="FootnoteText"/>
        <w:rPr>
          <w:rFonts w:ascii="Times New Roman" w:hAnsi="Times New Roman" w:cs="Times New Roman"/>
        </w:rPr>
      </w:pPr>
      <w:r w:rsidRPr="00944E33">
        <w:rPr>
          <w:rStyle w:val="FootnoteReference"/>
          <w:rFonts w:ascii="Times New Roman" w:hAnsi="Times New Roman" w:cs="Times New Roman"/>
        </w:rPr>
        <w:footnoteRef/>
      </w:r>
      <w:r w:rsidRPr="00944E33">
        <w:rPr>
          <w:rFonts w:ascii="Times New Roman" w:hAnsi="Times New Roman" w:cs="Times New Roman"/>
        </w:rPr>
        <w:t xml:space="preserve"> </w:t>
      </w:r>
      <w:r w:rsidRPr="00944E33">
        <w:rPr>
          <w:rFonts w:ascii="Times New Roman" w:hAnsi="Times New Roman" w:cs="Times New Roman"/>
          <w:i/>
        </w:rPr>
        <w:t>Id.</w:t>
      </w:r>
    </w:p>
  </w:footnote>
  <w:footnote w:id="40">
    <w:p w:rsidR="00174178" w:rsidRPr="00944E33" w:rsidRDefault="00174178" w:rsidP="00C12666">
      <w:pPr>
        <w:pStyle w:val="FootnoteText"/>
        <w:rPr>
          <w:rFonts w:ascii="Times New Roman" w:hAnsi="Times New Roman" w:cs="Times New Roman"/>
        </w:rPr>
      </w:pPr>
      <w:r w:rsidRPr="00944E33">
        <w:rPr>
          <w:rStyle w:val="FootnoteReference"/>
          <w:rFonts w:ascii="Times New Roman" w:hAnsi="Times New Roman" w:cs="Times New Roman"/>
        </w:rPr>
        <w:footnoteRef/>
      </w:r>
      <w:r w:rsidRPr="00944E33">
        <w:rPr>
          <w:rFonts w:ascii="Times New Roman" w:hAnsi="Times New Roman" w:cs="Times New Roman"/>
        </w:rPr>
        <w:t xml:space="preserve"> Qwest/Pac-West ICA, August 23, 2012 Stipulation</w:t>
      </w:r>
      <w:r>
        <w:rPr>
          <w:rFonts w:ascii="Times New Roman" w:hAnsi="Times New Roman" w:cs="Times New Roman"/>
        </w:rPr>
        <w:t xml:space="preserve"> in this proceeding.</w:t>
      </w:r>
    </w:p>
  </w:footnote>
  <w:footnote w:id="41">
    <w:p w:rsidR="00174178" w:rsidRPr="00944E33" w:rsidRDefault="00174178" w:rsidP="00C12666">
      <w:pPr>
        <w:pStyle w:val="FootnoteText"/>
        <w:rPr>
          <w:rFonts w:ascii="Times New Roman" w:hAnsi="Times New Roman" w:cs="Times New Roman"/>
        </w:rPr>
      </w:pPr>
      <w:r w:rsidRPr="00944E33">
        <w:rPr>
          <w:rStyle w:val="FootnoteReference"/>
          <w:rFonts w:ascii="Times New Roman" w:hAnsi="Times New Roman" w:cs="Times New Roman"/>
        </w:rPr>
        <w:footnoteRef/>
      </w:r>
      <w:r w:rsidRPr="00944E33">
        <w:rPr>
          <w:rFonts w:ascii="Times New Roman" w:hAnsi="Times New Roman" w:cs="Times New Roman"/>
        </w:rPr>
        <w:t xml:space="preserve"> Easton, Tr. 342, line 25 – 343, line 6.</w:t>
      </w:r>
    </w:p>
  </w:footnote>
  <w:footnote w:id="42">
    <w:p w:rsidR="00174178" w:rsidRPr="00944E33" w:rsidRDefault="00174178" w:rsidP="00C12666">
      <w:pPr>
        <w:pStyle w:val="FootnoteText"/>
        <w:rPr>
          <w:rFonts w:ascii="Times New Roman" w:hAnsi="Times New Roman" w:cs="Times New Roman"/>
        </w:rPr>
      </w:pPr>
      <w:r w:rsidRPr="00944E33">
        <w:rPr>
          <w:rStyle w:val="FootnoteReference"/>
          <w:rFonts w:ascii="Times New Roman" w:hAnsi="Times New Roman" w:cs="Times New Roman"/>
        </w:rPr>
        <w:footnoteRef/>
      </w:r>
      <w:r w:rsidRPr="00944E33">
        <w:rPr>
          <w:rFonts w:ascii="Times New Roman" w:hAnsi="Times New Roman" w:cs="Times New Roman"/>
        </w:rPr>
        <w:t xml:space="preserve"> Easton, Tr. 343, lines 7-13.</w:t>
      </w:r>
    </w:p>
  </w:footnote>
  <w:footnote w:id="43">
    <w:p w:rsidR="00174178" w:rsidRPr="00944E33" w:rsidRDefault="00174178" w:rsidP="00C12666">
      <w:pPr>
        <w:pStyle w:val="FootnoteText"/>
        <w:rPr>
          <w:rFonts w:ascii="Times New Roman" w:hAnsi="Times New Roman" w:cs="Times New Roman"/>
        </w:rPr>
      </w:pPr>
      <w:r w:rsidRPr="00944E33">
        <w:rPr>
          <w:rStyle w:val="FootnoteReference"/>
          <w:rFonts w:ascii="Times New Roman" w:hAnsi="Times New Roman" w:cs="Times New Roman"/>
        </w:rPr>
        <w:footnoteRef/>
      </w:r>
      <w:r>
        <w:rPr>
          <w:rFonts w:ascii="Times New Roman" w:hAnsi="Times New Roman" w:cs="Times New Roman"/>
        </w:rPr>
        <w:t xml:space="preserve"> RCW 4.56.110(4), referencing RCW </w:t>
      </w:r>
      <w:r w:rsidRPr="00944E33">
        <w:rPr>
          <w:rFonts w:ascii="Times New Roman" w:hAnsi="Times New Roman" w:cs="Times New Roman"/>
        </w:rPr>
        <w:t xml:space="preserve">19.52.020(1); </w:t>
      </w:r>
      <w:r w:rsidRPr="00944E33">
        <w:rPr>
          <w:rFonts w:ascii="Times New Roman" w:hAnsi="Times New Roman" w:cs="Times New Roman"/>
          <w:i/>
        </w:rPr>
        <w:t>Stevens v. Brink’s Home Security, Inc.</w:t>
      </w:r>
      <w:r w:rsidRPr="00944E33">
        <w:rPr>
          <w:rFonts w:ascii="Times New Roman" w:hAnsi="Times New Roman" w:cs="Times New Roman"/>
        </w:rPr>
        <w:t>, 162 Wn.2d 42, 50-52 (Wash. Supreme Ct. 2007)(affirming award of 12% prejudgment interest on back wages claim).</w:t>
      </w:r>
    </w:p>
  </w:footnote>
  <w:footnote w:id="44">
    <w:p w:rsidR="00174178" w:rsidRPr="00BA6EA8" w:rsidRDefault="00174178" w:rsidP="00C12666">
      <w:pPr>
        <w:pStyle w:val="FootnoteText"/>
        <w:rPr>
          <w:rFonts w:ascii="Times New Roman" w:hAnsi="Times New Roman" w:cs="Times New Roman"/>
        </w:rPr>
      </w:pPr>
      <w:r w:rsidRPr="00944E33">
        <w:rPr>
          <w:rStyle w:val="FootnoteReference"/>
          <w:rFonts w:ascii="Times New Roman" w:hAnsi="Times New Roman" w:cs="Times New Roman"/>
        </w:rPr>
        <w:footnoteRef/>
      </w:r>
      <w:r w:rsidRPr="00944E33">
        <w:rPr>
          <w:rFonts w:ascii="Times New Roman" w:hAnsi="Times New Roman" w:cs="Times New Roman"/>
        </w:rPr>
        <w:t xml:space="preserve"> </w:t>
      </w:r>
      <w:r w:rsidRPr="00944E33">
        <w:rPr>
          <w:rFonts w:ascii="Times New Roman" w:hAnsi="Times New Roman" w:cs="Times New Roman"/>
          <w:i/>
        </w:rPr>
        <w:t>Humphrey Industries, LTD v. Clay Street Associates, et al.</w:t>
      </w:r>
      <w:r w:rsidRPr="00944E33">
        <w:rPr>
          <w:rFonts w:ascii="Times New Roman" w:hAnsi="Times New Roman" w:cs="Times New Roman"/>
        </w:rPr>
        <w:t>, 2013 Wash. LEXIS 141, *12-*16 (Wash. Supreme Ct., 2013</w:t>
      </w:r>
      <w:proofErr w:type="gramStart"/>
      <w:r w:rsidRPr="00944E33">
        <w:rPr>
          <w:rFonts w:ascii="Times New Roman" w:hAnsi="Times New Roman" w:cs="Times New Roman"/>
        </w:rPr>
        <w:t>)(</w:t>
      </w:r>
      <w:proofErr w:type="gramEnd"/>
      <w:r w:rsidRPr="00944E33">
        <w:rPr>
          <w:rFonts w:ascii="Times New Roman" w:hAnsi="Times New Roman" w:cs="Times New Roman"/>
        </w:rPr>
        <w:t>holding that</w:t>
      </w:r>
      <w:r w:rsidRPr="00BA6EA8">
        <w:rPr>
          <w:rFonts w:ascii="Times New Roman" w:hAnsi="Times New Roman" w:cs="Times New Roman"/>
        </w:rPr>
        <w:t xml:space="preserve"> trial court abused discretion in failing to award prejudgment interest on reversed attorney’s fee awards that had been previously paid); </w:t>
      </w:r>
      <w:r w:rsidRPr="00BA6EA8">
        <w:rPr>
          <w:rFonts w:ascii="Times New Roman" w:hAnsi="Times New Roman" w:cs="Times New Roman"/>
          <w:i/>
        </w:rPr>
        <w:t>Forbes v. American Building Maintenance Company West</w:t>
      </w:r>
      <w:r w:rsidRPr="00BA6EA8">
        <w:rPr>
          <w:rFonts w:ascii="Times New Roman" w:hAnsi="Times New Roman" w:cs="Times New Roman"/>
        </w:rPr>
        <w:t xml:space="preserve">, 170 Wn.2d 157, 166-168 (Wash. Supreme Ct. 2010)(affirming award of prejudgment interest); </w:t>
      </w:r>
      <w:proofErr w:type="spellStart"/>
      <w:r w:rsidRPr="00BA6EA8">
        <w:rPr>
          <w:rFonts w:ascii="Times New Roman" w:hAnsi="Times New Roman" w:cs="Times New Roman"/>
          <w:i/>
        </w:rPr>
        <w:t>Scoccolo</w:t>
      </w:r>
      <w:proofErr w:type="spellEnd"/>
      <w:r w:rsidRPr="00BA6EA8">
        <w:rPr>
          <w:rFonts w:ascii="Times New Roman" w:hAnsi="Times New Roman" w:cs="Times New Roman"/>
          <w:i/>
        </w:rPr>
        <w:t xml:space="preserve"> Construction, Inc. v. The City of Renton</w:t>
      </w:r>
      <w:r w:rsidRPr="00BA6EA8">
        <w:rPr>
          <w:rFonts w:ascii="Times New Roman" w:hAnsi="Times New Roman" w:cs="Times New Roman"/>
        </w:rPr>
        <w:t>, 158 Wn.2d 506, 519-520 (Wash. Supreme Ct. 2006</w:t>
      </w:r>
      <w:proofErr w:type="gramStart"/>
      <w:r w:rsidRPr="00BA6EA8">
        <w:rPr>
          <w:rFonts w:ascii="Times New Roman" w:hAnsi="Times New Roman" w:cs="Times New Roman"/>
        </w:rPr>
        <w:t>)(</w:t>
      </w:r>
      <w:proofErr w:type="gramEnd"/>
      <w:r w:rsidRPr="00BA6EA8">
        <w:rPr>
          <w:rFonts w:ascii="Times New Roman" w:hAnsi="Times New Roman" w:cs="Times New Roman"/>
        </w:rPr>
        <w:t xml:space="preserve">affirming award of prejudgment interest notwithstanding that jury did not award Plaintiff the amount of damages requested). </w:t>
      </w:r>
    </w:p>
  </w:footnote>
  <w:footnote w:id="45">
    <w:p w:rsidR="00174178" w:rsidRPr="00BA6EA8" w:rsidRDefault="00174178" w:rsidP="00C12666">
      <w:pPr>
        <w:pStyle w:val="FootnoteText"/>
        <w:rPr>
          <w:rFonts w:ascii="Times New Roman" w:hAnsi="Times New Roman" w:cs="Times New Roman"/>
        </w:rPr>
      </w:pPr>
      <w:r w:rsidRPr="00BA6EA8">
        <w:rPr>
          <w:rStyle w:val="FootnoteReference"/>
          <w:rFonts w:ascii="Times New Roman" w:hAnsi="Times New Roman" w:cs="Times New Roman"/>
        </w:rPr>
        <w:footnoteRef/>
      </w:r>
      <w:r w:rsidRPr="00BA6EA8">
        <w:rPr>
          <w:rFonts w:ascii="Times New Roman" w:hAnsi="Times New Roman" w:cs="Times New Roman"/>
        </w:rPr>
        <w:t xml:space="preserve"> </w:t>
      </w:r>
      <w:r w:rsidRPr="00BA6EA8">
        <w:rPr>
          <w:rFonts w:ascii="Times New Roman" w:hAnsi="Times New Roman" w:cs="Times New Roman"/>
          <w:i/>
        </w:rPr>
        <w:t>Id.</w:t>
      </w:r>
    </w:p>
  </w:footnote>
  <w:footnote w:id="46">
    <w:p w:rsidR="00174178" w:rsidRPr="00BA6EA8" w:rsidRDefault="00174178" w:rsidP="00C12666">
      <w:pPr>
        <w:pStyle w:val="FootnoteText"/>
        <w:rPr>
          <w:rFonts w:ascii="Times New Roman" w:hAnsi="Times New Roman" w:cs="Times New Roman"/>
        </w:rPr>
      </w:pPr>
      <w:r w:rsidRPr="00BA6EA8">
        <w:rPr>
          <w:rStyle w:val="FootnoteReference"/>
          <w:rFonts w:ascii="Times New Roman" w:hAnsi="Times New Roman" w:cs="Times New Roman"/>
        </w:rPr>
        <w:footnoteRef/>
      </w:r>
      <w:r w:rsidRPr="00BA6EA8">
        <w:rPr>
          <w:rFonts w:ascii="Times New Roman" w:hAnsi="Times New Roman" w:cs="Times New Roman"/>
        </w:rPr>
        <w:t xml:space="preserve"> Easton, WRE-8C; Tr. 402, line 8 – 409, line 1.</w:t>
      </w:r>
    </w:p>
  </w:footnote>
  <w:footnote w:id="47">
    <w:p w:rsidR="00174178" w:rsidRPr="00BA6EA8" w:rsidRDefault="00174178" w:rsidP="00C12666">
      <w:pPr>
        <w:pStyle w:val="FootnoteText"/>
        <w:rPr>
          <w:rFonts w:ascii="Times New Roman" w:hAnsi="Times New Roman" w:cs="Times New Roman"/>
        </w:rPr>
      </w:pPr>
      <w:r w:rsidRPr="00BA6EA8">
        <w:rPr>
          <w:rStyle w:val="FootnoteReference"/>
          <w:rFonts w:ascii="Times New Roman" w:hAnsi="Times New Roman" w:cs="Times New Roman"/>
        </w:rPr>
        <w:footnoteRef/>
      </w:r>
      <w:r w:rsidRPr="00BA6EA8">
        <w:rPr>
          <w:rFonts w:ascii="Times New Roman" w:hAnsi="Times New Roman" w:cs="Times New Roman"/>
        </w:rPr>
        <w:t xml:space="preserve"> </w:t>
      </w:r>
      <w:r>
        <w:rPr>
          <w:rFonts w:ascii="Times New Roman" w:hAnsi="Times New Roman" w:cs="Times New Roman"/>
        </w:rPr>
        <w:t>Order 18 in this proceeding</w:t>
      </w:r>
      <w:r w:rsidRPr="00BA6EA8">
        <w:rPr>
          <w:rFonts w:ascii="Times New Roman" w:hAnsi="Times New Roman" w:cs="Times New Roman"/>
        </w:rPr>
        <w:t xml:space="preserve">, </w:t>
      </w:r>
      <w:r>
        <w:rPr>
          <w:rFonts w:ascii="Times New Roman" w:hAnsi="Times New Roman" w:cs="Times New Roman"/>
        </w:rPr>
        <w:t>¶¶ 1, 25-34,</w:t>
      </w:r>
      <w:r>
        <w:rPr>
          <w:rFonts w:ascii="Times New Roman" w:hAnsi="Times New Roman" w:cs="Times New Roman"/>
        </w:rPr>
        <w:fldChar w:fldCharType="begin"/>
      </w:r>
      <w:r>
        <w:instrText xml:space="preserve"> TA \l "</w:instrText>
      </w:r>
      <w:r w:rsidRPr="001C50D1">
        <w:rPr>
          <w:rFonts w:ascii="Times New Roman" w:hAnsi="Times New Roman" w:cs="Times New Roman"/>
        </w:rPr>
        <w:instrText>Order 18 in this proceeding, ¶¶ 1, 25-34,</w:instrText>
      </w:r>
      <w:r>
        <w:instrText xml:space="preserve">" \s "Order 18 in this proceeding,  1, 25-34," \c 1 </w:instrText>
      </w:r>
      <w:r>
        <w:rPr>
          <w:rFonts w:ascii="Times New Roman" w:hAnsi="Times New Roman" w:cs="Times New Roman"/>
        </w:rPr>
        <w:fldChar w:fldCharType="end"/>
      </w:r>
      <w:r>
        <w:rPr>
          <w:rFonts w:ascii="Times New Roman" w:hAnsi="Times New Roman" w:cs="Times New Roman"/>
        </w:rPr>
        <w:t xml:space="preserve"> </w:t>
      </w:r>
    </w:p>
  </w:footnote>
  <w:footnote w:id="48">
    <w:p w:rsidR="00174178" w:rsidRPr="00756601" w:rsidRDefault="00174178" w:rsidP="00C12666">
      <w:pPr>
        <w:pStyle w:val="FootnoteText"/>
        <w:rPr>
          <w:rFonts w:ascii="Times New Roman" w:hAnsi="Times New Roman" w:cs="Times New Roman"/>
        </w:rPr>
      </w:pPr>
      <w:r w:rsidRPr="00756601">
        <w:rPr>
          <w:rStyle w:val="FootnoteReference"/>
          <w:rFonts w:ascii="Times New Roman" w:hAnsi="Times New Roman" w:cs="Times New Roman"/>
        </w:rPr>
        <w:footnoteRef/>
      </w:r>
      <w:r w:rsidRPr="00756601">
        <w:rPr>
          <w:rFonts w:ascii="Times New Roman" w:hAnsi="Times New Roman" w:cs="Times New Roman"/>
        </w:rPr>
        <w:t xml:space="preserve"> Easton, WRE-1T, p. 7 line 25 – p. 8 line 12; p. 28 line 17 – p. 29 line 16; Tr. 348 line 17 – 349 line 2; Tr. 350 line 10 – 351 line 2.</w:t>
      </w:r>
    </w:p>
  </w:footnote>
  <w:footnote w:id="49">
    <w:p w:rsidR="00174178" w:rsidRPr="00944E33" w:rsidRDefault="00174178" w:rsidP="00C12666">
      <w:pPr>
        <w:pStyle w:val="FootnoteText"/>
        <w:rPr>
          <w:rFonts w:ascii="Times New Roman" w:hAnsi="Times New Roman" w:cs="Times New Roman"/>
        </w:rPr>
      </w:pPr>
      <w:r w:rsidRPr="00944E33">
        <w:rPr>
          <w:rStyle w:val="FootnoteReference"/>
          <w:rFonts w:ascii="Times New Roman" w:hAnsi="Times New Roman" w:cs="Times New Roman"/>
        </w:rPr>
        <w:footnoteRef/>
      </w:r>
      <w:r w:rsidRPr="00944E33">
        <w:rPr>
          <w:rFonts w:ascii="Times New Roman" w:hAnsi="Times New Roman" w:cs="Times New Roman"/>
        </w:rPr>
        <w:t xml:space="preserve"> WRE-1T, p. 33 lines 8 – 19.</w:t>
      </w:r>
    </w:p>
  </w:footnote>
  <w:footnote w:id="50">
    <w:p w:rsidR="00174178" w:rsidRPr="00944E33" w:rsidRDefault="00174178" w:rsidP="00C12666">
      <w:pPr>
        <w:pStyle w:val="FootnoteText"/>
        <w:rPr>
          <w:rFonts w:ascii="Times New Roman" w:hAnsi="Times New Roman" w:cs="Times New Roman"/>
        </w:rPr>
      </w:pPr>
      <w:r w:rsidRPr="00944E33">
        <w:rPr>
          <w:rStyle w:val="FootnoteReference"/>
          <w:rFonts w:ascii="Times New Roman" w:hAnsi="Times New Roman" w:cs="Times New Roman"/>
        </w:rPr>
        <w:footnoteRef/>
      </w:r>
      <w:r w:rsidRPr="00944E33">
        <w:rPr>
          <w:rFonts w:ascii="Times New Roman" w:hAnsi="Times New Roman" w:cs="Times New Roman"/>
        </w:rPr>
        <w:t xml:space="preserve"> WRE-11C.</w:t>
      </w:r>
    </w:p>
  </w:footnote>
  <w:footnote w:id="51">
    <w:p w:rsidR="00174178" w:rsidRPr="00944E33" w:rsidRDefault="00174178" w:rsidP="00C12666">
      <w:pPr>
        <w:pStyle w:val="FootnoteText"/>
        <w:rPr>
          <w:rFonts w:ascii="Times New Roman" w:hAnsi="Times New Roman" w:cs="Times New Roman"/>
        </w:rPr>
      </w:pPr>
      <w:r w:rsidRPr="00944E33">
        <w:rPr>
          <w:rStyle w:val="FootnoteReference"/>
          <w:rFonts w:ascii="Times New Roman" w:hAnsi="Times New Roman" w:cs="Times New Roman"/>
        </w:rPr>
        <w:footnoteRef/>
      </w:r>
      <w:r w:rsidRPr="00944E33">
        <w:rPr>
          <w:rFonts w:ascii="Times New Roman" w:hAnsi="Times New Roman" w:cs="Times New Roman"/>
        </w:rPr>
        <w:t xml:space="preserve"> </w:t>
      </w:r>
      <w:r>
        <w:rPr>
          <w:rFonts w:ascii="Times New Roman" w:hAnsi="Times New Roman" w:cs="Times New Roman"/>
          <w:i/>
        </w:rPr>
        <w:t>Final VNXX Order</w:t>
      </w:r>
      <w:proofErr w:type="gramStart"/>
      <w:r>
        <w:rPr>
          <w:rFonts w:ascii="Times New Roman" w:hAnsi="Times New Roman" w:cs="Times New Roman"/>
        </w:rPr>
        <w:t xml:space="preserve">, </w:t>
      </w:r>
      <w:r w:rsidRPr="004E333C">
        <w:rPr>
          <w:rFonts w:ascii="Times New Roman" w:hAnsi="Times New Roman" w:cs="Times New Roman"/>
        </w:rPr>
        <w:t xml:space="preserve"> </w:t>
      </w:r>
      <w:r w:rsidRPr="00944E33">
        <w:rPr>
          <w:rFonts w:ascii="Times New Roman" w:hAnsi="Times New Roman" w:cs="Times New Roman"/>
        </w:rPr>
        <w:t>Conclusion</w:t>
      </w:r>
      <w:proofErr w:type="gramEnd"/>
      <w:r w:rsidRPr="00944E33">
        <w:rPr>
          <w:rFonts w:ascii="Times New Roman" w:hAnsi="Times New Roman" w:cs="Times New Roman"/>
        </w:rPr>
        <w:t xml:space="preserve"> of Law 19</w:t>
      </w:r>
      <w:r>
        <w:rPr>
          <w:rFonts w:ascii="Times New Roman" w:hAnsi="Times New Roman" w:cs="Times New Roman"/>
        </w:rPr>
        <w:t>.</w:t>
      </w:r>
    </w:p>
  </w:footnote>
  <w:footnote w:id="52">
    <w:p w:rsidR="00174178" w:rsidRPr="00944E33" w:rsidRDefault="00174178" w:rsidP="00C12666">
      <w:pPr>
        <w:pStyle w:val="FootnoteText"/>
        <w:rPr>
          <w:rFonts w:ascii="Times New Roman" w:hAnsi="Times New Roman" w:cs="Times New Roman"/>
        </w:rPr>
      </w:pPr>
      <w:r w:rsidRPr="00944E33">
        <w:rPr>
          <w:rStyle w:val="FootnoteReference"/>
          <w:rFonts w:ascii="Times New Roman" w:hAnsi="Times New Roman" w:cs="Times New Roman"/>
        </w:rPr>
        <w:footnoteRef/>
      </w:r>
      <w:r w:rsidRPr="00944E33">
        <w:rPr>
          <w:rFonts w:ascii="Times New Roman" w:hAnsi="Times New Roman" w:cs="Times New Roman"/>
        </w:rPr>
        <w:t xml:space="preserve"> Easton, WRE-1T, p. 35 line 27 – p. 36 line 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15EBE"/>
    <w:multiLevelType w:val="multilevel"/>
    <w:tmpl w:val="5F747726"/>
    <w:lvl w:ilvl="0">
      <w:start w:val="1"/>
      <w:numFmt w:val="upperRoman"/>
      <w:lvlText w:val="%1."/>
      <w:lvlJc w:val="left"/>
      <w:pPr>
        <w:tabs>
          <w:tab w:val="num" w:pos="0"/>
        </w:tabs>
      </w:pPr>
      <w:rPr>
        <w:rFonts w:ascii="Times New Roman" w:hAnsi="Times New Roman" w:cs="Times New Roman"/>
        <w:b/>
        <w:bCs/>
        <w:i w:val="0"/>
        <w:iCs w:val="0"/>
        <w:caps/>
        <w:smallCaps w:val="0"/>
        <w:strike w:val="0"/>
        <w:dstrike w:val="0"/>
        <w:color w:val="000000"/>
        <w:sz w:val="24"/>
        <w:szCs w:val="24"/>
        <w:u w:val="none"/>
        <w:effect w:val="none"/>
        <w:vertAlign w:val="baseline"/>
      </w:rPr>
    </w:lvl>
    <w:lvl w:ilvl="1">
      <w:start w:val="1"/>
      <w:numFmt w:val="upperLetter"/>
      <w:lvlText w:val="%2."/>
      <w:lvlJc w:val="left"/>
      <w:pPr>
        <w:tabs>
          <w:tab w:val="num" w:pos="1440"/>
        </w:tabs>
        <w:ind w:left="144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8">
      <w:start w:val="1"/>
      <w:numFmt w:val="lowerRoman"/>
      <w:lvlText w:val="%9."/>
      <w:lvlJc w:val="left"/>
      <w:pPr>
        <w:tabs>
          <w:tab w:val="num" w:pos="3240"/>
        </w:tabs>
        <w:ind w:left="3240" w:hanging="360"/>
      </w:pPr>
    </w:lvl>
  </w:abstractNum>
  <w:abstractNum w:abstractNumId="1">
    <w:nsid w:val="3B777578"/>
    <w:multiLevelType w:val="hybridMultilevel"/>
    <w:tmpl w:val="9050BE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ECA140D"/>
    <w:multiLevelType w:val="hybridMultilevel"/>
    <w:tmpl w:val="B4A6B82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89F11CE"/>
    <w:multiLevelType w:val="hybridMultilevel"/>
    <w:tmpl w:val="58C01322"/>
    <w:lvl w:ilvl="0" w:tplc="81121A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D81CFF"/>
    <w:multiLevelType w:val="hybridMultilevel"/>
    <w:tmpl w:val="61D82626"/>
    <w:lvl w:ilvl="0" w:tplc="FD0C4C4A">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3C835BC"/>
    <w:multiLevelType w:val="hybridMultilevel"/>
    <w:tmpl w:val="469A1316"/>
    <w:lvl w:ilvl="0" w:tplc="2BFE35A0">
      <w:start w:val="2"/>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FB3C5E"/>
    <w:multiLevelType w:val="hybridMultilevel"/>
    <w:tmpl w:val="564ADB3E"/>
    <w:lvl w:ilvl="0" w:tplc="DE1A0554">
      <w:start w:val="2"/>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0B5F58"/>
    <w:multiLevelType w:val="hybridMultilevel"/>
    <w:tmpl w:val="EB860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AB84529"/>
    <w:multiLevelType w:val="hybridMultilevel"/>
    <w:tmpl w:val="98D80408"/>
    <w:lvl w:ilvl="0" w:tplc="F1D03F86">
      <w:start w:val="1"/>
      <w:numFmt w:val="upperRoman"/>
      <w:pStyle w:val="Style1"/>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2"/>
  </w:num>
  <w:num w:numId="5">
    <w:abstractNumId w:val="4"/>
  </w:num>
  <w:num w:numId="6">
    <w:abstractNumId w:val="0"/>
  </w:num>
  <w:num w:numId="7">
    <w:abstractNumId w:val="3"/>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D20098"/>
    <w:rsid w:val="000001FC"/>
    <w:rsid w:val="00003841"/>
    <w:rsid w:val="0000399D"/>
    <w:rsid w:val="000044F6"/>
    <w:rsid w:val="00004538"/>
    <w:rsid w:val="00006AEF"/>
    <w:rsid w:val="00006FC2"/>
    <w:rsid w:val="0000722A"/>
    <w:rsid w:val="00007914"/>
    <w:rsid w:val="000108F8"/>
    <w:rsid w:val="000111D0"/>
    <w:rsid w:val="00012FB5"/>
    <w:rsid w:val="00013AE2"/>
    <w:rsid w:val="00013CCB"/>
    <w:rsid w:val="00017575"/>
    <w:rsid w:val="00021B2F"/>
    <w:rsid w:val="00021C6B"/>
    <w:rsid w:val="0002259D"/>
    <w:rsid w:val="00022DFD"/>
    <w:rsid w:val="00023A4E"/>
    <w:rsid w:val="00023C06"/>
    <w:rsid w:val="00024AC8"/>
    <w:rsid w:val="0002650E"/>
    <w:rsid w:val="00027830"/>
    <w:rsid w:val="00027CAA"/>
    <w:rsid w:val="00033060"/>
    <w:rsid w:val="000330B2"/>
    <w:rsid w:val="000354E3"/>
    <w:rsid w:val="000366AB"/>
    <w:rsid w:val="00036A9A"/>
    <w:rsid w:val="000372C5"/>
    <w:rsid w:val="00037B20"/>
    <w:rsid w:val="00037DBF"/>
    <w:rsid w:val="000420AD"/>
    <w:rsid w:val="000422CD"/>
    <w:rsid w:val="00042397"/>
    <w:rsid w:val="00042744"/>
    <w:rsid w:val="000473B5"/>
    <w:rsid w:val="000501D7"/>
    <w:rsid w:val="00050675"/>
    <w:rsid w:val="00050E9B"/>
    <w:rsid w:val="00050EA6"/>
    <w:rsid w:val="000520F6"/>
    <w:rsid w:val="00053427"/>
    <w:rsid w:val="000608F3"/>
    <w:rsid w:val="000629FE"/>
    <w:rsid w:val="000633DE"/>
    <w:rsid w:val="00065E47"/>
    <w:rsid w:val="00065E94"/>
    <w:rsid w:val="00066739"/>
    <w:rsid w:val="00066AD7"/>
    <w:rsid w:val="00070ABE"/>
    <w:rsid w:val="00070DCD"/>
    <w:rsid w:val="00071C3D"/>
    <w:rsid w:val="00076DDC"/>
    <w:rsid w:val="00076FC6"/>
    <w:rsid w:val="00077EF9"/>
    <w:rsid w:val="00081087"/>
    <w:rsid w:val="00084EF6"/>
    <w:rsid w:val="000857D3"/>
    <w:rsid w:val="0008587B"/>
    <w:rsid w:val="00085A79"/>
    <w:rsid w:val="0008614E"/>
    <w:rsid w:val="000864B6"/>
    <w:rsid w:val="000869B9"/>
    <w:rsid w:val="000871AA"/>
    <w:rsid w:val="00087984"/>
    <w:rsid w:val="000917A3"/>
    <w:rsid w:val="00091FA6"/>
    <w:rsid w:val="0009206A"/>
    <w:rsid w:val="00093B80"/>
    <w:rsid w:val="000946F6"/>
    <w:rsid w:val="00094C6C"/>
    <w:rsid w:val="0009646D"/>
    <w:rsid w:val="00096814"/>
    <w:rsid w:val="00096B1E"/>
    <w:rsid w:val="00097A3D"/>
    <w:rsid w:val="000A04E8"/>
    <w:rsid w:val="000A0671"/>
    <w:rsid w:val="000A12BD"/>
    <w:rsid w:val="000A4509"/>
    <w:rsid w:val="000A4AFD"/>
    <w:rsid w:val="000A4B04"/>
    <w:rsid w:val="000A60CA"/>
    <w:rsid w:val="000A6AD9"/>
    <w:rsid w:val="000A709C"/>
    <w:rsid w:val="000A79D6"/>
    <w:rsid w:val="000B21C3"/>
    <w:rsid w:val="000B2A35"/>
    <w:rsid w:val="000B2F2F"/>
    <w:rsid w:val="000B32DD"/>
    <w:rsid w:val="000B55BF"/>
    <w:rsid w:val="000B5DA4"/>
    <w:rsid w:val="000B636D"/>
    <w:rsid w:val="000B7233"/>
    <w:rsid w:val="000B7F1F"/>
    <w:rsid w:val="000C24AE"/>
    <w:rsid w:val="000C255D"/>
    <w:rsid w:val="000C32E8"/>
    <w:rsid w:val="000C4380"/>
    <w:rsid w:val="000C625C"/>
    <w:rsid w:val="000C653B"/>
    <w:rsid w:val="000D21D7"/>
    <w:rsid w:val="000D2F41"/>
    <w:rsid w:val="000D41DA"/>
    <w:rsid w:val="000D68B0"/>
    <w:rsid w:val="000D7996"/>
    <w:rsid w:val="000D7DF9"/>
    <w:rsid w:val="000E1869"/>
    <w:rsid w:val="000E29CE"/>
    <w:rsid w:val="000E2E6D"/>
    <w:rsid w:val="000E3BE4"/>
    <w:rsid w:val="000E3EB9"/>
    <w:rsid w:val="000E4A0E"/>
    <w:rsid w:val="000E5337"/>
    <w:rsid w:val="000E55B5"/>
    <w:rsid w:val="000E7C05"/>
    <w:rsid w:val="000F0667"/>
    <w:rsid w:val="000F1094"/>
    <w:rsid w:val="000F3A85"/>
    <w:rsid w:val="000F40F0"/>
    <w:rsid w:val="000F4E67"/>
    <w:rsid w:val="000F5B8D"/>
    <w:rsid w:val="000F6F3F"/>
    <w:rsid w:val="00100BF1"/>
    <w:rsid w:val="00102021"/>
    <w:rsid w:val="00102501"/>
    <w:rsid w:val="0010334E"/>
    <w:rsid w:val="0010492D"/>
    <w:rsid w:val="00104C09"/>
    <w:rsid w:val="001051F5"/>
    <w:rsid w:val="00105B18"/>
    <w:rsid w:val="00105D91"/>
    <w:rsid w:val="00106F28"/>
    <w:rsid w:val="00111371"/>
    <w:rsid w:val="0011204B"/>
    <w:rsid w:val="00113568"/>
    <w:rsid w:val="00114119"/>
    <w:rsid w:val="00114148"/>
    <w:rsid w:val="001166A0"/>
    <w:rsid w:val="001178DC"/>
    <w:rsid w:val="00117E3F"/>
    <w:rsid w:val="00123D1E"/>
    <w:rsid w:val="001245C3"/>
    <w:rsid w:val="00125551"/>
    <w:rsid w:val="001257F8"/>
    <w:rsid w:val="00125CF6"/>
    <w:rsid w:val="00125F92"/>
    <w:rsid w:val="00127737"/>
    <w:rsid w:val="00130197"/>
    <w:rsid w:val="00130F15"/>
    <w:rsid w:val="00131041"/>
    <w:rsid w:val="001329D6"/>
    <w:rsid w:val="00134810"/>
    <w:rsid w:val="00134A26"/>
    <w:rsid w:val="00134A5D"/>
    <w:rsid w:val="00134E62"/>
    <w:rsid w:val="00135280"/>
    <w:rsid w:val="0013558B"/>
    <w:rsid w:val="001362C3"/>
    <w:rsid w:val="00136758"/>
    <w:rsid w:val="0013701C"/>
    <w:rsid w:val="00137ABC"/>
    <w:rsid w:val="00141C10"/>
    <w:rsid w:val="0014228E"/>
    <w:rsid w:val="0014305A"/>
    <w:rsid w:val="001463B9"/>
    <w:rsid w:val="0014645C"/>
    <w:rsid w:val="00146FFA"/>
    <w:rsid w:val="00147FF8"/>
    <w:rsid w:val="00150B35"/>
    <w:rsid w:val="001512D2"/>
    <w:rsid w:val="001519F9"/>
    <w:rsid w:val="00151EB7"/>
    <w:rsid w:val="00151EE3"/>
    <w:rsid w:val="00152A63"/>
    <w:rsid w:val="001540E1"/>
    <w:rsid w:val="0015430D"/>
    <w:rsid w:val="001577F0"/>
    <w:rsid w:val="00157FC5"/>
    <w:rsid w:val="00160161"/>
    <w:rsid w:val="001603F4"/>
    <w:rsid w:val="00161275"/>
    <w:rsid w:val="00161AC9"/>
    <w:rsid w:val="0016256C"/>
    <w:rsid w:val="00163E5E"/>
    <w:rsid w:val="001646A1"/>
    <w:rsid w:val="00164A0A"/>
    <w:rsid w:val="00170283"/>
    <w:rsid w:val="00172B8F"/>
    <w:rsid w:val="00173E1D"/>
    <w:rsid w:val="00174178"/>
    <w:rsid w:val="001742E8"/>
    <w:rsid w:val="00174764"/>
    <w:rsid w:val="00175913"/>
    <w:rsid w:val="001768A2"/>
    <w:rsid w:val="00180655"/>
    <w:rsid w:val="00182E74"/>
    <w:rsid w:val="0018359C"/>
    <w:rsid w:val="001846E3"/>
    <w:rsid w:val="001851A7"/>
    <w:rsid w:val="00185281"/>
    <w:rsid w:val="001916DF"/>
    <w:rsid w:val="001920E6"/>
    <w:rsid w:val="00192308"/>
    <w:rsid w:val="00192D99"/>
    <w:rsid w:val="00193B4A"/>
    <w:rsid w:val="00194E9E"/>
    <w:rsid w:val="00194EB8"/>
    <w:rsid w:val="00195AD0"/>
    <w:rsid w:val="00195DE6"/>
    <w:rsid w:val="00196BFB"/>
    <w:rsid w:val="00196C33"/>
    <w:rsid w:val="00196F9B"/>
    <w:rsid w:val="001A0980"/>
    <w:rsid w:val="001A170F"/>
    <w:rsid w:val="001A17DD"/>
    <w:rsid w:val="001A1D36"/>
    <w:rsid w:val="001A4ABE"/>
    <w:rsid w:val="001A4CDB"/>
    <w:rsid w:val="001A56DD"/>
    <w:rsid w:val="001B050D"/>
    <w:rsid w:val="001B0957"/>
    <w:rsid w:val="001B3038"/>
    <w:rsid w:val="001B4C9C"/>
    <w:rsid w:val="001B6EC6"/>
    <w:rsid w:val="001B73E9"/>
    <w:rsid w:val="001C00B0"/>
    <w:rsid w:val="001C015E"/>
    <w:rsid w:val="001C0E0A"/>
    <w:rsid w:val="001C15F6"/>
    <w:rsid w:val="001C1DA2"/>
    <w:rsid w:val="001C2682"/>
    <w:rsid w:val="001C38EF"/>
    <w:rsid w:val="001C5480"/>
    <w:rsid w:val="001C630C"/>
    <w:rsid w:val="001C63EC"/>
    <w:rsid w:val="001C6A2A"/>
    <w:rsid w:val="001C6B25"/>
    <w:rsid w:val="001C7158"/>
    <w:rsid w:val="001D029C"/>
    <w:rsid w:val="001D05BB"/>
    <w:rsid w:val="001D3626"/>
    <w:rsid w:val="001D3738"/>
    <w:rsid w:val="001D38A5"/>
    <w:rsid w:val="001D454B"/>
    <w:rsid w:val="001D640C"/>
    <w:rsid w:val="001D6872"/>
    <w:rsid w:val="001D68E2"/>
    <w:rsid w:val="001D7024"/>
    <w:rsid w:val="001E086D"/>
    <w:rsid w:val="001E11B9"/>
    <w:rsid w:val="001E1B79"/>
    <w:rsid w:val="001E1CBA"/>
    <w:rsid w:val="001E2436"/>
    <w:rsid w:val="001E7853"/>
    <w:rsid w:val="001F2B85"/>
    <w:rsid w:val="001F49F7"/>
    <w:rsid w:val="001F6665"/>
    <w:rsid w:val="001F7883"/>
    <w:rsid w:val="00201268"/>
    <w:rsid w:val="00201D2C"/>
    <w:rsid w:val="00205551"/>
    <w:rsid w:val="00205B65"/>
    <w:rsid w:val="00205E73"/>
    <w:rsid w:val="00206013"/>
    <w:rsid w:val="00206B2B"/>
    <w:rsid w:val="0020799B"/>
    <w:rsid w:val="002113D6"/>
    <w:rsid w:val="00211644"/>
    <w:rsid w:val="00212AB6"/>
    <w:rsid w:val="002140DF"/>
    <w:rsid w:val="00214F2B"/>
    <w:rsid w:val="00215E10"/>
    <w:rsid w:val="00217774"/>
    <w:rsid w:val="0022196E"/>
    <w:rsid w:val="002233F5"/>
    <w:rsid w:val="00231F3F"/>
    <w:rsid w:val="0023349C"/>
    <w:rsid w:val="002337B9"/>
    <w:rsid w:val="00235C14"/>
    <w:rsid w:val="00241ACE"/>
    <w:rsid w:val="00242D61"/>
    <w:rsid w:val="002433E8"/>
    <w:rsid w:val="00243A09"/>
    <w:rsid w:val="0024579C"/>
    <w:rsid w:val="00246B65"/>
    <w:rsid w:val="00246C92"/>
    <w:rsid w:val="00247328"/>
    <w:rsid w:val="0024784D"/>
    <w:rsid w:val="00247A4C"/>
    <w:rsid w:val="00250813"/>
    <w:rsid w:val="0025099A"/>
    <w:rsid w:val="0025134B"/>
    <w:rsid w:val="00251487"/>
    <w:rsid w:val="0025253B"/>
    <w:rsid w:val="00253131"/>
    <w:rsid w:val="00253C81"/>
    <w:rsid w:val="002545C4"/>
    <w:rsid w:val="00255D3C"/>
    <w:rsid w:val="00255E22"/>
    <w:rsid w:val="0026499E"/>
    <w:rsid w:val="00270859"/>
    <w:rsid w:val="00270E98"/>
    <w:rsid w:val="002736B0"/>
    <w:rsid w:val="0027377A"/>
    <w:rsid w:val="00273C67"/>
    <w:rsid w:val="002744D3"/>
    <w:rsid w:val="00276FA2"/>
    <w:rsid w:val="00280379"/>
    <w:rsid w:val="00281C85"/>
    <w:rsid w:val="002853F5"/>
    <w:rsid w:val="00285C68"/>
    <w:rsid w:val="002860F9"/>
    <w:rsid w:val="002866C0"/>
    <w:rsid w:val="0028721C"/>
    <w:rsid w:val="00287A26"/>
    <w:rsid w:val="00287FD2"/>
    <w:rsid w:val="0029023A"/>
    <w:rsid w:val="00291511"/>
    <w:rsid w:val="00291F1A"/>
    <w:rsid w:val="00294327"/>
    <w:rsid w:val="0029515C"/>
    <w:rsid w:val="00295F7C"/>
    <w:rsid w:val="002969F5"/>
    <w:rsid w:val="0029735E"/>
    <w:rsid w:val="00297499"/>
    <w:rsid w:val="00297AC8"/>
    <w:rsid w:val="002A0C98"/>
    <w:rsid w:val="002A303E"/>
    <w:rsid w:val="002A39D9"/>
    <w:rsid w:val="002A6E40"/>
    <w:rsid w:val="002B01EF"/>
    <w:rsid w:val="002B0BB2"/>
    <w:rsid w:val="002B188E"/>
    <w:rsid w:val="002B3712"/>
    <w:rsid w:val="002B779F"/>
    <w:rsid w:val="002B77B8"/>
    <w:rsid w:val="002C1198"/>
    <w:rsid w:val="002C1459"/>
    <w:rsid w:val="002C151D"/>
    <w:rsid w:val="002C17C0"/>
    <w:rsid w:val="002C180F"/>
    <w:rsid w:val="002C30D1"/>
    <w:rsid w:val="002C44CD"/>
    <w:rsid w:val="002C463E"/>
    <w:rsid w:val="002C4EC6"/>
    <w:rsid w:val="002C616A"/>
    <w:rsid w:val="002C720A"/>
    <w:rsid w:val="002C734C"/>
    <w:rsid w:val="002C7871"/>
    <w:rsid w:val="002D112D"/>
    <w:rsid w:val="002D445B"/>
    <w:rsid w:val="002D552D"/>
    <w:rsid w:val="002D7783"/>
    <w:rsid w:val="002E0470"/>
    <w:rsid w:val="002E1DCD"/>
    <w:rsid w:val="002E38D0"/>
    <w:rsid w:val="002E3AAF"/>
    <w:rsid w:val="002E4076"/>
    <w:rsid w:val="002E480F"/>
    <w:rsid w:val="002E4BDC"/>
    <w:rsid w:val="002E5341"/>
    <w:rsid w:val="002E66CE"/>
    <w:rsid w:val="002E7D29"/>
    <w:rsid w:val="002F1CA9"/>
    <w:rsid w:val="002F220D"/>
    <w:rsid w:val="002F3E51"/>
    <w:rsid w:val="002F5FB7"/>
    <w:rsid w:val="002F6CC3"/>
    <w:rsid w:val="00302D5B"/>
    <w:rsid w:val="00305B47"/>
    <w:rsid w:val="00305B78"/>
    <w:rsid w:val="00307ADB"/>
    <w:rsid w:val="00307EA7"/>
    <w:rsid w:val="0031093D"/>
    <w:rsid w:val="00310D4E"/>
    <w:rsid w:val="00312EAA"/>
    <w:rsid w:val="0031355D"/>
    <w:rsid w:val="00313C1A"/>
    <w:rsid w:val="00313E73"/>
    <w:rsid w:val="00314A24"/>
    <w:rsid w:val="003150C6"/>
    <w:rsid w:val="0031559F"/>
    <w:rsid w:val="00315605"/>
    <w:rsid w:val="003158CC"/>
    <w:rsid w:val="00315B0E"/>
    <w:rsid w:val="003226FC"/>
    <w:rsid w:val="00323E4A"/>
    <w:rsid w:val="00324ED6"/>
    <w:rsid w:val="00326B07"/>
    <w:rsid w:val="0032778E"/>
    <w:rsid w:val="0033141E"/>
    <w:rsid w:val="003342AB"/>
    <w:rsid w:val="00334533"/>
    <w:rsid w:val="00334705"/>
    <w:rsid w:val="00335405"/>
    <w:rsid w:val="00336E15"/>
    <w:rsid w:val="00337298"/>
    <w:rsid w:val="00340776"/>
    <w:rsid w:val="00342B5C"/>
    <w:rsid w:val="00343814"/>
    <w:rsid w:val="00344106"/>
    <w:rsid w:val="00344935"/>
    <w:rsid w:val="00346671"/>
    <w:rsid w:val="00346D0F"/>
    <w:rsid w:val="0034767D"/>
    <w:rsid w:val="00347EA5"/>
    <w:rsid w:val="00350144"/>
    <w:rsid w:val="00353294"/>
    <w:rsid w:val="00353790"/>
    <w:rsid w:val="00354D96"/>
    <w:rsid w:val="00356702"/>
    <w:rsid w:val="003569E8"/>
    <w:rsid w:val="00357CCB"/>
    <w:rsid w:val="00357F4E"/>
    <w:rsid w:val="00360BAA"/>
    <w:rsid w:val="0036400D"/>
    <w:rsid w:val="00367FDB"/>
    <w:rsid w:val="00371444"/>
    <w:rsid w:val="00371E8D"/>
    <w:rsid w:val="0037209D"/>
    <w:rsid w:val="003729FE"/>
    <w:rsid w:val="00372DC3"/>
    <w:rsid w:val="003754FB"/>
    <w:rsid w:val="00377759"/>
    <w:rsid w:val="003812A3"/>
    <w:rsid w:val="003817FA"/>
    <w:rsid w:val="00381B5B"/>
    <w:rsid w:val="0038236F"/>
    <w:rsid w:val="00382373"/>
    <w:rsid w:val="0038354A"/>
    <w:rsid w:val="00384680"/>
    <w:rsid w:val="00385EF8"/>
    <w:rsid w:val="00386F77"/>
    <w:rsid w:val="00390949"/>
    <w:rsid w:val="00390D0E"/>
    <w:rsid w:val="00391887"/>
    <w:rsid w:val="003923C4"/>
    <w:rsid w:val="00392ED6"/>
    <w:rsid w:val="0039345C"/>
    <w:rsid w:val="0039380D"/>
    <w:rsid w:val="00393883"/>
    <w:rsid w:val="00394C52"/>
    <w:rsid w:val="00395098"/>
    <w:rsid w:val="003956E9"/>
    <w:rsid w:val="0039783B"/>
    <w:rsid w:val="003A2B6E"/>
    <w:rsid w:val="003A44C0"/>
    <w:rsid w:val="003A4662"/>
    <w:rsid w:val="003A5618"/>
    <w:rsid w:val="003B1AE6"/>
    <w:rsid w:val="003B3136"/>
    <w:rsid w:val="003B4B5D"/>
    <w:rsid w:val="003B6572"/>
    <w:rsid w:val="003C1C6F"/>
    <w:rsid w:val="003C3575"/>
    <w:rsid w:val="003C4AF0"/>
    <w:rsid w:val="003C580E"/>
    <w:rsid w:val="003C6C84"/>
    <w:rsid w:val="003D2E47"/>
    <w:rsid w:val="003D5975"/>
    <w:rsid w:val="003D59DC"/>
    <w:rsid w:val="003D5EB7"/>
    <w:rsid w:val="003D704C"/>
    <w:rsid w:val="003D792A"/>
    <w:rsid w:val="003E20FA"/>
    <w:rsid w:val="003E2B52"/>
    <w:rsid w:val="003E4D72"/>
    <w:rsid w:val="003E4D73"/>
    <w:rsid w:val="003E5BFA"/>
    <w:rsid w:val="003F1FB5"/>
    <w:rsid w:val="003F2361"/>
    <w:rsid w:val="003F253E"/>
    <w:rsid w:val="003F3F5B"/>
    <w:rsid w:val="003F55C6"/>
    <w:rsid w:val="003F7409"/>
    <w:rsid w:val="004003F2"/>
    <w:rsid w:val="00402ACA"/>
    <w:rsid w:val="00403D53"/>
    <w:rsid w:val="00404EE8"/>
    <w:rsid w:val="0040576A"/>
    <w:rsid w:val="00406829"/>
    <w:rsid w:val="00406C4A"/>
    <w:rsid w:val="00406CB4"/>
    <w:rsid w:val="004101BE"/>
    <w:rsid w:val="004120F9"/>
    <w:rsid w:val="0041364D"/>
    <w:rsid w:val="004141EE"/>
    <w:rsid w:val="0041634C"/>
    <w:rsid w:val="00417C51"/>
    <w:rsid w:val="004204B7"/>
    <w:rsid w:val="00420B65"/>
    <w:rsid w:val="00420EEA"/>
    <w:rsid w:val="00421960"/>
    <w:rsid w:val="00421C0E"/>
    <w:rsid w:val="004224EE"/>
    <w:rsid w:val="00422FB6"/>
    <w:rsid w:val="00425A6B"/>
    <w:rsid w:val="00426857"/>
    <w:rsid w:val="00427F51"/>
    <w:rsid w:val="00430E29"/>
    <w:rsid w:val="004325F4"/>
    <w:rsid w:val="004344C0"/>
    <w:rsid w:val="00435230"/>
    <w:rsid w:val="00435511"/>
    <w:rsid w:val="0043708E"/>
    <w:rsid w:val="004422FF"/>
    <w:rsid w:val="0044398C"/>
    <w:rsid w:val="00444012"/>
    <w:rsid w:val="00446075"/>
    <w:rsid w:val="0044711C"/>
    <w:rsid w:val="00447E22"/>
    <w:rsid w:val="004503A3"/>
    <w:rsid w:val="00452DA5"/>
    <w:rsid w:val="0045335E"/>
    <w:rsid w:val="00453E76"/>
    <w:rsid w:val="00453ECF"/>
    <w:rsid w:val="00454625"/>
    <w:rsid w:val="00454631"/>
    <w:rsid w:val="00455AA9"/>
    <w:rsid w:val="00455F16"/>
    <w:rsid w:val="00456480"/>
    <w:rsid w:val="004567B7"/>
    <w:rsid w:val="0045752F"/>
    <w:rsid w:val="00457803"/>
    <w:rsid w:val="00460144"/>
    <w:rsid w:val="00461A58"/>
    <w:rsid w:val="00462646"/>
    <w:rsid w:val="0046311D"/>
    <w:rsid w:val="00465970"/>
    <w:rsid w:val="00467C7A"/>
    <w:rsid w:val="00470994"/>
    <w:rsid w:val="00471064"/>
    <w:rsid w:val="00471B9F"/>
    <w:rsid w:val="0047267D"/>
    <w:rsid w:val="00473640"/>
    <w:rsid w:val="0047504B"/>
    <w:rsid w:val="0048091F"/>
    <w:rsid w:val="00483655"/>
    <w:rsid w:val="00484512"/>
    <w:rsid w:val="00485034"/>
    <w:rsid w:val="00486E63"/>
    <w:rsid w:val="0049075B"/>
    <w:rsid w:val="00493AB1"/>
    <w:rsid w:val="00496FF6"/>
    <w:rsid w:val="004A0F8C"/>
    <w:rsid w:val="004A10B0"/>
    <w:rsid w:val="004A31BC"/>
    <w:rsid w:val="004A336B"/>
    <w:rsid w:val="004A41AF"/>
    <w:rsid w:val="004A4E2C"/>
    <w:rsid w:val="004A5329"/>
    <w:rsid w:val="004A5DA6"/>
    <w:rsid w:val="004A6F74"/>
    <w:rsid w:val="004B17EC"/>
    <w:rsid w:val="004B35E1"/>
    <w:rsid w:val="004B37C1"/>
    <w:rsid w:val="004B501E"/>
    <w:rsid w:val="004B56EE"/>
    <w:rsid w:val="004B79AE"/>
    <w:rsid w:val="004C051D"/>
    <w:rsid w:val="004C0C95"/>
    <w:rsid w:val="004C19E1"/>
    <w:rsid w:val="004C214A"/>
    <w:rsid w:val="004C2516"/>
    <w:rsid w:val="004C252F"/>
    <w:rsid w:val="004C41A3"/>
    <w:rsid w:val="004C76CA"/>
    <w:rsid w:val="004D278A"/>
    <w:rsid w:val="004D479A"/>
    <w:rsid w:val="004D57A6"/>
    <w:rsid w:val="004D67C2"/>
    <w:rsid w:val="004D70DF"/>
    <w:rsid w:val="004E129F"/>
    <w:rsid w:val="004E1EC1"/>
    <w:rsid w:val="004E333C"/>
    <w:rsid w:val="004E5675"/>
    <w:rsid w:val="004E56FD"/>
    <w:rsid w:val="004E6CBE"/>
    <w:rsid w:val="004F0180"/>
    <w:rsid w:val="004F2C78"/>
    <w:rsid w:val="004F2F1E"/>
    <w:rsid w:val="004F2FA9"/>
    <w:rsid w:val="004F39FD"/>
    <w:rsid w:val="004F5E6C"/>
    <w:rsid w:val="004F6E69"/>
    <w:rsid w:val="005007F6"/>
    <w:rsid w:val="0050084F"/>
    <w:rsid w:val="005023B4"/>
    <w:rsid w:val="0050251D"/>
    <w:rsid w:val="005026A1"/>
    <w:rsid w:val="005029B7"/>
    <w:rsid w:val="0050415B"/>
    <w:rsid w:val="005054C9"/>
    <w:rsid w:val="00506D92"/>
    <w:rsid w:val="00506F6A"/>
    <w:rsid w:val="005071A7"/>
    <w:rsid w:val="00511E6A"/>
    <w:rsid w:val="00512907"/>
    <w:rsid w:val="00513FB9"/>
    <w:rsid w:val="005148D0"/>
    <w:rsid w:val="00516091"/>
    <w:rsid w:val="0051633C"/>
    <w:rsid w:val="00516F83"/>
    <w:rsid w:val="00516F9A"/>
    <w:rsid w:val="005170E6"/>
    <w:rsid w:val="005222A8"/>
    <w:rsid w:val="005224C0"/>
    <w:rsid w:val="0052471E"/>
    <w:rsid w:val="005257E9"/>
    <w:rsid w:val="00525AEC"/>
    <w:rsid w:val="00526072"/>
    <w:rsid w:val="00526440"/>
    <w:rsid w:val="005304B2"/>
    <w:rsid w:val="005310A3"/>
    <w:rsid w:val="00531997"/>
    <w:rsid w:val="0053377A"/>
    <w:rsid w:val="005341DB"/>
    <w:rsid w:val="00534214"/>
    <w:rsid w:val="00535247"/>
    <w:rsid w:val="00535818"/>
    <w:rsid w:val="005410D7"/>
    <w:rsid w:val="00541211"/>
    <w:rsid w:val="00543A55"/>
    <w:rsid w:val="00543D74"/>
    <w:rsid w:val="00544219"/>
    <w:rsid w:val="00545E44"/>
    <w:rsid w:val="005468C3"/>
    <w:rsid w:val="00546CD0"/>
    <w:rsid w:val="005477C7"/>
    <w:rsid w:val="005512D2"/>
    <w:rsid w:val="00551CFC"/>
    <w:rsid w:val="0055227D"/>
    <w:rsid w:val="005524F8"/>
    <w:rsid w:val="0055520D"/>
    <w:rsid w:val="00555551"/>
    <w:rsid w:val="00555845"/>
    <w:rsid w:val="00555D3D"/>
    <w:rsid w:val="005562B8"/>
    <w:rsid w:val="00556AAB"/>
    <w:rsid w:val="00556D3F"/>
    <w:rsid w:val="0056102E"/>
    <w:rsid w:val="00561889"/>
    <w:rsid w:val="00563568"/>
    <w:rsid w:val="00566ABF"/>
    <w:rsid w:val="00567BA0"/>
    <w:rsid w:val="00567E45"/>
    <w:rsid w:val="005706DA"/>
    <w:rsid w:val="0057070C"/>
    <w:rsid w:val="00571470"/>
    <w:rsid w:val="00571D2C"/>
    <w:rsid w:val="0057228B"/>
    <w:rsid w:val="00573EF9"/>
    <w:rsid w:val="0057421C"/>
    <w:rsid w:val="0057429C"/>
    <w:rsid w:val="00574C3E"/>
    <w:rsid w:val="005756EA"/>
    <w:rsid w:val="0057707F"/>
    <w:rsid w:val="005770E1"/>
    <w:rsid w:val="005804BC"/>
    <w:rsid w:val="00581104"/>
    <w:rsid w:val="00581FB9"/>
    <w:rsid w:val="00582107"/>
    <w:rsid w:val="0058258D"/>
    <w:rsid w:val="00583204"/>
    <w:rsid w:val="00583454"/>
    <w:rsid w:val="005842D3"/>
    <w:rsid w:val="0058572E"/>
    <w:rsid w:val="005932C4"/>
    <w:rsid w:val="00593C61"/>
    <w:rsid w:val="00595318"/>
    <w:rsid w:val="00596312"/>
    <w:rsid w:val="00597C18"/>
    <w:rsid w:val="00597C45"/>
    <w:rsid w:val="005A01DC"/>
    <w:rsid w:val="005A11EC"/>
    <w:rsid w:val="005A1A5A"/>
    <w:rsid w:val="005A1E34"/>
    <w:rsid w:val="005A2867"/>
    <w:rsid w:val="005A33ED"/>
    <w:rsid w:val="005A3D04"/>
    <w:rsid w:val="005A6BC2"/>
    <w:rsid w:val="005B064B"/>
    <w:rsid w:val="005B3BE8"/>
    <w:rsid w:val="005B3FA8"/>
    <w:rsid w:val="005B796B"/>
    <w:rsid w:val="005B7F75"/>
    <w:rsid w:val="005B7FB5"/>
    <w:rsid w:val="005C0A4F"/>
    <w:rsid w:val="005C17BB"/>
    <w:rsid w:val="005C324B"/>
    <w:rsid w:val="005C3342"/>
    <w:rsid w:val="005C342A"/>
    <w:rsid w:val="005C4C5F"/>
    <w:rsid w:val="005C4FAF"/>
    <w:rsid w:val="005C5407"/>
    <w:rsid w:val="005C561D"/>
    <w:rsid w:val="005C5C6A"/>
    <w:rsid w:val="005C5FC8"/>
    <w:rsid w:val="005C7183"/>
    <w:rsid w:val="005C7F22"/>
    <w:rsid w:val="005D11A5"/>
    <w:rsid w:val="005D2056"/>
    <w:rsid w:val="005D2322"/>
    <w:rsid w:val="005D2D1C"/>
    <w:rsid w:val="005D3630"/>
    <w:rsid w:val="005D5803"/>
    <w:rsid w:val="005D59FA"/>
    <w:rsid w:val="005D5D47"/>
    <w:rsid w:val="005D5ED8"/>
    <w:rsid w:val="005D601E"/>
    <w:rsid w:val="005D6E16"/>
    <w:rsid w:val="005D6F97"/>
    <w:rsid w:val="005D7640"/>
    <w:rsid w:val="005D7B46"/>
    <w:rsid w:val="005E0D33"/>
    <w:rsid w:val="005E246C"/>
    <w:rsid w:val="005E2792"/>
    <w:rsid w:val="005E39C4"/>
    <w:rsid w:val="005E3F8C"/>
    <w:rsid w:val="005E5859"/>
    <w:rsid w:val="005E5EF5"/>
    <w:rsid w:val="005E63E9"/>
    <w:rsid w:val="005E695B"/>
    <w:rsid w:val="005E6A31"/>
    <w:rsid w:val="005F21FC"/>
    <w:rsid w:val="005F35EB"/>
    <w:rsid w:val="005F415E"/>
    <w:rsid w:val="005F4334"/>
    <w:rsid w:val="005F5AB0"/>
    <w:rsid w:val="005F63EA"/>
    <w:rsid w:val="00601BB6"/>
    <w:rsid w:val="006022B3"/>
    <w:rsid w:val="0060437F"/>
    <w:rsid w:val="00605885"/>
    <w:rsid w:val="00607D6E"/>
    <w:rsid w:val="006106A1"/>
    <w:rsid w:val="0061559C"/>
    <w:rsid w:val="00623797"/>
    <w:rsid w:val="00626686"/>
    <w:rsid w:val="00631709"/>
    <w:rsid w:val="0063266E"/>
    <w:rsid w:val="0063316A"/>
    <w:rsid w:val="0063572D"/>
    <w:rsid w:val="00635C9A"/>
    <w:rsid w:val="00640547"/>
    <w:rsid w:val="00640C35"/>
    <w:rsid w:val="00642831"/>
    <w:rsid w:val="00643402"/>
    <w:rsid w:val="0064404D"/>
    <w:rsid w:val="00644750"/>
    <w:rsid w:val="00645D43"/>
    <w:rsid w:val="006466A8"/>
    <w:rsid w:val="00647AE7"/>
    <w:rsid w:val="00650136"/>
    <w:rsid w:val="00650218"/>
    <w:rsid w:val="006508FF"/>
    <w:rsid w:val="006516F8"/>
    <w:rsid w:val="00651B61"/>
    <w:rsid w:val="00652815"/>
    <w:rsid w:val="00652AD3"/>
    <w:rsid w:val="00653502"/>
    <w:rsid w:val="00653690"/>
    <w:rsid w:val="00654780"/>
    <w:rsid w:val="0065758A"/>
    <w:rsid w:val="00657DD5"/>
    <w:rsid w:val="00660A45"/>
    <w:rsid w:val="00663F07"/>
    <w:rsid w:val="006640BD"/>
    <w:rsid w:val="00665933"/>
    <w:rsid w:val="00666177"/>
    <w:rsid w:val="00667D3E"/>
    <w:rsid w:val="00670A50"/>
    <w:rsid w:val="00671D8A"/>
    <w:rsid w:val="00671E8A"/>
    <w:rsid w:val="0067379B"/>
    <w:rsid w:val="00673A4A"/>
    <w:rsid w:val="00673E13"/>
    <w:rsid w:val="00675230"/>
    <w:rsid w:val="0067668C"/>
    <w:rsid w:val="00676EEE"/>
    <w:rsid w:val="006772E2"/>
    <w:rsid w:val="006809F9"/>
    <w:rsid w:val="0068318D"/>
    <w:rsid w:val="00683374"/>
    <w:rsid w:val="0068390D"/>
    <w:rsid w:val="00683B90"/>
    <w:rsid w:val="0068699A"/>
    <w:rsid w:val="00687C90"/>
    <w:rsid w:val="006903B2"/>
    <w:rsid w:val="00690D77"/>
    <w:rsid w:val="00691768"/>
    <w:rsid w:val="0069266A"/>
    <w:rsid w:val="00692B97"/>
    <w:rsid w:val="00693D41"/>
    <w:rsid w:val="006952EB"/>
    <w:rsid w:val="00696192"/>
    <w:rsid w:val="00696325"/>
    <w:rsid w:val="006A0842"/>
    <w:rsid w:val="006A28B6"/>
    <w:rsid w:val="006A2E0F"/>
    <w:rsid w:val="006A34D2"/>
    <w:rsid w:val="006A4123"/>
    <w:rsid w:val="006A42F1"/>
    <w:rsid w:val="006A4F91"/>
    <w:rsid w:val="006A5C61"/>
    <w:rsid w:val="006A6568"/>
    <w:rsid w:val="006A7EB3"/>
    <w:rsid w:val="006B0C09"/>
    <w:rsid w:val="006B134F"/>
    <w:rsid w:val="006B19C0"/>
    <w:rsid w:val="006B2734"/>
    <w:rsid w:val="006B4E98"/>
    <w:rsid w:val="006B5557"/>
    <w:rsid w:val="006C0028"/>
    <w:rsid w:val="006C02E1"/>
    <w:rsid w:val="006C5A0F"/>
    <w:rsid w:val="006C5FFE"/>
    <w:rsid w:val="006D01E4"/>
    <w:rsid w:val="006D05CA"/>
    <w:rsid w:val="006D1556"/>
    <w:rsid w:val="006D256C"/>
    <w:rsid w:val="006D2D14"/>
    <w:rsid w:val="006D3EBC"/>
    <w:rsid w:val="006D5437"/>
    <w:rsid w:val="006D54C7"/>
    <w:rsid w:val="006D6A41"/>
    <w:rsid w:val="006E11C4"/>
    <w:rsid w:val="006E4E37"/>
    <w:rsid w:val="006E5ADF"/>
    <w:rsid w:val="006E74C8"/>
    <w:rsid w:val="006F08CB"/>
    <w:rsid w:val="006F37AB"/>
    <w:rsid w:val="006F5710"/>
    <w:rsid w:val="006F581C"/>
    <w:rsid w:val="006F71FF"/>
    <w:rsid w:val="006F752C"/>
    <w:rsid w:val="006F7CE5"/>
    <w:rsid w:val="00700786"/>
    <w:rsid w:val="007031C6"/>
    <w:rsid w:val="00704D53"/>
    <w:rsid w:val="00705FCA"/>
    <w:rsid w:val="00706120"/>
    <w:rsid w:val="0071022C"/>
    <w:rsid w:val="007110AA"/>
    <w:rsid w:val="00711A97"/>
    <w:rsid w:val="00713005"/>
    <w:rsid w:val="007139B6"/>
    <w:rsid w:val="00713EF7"/>
    <w:rsid w:val="0071640B"/>
    <w:rsid w:val="00717480"/>
    <w:rsid w:val="007175FB"/>
    <w:rsid w:val="007177B3"/>
    <w:rsid w:val="00721409"/>
    <w:rsid w:val="00722383"/>
    <w:rsid w:val="00722A34"/>
    <w:rsid w:val="00723857"/>
    <w:rsid w:val="0072523B"/>
    <w:rsid w:val="00725779"/>
    <w:rsid w:val="0072584E"/>
    <w:rsid w:val="00725DDB"/>
    <w:rsid w:val="00726D22"/>
    <w:rsid w:val="007276D0"/>
    <w:rsid w:val="00730053"/>
    <w:rsid w:val="00730680"/>
    <w:rsid w:val="007318C1"/>
    <w:rsid w:val="007331DA"/>
    <w:rsid w:val="0073438B"/>
    <w:rsid w:val="00734913"/>
    <w:rsid w:val="00736239"/>
    <w:rsid w:val="00736746"/>
    <w:rsid w:val="00740A56"/>
    <w:rsid w:val="00740CA3"/>
    <w:rsid w:val="00741999"/>
    <w:rsid w:val="00742EF3"/>
    <w:rsid w:val="00743467"/>
    <w:rsid w:val="0074358D"/>
    <w:rsid w:val="007435D0"/>
    <w:rsid w:val="00743BB8"/>
    <w:rsid w:val="00743E37"/>
    <w:rsid w:val="007471F3"/>
    <w:rsid w:val="00747B95"/>
    <w:rsid w:val="007506CA"/>
    <w:rsid w:val="00753D2C"/>
    <w:rsid w:val="00753FFB"/>
    <w:rsid w:val="00755DA6"/>
    <w:rsid w:val="00756601"/>
    <w:rsid w:val="00757C6C"/>
    <w:rsid w:val="0076035E"/>
    <w:rsid w:val="00760DAA"/>
    <w:rsid w:val="00761BD8"/>
    <w:rsid w:val="00761CB6"/>
    <w:rsid w:val="00762FEA"/>
    <w:rsid w:val="007663FE"/>
    <w:rsid w:val="00766661"/>
    <w:rsid w:val="00767EA5"/>
    <w:rsid w:val="00770E0B"/>
    <w:rsid w:val="00772B69"/>
    <w:rsid w:val="00772FC2"/>
    <w:rsid w:val="00773905"/>
    <w:rsid w:val="00774603"/>
    <w:rsid w:val="0077621B"/>
    <w:rsid w:val="007767FA"/>
    <w:rsid w:val="00777FB5"/>
    <w:rsid w:val="0078082B"/>
    <w:rsid w:val="00780AEB"/>
    <w:rsid w:val="00781168"/>
    <w:rsid w:val="00781ABD"/>
    <w:rsid w:val="0078312F"/>
    <w:rsid w:val="007856DB"/>
    <w:rsid w:val="007868C8"/>
    <w:rsid w:val="00790181"/>
    <w:rsid w:val="007914E1"/>
    <w:rsid w:val="00794157"/>
    <w:rsid w:val="00794975"/>
    <w:rsid w:val="00794AC1"/>
    <w:rsid w:val="007957CE"/>
    <w:rsid w:val="00796446"/>
    <w:rsid w:val="00797E74"/>
    <w:rsid w:val="007A12DA"/>
    <w:rsid w:val="007A1B5A"/>
    <w:rsid w:val="007A233D"/>
    <w:rsid w:val="007A27DD"/>
    <w:rsid w:val="007A2CBC"/>
    <w:rsid w:val="007A3E85"/>
    <w:rsid w:val="007A43F6"/>
    <w:rsid w:val="007A605D"/>
    <w:rsid w:val="007A64B0"/>
    <w:rsid w:val="007A6930"/>
    <w:rsid w:val="007A7E4D"/>
    <w:rsid w:val="007B3CD5"/>
    <w:rsid w:val="007B556F"/>
    <w:rsid w:val="007B626E"/>
    <w:rsid w:val="007B6591"/>
    <w:rsid w:val="007B6ED2"/>
    <w:rsid w:val="007B6FCE"/>
    <w:rsid w:val="007C06BD"/>
    <w:rsid w:val="007C144C"/>
    <w:rsid w:val="007C1899"/>
    <w:rsid w:val="007C2121"/>
    <w:rsid w:val="007C222A"/>
    <w:rsid w:val="007C27FF"/>
    <w:rsid w:val="007C2A81"/>
    <w:rsid w:val="007C3045"/>
    <w:rsid w:val="007C4A65"/>
    <w:rsid w:val="007C5C26"/>
    <w:rsid w:val="007C7E31"/>
    <w:rsid w:val="007D70C1"/>
    <w:rsid w:val="007D774E"/>
    <w:rsid w:val="007E0C43"/>
    <w:rsid w:val="007E1C1D"/>
    <w:rsid w:val="007E3C70"/>
    <w:rsid w:val="007E445C"/>
    <w:rsid w:val="007E5005"/>
    <w:rsid w:val="007E5C22"/>
    <w:rsid w:val="007E7188"/>
    <w:rsid w:val="007F0DF9"/>
    <w:rsid w:val="007F19EC"/>
    <w:rsid w:val="007F335E"/>
    <w:rsid w:val="007F3449"/>
    <w:rsid w:val="007F40BA"/>
    <w:rsid w:val="007F43EE"/>
    <w:rsid w:val="007F797D"/>
    <w:rsid w:val="00803647"/>
    <w:rsid w:val="0080369F"/>
    <w:rsid w:val="0080558D"/>
    <w:rsid w:val="00805A4C"/>
    <w:rsid w:val="008074EE"/>
    <w:rsid w:val="00807973"/>
    <w:rsid w:val="00807F6A"/>
    <w:rsid w:val="0081199B"/>
    <w:rsid w:val="00812BAB"/>
    <w:rsid w:val="008138A8"/>
    <w:rsid w:val="00815EBB"/>
    <w:rsid w:val="00816473"/>
    <w:rsid w:val="00816D4E"/>
    <w:rsid w:val="00817192"/>
    <w:rsid w:val="00820B83"/>
    <w:rsid w:val="00824A1C"/>
    <w:rsid w:val="00824F16"/>
    <w:rsid w:val="00826C36"/>
    <w:rsid w:val="00827544"/>
    <w:rsid w:val="00832756"/>
    <w:rsid w:val="008358C1"/>
    <w:rsid w:val="00837128"/>
    <w:rsid w:val="008379DE"/>
    <w:rsid w:val="00837A81"/>
    <w:rsid w:val="008401E0"/>
    <w:rsid w:val="008405A6"/>
    <w:rsid w:val="00841D58"/>
    <w:rsid w:val="00842812"/>
    <w:rsid w:val="00844041"/>
    <w:rsid w:val="00844237"/>
    <w:rsid w:val="00845A1B"/>
    <w:rsid w:val="0084723B"/>
    <w:rsid w:val="008479AC"/>
    <w:rsid w:val="00847D3A"/>
    <w:rsid w:val="00850C12"/>
    <w:rsid w:val="00852793"/>
    <w:rsid w:val="0085498D"/>
    <w:rsid w:val="00855211"/>
    <w:rsid w:val="00857F52"/>
    <w:rsid w:val="00863F75"/>
    <w:rsid w:val="0086589B"/>
    <w:rsid w:val="00865A35"/>
    <w:rsid w:val="008672BF"/>
    <w:rsid w:val="008701B1"/>
    <w:rsid w:val="00870680"/>
    <w:rsid w:val="00870F77"/>
    <w:rsid w:val="00871145"/>
    <w:rsid w:val="00872C26"/>
    <w:rsid w:val="00874A3F"/>
    <w:rsid w:val="00874EAB"/>
    <w:rsid w:val="008779E4"/>
    <w:rsid w:val="00877F98"/>
    <w:rsid w:val="00880387"/>
    <w:rsid w:val="0088154F"/>
    <w:rsid w:val="00882666"/>
    <w:rsid w:val="008853DD"/>
    <w:rsid w:val="00890389"/>
    <w:rsid w:val="00892447"/>
    <w:rsid w:val="008952C2"/>
    <w:rsid w:val="008955A5"/>
    <w:rsid w:val="00895911"/>
    <w:rsid w:val="008A0F3C"/>
    <w:rsid w:val="008A1A3B"/>
    <w:rsid w:val="008A2FAF"/>
    <w:rsid w:val="008A400F"/>
    <w:rsid w:val="008A4616"/>
    <w:rsid w:val="008A4E23"/>
    <w:rsid w:val="008A5162"/>
    <w:rsid w:val="008B2361"/>
    <w:rsid w:val="008B4F27"/>
    <w:rsid w:val="008B5527"/>
    <w:rsid w:val="008B735A"/>
    <w:rsid w:val="008C06E0"/>
    <w:rsid w:val="008C1B20"/>
    <w:rsid w:val="008C6033"/>
    <w:rsid w:val="008D0EAE"/>
    <w:rsid w:val="008D117B"/>
    <w:rsid w:val="008D2832"/>
    <w:rsid w:val="008D3786"/>
    <w:rsid w:val="008D6BD8"/>
    <w:rsid w:val="008E025D"/>
    <w:rsid w:val="008E0E61"/>
    <w:rsid w:val="008E1368"/>
    <w:rsid w:val="008E490E"/>
    <w:rsid w:val="008E4CF7"/>
    <w:rsid w:val="008E5DD4"/>
    <w:rsid w:val="008E73EA"/>
    <w:rsid w:val="008F0CD9"/>
    <w:rsid w:val="008F0D22"/>
    <w:rsid w:val="008F6850"/>
    <w:rsid w:val="008F69CB"/>
    <w:rsid w:val="009006B5"/>
    <w:rsid w:val="0090097C"/>
    <w:rsid w:val="00903191"/>
    <w:rsid w:val="0090356F"/>
    <w:rsid w:val="00903F83"/>
    <w:rsid w:val="009048F0"/>
    <w:rsid w:val="00904D09"/>
    <w:rsid w:val="009064C5"/>
    <w:rsid w:val="009066C7"/>
    <w:rsid w:val="009070E4"/>
    <w:rsid w:val="0090798C"/>
    <w:rsid w:val="009106A9"/>
    <w:rsid w:val="00911BD5"/>
    <w:rsid w:val="00912088"/>
    <w:rsid w:val="00912881"/>
    <w:rsid w:val="009168F3"/>
    <w:rsid w:val="00917555"/>
    <w:rsid w:val="00920B00"/>
    <w:rsid w:val="00920F06"/>
    <w:rsid w:val="009219CA"/>
    <w:rsid w:val="0092262E"/>
    <w:rsid w:val="00924027"/>
    <w:rsid w:val="009248DD"/>
    <w:rsid w:val="00924AA1"/>
    <w:rsid w:val="00924E48"/>
    <w:rsid w:val="0092657C"/>
    <w:rsid w:val="00926999"/>
    <w:rsid w:val="00927EB7"/>
    <w:rsid w:val="009305CB"/>
    <w:rsid w:val="0093067C"/>
    <w:rsid w:val="0093081D"/>
    <w:rsid w:val="009317C0"/>
    <w:rsid w:val="00931C63"/>
    <w:rsid w:val="00931CC6"/>
    <w:rsid w:val="00934731"/>
    <w:rsid w:val="009364F8"/>
    <w:rsid w:val="00940C5A"/>
    <w:rsid w:val="00943BA7"/>
    <w:rsid w:val="00943BD0"/>
    <w:rsid w:val="00944E33"/>
    <w:rsid w:val="00947F8A"/>
    <w:rsid w:val="009500E5"/>
    <w:rsid w:val="0095051E"/>
    <w:rsid w:val="00951C6C"/>
    <w:rsid w:val="0095501A"/>
    <w:rsid w:val="009551DB"/>
    <w:rsid w:val="00955287"/>
    <w:rsid w:val="0096028D"/>
    <w:rsid w:val="009609DD"/>
    <w:rsid w:val="00960A9F"/>
    <w:rsid w:val="00961E4D"/>
    <w:rsid w:val="009620D1"/>
    <w:rsid w:val="009630DD"/>
    <w:rsid w:val="00963A46"/>
    <w:rsid w:val="009654C7"/>
    <w:rsid w:val="009703AC"/>
    <w:rsid w:val="00970779"/>
    <w:rsid w:val="00971F06"/>
    <w:rsid w:val="0097225B"/>
    <w:rsid w:val="009722FA"/>
    <w:rsid w:val="00974343"/>
    <w:rsid w:val="00974BB3"/>
    <w:rsid w:val="00974D53"/>
    <w:rsid w:val="009755E8"/>
    <w:rsid w:val="00977C10"/>
    <w:rsid w:val="009800E0"/>
    <w:rsid w:val="0098062B"/>
    <w:rsid w:val="009818A5"/>
    <w:rsid w:val="00981A26"/>
    <w:rsid w:val="00983B81"/>
    <w:rsid w:val="00985815"/>
    <w:rsid w:val="00985A12"/>
    <w:rsid w:val="00985C4D"/>
    <w:rsid w:val="00987157"/>
    <w:rsid w:val="009906A5"/>
    <w:rsid w:val="00993B01"/>
    <w:rsid w:val="009941BA"/>
    <w:rsid w:val="00994BEF"/>
    <w:rsid w:val="00994BFD"/>
    <w:rsid w:val="00994C52"/>
    <w:rsid w:val="009A0680"/>
    <w:rsid w:val="009A26D0"/>
    <w:rsid w:val="009A29F7"/>
    <w:rsid w:val="009A3B30"/>
    <w:rsid w:val="009A5BF3"/>
    <w:rsid w:val="009A5D7C"/>
    <w:rsid w:val="009A5DD9"/>
    <w:rsid w:val="009A6222"/>
    <w:rsid w:val="009A6418"/>
    <w:rsid w:val="009A6DF3"/>
    <w:rsid w:val="009B0381"/>
    <w:rsid w:val="009B1287"/>
    <w:rsid w:val="009B1AE0"/>
    <w:rsid w:val="009B26A8"/>
    <w:rsid w:val="009B28C0"/>
    <w:rsid w:val="009B2B41"/>
    <w:rsid w:val="009B2EE9"/>
    <w:rsid w:val="009B3445"/>
    <w:rsid w:val="009B414F"/>
    <w:rsid w:val="009B4555"/>
    <w:rsid w:val="009B49CF"/>
    <w:rsid w:val="009B4FA1"/>
    <w:rsid w:val="009B66DA"/>
    <w:rsid w:val="009B6B9A"/>
    <w:rsid w:val="009B6C87"/>
    <w:rsid w:val="009B6CB5"/>
    <w:rsid w:val="009B6EEA"/>
    <w:rsid w:val="009B79D8"/>
    <w:rsid w:val="009C03D3"/>
    <w:rsid w:val="009C1265"/>
    <w:rsid w:val="009C153E"/>
    <w:rsid w:val="009C314F"/>
    <w:rsid w:val="009C5063"/>
    <w:rsid w:val="009C6156"/>
    <w:rsid w:val="009C642A"/>
    <w:rsid w:val="009C7010"/>
    <w:rsid w:val="009C78C0"/>
    <w:rsid w:val="009C7916"/>
    <w:rsid w:val="009D19B8"/>
    <w:rsid w:val="009D1F17"/>
    <w:rsid w:val="009D28A6"/>
    <w:rsid w:val="009D476B"/>
    <w:rsid w:val="009D484A"/>
    <w:rsid w:val="009D4C74"/>
    <w:rsid w:val="009D5ADF"/>
    <w:rsid w:val="009D6051"/>
    <w:rsid w:val="009D7CCA"/>
    <w:rsid w:val="009D7D08"/>
    <w:rsid w:val="009D7DAF"/>
    <w:rsid w:val="009D7EBC"/>
    <w:rsid w:val="009E0B06"/>
    <w:rsid w:val="009E192E"/>
    <w:rsid w:val="009E2B45"/>
    <w:rsid w:val="009E2F75"/>
    <w:rsid w:val="009E2FEB"/>
    <w:rsid w:val="009E3246"/>
    <w:rsid w:val="009E3700"/>
    <w:rsid w:val="009E5310"/>
    <w:rsid w:val="009E5A41"/>
    <w:rsid w:val="009E5E4D"/>
    <w:rsid w:val="009E6FD3"/>
    <w:rsid w:val="009E7C9D"/>
    <w:rsid w:val="009F0C38"/>
    <w:rsid w:val="009F494B"/>
    <w:rsid w:val="009F5352"/>
    <w:rsid w:val="009F553C"/>
    <w:rsid w:val="009F72E8"/>
    <w:rsid w:val="009F7CFE"/>
    <w:rsid w:val="00A0098F"/>
    <w:rsid w:val="00A03B51"/>
    <w:rsid w:val="00A05378"/>
    <w:rsid w:val="00A105E7"/>
    <w:rsid w:val="00A1127E"/>
    <w:rsid w:val="00A11647"/>
    <w:rsid w:val="00A12604"/>
    <w:rsid w:val="00A12C4F"/>
    <w:rsid w:val="00A143A9"/>
    <w:rsid w:val="00A17FA7"/>
    <w:rsid w:val="00A21E72"/>
    <w:rsid w:val="00A22AFF"/>
    <w:rsid w:val="00A2567D"/>
    <w:rsid w:val="00A264D2"/>
    <w:rsid w:val="00A30ED1"/>
    <w:rsid w:val="00A33C88"/>
    <w:rsid w:val="00A34043"/>
    <w:rsid w:val="00A36A5D"/>
    <w:rsid w:val="00A36A96"/>
    <w:rsid w:val="00A37574"/>
    <w:rsid w:val="00A40E9A"/>
    <w:rsid w:val="00A43E37"/>
    <w:rsid w:val="00A44200"/>
    <w:rsid w:val="00A44773"/>
    <w:rsid w:val="00A45808"/>
    <w:rsid w:val="00A46F49"/>
    <w:rsid w:val="00A47751"/>
    <w:rsid w:val="00A51E40"/>
    <w:rsid w:val="00A53BD5"/>
    <w:rsid w:val="00A54291"/>
    <w:rsid w:val="00A543A6"/>
    <w:rsid w:val="00A547E6"/>
    <w:rsid w:val="00A55449"/>
    <w:rsid w:val="00A60DCC"/>
    <w:rsid w:val="00A612FF"/>
    <w:rsid w:val="00A61E23"/>
    <w:rsid w:val="00A62360"/>
    <w:rsid w:val="00A63C68"/>
    <w:rsid w:val="00A64A16"/>
    <w:rsid w:val="00A66011"/>
    <w:rsid w:val="00A66035"/>
    <w:rsid w:val="00A6672F"/>
    <w:rsid w:val="00A676EB"/>
    <w:rsid w:val="00A67FFB"/>
    <w:rsid w:val="00A7025F"/>
    <w:rsid w:val="00A706AA"/>
    <w:rsid w:val="00A7078E"/>
    <w:rsid w:val="00A724E3"/>
    <w:rsid w:val="00A73B03"/>
    <w:rsid w:val="00A75094"/>
    <w:rsid w:val="00A775B1"/>
    <w:rsid w:val="00A776B0"/>
    <w:rsid w:val="00A776E6"/>
    <w:rsid w:val="00A77C32"/>
    <w:rsid w:val="00A80BDE"/>
    <w:rsid w:val="00A81AC6"/>
    <w:rsid w:val="00A840E2"/>
    <w:rsid w:val="00A90E58"/>
    <w:rsid w:val="00A91214"/>
    <w:rsid w:val="00A91E73"/>
    <w:rsid w:val="00A92074"/>
    <w:rsid w:val="00A92876"/>
    <w:rsid w:val="00A932CF"/>
    <w:rsid w:val="00A94F72"/>
    <w:rsid w:val="00A95091"/>
    <w:rsid w:val="00A95795"/>
    <w:rsid w:val="00A96774"/>
    <w:rsid w:val="00A9693A"/>
    <w:rsid w:val="00AA075D"/>
    <w:rsid w:val="00AA2460"/>
    <w:rsid w:val="00AA2469"/>
    <w:rsid w:val="00AA3737"/>
    <w:rsid w:val="00AA72AE"/>
    <w:rsid w:val="00AB1489"/>
    <w:rsid w:val="00AB1D30"/>
    <w:rsid w:val="00AB1F85"/>
    <w:rsid w:val="00AB2277"/>
    <w:rsid w:val="00AB29B5"/>
    <w:rsid w:val="00AB2BD9"/>
    <w:rsid w:val="00AB37B9"/>
    <w:rsid w:val="00AB3BFA"/>
    <w:rsid w:val="00AB40B4"/>
    <w:rsid w:val="00AB4563"/>
    <w:rsid w:val="00AB4BD8"/>
    <w:rsid w:val="00AC0669"/>
    <w:rsid w:val="00AC0AA8"/>
    <w:rsid w:val="00AC1DE7"/>
    <w:rsid w:val="00AC31A2"/>
    <w:rsid w:val="00AC3C2E"/>
    <w:rsid w:val="00AD084D"/>
    <w:rsid w:val="00AD1297"/>
    <w:rsid w:val="00AD387A"/>
    <w:rsid w:val="00AD3B34"/>
    <w:rsid w:val="00AD3C37"/>
    <w:rsid w:val="00AD4862"/>
    <w:rsid w:val="00AD4A32"/>
    <w:rsid w:val="00AD5802"/>
    <w:rsid w:val="00AD68E6"/>
    <w:rsid w:val="00AD7DEA"/>
    <w:rsid w:val="00AE0CD5"/>
    <w:rsid w:val="00AE2AB6"/>
    <w:rsid w:val="00AE3703"/>
    <w:rsid w:val="00AE4C3D"/>
    <w:rsid w:val="00AE556F"/>
    <w:rsid w:val="00AE5A86"/>
    <w:rsid w:val="00AE5F34"/>
    <w:rsid w:val="00AE6CC7"/>
    <w:rsid w:val="00AE723F"/>
    <w:rsid w:val="00AE75DD"/>
    <w:rsid w:val="00AF0BC5"/>
    <w:rsid w:val="00AF2586"/>
    <w:rsid w:val="00AF398E"/>
    <w:rsid w:val="00AF4162"/>
    <w:rsid w:val="00AF5194"/>
    <w:rsid w:val="00AF6AB1"/>
    <w:rsid w:val="00B01CC9"/>
    <w:rsid w:val="00B0320D"/>
    <w:rsid w:val="00B0446A"/>
    <w:rsid w:val="00B057B5"/>
    <w:rsid w:val="00B06B93"/>
    <w:rsid w:val="00B06D38"/>
    <w:rsid w:val="00B07E49"/>
    <w:rsid w:val="00B07EA4"/>
    <w:rsid w:val="00B07EFE"/>
    <w:rsid w:val="00B10290"/>
    <w:rsid w:val="00B1075D"/>
    <w:rsid w:val="00B110A7"/>
    <w:rsid w:val="00B11AE6"/>
    <w:rsid w:val="00B11C46"/>
    <w:rsid w:val="00B11FB7"/>
    <w:rsid w:val="00B125C2"/>
    <w:rsid w:val="00B136C7"/>
    <w:rsid w:val="00B14235"/>
    <w:rsid w:val="00B15458"/>
    <w:rsid w:val="00B15BE2"/>
    <w:rsid w:val="00B162FA"/>
    <w:rsid w:val="00B163B9"/>
    <w:rsid w:val="00B16757"/>
    <w:rsid w:val="00B16801"/>
    <w:rsid w:val="00B17F09"/>
    <w:rsid w:val="00B20481"/>
    <w:rsid w:val="00B213B5"/>
    <w:rsid w:val="00B21BDC"/>
    <w:rsid w:val="00B22478"/>
    <w:rsid w:val="00B23520"/>
    <w:rsid w:val="00B23AE9"/>
    <w:rsid w:val="00B24C52"/>
    <w:rsid w:val="00B25107"/>
    <w:rsid w:val="00B26E49"/>
    <w:rsid w:val="00B2731C"/>
    <w:rsid w:val="00B27433"/>
    <w:rsid w:val="00B300A4"/>
    <w:rsid w:val="00B316E4"/>
    <w:rsid w:val="00B3315F"/>
    <w:rsid w:val="00B34545"/>
    <w:rsid w:val="00B3486C"/>
    <w:rsid w:val="00B35083"/>
    <w:rsid w:val="00B35260"/>
    <w:rsid w:val="00B35F5E"/>
    <w:rsid w:val="00B36C5F"/>
    <w:rsid w:val="00B4003E"/>
    <w:rsid w:val="00B40118"/>
    <w:rsid w:val="00B4023A"/>
    <w:rsid w:val="00B421F5"/>
    <w:rsid w:val="00B4240E"/>
    <w:rsid w:val="00B42A4D"/>
    <w:rsid w:val="00B42CD4"/>
    <w:rsid w:val="00B4424A"/>
    <w:rsid w:val="00B44CB0"/>
    <w:rsid w:val="00B4508D"/>
    <w:rsid w:val="00B46616"/>
    <w:rsid w:val="00B466AE"/>
    <w:rsid w:val="00B46A9F"/>
    <w:rsid w:val="00B5027A"/>
    <w:rsid w:val="00B507E5"/>
    <w:rsid w:val="00B50C63"/>
    <w:rsid w:val="00B53099"/>
    <w:rsid w:val="00B5457B"/>
    <w:rsid w:val="00B601F6"/>
    <w:rsid w:val="00B60C07"/>
    <w:rsid w:val="00B622AB"/>
    <w:rsid w:val="00B6284E"/>
    <w:rsid w:val="00B648EA"/>
    <w:rsid w:val="00B66E57"/>
    <w:rsid w:val="00B717BC"/>
    <w:rsid w:val="00B72778"/>
    <w:rsid w:val="00B7337E"/>
    <w:rsid w:val="00B748B4"/>
    <w:rsid w:val="00B80006"/>
    <w:rsid w:val="00B8163F"/>
    <w:rsid w:val="00B819BE"/>
    <w:rsid w:val="00B81D17"/>
    <w:rsid w:val="00B82DDB"/>
    <w:rsid w:val="00B833CD"/>
    <w:rsid w:val="00B845DD"/>
    <w:rsid w:val="00B8557D"/>
    <w:rsid w:val="00B914D1"/>
    <w:rsid w:val="00B93EC0"/>
    <w:rsid w:val="00B95F7A"/>
    <w:rsid w:val="00B96E82"/>
    <w:rsid w:val="00BA180E"/>
    <w:rsid w:val="00BA294A"/>
    <w:rsid w:val="00BA3E20"/>
    <w:rsid w:val="00BA49D3"/>
    <w:rsid w:val="00BA5C8A"/>
    <w:rsid w:val="00BA5F53"/>
    <w:rsid w:val="00BA6D29"/>
    <w:rsid w:val="00BA6EA8"/>
    <w:rsid w:val="00BB075E"/>
    <w:rsid w:val="00BB0A41"/>
    <w:rsid w:val="00BB1D5C"/>
    <w:rsid w:val="00BB47DD"/>
    <w:rsid w:val="00BB5877"/>
    <w:rsid w:val="00BB65BB"/>
    <w:rsid w:val="00BB73DE"/>
    <w:rsid w:val="00BC0EC1"/>
    <w:rsid w:val="00BC0F6D"/>
    <w:rsid w:val="00BC18CE"/>
    <w:rsid w:val="00BC18F8"/>
    <w:rsid w:val="00BC2600"/>
    <w:rsid w:val="00BC3838"/>
    <w:rsid w:val="00BC4937"/>
    <w:rsid w:val="00BC6E1B"/>
    <w:rsid w:val="00BC7231"/>
    <w:rsid w:val="00BC73BE"/>
    <w:rsid w:val="00BC7808"/>
    <w:rsid w:val="00BC7D1C"/>
    <w:rsid w:val="00BC7EDB"/>
    <w:rsid w:val="00BD1A64"/>
    <w:rsid w:val="00BD219E"/>
    <w:rsid w:val="00BD2D97"/>
    <w:rsid w:val="00BD2F6E"/>
    <w:rsid w:val="00BD4EA5"/>
    <w:rsid w:val="00BD5EE2"/>
    <w:rsid w:val="00BD7126"/>
    <w:rsid w:val="00BE2FA4"/>
    <w:rsid w:val="00BE331B"/>
    <w:rsid w:val="00BE34F7"/>
    <w:rsid w:val="00BE4776"/>
    <w:rsid w:val="00BE5131"/>
    <w:rsid w:val="00BE5839"/>
    <w:rsid w:val="00BE5D08"/>
    <w:rsid w:val="00BE5FE4"/>
    <w:rsid w:val="00BF0234"/>
    <w:rsid w:val="00BF1DD1"/>
    <w:rsid w:val="00BF277E"/>
    <w:rsid w:val="00BF4196"/>
    <w:rsid w:val="00BF4E65"/>
    <w:rsid w:val="00BF536A"/>
    <w:rsid w:val="00BF643D"/>
    <w:rsid w:val="00C0065A"/>
    <w:rsid w:val="00C009B7"/>
    <w:rsid w:val="00C01B3C"/>
    <w:rsid w:val="00C04BB1"/>
    <w:rsid w:val="00C067CA"/>
    <w:rsid w:val="00C06C13"/>
    <w:rsid w:val="00C06C2F"/>
    <w:rsid w:val="00C105DA"/>
    <w:rsid w:val="00C12666"/>
    <w:rsid w:val="00C12E6C"/>
    <w:rsid w:val="00C157B4"/>
    <w:rsid w:val="00C1680B"/>
    <w:rsid w:val="00C16876"/>
    <w:rsid w:val="00C17797"/>
    <w:rsid w:val="00C23698"/>
    <w:rsid w:val="00C239A8"/>
    <w:rsid w:val="00C23D1F"/>
    <w:rsid w:val="00C25686"/>
    <w:rsid w:val="00C316F0"/>
    <w:rsid w:val="00C31A99"/>
    <w:rsid w:val="00C32AE4"/>
    <w:rsid w:val="00C32B9F"/>
    <w:rsid w:val="00C34878"/>
    <w:rsid w:val="00C34D3A"/>
    <w:rsid w:val="00C35B6A"/>
    <w:rsid w:val="00C361B4"/>
    <w:rsid w:val="00C3648D"/>
    <w:rsid w:val="00C40941"/>
    <w:rsid w:val="00C4280F"/>
    <w:rsid w:val="00C43EA5"/>
    <w:rsid w:val="00C47509"/>
    <w:rsid w:val="00C47631"/>
    <w:rsid w:val="00C47BEC"/>
    <w:rsid w:val="00C47D4C"/>
    <w:rsid w:val="00C505DB"/>
    <w:rsid w:val="00C52D27"/>
    <w:rsid w:val="00C53954"/>
    <w:rsid w:val="00C5428D"/>
    <w:rsid w:val="00C54BC3"/>
    <w:rsid w:val="00C54D7D"/>
    <w:rsid w:val="00C55D26"/>
    <w:rsid w:val="00C56D8C"/>
    <w:rsid w:val="00C56F27"/>
    <w:rsid w:val="00C57693"/>
    <w:rsid w:val="00C62A2B"/>
    <w:rsid w:val="00C63E32"/>
    <w:rsid w:val="00C6566C"/>
    <w:rsid w:val="00C6602E"/>
    <w:rsid w:val="00C6646A"/>
    <w:rsid w:val="00C66764"/>
    <w:rsid w:val="00C66C28"/>
    <w:rsid w:val="00C66F25"/>
    <w:rsid w:val="00C7037B"/>
    <w:rsid w:val="00C714C9"/>
    <w:rsid w:val="00C721E2"/>
    <w:rsid w:val="00C72C75"/>
    <w:rsid w:val="00C72D7D"/>
    <w:rsid w:val="00C75B97"/>
    <w:rsid w:val="00C75CD1"/>
    <w:rsid w:val="00C7666A"/>
    <w:rsid w:val="00C80B9A"/>
    <w:rsid w:val="00C8152B"/>
    <w:rsid w:val="00C81F20"/>
    <w:rsid w:val="00C82920"/>
    <w:rsid w:val="00C83E60"/>
    <w:rsid w:val="00C87033"/>
    <w:rsid w:val="00C87F42"/>
    <w:rsid w:val="00C905BE"/>
    <w:rsid w:val="00C921A1"/>
    <w:rsid w:val="00C9332B"/>
    <w:rsid w:val="00C93A03"/>
    <w:rsid w:val="00C954A1"/>
    <w:rsid w:val="00C95CDB"/>
    <w:rsid w:val="00C96C59"/>
    <w:rsid w:val="00C97017"/>
    <w:rsid w:val="00CA31E2"/>
    <w:rsid w:val="00CA32BE"/>
    <w:rsid w:val="00CA46A9"/>
    <w:rsid w:val="00CA4C69"/>
    <w:rsid w:val="00CB0F28"/>
    <w:rsid w:val="00CB4623"/>
    <w:rsid w:val="00CB4C8D"/>
    <w:rsid w:val="00CB4CBC"/>
    <w:rsid w:val="00CB5985"/>
    <w:rsid w:val="00CB6933"/>
    <w:rsid w:val="00CB7A4A"/>
    <w:rsid w:val="00CB7EBE"/>
    <w:rsid w:val="00CC0E30"/>
    <w:rsid w:val="00CC5C99"/>
    <w:rsid w:val="00CD005E"/>
    <w:rsid w:val="00CD13E7"/>
    <w:rsid w:val="00CD183C"/>
    <w:rsid w:val="00CD1E28"/>
    <w:rsid w:val="00CD1FA7"/>
    <w:rsid w:val="00CD224A"/>
    <w:rsid w:val="00CD28D3"/>
    <w:rsid w:val="00CD3319"/>
    <w:rsid w:val="00CD47AA"/>
    <w:rsid w:val="00CD5BC4"/>
    <w:rsid w:val="00CD5D0E"/>
    <w:rsid w:val="00CD6DB3"/>
    <w:rsid w:val="00CD7178"/>
    <w:rsid w:val="00CD76D3"/>
    <w:rsid w:val="00CE1D28"/>
    <w:rsid w:val="00CE2A55"/>
    <w:rsid w:val="00CE2FAA"/>
    <w:rsid w:val="00CE6607"/>
    <w:rsid w:val="00CE69E9"/>
    <w:rsid w:val="00CF1620"/>
    <w:rsid w:val="00CF1659"/>
    <w:rsid w:val="00CF21A3"/>
    <w:rsid w:val="00CF2757"/>
    <w:rsid w:val="00CF2A97"/>
    <w:rsid w:val="00CF3496"/>
    <w:rsid w:val="00CF507E"/>
    <w:rsid w:val="00CF6826"/>
    <w:rsid w:val="00CF6E2C"/>
    <w:rsid w:val="00CF778A"/>
    <w:rsid w:val="00D00E4B"/>
    <w:rsid w:val="00D03C6C"/>
    <w:rsid w:val="00D05619"/>
    <w:rsid w:val="00D06642"/>
    <w:rsid w:val="00D06952"/>
    <w:rsid w:val="00D101B1"/>
    <w:rsid w:val="00D14CD8"/>
    <w:rsid w:val="00D14F8C"/>
    <w:rsid w:val="00D16DBC"/>
    <w:rsid w:val="00D20079"/>
    <w:rsid w:val="00D20098"/>
    <w:rsid w:val="00D21140"/>
    <w:rsid w:val="00D22235"/>
    <w:rsid w:val="00D224E0"/>
    <w:rsid w:val="00D23492"/>
    <w:rsid w:val="00D27EFD"/>
    <w:rsid w:val="00D30116"/>
    <w:rsid w:val="00D30966"/>
    <w:rsid w:val="00D30BB6"/>
    <w:rsid w:val="00D30FFC"/>
    <w:rsid w:val="00D31AC9"/>
    <w:rsid w:val="00D32E80"/>
    <w:rsid w:val="00D33961"/>
    <w:rsid w:val="00D34187"/>
    <w:rsid w:val="00D34F0B"/>
    <w:rsid w:val="00D35F93"/>
    <w:rsid w:val="00D36F35"/>
    <w:rsid w:val="00D377CD"/>
    <w:rsid w:val="00D41AA7"/>
    <w:rsid w:val="00D421A8"/>
    <w:rsid w:val="00D4240A"/>
    <w:rsid w:val="00D44C9E"/>
    <w:rsid w:val="00D4643B"/>
    <w:rsid w:val="00D46BC8"/>
    <w:rsid w:val="00D47487"/>
    <w:rsid w:val="00D47680"/>
    <w:rsid w:val="00D50041"/>
    <w:rsid w:val="00D507F4"/>
    <w:rsid w:val="00D50971"/>
    <w:rsid w:val="00D50C79"/>
    <w:rsid w:val="00D50D76"/>
    <w:rsid w:val="00D51EEB"/>
    <w:rsid w:val="00D53ECC"/>
    <w:rsid w:val="00D56609"/>
    <w:rsid w:val="00D5734C"/>
    <w:rsid w:val="00D57CAE"/>
    <w:rsid w:val="00D57E5D"/>
    <w:rsid w:val="00D60116"/>
    <w:rsid w:val="00D607ED"/>
    <w:rsid w:val="00D6085B"/>
    <w:rsid w:val="00D60867"/>
    <w:rsid w:val="00D62EC5"/>
    <w:rsid w:val="00D6410F"/>
    <w:rsid w:val="00D64742"/>
    <w:rsid w:val="00D65F78"/>
    <w:rsid w:val="00D66110"/>
    <w:rsid w:val="00D7248C"/>
    <w:rsid w:val="00D72526"/>
    <w:rsid w:val="00D72C70"/>
    <w:rsid w:val="00D72CE2"/>
    <w:rsid w:val="00D73DE4"/>
    <w:rsid w:val="00D75347"/>
    <w:rsid w:val="00D75929"/>
    <w:rsid w:val="00D75E36"/>
    <w:rsid w:val="00D76558"/>
    <w:rsid w:val="00D8078E"/>
    <w:rsid w:val="00D81AF5"/>
    <w:rsid w:val="00D82468"/>
    <w:rsid w:val="00D84728"/>
    <w:rsid w:val="00D85261"/>
    <w:rsid w:val="00D85E36"/>
    <w:rsid w:val="00D8689E"/>
    <w:rsid w:val="00D9076D"/>
    <w:rsid w:val="00D90A69"/>
    <w:rsid w:val="00D91884"/>
    <w:rsid w:val="00D91D7D"/>
    <w:rsid w:val="00D93B63"/>
    <w:rsid w:val="00D93F51"/>
    <w:rsid w:val="00D96B26"/>
    <w:rsid w:val="00D96D42"/>
    <w:rsid w:val="00DA026C"/>
    <w:rsid w:val="00DA182E"/>
    <w:rsid w:val="00DA1D1E"/>
    <w:rsid w:val="00DA23D7"/>
    <w:rsid w:val="00DA2C34"/>
    <w:rsid w:val="00DA2D7A"/>
    <w:rsid w:val="00DA3926"/>
    <w:rsid w:val="00DA428B"/>
    <w:rsid w:val="00DA5905"/>
    <w:rsid w:val="00DA64BC"/>
    <w:rsid w:val="00DA658B"/>
    <w:rsid w:val="00DA6BE6"/>
    <w:rsid w:val="00DA7E5A"/>
    <w:rsid w:val="00DB4F7E"/>
    <w:rsid w:val="00DB5C98"/>
    <w:rsid w:val="00DB663C"/>
    <w:rsid w:val="00DB66F8"/>
    <w:rsid w:val="00DB7515"/>
    <w:rsid w:val="00DC01A7"/>
    <w:rsid w:val="00DC0504"/>
    <w:rsid w:val="00DC09ED"/>
    <w:rsid w:val="00DC1618"/>
    <w:rsid w:val="00DC1DF8"/>
    <w:rsid w:val="00DC3D16"/>
    <w:rsid w:val="00DC40D6"/>
    <w:rsid w:val="00DC4708"/>
    <w:rsid w:val="00DC4E4B"/>
    <w:rsid w:val="00DC51B1"/>
    <w:rsid w:val="00DC5390"/>
    <w:rsid w:val="00DC58A9"/>
    <w:rsid w:val="00DC5EA8"/>
    <w:rsid w:val="00DD019D"/>
    <w:rsid w:val="00DD0588"/>
    <w:rsid w:val="00DD0CDF"/>
    <w:rsid w:val="00DD1B69"/>
    <w:rsid w:val="00DD2CCB"/>
    <w:rsid w:val="00DD514B"/>
    <w:rsid w:val="00DD6CAF"/>
    <w:rsid w:val="00DE2CFB"/>
    <w:rsid w:val="00DE43FF"/>
    <w:rsid w:val="00DE4686"/>
    <w:rsid w:val="00DE4816"/>
    <w:rsid w:val="00DE77FB"/>
    <w:rsid w:val="00DE7C6C"/>
    <w:rsid w:val="00DF07E6"/>
    <w:rsid w:val="00DF2F99"/>
    <w:rsid w:val="00DF3F17"/>
    <w:rsid w:val="00DF6C19"/>
    <w:rsid w:val="00E00573"/>
    <w:rsid w:val="00E006A0"/>
    <w:rsid w:val="00E01E1C"/>
    <w:rsid w:val="00E02736"/>
    <w:rsid w:val="00E03231"/>
    <w:rsid w:val="00E04FDF"/>
    <w:rsid w:val="00E0512D"/>
    <w:rsid w:val="00E051D9"/>
    <w:rsid w:val="00E05770"/>
    <w:rsid w:val="00E05B7C"/>
    <w:rsid w:val="00E06B04"/>
    <w:rsid w:val="00E07EFF"/>
    <w:rsid w:val="00E12456"/>
    <w:rsid w:val="00E169FC"/>
    <w:rsid w:val="00E1710A"/>
    <w:rsid w:val="00E17546"/>
    <w:rsid w:val="00E1756E"/>
    <w:rsid w:val="00E20AAC"/>
    <w:rsid w:val="00E22946"/>
    <w:rsid w:val="00E2347D"/>
    <w:rsid w:val="00E23533"/>
    <w:rsid w:val="00E235B9"/>
    <w:rsid w:val="00E23753"/>
    <w:rsid w:val="00E23977"/>
    <w:rsid w:val="00E23DB5"/>
    <w:rsid w:val="00E24E55"/>
    <w:rsid w:val="00E2596E"/>
    <w:rsid w:val="00E25E0F"/>
    <w:rsid w:val="00E26EEC"/>
    <w:rsid w:val="00E304EE"/>
    <w:rsid w:val="00E32317"/>
    <w:rsid w:val="00E324A5"/>
    <w:rsid w:val="00E328E3"/>
    <w:rsid w:val="00E32C15"/>
    <w:rsid w:val="00E32D88"/>
    <w:rsid w:val="00E3373E"/>
    <w:rsid w:val="00E341A9"/>
    <w:rsid w:val="00E342B0"/>
    <w:rsid w:val="00E343A2"/>
    <w:rsid w:val="00E352E0"/>
    <w:rsid w:val="00E352E5"/>
    <w:rsid w:val="00E354AD"/>
    <w:rsid w:val="00E3599D"/>
    <w:rsid w:val="00E36FB4"/>
    <w:rsid w:val="00E40596"/>
    <w:rsid w:val="00E41D41"/>
    <w:rsid w:val="00E41ECE"/>
    <w:rsid w:val="00E433F1"/>
    <w:rsid w:val="00E4377A"/>
    <w:rsid w:val="00E4477E"/>
    <w:rsid w:val="00E45070"/>
    <w:rsid w:val="00E46017"/>
    <w:rsid w:val="00E470A9"/>
    <w:rsid w:val="00E47189"/>
    <w:rsid w:val="00E47A05"/>
    <w:rsid w:val="00E47C42"/>
    <w:rsid w:val="00E52AF7"/>
    <w:rsid w:val="00E52F25"/>
    <w:rsid w:val="00E537A2"/>
    <w:rsid w:val="00E54BF7"/>
    <w:rsid w:val="00E5545E"/>
    <w:rsid w:val="00E55AFB"/>
    <w:rsid w:val="00E568B5"/>
    <w:rsid w:val="00E60F6E"/>
    <w:rsid w:val="00E64B5D"/>
    <w:rsid w:val="00E64DD0"/>
    <w:rsid w:val="00E673B3"/>
    <w:rsid w:val="00E704C1"/>
    <w:rsid w:val="00E70ECB"/>
    <w:rsid w:val="00E71924"/>
    <w:rsid w:val="00E73DBA"/>
    <w:rsid w:val="00E770C3"/>
    <w:rsid w:val="00E81A4B"/>
    <w:rsid w:val="00E85423"/>
    <w:rsid w:val="00E8578C"/>
    <w:rsid w:val="00E85B2C"/>
    <w:rsid w:val="00E865CB"/>
    <w:rsid w:val="00E90C43"/>
    <w:rsid w:val="00E90DA0"/>
    <w:rsid w:val="00E91EF2"/>
    <w:rsid w:val="00E92DC2"/>
    <w:rsid w:val="00E9321E"/>
    <w:rsid w:val="00E93737"/>
    <w:rsid w:val="00E954C5"/>
    <w:rsid w:val="00E9559B"/>
    <w:rsid w:val="00E96958"/>
    <w:rsid w:val="00E97DF5"/>
    <w:rsid w:val="00EA0CF8"/>
    <w:rsid w:val="00EA2EB8"/>
    <w:rsid w:val="00EA39B9"/>
    <w:rsid w:val="00EA3A5F"/>
    <w:rsid w:val="00EA3BAB"/>
    <w:rsid w:val="00EA4033"/>
    <w:rsid w:val="00EA43BF"/>
    <w:rsid w:val="00EA6CE3"/>
    <w:rsid w:val="00EB1728"/>
    <w:rsid w:val="00EB2449"/>
    <w:rsid w:val="00EB27DA"/>
    <w:rsid w:val="00EB53CF"/>
    <w:rsid w:val="00EB77C7"/>
    <w:rsid w:val="00EC3015"/>
    <w:rsid w:val="00EC35EC"/>
    <w:rsid w:val="00EC4DCC"/>
    <w:rsid w:val="00EC577A"/>
    <w:rsid w:val="00EC58E2"/>
    <w:rsid w:val="00EC596D"/>
    <w:rsid w:val="00EC5E8D"/>
    <w:rsid w:val="00ED012A"/>
    <w:rsid w:val="00ED0D0A"/>
    <w:rsid w:val="00ED336A"/>
    <w:rsid w:val="00ED3B0D"/>
    <w:rsid w:val="00ED4CF0"/>
    <w:rsid w:val="00ED4F0B"/>
    <w:rsid w:val="00ED6461"/>
    <w:rsid w:val="00ED7E8B"/>
    <w:rsid w:val="00EE191B"/>
    <w:rsid w:val="00EE1BF6"/>
    <w:rsid w:val="00EE1ECB"/>
    <w:rsid w:val="00EE3935"/>
    <w:rsid w:val="00EE7896"/>
    <w:rsid w:val="00EF1594"/>
    <w:rsid w:val="00EF1A63"/>
    <w:rsid w:val="00EF2A3B"/>
    <w:rsid w:val="00EF63DE"/>
    <w:rsid w:val="00EF7FB7"/>
    <w:rsid w:val="00F008D0"/>
    <w:rsid w:val="00F0139F"/>
    <w:rsid w:val="00F01529"/>
    <w:rsid w:val="00F03F9E"/>
    <w:rsid w:val="00F0678B"/>
    <w:rsid w:val="00F06C2E"/>
    <w:rsid w:val="00F108EE"/>
    <w:rsid w:val="00F1100A"/>
    <w:rsid w:val="00F13BA0"/>
    <w:rsid w:val="00F14D0A"/>
    <w:rsid w:val="00F1552B"/>
    <w:rsid w:val="00F20B5D"/>
    <w:rsid w:val="00F22BA3"/>
    <w:rsid w:val="00F22CE5"/>
    <w:rsid w:val="00F239CD"/>
    <w:rsid w:val="00F23A04"/>
    <w:rsid w:val="00F253FD"/>
    <w:rsid w:val="00F2686A"/>
    <w:rsid w:val="00F27744"/>
    <w:rsid w:val="00F3002C"/>
    <w:rsid w:val="00F31FFA"/>
    <w:rsid w:val="00F32017"/>
    <w:rsid w:val="00F34ADA"/>
    <w:rsid w:val="00F3530E"/>
    <w:rsid w:val="00F36280"/>
    <w:rsid w:val="00F36A9A"/>
    <w:rsid w:val="00F37BCD"/>
    <w:rsid w:val="00F4058C"/>
    <w:rsid w:val="00F42341"/>
    <w:rsid w:val="00F42580"/>
    <w:rsid w:val="00F43EE6"/>
    <w:rsid w:val="00F460E8"/>
    <w:rsid w:val="00F46A68"/>
    <w:rsid w:val="00F4749D"/>
    <w:rsid w:val="00F47AEB"/>
    <w:rsid w:val="00F50786"/>
    <w:rsid w:val="00F50837"/>
    <w:rsid w:val="00F529E5"/>
    <w:rsid w:val="00F52AE3"/>
    <w:rsid w:val="00F5365E"/>
    <w:rsid w:val="00F536B6"/>
    <w:rsid w:val="00F544F4"/>
    <w:rsid w:val="00F547E1"/>
    <w:rsid w:val="00F553BA"/>
    <w:rsid w:val="00F560FF"/>
    <w:rsid w:val="00F5687E"/>
    <w:rsid w:val="00F56FE9"/>
    <w:rsid w:val="00F57894"/>
    <w:rsid w:val="00F61C16"/>
    <w:rsid w:val="00F61E70"/>
    <w:rsid w:val="00F62337"/>
    <w:rsid w:val="00F62403"/>
    <w:rsid w:val="00F62610"/>
    <w:rsid w:val="00F63FBF"/>
    <w:rsid w:val="00F6466F"/>
    <w:rsid w:val="00F66FF1"/>
    <w:rsid w:val="00F6727B"/>
    <w:rsid w:val="00F7038A"/>
    <w:rsid w:val="00F71CE0"/>
    <w:rsid w:val="00F7248C"/>
    <w:rsid w:val="00F75401"/>
    <w:rsid w:val="00F75EC1"/>
    <w:rsid w:val="00F76E21"/>
    <w:rsid w:val="00F77BDA"/>
    <w:rsid w:val="00F8064B"/>
    <w:rsid w:val="00F806BD"/>
    <w:rsid w:val="00F8240A"/>
    <w:rsid w:val="00F8270B"/>
    <w:rsid w:val="00F8364A"/>
    <w:rsid w:val="00F83F69"/>
    <w:rsid w:val="00F85BBF"/>
    <w:rsid w:val="00F860A6"/>
    <w:rsid w:val="00F86249"/>
    <w:rsid w:val="00F86A7A"/>
    <w:rsid w:val="00F86AC5"/>
    <w:rsid w:val="00F873D1"/>
    <w:rsid w:val="00F90AF9"/>
    <w:rsid w:val="00F9103F"/>
    <w:rsid w:val="00F912B2"/>
    <w:rsid w:val="00F92F2F"/>
    <w:rsid w:val="00F94DB1"/>
    <w:rsid w:val="00F94E3F"/>
    <w:rsid w:val="00F95785"/>
    <w:rsid w:val="00F96986"/>
    <w:rsid w:val="00F96C8A"/>
    <w:rsid w:val="00F970C1"/>
    <w:rsid w:val="00FA0EE1"/>
    <w:rsid w:val="00FA2B3E"/>
    <w:rsid w:val="00FA306B"/>
    <w:rsid w:val="00FA6B8B"/>
    <w:rsid w:val="00FA6D45"/>
    <w:rsid w:val="00FA7BFE"/>
    <w:rsid w:val="00FA7EB7"/>
    <w:rsid w:val="00FB0EB9"/>
    <w:rsid w:val="00FB12FA"/>
    <w:rsid w:val="00FB1F2D"/>
    <w:rsid w:val="00FB2D85"/>
    <w:rsid w:val="00FB3615"/>
    <w:rsid w:val="00FB43C2"/>
    <w:rsid w:val="00FB62F6"/>
    <w:rsid w:val="00FB6EEA"/>
    <w:rsid w:val="00FB7166"/>
    <w:rsid w:val="00FC0964"/>
    <w:rsid w:val="00FC1661"/>
    <w:rsid w:val="00FC30BE"/>
    <w:rsid w:val="00FC41F7"/>
    <w:rsid w:val="00FC433D"/>
    <w:rsid w:val="00FC50F8"/>
    <w:rsid w:val="00FC580F"/>
    <w:rsid w:val="00FC585B"/>
    <w:rsid w:val="00FC795C"/>
    <w:rsid w:val="00FC7BBE"/>
    <w:rsid w:val="00FD01FD"/>
    <w:rsid w:val="00FD1334"/>
    <w:rsid w:val="00FD270C"/>
    <w:rsid w:val="00FD3F90"/>
    <w:rsid w:val="00FD4AAA"/>
    <w:rsid w:val="00FD5FD6"/>
    <w:rsid w:val="00FD744B"/>
    <w:rsid w:val="00FD7868"/>
    <w:rsid w:val="00FD7915"/>
    <w:rsid w:val="00FE019F"/>
    <w:rsid w:val="00FE18F6"/>
    <w:rsid w:val="00FE3C10"/>
    <w:rsid w:val="00FE4018"/>
    <w:rsid w:val="00FE4B91"/>
    <w:rsid w:val="00FE6210"/>
    <w:rsid w:val="00FE6AC1"/>
    <w:rsid w:val="00FE743E"/>
    <w:rsid w:val="00FE7B73"/>
    <w:rsid w:val="00FF05EF"/>
    <w:rsid w:val="00FF19D9"/>
    <w:rsid w:val="00FF2477"/>
    <w:rsid w:val="00FF3676"/>
    <w:rsid w:val="00FF4633"/>
    <w:rsid w:val="00FF4CD6"/>
    <w:rsid w:val="00FF4CF3"/>
    <w:rsid w:val="00FF518D"/>
    <w:rsid w:val="00FF57BF"/>
    <w:rsid w:val="00FF5978"/>
    <w:rsid w:val="00FF7E23"/>
    <w:rsid w:val="00FF7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0DF"/>
  </w:style>
  <w:style w:type="paragraph" w:styleId="Heading1">
    <w:name w:val="heading 1"/>
    <w:basedOn w:val="Normal"/>
    <w:next w:val="Normal"/>
    <w:link w:val="Heading1Char"/>
    <w:qFormat/>
    <w:rsid w:val="00D200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00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6D54C7"/>
    <w:pPr>
      <w:ind w:left="720"/>
      <w:contextualSpacing/>
    </w:pPr>
  </w:style>
  <w:style w:type="paragraph" w:customStyle="1" w:styleId="AutoNumBodyCharCharCharChar">
    <w:name w:val="AutoNum Body Char Char Char Char"/>
    <w:basedOn w:val="Normal"/>
    <w:autoRedefine/>
    <w:uiPriority w:val="99"/>
    <w:rsid w:val="00944E33"/>
    <w:pPr>
      <w:widowControl w:val="0"/>
      <w:numPr>
        <w:numId w:val="5"/>
      </w:numPr>
      <w:spacing w:before="240" w:after="0" w:line="36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6D54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5437"/>
  </w:style>
  <w:style w:type="paragraph" w:styleId="Footer">
    <w:name w:val="footer"/>
    <w:basedOn w:val="Normal"/>
    <w:link w:val="FooterChar"/>
    <w:uiPriority w:val="99"/>
    <w:unhideWhenUsed/>
    <w:rsid w:val="006D5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437"/>
  </w:style>
  <w:style w:type="paragraph" w:styleId="FootnoteText">
    <w:name w:val="footnote text"/>
    <w:aliases w:val="fn,Footnote Text Char1 Char,Footnote Text Char Char Char,Footnote Text Char1 Char Char Char,Footnote Text Char Char Char Char Char,Footnote Text Char Char1 Char,Footnote Text Char1 Char1 Char,Footnote Text Char1,fn Char,ALTS FOOTNOTE, Ch"/>
    <w:basedOn w:val="Normal"/>
    <w:link w:val="FootnoteTextChar"/>
    <w:uiPriority w:val="99"/>
    <w:unhideWhenUsed/>
    <w:rsid w:val="006D5437"/>
    <w:pPr>
      <w:spacing w:after="0" w:line="240" w:lineRule="auto"/>
    </w:pPr>
    <w:rPr>
      <w:sz w:val="20"/>
      <w:szCs w:val="20"/>
    </w:rPr>
  </w:style>
  <w:style w:type="character" w:customStyle="1" w:styleId="FootnoteTextChar">
    <w:name w:val="Footnote Text Char"/>
    <w:aliases w:val="fn Char1,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6D5437"/>
    <w:rPr>
      <w:sz w:val="20"/>
      <w:szCs w:val="20"/>
    </w:rPr>
  </w:style>
  <w:style w:type="character" w:styleId="FootnoteReference">
    <w:name w:val="footnote reference"/>
    <w:aliases w:val="Style 3,o,fr,Style 6,Style 20"/>
    <w:basedOn w:val="DefaultParagraphFont"/>
    <w:uiPriority w:val="99"/>
    <w:unhideWhenUsed/>
    <w:rsid w:val="006D5437"/>
    <w:rPr>
      <w:vertAlign w:val="superscript"/>
    </w:rPr>
  </w:style>
  <w:style w:type="paragraph" w:styleId="NormalWeb">
    <w:name w:val="Normal (Web)"/>
    <w:basedOn w:val="Normal"/>
    <w:uiPriority w:val="99"/>
    <w:semiHidden/>
    <w:unhideWhenUsed/>
    <w:rsid w:val="001A1D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3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445"/>
    <w:rPr>
      <w:rFonts w:ascii="Tahoma" w:hAnsi="Tahoma" w:cs="Tahoma"/>
      <w:sz w:val="16"/>
      <w:szCs w:val="16"/>
    </w:rPr>
  </w:style>
  <w:style w:type="paragraph" w:customStyle="1" w:styleId="normalblock">
    <w:name w:val="normal block"/>
    <w:basedOn w:val="Normal"/>
    <w:rsid w:val="008B4F27"/>
    <w:pPr>
      <w:widowControl w:val="0"/>
      <w:spacing w:after="0" w:line="240" w:lineRule="exact"/>
    </w:pPr>
    <w:rPr>
      <w:rFonts w:ascii="Times New Roman" w:eastAsia="Times New Roman" w:hAnsi="Times New Roman" w:cs="Times New Roman"/>
      <w:sz w:val="24"/>
      <w:szCs w:val="20"/>
    </w:rPr>
  </w:style>
  <w:style w:type="paragraph" w:customStyle="1" w:styleId="center">
    <w:name w:val="center"/>
    <w:basedOn w:val="Normal"/>
    <w:link w:val="centerChar"/>
    <w:rsid w:val="008B4F27"/>
    <w:pPr>
      <w:keepLines/>
      <w:spacing w:after="0" w:line="240" w:lineRule="exact"/>
      <w:jc w:val="center"/>
    </w:pPr>
    <w:rPr>
      <w:rFonts w:ascii="Times New Roman" w:eastAsia="Times New Roman" w:hAnsi="Times New Roman" w:cs="Times New Roman"/>
      <w:sz w:val="24"/>
      <w:szCs w:val="20"/>
    </w:rPr>
  </w:style>
  <w:style w:type="paragraph" w:customStyle="1" w:styleId="plain">
    <w:name w:val="plain"/>
    <w:basedOn w:val="Normal"/>
    <w:rsid w:val="008B4F27"/>
    <w:pPr>
      <w:spacing w:after="0" w:line="240" w:lineRule="atLeast"/>
    </w:pPr>
    <w:rPr>
      <w:rFonts w:ascii="Times New Roman" w:eastAsia="Times New Roman" w:hAnsi="Times New Roman" w:cs="Times New Roman"/>
      <w:sz w:val="24"/>
      <w:szCs w:val="20"/>
    </w:rPr>
  </w:style>
  <w:style w:type="character" w:customStyle="1" w:styleId="centerChar">
    <w:name w:val="center Char"/>
    <w:basedOn w:val="DefaultParagraphFont"/>
    <w:link w:val="center"/>
    <w:rsid w:val="008B4F27"/>
    <w:rPr>
      <w:rFonts w:ascii="Times New Roman" w:eastAsia="Times New Roman" w:hAnsi="Times New Roman" w:cs="Times New Roman"/>
      <w:sz w:val="24"/>
      <w:szCs w:val="20"/>
    </w:rPr>
  </w:style>
  <w:style w:type="paragraph" w:customStyle="1" w:styleId="Answer">
    <w:name w:val="Answer"/>
    <w:basedOn w:val="Normal"/>
    <w:link w:val="AnswerChar"/>
    <w:rsid w:val="00944E33"/>
    <w:pPr>
      <w:widowControl w:val="0"/>
      <w:tabs>
        <w:tab w:val="left" w:pos="1080"/>
      </w:tabs>
      <w:spacing w:after="0" w:line="480" w:lineRule="atLeast"/>
      <w:ind w:left="547" w:hanging="547"/>
      <w:jc w:val="both"/>
    </w:pPr>
    <w:rPr>
      <w:rFonts w:ascii="Times New Roman" w:eastAsia="Times New Roman" w:hAnsi="Times New Roman" w:cs="Times New Roman"/>
      <w:sz w:val="24"/>
      <w:szCs w:val="20"/>
    </w:rPr>
  </w:style>
  <w:style w:type="character" w:customStyle="1" w:styleId="AnswerChar">
    <w:name w:val="Answer Char"/>
    <w:basedOn w:val="DefaultParagraphFont"/>
    <w:link w:val="Answer"/>
    <w:rsid w:val="00944E33"/>
    <w:rPr>
      <w:rFonts w:ascii="Times New Roman" w:eastAsia="Times New Roman" w:hAnsi="Times New Roman" w:cs="Times New Roman"/>
      <w:sz w:val="24"/>
      <w:szCs w:val="20"/>
    </w:rPr>
  </w:style>
  <w:style w:type="paragraph" w:customStyle="1" w:styleId="Q">
    <w:name w:val="Q"/>
    <w:basedOn w:val="Normal"/>
    <w:rsid w:val="00944E33"/>
    <w:pPr>
      <w:widowControl w:val="0"/>
      <w:tabs>
        <w:tab w:val="left" w:pos="720"/>
        <w:tab w:val="left" w:pos="1440"/>
        <w:tab w:val="left" w:pos="2160"/>
        <w:tab w:val="left" w:pos="2880"/>
        <w:tab w:val="left" w:pos="3600"/>
      </w:tabs>
      <w:spacing w:after="0" w:line="480" w:lineRule="exact"/>
      <w:ind w:left="720" w:hanging="720"/>
    </w:pPr>
    <w:rPr>
      <w:rFonts w:ascii="Times New Roman" w:eastAsia="Times New Roman" w:hAnsi="Times New Roman" w:cs="Times New Roman"/>
      <w:b/>
      <w:caps/>
      <w:sz w:val="24"/>
      <w:szCs w:val="20"/>
    </w:rPr>
  </w:style>
  <w:style w:type="paragraph" w:customStyle="1" w:styleId="LawFirm">
    <w:name w:val="Law Firm"/>
    <w:next w:val="Normal"/>
    <w:uiPriority w:val="99"/>
    <w:rsid w:val="00B44CB0"/>
    <w:pPr>
      <w:spacing w:after="0" w:line="240" w:lineRule="auto"/>
    </w:pPr>
    <w:rPr>
      <w:rFonts w:ascii="Book Antiqua" w:eastAsia="MS Mincho" w:hAnsi="Book Antiqua" w:cs="Book Antiqua"/>
      <w:smallCaps/>
      <w:sz w:val="24"/>
      <w:szCs w:val="24"/>
    </w:rPr>
  </w:style>
  <w:style w:type="character" w:styleId="Hyperlink">
    <w:name w:val="Hyperlink"/>
    <w:basedOn w:val="DefaultParagraphFont"/>
    <w:uiPriority w:val="99"/>
    <w:rsid w:val="00B44CB0"/>
    <w:rPr>
      <w:color w:val="0000FF"/>
      <w:u w:val="single"/>
    </w:rPr>
  </w:style>
  <w:style w:type="paragraph" w:customStyle="1" w:styleId="OutHead3">
    <w:name w:val="OutHead3"/>
    <w:basedOn w:val="Normal"/>
    <w:next w:val="Normal"/>
    <w:uiPriority w:val="99"/>
    <w:rsid w:val="00B44CB0"/>
    <w:pPr>
      <w:keepNext/>
      <w:numPr>
        <w:ilvl w:val="2"/>
        <w:numId w:val="6"/>
      </w:numPr>
      <w:spacing w:after="240" w:line="240" w:lineRule="auto"/>
      <w:outlineLvl w:val="2"/>
    </w:pPr>
    <w:rPr>
      <w:rFonts w:ascii="Calibri" w:eastAsia="MS Mincho" w:hAnsi="Calibri" w:cs="Calibri"/>
      <w:b/>
      <w:bCs/>
      <w:color w:val="000000"/>
      <w:sz w:val="24"/>
      <w:szCs w:val="24"/>
    </w:rPr>
  </w:style>
  <w:style w:type="paragraph" w:customStyle="1" w:styleId="OutHead4">
    <w:name w:val="OutHead4"/>
    <w:basedOn w:val="Normal"/>
    <w:next w:val="Normal"/>
    <w:uiPriority w:val="99"/>
    <w:rsid w:val="00B44CB0"/>
    <w:pPr>
      <w:keepNext/>
      <w:numPr>
        <w:ilvl w:val="3"/>
        <w:numId w:val="6"/>
      </w:numPr>
      <w:spacing w:after="240" w:line="240" w:lineRule="auto"/>
      <w:outlineLvl w:val="3"/>
    </w:pPr>
    <w:rPr>
      <w:rFonts w:ascii="Calibri" w:eastAsia="MS Mincho" w:hAnsi="Calibri" w:cs="Calibri"/>
      <w:b/>
      <w:bCs/>
      <w:color w:val="000000"/>
      <w:sz w:val="24"/>
      <w:szCs w:val="24"/>
    </w:rPr>
  </w:style>
  <w:style w:type="paragraph" w:customStyle="1" w:styleId="OutHead5">
    <w:name w:val="OutHead5"/>
    <w:basedOn w:val="Normal"/>
    <w:next w:val="Normal"/>
    <w:uiPriority w:val="99"/>
    <w:rsid w:val="00B44CB0"/>
    <w:pPr>
      <w:keepNext/>
      <w:numPr>
        <w:ilvl w:val="4"/>
        <w:numId w:val="6"/>
      </w:numPr>
      <w:spacing w:after="240" w:line="240" w:lineRule="auto"/>
      <w:outlineLvl w:val="4"/>
    </w:pPr>
    <w:rPr>
      <w:rFonts w:ascii="Calibri" w:eastAsia="MS Mincho" w:hAnsi="Calibri" w:cs="Calibri"/>
      <w:b/>
      <w:bCs/>
      <w:color w:val="000000"/>
      <w:sz w:val="24"/>
      <w:szCs w:val="24"/>
    </w:rPr>
  </w:style>
  <w:style w:type="paragraph" w:customStyle="1" w:styleId="OutHead6">
    <w:name w:val="OutHead6"/>
    <w:basedOn w:val="Normal"/>
    <w:next w:val="Normal"/>
    <w:uiPriority w:val="99"/>
    <w:rsid w:val="00B44CB0"/>
    <w:pPr>
      <w:keepNext/>
      <w:numPr>
        <w:ilvl w:val="5"/>
        <w:numId w:val="6"/>
      </w:numPr>
      <w:spacing w:after="240" w:line="240" w:lineRule="auto"/>
      <w:outlineLvl w:val="5"/>
    </w:pPr>
    <w:rPr>
      <w:rFonts w:ascii="Calibri" w:eastAsia="MS Mincho" w:hAnsi="Calibri" w:cs="Calibri"/>
      <w:b/>
      <w:bCs/>
      <w:color w:val="000000"/>
      <w:sz w:val="24"/>
      <w:szCs w:val="24"/>
    </w:rPr>
  </w:style>
  <w:style w:type="paragraph" w:customStyle="1" w:styleId="OutHead7">
    <w:name w:val="OutHead7"/>
    <w:basedOn w:val="Normal"/>
    <w:next w:val="Normal"/>
    <w:uiPriority w:val="99"/>
    <w:rsid w:val="00B44CB0"/>
    <w:pPr>
      <w:keepNext/>
      <w:numPr>
        <w:ilvl w:val="6"/>
        <w:numId w:val="6"/>
      </w:numPr>
      <w:spacing w:after="240" w:line="240" w:lineRule="auto"/>
      <w:outlineLvl w:val="6"/>
    </w:pPr>
    <w:rPr>
      <w:rFonts w:ascii="Calibri" w:eastAsia="MS Mincho" w:hAnsi="Calibri" w:cs="Calibri"/>
      <w:b/>
      <w:bCs/>
      <w:color w:val="000000"/>
      <w:sz w:val="24"/>
      <w:szCs w:val="24"/>
    </w:rPr>
  </w:style>
  <w:style w:type="paragraph" w:customStyle="1" w:styleId="OutHead8">
    <w:name w:val="OutHead8"/>
    <w:basedOn w:val="Normal"/>
    <w:next w:val="Normal"/>
    <w:uiPriority w:val="99"/>
    <w:rsid w:val="00B44CB0"/>
    <w:pPr>
      <w:keepNext/>
      <w:numPr>
        <w:ilvl w:val="7"/>
        <w:numId w:val="6"/>
      </w:numPr>
      <w:spacing w:after="240" w:line="240" w:lineRule="auto"/>
      <w:outlineLvl w:val="7"/>
    </w:pPr>
    <w:rPr>
      <w:rFonts w:ascii="Calibri" w:eastAsia="MS Mincho" w:hAnsi="Calibri" w:cs="Calibri"/>
      <w:b/>
      <w:bCs/>
      <w:color w:val="000000"/>
      <w:sz w:val="24"/>
      <w:szCs w:val="24"/>
    </w:rPr>
  </w:style>
  <w:style w:type="character" w:styleId="CommentReference">
    <w:name w:val="annotation reference"/>
    <w:basedOn w:val="DefaultParagraphFont"/>
    <w:uiPriority w:val="99"/>
    <w:semiHidden/>
    <w:unhideWhenUsed/>
    <w:rsid w:val="0051633C"/>
    <w:rPr>
      <w:sz w:val="16"/>
      <w:szCs w:val="16"/>
    </w:rPr>
  </w:style>
  <w:style w:type="paragraph" w:styleId="CommentText">
    <w:name w:val="annotation text"/>
    <w:basedOn w:val="Normal"/>
    <w:link w:val="CommentTextChar"/>
    <w:uiPriority w:val="99"/>
    <w:semiHidden/>
    <w:unhideWhenUsed/>
    <w:rsid w:val="0051633C"/>
    <w:pPr>
      <w:spacing w:line="240" w:lineRule="auto"/>
    </w:pPr>
    <w:rPr>
      <w:sz w:val="20"/>
      <w:szCs w:val="20"/>
    </w:rPr>
  </w:style>
  <w:style w:type="character" w:customStyle="1" w:styleId="CommentTextChar">
    <w:name w:val="Comment Text Char"/>
    <w:basedOn w:val="DefaultParagraphFont"/>
    <w:link w:val="CommentText"/>
    <w:uiPriority w:val="99"/>
    <w:semiHidden/>
    <w:rsid w:val="0051633C"/>
    <w:rPr>
      <w:sz w:val="20"/>
      <w:szCs w:val="20"/>
    </w:rPr>
  </w:style>
  <w:style w:type="paragraph" w:styleId="CommentSubject">
    <w:name w:val="annotation subject"/>
    <w:basedOn w:val="CommentText"/>
    <w:next w:val="CommentText"/>
    <w:link w:val="CommentSubjectChar"/>
    <w:uiPriority w:val="99"/>
    <w:semiHidden/>
    <w:unhideWhenUsed/>
    <w:rsid w:val="0051633C"/>
    <w:rPr>
      <w:b/>
      <w:bCs/>
    </w:rPr>
  </w:style>
  <w:style w:type="character" w:customStyle="1" w:styleId="CommentSubjectChar">
    <w:name w:val="Comment Subject Char"/>
    <w:basedOn w:val="CommentTextChar"/>
    <w:link w:val="CommentSubject"/>
    <w:uiPriority w:val="99"/>
    <w:semiHidden/>
    <w:rsid w:val="0051633C"/>
    <w:rPr>
      <w:b/>
      <w:bCs/>
    </w:rPr>
  </w:style>
  <w:style w:type="paragraph" w:styleId="Revision">
    <w:name w:val="Revision"/>
    <w:hidden/>
    <w:uiPriority w:val="99"/>
    <w:semiHidden/>
    <w:rsid w:val="0051633C"/>
    <w:pPr>
      <w:spacing w:after="0" w:line="240" w:lineRule="auto"/>
    </w:pPr>
  </w:style>
  <w:style w:type="paragraph" w:styleId="TOCHeading">
    <w:name w:val="TOC Heading"/>
    <w:basedOn w:val="Heading1"/>
    <w:next w:val="Normal"/>
    <w:uiPriority w:val="39"/>
    <w:unhideWhenUsed/>
    <w:qFormat/>
    <w:rsid w:val="004141EE"/>
    <w:pPr>
      <w:outlineLvl w:val="9"/>
    </w:pPr>
  </w:style>
  <w:style w:type="paragraph" w:customStyle="1" w:styleId="Style1">
    <w:name w:val="Style1"/>
    <w:basedOn w:val="ListParagraph"/>
    <w:link w:val="Style1Char"/>
    <w:qFormat/>
    <w:rsid w:val="004141EE"/>
    <w:pPr>
      <w:numPr>
        <w:numId w:val="1"/>
      </w:numPr>
      <w:jc w:val="center"/>
    </w:pPr>
    <w:rPr>
      <w:rFonts w:ascii="Times New Roman" w:hAnsi="Times New Roman" w:cs="Times New Roman"/>
      <w:b/>
      <w:sz w:val="24"/>
      <w:szCs w:val="24"/>
    </w:rPr>
  </w:style>
  <w:style w:type="paragraph" w:styleId="TOC1">
    <w:name w:val="toc 1"/>
    <w:basedOn w:val="Normal"/>
    <w:next w:val="Normal"/>
    <w:autoRedefine/>
    <w:uiPriority w:val="39"/>
    <w:unhideWhenUsed/>
    <w:rsid w:val="00BB65BB"/>
    <w:pPr>
      <w:tabs>
        <w:tab w:val="left" w:pos="440"/>
        <w:tab w:val="right" w:leader="dot" w:pos="9350"/>
      </w:tabs>
      <w:spacing w:after="0" w:line="480" w:lineRule="exact"/>
    </w:pPr>
  </w:style>
  <w:style w:type="character" w:customStyle="1" w:styleId="ListParagraphChar">
    <w:name w:val="List Paragraph Char"/>
    <w:basedOn w:val="DefaultParagraphFont"/>
    <w:link w:val="ListParagraph"/>
    <w:uiPriority w:val="34"/>
    <w:rsid w:val="004141EE"/>
  </w:style>
  <w:style w:type="character" w:customStyle="1" w:styleId="Style1Char">
    <w:name w:val="Style1 Char"/>
    <w:basedOn w:val="ListParagraphChar"/>
    <w:link w:val="Style1"/>
    <w:rsid w:val="004141EE"/>
    <w:rPr>
      <w:rFonts w:ascii="Times New Roman" w:hAnsi="Times New Roman" w:cs="Times New Roman"/>
      <w:b/>
      <w:sz w:val="24"/>
      <w:szCs w:val="24"/>
    </w:rPr>
  </w:style>
  <w:style w:type="paragraph" w:styleId="TableofAuthorities">
    <w:name w:val="table of authorities"/>
    <w:basedOn w:val="Normal"/>
    <w:next w:val="Normal"/>
    <w:uiPriority w:val="99"/>
    <w:semiHidden/>
    <w:unhideWhenUsed/>
    <w:rsid w:val="00870680"/>
    <w:pPr>
      <w:spacing w:after="0"/>
      <w:ind w:left="220" w:hanging="220"/>
    </w:pPr>
  </w:style>
  <w:style w:type="paragraph" w:styleId="TOAHeading">
    <w:name w:val="toa heading"/>
    <w:basedOn w:val="Normal"/>
    <w:next w:val="Normal"/>
    <w:uiPriority w:val="99"/>
    <w:semiHidden/>
    <w:unhideWhenUsed/>
    <w:rsid w:val="00870680"/>
    <w:pPr>
      <w:spacing w:before="120"/>
    </w:pPr>
    <w:rPr>
      <w:rFonts w:ascii="Times New Roman" w:eastAsiaTheme="majorEastAsia" w:hAnsi="Times New Roman" w:cstheme="majorBidi"/>
      <w:b/>
      <w:bCs/>
      <w:sz w:val="24"/>
      <w:szCs w:val="24"/>
    </w:rPr>
  </w:style>
</w:styles>
</file>

<file path=word/webSettings.xml><?xml version="1.0" encoding="utf-8"?>
<w:webSettings xmlns:r="http://schemas.openxmlformats.org/officeDocument/2006/relationships" xmlns:w="http://schemas.openxmlformats.org/wordprocessingml/2006/main">
  <w:divs>
    <w:div w:id="86343525">
      <w:bodyDiv w:val="1"/>
      <w:marLeft w:val="0"/>
      <w:marRight w:val="0"/>
      <w:marTop w:val="0"/>
      <w:marBottom w:val="0"/>
      <w:divBdr>
        <w:top w:val="none" w:sz="0" w:space="0" w:color="auto"/>
        <w:left w:val="none" w:sz="0" w:space="0" w:color="auto"/>
        <w:bottom w:val="none" w:sz="0" w:space="0" w:color="auto"/>
        <w:right w:val="none" w:sz="0" w:space="0" w:color="auto"/>
      </w:divBdr>
      <w:divsChild>
        <w:div w:id="1448742900">
          <w:marLeft w:val="0"/>
          <w:marRight w:val="0"/>
          <w:marTop w:val="0"/>
          <w:marBottom w:val="0"/>
          <w:divBdr>
            <w:top w:val="none" w:sz="0" w:space="0" w:color="auto"/>
            <w:left w:val="none" w:sz="0" w:space="0" w:color="auto"/>
            <w:bottom w:val="none" w:sz="0" w:space="0" w:color="auto"/>
            <w:right w:val="none" w:sz="0" w:space="0" w:color="auto"/>
          </w:divBdr>
          <w:divsChild>
            <w:div w:id="841971636">
              <w:marLeft w:val="212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thomas.dethlefs@centurylink.com" TargetMode="External"/><Relationship Id="rId4" Type="http://schemas.openxmlformats.org/officeDocument/2006/relationships/settings" Target="settings.xml"/><Relationship Id="rId9" Type="http://schemas.openxmlformats.org/officeDocument/2006/relationships/hyperlink" Target="mailto:lisa.anderl@centurylink.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C08C79438FDA4499913A2C4E8B9FB0" ma:contentTypeVersion="136" ma:contentTypeDescription="" ma:contentTypeScope="" ma:versionID="97fcb886217d8e3496aa68e390c27c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2005-06-21T07:00:00+00:00</OpenedDate>
    <Date1 xmlns="dc463f71-b30c-4ab2-9473-d307f9d35888">2013-03-15T07:00:00+00:00</Date1>
    <IsDocumentOrder xmlns="dc463f71-b30c-4ab2-9473-d307f9d35888" xsi:nil="true"/>
    <IsHighlyConfidential xmlns="dc463f71-b30c-4ab2-9473-d307f9d35888">false</IsHighlyConfidential>
    <CaseCompanyNames xmlns="dc463f71-b30c-4ab2-9473-d307f9d35888">Level 3 Communications, LLC;Qwest Corporation</CaseCompanyNames>
    <DocketNumber xmlns="dc463f71-b30c-4ab2-9473-d307f9d35888">053039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19F9C9B-7086-4B05-90F2-E3E9138B5C91}"/>
</file>

<file path=customXml/itemProps2.xml><?xml version="1.0" encoding="utf-8"?>
<ds:datastoreItem xmlns:ds="http://schemas.openxmlformats.org/officeDocument/2006/customXml" ds:itemID="{D7570AE5-7461-4F4B-857B-0F96F5D2AAEC}"/>
</file>

<file path=customXml/itemProps3.xml><?xml version="1.0" encoding="utf-8"?>
<ds:datastoreItem xmlns:ds="http://schemas.openxmlformats.org/officeDocument/2006/customXml" ds:itemID="{269AE28E-1C15-405D-BC66-655C7304AA6F}"/>
</file>

<file path=customXml/itemProps4.xml><?xml version="1.0" encoding="utf-8"?>
<ds:datastoreItem xmlns:ds="http://schemas.openxmlformats.org/officeDocument/2006/customXml" ds:itemID="{68FB1286-16AF-4DBD-BE26-DD61FD6BD693}"/>
</file>

<file path=customXml/itemProps5.xml><?xml version="1.0" encoding="utf-8"?>
<ds:datastoreItem xmlns:ds="http://schemas.openxmlformats.org/officeDocument/2006/customXml" ds:itemID="{82DAE790-CDBE-4EAE-AB9F-6376FCDBDA16}"/>
</file>

<file path=docProps/app.xml><?xml version="1.0" encoding="utf-8"?>
<Properties xmlns="http://schemas.openxmlformats.org/officeDocument/2006/extended-properties" xmlns:vt="http://schemas.openxmlformats.org/officeDocument/2006/docPropsVTypes">
  <Template>Normal.dotm</Template>
  <TotalTime>56</TotalTime>
  <Pages>22</Pages>
  <Words>5302</Words>
  <Characters>30226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Anderl, Lisa</dc:creator>
  <cp:keywords/>
  <dc:description/>
  <cp:lastModifiedBy>CenturyLink Employee</cp:lastModifiedBy>
  <cp:revision>9</cp:revision>
  <cp:lastPrinted>2013-03-14T21:44:00Z</cp:lastPrinted>
  <dcterms:created xsi:type="dcterms:W3CDTF">2013-03-14T17:33:00Z</dcterms:created>
  <dcterms:modified xsi:type="dcterms:W3CDTF">2013-03-14T22:16:00Z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0x0101006E56B4D1795A2E4DB2F0B01679ED314A0076C08C79438FDA4499913A2C4E8B9FB0</vt:lpwstr>
  </property>
  <property fmtid="{D5CDD505-2E9C-101B-9397-08002B2CF9AE}" pid="3" name="_docset_NoMedatataSyncRequired">
    <vt:lpwstr>False</vt:lpwstr>
  </property>
</Properties>
</file>