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64" w:rsidRPr="0036248F" w:rsidRDefault="00987864" w:rsidP="005C6DF1">
      <w:pPr>
        <w:pStyle w:val="Header"/>
        <w:rPr>
          <w:rFonts w:ascii="Times New Roman" w:hAnsi="Times New Roman" w:cs="Times New Roman"/>
          <w:b/>
          <w:bCs/>
          <w:sz w:val="20"/>
          <w:szCs w:val="18"/>
        </w:rPr>
      </w:pPr>
      <w:r w:rsidRPr="0036248F">
        <w:rPr>
          <w:rFonts w:ascii="Times New Roman" w:hAnsi="Times New Roman" w:cs="Times New Roman"/>
          <w:b/>
          <w:bCs/>
          <w:sz w:val="20"/>
          <w:szCs w:val="18"/>
        </w:rPr>
        <w:t>Avista Corp.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1411 East Mission   P.O. Box 3727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Spokane. Washington  99220-0500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Telephone 509-489-0500</w:t>
      </w:r>
    </w:p>
    <w:p w:rsidR="00987864" w:rsidRPr="0036248F" w:rsidRDefault="00987864" w:rsidP="005C6DF1">
      <w:pPr>
        <w:pStyle w:val="Header"/>
        <w:rPr>
          <w:rFonts w:ascii="Times New Roman" w:hAnsi="Times New Roman" w:cs="Times New Roman"/>
          <w:sz w:val="20"/>
          <w:szCs w:val="18"/>
        </w:rPr>
      </w:pPr>
      <w:r w:rsidRPr="0036248F">
        <w:rPr>
          <w:rFonts w:ascii="Times New Roman" w:hAnsi="Times New Roman" w:cs="Times New Roman"/>
          <w:sz w:val="20"/>
          <w:szCs w:val="18"/>
        </w:rPr>
        <w:t>Toll Free   800-727-9170</w:t>
      </w:r>
    </w:p>
    <w:p w:rsidR="00F72704" w:rsidRDefault="00F72704" w:rsidP="005C6DF1"/>
    <w:p w:rsidR="00F72704" w:rsidRDefault="00215996" w:rsidP="005C6DF1">
      <w:r>
        <w:t>June</w:t>
      </w:r>
      <w:r w:rsidR="00E45B2F">
        <w:t xml:space="preserve"> </w:t>
      </w:r>
      <w:r w:rsidR="00EF3A83">
        <w:t>1, 2016</w:t>
      </w:r>
    </w:p>
    <w:p w:rsidR="00F72704" w:rsidRDefault="00F72704" w:rsidP="005C6DF1"/>
    <w:p w:rsidR="00F72704" w:rsidRPr="002A2DD2" w:rsidRDefault="00F72704" w:rsidP="005C6DF1">
      <w:pPr>
        <w:rPr>
          <w:b/>
          <w:i/>
        </w:rPr>
      </w:pPr>
      <w:r w:rsidRPr="002A2DD2">
        <w:rPr>
          <w:b/>
          <w:i/>
        </w:rPr>
        <w:t xml:space="preserve">VIA: </w:t>
      </w:r>
      <w:r w:rsidR="0000268E">
        <w:rPr>
          <w:b/>
          <w:i/>
        </w:rPr>
        <w:t>Electronic</w:t>
      </w:r>
    </w:p>
    <w:p w:rsidR="00F72704" w:rsidRDefault="00F72704" w:rsidP="005C6DF1"/>
    <w:p w:rsidR="00F72704" w:rsidRPr="00C4686F" w:rsidRDefault="00F72704" w:rsidP="005C6DF1">
      <w:pPr>
        <w:jc w:val="both"/>
      </w:pPr>
      <w:r>
        <w:t>Steven V. King</w:t>
      </w:r>
    </w:p>
    <w:p w:rsidR="00F72704" w:rsidRPr="00C4686F" w:rsidRDefault="00F72704" w:rsidP="005C6DF1">
      <w:pPr>
        <w:jc w:val="both"/>
      </w:pPr>
      <w:r w:rsidRPr="00C4686F">
        <w:t>Executive Director and Secretary</w:t>
      </w:r>
    </w:p>
    <w:p w:rsidR="00F72704" w:rsidRDefault="00F72704" w:rsidP="005C6DF1">
      <w:r>
        <w:t>Washington Utilities &amp; Transportation Commission</w:t>
      </w:r>
    </w:p>
    <w:p w:rsidR="00F72704" w:rsidRDefault="00F72704" w:rsidP="005C6DF1">
      <w:r>
        <w:t>1300 S. Evergreen Park Drive S. W.</w:t>
      </w:r>
    </w:p>
    <w:p w:rsidR="00F72704" w:rsidRDefault="00F72704" w:rsidP="005C6DF1">
      <w:r>
        <w:t>P.O. Box 47250</w:t>
      </w:r>
    </w:p>
    <w:p w:rsidR="00F72704" w:rsidRDefault="00F72704" w:rsidP="005C6DF1">
      <w:r>
        <w:t>Olympia, Washington  98504-7250</w:t>
      </w:r>
    </w:p>
    <w:p w:rsidR="00F72704" w:rsidRDefault="00F72704" w:rsidP="005C6DF1">
      <w:pPr>
        <w:jc w:val="center"/>
      </w:pPr>
    </w:p>
    <w:p w:rsidR="00F72704" w:rsidRDefault="00F72704" w:rsidP="00DA4C9B">
      <w:pPr>
        <w:tabs>
          <w:tab w:val="left" w:pos="720"/>
        </w:tabs>
        <w:ind w:left="720" w:hanging="720"/>
        <w:jc w:val="both"/>
      </w:pPr>
      <w:r>
        <w:t>RE:</w:t>
      </w:r>
      <w:r>
        <w:tab/>
        <w:t>UE-</w:t>
      </w:r>
      <w:r w:rsidR="00E45B2F">
        <w:t>1</w:t>
      </w:r>
      <w:r w:rsidR="00EF3A83">
        <w:t xml:space="preserve">40801 </w:t>
      </w:r>
      <w:r>
        <w:t xml:space="preserve">– Avista’s Request for </w:t>
      </w:r>
      <w:r w:rsidR="00EF3A83">
        <w:t xml:space="preserve">Final 2014 RPS </w:t>
      </w:r>
      <w:r>
        <w:t xml:space="preserve">Compliance Determination </w:t>
      </w:r>
    </w:p>
    <w:p w:rsidR="00F72704" w:rsidRDefault="00F72704" w:rsidP="005C6DF1"/>
    <w:p w:rsidR="0061046B" w:rsidRDefault="00F72704" w:rsidP="005C6DF1">
      <w:r>
        <w:t>Dear Mr. King:</w:t>
      </w:r>
    </w:p>
    <w:p w:rsidR="00567E83" w:rsidRDefault="00567E83" w:rsidP="002A2DD2">
      <w:pPr>
        <w:jc w:val="both"/>
      </w:pPr>
    </w:p>
    <w:p w:rsidR="005C6DF1" w:rsidRDefault="009754E4" w:rsidP="00DA4C9B">
      <w:pPr>
        <w:jc w:val="both"/>
      </w:pPr>
      <w:r>
        <w:t>A</w:t>
      </w:r>
      <w:r w:rsidR="005C6DF1">
        <w:t xml:space="preserve">vista Corporation, </w:t>
      </w:r>
      <w:proofErr w:type="spellStart"/>
      <w:r w:rsidR="005C6DF1">
        <w:t>dba</w:t>
      </w:r>
      <w:proofErr w:type="spellEnd"/>
      <w:r w:rsidR="005C6DF1">
        <w:t xml:space="preserve"> Avista Utilities or (“Avista” and/or the “Company”), </w:t>
      </w:r>
      <w:r w:rsidR="00E8061F">
        <w:t>respectfully requests a</w:t>
      </w:r>
      <w:r w:rsidR="005C6DF1">
        <w:t xml:space="preserve"> determination </w:t>
      </w:r>
      <w:r w:rsidR="00E8061F">
        <w:t xml:space="preserve">of compliance </w:t>
      </w:r>
      <w:r w:rsidR="005C6DF1">
        <w:t xml:space="preserve">for </w:t>
      </w:r>
      <w:r w:rsidR="00E8061F">
        <w:t>its</w:t>
      </w:r>
      <w:r w:rsidR="001C57E4">
        <w:t xml:space="preserve"> </w:t>
      </w:r>
      <w:r w:rsidR="00E8061F">
        <w:t>201</w:t>
      </w:r>
      <w:r w:rsidR="00301C40">
        <w:t>4</w:t>
      </w:r>
      <w:r w:rsidR="00E8061F">
        <w:t xml:space="preserve"> Renewable Portfolio Standard (RPS) “Compliance Report.”</w:t>
      </w:r>
      <w:r w:rsidR="005C6DF1">
        <w:t xml:space="preserve">  </w:t>
      </w:r>
    </w:p>
    <w:p w:rsidR="005C6DF1" w:rsidRDefault="005C6DF1" w:rsidP="00DA4C9B">
      <w:pPr>
        <w:jc w:val="both"/>
      </w:pPr>
    </w:p>
    <w:p w:rsidR="000501AD" w:rsidRDefault="005C6DF1" w:rsidP="00DA4C9B">
      <w:pPr>
        <w:jc w:val="both"/>
      </w:pPr>
      <w:r>
        <w:t>On May 3</w:t>
      </w:r>
      <w:r w:rsidR="00301C40">
        <w:t>0</w:t>
      </w:r>
      <w:r>
        <w:t>, 201</w:t>
      </w:r>
      <w:r w:rsidR="00EF3A83">
        <w:t>4</w:t>
      </w:r>
      <w:r>
        <w:t xml:space="preserve">, in compliance with RCW 19.285, </w:t>
      </w:r>
      <w:r w:rsidR="00E8061F">
        <w:t xml:space="preserve">(Initiative 937 (I-937) or the Washington Energy Independence Act), </w:t>
      </w:r>
      <w:r>
        <w:t>the Company submitted its 201</w:t>
      </w:r>
      <w:r w:rsidR="00B3184D">
        <w:t>4</w:t>
      </w:r>
      <w:r>
        <w:t xml:space="preserve"> </w:t>
      </w:r>
      <w:r w:rsidR="000501AD">
        <w:t xml:space="preserve">Renewable Portfolio Standard </w:t>
      </w:r>
      <w:r>
        <w:t xml:space="preserve">Compliance Report demonstrating </w:t>
      </w:r>
      <w:r w:rsidR="000501AD">
        <w:t xml:space="preserve">its </w:t>
      </w:r>
      <w:r>
        <w:t>compliance with the renewable energy component of I-937.</w:t>
      </w:r>
      <w:r w:rsidR="00124934">
        <w:t xml:space="preserve">  </w:t>
      </w:r>
    </w:p>
    <w:p w:rsidR="000501AD" w:rsidRDefault="000501AD" w:rsidP="000501AD">
      <w:pPr>
        <w:pStyle w:val="Default"/>
      </w:pPr>
    </w:p>
    <w:p w:rsidR="000501AD" w:rsidRDefault="000501AD" w:rsidP="000501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the RPS Report, Avista reported that, as of January 1, 201</w:t>
      </w:r>
      <w:r w:rsidR="00EF3A83">
        <w:rPr>
          <w:sz w:val="23"/>
          <w:szCs w:val="23"/>
        </w:rPr>
        <w:t>4</w:t>
      </w:r>
      <w:r>
        <w:rPr>
          <w:sz w:val="23"/>
          <w:szCs w:val="23"/>
        </w:rPr>
        <w:t xml:space="preserve">, it had </w:t>
      </w:r>
      <w:r w:rsidR="00EF3A83">
        <w:rPr>
          <w:sz w:val="23"/>
          <w:szCs w:val="23"/>
        </w:rPr>
        <w:t>610,906</w:t>
      </w:r>
      <w:r>
        <w:rPr>
          <w:sz w:val="23"/>
          <w:szCs w:val="23"/>
        </w:rPr>
        <w:t xml:space="preserve"> megawatt-hours of incremental electricity from hydroelectric upgrades</w:t>
      </w:r>
      <w:r w:rsidR="00E45B2F">
        <w:rPr>
          <w:sz w:val="23"/>
          <w:szCs w:val="23"/>
        </w:rPr>
        <w:t xml:space="preserve"> and wind generation</w:t>
      </w:r>
      <w:r>
        <w:rPr>
          <w:sz w:val="23"/>
          <w:szCs w:val="23"/>
        </w:rPr>
        <w:t xml:space="preserve"> available for its use in 201</w:t>
      </w:r>
      <w:r w:rsidR="00EF3A83">
        <w:rPr>
          <w:sz w:val="23"/>
          <w:szCs w:val="23"/>
        </w:rPr>
        <w:t>4</w:t>
      </w:r>
      <w:r>
        <w:rPr>
          <w:sz w:val="23"/>
          <w:szCs w:val="23"/>
        </w:rPr>
        <w:t>. All of the hydroelectric facilities listed in the Company’s RPS Report are located in the Pacific Northwest, and all are owned by a qualifying utility. All of the hydroelectric efficiency improvements listed in Avista’s RPS Report were completed after March 31, 1999. Avista has demonstrated that, as of January 1, 201</w:t>
      </w:r>
      <w:r w:rsidR="00EF3A83">
        <w:rPr>
          <w:sz w:val="23"/>
          <w:szCs w:val="23"/>
        </w:rPr>
        <w:t>4</w:t>
      </w:r>
      <w:r>
        <w:rPr>
          <w:sz w:val="23"/>
          <w:szCs w:val="23"/>
        </w:rPr>
        <w:t xml:space="preserve">, it had the right to use </w:t>
      </w:r>
      <w:r w:rsidR="00EF3A83">
        <w:rPr>
          <w:sz w:val="23"/>
          <w:szCs w:val="23"/>
        </w:rPr>
        <w:t>167,884</w:t>
      </w:r>
      <w:r>
        <w:rPr>
          <w:sz w:val="23"/>
          <w:szCs w:val="23"/>
        </w:rPr>
        <w:t xml:space="preserve"> megawatt-hours of eligible renewable resources, as defined in RCW 19.285.030(10)(b) and WAC 480-109-007(9)(b), in 201</w:t>
      </w:r>
      <w:r w:rsidR="00E45B2F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:rsidR="000501AD" w:rsidRDefault="000501AD" w:rsidP="000501AD">
      <w:pPr>
        <w:jc w:val="both"/>
      </w:pPr>
    </w:p>
    <w:p w:rsidR="00F72704" w:rsidRDefault="00C30E75" w:rsidP="00DA4C9B">
      <w:pPr>
        <w:jc w:val="both"/>
      </w:pPr>
      <w:r>
        <w:t xml:space="preserve">On </w:t>
      </w:r>
      <w:r w:rsidR="00EF3A83">
        <w:t>July 31, 2014</w:t>
      </w:r>
      <w:r w:rsidR="000501AD">
        <w:t>, in</w:t>
      </w:r>
      <w:r>
        <w:t xml:space="preserve"> Order No. 01, in </w:t>
      </w:r>
      <w:r w:rsidR="002A2DD2">
        <w:t>Docket No. UE-</w:t>
      </w:r>
      <w:r w:rsidR="00E45B2F">
        <w:t>1</w:t>
      </w:r>
      <w:r w:rsidR="00EF3A83">
        <w:t>40801</w:t>
      </w:r>
      <w:r w:rsidR="002A2DD2">
        <w:t xml:space="preserve"> </w:t>
      </w:r>
      <w:r w:rsidR="000501AD">
        <w:t xml:space="preserve">the Commission </w:t>
      </w:r>
      <w:r w:rsidR="002A2DD2">
        <w:t xml:space="preserve">provided </w:t>
      </w:r>
      <w:r>
        <w:t>the following</w:t>
      </w:r>
      <w:r w:rsidR="00124934">
        <w:t>:</w:t>
      </w:r>
    </w:p>
    <w:p w:rsidR="00124934" w:rsidRDefault="00124934" w:rsidP="00DA4C9B">
      <w:pPr>
        <w:jc w:val="both"/>
      </w:pPr>
    </w:p>
    <w:p w:rsidR="00EF3A83" w:rsidRPr="00EF3A83" w:rsidRDefault="00EF3A83" w:rsidP="00C9490E">
      <w:pPr>
        <w:pStyle w:val="ListParagraph"/>
        <w:numPr>
          <w:ilvl w:val="0"/>
          <w:numId w:val="2"/>
        </w:numPr>
        <w:spacing w:after="240" w:line="288" w:lineRule="auto"/>
        <w:jc w:val="both"/>
        <w:rPr>
          <w:rFonts w:eastAsiaTheme="minorHAnsi"/>
          <w:color w:val="000000"/>
          <w:sz w:val="22"/>
          <w:szCs w:val="22"/>
        </w:rPr>
      </w:pPr>
      <w:r>
        <w:rPr>
          <w:sz w:val="22"/>
          <w:szCs w:val="22"/>
        </w:rPr>
        <w:t xml:space="preserve">The Commission accepts the calculation of </w:t>
      </w:r>
      <w:r w:rsidRPr="00EF3A83">
        <w:rPr>
          <w:sz w:val="22"/>
          <w:szCs w:val="22"/>
        </w:rPr>
        <w:t>167,884 megawatt-hours</w:t>
      </w:r>
      <w:r>
        <w:rPr>
          <w:sz w:val="22"/>
          <w:szCs w:val="22"/>
        </w:rPr>
        <w:t xml:space="preserve"> as the 2014 renewable energy target for Avista Corporation</w:t>
      </w:r>
      <w:r w:rsidRPr="00EF3A83">
        <w:rPr>
          <w:sz w:val="22"/>
          <w:szCs w:val="22"/>
        </w:rPr>
        <w:t xml:space="preserve">.  </w:t>
      </w:r>
    </w:p>
    <w:p w:rsidR="00EF3A83" w:rsidRPr="00EF3A83" w:rsidRDefault="00EF3A83" w:rsidP="00EF3A83">
      <w:pPr>
        <w:pStyle w:val="ListParagraph"/>
        <w:spacing w:after="240" w:line="288" w:lineRule="auto"/>
        <w:jc w:val="both"/>
        <w:rPr>
          <w:rFonts w:eastAsiaTheme="minorHAnsi"/>
          <w:color w:val="000000"/>
          <w:sz w:val="25"/>
          <w:szCs w:val="25"/>
        </w:rPr>
      </w:pPr>
    </w:p>
    <w:p w:rsidR="00EF3A83" w:rsidRPr="00EF3A83" w:rsidRDefault="00EF3A83" w:rsidP="00C9490E">
      <w:pPr>
        <w:pStyle w:val="ListParagraph"/>
        <w:numPr>
          <w:ilvl w:val="0"/>
          <w:numId w:val="2"/>
        </w:numPr>
        <w:spacing w:after="240" w:line="288" w:lineRule="auto"/>
        <w:jc w:val="both"/>
        <w:rPr>
          <w:rFonts w:eastAsiaTheme="minorHAnsi"/>
          <w:color w:val="000000"/>
          <w:sz w:val="22"/>
          <w:szCs w:val="25"/>
        </w:rPr>
      </w:pPr>
      <w:r>
        <w:rPr>
          <w:rFonts w:eastAsiaTheme="minorHAnsi"/>
          <w:color w:val="000000"/>
          <w:sz w:val="22"/>
          <w:szCs w:val="25"/>
        </w:rPr>
        <w:t>Avista Corporation has identified eligible renewable resources sufficient to supply at least 3 percent of its load for 2014.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>(3)</w:t>
      </w:r>
      <w:r w:rsidRPr="00124934">
        <w:rPr>
          <w:sz w:val="22"/>
        </w:rPr>
        <w:tab/>
      </w:r>
      <w:r w:rsidR="00EF3A83">
        <w:rPr>
          <w:sz w:val="22"/>
        </w:rPr>
        <w:t>Avista Corporation has complied with the June 1, 2014, reporting requirements pursuant to WAC 480-109-040.</w:t>
      </w:r>
    </w:p>
    <w:p w:rsidR="00124934" w:rsidRPr="00124934" w:rsidRDefault="00124934" w:rsidP="00DA4C9B">
      <w:pPr>
        <w:spacing w:after="240" w:line="288" w:lineRule="auto"/>
        <w:ind w:left="720" w:hanging="360"/>
        <w:jc w:val="both"/>
        <w:rPr>
          <w:sz w:val="22"/>
        </w:rPr>
      </w:pPr>
      <w:r w:rsidRPr="00124934">
        <w:rPr>
          <w:sz w:val="22"/>
        </w:rPr>
        <w:t>(4)</w:t>
      </w:r>
      <w:r w:rsidRPr="00124934">
        <w:rPr>
          <w:sz w:val="22"/>
        </w:rPr>
        <w:tab/>
        <w:t>Avista Corporation must file a second report no later than June 1, 201</w:t>
      </w:r>
      <w:r w:rsidR="00EF3A83">
        <w:rPr>
          <w:sz w:val="22"/>
        </w:rPr>
        <w:t>6</w:t>
      </w:r>
      <w:r w:rsidRPr="00124934">
        <w:rPr>
          <w:sz w:val="22"/>
        </w:rPr>
        <w:t xml:space="preserve">, that provides the information necessary to determine whether Avista </w:t>
      </w:r>
      <w:r w:rsidR="00EF3A83">
        <w:rPr>
          <w:sz w:val="22"/>
        </w:rPr>
        <w:t>Corporation met the 2014 renewable</w:t>
      </w:r>
      <w:r w:rsidRPr="00124934">
        <w:rPr>
          <w:sz w:val="22"/>
        </w:rPr>
        <w:t xml:space="preserve"> target</w:t>
      </w:r>
      <w:r w:rsidR="00AA6459">
        <w:rPr>
          <w:sz w:val="22"/>
        </w:rPr>
        <w:t xml:space="preserve"> of 167,884 megawatt-hours.</w:t>
      </w:r>
    </w:p>
    <w:p w:rsidR="00DA573B" w:rsidRDefault="00C75736" w:rsidP="00DA4C9B">
      <w:pPr>
        <w:jc w:val="both"/>
      </w:pPr>
      <w:r>
        <w:lastRenderedPageBreak/>
        <w:t>Per the Commission Order</w:t>
      </w:r>
      <w:r w:rsidR="00C6447E">
        <w:t>,</w:t>
      </w:r>
      <w:r>
        <w:t xml:space="preserve"> the Company now seeks </w:t>
      </w:r>
      <w:r w:rsidR="000501AD">
        <w:t>a</w:t>
      </w:r>
      <w:r>
        <w:t xml:space="preserve"> final compliance determination regarding its 201</w:t>
      </w:r>
      <w:r w:rsidR="00AA6459">
        <w:t>4</w:t>
      </w:r>
      <w:r>
        <w:t xml:space="preserve"> compliance.  As described in the Company’s </w:t>
      </w:r>
      <w:r w:rsidR="000501AD">
        <w:t>RPS</w:t>
      </w:r>
      <w:r>
        <w:t xml:space="preserve"> Report, it met its 201</w:t>
      </w:r>
      <w:r w:rsidR="00AA6459">
        <w:t>4</w:t>
      </w:r>
      <w:r>
        <w:t xml:space="preserve"> target using qualified hydroelectric upgrades.</w:t>
      </w:r>
      <w:r w:rsidR="00DA573B">
        <w:t xml:space="preserve">  Since the filing of its 201</w:t>
      </w:r>
      <w:r w:rsidR="00AA6459">
        <w:t>4</w:t>
      </w:r>
      <w:r w:rsidR="00DA573B">
        <w:t xml:space="preserve"> Compliance Report</w:t>
      </w:r>
      <w:r w:rsidR="00DA4C9B">
        <w:t>,</w:t>
      </w:r>
      <w:r w:rsidR="00DA573B">
        <w:t xml:space="preserve"> the information and analysis regarding how the Company was to comply with the 201</w:t>
      </w:r>
      <w:r w:rsidR="00AA6459">
        <w:t>4</w:t>
      </w:r>
      <w:r w:rsidR="00DA573B">
        <w:t xml:space="preserve"> target has not changed.  </w:t>
      </w:r>
    </w:p>
    <w:p w:rsidR="00DA573B" w:rsidRDefault="00DA573B" w:rsidP="00DA4C9B">
      <w:pPr>
        <w:jc w:val="both"/>
      </w:pPr>
    </w:p>
    <w:p w:rsidR="00FE3FEA" w:rsidRDefault="009E091F" w:rsidP="00DA4C9B">
      <w:pPr>
        <w:jc w:val="both"/>
      </w:pPr>
      <w:r>
        <w:t xml:space="preserve">The </w:t>
      </w:r>
      <w:r w:rsidR="001C4CF5">
        <w:t>qualifying generation</w:t>
      </w:r>
      <w:r>
        <w:t xml:space="preserve"> associated with </w:t>
      </w:r>
      <w:r w:rsidR="00484AF3">
        <w:t xml:space="preserve">the </w:t>
      </w:r>
      <w:r>
        <w:t>hydroelectric upgrades used for 201</w:t>
      </w:r>
      <w:r w:rsidR="00AA6459">
        <w:t>4</w:t>
      </w:r>
      <w:r>
        <w:t xml:space="preserve"> compliance are </w:t>
      </w:r>
      <w:r w:rsidR="00925EA8">
        <w:t>retired</w:t>
      </w:r>
      <w:r>
        <w:t xml:space="preserve"> in WREGIS</w:t>
      </w:r>
      <w:r w:rsidR="00AB4A3F">
        <w:t>,</w:t>
      </w:r>
      <w:r>
        <w:t xml:space="preserve"> </w:t>
      </w:r>
      <w:r w:rsidR="00AB4A3F">
        <w:t xml:space="preserve">or in an attestation, </w:t>
      </w:r>
      <w:r>
        <w:t>and are d</w:t>
      </w:r>
      <w:r w:rsidR="00DA4C9B">
        <w:t>escribed in the following table:</w:t>
      </w:r>
    </w:p>
    <w:p w:rsidR="00DA4C9B" w:rsidRDefault="00DA4C9B" w:rsidP="00DA4C9B">
      <w:pPr>
        <w:jc w:val="both"/>
      </w:pPr>
    </w:p>
    <w:p w:rsidR="00FE3FEA" w:rsidRDefault="00FE3FEA" w:rsidP="00FE3FEA">
      <w:pPr>
        <w:pStyle w:val="ListParagraph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Renewable Energy for 201</w:t>
      </w:r>
      <w:r w:rsidR="00AA6459">
        <w:rPr>
          <w:b/>
        </w:rPr>
        <w:t>4</w:t>
      </w:r>
      <w:r>
        <w:rPr>
          <w:b/>
        </w:rPr>
        <w:t xml:space="preserve"> Compliance</w:t>
      </w:r>
    </w:p>
    <w:p w:rsidR="00FE3FEA" w:rsidRDefault="00FE3FEA" w:rsidP="00FE3FEA">
      <w:pPr>
        <w:pStyle w:val="ListParagraph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404"/>
        <w:gridCol w:w="1080"/>
        <w:gridCol w:w="3257"/>
        <w:gridCol w:w="1991"/>
      </w:tblGrid>
      <w:tr w:rsidR="001C4CF5" w:rsidRPr="001C4CF5" w:rsidTr="004666E4">
        <w:trPr>
          <w:jc w:val="center"/>
        </w:trPr>
        <w:tc>
          <w:tcPr>
            <w:tcW w:w="12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WREGIS </w:t>
            </w:r>
          </w:p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Generation </w:t>
            </w:r>
          </w:p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Unit ID</w:t>
            </w:r>
          </w:p>
        </w:tc>
        <w:tc>
          <w:tcPr>
            <w:tcW w:w="2404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Generator Plant – Unit Name</w:t>
            </w:r>
          </w:p>
        </w:tc>
        <w:tc>
          <w:tcPr>
            <w:tcW w:w="1080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Vintage</w:t>
            </w:r>
          </w:p>
        </w:tc>
        <w:tc>
          <w:tcPr>
            <w:tcW w:w="3257" w:type="dxa"/>
          </w:tcPr>
          <w:p w:rsidR="001C4CF5" w:rsidRPr="001C4CF5" w:rsidRDefault="001C4CF5" w:rsidP="002A2D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Certificate Serial Numbers</w:t>
            </w:r>
          </w:p>
        </w:tc>
        <w:tc>
          <w:tcPr>
            <w:tcW w:w="1991" w:type="dxa"/>
          </w:tcPr>
          <w:p w:rsidR="001C4CF5" w:rsidRPr="001C4CF5" w:rsidRDefault="001C4CF5" w:rsidP="0026238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>Total Number Eligible Renewable Resources (MWh)</w:t>
            </w:r>
          </w:p>
        </w:tc>
      </w:tr>
      <w:tr w:rsidR="0060716F" w:rsidRPr="001C4CF5" w:rsidTr="004666E4">
        <w:trPr>
          <w:jc w:val="center"/>
        </w:trPr>
        <w:tc>
          <w:tcPr>
            <w:tcW w:w="1280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W1560</w:t>
            </w:r>
          </w:p>
        </w:tc>
        <w:tc>
          <w:tcPr>
            <w:tcW w:w="2404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2</w:t>
            </w:r>
          </w:p>
        </w:tc>
        <w:tc>
          <w:tcPr>
            <w:tcW w:w="1080" w:type="dxa"/>
          </w:tcPr>
          <w:p w:rsidR="0060716F" w:rsidDel="0060716F" w:rsidRDefault="0060716F" w:rsidP="00301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60716F" w:rsidRPr="001C4CF5" w:rsidRDefault="0060716F" w:rsidP="004D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1560-ID</w:t>
            </w:r>
            <w:r w:rsidR="00D4472B">
              <w:rPr>
                <w:sz w:val="22"/>
                <w:szCs w:val="22"/>
              </w:rPr>
              <w:t>-</w:t>
            </w:r>
            <w:r w:rsidR="004D7707">
              <w:rPr>
                <w:sz w:val="22"/>
                <w:szCs w:val="22"/>
              </w:rPr>
              <w:t>129523-1</w:t>
            </w:r>
            <w:r>
              <w:rPr>
                <w:sz w:val="22"/>
                <w:szCs w:val="22"/>
              </w:rPr>
              <w:t xml:space="preserve"> to </w:t>
            </w:r>
            <w:r w:rsidR="004D7707">
              <w:rPr>
                <w:sz w:val="22"/>
                <w:szCs w:val="22"/>
              </w:rPr>
              <w:t>29008</w:t>
            </w:r>
          </w:p>
        </w:tc>
        <w:tc>
          <w:tcPr>
            <w:tcW w:w="1991" w:type="dxa"/>
          </w:tcPr>
          <w:p w:rsidR="0060716F" w:rsidRPr="001C4CF5" w:rsidRDefault="004D770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29,008</w:t>
            </w:r>
          </w:p>
        </w:tc>
      </w:tr>
      <w:tr w:rsidR="0060716F" w:rsidRPr="001C4CF5" w:rsidTr="004666E4">
        <w:trPr>
          <w:jc w:val="center"/>
        </w:trPr>
        <w:tc>
          <w:tcPr>
            <w:tcW w:w="1280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W1561</w:t>
            </w:r>
          </w:p>
        </w:tc>
        <w:tc>
          <w:tcPr>
            <w:tcW w:w="2404" w:type="dxa"/>
          </w:tcPr>
          <w:p w:rsidR="0060716F" w:rsidRPr="001C4CF5" w:rsidRDefault="0060716F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3</w:t>
            </w:r>
          </w:p>
        </w:tc>
        <w:tc>
          <w:tcPr>
            <w:tcW w:w="1080" w:type="dxa"/>
          </w:tcPr>
          <w:p w:rsidR="0060716F" w:rsidDel="0060716F" w:rsidRDefault="004B06EB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60716F" w:rsidRPr="001C4CF5" w:rsidRDefault="004B06EB" w:rsidP="004D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1561-ID-</w:t>
            </w:r>
            <w:r w:rsidR="004D7707">
              <w:rPr>
                <w:sz w:val="22"/>
                <w:szCs w:val="22"/>
              </w:rPr>
              <w:t>129524-1</w:t>
            </w:r>
            <w:r>
              <w:rPr>
                <w:sz w:val="22"/>
                <w:szCs w:val="22"/>
              </w:rPr>
              <w:t xml:space="preserve"> to </w:t>
            </w:r>
            <w:r w:rsidR="004D7707">
              <w:rPr>
                <w:sz w:val="22"/>
                <w:szCs w:val="22"/>
              </w:rPr>
              <w:t>38264</w:t>
            </w:r>
          </w:p>
        </w:tc>
        <w:tc>
          <w:tcPr>
            <w:tcW w:w="1991" w:type="dxa"/>
          </w:tcPr>
          <w:p w:rsidR="0060716F" w:rsidRPr="001C4CF5" w:rsidRDefault="004D770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38,264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W1561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1561-ID-</w:t>
            </w:r>
            <w:r w:rsidR="004D7707">
              <w:rPr>
                <w:sz w:val="22"/>
                <w:szCs w:val="22"/>
              </w:rPr>
              <w:t>133215-1 to 38264</w:t>
            </w:r>
          </w:p>
        </w:tc>
        <w:tc>
          <w:tcPr>
            <w:tcW w:w="1991" w:type="dxa"/>
          </w:tcPr>
          <w:p w:rsidR="00E31627" w:rsidRDefault="004D770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7,544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W1562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Cabinet Gorge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1562-ID-</w:t>
            </w:r>
            <w:r w:rsidR="004D7707">
              <w:rPr>
                <w:sz w:val="22"/>
                <w:szCs w:val="22"/>
              </w:rPr>
              <w:t>129525-1 to 20517</w:t>
            </w:r>
          </w:p>
        </w:tc>
        <w:tc>
          <w:tcPr>
            <w:tcW w:w="1991" w:type="dxa"/>
          </w:tcPr>
          <w:p w:rsidR="00E31627" w:rsidRPr="001C4CF5" w:rsidRDefault="004D770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20,517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W2102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Little Falls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2102-WA-</w:t>
            </w:r>
            <w:r w:rsidR="004D7707">
              <w:rPr>
                <w:sz w:val="22"/>
                <w:szCs w:val="22"/>
              </w:rPr>
              <w:t>109698-1 to 4862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4,862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W2103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Long Lake Unit 3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2103-WA-</w:t>
            </w:r>
            <w:r w:rsidR="004D7707">
              <w:rPr>
                <w:sz w:val="22"/>
                <w:szCs w:val="22"/>
              </w:rPr>
              <w:t>112568-1 to 3270</w:t>
            </w:r>
          </w:p>
        </w:tc>
        <w:tc>
          <w:tcPr>
            <w:tcW w:w="1991" w:type="dxa"/>
          </w:tcPr>
          <w:p w:rsidR="00E31627" w:rsidRPr="001C4CF5" w:rsidRDefault="004D7707" w:rsidP="00D44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3,270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W2103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 Lake Unit 3</w:t>
            </w:r>
          </w:p>
        </w:tc>
        <w:tc>
          <w:tcPr>
            <w:tcW w:w="1080" w:type="dxa"/>
          </w:tcPr>
          <w:p w:rsidR="00E31627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2103-WA-</w:t>
            </w:r>
            <w:r w:rsidR="004D7707">
              <w:rPr>
                <w:sz w:val="22"/>
                <w:szCs w:val="22"/>
              </w:rPr>
              <w:t>109699-1 to 10927</w:t>
            </w:r>
          </w:p>
        </w:tc>
        <w:tc>
          <w:tcPr>
            <w:tcW w:w="1991" w:type="dxa"/>
          </w:tcPr>
          <w:p w:rsidR="00E31627" w:rsidRPr="001C4CF5" w:rsidRDefault="004D770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10,927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W1530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1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1530-MT-</w:t>
            </w:r>
            <w:r w:rsidR="004D7707">
              <w:rPr>
                <w:sz w:val="22"/>
                <w:szCs w:val="22"/>
              </w:rPr>
              <w:t>133190-1 to 21435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21,435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W1552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2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1552-MT-</w:t>
            </w:r>
            <w:r w:rsidR="004D7707">
              <w:rPr>
                <w:sz w:val="22"/>
                <w:szCs w:val="22"/>
              </w:rPr>
              <w:t>133207-1 to 7709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7,709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W1554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3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1554-MT-</w:t>
            </w:r>
            <w:r w:rsidR="004D7707">
              <w:rPr>
                <w:sz w:val="22"/>
                <w:szCs w:val="22"/>
              </w:rPr>
              <w:t>133208-1 to 14529</w:t>
            </w:r>
          </w:p>
        </w:tc>
        <w:tc>
          <w:tcPr>
            <w:tcW w:w="1991" w:type="dxa"/>
          </w:tcPr>
          <w:p w:rsidR="00E31627" w:rsidRPr="001C4CF5" w:rsidRDefault="004D770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14,529</w:t>
            </w:r>
          </w:p>
        </w:tc>
      </w:tr>
      <w:tr w:rsidR="00E31627" w:rsidRPr="001C4CF5" w:rsidTr="004666E4">
        <w:trPr>
          <w:jc w:val="center"/>
        </w:trPr>
        <w:tc>
          <w:tcPr>
            <w:tcW w:w="1280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W1555</w:t>
            </w:r>
          </w:p>
        </w:tc>
        <w:tc>
          <w:tcPr>
            <w:tcW w:w="2404" w:type="dxa"/>
          </w:tcPr>
          <w:p w:rsidR="00E31627" w:rsidRPr="001C4CF5" w:rsidRDefault="00E31627" w:rsidP="002A2DD2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Noxon Rapids Unit 4</w:t>
            </w:r>
          </w:p>
        </w:tc>
        <w:tc>
          <w:tcPr>
            <w:tcW w:w="1080" w:type="dxa"/>
          </w:tcPr>
          <w:p w:rsidR="00E31627" w:rsidRPr="001C4CF5" w:rsidRDefault="00E31627" w:rsidP="00607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01C40">
              <w:rPr>
                <w:sz w:val="22"/>
                <w:szCs w:val="22"/>
              </w:rPr>
              <w:t>4</w:t>
            </w:r>
          </w:p>
        </w:tc>
        <w:tc>
          <w:tcPr>
            <w:tcW w:w="3257" w:type="dxa"/>
          </w:tcPr>
          <w:p w:rsidR="00E31627" w:rsidRPr="001C4CF5" w:rsidRDefault="00E31627" w:rsidP="004D7707">
            <w:pPr>
              <w:jc w:val="center"/>
              <w:rPr>
                <w:sz w:val="22"/>
                <w:szCs w:val="22"/>
              </w:rPr>
            </w:pPr>
            <w:r w:rsidRPr="001C4CF5">
              <w:rPr>
                <w:sz w:val="22"/>
                <w:szCs w:val="22"/>
              </w:rPr>
              <w:t>1555-MT-</w:t>
            </w:r>
            <w:r w:rsidR="004D7707">
              <w:rPr>
                <w:sz w:val="22"/>
                <w:szCs w:val="22"/>
              </w:rPr>
              <w:t>133209-1 to 12024</w:t>
            </w:r>
          </w:p>
        </w:tc>
        <w:tc>
          <w:tcPr>
            <w:tcW w:w="1991" w:type="dxa"/>
          </w:tcPr>
          <w:p w:rsidR="00E31627" w:rsidRPr="001C4CF5" w:rsidRDefault="00E31627" w:rsidP="002A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12,024</w:t>
            </w:r>
          </w:p>
        </w:tc>
      </w:tr>
      <w:tr w:rsidR="00E31627" w:rsidRPr="001C4CF5" w:rsidTr="004666E4">
        <w:trPr>
          <w:jc w:val="center"/>
        </w:trPr>
        <w:tc>
          <w:tcPr>
            <w:tcW w:w="8021" w:type="dxa"/>
            <w:gridSpan w:val="4"/>
          </w:tcPr>
          <w:p w:rsidR="00E31627" w:rsidRPr="001C4CF5" w:rsidRDefault="00E31627" w:rsidP="009C300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1C4CF5">
              <w:rPr>
                <w:b/>
                <w:sz w:val="22"/>
                <w:szCs w:val="22"/>
              </w:rPr>
              <w:t xml:space="preserve">Total Number of RECs </w:t>
            </w:r>
            <w:r w:rsidR="009C300B">
              <w:rPr>
                <w:b/>
                <w:sz w:val="22"/>
                <w:szCs w:val="22"/>
              </w:rPr>
              <w:t xml:space="preserve">and/or Qualifying Hydroelectric Upgrades </w:t>
            </w:r>
          </w:p>
        </w:tc>
        <w:tc>
          <w:tcPr>
            <w:tcW w:w="1991" w:type="dxa"/>
          </w:tcPr>
          <w:p w:rsidR="00E31627" w:rsidRPr="001C4CF5" w:rsidRDefault="00E31627" w:rsidP="00DC52E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C52E1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</w:rPr>
              <w:t>,0</w:t>
            </w:r>
            <w:r w:rsidR="00DC52E1">
              <w:rPr>
                <w:b/>
                <w:sz w:val="22"/>
                <w:szCs w:val="22"/>
              </w:rPr>
              <w:t>89</w:t>
            </w:r>
          </w:p>
        </w:tc>
      </w:tr>
    </w:tbl>
    <w:p w:rsidR="000501AD" w:rsidRDefault="000501AD" w:rsidP="00DA4C9B">
      <w:pPr>
        <w:jc w:val="both"/>
      </w:pPr>
    </w:p>
    <w:p w:rsidR="00C4375D" w:rsidRDefault="00E31627" w:rsidP="00DA4C9B">
      <w:pPr>
        <w:jc w:val="both"/>
      </w:pPr>
      <w:r>
        <w:t>T</w:t>
      </w:r>
      <w:r w:rsidR="009E091F">
        <w:t>he Company retire</w:t>
      </w:r>
      <w:r w:rsidR="00CE1BB2">
        <w:t>d</w:t>
      </w:r>
      <w:r w:rsidR="009E091F">
        <w:t xml:space="preserve"> the </w:t>
      </w:r>
      <w:r w:rsidR="009C300B">
        <w:t xml:space="preserve">qualifying hydroelectric upgrades </w:t>
      </w:r>
      <w:r w:rsidR="009E091F">
        <w:t xml:space="preserve">listed </w:t>
      </w:r>
      <w:r w:rsidR="00C6447E">
        <w:t>above</w:t>
      </w:r>
      <w:r w:rsidR="009C300B">
        <w:t>,</w:t>
      </w:r>
      <w:r w:rsidR="00C6447E">
        <w:t xml:space="preserve"> and </w:t>
      </w:r>
      <w:r w:rsidR="00CE1BB2">
        <w:t xml:space="preserve">has included screen shots from WREGIS as </w:t>
      </w:r>
      <w:r w:rsidR="00C6447E">
        <w:t xml:space="preserve">proof of retirement </w:t>
      </w:r>
      <w:r w:rsidR="009C300B">
        <w:t xml:space="preserve">for 170,089 MWh </w:t>
      </w:r>
      <w:r w:rsidR="00C6447E">
        <w:t>to the Commission.</w:t>
      </w:r>
      <w:r w:rsidR="009C300B">
        <w:t xml:space="preserve"> </w:t>
      </w:r>
    </w:p>
    <w:p w:rsidR="00DC52E1" w:rsidRDefault="009C300B" w:rsidP="00DA4C9B">
      <w:pPr>
        <w:jc w:val="both"/>
      </w:pPr>
      <w:bookmarkStart w:id="0" w:name="_GoBack"/>
      <w:bookmarkEnd w:id="0"/>
      <w:r>
        <w:t xml:space="preserve"> </w:t>
      </w:r>
    </w:p>
    <w:p w:rsidR="005C6DF1" w:rsidRDefault="009C300B" w:rsidP="00DA4C9B">
      <w:pPr>
        <w:jc w:val="both"/>
      </w:pPr>
      <w:r>
        <w:t xml:space="preserve">The </w:t>
      </w:r>
      <w:r w:rsidR="00BD2DFE">
        <w:t>21,</w:t>
      </w:r>
      <w:r w:rsidR="004D7707">
        <w:t>146</w:t>
      </w:r>
      <w:r w:rsidR="00BD2DFE">
        <w:t xml:space="preserve"> </w:t>
      </w:r>
      <w:proofErr w:type="spellStart"/>
      <w:r w:rsidR="00BD2DFE">
        <w:t>MWh</w:t>
      </w:r>
      <w:proofErr w:type="spellEnd"/>
      <w:r w:rsidR="00BD2DFE">
        <w:t xml:space="preserve"> </w:t>
      </w:r>
      <w:r>
        <w:t xml:space="preserve">from </w:t>
      </w:r>
      <w:proofErr w:type="spellStart"/>
      <w:r>
        <w:t>Wanapum</w:t>
      </w:r>
      <w:proofErr w:type="spellEnd"/>
      <w:r>
        <w:t xml:space="preserve"> </w:t>
      </w:r>
      <w:r w:rsidR="008F1F73">
        <w:t xml:space="preserve">qualified hydro upgrades </w:t>
      </w:r>
      <w:r>
        <w:t xml:space="preserve">documented </w:t>
      </w:r>
      <w:r w:rsidR="008F1F73">
        <w:t xml:space="preserve">in </w:t>
      </w:r>
      <w:r w:rsidR="00DC52E1">
        <w:t>previous filings for 201</w:t>
      </w:r>
      <w:r w:rsidR="004D7707">
        <w:t>4</w:t>
      </w:r>
      <w:r w:rsidR="00DC52E1">
        <w:t xml:space="preserve"> compliance have been removed to be consistent with General Order R-578 (footnote 54 on p. 29). </w:t>
      </w:r>
      <w:r w:rsidR="00DC52E1">
        <w:lastRenderedPageBreak/>
        <w:t>This Order required all qualified resources submitted for 2013 onwards be recorded in WREGIS or that a one-time exemption from the rule be requested. The Company decided against the one-time exemption because sufficient qualified resources for 201</w:t>
      </w:r>
      <w:r w:rsidR="00B3184D">
        <w:t>4</w:t>
      </w:r>
      <w:r w:rsidR="00DC52E1">
        <w:t xml:space="preserve"> compliance are already retired in WREGIS.</w:t>
      </w:r>
    </w:p>
    <w:p w:rsidR="00BD2DFE" w:rsidRDefault="00BD2DFE" w:rsidP="00DA4C9B">
      <w:pPr>
        <w:jc w:val="both"/>
      </w:pPr>
    </w:p>
    <w:p w:rsidR="00BD2DFE" w:rsidRDefault="00BD2DFE" w:rsidP="00DA4C9B">
      <w:pPr>
        <w:jc w:val="both"/>
      </w:pPr>
      <w:r>
        <w:t xml:space="preserve">The Company retired </w:t>
      </w:r>
      <w:r w:rsidR="00B3184D">
        <w:t xml:space="preserve">2,205 </w:t>
      </w:r>
      <w:r>
        <w:t>MWh more than its 16</w:t>
      </w:r>
      <w:r w:rsidR="00B3184D">
        <w:t>7,884</w:t>
      </w:r>
      <w:r>
        <w:t xml:space="preserve"> MWh goal for 201</w:t>
      </w:r>
      <w:r w:rsidR="00B3184D">
        <w:t>4</w:t>
      </w:r>
      <w:r>
        <w:t xml:space="preserve"> because incremental hydroelectric generation is a non-transferrable eligible renewable resource under the Energy Independence Act. </w:t>
      </w:r>
    </w:p>
    <w:p w:rsidR="00B53706" w:rsidRDefault="00B53706" w:rsidP="00DA4C9B">
      <w:pPr>
        <w:jc w:val="both"/>
      </w:pPr>
    </w:p>
    <w:p w:rsidR="00B53706" w:rsidRPr="004903DB" w:rsidRDefault="00B53706" w:rsidP="00DA4C9B">
      <w:pPr>
        <w:jc w:val="both"/>
      </w:pPr>
      <w:r w:rsidRPr="004903DB">
        <w:t xml:space="preserve">If you have any questions regarding this information, please contact </w:t>
      </w:r>
      <w:r>
        <w:t>Clint Kalich at 509-495-4532</w:t>
      </w:r>
      <w:r w:rsidRPr="004903DB">
        <w:t xml:space="preserve"> or myself at 509-495-4975.</w:t>
      </w:r>
    </w:p>
    <w:p w:rsidR="00B53706" w:rsidRDefault="00B53706" w:rsidP="00C6447E">
      <w:pPr>
        <w:spacing w:line="360" w:lineRule="auto"/>
      </w:pPr>
    </w:p>
    <w:p w:rsidR="00987864" w:rsidRDefault="00987864" w:rsidP="005C6DF1">
      <w:pPr>
        <w:rPr>
          <w:bCs/>
        </w:rPr>
      </w:pPr>
      <w:r>
        <w:rPr>
          <w:bCs/>
        </w:rPr>
        <w:t>Sincerely,</w:t>
      </w:r>
    </w:p>
    <w:p w:rsidR="00987864" w:rsidRDefault="00987864" w:rsidP="005C6DF1">
      <w:pPr>
        <w:jc w:val="both"/>
        <w:rPr>
          <w:bCs/>
        </w:rPr>
      </w:pPr>
    </w:p>
    <w:p w:rsidR="00987864" w:rsidRDefault="00987864" w:rsidP="005C6DF1">
      <w:pPr>
        <w:jc w:val="both"/>
        <w:rPr>
          <w:rFonts w:ascii="Lucida Handwriting" w:hAnsi="Lucida Handwriting"/>
          <w:bCs/>
        </w:rPr>
      </w:pPr>
      <w:r w:rsidRPr="00887DCE">
        <w:rPr>
          <w:rFonts w:ascii="Lucida Handwriting" w:hAnsi="Lucida Handwriting"/>
          <w:bCs/>
        </w:rPr>
        <w:t>/S/Linda Gervais//</w:t>
      </w:r>
    </w:p>
    <w:p w:rsidR="00987864" w:rsidRPr="00887DCE" w:rsidRDefault="00987864" w:rsidP="005C6DF1">
      <w:pPr>
        <w:jc w:val="both"/>
        <w:rPr>
          <w:rFonts w:ascii="Lucida Handwriting" w:hAnsi="Lucida Handwriting"/>
          <w:bCs/>
        </w:rPr>
      </w:pPr>
    </w:p>
    <w:p w:rsidR="00987864" w:rsidRDefault="00987864" w:rsidP="005C6DF1">
      <w:pPr>
        <w:jc w:val="both"/>
        <w:rPr>
          <w:bCs/>
        </w:rPr>
      </w:pPr>
      <w:r>
        <w:rPr>
          <w:bCs/>
        </w:rPr>
        <w:t>Manager, Regulatory Policy</w:t>
      </w:r>
    </w:p>
    <w:p w:rsidR="00987864" w:rsidRPr="00BA5BCE" w:rsidRDefault="00987864" w:rsidP="005C6DF1">
      <w:pPr>
        <w:jc w:val="both"/>
        <w:rPr>
          <w:bCs/>
          <w:lang w:val="fr-FR"/>
        </w:rPr>
      </w:pPr>
      <w:r w:rsidRPr="00BA5BCE">
        <w:rPr>
          <w:bCs/>
          <w:lang w:val="fr-FR"/>
        </w:rPr>
        <w:t>Avista Utilities</w:t>
      </w:r>
    </w:p>
    <w:p w:rsidR="00987864" w:rsidRPr="00BA5BCE" w:rsidRDefault="00987864" w:rsidP="005C6DF1">
      <w:pPr>
        <w:jc w:val="both"/>
        <w:rPr>
          <w:bCs/>
          <w:lang w:val="fr-FR"/>
        </w:rPr>
      </w:pPr>
      <w:r w:rsidRPr="00BA5BCE">
        <w:rPr>
          <w:bCs/>
          <w:lang w:val="fr-FR"/>
        </w:rPr>
        <w:t>(509) 495-4975</w:t>
      </w:r>
    </w:p>
    <w:p w:rsidR="003D0502" w:rsidRPr="00DA4C9B" w:rsidRDefault="00987864" w:rsidP="005C6DF1">
      <w:pPr>
        <w:jc w:val="both"/>
        <w:rPr>
          <w:lang w:val="fr-FR"/>
        </w:rPr>
      </w:pPr>
      <w:r w:rsidRPr="00BA5BCE">
        <w:rPr>
          <w:bCs/>
          <w:lang w:val="fr-FR"/>
        </w:rPr>
        <w:t>linda.gervais@avistacorp.com</w:t>
      </w:r>
    </w:p>
    <w:sectPr w:rsidR="003D0502" w:rsidRPr="00DA4C9B" w:rsidSect="0061046B">
      <w:headerReference w:type="default" r:id="rId8"/>
      <w:footerReference w:type="default" r:id="rId9"/>
      <w:headerReference w:type="first" r:id="rId10"/>
      <w:pgSz w:w="12240" w:h="15840"/>
      <w:pgMar w:top="1728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34" w:rsidRDefault="005C0134" w:rsidP="00EA43E7">
      <w:r>
        <w:separator/>
      </w:r>
    </w:p>
  </w:endnote>
  <w:endnote w:type="continuationSeparator" w:id="0">
    <w:p w:rsidR="005C0134" w:rsidRDefault="005C0134" w:rsidP="00EA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1F73" w:rsidRDefault="00AA6459" w:rsidP="009231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75D">
          <w:rPr>
            <w:noProof/>
          </w:rPr>
          <w:t>2</w:t>
        </w:r>
        <w:r>
          <w:rPr>
            <w:noProof/>
          </w:rPr>
          <w:fldChar w:fldCharType="end"/>
        </w:r>
        <w:r w:rsidR="008F1F73">
          <w:t xml:space="preserve"> | </w:t>
        </w:r>
        <w:r w:rsidR="008F1F7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34" w:rsidRDefault="005C0134" w:rsidP="00EA43E7">
      <w:r>
        <w:separator/>
      </w:r>
    </w:p>
  </w:footnote>
  <w:footnote w:type="continuationSeparator" w:id="0">
    <w:p w:rsidR="005C0134" w:rsidRDefault="005C0134" w:rsidP="00EA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73" w:rsidRDefault="008F1F73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73" w:rsidRDefault="008F1F73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C26"/>
    <w:multiLevelType w:val="hybridMultilevel"/>
    <w:tmpl w:val="C21E983C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0E52D3"/>
    <w:multiLevelType w:val="hybridMultilevel"/>
    <w:tmpl w:val="018CCB8C"/>
    <w:lvl w:ilvl="0" w:tplc="C13ED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8F"/>
    <w:rsid w:val="0000268E"/>
    <w:rsid w:val="00006EAA"/>
    <w:rsid w:val="00010BAA"/>
    <w:rsid w:val="000335F4"/>
    <w:rsid w:val="000355DC"/>
    <w:rsid w:val="00036550"/>
    <w:rsid w:val="00036D21"/>
    <w:rsid w:val="000501AD"/>
    <w:rsid w:val="00066F58"/>
    <w:rsid w:val="00076C88"/>
    <w:rsid w:val="000A36BE"/>
    <w:rsid w:val="000A78B9"/>
    <w:rsid w:val="000C5086"/>
    <w:rsid w:val="000E4F79"/>
    <w:rsid w:val="001244D3"/>
    <w:rsid w:val="00124934"/>
    <w:rsid w:val="0013316B"/>
    <w:rsid w:val="001436F2"/>
    <w:rsid w:val="00164958"/>
    <w:rsid w:val="00185D80"/>
    <w:rsid w:val="00190DF7"/>
    <w:rsid w:val="00191E97"/>
    <w:rsid w:val="001C4CF5"/>
    <w:rsid w:val="001C57E4"/>
    <w:rsid w:val="001E4522"/>
    <w:rsid w:val="00215996"/>
    <w:rsid w:val="00215BA1"/>
    <w:rsid w:val="00226336"/>
    <w:rsid w:val="00252817"/>
    <w:rsid w:val="0026238B"/>
    <w:rsid w:val="00266EF7"/>
    <w:rsid w:val="002A2DD2"/>
    <w:rsid w:val="002B0CAF"/>
    <w:rsid w:val="002C4C6C"/>
    <w:rsid w:val="00301C40"/>
    <w:rsid w:val="0030730C"/>
    <w:rsid w:val="003348E0"/>
    <w:rsid w:val="0036248F"/>
    <w:rsid w:val="003656E8"/>
    <w:rsid w:val="003A4577"/>
    <w:rsid w:val="003D0502"/>
    <w:rsid w:val="003F0C26"/>
    <w:rsid w:val="0040089E"/>
    <w:rsid w:val="00404FF5"/>
    <w:rsid w:val="00450A58"/>
    <w:rsid w:val="00456899"/>
    <w:rsid w:val="004666E4"/>
    <w:rsid w:val="00484AF3"/>
    <w:rsid w:val="00487DCE"/>
    <w:rsid w:val="00490DE0"/>
    <w:rsid w:val="004B06EB"/>
    <w:rsid w:val="004D3D61"/>
    <w:rsid w:val="004D7707"/>
    <w:rsid w:val="00520E23"/>
    <w:rsid w:val="005436AC"/>
    <w:rsid w:val="00556C48"/>
    <w:rsid w:val="00567E83"/>
    <w:rsid w:val="005754AA"/>
    <w:rsid w:val="005820DF"/>
    <w:rsid w:val="005A3A83"/>
    <w:rsid w:val="005C0134"/>
    <w:rsid w:val="005C6DF1"/>
    <w:rsid w:val="005F252B"/>
    <w:rsid w:val="005F5BB9"/>
    <w:rsid w:val="0060716F"/>
    <w:rsid w:val="0061046B"/>
    <w:rsid w:val="006960DF"/>
    <w:rsid w:val="006E2138"/>
    <w:rsid w:val="00700F7F"/>
    <w:rsid w:val="007667CC"/>
    <w:rsid w:val="007D1AEB"/>
    <w:rsid w:val="007E07F5"/>
    <w:rsid w:val="007F1450"/>
    <w:rsid w:val="00803A3F"/>
    <w:rsid w:val="008217D6"/>
    <w:rsid w:val="008431F5"/>
    <w:rsid w:val="00847869"/>
    <w:rsid w:val="008679F8"/>
    <w:rsid w:val="00880E7B"/>
    <w:rsid w:val="00892B8C"/>
    <w:rsid w:val="008D2EEC"/>
    <w:rsid w:val="008E5300"/>
    <w:rsid w:val="008F1F73"/>
    <w:rsid w:val="008F691A"/>
    <w:rsid w:val="00923140"/>
    <w:rsid w:val="00925EA8"/>
    <w:rsid w:val="0095012C"/>
    <w:rsid w:val="00956D8E"/>
    <w:rsid w:val="009754E4"/>
    <w:rsid w:val="00987864"/>
    <w:rsid w:val="009C300B"/>
    <w:rsid w:val="009E091F"/>
    <w:rsid w:val="009E2C09"/>
    <w:rsid w:val="00A22370"/>
    <w:rsid w:val="00A41D43"/>
    <w:rsid w:val="00A52718"/>
    <w:rsid w:val="00A7379F"/>
    <w:rsid w:val="00A7480F"/>
    <w:rsid w:val="00A8180E"/>
    <w:rsid w:val="00AA6459"/>
    <w:rsid w:val="00AB4A3F"/>
    <w:rsid w:val="00AE38FC"/>
    <w:rsid w:val="00AE7DDA"/>
    <w:rsid w:val="00B30D0A"/>
    <w:rsid w:val="00B3184D"/>
    <w:rsid w:val="00B34DCD"/>
    <w:rsid w:val="00B3771B"/>
    <w:rsid w:val="00B42841"/>
    <w:rsid w:val="00B46C9F"/>
    <w:rsid w:val="00B53706"/>
    <w:rsid w:val="00B748D1"/>
    <w:rsid w:val="00B94742"/>
    <w:rsid w:val="00BC3C5F"/>
    <w:rsid w:val="00BD2DFE"/>
    <w:rsid w:val="00BE075F"/>
    <w:rsid w:val="00C30E75"/>
    <w:rsid w:val="00C4375D"/>
    <w:rsid w:val="00C6447E"/>
    <w:rsid w:val="00C753A6"/>
    <w:rsid w:val="00C75736"/>
    <w:rsid w:val="00C80E4A"/>
    <w:rsid w:val="00CB424F"/>
    <w:rsid w:val="00CE1BB2"/>
    <w:rsid w:val="00D02637"/>
    <w:rsid w:val="00D172DA"/>
    <w:rsid w:val="00D42C31"/>
    <w:rsid w:val="00D4472B"/>
    <w:rsid w:val="00D71541"/>
    <w:rsid w:val="00D92025"/>
    <w:rsid w:val="00DA4C9B"/>
    <w:rsid w:val="00DA573B"/>
    <w:rsid w:val="00DA5C1F"/>
    <w:rsid w:val="00DB574D"/>
    <w:rsid w:val="00DB77AB"/>
    <w:rsid w:val="00DC52E1"/>
    <w:rsid w:val="00DE0859"/>
    <w:rsid w:val="00DF0D9B"/>
    <w:rsid w:val="00E0713B"/>
    <w:rsid w:val="00E20901"/>
    <w:rsid w:val="00E31627"/>
    <w:rsid w:val="00E45B2F"/>
    <w:rsid w:val="00E651C0"/>
    <w:rsid w:val="00E8061F"/>
    <w:rsid w:val="00EA43E7"/>
    <w:rsid w:val="00EC6FAA"/>
    <w:rsid w:val="00ED3ADE"/>
    <w:rsid w:val="00EF3A83"/>
    <w:rsid w:val="00F72704"/>
    <w:rsid w:val="00F91C29"/>
    <w:rsid w:val="00FE3FEA"/>
    <w:rsid w:val="00FE533E"/>
    <w:rsid w:val="00FF4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B98ACF00-8516-43AF-BAE2-92B3E8B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6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771B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6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E3F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5D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D8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85D80"/>
    <w:rPr>
      <w:vertAlign w:val="superscript"/>
    </w:rPr>
  </w:style>
  <w:style w:type="paragraph" w:customStyle="1" w:styleId="Default">
    <w:name w:val="Default"/>
    <w:rsid w:val="00050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BE20770573AB4AAE0E888A82116DD7" ma:contentTypeVersion="175" ma:contentTypeDescription="" ma:contentTypeScope="" ma:versionID="e738128727c9c47f978e9e11c62033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2014-05-02T07:00:00+00:00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140801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B35C8C-876F-4AD0-9396-D08ABA0DD348}"/>
</file>

<file path=customXml/itemProps2.xml><?xml version="1.0" encoding="utf-8"?>
<ds:datastoreItem xmlns:ds="http://schemas.openxmlformats.org/officeDocument/2006/customXml" ds:itemID="{A89931D5-9B24-4866-92F0-C8C3291A904C}"/>
</file>

<file path=customXml/itemProps3.xml><?xml version="1.0" encoding="utf-8"?>
<ds:datastoreItem xmlns:ds="http://schemas.openxmlformats.org/officeDocument/2006/customXml" ds:itemID="{D123FA65-80A6-4CB3-8CF7-127580F2FF46}"/>
</file>

<file path=customXml/itemProps4.xml><?xml version="1.0" encoding="utf-8"?>
<ds:datastoreItem xmlns:ds="http://schemas.openxmlformats.org/officeDocument/2006/customXml" ds:itemID="{B4EBBBBF-70DA-4B8E-8A85-85126923F186}"/>
</file>

<file path=customXml/itemProps5.xml><?xml version="1.0" encoding="utf-8"?>
<ds:datastoreItem xmlns:ds="http://schemas.openxmlformats.org/officeDocument/2006/customXml" ds:itemID="{5EDA2DB9-F0A2-4257-8C86-B88E1AF5F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Bonfield</dc:creator>
  <cp:lastModifiedBy>Bonfield, Shawn</cp:lastModifiedBy>
  <cp:revision>3</cp:revision>
  <cp:lastPrinted>2015-05-27T22:46:00Z</cp:lastPrinted>
  <dcterms:created xsi:type="dcterms:W3CDTF">2016-05-24T22:43:00Z</dcterms:created>
  <dcterms:modified xsi:type="dcterms:W3CDTF">2016-05-24T22:43:00Z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0x0101006E56B4D1795A2E4DB2F0B01679ED314A0085BE20770573AB4AAE0E888A82116DD7</vt:lpwstr>
  </property>
  <property fmtid="{D5CDD505-2E9C-101B-9397-08002B2CF9AE}" pid="3" name="_docset_NoMedatataSyncRequired">
    <vt:lpwstr>False</vt:lpwstr>
  </property>
</Properties>
</file>