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41" w:rsidRPr="004E6041" w:rsidRDefault="004E6041" w:rsidP="004A4970">
      <w:pPr>
        <w:spacing w:after="0" w:line="264" w:lineRule="auto"/>
        <w:jc w:val="center"/>
        <w:rPr>
          <w:rFonts w:eastAsia="Times New Roman"/>
          <w:b/>
          <w:bCs/>
        </w:rPr>
      </w:pPr>
      <w:r w:rsidRPr="004E6041">
        <w:rPr>
          <w:rFonts w:eastAsia="Times New Roman"/>
          <w:b/>
          <w:bCs/>
        </w:rPr>
        <w:t>BEFORE THE WASHINGTON</w:t>
      </w:r>
    </w:p>
    <w:p w:rsidR="004E6041" w:rsidRPr="004E6041" w:rsidRDefault="004E6041" w:rsidP="004A4970">
      <w:pPr>
        <w:spacing w:after="0" w:line="264" w:lineRule="auto"/>
        <w:jc w:val="center"/>
        <w:rPr>
          <w:rFonts w:eastAsia="Times New Roman"/>
          <w:b/>
          <w:bCs/>
        </w:rPr>
      </w:pPr>
      <w:r w:rsidRPr="004E6041">
        <w:rPr>
          <w:rFonts w:eastAsia="Times New Roman"/>
          <w:b/>
          <w:bCs/>
        </w:rPr>
        <w:t>UTILITIES AND TRANSPORTATION COMMISSION</w:t>
      </w:r>
    </w:p>
    <w:p w:rsidR="00C63BA2" w:rsidRDefault="00C63BA2" w:rsidP="00827ABE">
      <w:pPr>
        <w:pStyle w:val="NoSpacing"/>
      </w:pPr>
    </w:p>
    <w:p w:rsidR="00827ABE" w:rsidRDefault="00827ABE" w:rsidP="00827ABE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360"/>
        <w:gridCol w:w="3618"/>
      </w:tblGrid>
      <w:tr w:rsidR="00827ABE" w:rsidTr="00827ABE">
        <w:tc>
          <w:tcPr>
            <w:tcW w:w="3978" w:type="dxa"/>
          </w:tcPr>
          <w:p w:rsidR="00827ABE" w:rsidRDefault="00827ABE" w:rsidP="00827ABE">
            <w:pPr>
              <w:pStyle w:val="NoSpacing"/>
            </w:pPr>
            <w:r>
              <w:t>HARBHAJAN MANGAT,</w:t>
            </w:r>
          </w:p>
          <w:p w:rsidR="00827ABE" w:rsidRDefault="00827ABE" w:rsidP="00827ABE">
            <w:pPr>
              <w:pStyle w:val="NoSpacing"/>
            </w:pPr>
          </w:p>
          <w:p w:rsidR="00827ABE" w:rsidRDefault="00827ABE" w:rsidP="00827ABE">
            <w:pPr>
              <w:pStyle w:val="NoSpacing"/>
              <w:tabs>
                <w:tab w:val="left" w:pos="2146"/>
              </w:tabs>
            </w:pPr>
            <w:r>
              <w:tab/>
              <w:t>Complainant,</w:t>
            </w:r>
          </w:p>
          <w:p w:rsidR="00827ABE" w:rsidRDefault="00827ABE" w:rsidP="00827ABE">
            <w:pPr>
              <w:pStyle w:val="NoSpacing"/>
              <w:tabs>
                <w:tab w:val="left" w:pos="2146"/>
              </w:tabs>
            </w:pPr>
          </w:p>
          <w:p w:rsidR="00827ABE" w:rsidRDefault="00827ABE" w:rsidP="00827ABE">
            <w:pPr>
              <w:pStyle w:val="NoSpacing"/>
              <w:tabs>
                <w:tab w:val="left" w:pos="2146"/>
              </w:tabs>
            </w:pPr>
            <w:r>
              <w:t>v.</w:t>
            </w:r>
          </w:p>
          <w:p w:rsidR="00827ABE" w:rsidRDefault="00827ABE" w:rsidP="00827ABE">
            <w:pPr>
              <w:pStyle w:val="NoSpacing"/>
              <w:tabs>
                <w:tab w:val="left" w:pos="2146"/>
              </w:tabs>
            </w:pPr>
          </w:p>
          <w:p w:rsidR="00827ABE" w:rsidRDefault="00827ABE" w:rsidP="00827ABE">
            <w:pPr>
              <w:pStyle w:val="NoSpacing"/>
              <w:tabs>
                <w:tab w:val="left" w:pos="2146"/>
              </w:tabs>
            </w:pPr>
            <w:r>
              <w:t>PUGET SOUND ENERGY, INC.,</w:t>
            </w:r>
          </w:p>
          <w:p w:rsidR="00827ABE" w:rsidRDefault="00827ABE" w:rsidP="00827ABE">
            <w:pPr>
              <w:pStyle w:val="NoSpacing"/>
              <w:tabs>
                <w:tab w:val="left" w:pos="2146"/>
              </w:tabs>
            </w:pPr>
          </w:p>
          <w:p w:rsidR="00827ABE" w:rsidRDefault="00827ABE" w:rsidP="00827ABE">
            <w:pPr>
              <w:pStyle w:val="NoSpacing"/>
              <w:tabs>
                <w:tab w:val="left" w:pos="2146"/>
              </w:tabs>
            </w:pPr>
            <w:r>
              <w:tab/>
              <w:t>Respondent.</w:t>
            </w:r>
          </w:p>
          <w:p w:rsidR="00827ABE" w:rsidRDefault="00827ABE" w:rsidP="00827ABE">
            <w:pPr>
              <w:pStyle w:val="NoSpacing"/>
              <w:tabs>
                <w:tab w:val="left" w:pos="2146"/>
              </w:tabs>
            </w:pPr>
          </w:p>
          <w:p w:rsidR="00827ABE" w:rsidRDefault="00827ABE" w:rsidP="00827ABE">
            <w:pPr>
              <w:pStyle w:val="NoSpacing"/>
              <w:tabs>
                <w:tab w:val="left" w:pos="2146"/>
              </w:tabs>
            </w:pPr>
            <w:r>
              <w:t xml:space="preserve">. . . . . . . . . . . . . . . . . . . . . . . . . . . . . . </w:t>
            </w:r>
          </w:p>
        </w:tc>
        <w:tc>
          <w:tcPr>
            <w:tcW w:w="360" w:type="dxa"/>
          </w:tcPr>
          <w:p w:rsidR="00827ABE" w:rsidRDefault="00827ABE" w:rsidP="00827ABE">
            <w:pPr>
              <w:pStyle w:val="NoSpacing"/>
            </w:pPr>
            <w:r>
              <w:t>)</w:t>
            </w:r>
          </w:p>
          <w:p w:rsidR="00827ABE" w:rsidRDefault="00827ABE" w:rsidP="00827ABE">
            <w:pPr>
              <w:pStyle w:val="NoSpacing"/>
            </w:pPr>
            <w:r>
              <w:t>)</w:t>
            </w:r>
          </w:p>
          <w:p w:rsidR="00827ABE" w:rsidRDefault="00827ABE" w:rsidP="00827ABE">
            <w:pPr>
              <w:pStyle w:val="NoSpacing"/>
            </w:pPr>
            <w:r>
              <w:t>)</w:t>
            </w:r>
          </w:p>
          <w:p w:rsidR="00827ABE" w:rsidRDefault="00827ABE" w:rsidP="00827ABE">
            <w:pPr>
              <w:pStyle w:val="NoSpacing"/>
            </w:pPr>
            <w:r>
              <w:t>)</w:t>
            </w:r>
          </w:p>
          <w:p w:rsidR="00827ABE" w:rsidRDefault="00827ABE" w:rsidP="00827ABE">
            <w:pPr>
              <w:pStyle w:val="NoSpacing"/>
            </w:pPr>
            <w:r>
              <w:t>)</w:t>
            </w:r>
          </w:p>
          <w:p w:rsidR="00827ABE" w:rsidRDefault="00827ABE" w:rsidP="00827ABE">
            <w:pPr>
              <w:pStyle w:val="NoSpacing"/>
            </w:pPr>
            <w:r>
              <w:t>)</w:t>
            </w:r>
          </w:p>
          <w:p w:rsidR="00827ABE" w:rsidRDefault="00827ABE" w:rsidP="00827ABE">
            <w:pPr>
              <w:pStyle w:val="NoSpacing"/>
            </w:pPr>
            <w:r>
              <w:t>)</w:t>
            </w:r>
          </w:p>
          <w:p w:rsidR="00827ABE" w:rsidRDefault="00827ABE" w:rsidP="00827ABE">
            <w:pPr>
              <w:pStyle w:val="NoSpacing"/>
            </w:pPr>
            <w:r>
              <w:t>)</w:t>
            </w:r>
          </w:p>
          <w:p w:rsidR="00827ABE" w:rsidRDefault="00827ABE" w:rsidP="00827ABE">
            <w:pPr>
              <w:pStyle w:val="NoSpacing"/>
            </w:pPr>
            <w:r>
              <w:t>)</w:t>
            </w:r>
          </w:p>
          <w:p w:rsidR="00827ABE" w:rsidRDefault="00827ABE" w:rsidP="00827ABE">
            <w:pPr>
              <w:pStyle w:val="NoSpacing"/>
            </w:pPr>
            <w:r>
              <w:t>)</w:t>
            </w:r>
          </w:p>
          <w:p w:rsidR="00827ABE" w:rsidRDefault="00827ABE" w:rsidP="00827ABE">
            <w:pPr>
              <w:pStyle w:val="NoSpacing"/>
            </w:pPr>
            <w:r>
              <w:t>)</w:t>
            </w:r>
          </w:p>
        </w:tc>
        <w:tc>
          <w:tcPr>
            <w:tcW w:w="3618" w:type="dxa"/>
          </w:tcPr>
          <w:p w:rsidR="00827ABE" w:rsidRDefault="00827ABE" w:rsidP="00827ABE">
            <w:pPr>
              <w:pStyle w:val="NoSpacing"/>
            </w:pPr>
            <w:r>
              <w:t>DOCKET UE-120522</w:t>
            </w:r>
          </w:p>
          <w:p w:rsidR="00827ABE" w:rsidRDefault="00827ABE" w:rsidP="00827ABE">
            <w:pPr>
              <w:pStyle w:val="NoSpacing"/>
            </w:pPr>
          </w:p>
          <w:p w:rsidR="00827ABE" w:rsidRDefault="00827ABE" w:rsidP="00827ABE">
            <w:pPr>
              <w:pStyle w:val="NoSpacing"/>
            </w:pPr>
          </w:p>
          <w:p w:rsidR="00827ABE" w:rsidRDefault="00827ABE" w:rsidP="00827ABE">
            <w:pPr>
              <w:pStyle w:val="NoSpacing"/>
            </w:pPr>
            <w:r>
              <w:t>ORDER 0</w:t>
            </w:r>
            <w:r w:rsidR="00274737">
              <w:t>2</w:t>
            </w:r>
          </w:p>
          <w:p w:rsidR="00827ABE" w:rsidRDefault="00827ABE" w:rsidP="00827ABE">
            <w:pPr>
              <w:pStyle w:val="NoSpacing"/>
            </w:pPr>
          </w:p>
          <w:p w:rsidR="00827ABE" w:rsidRDefault="00827ABE" w:rsidP="00827ABE">
            <w:pPr>
              <w:pStyle w:val="NoSpacing"/>
            </w:pPr>
          </w:p>
          <w:p w:rsidR="00827ABE" w:rsidRDefault="00827ABE" w:rsidP="00274737">
            <w:pPr>
              <w:pStyle w:val="NoSpacing"/>
            </w:pPr>
            <w:r>
              <w:t xml:space="preserve">ORDER </w:t>
            </w:r>
            <w:r w:rsidR="00274737">
              <w:t>DENYING REVIEW OF ORDER 01</w:t>
            </w:r>
          </w:p>
        </w:tc>
      </w:tr>
    </w:tbl>
    <w:p w:rsidR="004A4970" w:rsidRDefault="004A4970" w:rsidP="00827ABE">
      <w:pPr>
        <w:pStyle w:val="NoSpacing"/>
      </w:pPr>
    </w:p>
    <w:p w:rsidR="00827ABE" w:rsidRDefault="00827ABE" w:rsidP="00827ABE">
      <w:pPr>
        <w:pStyle w:val="NoSpacing"/>
      </w:pPr>
    </w:p>
    <w:p w:rsidR="004E6041" w:rsidRPr="00274737" w:rsidRDefault="00274737" w:rsidP="004A4970">
      <w:pPr>
        <w:keepNext/>
        <w:spacing w:after="0" w:line="264" w:lineRule="auto"/>
        <w:ind w:left="720" w:hanging="720"/>
        <w:jc w:val="center"/>
        <w:outlineLvl w:val="1"/>
        <w:rPr>
          <w:rFonts w:eastAsia="Times New Roman"/>
          <w:bCs/>
        </w:rPr>
      </w:pPr>
      <w:r>
        <w:rPr>
          <w:rFonts w:eastAsia="Times New Roman"/>
          <w:b/>
          <w:bCs/>
        </w:rPr>
        <w:t>B</w:t>
      </w:r>
      <w:r w:rsidR="00D40958">
        <w:rPr>
          <w:rFonts w:eastAsia="Times New Roman"/>
          <w:b/>
          <w:bCs/>
        </w:rPr>
        <w:t>ACKGROUND</w:t>
      </w:r>
    </w:p>
    <w:p w:rsidR="004E6041" w:rsidRPr="004E6041" w:rsidRDefault="004E6041" w:rsidP="004A4970">
      <w:pPr>
        <w:spacing w:after="0" w:line="264" w:lineRule="auto"/>
        <w:ind w:hanging="720"/>
        <w:rPr>
          <w:rFonts w:eastAsia="Times New Roman"/>
          <w:sz w:val="24"/>
          <w:szCs w:val="24"/>
        </w:rPr>
      </w:pPr>
    </w:p>
    <w:p w:rsidR="00D024DC" w:rsidRPr="00FE1D93" w:rsidRDefault="009456FE" w:rsidP="00FE1D93">
      <w:pPr>
        <w:numPr>
          <w:ilvl w:val="0"/>
          <w:numId w:val="1"/>
        </w:numPr>
        <w:spacing w:after="0" w:line="264" w:lineRule="auto"/>
        <w:ind w:hanging="720"/>
        <w:rPr>
          <w:rFonts w:eastAsia="Times New Roman"/>
        </w:rPr>
      </w:pPr>
      <w:r w:rsidRPr="004A4970">
        <w:rPr>
          <w:rFonts w:eastAsia="Times New Roman"/>
        </w:rPr>
        <w:t xml:space="preserve">On April 17, 2012, </w:t>
      </w:r>
      <w:r w:rsidR="001B5878" w:rsidRPr="004A4970">
        <w:rPr>
          <w:rFonts w:eastAsia="Times New Roman"/>
        </w:rPr>
        <w:t>Harbhajan Mangat</w:t>
      </w:r>
      <w:r w:rsidR="004D44DF" w:rsidRPr="004A4970">
        <w:rPr>
          <w:rFonts w:eastAsia="Times New Roman"/>
        </w:rPr>
        <w:t xml:space="preserve"> (Complainant)</w:t>
      </w:r>
      <w:r w:rsidR="001B5878" w:rsidRPr="004A4970">
        <w:rPr>
          <w:rFonts w:eastAsia="Times New Roman"/>
        </w:rPr>
        <w:t xml:space="preserve"> </w:t>
      </w:r>
      <w:r w:rsidR="004E6041" w:rsidRPr="004A4970">
        <w:rPr>
          <w:rFonts w:eastAsia="Times New Roman"/>
        </w:rPr>
        <w:t>filed</w:t>
      </w:r>
      <w:r w:rsidR="00943AD2" w:rsidRPr="004A4970">
        <w:rPr>
          <w:rFonts w:eastAsia="Times New Roman"/>
        </w:rPr>
        <w:t xml:space="preserve"> </w:t>
      </w:r>
      <w:r w:rsidRPr="004A4970">
        <w:rPr>
          <w:rFonts w:eastAsia="Times New Roman"/>
        </w:rPr>
        <w:t xml:space="preserve">with the Washington Utilities and Transportation Commission (Commission) </w:t>
      </w:r>
      <w:r w:rsidR="00943AD2" w:rsidRPr="004A4970">
        <w:rPr>
          <w:rFonts w:eastAsia="Times New Roman"/>
        </w:rPr>
        <w:t xml:space="preserve">a formal complaint against </w:t>
      </w:r>
      <w:r w:rsidR="001A6C14" w:rsidRPr="004A4970">
        <w:rPr>
          <w:rFonts w:eastAsia="Times New Roman"/>
        </w:rPr>
        <w:t>Puget Sound Energy, Inc. (PSE or Company),</w:t>
      </w:r>
      <w:r w:rsidR="00943AD2" w:rsidRPr="004A4970">
        <w:rPr>
          <w:rFonts w:eastAsia="Times New Roman"/>
        </w:rPr>
        <w:t xml:space="preserve"> </w:t>
      </w:r>
      <w:r w:rsidR="00FE1D93">
        <w:rPr>
          <w:rFonts w:eastAsia="Times New Roman"/>
        </w:rPr>
        <w:t xml:space="preserve">contesting the reasonableness of </w:t>
      </w:r>
      <w:r w:rsidR="001A6C14" w:rsidRPr="004A4970">
        <w:rPr>
          <w:rFonts w:eastAsia="Times New Roman"/>
        </w:rPr>
        <w:t>PSE’s Tariff G, Rate Schedule 85 – Line Extensions</w:t>
      </w:r>
      <w:r w:rsidR="00D024DC" w:rsidRPr="004A4970">
        <w:rPr>
          <w:rFonts w:eastAsia="Times New Roman"/>
        </w:rPr>
        <w:t xml:space="preserve"> and Service Lines</w:t>
      </w:r>
      <w:r w:rsidR="001A6C14" w:rsidRPr="004A4970">
        <w:rPr>
          <w:rFonts w:eastAsia="Times New Roman"/>
        </w:rPr>
        <w:t>.</w:t>
      </w:r>
      <w:r w:rsidR="00FE1D93">
        <w:rPr>
          <w:rFonts w:eastAsia="Times New Roman"/>
        </w:rPr>
        <w:t xml:space="preserve">  </w:t>
      </w:r>
      <w:r w:rsidR="00D024DC" w:rsidRPr="00FE1D93">
        <w:rPr>
          <w:rFonts w:eastAsia="Times New Roman"/>
        </w:rPr>
        <w:t>Rate Schedule 85 provides that when a person pays</w:t>
      </w:r>
      <w:r w:rsidR="004D44DF" w:rsidRPr="00FE1D93">
        <w:rPr>
          <w:rFonts w:eastAsia="Times New Roman"/>
        </w:rPr>
        <w:t xml:space="preserve"> </w:t>
      </w:r>
      <w:r w:rsidR="00D024DC" w:rsidRPr="00FE1D93">
        <w:rPr>
          <w:rFonts w:eastAsia="Times New Roman"/>
        </w:rPr>
        <w:t>for installation of a new primary voltage line extension</w:t>
      </w:r>
      <w:r w:rsidR="00C63BA2" w:rsidRPr="00FE1D93">
        <w:rPr>
          <w:rFonts w:eastAsia="Times New Roman"/>
        </w:rPr>
        <w:t xml:space="preserve"> to a planned residential neighborhood development</w:t>
      </w:r>
      <w:r w:rsidR="00D024DC" w:rsidRPr="00FE1D93">
        <w:rPr>
          <w:rFonts w:eastAsia="Times New Roman"/>
        </w:rPr>
        <w:t>,</w:t>
      </w:r>
      <w:r w:rsidR="004D44DF" w:rsidRPr="00FE1D93">
        <w:rPr>
          <w:rFonts w:eastAsia="Times New Roman"/>
        </w:rPr>
        <w:t xml:space="preserve"> as in this case,</w:t>
      </w:r>
      <w:r w:rsidR="00D024DC" w:rsidRPr="00FE1D93">
        <w:rPr>
          <w:rFonts w:eastAsia="Times New Roman"/>
        </w:rPr>
        <w:t xml:space="preserve"> they are entitled under limited circumstances to certain refunds as development ensues.</w:t>
      </w:r>
      <w:r w:rsidR="004D44DF" w:rsidRPr="00FE1D93">
        <w:rPr>
          <w:rFonts w:eastAsia="Times New Roman"/>
        </w:rPr>
        <w:t xml:space="preserve">  </w:t>
      </w:r>
    </w:p>
    <w:p w:rsidR="003B6C71" w:rsidRDefault="003B6C71" w:rsidP="004A4970">
      <w:pPr>
        <w:spacing w:after="0" w:line="264" w:lineRule="auto"/>
        <w:ind w:left="720"/>
        <w:rPr>
          <w:rFonts w:eastAsia="Times New Roman"/>
        </w:rPr>
      </w:pPr>
    </w:p>
    <w:p w:rsidR="004E6041" w:rsidRDefault="00E352F9" w:rsidP="00827ABE">
      <w:pPr>
        <w:numPr>
          <w:ilvl w:val="0"/>
          <w:numId w:val="1"/>
        </w:numPr>
        <w:spacing w:after="0" w:line="264" w:lineRule="auto"/>
        <w:ind w:hanging="720"/>
        <w:rPr>
          <w:rFonts w:eastAsia="Times New Roman"/>
        </w:rPr>
      </w:pPr>
      <w:r w:rsidRPr="001A6C14">
        <w:rPr>
          <w:rFonts w:eastAsia="Times New Roman"/>
        </w:rPr>
        <w:t xml:space="preserve">PSE </w:t>
      </w:r>
      <w:r>
        <w:rPr>
          <w:rFonts w:eastAsia="Times New Roman"/>
        </w:rPr>
        <w:t xml:space="preserve">answered the complaint on May 14, 2012.  </w:t>
      </w:r>
      <w:r w:rsidR="00FE1D93">
        <w:rPr>
          <w:rFonts w:eastAsia="Times New Roman"/>
        </w:rPr>
        <w:t xml:space="preserve">Among its </w:t>
      </w:r>
      <w:r>
        <w:rPr>
          <w:rFonts w:eastAsia="Times New Roman"/>
        </w:rPr>
        <w:t>affirmative defenses</w:t>
      </w:r>
      <w:r w:rsidR="00FE1D93">
        <w:rPr>
          <w:rFonts w:eastAsia="Times New Roman"/>
        </w:rPr>
        <w:t>,</w:t>
      </w:r>
      <w:r>
        <w:rPr>
          <w:rFonts w:eastAsia="Times New Roman"/>
        </w:rPr>
        <w:t xml:space="preserve"> PSE asserts as affirmative defenses that</w:t>
      </w:r>
      <w:r w:rsidR="00943AD2">
        <w:rPr>
          <w:rFonts w:eastAsia="Times New Roman"/>
        </w:rPr>
        <w:t xml:space="preserve"> </w:t>
      </w:r>
      <w:r>
        <w:rPr>
          <w:rFonts w:eastAsia="Times New Roman"/>
        </w:rPr>
        <w:t>Harbhajan Mangat fails to state a claim upon which the Commission can grant relief</w:t>
      </w:r>
      <w:r w:rsidR="006465C7">
        <w:rPr>
          <w:rFonts w:eastAsia="Times New Roman"/>
        </w:rPr>
        <w:t>,</w:t>
      </w:r>
      <w:r>
        <w:rPr>
          <w:rFonts w:eastAsia="Times New Roman"/>
        </w:rPr>
        <w:t xml:space="preserve"> and that the Company’s acts and practices comply fully with Washington law, the Commission’s rules and PSE’s tariffs.</w:t>
      </w:r>
      <w:r w:rsidR="00943AD2">
        <w:rPr>
          <w:rFonts w:eastAsia="Times New Roman"/>
        </w:rPr>
        <w:t xml:space="preserve"> </w:t>
      </w:r>
    </w:p>
    <w:p w:rsidR="00D024DC" w:rsidRDefault="00D024DC" w:rsidP="00671955">
      <w:pPr>
        <w:spacing w:after="0" w:line="264" w:lineRule="auto"/>
        <w:rPr>
          <w:rFonts w:eastAsia="Times New Roman"/>
        </w:rPr>
      </w:pPr>
    </w:p>
    <w:p w:rsidR="00164970" w:rsidRDefault="00FE1D93" w:rsidP="00827ABE">
      <w:pPr>
        <w:numPr>
          <w:ilvl w:val="0"/>
          <w:numId w:val="1"/>
        </w:numPr>
        <w:spacing w:after="0" w:line="264" w:lineRule="auto"/>
        <w:ind w:hanging="720"/>
      </w:pPr>
      <w:r>
        <w:t>On June 5, 20</w:t>
      </w:r>
      <w:r w:rsidR="00981AAE">
        <w:t>12</w:t>
      </w:r>
      <w:r>
        <w:t>, Administrative Law Judge Dennis Moss issued Order 01, Order Dismissing Complaint.</w:t>
      </w:r>
      <w:r w:rsidR="00981AAE">
        <w:t xml:space="preserve"> </w:t>
      </w:r>
      <w:r>
        <w:t xml:space="preserve"> </w:t>
      </w:r>
      <w:r w:rsidR="00803318">
        <w:t>This initial order</w:t>
      </w:r>
      <w:r>
        <w:t xml:space="preserve"> found the Complaint</w:t>
      </w:r>
      <w:r w:rsidR="004454BF">
        <w:t xml:space="preserve"> deficient as a matter of law because the Complainant does not </w:t>
      </w:r>
      <w:r w:rsidR="00803318">
        <w:t xml:space="preserve">satisfy the requirements </w:t>
      </w:r>
      <w:r w:rsidR="004454BF">
        <w:t xml:space="preserve">in RCW 80.04.110 </w:t>
      </w:r>
      <w:r w:rsidR="00803318">
        <w:t xml:space="preserve">for bringing </w:t>
      </w:r>
      <w:r w:rsidR="00DA7BA0">
        <w:t>a</w:t>
      </w:r>
      <w:r w:rsidR="00803318">
        <w:t xml:space="preserve"> complaint</w:t>
      </w:r>
      <w:r w:rsidR="004454BF">
        <w:t>.</w:t>
      </w:r>
      <w:r>
        <w:t xml:space="preserve">  Order 01, therefore, dismissed the Complaint for failure to state a claim on which the Commission can grant relief.</w:t>
      </w:r>
    </w:p>
    <w:p w:rsidR="00164970" w:rsidRDefault="00164970" w:rsidP="004A4970">
      <w:pPr>
        <w:spacing w:after="0" w:line="264" w:lineRule="auto"/>
        <w:ind w:left="720"/>
      </w:pPr>
    </w:p>
    <w:p w:rsidR="00D40958" w:rsidRDefault="00E31645" w:rsidP="00D62379">
      <w:pPr>
        <w:numPr>
          <w:ilvl w:val="0"/>
          <w:numId w:val="1"/>
        </w:numPr>
        <w:spacing w:after="0" w:line="264" w:lineRule="auto"/>
        <w:ind w:hanging="720"/>
      </w:pPr>
      <w:r>
        <w:t>On June 15, 2012, Harbhajan Mangat filed a pleading seeking reconsideration of Order 01.  The Commission construed the pleading as a petition for administrative review of that</w:t>
      </w:r>
      <w:r w:rsidR="00DA7BA0">
        <w:t xml:space="preserve"> initial</w:t>
      </w:r>
      <w:r>
        <w:t xml:space="preserve"> order and required responses to the pleading to be filed by June </w:t>
      </w:r>
      <w:r>
        <w:lastRenderedPageBreak/>
        <w:t>29, 2012</w:t>
      </w:r>
      <w:r w:rsidR="00164970">
        <w:t>.</w:t>
      </w:r>
      <w:r w:rsidR="00803318">
        <w:t xml:space="preserve">  PSE filed a response opposing the requested relief.  The Complainant also filed a response.</w:t>
      </w:r>
      <w:r w:rsidR="00803318">
        <w:rPr>
          <w:rStyle w:val="FootnoteReference"/>
        </w:rPr>
        <w:footnoteReference w:id="1"/>
      </w:r>
    </w:p>
    <w:p w:rsidR="00D40958" w:rsidRDefault="00D40958" w:rsidP="00D40958">
      <w:pPr>
        <w:spacing w:after="0" w:line="264" w:lineRule="auto"/>
        <w:jc w:val="center"/>
        <w:rPr>
          <w:b/>
        </w:rPr>
      </w:pPr>
      <w:r>
        <w:rPr>
          <w:b/>
        </w:rPr>
        <w:t>DISCUSSION</w:t>
      </w:r>
    </w:p>
    <w:p w:rsidR="00D40958" w:rsidRPr="00D40958" w:rsidRDefault="00D40958" w:rsidP="00D40958">
      <w:pPr>
        <w:spacing w:after="0" w:line="264" w:lineRule="auto"/>
        <w:jc w:val="center"/>
        <w:rPr>
          <w:b/>
        </w:rPr>
      </w:pPr>
    </w:p>
    <w:p w:rsidR="00E31645" w:rsidRDefault="0032639D" w:rsidP="00827ABE">
      <w:pPr>
        <w:numPr>
          <w:ilvl w:val="0"/>
          <w:numId w:val="1"/>
        </w:numPr>
        <w:spacing w:after="0" w:line="264" w:lineRule="auto"/>
        <w:ind w:hanging="720"/>
      </w:pPr>
      <w:r>
        <w:t xml:space="preserve">The Commission denies review of Order 01.  Harbhajan Mangat’s series of pleadings make increasingly clear that </w:t>
      </w:r>
      <w:r w:rsidR="00D62379">
        <w:t xml:space="preserve">her sole challenge is to </w:t>
      </w:r>
      <w:r>
        <w:t>the reasonableness of PSE tariff provisions establishing the rates for line extensions</w:t>
      </w:r>
      <w:r w:rsidR="00D40958">
        <w:t>.</w:t>
      </w:r>
      <w:r>
        <w:t xml:space="preserve">  The legislature precludes the Commission from enter</w:t>
      </w:r>
      <w:r w:rsidR="00762962">
        <w:t xml:space="preserve">taining such a complaint unless </w:t>
      </w:r>
      <w:r w:rsidR="00D62379">
        <w:t xml:space="preserve">it is </w:t>
      </w:r>
      <w:r w:rsidR="00762962">
        <w:t xml:space="preserve">signed by the </w:t>
      </w:r>
      <w:r w:rsidR="00D62379">
        <w:t xml:space="preserve">local </w:t>
      </w:r>
      <w:r w:rsidR="00762962">
        <w:t>municipal governing body, 25 consumers of the service, or 25 percent of the purchasers of that service.</w:t>
      </w:r>
      <w:r w:rsidR="00762962">
        <w:rPr>
          <w:rStyle w:val="FootnoteReference"/>
        </w:rPr>
        <w:footnoteReference w:id="2"/>
      </w:r>
      <w:r w:rsidR="00D62379">
        <w:t xml:space="preserve">  Ms. Mangat alone signed the Complaint.  Accordingly, Order 01 correctly concluded that the Commission lacks </w:t>
      </w:r>
      <w:r w:rsidR="00C40AC5">
        <w:t>jurisdiction</w:t>
      </w:r>
      <w:r w:rsidR="00D62379">
        <w:t xml:space="preserve"> to entertain the Complaint.</w:t>
      </w:r>
    </w:p>
    <w:p w:rsidR="00671955" w:rsidRDefault="00671955">
      <w:pPr>
        <w:spacing w:line="276" w:lineRule="auto"/>
      </w:pPr>
    </w:p>
    <w:p w:rsidR="00463AA1" w:rsidRPr="00D40958" w:rsidRDefault="00463AA1" w:rsidP="00671955">
      <w:pPr>
        <w:pStyle w:val="ListParagraph"/>
        <w:spacing w:line="264" w:lineRule="auto"/>
        <w:ind w:left="0"/>
        <w:jc w:val="center"/>
        <w:rPr>
          <w:b/>
        </w:rPr>
      </w:pPr>
      <w:r w:rsidRPr="00D40958">
        <w:rPr>
          <w:b/>
        </w:rPr>
        <w:t>ORDER</w:t>
      </w:r>
    </w:p>
    <w:p w:rsidR="005E05E6" w:rsidRPr="00755717" w:rsidRDefault="00DC1863" w:rsidP="00827ABE">
      <w:pPr>
        <w:numPr>
          <w:ilvl w:val="0"/>
          <w:numId w:val="1"/>
        </w:numPr>
        <w:spacing w:after="0" w:line="264" w:lineRule="auto"/>
        <w:ind w:hanging="720"/>
      </w:pPr>
      <w:r>
        <w:t xml:space="preserve">The Commission Orders that the </w:t>
      </w:r>
      <w:r w:rsidR="00D62379">
        <w:t xml:space="preserve">petition for review of Order 01 is denied, and the </w:t>
      </w:r>
      <w:r>
        <w:t xml:space="preserve">Complaint filed by </w:t>
      </w:r>
      <w:r>
        <w:rPr>
          <w:rFonts w:eastAsia="Times New Roman"/>
        </w:rPr>
        <w:t>Harbhajan Mangat on April 17, 2012, against Puget Sound Energy, Inc., is dismissed.</w:t>
      </w:r>
    </w:p>
    <w:p w:rsidR="00755717" w:rsidRDefault="00755717" w:rsidP="004A4970">
      <w:pPr>
        <w:spacing w:after="0" w:line="264" w:lineRule="auto"/>
      </w:pPr>
    </w:p>
    <w:p w:rsidR="00755717" w:rsidRPr="00755717" w:rsidRDefault="00755717" w:rsidP="004A4970">
      <w:pPr>
        <w:spacing w:after="0" w:line="264" w:lineRule="auto"/>
        <w:rPr>
          <w:rFonts w:eastAsia="Times New Roman"/>
        </w:rPr>
      </w:pPr>
      <w:proofErr w:type="gramStart"/>
      <w:r w:rsidRPr="00755717">
        <w:rPr>
          <w:rFonts w:eastAsia="Times New Roman"/>
        </w:rPr>
        <w:t xml:space="preserve">Dated at Olympia, Washington, and effective </w:t>
      </w:r>
      <w:r>
        <w:rPr>
          <w:rFonts w:eastAsia="Times New Roman"/>
        </w:rPr>
        <w:t>Ju</w:t>
      </w:r>
      <w:r w:rsidR="00E31645">
        <w:rPr>
          <w:rFonts w:eastAsia="Times New Roman"/>
        </w:rPr>
        <w:t xml:space="preserve">ly </w:t>
      </w:r>
      <w:r w:rsidR="00D81B5A">
        <w:rPr>
          <w:rFonts w:eastAsia="Times New Roman"/>
        </w:rPr>
        <w:t>12</w:t>
      </w:r>
      <w:bookmarkStart w:id="0" w:name="_GoBack"/>
      <w:bookmarkEnd w:id="0"/>
      <w:r>
        <w:rPr>
          <w:rFonts w:eastAsia="Times New Roman"/>
        </w:rPr>
        <w:t>, 2012</w:t>
      </w:r>
      <w:r w:rsidRPr="00755717">
        <w:rPr>
          <w:rFonts w:eastAsia="Times New Roman"/>
        </w:rPr>
        <w:t>.</w:t>
      </w:r>
      <w:proofErr w:type="gramEnd"/>
    </w:p>
    <w:p w:rsidR="00755717" w:rsidRPr="00755717" w:rsidRDefault="00755717" w:rsidP="004A4970">
      <w:pPr>
        <w:spacing w:after="0" w:line="264" w:lineRule="auto"/>
        <w:rPr>
          <w:rFonts w:eastAsia="Times New Roman"/>
        </w:rPr>
      </w:pPr>
    </w:p>
    <w:p w:rsidR="00D40958" w:rsidRDefault="00D40958" w:rsidP="00D40958">
      <w:pPr>
        <w:jc w:val="center"/>
      </w:pPr>
      <w:r w:rsidRPr="00DA5DBB">
        <w:t>WASHINGTON UTILITIES AND TRANSPORTATION COMMISSION</w:t>
      </w:r>
    </w:p>
    <w:p w:rsidR="00D40958" w:rsidRDefault="00D40958" w:rsidP="00D40958"/>
    <w:p w:rsidR="00D40958" w:rsidRDefault="00D40958" w:rsidP="00D40958">
      <w:r>
        <w:tab/>
      </w:r>
      <w:r>
        <w:tab/>
      </w:r>
      <w:r>
        <w:tab/>
      </w:r>
      <w:r>
        <w:tab/>
      </w:r>
      <w:r>
        <w:tab/>
      </w:r>
      <w:r>
        <w:tab/>
        <w:t>JEFFREY D. GOLTZ, Chairman</w:t>
      </w:r>
    </w:p>
    <w:p w:rsidR="00D40958" w:rsidRDefault="00D40958" w:rsidP="00D40958"/>
    <w:p w:rsidR="00D40958" w:rsidRDefault="00D40958" w:rsidP="00D40958">
      <w:r>
        <w:tab/>
      </w:r>
      <w:r>
        <w:tab/>
      </w:r>
      <w:r>
        <w:tab/>
      </w:r>
      <w:r>
        <w:tab/>
      </w:r>
      <w:r>
        <w:tab/>
      </w:r>
      <w:r>
        <w:tab/>
        <w:t>PATRICK J. OSHIE, Commissioner</w:t>
      </w:r>
    </w:p>
    <w:p w:rsidR="00D40958" w:rsidRDefault="00D40958" w:rsidP="00D40958"/>
    <w:p w:rsidR="00D40958" w:rsidRDefault="00D40958" w:rsidP="00D40958">
      <w:r>
        <w:tab/>
      </w:r>
      <w:r>
        <w:tab/>
      </w:r>
      <w:r>
        <w:tab/>
      </w:r>
      <w:r>
        <w:tab/>
      </w:r>
      <w:r>
        <w:tab/>
      </w:r>
      <w:r>
        <w:tab/>
        <w:t>PHILIP B. JONES, Commissioner</w:t>
      </w:r>
    </w:p>
    <w:p w:rsidR="00D40958" w:rsidRDefault="00D40958" w:rsidP="00D40958"/>
    <w:p w:rsidR="002C672C" w:rsidRPr="008000BE" w:rsidRDefault="002C672C" w:rsidP="002C672C">
      <w:pPr>
        <w:pStyle w:val="BodyText2"/>
        <w:spacing w:line="264" w:lineRule="auto"/>
        <w:rPr>
          <w:sz w:val="25"/>
          <w:szCs w:val="25"/>
        </w:rPr>
      </w:pPr>
      <w:r w:rsidRPr="008000BE">
        <w:rPr>
          <w:sz w:val="25"/>
          <w:szCs w:val="25"/>
        </w:rPr>
        <w:t>NOTICE TO PARTIES:  This is a final order of the Commission.  In addition to judicial review, administrative relief may be available through a petition for reconsideration, filed within 10 days of the service of this order pursuant to RCW 34.05.470 and WAC 480-07-850, or a petition for rehearing pursuant to RCW 80.04.200 or RCW 81.04.200 and WAC 480-07-870.</w:t>
      </w:r>
    </w:p>
    <w:p w:rsidR="002C672C" w:rsidRPr="008000BE" w:rsidRDefault="002C672C" w:rsidP="002C672C">
      <w:pPr>
        <w:spacing w:line="264" w:lineRule="auto"/>
      </w:pPr>
    </w:p>
    <w:sectPr w:rsidR="002C672C" w:rsidRPr="008000BE" w:rsidSect="002C672C">
      <w:headerReference w:type="default" r:id="rId9"/>
      <w:headerReference w:type="first" r:id="rId10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B3" w:rsidRDefault="00C728B3" w:rsidP="008172E1">
      <w:pPr>
        <w:spacing w:after="0" w:line="240" w:lineRule="auto"/>
      </w:pPr>
      <w:r>
        <w:separator/>
      </w:r>
    </w:p>
  </w:endnote>
  <w:endnote w:type="continuationSeparator" w:id="0">
    <w:p w:rsidR="00C728B3" w:rsidRDefault="00C728B3" w:rsidP="0081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B3" w:rsidRDefault="00C728B3" w:rsidP="008172E1">
      <w:pPr>
        <w:spacing w:after="0" w:line="240" w:lineRule="auto"/>
      </w:pPr>
      <w:r>
        <w:separator/>
      </w:r>
    </w:p>
  </w:footnote>
  <w:footnote w:type="continuationSeparator" w:id="0">
    <w:p w:rsidR="00C728B3" w:rsidRDefault="00C728B3" w:rsidP="008172E1">
      <w:pPr>
        <w:spacing w:after="0" w:line="240" w:lineRule="auto"/>
      </w:pPr>
      <w:r>
        <w:continuationSeparator/>
      </w:r>
    </w:p>
  </w:footnote>
  <w:footnote w:id="1">
    <w:p w:rsidR="00803318" w:rsidRPr="00803318" w:rsidRDefault="00803318" w:rsidP="00762962">
      <w:pPr>
        <w:pStyle w:val="FootnoteText"/>
        <w:spacing w:after="120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  <w:szCs w:val="22"/>
        </w:rPr>
        <w:t>Commission rules do not authorize the party seeking review of an initial order</w:t>
      </w:r>
      <w:r w:rsidR="00DA7BA0">
        <w:rPr>
          <w:sz w:val="22"/>
          <w:szCs w:val="22"/>
        </w:rPr>
        <w:t xml:space="preserve"> to make any further filing in support of its petition.  </w:t>
      </w:r>
      <w:r w:rsidR="00DA7BA0" w:rsidRPr="00DA7BA0">
        <w:rPr>
          <w:i/>
          <w:sz w:val="22"/>
          <w:szCs w:val="22"/>
        </w:rPr>
        <w:t>See</w:t>
      </w:r>
      <w:r w:rsidR="00DA7BA0">
        <w:rPr>
          <w:sz w:val="22"/>
          <w:szCs w:val="22"/>
        </w:rPr>
        <w:t xml:space="preserve"> WAC 480-07-825. </w:t>
      </w:r>
      <w:r w:rsidR="00981AAE">
        <w:rPr>
          <w:sz w:val="22"/>
          <w:szCs w:val="22"/>
        </w:rPr>
        <w:t xml:space="preserve"> </w:t>
      </w:r>
      <w:r w:rsidR="009B3DA2">
        <w:rPr>
          <w:sz w:val="22"/>
          <w:szCs w:val="22"/>
        </w:rPr>
        <w:t xml:space="preserve">We nevertheless will consider </w:t>
      </w:r>
      <w:r w:rsidR="00D40958">
        <w:rPr>
          <w:sz w:val="22"/>
          <w:szCs w:val="22"/>
        </w:rPr>
        <w:t>the additional filing to the extent that it clarifies the relief the Complaint requests.</w:t>
      </w:r>
    </w:p>
  </w:footnote>
  <w:footnote w:id="2">
    <w:p w:rsidR="00762962" w:rsidRPr="00762962" w:rsidRDefault="00762962" w:rsidP="00762962">
      <w:pPr>
        <w:pStyle w:val="FootnoteText"/>
        <w:spacing w:after="120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  <w:szCs w:val="22"/>
        </w:rPr>
        <w:t>RCW 80.04.110.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E" w:rsidRPr="002C672C" w:rsidRDefault="002C672C" w:rsidP="00827ABE">
    <w:pPr>
      <w:pStyle w:val="Header"/>
      <w:tabs>
        <w:tab w:val="clear" w:pos="4680"/>
        <w:tab w:val="clear" w:pos="9360"/>
        <w:tab w:val="right" w:pos="8370"/>
      </w:tabs>
      <w:rPr>
        <w:b/>
        <w:noProof/>
        <w:sz w:val="20"/>
        <w:szCs w:val="20"/>
      </w:rPr>
    </w:pPr>
    <w:r w:rsidRPr="002C672C">
      <w:rPr>
        <w:b/>
        <w:sz w:val="20"/>
        <w:szCs w:val="20"/>
      </w:rPr>
      <w:t>DOCKET UE-120522</w:t>
    </w:r>
    <w:r w:rsidRPr="002C672C">
      <w:rPr>
        <w:b/>
        <w:sz w:val="20"/>
        <w:szCs w:val="20"/>
      </w:rPr>
      <w:tab/>
      <w:t xml:space="preserve">PAGE </w:t>
    </w:r>
    <w:r w:rsidRPr="002C672C">
      <w:rPr>
        <w:b/>
        <w:sz w:val="20"/>
        <w:szCs w:val="20"/>
      </w:rPr>
      <w:fldChar w:fldCharType="begin"/>
    </w:r>
    <w:r w:rsidRPr="002C672C">
      <w:rPr>
        <w:b/>
        <w:sz w:val="20"/>
        <w:szCs w:val="20"/>
      </w:rPr>
      <w:instrText xml:space="preserve"> PAGE   \* MERGEFORMAT </w:instrText>
    </w:r>
    <w:r w:rsidRPr="002C672C">
      <w:rPr>
        <w:b/>
        <w:sz w:val="20"/>
        <w:szCs w:val="20"/>
      </w:rPr>
      <w:fldChar w:fldCharType="separate"/>
    </w:r>
    <w:r w:rsidR="003C1435">
      <w:rPr>
        <w:b/>
        <w:noProof/>
        <w:sz w:val="20"/>
        <w:szCs w:val="20"/>
      </w:rPr>
      <w:t>2</w:t>
    </w:r>
    <w:r w:rsidRPr="002C672C">
      <w:rPr>
        <w:b/>
        <w:noProof/>
        <w:sz w:val="20"/>
        <w:szCs w:val="20"/>
      </w:rPr>
      <w:fldChar w:fldCharType="end"/>
    </w:r>
  </w:p>
  <w:p w:rsidR="002C672C" w:rsidRPr="002C672C" w:rsidRDefault="002C672C" w:rsidP="00827ABE">
    <w:pPr>
      <w:pStyle w:val="Header"/>
      <w:tabs>
        <w:tab w:val="clear" w:pos="4680"/>
        <w:tab w:val="clear" w:pos="9360"/>
        <w:tab w:val="right" w:pos="8370"/>
      </w:tabs>
      <w:rPr>
        <w:b/>
        <w:noProof/>
        <w:sz w:val="20"/>
        <w:szCs w:val="20"/>
      </w:rPr>
    </w:pPr>
    <w:r w:rsidRPr="002C672C">
      <w:rPr>
        <w:b/>
        <w:noProof/>
        <w:sz w:val="20"/>
        <w:szCs w:val="20"/>
      </w:rPr>
      <w:t>ORDER 0</w:t>
    </w:r>
    <w:r w:rsidR="00D62379">
      <w:rPr>
        <w:b/>
        <w:noProof/>
        <w:sz w:val="20"/>
        <w:szCs w:val="20"/>
      </w:rPr>
      <w:t>2</w:t>
    </w:r>
  </w:p>
  <w:p w:rsidR="002C672C" w:rsidRPr="002C672C" w:rsidRDefault="002C672C" w:rsidP="00827ABE">
    <w:pPr>
      <w:pStyle w:val="Header"/>
      <w:tabs>
        <w:tab w:val="clear" w:pos="4680"/>
        <w:tab w:val="clear" w:pos="9360"/>
        <w:tab w:val="right" w:pos="837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DB" w:rsidRPr="00D81B5A" w:rsidRDefault="0046020E" w:rsidP="00D81B5A">
    <w:pPr>
      <w:pStyle w:val="Header"/>
      <w:tabs>
        <w:tab w:val="clear" w:pos="4680"/>
        <w:tab w:val="clear" w:pos="9360"/>
        <w:tab w:val="left" w:pos="5760"/>
        <w:tab w:val="left" w:pos="8287"/>
        <w:tab w:val="right" w:pos="8370"/>
      </w:tabs>
      <w:rPr>
        <w:b/>
        <w:sz w:val="20"/>
        <w:szCs w:val="20"/>
      </w:rPr>
    </w:pPr>
    <w:r>
      <w:tab/>
    </w:r>
    <w:r w:rsidR="00D81B5A" w:rsidRPr="00D81B5A">
      <w:rPr>
        <w:b/>
        <w:sz w:val="20"/>
        <w:szCs w:val="20"/>
      </w:rPr>
      <w:t>[Service Date July 12, 2012]</w:t>
    </w:r>
    <w:r w:rsidR="00D81B5A" w:rsidRPr="00D81B5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526"/>
    <w:multiLevelType w:val="hybridMultilevel"/>
    <w:tmpl w:val="063C7670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41"/>
    <w:rsid w:val="00117B91"/>
    <w:rsid w:val="00164970"/>
    <w:rsid w:val="001A6C14"/>
    <w:rsid w:val="001B5878"/>
    <w:rsid w:val="001E03B6"/>
    <w:rsid w:val="0020276A"/>
    <w:rsid w:val="00274737"/>
    <w:rsid w:val="002C672C"/>
    <w:rsid w:val="00323F60"/>
    <w:rsid w:val="0032639D"/>
    <w:rsid w:val="003B175A"/>
    <w:rsid w:val="003B6C71"/>
    <w:rsid w:val="003C1435"/>
    <w:rsid w:val="003F406E"/>
    <w:rsid w:val="004454BF"/>
    <w:rsid w:val="0046020E"/>
    <w:rsid w:val="00463AA1"/>
    <w:rsid w:val="004A4970"/>
    <w:rsid w:val="004D44DF"/>
    <w:rsid w:val="004E6041"/>
    <w:rsid w:val="0052787A"/>
    <w:rsid w:val="005632ED"/>
    <w:rsid w:val="00564736"/>
    <w:rsid w:val="005E05E6"/>
    <w:rsid w:val="006465C7"/>
    <w:rsid w:val="0065381F"/>
    <w:rsid w:val="00671955"/>
    <w:rsid w:val="006F2AF8"/>
    <w:rsid w:val="00724161"/>
    <w:rsid w:val="00755717"/>
    <w:rsid w:val="00762962"/>
    <w:rsid w:val="00803318"/>
    <w:rsid w:val="008172E1"/>
    <w:rsid w:val="00827ABE"/>
    <w:rsid w:val="00943AD2"/>
    <w:rsid w:val="009456FE"/>
    <w:rsid w:val="00981AAE"/>
    <w:rsid w:val="009A23B1"/>
    <w:rsid w:val="009B3DA2"/>
    <w:rsid w:val="00A515A5"/>
    <w:rsid w:val="00C143DB"/>
    <w:rsid w:val="00C40AC5"/>
    <w:rsid w:val="00C63BA2"/>
    <w:rsid w:val="00C728B3"/>
    <w:rsid w:val="00C944A0"/>
    <w:rsid w:val="00D024DC"/>
    <w:rsid w:val="00D065C4"/>
    <w:rsid w:val="00D20C9E"/>
    <w:rsid w:val="00D40958"/>
    <w:rsid w:val="00D62379"/>
    <w:rsid w:val="00D81B5A"/>
    <w:rsid w:val="00D8729A"/>
    <w:rsid w:val="00DA7BA0"/>
    <w:rsid w:val="00DC1863"/>
    <w:rsid w:val="00DC19AD"/>
    <w:rsid w:val="00DD4F0F"/>
    <w:rsid w:val="00E31645"/>
    <w:rsid w:val="00E352F9"/>
    <w:rsid w:val="00E7677F"/>
    <w:rsid w:val="00EA3DE9"/>
    <w:rsid w:val="00F017A3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276A"/>
    <w:pPr>
      <w:spacing w:line="28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97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2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2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2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63AA1"/>
    <w:pPr>
      <w:ind w:left="720"/>
      <w:contextualSpacing/>
    </w:pPr>
  </w:style>
  <w:style w:type="paragraph" w:styleId="NoSpacing">
    <w:name w:val="No Spacing"/>
    <w:uiPriority w:val="1"/>
    <w:qFormat/>
    <w:rsid w:val="00827ABE"/>
    <w:pPr>
      <w:spacing w:after="0" w:line="240" w:lineRule="auto"/>
    </w:pPr>
  </w:style>
  <w:style w:type="table" w:styleId="TableGrid">
    <w:name w:val="Table Grid"/>
    <w:basedOn w:val="TableNormal"/>
    <w:uiPriority w:val="59"/>
    <w:rsid w:val="0082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ABE"/>
  </w:style>
  <w:style w:type="paragraph" w:styleId="Footer">
    <w:name w:val="footer"/>
    <w:basedOn w:val="Normal"/>
    <w:link w:val="FooterChar"/>
    <w:uiPriority w:val="99"/>
    <w:unhideWhenUsed/>
    <w:rsid w:val="0082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ABE"/>
  </w:style>
  <w:style w:type="paragraph" w:styleId="BodyText2">
    <w:name w:val="Body Text 2"/>
    <w:basedOn w:val="Normal"/>
    <w:link w:val="BodyText2Char"/>
    <w:rsid w:val="002C67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eastAsia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C672C"/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276A"/>
    <w:pPr>
      <w:spacing w:line="28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97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2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2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2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63AA1"/>
    <w:pPr>
      <w:ind w:left="720"/>
      <w:contextualSpacing/>
    </w:pPr>
  </w:style>
  <w:style w:type="paragraph" w:styleId="NoSpacing">
    <w:name w:val="No Spacing"/>
    <w:uiPriority w:val="1"/>
    <w:qFormat/>
    <w:rsid w:val="00827ABE"/>
    <w:pPr>
      <w:spacing w:after="0" w:line="240" w:lineRule="auto"/>
    </w:pPr>
  </w:style>
  <w:style w:type="table" w:styleId="TableGrid">
    <w:name w:val="Table Grid"/>
    <w:basedOn w:val="TableNormal"/>
    <w:uiPriority w:val="59"/>
    <w:rsid w:val="0082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ABE"/>
  </w:style>
  <w:style w:type="paragraph" w:styleId="Footer">
    <w:name w:val="footer"/>
    <w:basedOn w:val="Normal"/>
    <w:link w:val="FooterChar"/>
    <w:uiPriority w:val="99"/>
    <w:unhideWhenUsed/>
    <w:rsid w:val="0082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ABE"/>
  </w:style>
  <w:style w:type="paragraph" w:styleId="BodyText2">
    <w:name w:val="Body Text 2"/>
    <w:basedOn w:val="Normal"/>
    <w:link w:val="BodyText2Char"/>
    <w:rsid w:val="002C67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eastAsia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C672C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D298E095C3E9449732BCE681C9E791" ma:contentTypeVersion="139" ma:contentTypeDescription="" ma:contentTypeScope="" ma:versionID="09661d135fb959c8622293d2a3afcc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2012-04-17T07:00:00+00:00</OpenedDate>
    <Date1 xmlns="dc463f71-b30c-4ab2-9473-d307f9d35888">2012-07-12T07:00:00+00:00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120522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1D3CDF-A2C3-4548-852D-CCEB4E6ADB98}"/>
</file>

<file path=customXml/itemProps2.xml><?xml version="1.0" encoding="utf-8"?>
<ds:datastoreItem xmlns:ds="http://schemas.openxmlformats.org/officeDocument/2006/customXml" ds:itemID="{5648ED18-81EE-45D8-9334-586D5A22129A}"/>
</file>

<file path=customXml/itemProps3.xml><?xml version="1.0" encoding="utf-8"?>
<ds:datastoreItem xmlns:ds="http://schemas.openxmlformats.org/officeDocument/2006/customXml" ds:itemID="{4C564386-4657-4757-B5C1-23D240DDD854}"/>
</file>

<file path=customXml/itemProps4.xml><?xml version="1.0" encoding="utf-8"?>
<ds:datastoreItem xmlns:ds="http://schemas.openxmlformats.org/officeDocument/2006/customXml" ds:itemID="{2830E330-8422-4299-B865-742F8BD1D1F7}"/>
</file>

<file path=customXml/itemProps5.xml><?xml version="1.0" encoding="utf-8"?>
<ds:datastoreItem xmlns:ds="http://schemas.openxmlformats.org/officeDocument/2006/customXml" ds:itemID="{B38096FA-590E-4E30-97BD-38DD4F094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2012-07-09T15:01:00Z</dcterms:created>
  <dcterms:modified xsi:type="dcterms:W3CDTF">2012-07-12T16:17:00Z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0x0101006E56B4D1795A2E4DB2F0B01679ED314A007ED298E095C3E9449732BCE681C9E791</vt:lpwstr>
  </property>
  <property fmtid="{D5CDD505-2E9C-101B-9397-08002B2CF9AE}" pid="3" name="_docset_NoMedatataSyncRequired">
    <vt:lpwstr>False</vt:lpwstr>
  </property>
</Properties>
</file>