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1B9" w:rsidRPr="00D32C3E" w:rsidRDefault="009C7DE8" w:rsidP="009C7DE8">
      <w:pPr>
        <w:pStyle w:val="CoverTitle"/>
        <w:rPr>
          <w:rStyle w:val="A1"/>
          <w:rFonts w:cstheme="minorBidi"/>
          <w:b/>
          <w:bCs w:val="0"/>
        </w:rPr>
      </w:pPr>
      <w:bookmarkStart w:id="0" w:name="_Toc333491794"/>
      <w:r>
        <w:rPr>
          <w:rStyle w:val="A1"/>
          <w:rFonts w:cstheme="minorBidi"/>
          <w:b/>
          <w:bCs w:val="0"/>
        </w:rPr>
        <w:t xml:space="preserve">Sierra Club’s </w:t>
      </w:r>
      <w:r w:rsidR="00483C32">
        <w:rPr>
          <w:rStyle w:val="A1"/>
          <w:rFonts w:cstheme="minorBidi"/>
          <w:b/>
          <w:bCs w:val="0"/>
        </w:rPr>
        <w:t xml:space="preserve">Preliminary </w:t>
      </w:r>
      <w:r w:rsidR="002B7DE6">
        <w:rPr>
          <w:rStyle w:val="A1"/>
          <w:rFonts w:cstheme="minorBidi"/>
          <w:b/>
          <w:bCs w:val="0"/>
        </w:rPr>
        <w:t>Comments on PacifiCorp 2013 Integrated Resource Plan</w:t>
      </w:r>
      <w:r>
        <w:rPr>
          <w:rStyle w:val="A1"/>
          <w:rFonts w:cstheme="minorBidi"/>
          <w:b/>
          <w:bCs w:val="0"/>
        </w:rPr>
        <w:t xml:space="preserve"> (</w:t>
      </w:r>
      <w:r w:rsidRPr="009C7DE8">
        <w:rPr>
          <w:rStyle w:val="A1"/>
          <w:rFonts w:cstheme="minorBidi"/>
          <w:b/>
          <w:bCs w:val="0"/>
        </w:rPr>
        <w:t>Docket UE-120416</w:t>
      </w:r>
      <w:r>
        <w:rPr>
          <w:rStyle w:val="A1"/>
          <w:rFonts w:cstheme="minorBidi"/>
          <w:b/>
          <w:bCs w:val="0"/>
        </w:rPr>
        <w:t>)</w:t>
      </w:r>
    </w:p>
    <w:p w:rsidR="00D26961" w:rsidRPr="006F0579" w:rsidRDefault="00D26961" w:rsidP="00672E38">
      <w:pPr>
        <w:pStyle w:val="Default"/>
        <w:pBdr>
          <w:top w:val="single" w:sz="4" w:space="1" w:color="2D3991"/>
        </w:pBdr>
        <w:ind w:left="1627" w:right="1260"/>
        <w:rPr>
          <w:sz w:val="18"/>
          <w:szCs w:val="26"/>
        </w:rPr>
      </w:pPr>
    </w:p>
    <w:p w:rsidR="009C7DE8" w:rsidRDefault="002B7DE6" w:rsidP="009C7DE8">
      <w:pPr>
        <w:pStyle w:val="CoverDate"/>
        <w:rPr>
          <w:rStyle w:val="A0"/>
          <w:rFonts w:cstheme="minorBidi"/>
          <w:b w:val="0"/>
          <w:color w:val="555555"/>
          <w:sz w:val="32"/>
          <w:szCs w:val="32"/>
        </w:rPr>
      </w:pPr>
      <w:r w:rsidRPr="009C7DE8">
        <w:rPr>
          <w:rStyle w:val="A0"/>
          <w:rFonts w:cstheme="minorBidi"/>
          <w:b w:val="0"/>
          <w:color w:val="555555"/>
          <w:sz w:val="32"/>
          <w:szCs w:val="32"/>
        </w:rPr>
        <w:t>August 1</w:t>
      </w:r>
      <w:r w:rsidR="007F4C1B" w:rsidRPr="009C7DE8">
        <w:rPr>
          <w:rStyle w:val="A0"/>
          <w:rFonts w:cstheme="minorBidi"/>
          <w:b w:val="0"/>
          <w:color w:val="555555"/>
          <w:sz w:val="32"/>
          <w:szCs w:val="32"/>
        </w:rPr>
        <w:t>6</w:t>
      </w:r>
      <w:r w:rsidRPr="009C7DE8">
        <w:rPr>
          <w:rStyle w:val="A0"/>
          <w:rFonts w:cstheme="minorBidi"/>
          <w:b w:val="0"/>
          <w:color w:val="555555"/>
          <w:sz w:val="32"/>
          <w:szCs w:val="32"/>
        </w:rPr>
        <w:t>, 2013</w:t>
      </w:r>
    </w:p>
    <w:p w:rsidR="009C7DE8" w:rsidRPr="009C7DE8" w:rsidRDefault="009C7DE8" w:rsidP="009C7DE8">
      <w:pPr>
        <w:pStyle w:val="CoverDate"/>
        <w:rPr>
          <w:b w:val="0"/>
          <w:sz w:val="32"/>
          <w:szCs w:val="32"/>
        </w:rPr>
      </w:pPr>
    </w:p>
    <w:p w:rsidR="00F4779C" w:rsidRPr="009C7DE8" w:rsidRDefault="002B7DE6" w:rsidP="00672E38">
      <w:pPr>
        <w:pStyle w:val="CoverAuthors"/>
        <w:rPr>
          <w:sz w:val="24"/>
        </w:rPr>
      </w:pPr>
      <w:r w:rsidRPr="009C7DE8">
        <w:rPr>
          <w:rStyle w:val="A3"/>
          <w:rFonts w:cstheme="minorBidi"/>
          <w:color w:val="555555"/>
          <w:sz w:val="24"/>
          <w:szCs w:val="24"/>
        </w:rPr>
        <w:t>Jeremy Fisher, PhD</w:t>
      </w:r>
    </w:p>
    <w:p w:rsidR="00D26961" w:rsidRDefault="00D26961" w:rsidP="00D32C3E">
      <w:pPr>
        <w:ind w:left="1440" w:right="900"/>
        <w:rPr>
          <w:sz w:val="20"/>
        </w:rPr>
      </w:pPr>
    </w:p>
    <w:p w:rsidR="007F69B3" w:rsidRPr="00D26961" w:rsidRDefault="007F69B3" w:rsidP="00D26961">
      <w:pPr>
        <w:ind w:left="2160" w:right="900"/>
        <w:rPr>
          <w:sz w:val="20"/>
        </w:rPr>
        <w:sectPr w:rsidR="007F69B3" w:rsidRPr="00D26961" w:rsidSect="007A56E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pgNumType w:start="0"/>
          <w:cols w:space="720"/>
          <w:titlePg/>
          <w:docGrid w:linePitch="360"/>
        </w:sectPr>
      </w:pPr>
    </w:p>
    <w:p w:rsidR="002B7DE6" w:rsidRDefault="002B7DE6" w:rsidP="002B7DE6">
      <w:pPr>
        <w:pStyle w:val="Heading2"/>
      </w:pPr>
      <w:r>
        <w:lastRenderedPageBreak/>
        <w:t>Overview</w:t>
      </w:r>
    </w:p>
    <w:p w:rsidR="002B7DE6" w:rsidRDefault="009C7DE8" w:rsidP="002B7DE6">
      <w:r>
        <w:t xml:space="preserve">Synapse Energy Economics, Inc. provides these technical comments on behalf of the Sierra Club. </w:t>
      </w:r>
      <w:r w:rsidR="002B7DE6">
        <w:t>The PacifiCorp 2013 IRP represents large strides in the technical construction of an integrated plan</w:t>
      </w:r>
      <w:r w:rsidR="007F4C1B">
        <w:t xml:space="preserve"> with</w:t>
      </w:r>
      <w:r w:rsidR="002B7DE6">
        <w:t xml:space="preserve"> transparency in mechanism and assumptions. The </w:t>
      </w:r>
      <w:r w:rsidR="007F4C1B">
        <w:t xml:space="preserve">IRP </w:t>
      </w:r>
      <w:r w:rsidR="002B7DE6">
        <w:t xml:space="preserve">mechanism is broadly consistent with the process used in the recent </w:t>
      </w:r>
      <w:proofErr w:type="spellStart"/>
      <w:r w:rsidR="002B7DE6">
        <w:t>Naughton</w:t>
      </w:r>
      <w:proofErr w:type="spellEnd"/>
      <w:r w:rsidR="002B7DE6">
        <w:t xml:space="preserve"> 3 and Bridger 3 &amp; 4 CPCN </w:t>
      </w:r>
      <w:r w:rsidR="007F4C1B">
        <w:t>proceedings</w:t>
      </w:r>
      <w:r w:rsidR="00871F1A">
        <w:t xml:space="preserve"> </w:t>
      </w:r>
      <w:r w:rsidR="002B7DE6">
        <w:t>in Wyoming, wherein most Company assumptions were open to interven</w:t>
      </w:r>
      <w:r w:rsidR="007F4C1B">
        <w:t>o</w:t>
      </w:r>
      <w:r w:rsidR="002B7DE6">
        <w:t>r examination. PacifiCorp has been responsive to concerns from past IRP, and improvements in transparency and process appear to have resulted in an improved process.</w:t>
      </w:r>
    </w:p>
    <w:p w:rsidR="002B7DE6" w:rsidRDefault="007F4C1B" w:rsidP="00541DA4">
      <w:pPr>
        <w:spacing w:after="120"/>
      </w:pPr>
      <w:r>
        <w:t>Importantly, h</w:t>
      </w:r>
      <w:r w:rsidR="002B7DE6">
        <w:t>owever, the 2013 IRP leaves significant holes and unanswered questions that are fundamental to PacifiCorp’s planning environment</w:t>
      </w:r>
      <w:r>
        <w:t>, along with hard</w:t>
      </w:r>
      <w:r w:rsidR="002B7DE6">
        <w:t xml:space="preserve"> choices </w:t>
      </w:r>
      <w:r>
        <w:t>the Company and decision makers</w:t>
      </w:r>
      <w:r w:rsidR="002B7DE6">
        <w:t xml:space="preserve"> will face </w:t>
      </w:r>
      <w:r>
        <w:t xml:space="preserve">in the coming </w:t>
      </w:r>
      <w:r w:rsidR="002B7DE6">
        <w:t>years. The IRP tackles several key questions, some of which are answered robustly</w:t>
      </w:r>
      <w:r w:rsidR="00F26E38">
        <w:t>;</w:t>
      </w:r>
      <w:r w:rsidR="002B7DE6">
        <w:t xml:space="preserve"> others</w:t>
      </w:r>
      <w:r w:rsidR="00F26E38">
        <w:t>,</w:t>
      </w:r>
      <w:r>
        <w:t xml:space="preserve"> however</w:t>
      </w:r>
      <w:r w:rsidR="00F26E38">
        <w:t>,</w:t>
      </w:r>
      <w:r w:rsidR="002B7DE6">
        <w:t xml:space="preserve"> simply </w:t>
      </w:r>
      <w:r>
        <w:t>show</w:t>
      </w:r>
      <w:r w:rsidR="002B7DE6">
        <w:t xml:space="preserve"> that the Company’s modeling stopped</w:t>
      </w:r>
      <w:r>
        <w:t xml:space="preserve"> well</w:t>
      </w:r>
      <w:r w:rsidR="002B7DE6">
        <w:t xml:space="preserve"> short of providing a complete picture. Amongst the overarching questions </w:t>
      </w:r>
      <w:r>
        <w:t xml:space="preserve">that must be resolved </w:t>
      </w:r>
      <w:r w:rsidR="002B7DE6">
        <w:t>are:</w:t>
      </w:r>
    </w:p>
    <w:p w:rsidR="002B7DE6" w:rsidRDefault="002B7DE6" w:rsidP="00F26E38">
      <w:pPr>
        <w:pStyle w:val="Style1"/>
      </w:pPr>
      <w:r>
        <w:t>Which of the Company’s coal units are at risk with low gas prices and a price on carbon dioxide emissions, and if</w:t>
      </w:r>
      <w:r w:rsidR="00871F1A">
        <w:t xml:space="preserve"> </w:t>
      </w:r>
      <w:r w:rsidR="004C1EA8">
        <w:t>major expenditures</w:t>
      </w:r>
      <w:r>
        <w:t xml:space="preserve"> should be pursued at those coal units;</w:t>
      </w:r>
    </w:p>
    <w:p w:rsidR="002B7DE6" w:rsidRDefault="002B7DE6" w:rsidP="00F26E38">
      <w:pPr>
        <w:pStyle w:val="Style1"/>
      </w:pPr>
      <w:r>
        <w:t>If</w:t>
      </w:r>
      <w:r w:rsidR="004C1EA8">
        <w:t xml:space="preserve"> finalized </w:t>
      </w:r>
      <w:r>
        <w:t xml:space="preserve">regional haze </w:t>
      </w:r>
      <w:r w:rsidR="004C1EA8">
        <w:t xml:space="preserve">rules </w:t>
      </w:r>
      <w:r>
        <w:t>could render additional coal units non-economic;</w:t>
      </w:r>
    </w:p>
    <w:p w:rsidR="002B7DE6" w:rsidRDefault="002B7DE6" w:rsidP="00F26E38">
      <w:pPr>
        <w:pStyle w:val="Style1"/>
      </w:pPr>
      <w:r>
        <w:t>If the Company requires new thermal generation infrastructure in the near future;</w:t>
      </w:r>
    </w:p>
    <w:p w:rsidR="002B7DE6" w:rsidRDefault="002B7DE6" w:rsidP="00F26E38">
      <w:pPr>
        <w:pStyle w:val="Style1"/>
      </w:pPr>
      <w:r>
        <w:t>If PacifiCorp can comply with RPS in Washington, Oregon, and California via the purchase of RECs alone, or if the Company needs additional</w:t>
      </w:r>
      <w:r w:rsidR="00871F1A">
        <w:t xml:space="preserve"> </w:t>
      </w:r>
      <w:r w:rsidR="004C1EA8">
        <w:t>physical</w:t>
      </w:r>
      <w:r>
        <w:t xml:space="preserve"> resources;</w:t>
      </w:r>
    </w:p>
    <w:p w:rsidR="002B7DE6" w:rsidRDefault="002B7DE6" w:rsidP="00F26E38">
      <w:pPr>
        <w:pStyle w:val="Style1"/>
      </w:pPr>
      <w:r>
        <w:t>If there is a benefit to building significant transmission infrastructure in Wyoming and Idaho, and from Wyoming to Utah;</w:t>
      </w:r>
    </w:p>
    <w:p w:rsidR="002B7DE6" w:rsidRDefault="002B7DE6" w:rsidP="00F26E38">
      <w:pPr>
        <w:pStyle w:val="Style1"/>
      </w:pPr>
      <w:r>
        <w:t>To what degree DSM should be expected to contribute substantially to the PacifiCorp portfolio.</w:t>
      </w:r>
    </w:p>
    <w:p w:rsidR="002B7DE6" w:rsidRDefault="002B7DE6" w:rsidP="002B7DE6">
      <w:r>
        <w:t xml:space="preserve">Each of these questions </w:t>
      </w:r>
      <w:r w:rsidR="00806DCB">
        <w:t xml:space="preserve">is </w:t>
      </w:r>
      <w:r>
        <w:t>crucial to the Company’s next steps, and ye</w:t>
      </w:r>
      <w:r w:rsidR="00F26E38">
        <w:t>t some</w:t>
      </w:r>
      <w:r w:rsidR="004C1EA8">
        <w:t xml:space="preserve"> are </w:t>
      </w:r>
      <w:r w:rsidR="00F26E38">
        <w:t xml:space="preserve">not </w:t>
      </w:r>
      <w:r>
        <w:t xml:space="preserve">answered with any </w:t>
      </w:r>
      <w:r w:rsidR="004C1EA8">
        <w:t xml:space="preserve">real </w:t>
      </w:r>
      <w:r>
        <w:t xml:space="preserve">certainty, or even sufficient information. Sections below detail which </w:t>
      </w:r>
      <w:r w:rsidR="004C1EA8">
        <w:t xml:space="preserve">of </w:t>
      </w:r>
      <w:r>
        <w:t>these questions remain open and</w:t>
      </w:r>
      <w:r w:rsidR="004C1EA8">
        <w:t xml:space="preserve"> in need of additional </w:t>
      </w:r>
      <w:proofErr w:type="gramStart"/>
      <w:r w:rsidR="004C1EA8">
        <w:t xml:space="preserve">analysis </w:t>
      </w:r>
      <w:r>
        <w:t>.</w:t>
      </w:r>
      <w:proofErr w:type="gramEnd"/>
    </w:p>
    <w:p w:rsidR="002B7DE6" w:rsidRDefault="004C1EA8" w:rsidP="002B7DE6">
      <w:r>
        <w:t>Identifying w</w:t>
      </w:r>
      <w:r w:rsidR="002B7DE6">
        <w:t>hich of the Company’s coal units are at risk</w:t>
      </w:r>
      <w:r>
        <w:t xml:space="preserve"> is the overarching issue</w:t>
      </w:r>
      <w:r w:rsidR="002B7DE6">
        <w:t xml:space="preserve"> </w:t>
      </w:r>
      <w:r>
        <w:t>in</w:t>
      </w:r>
      <w:r w:rsidR="002B7DE6">
        <w:t xml:space="preserve"> this IRP</w:t>
      </w:r>
      <w:r>
        <w:t xml:space="preserve">. In fact, </w:t>
      </w:r>
      <w:r w:rsidR="002B7DE6">
        <w:t>under one of the</w:t>
      </w:r>
      <w:r w:rsidR="00423306">
        <w:t xml:space="preserve"> Company’s</w:t>
      </w:r>
      <w:r w:rsidR="002B7DE6">
        <w:t xml:space="preserve"> three commodity price scenarios, nearly every coal unit retires by 2023</w:t>
      </w:r>
      <w:r w:rsidR="00423306">
        <w:t>, with</w:t>
      </w:r>
      <w:r w:rsidR="00F26E38">
        <w:t xml:space="preserve"> </w:t>
      </w:r>
      <w:r w:rsidR="002B7DE6">
        <w:t>three</w:t>
      </w:r>
      <w:r w:rsidR="00F26E38">
        <w:t>-</w:t>
      </w:r>
      <w:r w:rsidR="002B7DE6">
        <w:t>quarters of those units retir</w:t>
      </w:r>
      <w:r w:rsidR="00423306">
        <w:t>ing</w:t>
      </w:r>
      <w:r w:rsidR="002B7DE6">
        <w:t xml:space="preserve"> before 2020. This scenario stands in stark contrast to the Company’s base case, in which only the foregone </w:t>
      </w:r>
      <w:proofErr w:type="spellStart"/>
      <w:r w:rsidR="002B7DE6">
        <w:t>Naughton</w:t>
      </w:r>
      <w:proofErr w:type="spellEnd"/>
      <w:r w:rsidR="002B7DE6">
        <w:t xml:space="preserve"> 3 and Carbon plant, as well as the </w:t>
      </w:r>
      <w:proofErr w:type="spellStart"/>
      <w:r w:rsidR="002B7DE6">
        <w:t>Cholla</w:t>
      </w:r>
      <w:proofErr w:type="spellEnd"/>
      <w:r w:rsidR="002B7DE6">
        <w:t xml:space="preserve"> 4 unit, are retired before the end of their depreciable life. The early retirement of</w:t>
      </w:r>
      <w:r w:rsidR="00FA6FA9">
        <w:t xml:space="preserve"> the</w:t>
      </w:r>
      <w:r w:rsidR="002B7DE6">
        <w:t xml:space="preserve"> PacifiCorp coal fleet turns the Company from a coal-dominated utility to a gas-dependent utility, with presumably significant implications for the Company’s investments </w:t>
      </w:r>
      <w:r w:rsidR="002B7DE6">
        <w:lastRenderedPageBreak/>
        <w:t xml:space="preserve">and decisions that will occur in the next months to near-term years. This conclusion is </w:t>
      </w:r>
      <w:r w:rsidR="00423306">
        <w:t>an</w:t>
      </w:r>
      <w:r w:rsidR="00871F1A">
        <w:t xml:space="preserve"> </w:t>
      </w:r>
      <w:r w:rsidR="00423306">
        <w:t>extraordinary result that is</w:t>
      </w:r>
      <w:r w:rsidR="002B7DE6">
        <w:t xml:space="preserve"> </w:t>
      </w:r>
      <w:r w:rsidR="00423306">
        <w:t>minimized</w:t>
      </w:r>
      <w:r w:rsidR="002B7DE6">
        <w:t xml:space="preserve"> in the 2013 IRP.</w:t>
      </w:r>
    </w:p>
    <w:p w:rsidR="002B7DE6" w:rsidRDefault="002B7DE6" w:rsidP="002B7DE6">
      <w:r>
        <w:t xml:space="preserve">Ultimately, the IRP presents readers and regulators </w:t>
      </w:r>
      <w:r w:rsidR="00FA6FA9">
        <w:t xml:space="preserve">with </w:t>
      </w:r>
      <w:r>
        <w:t xml:space="preserve">a binary choice: believe the Company’s base case and dismiss the risk of significant additional coal unit retirement, or </w:t>
      </w:r>
      <w:r w:rsidR="00423306">
        <w:t>consider</w:t>
      </w:r>
      <w:r>
        <w:t xml:space="preserve"> the potential impact of a more extreme scenario and start planning for replacement capacity. Missing from this </w:t>
      </w:r>
      <w:r w:rsidR="00423306">
        <w:t>analysis</w:t>
      </w:r>
      <w:r>
        <w:t xml:space="preserve"> is</w:t>
      </w:r>
      <w:r w:rsidR="00423306">
        <w:t>:</w:t>
      </w:r>
      <w:r>
        <w:t xml:space="preserve"> the level of risk faced by any given coal unit</w:t>
      </w:r>
      <w:r w:rsidR="00423306">
        <w:t>;</w:t>
      </w:r>
      <w:r w:rsidR="00FA6FA9">
        <w:t xml:space="preserve"> </w:t>
      </w:r>
      <w:r>
        <w:t>the threshold of gas, coal, or CO</w:t>
      </w:r>
      <w:r w:rsidRPr="000F335F">
        <w:rPr>
          <w:vertAlign w:val="subscript"/>
        </w:rPr>
        <w:t>2</w:t>
      </w:r>
      <w:r>
        <w:t xml:space="preserve"> prices</w:t>
      </w:r>
      <w:r w:rsidR="00423306">
        <w:t>;</w:t>
      </w:r>
      <w:r>
        <w:t xml:space="preserve"> </w:t>
      </w:r>
      <w:r w:rsidR="00C1191C">
        <w:t>and</w:t>
      </w:r>
      <w:r>
        <w:t xml:space="preserve"> capital </w:t>
      </w:r>
      <w:r w:rsidR="00423306">
        <w:t xml:space="preserve">expenditures </w:t>
      </w:r>
      <w:r>
        <w:t>that could tri</w:t>
      </w:r>
      <w:r w:rsidR="00FA6FA9">
        <w:t xml:space="preserve">gger </w:t>
      </w:r>
      <w:r>
        <w:t xml:space="preserve">the decision to retire a coal unit rather than pursue additional </w:t>
      </w:r>
      <w:r w:rsidR="00423306">
        <w:t>costly expenditures</w:t>
      </w:r>
      <w:r>
        <w:t>.</w:t>
      </w:r>
    </w:p>
    <w:p w:rsidR="002B7DE6" w:rsidRDefault="00423306" w:rsidP="002B7DE6">
      <w:r>
        <w:t>Compounding</w:t>
      </w:r>
      <w:r w:rsidR="002B7DE6">
        <w:t xml:space="preserve"> this uncertainty</w:t>
      </w:r>
      <w:r>
        <w:t xml:space="preserve"> are</w:t>
      </w:r>
      <w:r w:rsidR="002B7DE6">
        <w:t xml:space="preserve"> recent developments show</w:t>
      </w:r>
      <w:r>
        <w:t>ing</w:t>
      </w:r>
      <w:r w:rsidR="002B7DE6">
        <w:t xml:space="preserve"> that the Company’s stress case for reviewing regional haze compliance obligations was insufficient, casting further doubt on the coal plant retirement study. Less than a month after PacifiCorp </w:t>
      </w:r>
      <w:r>
        <w:t xml:space="preserve">finalized its </w:t>
      </w:r>
      <w:r w:rsidR="002B7DE6">
        <w:t>2013 IRP, the US EPA proposed to reject the Wyoming Regional Haze State Implementation Plan (SIP) and require more stringent controls than PacifiCorp</w:t>
      </w:r>
      <w:r w:rsidR="00483C32">
        <w:t xml:space="preserve"> relied on</w:t>
      </w:r>
      <w:r w:rsidR="002B7DE6">
        <w:t xml:space="preserve"> in the IRP. In particular, the IRP did not review the impact of higher</w:t>
      </w:r>
      <w:r w:rsidR="00FA6FA9">
        <w:t>-</w:t>
      </w:r>
      <w:r w:rsidR="002B7DE6">
        <w:t xml:space="preserve">cost controls at </w:t>
      </w:r>
      <w:proofErr w:type="spellStart"/>
      <w:r w:rsidR="002B7DE6">
        <w:t>Naughton</w:t>
      </w:r>
      <w:proofErr w:type="spellEnd"/>
      <w:r w:rsidR="00483C32">
        <w:t xml:space="preserve"> units</w:t>
      </w:r>
      <w:r w:rsidR="002B7DE6">
        <w:t xml:space="preserve"> 1 &amp; 2, or </w:t>
      </w:r>
      <w:r w:rsidR="00483C32">
        <w:t xml:space="preserve">Dave </w:t>
      </w:r>
      <w:r w:rsidR="002B7DE6">
        <w:t>Johnston</w:t>
      </w:r>
      <w:r w:rsidR="00483C32">
        <w:t xml:space="preserve"> units</w:t>
      </w:r>
      <w:r w:rsidR="002B7DE6">
        <w:t xml:space="preserve"> 3 or 4. </w:t>
      </w:r>
      <w:r w:rsidR="00483C32">
        <w:t xml:space="preserve">EPA is expected to issue a final BART rule for Wyoming in November 2013. Similarly, </w:t>
      </w:r>
      <w:r w:rsidR="002B7DE6">
        <w:t>PacifiCorp and the public await a final EPA</w:t>
      </w:r>
      <w:r w:rsidR="00483C32">
        <w:t xml:space="preserve"> BART</w:t>
      </w:r>
      <w:r w:rsidR="002B7DE6">
        <w:t xml:space="preserve"> proposal to replace the Utah regional haze SIP, which may ultimately require </w:t>
      </w:r>
      <w:r w:rsidR="00483C32">
        <w:t xml:space="preserve">a </w:t>
      </w:r>
      <w:r w:rsidR="002B7DE6">
        <w:t xml:space="preserve">more stringent set of controls </w:t>
      </w:r>
      <w:r w:rsidR="00483C32">
        <w:t xml:space="preserve">than calculated in </w:t>
      </w:r>
      <w:r w:rsidR="002B7DE6">
        <w:t>the IRP.</w:t>
      </w:r>
    </w:p>
    <w:p w:rsidR="002B7DE6" w:rsidRDefault="002B7DE6" w:rsidP="002B7DE6">
      <w:r>
        <w:t>Finding a middle ground between PacifiCorp’s postulated choices of a “base case” or their more extreme case can be readily resolved in an update to this IRP. Without significant new work, the Company can put forth a series of analyses that (a) review the complete set of combinations of gas and CO</w:t>
      </w:r>
      <w:r w:rsidRPr="00AD15E3">
        <w:rPr>
          <w:vertAlign w:val="subscript"/>
        </w:rPr>
        <w:t>2</w:t>
      </w:r>
      <w:r>
        <w:t xml:space="preserve"> price ranges, (b) update core assumptions to include likely costs of compliance with EPA proposed regulations, (c) disclose or provide analysis to demonstrate either breakeven pricing for CO</w:t>
      </w:r>
      <w:r w:rsidRPr="00AD15E3">
        <w:rPr>
          <w:vertAlign w:val="subscript"/>
        </w:rPr>
        <w:t>2</w:t>
      </w:r>
      <w:r>
        <w:t>, gas, and/or coal prices or otherwise indicate the risk faced by individual coal units in the near-term and further future.</w:t>
      </w:r>
    </w:p>
    <w:p w:rsidR="002B7DE6" w:rsidRPr="00192F11" w:rsidRDefault="002B7DE6" w:rsidP="002B7DE6">
      <w:pPr>
        <w:pStyle w:val="Heading2"/>
      </w:pPr>
      <w:r>
        <w:t xml:space="preserve">PacifiCorp </w:t>
      </w:r>
      <w:r w:rsidR="00483C32">
        <w:t>must</w:t>
      </w:r>
      <w:r>
        <w:t xml:space="preserve"> affirmatively examine the impact and recovery from </w:t>
      </w:r>
      <w:r w:rsidR="00483C32">
        <w:t xml:space="preserve">significant </w:t>
      </w:r>
      <w:r>
        <w:t>coal unit retirements.</w:t>
      </w:r>
    </w:p>
    <w:p w:rsidR="002B7DE6" w:rsidRDefault="002B7DE6" w:rsidP="002B7DE6">
      <w:r>
        <w:t>PacifiCorp ran “94 unique core case scenarios” developed to test a range of commodity prices (gas, coal and CO</w:t>
      </w:r>
      <w:r w:rsidRPr="00662C30">
        <w:rPr>
          <w:vertAlign w:val="subscript"/>
        </w:rPr>
        <w:t>2</w:t>
      </w:r>
      <w:r>
        <w:t xml:space="preserve">) with different assumptions about RPS compliance and the stringency of final regional haze rules, overlaid on five transmission development scenarios. Ultimately, the differences between these scenarios resulted in two key sets of differences: retirements of </w:t>
      </w:r>
      <w:proofErr w:type="gramStart"/>
      <w:r>
        <w:t xml:space="preserve">either </w:t>
      </w:r>
      <w:r w:rsidR="00AE06F5">
        <w:t>3</w:t>
      </w:r>
      <w:proofErr w:type="gramEnd"/>
      <w:r>
        <w:t xml:space="preserve">, </w:t>
      </w:r>
      <w:r w:rsidR="00AE06F5">
        <w:t>4,</w:t>
      </w:r>
      <w:r>
        <w:t xml:space="preserve"> or 20-21 coal-fired units (replaced with natural gas)</w:t>
      </w:r>
      <w:r w:rsidR="00AE06F5">
        <w:t>;</w:t>
      </w:r>
      <w:r>
        <w:t xml:space="preserve"> and either no new wind or minimal wind until 2022.</w:t>
      </w:r>
    </w:p>
    <w:p w:rsidR="002B7DE6" w:rsidRDefault="002B7DE6" w:rsidP="002B7DE6">
      <w:r>
        <w:t>From a portfolio perspective, the 94 scenarios can be compressed into three basic blocks defined by their commodity prices: (a) reference case gas and CO2 prices, (b) low gas price with high CO2 price, or (c) high gas price with low CO2 price.</w:t>
      </w:r>
    </w:p>
    <w:p w:rsidR="0017706A" w:rsidRDefault="0017706A" w:rsidP="002B7DE6">
      <w:pPr>
        <w:pStyle w:val="Caption"/>
        <w:keepNext/>
        <w:sectPr w:rsidR="0017706A" w:rsidSect="00B008D3">
          <w:headerReference w:type="first" r:id="rId18"/>
          <w:footerReference w:type="first" r:id="rId19"/>
          <w:pgSz w:w="12240" w:h="15840"/>
          <w:pgMar w:top="1440" w:right="1440" w:bottom="1440" w:left="1440" w:header="720" w:footer="720" w:gutter="0"/>
          <w:pgNumType w:start="1"/>
          <w:cols w:space="720"/>
          <w:titlePg/>
          <w:docGrid w:linePitch="360"/>
        </w:sectPr>
      </w:pPr>
      <w:bookmarkStart w:id="1" w:name="_Ref364018695"/>
    </w:p>
    <w:p w:rsidR="002B7DE6" w:rsidRDefault="002B7DE6" w:rsidP="002B7DE6">
      <w:pPr>
        <w:pStyle w:val="Caption"/>
        <w:keepNext/>
      </w:pPr>
      <w:proofErr w:type="gramStart"/>
      <w:r>
        <w:t xml:space="preserve">Table </w:t>
      </w:r>
      <w:r w:rsidR="00606339">
        <w:fldChar w:fldCharType="begin"/>
      </w:r>
      <w:r>
        <w:instrText xml:space="preserve"> SEQ Table \* ARABIC </w:instrText>
      </w:r>
      <w:r w:rsidR="00606339">
        <w:fldChar w:fldCharType="separate"/>
      </w:r>
      <w:r>
        <w:rPr>
          <w:noProof/>
        </w:rPr>
        <w:t>1</w:t>
      </w:r>
      <w:r w:rsidR="00606339">
        <w:rPr>
          <w:noProof/>
        </w:rPr>
        <w:fldChar w:fldCharType="end"/>
      </w:r>
      <w:bookmarkEnd w:id="1"/>
      <w:r>
        <w:t>.</w:t>
      </w:r>
      <w:proofErr w:type="gramEnd"/>
      <w:r>
        <w:t xml:space="preserve"> </w:t>
      </w:r>
      <w:proofErr w:type="gramStart"/>
      <w:r>
        <w:t>Coal unit retirements identified in the 2013 IRP, Transmission Scenario EG-1.</w:t>
      </w:r>
      <w:proofErr w:type="gramEnd"/>
      <w:r>
        <w:t xml:space="preserve"> Scenarios ordered by number and timing of retirements.</w:t>
      </w:r>
    </w:p>
    <w:p w:rsidR="0017706A" w:rsidRPr="00541DA4" w:rsidRDefault="0017706A" w:rsidP="00541DA4">
      <w:r w:rsidRPr="0017706A">
        <w:rPr>
          <w:noProof/>
        </w:rPr>
        <w:drawing>
          <wp:inline distT="0" distB="0" distL="0" distR="0" wp14:anchorId="2A289A5F" wp14:editId="72B6F8EA">
            <wp:extent cx="8595360" cy="545550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95360" cy="5455502"/>
                    </a:xfrm>
                    <a:prstGeom prst="rect">
                      <a:avLst/>
                    </a:prstGeom>
                    <a:noFill/>
                    <a:ln>
                      <a:noFill/>
                    </a:ln>
                  </pic:spPr>
                </pic:pic>
              </a:graphicData>
            </a:graphic>
          </wp:inline>
        </w:drawing>
      </w:r>
    </w:p>
    <w:p w:rsidR="009C7DE8" w:rsidRPr="007439CD" w:rsidRDefault="007439CD" w:rsidP="009C7DE8">
      <w:pPr>
        <w:rPr>
          <w:sz w:val="20"/>
          <w:szCs w:val="20"/>
        </w:rPr>
        <w:sectPr w:rsidR="009C7DE8" w:rsidRPr="007439CD" w:rsidSect="00B008D3">
          <w:pgSz w:w="15840" w:h="12240" w:orient="landscape"/>
          <w:pgMar w:top="1152" w:right="1152" w:bottom="1152" w:left="1152" w:header="720" w:footer="720" w:gutter="0"/>
          <w:cols w:space="720"/>
          <w:titlePg/>
          <w:docGrid w:linePitch="360"/>
        </w:sectPr>
      </w:pPr>
      <w:r w:rsidRPr="007439CD">
        <w:rPr>
          <w:sz w:val="20"/>
          <w:szCs w:val="20"/>
        </w:rPr>
        <w:t>*</w:t>
      </w:r>
      <w:r w:rsidR="009C7DE8" w:rsidRPr="007439CD">
        <w:rPr>
          <w:sz w:val="20"/>
          <w:szCs w:val="20"/>
        </w:rPr>
        <w:t xml:space="preserve">PacifiCorp is the owner of </w:t>
      </w:r>
      <w:proofErr w:type="spellStart"/>
      <w:r w:rsidR="009C7DE8" w:rsidRPr="007439CD">
        <w:rPr>
          <w:sz w:val="20"/>
          <w:szCs w:val="20"/>
        </w:rPr>
        <w:t>Cholla</w:t>
      </w:r>
      <w:proofErr w:type="spellEnd"/>
      <w:r w:rsidR="009C7DE8" w:rsidRPr="007439CD">
        <w:rPr>
          <w:sz w:val="20"/>
          <w:szCs w:val="20"/>
        </w:rPr>
        <w:t xml:space="preserve"> Unit 4. As far we are aware, th</w:t>
      </w:r>
      <w:r>
        <w:rPr>
          <w:sz w:val="20"/>
          <w:szCs w:val="20"/>
        </w:rPr>
        <w:t xml:space="preserve">e listing of </w:t>
      </w:r>
      <w:proofErr w:type="spellStart"/>
      <w:r>
        <w:rPr>
          <w:sz w:val="20"/>
          <w:szCs w:val="20"/>
        </w:rPr>
        <w:t>Cholla</w:t>
      </w:r>
      <w:proofErr w:type="spellEnd"/>
      <w:r>
        <w:rPr>
          <w:sz w:val="20"/>
          <w:szCs w:val="20"/>
        </w:rPr>
        <w:t xml:space="preserve"> 1 in Table 1 is a typographical error.</w:t>
      </w:r>
    </w:p>
    <w:p w:rsidR="002B7DE6" w:rsidRDefault="002B7DE6" w:rsidP="002B7DE6">
      <w:pPr>
        <w:pStyle w:val="NoSpacing"/>
        <w:spacing w:after="120"/>
      </w:pPr>
    </w:p>
    <w:p w:rsidR="002B7DE6" w:rsidRDefault="002B7DE6" w:rsidP="002B7DE6">
      <w:r>
        <w:t xml:space="preserve">From the perspective of coal-plant retirement dynamics, neither the RPS nor the transmission scenario nor the stringency of the regional haze rule materially changed which units retired before the end of their depreciable life. However, the commodity price establishes wide endpoints: either only announced plants retired or almost </w:t>
      </w:r>
      <w:r>
        <w:rPr>
          <w:u w:val="single"/>
        </w:rPr>
        <w:t>all</w:t>
      </w:r>
      <w:r w:rsidRPr="006750D1">
        <w:t xml:space="preserve"> </w:t>
      </w:r>
      <w:r>
        <w:t xml:space="preserve">coal units retired (see </w:t>
      </w:r>
      <w:r w:rsidR="003F42C1">
        <w:fldChar w:fldCharType="begin"/>
      </w:r>
      <w:r w:rsidR="003F42C1">
        <w:instrText xml:space="preserve"> REF _Ref364018695 \h  \* MERGEFORMAT </w:instrText>
      </w:r>
      <w:r w:rsidR="003F42C1">
        <w:fldChar w:fldCharType="separate"/>
      </w:r>
      <w:r>
        <w:t>Table 1</w:t>
      </w:r>
      <w:r w:rsidR="003F42C1">
        <w:fldChar w:fldCharType="end"/>
      </w:r>
      <w:r>
        <w:t>, above). For most observers, the idea that one of the endpoints could result in the retirement of nearly all of PacifiCorp’s units appears extreme, and indeed PacifiCorp rejects these endpoints because they don’t perform favorably under mean baseline conditions.</w:t>
      </w:r>
    </w:p>
    <w:p w:rsidR="002B7DE6" w:rsidRPr="00192F11" w:rsidRDefault="00483C32" w:rsidP="002B7DE6">
      <w:pPr>
        <w:pStyle w:val="Heading2"/>
      </w:pPr>
      <w:r>
        <w:t>PacifiCorp’s</w:t>
      </w:r>
      <w:r w:rsidR="00871F1A">
        <w:t xml:space="preserve"> </w:t>
      </w:r>
      <w:r w:rsidR="002B7DE6">
        <w:t>“high” CO</w:t>
      </w:r>
      <w:r w:rsidR="002B7DE6" w:rsidRPr="00CF034A">
        <w:rPr>
          <w:vertAlign w:val="subscript"/>
        </w:rPr>
        <w:t>2</w:t>
      </w:r>
      <w:r w:rsidR="002B7DE6">
        <w:t xml:space="preserve"> price is lower than the EPA’s social cost of carbon</w:t>
      </w:r>
      <w:r w:rsidR="00AE06F5">
        <w:t>.</w:t>
      </w:r>
      <w:r w:rsidR="002B7DE6">
        <w:t xml:space="preserve"> </w:t>
      </w:r>
    </w:p>
    <w:p w:rsidR="002B7DE6" w:rsidRDefault="002B7DE6" w:rsidP="002B7DE6">
      <w:r>
        <w:t>The</w:t>
      </w:r>
      <w:r w:rsidR="00483C32">
        <w:t xml:space="preserve"> Company’s </w:t>
      </w:r>
      <w:r>
        <w:t>low gas/high CO</w:t>
      </w:r>
      <w:r w:rsidRPr="00CF034A">
        <w:rPr>
          <w:vertAlign w:val="subscript"/>
        </w:rPr>
        <w:t>2</w:t>
      </w:r>
      <w:r>
        <w:t xml:space="preserve"> endpoint is neither outside the range of reason, nor even an extreme test case. For example, the low gas price trajectory maintains a long-term pricing above prices seen in 2012.</w:t>
      </w:r>
      <w:r>
        <w:rPr>
          <w:rStyle w:val="FootnoteReference"/>
        </w:rPr>
        <w:footnoteReference w:id="1"/>
      </w:r>
      <w:r>
        <w:t xml:space="preserve"> </w:t>
      </w:r>
    </w:p>
    <w:p w:rsidR="002B7DE6" w:rsidRDefault="002B7DE6" w:rsidP="002B7DE6">
      <w:r>
        <w:t xml:space="preserve">The “high” carbon price both starts later and achieves a lower price trajectory than baseline estimates used by other utilities. Notably, the “high” carbon price of PacifiCorp is lower that the social cost of carbon (SCC) price </w:t>
      </w:r>
      <w:r w:rsidR="00483C32">
        <w:t xml:space="preserve">EPA </w:t>
      </w:r>
      <w:r>
        <w:t>recently</w:t>
      </w:r>
      <w:r w:rsidR="00483C32">
        <w:t xml:space="preserve"> published</w:t>
      </w:r>
      <w:r>
        <w:t>.</w:t>
      </w:r>
      <w:r>
        <w:rPr>
          <w:rStyle w:val="FootnoteReference"/>
        </w:rPr>
        <w:footnoteReference w:id="2"/>
      </w:r>
      <w:r>
        <w:t xml:space="preserve"> The EPA uses the </w:t>
      </w:r>
      <w:r w:rsidR="00483C32">
        <w:t>social cost of carbon</w:t>
      </w:r>
      <w:r w:rsidR="00871F1A">
        <w:t xml:space="preserve"> </w:t>
      </w:r>
      <w:r>
        <w:t>(and other externality estimates) to inform the cost-effectiveness of rulemakings; indeed, in recent years,</w:t>
      </w:r>
      <w:r w:rsidR="00483C32">
        <w:t xml:space="preserve"> EPA has successfully supported its</w:t>
      </w:r>
      <w:r>
        <w:t xml:space="preserve"> rulemakings on the basis of their cost effectiveness relative to social benefits. In conjunction with </w:t>
      </w:r>
      <w:r w:rsidR="00483C32">
        <w:t xml:space="preserve">the President’s </w:t>
      </w:r>
      <w:r>
        <w:t>highly public announcements</w:t>
      </w:r>
      <w:r w:rsidR="00EE661B">
        <w:t xml:space="preserve"> on climate change</w:t>
      </w:r>
      <w:r w:rsidR="00871F1A">
        <w:t xml:space="preserve"> </w:t>
      </w:r>
      <w:r w:rsidR="00EE661B">
        <w:t xml:space="preserve">directing </w:t>
      </w:r>
      <w:r>
        <w:t>EPA to regulat</w:t>
      </w:r>
      <w:r w:rsidR="003F42C1">
        <w:t>e</w:t>
      </w:r>
      <w:r>
        <w:t xml:space="preserve"> CO</w:t>
      </w:r>
      <w:r w:rsidRPr="00342974">
        <w:rPr>
          <w:vertAlign w:val="subscript"/>
        </w:rPr>
        <w:t>2</w:t>
      </w:r>
      <w:r>
        <w:t xml:space="preserve"> under the existing source provision of the New Source Performance Standard (NSPS)</w:t>
      </w:r>
      <w:proofErr w:type="gramStart"/>
      <w:r>
        <w:t>,</w:t>
      </w:r>
      <w:proofErr w:type="gramEnd"/>
      <w:r>
        <w:t xml:space="preserve"> it is </w:t>
      </w:r>
      <w:r w:rsidR="00EE661B">
        <w:t xml:space="preserve">safe to assume </w:t>
      </w:r>
      <w:r>
        <w:t>that the SCC may be used to justify stringent carbon reduction policies with price impacts at or above the “high” carbon price projected by the Company. PacifiCorp could very well experience low gas prices and/or “high” carbon prices within the foreseeable future.</w:t>
      </w:r>
    </w:p>
    <w:p w:rsidR="002B7DE6" w:rsidRDefault="002B7DE6" w:rsidP="002B7DE6">
      <w:r>
        <w:t>The combination of low gas price and the Company’s “high” CO</w:t>
      </w:r>
      <w:r w:rsidRPr="005C5DEC">
        <w:rPr>
          <w:vertAlign w:val="subscript"/>
        </w:rPr>
        <w:t>2</w:t>
      </w:r>
      <w:r>
        <w:t xml:space="preserve"> price results in numerous coal plant retirements ahead of major </w:t>
      </w:r>
      <w:r w:rsidR="00EE661B">
        <w:t>expenditures</w:t>
      </w:r>
      <w:r>
        <w:t xml:space="preserve"> – including environmental retrofits required under either the Best Available Retrofit Technology (BART) or Reasonable Progress provisions of the regional haze rule. Therefore, many of the expected retirements occur even prior to the onset of a carbon pri</w:t>
      </w:r>
      <w:r w:rsidR="00B42992">
        <w:t>ce.</w:t>
      </w:r>
    </w:p>
    <w:p w:rsidR="002B7DE6" w:rsidRDefault="002B7DE6" w:rsidP="002B7DE6">
      <w:r>
        <w:t>Ultimately, regardless of the performance of these high retirement scenarios relative to the baseline scenarios, the simple fact that a reasonable set of paramete</w:t>
      </w:r>
      <w:r w:rsidR="003F42C1">
        <w:t>r</w:t>
      </w:r>
      <w:r>
        <w:t>s result in massive</w:t>
      </w:r>
      <w:r w:rsidR="00EE661B">
        <w:t xml:space="preserve"> coal plant</w:t>
      </w:r>
      <w:r>
        <w:t xml:space="preserve"> retirements indicates that the Company </w:t>
      </w:r>
      <w:r w:rsidR="00EE661B">
        <w:t>must</w:t>
      </w:r>
      <w:r>
        <w:t xml:space="preserve"> seriously review the risks</w:t>
      </w:r>
      <w:r w:rsidR="00EE661B">
        <w:t xml:space="preserve"> its coal fleet</w:t>
      </w:r>
      <w:r w:rsidR="00871F1A">
        <w:t xml:space="preserve"> </w:t>
      </w:r>
      <w:r>
        <w:t>face</w:t>
      </w:r>
      <w:r w:rsidR="00EE661B">
        <w:t xml:space="preserve">s, </w:t>
      </w:r>
      <w:r>
        <w:t>and craft a strategic plan for transitioning to a</w:t>
      </w:r>
      <w:r w:rsidR="00EE661B">
        <w:t>n inevitable</w:t>
      </w:r>
      <w:r>
        <w:t xml:space="preserve"> non-coal economy. While the wholesale retirement of the entire fleet may not ultimately be the most effective outcome for the Company, the results of this IRP suggest that it is well within the range of reason and should not be discounted simply because they do not perform as well in the P</w:t>
      </w:r>
      <w:r w:rsidR="00EE661B">
        <w:t>lanning and Risk</w:t>
      </w:r>
      <w:r>
        <w:t xml:space="preserve"> module.</w:t>
      </w:r>
    </w:p>
    <w:p w:rsidR="002B7DE6" w:rsidRDefault="002B7DE6" w:rsidP="002B7DE6">
      <w:pPr>
        <w:pStyle w:val="NoSpacing"/>
        <w:keepNext/>
        <w:spacing w:after="120"/>
      </w:pPr>
      <w:r w:rsidRPr="00BD6BCA">
        <w:rPr>
          <w:noProof/>
          <w:lang w:eastAsia="en-US"/>
        </w:rPr>
        <w:drawing>
          <wp:inline distT="0" distB="0" distL="0" distR="0" wp14:anchorId="70781101" wp14:editId="49315810">
            <wp:extent cx="5337810" cy="28708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7810" cy="2870835"/>
                    </a:xfrm>
                    <a:prstGeom prst="rect">
                      <a:avLst/>
                    </a:prstGeom>
                    <a:noFill/>
                    <a:ln>
                      <a:noFill/>
                    </a:ln>
                  </pic:spPr>
                </pic:pic>
              </a:graphicData>
            </a:graphic>
          </wp:inline>
        </w:drawing>
      </w:r>
    </w:p>
    <w:p w:rsidR="002B7DE6" w:rsidRDefault="002B7DE6" w:rsidP="002B7DE6">
      <w:pPr>
        <w:pStyle w:val="Caption"/>
      </w:pPr>
      <w:proofErr w:type="gramStart"/>
      <w:r>
        <w:t xml:space="preserve">Figure </w:t>
      </w:r>
      <w:r w:rsidR="00606339">
        <w:fldChar w:fldCharType="begin"/>
      </w:r>
      <w:r>
        <w:instrText xml:space="preserve"> SEQ Figure \* ARABIC </w:instrText>
      </w:r>
      <w:r w:rsidR="00606339">
        <w:fldChar w:fldCharType="separate"/>
      </w:r>
      <w:r>
        <w:rPr>
          <w:noProof/>
        </w:rPr>
        <w:t>1</w:t>
      </w:r>
      <w:r w:rsidR="00606339">
        <w:rPr>
          <w:noProof/>
        </w:rPr>
        <w:fldChar w:fldCharType="end"/>
      </w:r>
      <w:r>
        <w:t>.</w:t>
      </w:r>
      <w:proofErr w:type="gramEnd"/>
      <w:r>
        <w:t xml:space="preserve"> Coal unit retirement years identified in the 2013 IRP, Transmission Scenario EG-1 under low gas / high CO2 price scenarios. Units with a range indicate that scenarios identified different retirement years.</w:t>
      </w:r>
    </w:p>
    <w:p w:rsidR="002B7DE6" w:rsidRPr="00973289" w:rsidRDefault="002B7DE6" w:rsidP="002B7DE6">
      <w:pPr>
        <w:pStyle w:val="Heading2"/>
      </w:pPr>
      <w:r w:rsidRPr="00973289">
        <w:t>PacifiCorp</w:t>
      </w:r>
      <w:r w:rsidR="008C0E8C">
        <w:t>’s</w:t>
      </w:r>
      <w:r w:rsidRPr="00973289">
        <w:t xml:space="preserve"> </w:t>
      </w:r>
      <w:r>
        <w:t xml:space="preserve">IRP </w:t>
      </w:r>
      <w:r w:rsidRPr="00973289">
        <w:t xml:space="preserve">scenarios are highly repetitive, and do not provide adequate resolution on risk to </w:t>
      </w:r>
      <w:r>
        <w:t xml:space="preserve">the Company’s </w:t>
      </w:r>
      <w:r w:rsidR="00EE661B">
        <w:t>coal plants</w:t>
      </w:r>
      <w:r w:rsidRPr="00973289">
        <w:t>.</w:t>
      </w:r>
    </w:p>
    <w:p w:rsidR="002B7DE6" w:rsidRDefault="002B7DE6" w:rsidP="002B7DE6">
      <w:r>
        <w:t>PacifiCorp’s 94 scenarios can ultimately be condensed into three fundamental sets defined largely by their commodity price assumptions. As noted above, one of the features of these three sets is that the commodity price set that is most favorable to</w:t>
      </w:r>
      <w:r w:rsidR="00EE661B">
        <w:t xml:space="preserve"> coal plant</w:t>
      </w:r>
      <w:r>
        <w:t xml:space="preserve"> retirement results in the retirement of nearly </w:t>
      </w:r>
      <w:r>
        <w:rPr>
          <w:u w:val="single"/>
        </w:rPr>
        <w:t>all</w:t>
      </w:r>
      <w:r>
        <w:t xml:space="preserve"> of the units, while the base case results in the retirement of only </w:t>
      </w:r>
      <w:r w:rsidR="00EE661B">
        <w:t>announced</w:t>
      </w:r>
      <w:r>
        <w:t xml:space="preserve"> units (</w:t>
      </w:r>
      <w:proofErr w:type="spellStart"/>
      <w:r>
        <w:t>Naughton</w:t>
      </w:r>
      <w:proofErr w:type="spellEnd"/>
      <w:r>
        <w:t xml:space="preserve"> 3 and Carbon 1&amp;2).</w:t>
      </w:r>
    </w:p>
    <w:p w:rsidR="002B7DE6" w:rsidRDefault="002B7DE6" w:rsidP="002B7DE6">
      <w:r>
        <w:t>In only running these three sets of scenarios, PacifiCorp missed a critical opportunity to explore, in a public planning framework, the sensitivity of their system to anything except for the most extreme test cases. In addition, there is no marker or reported information that would allow stakeholders or regulators to understand the degree of risk faced by any given coal unit in the fleet. System Optimizer, as a discrete linear program, reports a single “optimal” solution</w:t>
      </w:r>
      <w:r w:rsidR="003F42C1">
        <w:t xml:space="preserve"> </w:t>
      </w:r>
      <w:r>
        <w:t>– if a single element is more economic than the next best choice by $1 or by $100,000,000, System Optimizer will still choose that element. In this reporting of book</w:t>
      </w:r>
      <w:r w:rsidR="003F42C1">
        <w:t>-</w:t>
      </w:r>
      <w:r>
        <w:t>end scenarios, stakeholders are unable to determine the vulnerability of PacifiCorp’s coal units except in a single bookend.</w:t>
      </w:r>
    </w:p>
    <w:p w:rsidR="002B7DE6" w:rsidRDefault="002B7DE6" w:rsidP="002B7DE6">
      <w:r>
        <w:t xml:space="preserve">To remedy this situation, PacifiCorp </w:t>
      </w:r>
      <w:r w:rsidR="00EE661B">
        <w:t>must</w:t>
      </w:r>
      <w:r>
        <w:t xml:space="preserve"> provide two additional analyses </w:t>
      </w:r>
      <w:r w:rsidR="00EE661B">
        <w:t>as soon as possible</w:t>
      </w:r>
      <w:r>
        <w:t>:</w:t>
      </w:r>
    </w:p>
    <w:p w:rsidR="002B7DE6" w:rsidRDefault="002B7DE6" w:rsidP="002B7DE6">
      <w:pPr>
        <w:pStyle w:val="NoSpacing"/>
        <w:numPr>
          <w:ilvl w:val="0"/>
          <w:numId w:val="49"/>
        </w:numPr>
        <w:spacing w:after="120"/>
      </w:pPr>
      <w:r>
        <w:t>Run core scenarios with other combinations and permutations of the low/mid/high gas prices, rather than just the three provided in this IRP. The schematic below shows where new runs should be completed.</w:t>
      </w:r>
      <w:r>
        <w:rPr>
          <w:rStyle w:val="FootnoteReference"/>
        </w:rPr>
        <w:footnoteReference w:id="3"/>
      </w:r>
      <w:r>
        <w:t xml:space="preserve"> These scenarios would help provide clarity </w:t>
      </w:r>
      <w:r w:rsidR="003F42C1">
        <w:t>regarding whether</w:t>
      </w:r>
      <w:r>
        <w:t xml:space="preserve"> multiple plants are also vulnerable under less dire commodity price futures.</w:t>
      </w:r>
    </w:p>
    <w:p w:rsidR="00606339" w:rsidRDefault="00606339" w:rsidP="003F42C1">
      <w:pPr>
        <w:pStyle w:val="NoSpacing"/>
        <w:spacing w:after="120"/>
        <w:ind w:left="720"/>
      </w:pPr>
    </w:p>
    <w:tbl>
      <w:tblPr>
        <w:tblStyle w:val="TableGrid"/>
        <w:tblW w:w="0" w:type="auto"/>
        <w:tblInd w:w="1019" w:type="dxa"/>
        <w:tblLayout w:type="fixed"/>
        <w:tblLook w:val="04A0" w:firstRow="1" w:lastRow="0" w:firstColumn="1" w:lastColumn="0" w:noHBand="0" w:noVBand="1"/>
      </w:tblPr>
      <w:tblGrid>
        <w:gridCol w:w="360"/>
        <w:gridCol w:w="360"/>
        <w:gridCol w:w="930"/>
        <w:gridCol w:w="930"/>
        <w:gridCol w:w="930"/>
      </w:tblGrid>
      <w:tr w:rsidR="002B7DE6" w:rsidTr="00423306">
        <w:tc>
          <w:tcPr>
            <w:tcW w:w="720" w:type="dxa"/>
            <w:gridSpan w:val="2"/>
            <w:vMerge w:val="restart"/>
            <w:tcBorders>
              <w:top w:val="nil"/>
              <w:left w:val="nil"/>
            </w:tcBorders>
            <w:vAlign w:val="center"/>
          </w:tcPr>
          <w:p w:rsidR="002B7DE6" w:rsidRDefault="002B7DE6" w:rsidP="00423306">
            <w:pPr>
              <w:pStyle w:val="NoSpacing"/>
              <w:jc w:val="center"/>
            </w:pPr>
          </w:p>
        </w:tc>
        <w:tc>
          <w:tcPr>
            <w:tcW w:w="2790" w:type="dxa"/>
            <w:gridSpan w:val="3"/>
            <w:tcBorders>
              <w:bottom w:val="nil"/>
            </w:tcBorders>
            <w:vAlign w:val="center"/>
          </w:tcPr>
          <w:p w:rsidR="002B7DE6" w:rsidRPr="008F5BCA" w:rsidRDefault="002B7DE6" w:rsidP="00423306">
            <w:pPr>
              <w:pStyle w:val="NoSpacing"/>
              <w:jc w:val="center"/>
              <w:rPr>
                <w:b/>
              </w:rPr>
            </w:pPr>
            <w:r w:rsidRPr="008F5BCA">
              <w:rPr>
                <w:b/>
              </w:rPr>
              <w:t>Gas Price</w:t>
            </w:r>
          </w:p>
        </w:tc>
      </w:tr>
      <w:tr w:rsidR="002B7DE6" w:rsidTr="00423306">
        <w:tc>
          <w:tcPr>
            <w:tcW w:w="720" w:type="dxa"/>
            <w:gridSpan w:val="2"/>
            <w:vMerge/>
            <w:tcBorders>
              <w:left w:val="nil"/>
            </w:tcBorders>
            <w:vAlign w:val="center"/>
          </w:tcPr>
          <w:p w:rsidR="002B7DE6" w:rsidRDefault="002B7DE6" w:rsidP="00423306">
            <w:pPr>
              <w:pStyle w:val="NoSpacing"/>
              <w:jc w:val="center"/>
            </w:pPr>
          </w:p>
        </w:tc>
        <w:tc>
          <w:tcPr>
            <w:tcW w:w="930" w:type="dxa"/>
            <w:tcBorders>
              <w:top w:val="nil"/>
            </w:tcBorders>
            <w:vAlign w:val="center"/>
          </w:tcPr>
          <w:p w:rsidR="002B7DE6" w:rsidRPr="008F5BCA" w:rsidRDefault="002B7DE6" w:rsidP="00423306">
            <w:pPr>
              <w:pStyle w:val="NoSpacing"/>
              <w:jc w:val="center"/>
              <w:rPr>
                <w:b/>
              </w:rPr>
            </w:pPr>
            <w:r w:rsidRPr="008F5BCA">
              <w:rPr>
                <w:b/>
              </w:rPr>
              <w:t>Low</w:t>
            </w:r>
          </w:p>
        </w:tc>
        <w:tc>
          <w:tcPr>
            <w:tcW w:w="930" w:type="dxa"/>
            <w:tcBorders>
              <w:top w:val="nil"/>
            </w:tcBorders>
            <w:vAlign w:val="center"/>
          </w:tcPr>
          <w:p w:rsidR="002B7DE6" w:rsidRPr="008F5BCA" w:rsidRDefault="002B7DE6" w:rsidP="00423306">
            <w:pPr>
              <w:pStyle w:val="NoSpacing"/>
              <w:jc w:val="center"/>
              <w:rPr>
                <w:b/>
              </w:rPr>
            </w:pPr>
            <w:r w:rsidRPr="008F5BCA">
              <w:rPr>
                <w:b/>
              </w:rPr>
              <w:t>Mid</w:t>
            </w:r>
          </w:p>
        </w:tc>
        <w:tc>
          <w:tcPr>
            <w:tcW w:w="930" w:type="dxa"/>
            <w:tcBorders>
              <w:top w:val="nil"/>
            </w:tcBorders>
            <w:vAlign w:val="center"/>
          </w:tcPr>
          <w:p w:rsidR="002B7DE6" w:rsidRPr="008F5BCA" w:rsidRDefault="002B7DE6" w:rsidP="00423306">
            <w:pPr>
              <w:pStyle w:val="NoSpacing"/>
              <w:jc w:val="center"/>
              <w:rPr>
                <w:b/>
              </w:rPr>
            </w:pPr>
            <w:r w:rsidRPr="008F5BCA">
              <w:rPr>
                <w:b/>
              </w:rPr>
              <w:t>High</w:t>
            </w:r>
          </w:p>
        </w:tc>
      </w:tr>
      <w:tr w:rsidR="002B7DE6" w:rsidTr="00423306">
        <w:trPr>
          <w:cantSplit/>
          <w:trHeight w:val="886"/>
        </w:trPr>
        <w:tc>
          <w:tcPr>
            <w:tcW w:w="360" w:type="dxa"/>
            <w:vMerge w:val="restart"/>
            <w:tcBorders>
              <w:right w:val="nil"/>
            </w:tcBorders>
            <w:textDirection w:val="btLr"/>
            <w:vAlign w:val="center"/>
          </w:tcPr>
          <w:p w:rsidR="002B7DE6" w:rsidRPr="008F5BCA" w:rsidRDefault="002B7DE6" w:rsidP="00423306">
            <w:pPr>
              <w:pStyle w:val="NoSpacing"/>
              <w:ind w:left="113" w:right="113"/>
              <w:jc w:val="center"/>
              <w:rPr>
                <w:b/>
              </w:rPr>
            </w:pPr>
            <w:r w:rsidRPr="008F5BCA">
              <w:rPr>
                <w:b/>
              </w:rPr>
              <w:t>CO</w:t>
            </w:r>
            <w:r w:rsidRPr="008F5BCA">
              <w:rPr>
                <w:b/>
                <w:vertAlign w:val="subscript"/>
              </w:rPr>
              <w:t>2</w:t>
            </w:r>
            <w:r w:rsidRPr="008F5BCA">
              <w:rPr>
                <w:b/>
              </w:rPr>
              <w:t xml:space="preserve"> Price</w:t>
            </w:r>
          </w:p>
        </w:tc>
        <w:tc>
          <w:tcPr>
            <w:tcW w:w="360" w:type="dxa"/>
            <w:tcBorders>
              <w:left w:val="nil"/>
            </w:tcBorders>
            <w:textDirection w:val="btLr"/>
            <w:vAlign w:val="center"/>
          </w:tcPr>
          <w:p w:rsidR="002B7DE6" w:rsidRPr="008F5BCA" w:rsidRDefault="002B7DE6" w:rsidP="00423306">
            <w:pPr>
              <w:pStyle w:val="NoSpacing"/>
              <w:ind w:left="113" w:right="113"/>
              <w:jc w:val="center"/>
              <w:rPr>
                <w:b/>
              </w:rPr>
            </w:pPr>
            <w:r w:rsidRPr="008F5BCA">
              <w:rPr>
                <w:b/>
              </w:rPr>
              <w:t>Low</w:t>
            </w:r>
          </w:p>
        </w:tc>
        <w:tc>
          <w:tcPr>
            <w:tcW w:w="930" w:type="dxa"/>
            <w:vAlign w:val="center"/>
          </w:tcPr>
          <w:p w:rsidR="002B7DE6" w:rsidRDefault="002B7DE6" w:rsidP="00423306">
            <w:pPr>
              <w:pStyle w:val="NoSpacing"/>
              <w:jc w:val="center"/>
            </w:pPr>
            <w:r>
              <w:t>?</w:t>
            </w:r>
          </w:p>
        </w:tc>
        <w:tc>
          <w:tcPr>
            <w:tcW w:w="930" w:type="dxa"/>
            <w:shd w:val="clear" w:color="auto" w:fill="D9D9D9" w:themeFill="background1" w:themeFillShade="D9"/>
            <w:vAlign w:val="center"/>
          </w:tcPr>
          <w:p w:rsidR="002B7DE6" w:rsidRDefault="002B7DE6" w:rsidP="00423306">
            <w:pPr>
              <w:pStyle w:val="NoSpacing"/>
              <w:jc w:val="center"/>
            </w:pPr>
          </w:p>
        </w:tc>
        <w:tc>
          <w:tcPr>
            <w:tcW w:w="930" w:type="dxa"/>
            <w:vAlign w:val="center"/>
          </w:tcPr>
          <w:p w:rsidR="002B7DE6" w:rsidRPr="008F5BCA" w:rsidRDefault="002B7DE6" w:rsidP="00423306">
            <w:pPr>
              <w:pStyle w:val="NoSpacing"/>
              <w:jc w:val="center"/>
              <w:rPr>
                <w:b/>
              </w:rPr>
            </w:pPr>
            <w:r w:rsidRPr="008F5BCA">
              <w:rPr>
                <w:b/>
              </w:rPr>
              <w:t>Retire None</w:t>
            </w:r>
          </w:p>
        </w:tc>
      </w:tr>
      <w:tr w:rsidR="002B7DE6" w:rsidTr="00423306">
        <w:trPr>
          <w:cantSplit/>
          <w:trHeight w:val="886"/>
        </w:trPr>
        <w:tc>
          <w:tcPr>
            <w:tcW w:w="360" w:type="dxa"/>
            <w:vMerge/>
            <w:tcBorders>
              <w:right w:val="nil"/>
            </w:tcBorders>
            <w:vAlign w:val="center"/>
          </w:tcPr>
          <w:p w:rsidR="002B7DE6" w:rsidRDefault="002B7DE6" w:rsidP="00423306">
            <w:pPr>
              <w:pStyle w:val="NoSpacing"/>
              <w:jc w:val="center"/>
            </w:pPr>
          </w:p>
        </w:tc>
        <w:tc>
          <w:tcPr>
            <w:tcW w:w="360" w:type="dxa"/>
            <w:tcBorders>
              <w:left w:val="nil"/>
            </w:tcBorders>
            <w:textDirection w:val="btLr"/>
            <w:vAlign w:val="center"/>
          </w:tcPr>
          <w:p w:rsidR="002B7DE6" w:rsidRPr="008F5BCA" w:rsidRDefault="002B7DE6" w:rsidP="00423306">
            <w:pPr>
              <w:pStyle w:val="NoSpacing"/>
              <w:ind w:left="113" w:right="113"/>
              <w:jc w:val="center"/>
              <w:rPr>
                <w:b/>
              </w:rPr>
            </w:pPr>
            <w:r w:rsidRPr="008F5BCA">
              <w:rPr>
                <w:b/>
              </w:rPr>
              <w:t>Mid</w:t>
            </w:r>
          </w:p>
        </w:tc>
        <w:tc>
          <w:tcPr>
            <w:tcW w:w="930" w:type="dxa"/>
            <w:vAlign w:val="center"/>
          </w:tcPr>
          <w:p w:rsidR="002B7DE6" w:rsidRDefault="002B7DE6" w:rsidP="00423306">
            <w:pPr>
              <w:pStyle w:val="NoSpacing"/>
              <w:jc w:val="center"/>
            </w:pPr>
            <w:r>
              <w:t>?</w:t>
            </w:r>
          </w:p>
        </w:tc>
        <w:tc>
          <w:tcPr>
            <w:tcW w:w="930" w:type="dxa"/>
            <w:vAlign w:val="center"/>
          </w:tcPr>
          <w:p w:rsidR="002B7DE6" w:rsidRPr="008F5BCA" w:rsidRDefault="002B7DE6" w:rsidP="00423306">
            <w:pPr>
              <w:pStyle w:val="NoSpacing"/>
              <w:jc w:val="center"/>
              <w:rPr>
                <w:b/>
              </w:rPr>
            </w:pPr>
            <w:r w:rsidRPr="008F5BCA">
              <w:rPr>
                <w:b/>
              </w:rPr>
              <w:t>Base</w:t>
            </w:r>
          </w:p>
        </w:tc>
        <w:tc>
          <w:tcPr>
            <w:tcW w:w="930" w:type="dxa"/>
            <w:shd w:val="clear" w:color="auto" w:fill="D9D9D9" w:themeFill="background1" w:themeFillShade="D9"/>
            <w:vAlign w:val="center"/>
          </w:tcPr>
          <w:p w:rsidR="002B7DE6" w:rsidRDefault="002B7DE6" w:rsidP="00423306">
            <w:pPr>
              <w:pStyle w:val="NoSpacing"/>
              <w:jc w:val="center"/>
            </w:pPr>
          </w:p>
        </w:tc>
      </w:tr>
      <w:tr w:rsidR="002B7DE6" w:rsidTr="00423306">
        <w:trPr>
          <w:cantSplit/>
          <w:trHeight w:val="886"/>
        </w:trPr>
        <w:tc>
          <w:tcPr>
            <w:tcW w:w="360" w:type="dxa"/>
            <w:vMerge/>
            <w:tcBorders>
              <w:right w:val="nil"/>
            </w:tcBorders>
            <w:vAlign w:val="center"/>
          </w:tcPr>
          <w:p w:rsidR="002B7DE6" w:rsidRDefault="002B7DE6" w:rsidP="00423306">
            <w:pPr>
              <w:pStyle w:val="NoSpacing"/>
              <w:jc w:val="center"/>
            </w:pPr>
          </w:p>
        </w:tc>
        <w:tc>
          <w:tcPr>
            <w:tcW w:w="360" w:type="dxa"/>
            <w:tcBorders>
              <w:left w:val="nil"/>
            </w:tcBorders>
            <w:textDirection w:val="btLr"/>
            <w:vAlign w:val="center"/>
          </w:tcPr>
          <w:p w:rsidR="002B7DE6" w:rsidRPr="008F5BCA" w:rsidRDefault="002B7DE6" w:rsidP="00423306">
            <w:pPr>
              <w:pStyle w:val="NoSpacing"/>
              <w:ind w:left="113" w:right="113"/>
              <w:jc w:val="center"/>
              <w:rPr>
                <w:b/>
              </w:rPr>
            </w:pPr>
            <w:r w:rsidRPr="008F5BCA">
              <w:rPr>
                <w:b/>
              </w:rPr>
              <w:t>High</w:t>
            </w:r>
          </w:p>
        </w:tc>
        <w:tc>
          <w:tcPr>
            <w:tcW w:w="930" w:type="dxa"/>
            <w:vAlign w:val="center"/>
          </w:tcPr>
          <w:p w:rsidR="002B7DE6" w:rsidRPr="008F5BCA" w:rsidRDefault="002B7DE6" w:rsidP="00423306">
            <w:pPr>
              <w:pStyle w:val="NoSpacing"/>
              <w:jc w:val="center"/>
              <w:rPr>
                <w:b/>
              </w:rPr>
            </w:pPr>
            <w:r w:rsidRPr="008F5BCA">
              <w:rPr>
                <w:b/>
              </w:rPr>
              <w:t>Retire All</w:t>
            </w:r>
          </w:p>
        </w:tc>
        <w:tc>
          <w:tcPr>
            <w:tcW w:w="930" w:type="dxa"/>
            <w:vAlign w:val="center"/>
          </w:tcPr>
          <w:p w:rsidR="002B7DE6" w:rsidRDefault="002B7DE6" w:rsidP="00423306">
            <w:pPr>
              <w:pStyle w:val="NoSpacing"/>
              <w:jc w:val="center"/>
            </w:pPr>
            <w:r>
              <w:t>?</w:t>
            </w:r>
          </w:p>
        </w:tc>
        <w:tc>
          <w:tcPr>
            <w:tcW w:w="930" w:type="dxa"/>
            <w:vAlign w:val="center"/>
          </w:tcPr>
          <w:p w:rsidR="002B7DE6" w:rsidRDefault="002B7DE6" w:rsidP="00423306">
            <w:pPr>
              <w:pStyle w:val="NoSpacing"/>
              <w:jc w:val="center"/>
            </w:pPr>
            <w:r>
              <w:t>?</w:t>
            </w:r>
          </w:p>
        </w:tc>
      </w:tr>
    </w:tbl>
    <w:p w:rsidR="00606339" w:rsidRDefault="00606339" w:rsidP="003F42C1">
      <w:pPr>
        <w:pStyle w:val="NoSpacing"/>
        <w:spacing w:after="120"/>
        <w:ind w:left="720"/>
      </w:pPr>
    </w:p>
    <w:p w:rsidR="002B7DE6" w:rsidRDefault="002B7DE6" w:rsidP="00871F1A">
      <w:pPr>
        <w:pStyle w:val="NoSpacing"/>
        <w:numPr>
          <w:ilvl w:val="0"/>
          <w:numId w:val="49"/>
        </w:numPr>
        <w:spacing w:after="200"/>
      </w:pPr>
      <w:r>
        <w:t>Provide a metric by which stakeholders and regulators can determine or estimate the threshold price of gas and/or CO</w:t>
      </w:r>
      <w:r w:rsidRPr="000E3007">
        <w:rPr>
          <w:vertAlign w:val="subscript"/>
        </w:rPr>
        <w:t>2</w:t>
      </w:r>
      <w:r>
        <w:t xml:space="preserve"> that renders any given coal unit non-economic.</w:t>
      </w:r>
    </w:p>
    <w:p w:rsidR="002B7DE6" w:rsidRDefault="00EE661B" w:rsidP="002B7DE6">
      <w:r>
        <w:t>PacifiCorp’s</w:t>
      </w:r>
      <w:r w:rsidR="002B7DE6">
        <w:t xml:space="preserve"> “screening model” in the 2011 IRP provided one such mechanism of evaluating the cost effectiveness of individual coal units. An updated version of this model with new capital and OFPC assumptions could, in large part, satisfy the requirement of the second metric.</w:t>
      </w:r>
    </w:p>
    <w:p w:rsidR="002B7DE6" w:rsidRDefault="002B7DE6" w:rsidP="002B7DE6">
      <w:pPr>
        <w:pStyle w:val="Heading2"/>
      </w:pPr>
      <w:r>
        <w:t>The Planning and Risk stress test favors reference case outcomes.</w:t>
      </w:r>
    </w:p>
    <w:p w:rsidR="002B7DE6" w:rsidRDefault="002B7DE6" w:rsidP="002B7DE6">
      <w:r>
        <w:t>The Planning and Risk (</w:t>
      </w:r>
      <w:proofErr w:type="spellStart"/>
      <w:r>
        <w:t>PaR</w:t>
      </w:r>
      <w:proofErr w:type="spellEnd"/>
      <w:r>
        <w:t>) module used by PacifiCorp has both advantages and drawbacks. The module allows the Company to test each portfolio against an uncertain range of gas and market energy prices, as well as demand forecasts and forced outage rates. The module returns a series of present value revenue requirements (PVRR) for each of 100 random iterations, from which the Company derives an expected value (the average) and a risk metric (the 95</w:t>
      </w:r>
      <w:r w:rsidRPr="00185665">
        <w:rPr>
          <w:vertAlign w:val="superscript"/>
        </w:rPr>
        <w:t>th</w:t>
      </w:r>
      <w:r>
        <w:t xml:space="preserve"> percentile).</w:t>
      </w:r>
    </w:p>
    <w:p w:rsidR="002B7DE6" w:rsidRDefault="002B7DE6" w:rsidP="002B7DE6">
      <w:r>
        <w:t xml:space="preserve">The disadvantage of the </w:t>
      </w:r>
      <w:proofErr w:type="spellStart"/>
      <w:r>
        <w:t>PaR</w:t>
      </w:r>
      <w:proofErr w:type="spellEnd"/>
      <w:r>
        <w:t xml:space="preserve"> module is that it is, by design, biased towards the selection of the reference or base case. The </w:t>
      </w:r>
      <w:proofErr w:type="spellStart"/>
      <w:r>
        <w:t>PaR</w:t>
      </w:r>
      <w:proofErr w:type="spellEnd"/>
      <w:r>
        <w:t xml:space="preserve"> module, while implementing a range of “random walk” commodity prices, has a median price trajectory that is very close to the base case commodity prices. The net effect is that the average or median outcome of the </w:t>
      </w:r>
      <w:proofErr w:type="spellStart"/>
      <w:r>
        <w:t>PaR</w:t>
      </w:r>
      <w:proofErr w:type="spellEnd"/>
      <w:r>
        <w:t xml:space="preserve"> module reflects essentially a run with base case commodity prices. </w:t>
      </w:r>
      <w:r w:rsidR="001C1383">
        <w:t>Frankly</w:t>
      </w:r>
      <w:r>
        <w:t xml:space="preserve">, </w:t>
      </w:r>
      <w:r w:rsidR="001C1383">
        <w:t xml:space="preserve">this approach </w:t>
      </w:r>
      <w:r>
        <w:t>is disingenuous. It is clear that a reference case outcome will always prevail – scenarios optimized under different commodity prices are, by design and definition, not optimal in a reference case environment.</w:t>
      </w:r>
    </w:p>
    <w:p w:rsidR="002B7DE6" w:rsidRDefault="002B7DE6" w:rsidP="002B7DE6">
      <w:r>
        <w:t xml:space="preserve">When it comes to understanding the implications of the IRP for PacifiCorp’s existing fleet and new resource decisions, the “risk adjusted PVRR” may not be an appropriate measure, particularly in situations where there is a binary choice between two very different trajectories. Rather than attempting to determine which type of outcome is more likely to succeed under base conditions, the Company should advance a theory of the likelihood, and risk, of a particular outcome transpiring and the risks incurred by choosing a particular pathway – in other words, a “no regrets” analysis. </w:t>
      </w:r>
    </w:p>
    <w:p w:rsidR="002B7DE6" w:rsidRPr="00192F11" w:rsidRDefault="002B7DE6" w:rsidP="002B7DE6">
      <w:pPr>
        <w:pStyle w:val="Heading2"/>
      </w:pPr>
      <w:r>
        <w:t xml:space="preserve">The Company </w:t>
      </w:r>
      <w:r w:rsidR="001C1383">
        <w:t>must</w:t>
      </w:r>
      <w:r>
        <w:t xml:space="preserve"> </w:t>
      </w:r>
      <w:r w:rsidR="001C1383">
        <w:t>retire</w:t>
      </w:r>
      <w:r>
        <w:t xml:space="preserve"> </w:t>
      </w:r>
      <w:proofErr w:type="spellStart"/>
      <w:r>
        <w:t>Cholla</w:t>
      </w:r>
      <w:proofErr w:type="spellEnd"/>
      <w:r w:rsidR="001C1383">
        <w:t xml:space="preserve"> unit</w:t>
      </w:r>
      <w:r>
        <w:t xml:space="preserve"> 4</w:t>
      </w:r>
      <w:r w:rsidR="003F42C1">
        <w:t>.</w:t>
      </w:r>
    </w:p>
    <w:p w:rsidR="002B7DE6" w:rsidRDefault="002B7DE6" w:rsidP="002B7DE6">
      <w:r>
        <w:t>On December 5, 2012, the EPA promulgated a final Federal Implementation Plan (FIP) for Regional Haze in Arizona (77 FR 72511). The FIP</w:t>
      </w:r>
      <w:r w:rsidR="00871F1A">
        <w:t xml:space="preserve"> </w:t>
      </w:r>
      <w:r>
        <w:t xml:space="preserve">disapproved components of Arizona’s State Implementation Plan (SIP), and sets an emissions limit of 0.055 </w:t>
      </w:r>
      <w:r w:rsidR="00871F1A">
        <w:t>lbs.</w:t>
      </w:r>
      <w:r>
        <w:t xml:space="preserve"> </w:t>
      </w:r>
      <w:proofErr w:type="spellStart"/>
      <w:r>
        <w:t>NOx</w:t>
      </w:r>
      <w:proofErr w:type="spellEnd"/>
      <w:r>
        <w:t>/</w:t>
      </w:r>
      <w:proofErr w:type="spellStart"/>
      <w:r>
        <w:t>MMBtu</w:t>
      </w:r>
      <w:proofErr w:type="spellEnd"/>
      <w:r>
        <w:t xml:space="preserve"> on a rolling 30-operating-day limit at </w:t>
      </w:r>
      <w:proofErr w:type="spellStart"/>
      <w:r>
        <w:t>Cholla</w:t>
      </w:r>
      <w:proofErr w:type="spellEnd"/>
      <w:r>
        <w:t xml:space="preserve"> Units 2-4.</w:t>
      </w:r>
      <w:r w:rsidR="00871F1A">
        <w:t xml:space="preserve"> </w:t>
      </w:r>
      <w:r w:rsidR="001C1383">
        <w:t xml:space="preserve">EPA’s rule </w:t>
      </w:r>
      <w:r>
        <w:t>requires</w:t>
      </w:r>
      <w:r w:rsidR="001C1383">
        <w:t xml:space="preserve"> installation of</w:t>
      </w:r>
      <w:r>
        <w:t xml:space="preserve"> </w:t>
      </w:r>
      <w:r w:rsidR="001C1383">
        <w:t>selective catalytic reduction technology (“SCR”)</w:t>
      </w:r>
      <w:r w:rsidR="00871F1A">
        <w:t xml:space="preserve"> </w:t>
      </w:r>
      <w:r>
        <w:t xml:space="preserve">at </w:t>
      </w:r>
      <w:r w:rsidR="00871F1A">
        <w:t>PacifiCorp’s</w:t>
      </w:r>
      <w:r>
        <w:t xml:space="preserve"> </w:t>
      </w:r>
      <w:proofErr w:type="spellStart"/>
      <w:r>
        <w:t>Cholla</w:t>
      </w:r>
      <w:proofErr w:type="spellEnd"/>
      <w:r>
        <w:t xml:space="preserve"> </w:t>
      </w:r>
      <w:r w:rsidR="003F42C1">
        <w:t xml:space="preserve">unit </w:t>
      </w:r>
      <w:r>
        <w:t xml:space="preserve">4. </w:t>
      </w:r>
    </w:p>
    <w:p w:rsidR="002B7DE6" w:rsidRDefault="002B7DE6" w:rsidP="002B7DE6">
      <w:r>
        <w:t>However, both the base case and low gas/high CO</w:t>
      </w:r>
      <w:r w:rsidRPr="00D25A02">
        <w:rPr>
          <w:vertAlign w:val="subscript"/>
        </w:rPr>
        <w:t>2</w:t>
      </w:r>
      <w:r>
        <w:t xml:space="preserve"> commodity price scenarios result in the early retirement of </w:t>
      </w:r>
      <w:proofErr w:type="spellStart"/>
      <w:r>
        <w:t>Cholla</w:t>
      </w:r>
      <w:proofErr w:type="spellEnd"/>
      <w:r>
        <w:t xml:space="preserve"> </w:t>
      </w:r>
      <w:r w:rsidR="003F42C1">
        <w:t xml:space="preserve">unit </w:t>
      </w:r>
      <w:r>
        <w:t xml:space="preserve">4. The Company’s base forecast predicts that any </w:t>
      </w:r>
      <w:proofErr w:type="gramStart"/>
      <w:r w:rsidR="001C1383">
        <w:t>expenditure</w:t>
      </w:r>
      <w:r>
        <w:t>s</w:t>
      </w:r>
      <w:proofErr w:type="gramEnd"/>
      <w:r>
        <w:t xml:space="preserve"> made by 2017 would have less than eight years to recover their costs prior to the retirement of the unit – or that either the Company or ratepayers would be saddled with stranded costs. </w:t>
      </w:r>
      <w:r w:rsidR="003F42C1">
        <w:t>T</w:t>
      </w:r>
      <w:r>
        <w:t>he Company’s low gas/high CO</w:t>
      </w:r>
      <w:r w:rsidRPr="007D519D">
        <w:rPr>
          <w:vertAlign w:val="subscript"/>
        </w:rPr>
        <w:t>2</w:t>
      </w:r>
      <w:r>
        <w:t xml:space="preserve"> case shows that the </w:t>
      </w:r>
      <w:r w:rsidR="001C1383">
        <w:t>retrofit</w:t>
      </w:r>
      <w:r>
        <w:t xml:space="preserve"> should not be made in the first place, and the unit should be scheduled for retirement in 2017.</w:t>
      </w:r>
    </w:p>
    <w:p w:rsidR="002B7DE6" w:rsidRDefault="001C1383" w:rsidP="002B7DE6">
      <w:r>
        <w:t xml:space="preserve">Given </w:t>
      </w:r>
      <w:r w:rsidR="002B7DE6">
        <w:t xml:space="preserve">the poor economic outcome for </w:t>
      </w:r>
      <w:proofErr w:type="spellStart"/>
      <w:r w:rsidR="002B7DE6">
        <w:t>Cholla</w:t>
      </w:r>
      <w:proofErr w:type="spellEnd"/>
      <w:r w:rsidR="002B7DE6">
        <w:t xml:space="preserve">, the Company </w:t>
      </w:r>
      <w:r>
        <w:t>decided to sue EPA on its BART determination</w:t>
      </w:r>
      <w:r w:rsidR="003F42C1">
        <w:t xml:space="preserve"> </w:t>
      </w:r>
      <w:r>
        <w:t>for the plant</w:t>
      </w:r>
      <w:r w:rsidR="002B7DE6">
        <w:t>.</w:t>
      </w:r>
      <w:r w:rsidR="003F42C1">
        <w:t xml:space="preserve"> </w:t>
      </w:r>
      <w:r>
        <w:t>Setting aside PacifiCorp’s litigation</w:t>
      </w:r>
      <w:r w:rsidR="002B7DE6">
        <w:t>, prudent planning</w:t>
      </w:r>
      <w:r>
        <w:t xml:space="preserve"> still</w:t>
      </w:r>
      <w:r w:rsidR="003F42C1">
        <w:t xml:space="preserve"> </w:t>
      </w:r>
      <w:r w:rsidR="002B7DE6">
        <w:t>require</w:t>
      </w:r>
      <w:r>
        <w:t>s</w:t>
      </w:r>
      <w:r w:rsidR="002B7DE6">
        <w:t xml:space="preserve"> the Company </w:t>
      </w:r>
      <w:r>
        <w:t>to analyze</w:t>
      </w:r>
      <w:r w:rsidR="003F42C1">
        <w:t xml:space="preserve"> </w:t>
      </w:r>
      <w:r w:rsidR="002B7DE6">
        <w:t>retiring the unit.</w:t>
      </w:r>
    </w:p>
    <w:p w:rsidR="002B7DE6" w:rsidRDefault="002B7DE6" w:rsidP="002B7DE6">
      <w:r>
        <w:t xml:space="preserve">It is recommended that the action plan reflect an affirmative planning stage from PacifiCorp to disclose how or if the Company plans to ensure that ratepayers are not saddled with unnecessary </w:t>
      </w:r>
      <w:r w:rsidR="001C1383">
        <w:t>retrofit expenditures</w:t>
      </w:r>
      <w:r>
        <w:t>.</w:t>
      </w:r>
      <w:r w:rsidR="00871F1A">
        <w:t xml:space="preserve"> </w:t>
      </w:r>
    </w:p>
    <w:p w:rsidR="002B7DE6" w:rsidRDefault="002B7DE6" w:rsidP="002B7DE6">
      <w:pPr>
        <w:pStyle w:val="Heading2"/>
      </w:pPr>
      <w:r>
        <w:t xml:space="preserve">PacifiCorp scenarios </w:t>
      </w:r>
      <w:r w:rsidR="001C1383">
        <w:t xml:space="preserve">omitted </w:t>
      </w:r>
      <w:r>
        <w:t>likely regional haze resolution in Wyoming</w:t>
      </w:r>
      <w:r w:rsidR="003F42C1">
        <w:t>.</w:t>
      </w:r>
    </w:p>
    <w:p w:rsidR="002B7DE6" w:rsidRPr="00492D2E" w:rsidRDefault="002B7DE6" w:rsidP="002B7DE6">
      <w:r>
        <w:t xml:space="preserve">On June 10, 2013, EPA published a proposed Federal Implementation Plan (FIP) for Regional Haze in Wyoming (78 FR 34738). The proposed FIP indicates that the </w:t>
      </w:r>
      <w:r w:rsidR="001C1383">
        <w:t>IRP</w:t>
      </w:r>
      <w:r>
        <w:t>’s Stringent Regional Haze scenarios are</w:t>
      </w:r>
      <w:r w:rsidR="00EF548E">
        <w:t xml:space="preserve"> actually </w:t>
      </w:r>
      <w:r>
        <w:t xml:space="preserve">less stringent than </w:t>
      </w:r>
      <w:r w:rsidR="00EF548E">
        <w:t>EPA’s</w:t>
      </w:r>
      <w:r w:rsidR="00871F1A">
        <w:t xml:space="preserve"> </w:t>
      </w:r>
      <w:r w:rsidR="00EF548E">
        <w:t>proposed rule</w:t>
      </w:r>
      <w:r>
        <w:t xml:space="preserve">. </w:t>
      </w:r>
      <w:r w:rsidR="003F42C1">
        <w:fldChar w:fldCharType="begin"/>
      </w:r>
      <w:r w:rsidR="003F42C1">
        <w:instrText xml:space="preserve"> REF _Ref364106553 \h  \* MERGEFORMAT </w:instrText>
      </w:r>
      <w:r w:rsidR="003F42C1">
        <w:fldChar w:fldCharType="separate"/>
      </w:r>
      <w:r>
        <w:t>Table 2</w:t>
      </w:r>
      <w:r w:rsidR="003F42C1">
        <w:fldChar w:fldCharType="end"/>
      </w:r>
      <w:r>
        <w:t xml:space="preserve">, below, shows </w:t>
      </w:r>
      <w:r w:rsidR="00EF548E">
        <w:t>EPA’s</w:t>
      </w:r>
      <w:r>
        <w:t xml:space="preserve"> proposed FIP relative to the base and stringent cases, and highlights units that are likely to have more stringent (i.e.</w:t>
      </w:r>
      <w:r w:rsidR="003F42C1">
        <w:t>,</w:t>
      </w:r>
      <w:r>
        <w:t xml:space="preserve"> costly) compliance requirements than anticipated by the Company in the stringent case.</w:t>
      </w:r>
    </w:p>
    <w:p w:rsidR="002B7DE6" w:rsidRDefault="002B7DE6" w:rsidP="002B7DE6">
      <w:pPr>
        <w:pStyle w:val="Caption"/>
        <w:keepNext/>
      </w:pPr>
      <w:bookmarkStart w:id="2" w:name="_Ref364106553"/>
      <w:proofErr w:type="gramStart"/>
      <w:r>
        <w:t xml:space="preserve">Table </w:t>
      </w:r>
      <w:r w:rsidR="00606339">
        <w:fldChar w:fldCharType="begin"/>
      </w:r>
      <w:r>
        <w:instrText xml:space="preserve"> SEQ Table \* ARABIC </w:instrText>
      </w:r>
      <w:r w:rsidR="00606339">
        <w:fldChar w:fldCharType="separate"/>
      </w:r>
      <w:r>
        <w:rPr>
          <w:noProof/>
        </w:rPr>
        <w:t>2</w:t>
      </w:r>
      <w:r w:rsidR="00606339">
        <w:rPr>
          <w:noProof/>
        </w:rPr>
        <w:fldChar w:fldCharType="end"/>
      </w:r>
      <w:bookmarkEnd w:id="2"/>
      <w:r>
        <w:t>.</w:t>
      </w:r>
      <w:proofErr w:type="gramEnd"/>
      <w:r>
        <w:t xml:space="preserve"> PacifiCorp regional haze assumptions for the Base and Stringent </w:t>
      </w:r>
      <w:proofErr w:type="gramStart"/>
      <w:r>
        <w:t>cases,</w:t>
      </w:r>
      <w:proofErr w:type="gramEnd"/>
      <w:r>
        <w:t xml:space="preserve"> compared against the June 2013 Proposed FIP for Wyoming.</w:t>
      </w:r>
    </w:p>
    <w:tbl>
      <w:tblPr>
        <w:tblW w:w="5000" w:type="pct"/>
        <w:tblCellMar>
          <w:top w:w="14" w:type="dxa"/>
          <w:left w:w="29" w:type="dxa"/>
          <w:bottom w:w="14" w:type="dxa"/>
          <w:right w:w="29" w:type="dxa"/>
        </w:tblCellMar>
        <w:tblLook w:val="04A0" w:firstRow="1" w:lastRow="0" w:firstColumn="1" w:lastColumn="0" w:noHBand="0" w:noVBand="1"/>
      </w:tblPr>
      <w:tblGrid>
        <w:gridCol w:w="1282"/>
        <w:gridCol w:w="775"/>
        <w:gridCol w:w="1227"/>
        <w:gridCol w:w="1228"/>
        <w:gridCol w:w="1228"/>
        <w:gridCol w:w="1226"/>
        <w:gridCol w:w="1228"/>
        <w:gridCol w:w="1224"/>
      </w:tblGrid>
      <w:tr w:rsidR="002B7DE6" w:rsidRPr="003F42C1" w:rsidTr="003F42C1">
        <w:trPr>
          <w:trHeight w:val="586"/>
        </w:trPr>
        <w:tc>
          <w:tcPr>
            <w:tcW w:w="680" w:type="pct"/>
            <w:vMerge w:val="restart"/>
            <w:tcBorders>
              <w:top w:val="single" w:sz="4" w:space="0" w:color="000000"/>
              <w:bottom w:val="single" w:sz="12" w:space="0" w:color="000000"/>
              <w:right w:val="single" w:sz="4" w:space="0" w:color="000000"/>
            </w:tcBorders>
            <w:shd w:val="clear" w:color="auto" w:fill="D9D9D9"/>
            <w:vAlign w:val="center"/>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Coal Unit</w:t>
            </w:r>
          </w:p>
        </w:tc>
        <w:tc>
          <w:tcPr>
            <w:tcW w:w="411" w:type="pct"/>
            <w:vMerge w:val="restart"/>
            <w:tcBorders>
              <w:top w:val="single" w:sz="4" w:space="0" w:color="000000"/>
              <w:left w:val="single" w:sz="4" w:space="0" w:color="000000"/>
              <w:bottom w:val="single" w:sz="12" w:space="0" w:color="000000"/>
              <w:right w:val="single" w:sz="4" w:space="0" w:color="000000"/>
            </w:tcBorders>
            <w:shd w:val="clear" w:color="auto" w:fill="D9D9D9"/>
            <w:vAlign w:val="center"/>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State</w:t>
            </w:r>
          </w:p>
        </w:tc>
        <w:tc>
          <w:tcPr>
            <w:tcW w:w="1303" w:type="pct"/>
            <w:gridSpan w:val="2"/>
            <w:tcBorders>
              <w:top w:val="single" w:sz="4" w:space="0" w:color="000000"/>
              <w:left w:val="single" w:sz="4" w:space="0" w:color="000000"/>
              <w:right w:val="single" w:sz="4" w:space="0" w:color="000000"/>
            </w:tcBorders>
            <w:shd w:val="clear" w:color="auto" w:fill="D9D9D9"/>
            <w:vAlign w:val="center"/>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Base Regional Haze</w:t>
            </w:r>
          </w:p>
        </w:tc>
        <w:tc>
          <w:tcPr>
            <w:tcW w:w="1303" w:type="pct"/>
            <w:gridSpan w:val="2"/>
            <w:tcBorders>
              <w:top w:val="single" w:sz="4" w:space="0" w:color="000000"/>
              <w:left w:val="single" w:sz="4" w:space="0" w:color="000000"/>
              <w:right w:val="single" w:sz="4" w:space="0" w:color="000000"/>
            </w:tcBorders>
            <w:shd w:val="clear" w:color="auto" w:fill="D9D9D9"/>
            <w:vAlign w:val="center"/>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Stringent Regional Haze</w:t>
            </w:r>
          </w:p>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Stringent Regional Haze</w:t>
            </w:r>
          </w:p>
        </w:tc>
        <w:tc>
          <w:tcPr>
            <w:tcW w:w="1302" w:type="pct"/>
            <w:gridSpan w:val="2"/>
            <w:tcBorders>
              <w:top w:val="single" w:sz="4" w:space="0" w:color="000000"/>
              <w:left w:val="single" w:sz="4" w:space="0" w:color="000000"/>
            </w:tcBorders>
            <w:shd w:val="clear" w:color="auto" w:fill="D9D9D9"/>
            <w:vAlign w:val="center"/>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EPA Proposed FIP (WY)</w:t>
            </w:r>
          </w:p>
        </w:tc>
      </w:tr>
      <w:tr w:rsidR="003F42C1" w:rsidRPr="003F42C1" w:rsidTr="003F42C1">
        <w:trPr>
          <w:trHeight w:val="41"/>
        </w:trPr>
        <w:tc>
          <w:tcPr>
            <w:tcW w:w="0" w:type="auto"/>
            <w:vMerge/>
            <w:tcBorders>
              <w:top w:val="single" w:sz="4" w:space="0" w:color="000000"/>
              <w:bottom w:val="single" w:sz="12" w:space="0" w:color="000000"/>
              <w:right w:val="single" w:sz="4" w:space="0" w:color="000000"/>
            </w:tcBorders>
            <w:vAlign w:val="center"/>
            <w:hideMark/>
          </w:tcPr>
          <w:p w:rsidR="002B7DE6" w:rsidRPr="003F42C1" w:rsidRDefault="002B7DE6" w:rsidP="003F42C1">
            <w:pPr>
              <w:spacing w:after="0" w:line="240" w:lineRule="auto"/>
              <w:jc w:val="center"/>
              <w:rPr>
                <w:rFonts w:ascii="Arial" w:hAnsi="Arial" w:cs="Arial"/>
                <w:sz w:val="18"/>
                <w:szCs w:val="18"/>
              </w:rPr>
            </w:pPr>
          </w:p>
        </w:tc>
        <w:tc>
          <w:tcPr>
            <w:tcW w:w="0" w:type="auto"/>
            <w:vMerge/>
            <w:tcBorders>
              <w:top w:val="single" w:sz="4" w:space="0" w:color="000000"/>
              <w:left w:val="single" w:sz="4" w:space="0" w:color="000000"/>
              <w:bottom w:val="single" w:sz="12" w:space="0" w:color="000000"/>
              <w:right w:val="single" w:sz="4" w:space="0" w:color="000000"/>
            </w:tcBorders>
            <w:vAlign w:val="center"/>
            <w:hideMark/>
          </w:tcPr>
          <w:p w:rsidR="002B7DE6" w:rsidRPr="003F42C1" w:rsidRDefault="002B7DE6" w:rsidP="003F42C1">
            <w:pPr>
              <w:spacing w:after="0" w:line="240" w:lineRule="auto"/>
              <w:jc w:val="center"/>
              <w:rPr>
                <w:rFonts w:ascii="Arial" w:hAnsi="Arial" w:cs="Arial"/>
                <w:sz w:val="18"/>
                <w:szCs w:val="18"/>
              </w:rPr>
            </w:pPr>
          </w:p>
        </w:tc>
        <w:tc>
          <w:tcPr>
            <w:tcW w:w="651" w:type="pct"/>
            <w:tcBorders>
              <w:left w:val="single" w:sz="4" w:space="0" w:color="000000"/>
              <w:bottom w:val="single" w:sz="12" w:space="0" w:color="000000"/>
              <w:right w:val="nil"/>
            </w:tcBorders>
            <w:shd w:val="clear" w:color="auto" w:fill="D9D9D9"/>
            <w:vAlign w:val="center"/>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Technology*</w:t>
            </w:r>
          </w:p>
        </w:tc>
        <w:tc>
          <w:tcPr>
            <w:tcW w:w="652" w:type="pct"/>
            <w:tcBorders>
              <w:left w:val="nil"/>
              <w:bottom w:val="single" w:sz="12" w:space="0" w:color="000000"/>
              <w:right w:val="single" w:sz="4" w:space="0" w:color="000000"/>
            </w:tcBorders>
            <w:shd w:val="clear" w:color="auto" w:fill="D9D9D9"/>
            <w:vAlign w:val="center"/>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Year</w:t>
            </w:r>
          </w:p>
        </w:tc>
        <w:tc>
          <w:tcPr>
            <w:tcW w:w="652" w:type="pct"/>
            <w:tcBorders>
              <w:left w:val="single" w:sz="4" w:space="0" w:color="000000"/>
              <w:bottom w:val="single" w:sz="12" w:space="0" w:color="000000"/>
              <w:right w:val="nil"/>
            </w:tcBorders>
            <w:shd w:val="clear" w:color="auto" w:fill="D9D9D9"/>
            <w:vAlign w:val="center"/>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Technology*</w:t>
            </w:r>
          </w:p>
        </w:tc>
        <w:tc>
          <w:tcPr>
            <w:tcW w:w="651" w:type="pct"/>
            <w:tcBorders>
              <w:left w:val="nil"/>
              <w:bottom w:val="single" w:sz="12" w:space="0" w:color="000000"/>
              <w:right w:val="single" w:sz="4" w:space="0" w:color="000000"/>
            </w:tcBorders>
            <w:shd w:val="clear" w:color="auto" w:fill="D9D9D9"/>
            <w:vAlign w:val="center"/>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Year</w:t>
            </w:r>
          </w:p>
        </w:tc>
        <w:tc>
          <w:tcPr>
            <w:tcW w:w="652" w:type="pct"/>
            <w:tcBorders>
              <w:left w:val="single" w:sz="4" w:space="0" w:color="000000"/>
              <w:bottom w:val="single" w:sz="12" w:space="0" w:color="000000"/>
              <w:right w:val="nil"/>
            </w:tcBorders>
            <w:shd w:val="clear" w:color="auto" w:fill="D9D9D9"/>
            <w:vAlign w:val="center"/>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Technology*</w:t>
            </w:r>
          </w:p>
        </w:tc>
        <w:tc>
          <w:tcPr>
            <w:tcW w:w="650" w:type="pct"/>
            <w:tcBorders>
              <w:left w:val="nil"/>
              <w:bottom w:val="single" w:sz="12" w:space="0" w:color="000000"/>
            </w:tcBorders>
            <w:shd w:val="clear" w:color="auto" w:fill="D9D9D9"/>
            <w:vAlign w:val="center"/>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Year***</w:t>
            </w:r>
          </w:p>
        </w:tc>
      </w:tr>
      <w:tr w:rsidR="002B7DE6" w:rsidRPr="003F42C1" w:rsidTr="003F42C1">
        <w:trPr>
          <w:trHeight w:val="21"/>
        </w:trPr>
        <w:tc>
          <w:tcPr>
            <w:tcW w:w="680" w:type="pct"/>
            <w:tcBorders>
              <w:top w:val="single" w:sz="12" w:space="0" w:color="000000"/>
              <w:bottom w:val="single" w:sz="4"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r w:rsidRPr="003F42C1">
              <w:rPr>
                <w:rFonts w:ascii="Arial" w:hAnsi="Arial" w:cs="Arial"/>
                <w:sz w:val="18"/>
                <w:szCs w:val="18"/>
              </w:rPr>
              <w:t>DJ 1</w:t>
            </w:r>
          </w:p>
        </w:tc>
        <w:tc>
          <w:tcPr>
            <w:tcW w:w="411" w:type="pct"/>
            <w:tcBorders>
              <w:top w:val="single" w:sz="12" w:space="0" w:color="000000"/>
              <w:left w:val="single" w:sz="4" w:space="0" w:color="000000"/>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WY</w:t>
            </w:r>
          </w:p>
        </w:tc>
        <w:tc>
          <w:tcPr>
            <w:tcW w:w="651" w:type="pct"/>
            <w:tcBorders>
              <w:top w:val="single" w:sz="12" w:space="0" w:color="000000"/>
              <w:left w:val="single" w:sz="4" w:space="0" w:color="000000"/>
              <w:bottom w:val="single" w:sz="4" w:space="0" w:color="000000"/>
              <w:right w:val="nil"/>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rPr>
            </w:pPr>
          </w:p>
        </w:tc>
        <w:tc>
          <w:tcPr>
            <w:tcW w:w="652" w:type="pct"/>
            <w:tcBorders>
              <w:top w:val="single" w:sz="12" w:space="0" w:color="000000"/>
              <w:left w:val="nil"/>
              <w:bottom w:val="single" w:sz="4" w:space="0" w:color="000000"/>
              <w:right w:val="single" w:sz="4" w:space="0" w:color="000000"/>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rPr>
            </w:pPr>
          </w:p>
        </w:tc>
        <w:tc>
          <w:tcPr>
            <w:tcW w:w="652" w:type="pct"/>
            <w:tcBorders>
              <w:top w:val="single" w:sz="12"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LNB</w:t>
            </w:r>
          </w:p>
        </w:tc>
        <w:tc>
          <w:tcPr>
            <w:tcW w:w="651" w:type="pct"/>
            <w:tcBorders>
              <w:top w:val="single" w:sz="12"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2016</w:t>
            </w:r>
          </w:p>
        </w:tc>
        <w:tc>
          <w:tcPr>
            <w:tcW w:w="652" w:type="pct"/>
            <w:tcBorders>
              <w:top w:val="single" w:sz="12"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LNB w/OFA w/OF A</w:t>
            </w:r>
          </w:p>
        </w:tc>
        <w:tc>
          <w:tcPr>
            <w:tcW w:w="650" w:type="pct"/>
            <w:tcBorders>
              <w:top w:val="single" w:sz="12" w:space="0" w:color="000000"/>
              <w:left w:val="nil"/>
              <w:bottom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7-31-2018 (was 2016)</w:t>
            </w:r>
          </w:p>
        </w:tc>
      </w:tr>
      <w:tr w:rsidR="002B7DE6" w:rsidRPr="003F42C1" w:rsidTr="003F42C1">
        <w:trPr>
          <w:trHeight w:val="213"/>
        </w:trPr>
        <w:tc>
          <w:tcPr>
            <w:tcW w:w="680" w:type="pct"/>
            <w:tcBorders>
              <w:top w:val="single" w:sz="4" w:space="0" w:color="000000"/>
              <w:bottom w:val="single" w:sz="4"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r w:rsidRPr="003F42C1">
              <w:rPr>
                <w:rFonts w:ascii="Arial" w:hAnsi="Arial" w:cs="Arial"/>
                <w:sz w:val="18"/>
                <w:szCs w:val="18"/>
              </w:rPr>
              <w:t>DJ 2</w:t>
            </w:r>
          </w:p>
        </w:tc>
        <w:tc>
          <w:tcPr>
            <w:tcW w:w="411" w:type="pct"/>
            <w:tcBorders>
              <w:top w:val="single" w:sz="4" w:space="0" w:color="000000"/>
              <w:left w:val="single" w:sz="4" w:space="0" w:color="000000"/>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WY</w:t>
            </w:r>
          </w:p>
        </w:tc>
        <w:tc>
          <w:tcPr>
            <w:tcW w:w="651" w:type="pct"/>
            <w:tcBorders>
              <w:top w:val="single" w:sz="4" w:space="0" w:color="000000"/>
              <w:left w:val="single" w:sz="4" w:space="0" w:color="000000"/>
              <w:bottom w:val="single" w:sz="4" w:space="0" w:color="000000"/>
              <w:right w:val="nil"/>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rPr>
            </w:pPr>
          </w:p>
        </w:tc>
        <w:tc>
          <w:tcPr>
            <w:tcW w:w="652" w:type="pct"/>
            <w:tcBorders>
              <w:top w:val="single" w:sz="4" w:space="0" w:color="000000"/>
              <w:left w:val="nil"/>
              <w:bottom w:val="single" w:sz="4" w:space="0" w:color="000000"/>
              <w:right w:val="single" w:sz="4" w:space="0" w:color="000000"/>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rPr>
            </w:pPr>
          </w:p>
        </w:tc>
        <w:tc>
          <w:tcPr>
            <w:tcW w:w="652"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LNB</w:t>
            </w:r>
          </w:p>
        </w:tc>
        <w:tc>
          <w:tcPr>
            <w:tcW w:w="651" w:type="pct"/>
            <w:tcBorders>
              <w:top w:val="single" w:sz="4"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2018</w:t>
            </w:r>
          </w:p>
        </w:tc>
        <w:tc>
          <w:tcPr>
            <w:tcW w:w="652"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LNB w/OFA</w:t>
            </w:r>
          </w:p>
        </w:tc>
        <w:tc>
          <w:tcPr>
            <w:tcW w:w="650" w:type="pct"/>
            <w:tcBorders>
              <w:top w:val="single" w:sz="4" w:space="0" w:color="000000"/>
              <w:left w:val="nil"/>
              <w:bottom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7-31-2018 (was 2018)</w:t>
            </w:r>
          </w:p>
        </w:tc>
      </w:tr>
      <w:tr w:rsidR="003F42C1" w:rsidRPr="003F42C1" w:rsidTr="003F42C1">
        <w:trPr>
          <w:trHeight w:val="305"/>
        </w:trPr>
        <w:tc>
          <w:tcPr>
            <w:tcW w:w="680" w:type="pct"/>
            <w:tcBorders>
              <w:top w:val="single" w:sz="4" w:space="0" w:color="000000"/>
              <w:bottom w:val="single" w:sz="4"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r w:rsidRPr="003F42C1">
              <w:rPr>
                <w:rFonts w:ascii="Arial" w:hAnsi="Arial" w:cs="Arial"/>
                <w:sz w:val="18"/>
                <w:szCs w:val="18"/>
              </w:rPr>
              <w:t>DJ 3</w:t>
            </w:r>
          </w:p>
        </w:tc>
        <w:tc>
          <w:tcPr>
            <w:tcW w:w="411" w:type="pct"/>
            <w:tcBorders>
              <w:top w:val="single" w:sz="4" w:space="0" w:color="000000"/>
              <w:left w:val="single" w:sz="4" w:space="0" w:color="000000"/>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WY</w:t>
            </w:r>
          </w:p>
        </w:tc>
        <w:tc>
          <w:tcPr>
            <w:tcW w:w="651" w:type="pct"/>
            <w:tcBorders>
              <w:top w:val="single" w:sz="4" w:space="0" w:color="000000"/>
              <w:left w:val="single" w:sz="4" w:space="0" w:color="000000"/>
              <w:bottom w:val="single" w:sz="4" w:space="0" w:color="000000"/>
              <w:right w:val="nil"/>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rPr>
            </w:pPr>
          </w:p>
        </w:tc>
        <w:tc>
          <w:tcPr>
            <w:tcW w:w="652" w:type="pct"/>
            <w:tcBorders>
              <w:top w:val="single" w:sz="4" w:space="0" w:color="000000"/>
              <w:left w:val="nil"/>
              <w:bottom w:val="single" w:sz="4" w:space="0" w:color="000000"/>
              <w:right w:val="single" w:sz="4" w:space="0" w:color="000000"/>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rPr>
            </w:pPr>
          </w:p>
        </w:tc>
        <w:tc>
          <w:tcPr>
            <w:tcW w:w="652"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SNCR</w:t>
            </w:r>
          </w:p>
        </w:tc>
        <w:tc>
          <w:tcPr>
            <w:tcW w:w="651" w:type="pct"/>
            <w:tcBorders>
              <w:top w:val="single" w:sz="4"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2017</w:t>
            </w:r>
          </w:p>
        </w:tc>
        <w:tc>
          <w:tcPr>
            <w:tcW w:w="652" w:type="pct"/>
            <w:tcBorders>
              <w:top w:val="single" w:sz="4" w:space="0" w:color="000000"/>
              <w:left w:val="single" w:sz="4" w:space="0" w:color="000000"/>
              <w:bottom w:val="single" w:sz="4" w:space="0" w:color="000000"/>
              <w:right w:val="nil"/>
            </w:tcBorders>
            <w:shd w:val="clear" w:color="auto" w:fill="FFFF00"/>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highlight w:val="yellow"/>
              </w:rPr>
              <w:t>SCR</w:t>
            </w:r>
          </w:p>
        </w:tc>
        <w:tc>
          <w:tcPr>
            <w:tcW w:w="650" w:type="pct"/>
            <w:tcBorders>
              <w:top w:val="single" w:sz="4" w:space="0" w:color="000000"/>
              <w:left w:val="nil"/>
              <w:bottom w:val="single" w:sz="4" w:space="0" w:color="000000"/>
            </w:tcBorders>
            <w:shd w:val="clear" w:color="auto" w:fill="FFFF00"/>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2019</w:t>
            </w:r>
          </w:p>
        </w:tc>
      </w:tr>
      <w:tr w:rsidR="003F42C1" w:rsidRPr="003F42C1" w:rsidTr="003F42C1">
        <w:trPr>
          <w:trHeight w:val="41"/>
        </w:trPr>
        <w:tc>
          <w:tcPr>
            <w:tcW w:w="680" w:type="pct"/>
            <w:tcBorders>
              <w:top w:val="single" w:sz="4" w:space="0" w:color="000000"/>
              <w:bottom w:val="single" w:sz="4"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r w:rsidRPr="003F42C1">
              <w:rPr>
                <w:rFonts w:ascii="Arial" w:hAnsi="Arial" w:cs="Arial"/>
                <w:sz w:val="18"/>
                <w:szCs w:val="18"/>
              </w:rPr>
              <w:t>DJ 4</w:t>
            </w:r>
          </w:p>
        </w:tc>
        <w:tc>
          <w:tcPr>
            <w:tcW w:w="411" w:type="pct"/>
            <w:tcBorders>
              <w:top w:val="single" w:sz="4" w:space="0" w:color="000000"/>
              <w:left w:val="single" w:sz="4" w:space="0" w:color="000000"/>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WY</w:t>
            </w:r>
          </w:p>
        </w:tc>
        <w:tc>
          <w:tcPr>
            <w:tcW w:w="651" w:type="pct"/>
            <w:tcBorders>
              <w:top w:val="single" w:sz="4" w:space="0" w:color="000000"/>
              <w:left w:val="single" w:sz="4" w:space="0" w:color="000000"/>
              <w:bottom w:val="single" w:sz="4" w:space="0" w:color="000000"/>
              <w:right w:val="nil"/>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highlight w:val="yellow"/>
              </w:rPr>
            </w:pPr>
          </w:p>
        </w:tc>
        <w:tc>
          <w:tcPr>
            <w:tcW w:w="652" w:type="pct"/>
            <w:tcBorders>
              <w:top w:val="single" w:sz="4" w:space="0" w:color="000000"/>
              <w:left w:val="nil"/>
              <w:bottom w:val="single" w:sz="4" w:space="0" w:color="000000"/>
              <w:right w:val="single" w:sz="4" w:space="0" w:color="000000"/>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highlight w:val="yellow"/>
              </w:rPr>
            </w:pPr>
          </w:p>
        </w:tc>
        <w:tc>
          <w:tcPr>
            <w:tcW w:w="652" w:type="pct"/>
            <w:tcBorders>
              <w:top w:val="single" w:sz="4" w:space="0" w:color="000000"/>
              <w:left w:val="single" w:sz="4" w:space="0" w:color="000000"/>
              <w:bottom w:val="single" w:sz="4" w:space="0" w:color="000000"/>
              <w:right w:val="nil"/>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highlight w:val="yellow"/>
              </w:rPr>
            </w:pPr>
          </w:p>
        </w:tc>
        <w:tc>
          <w:tcPr>
            <w:tcW w:w="651" w:type="pct"/>
            <w:tcBorders>
              <w:top w:val="single" w:sz="4" w:space="0" w:color="000000"/>
              <w:left w:val="nil"/>
              <w:bottom w:val="single" w:sz="4" w:space="0" w:color="000000"/>
              <w:right w:val="single" w:sz="4" w:space="0" w:color="000000"/>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highlight w:val="yellow"/>
              </w:rPr>
            </w:pPr>
          </w:p>
        </w:tc>
        <w:tc>
          <w:tcPr>
            <w:tcW w:w="652" w:type="pct"/>
            <w:tcBorders>
              <w:top w:val="single" w:sz="4" w:space="0" w:color="000000"/>
              <w:left w:val="single" w:sz="4" w:space="0" w:color="000000"/>
              <w:bottom w:val="single" w:sz="4" w:space="0" w:color="000000"/>
              <w:right w:val="nil"/>
            </w:tcBorders>
            <w:shd w:val="clear" w:color="auto" w:fill="FFFF00"/>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SNCR</w:t>
            </w:r>
          </w:p>
        </w:tc>
        <w:tc>
          <w:tcPr>
            <w:tcW w:w="650" w:type="pct"/>
            <w:tcBorders>
              <w:top w:val="single" w:sz="4" w:space="0" w:color="000000"/>
              <w:left w:val="nil"/>
              <w:bottom w:val="single" w:sz="4" w:space="0" w:color="000000"/>
            </w:tcBorders>
            <w:shd w:val="clear" w:color="auto" w:fill="FFFF00"/>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2019</w:t>
            </w:r>
          </w:p>
        </w:tc>
      </w:tr>
      <w:tr w:rsidR="002B7DE6" w:rsidRPr="003F42C1" w:rsidTr="003F42C1">
        <w:trPr>
          <w:trHeight w:val="41"/>
        </w:trPr>
        <w:tc>
          <w:tcPr>
            <w:tcW w:w="680" w:type="pct"/>
            <w:tcBorders>
              <w:top w:val="single" w:sz="4" w:space="0" w:color="000000"/>
              <w:bottom w:val="single" w:sz="4"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r w:rsidRPr="003F42C1">
              <w:rPr>
                <w:rFonts w:ascii="Arial" w:hAnsi="Arial" w:cs="Arial"/>
                <w:sz w:val="18"/>
                <w:szCs w:val="18"/>
              </w:rPr>
              <w:t>J. Bridger 1</w:t>
            </w:r>
          </w:p>
        </w:tc>
        <w:tc>
          <w:tcPr>
            <w:tcW w:w="411" w:type="pct"/>
            <w:tcBorders>
              <w:top w:val="single" w:sz="4" w:space="0" w:color="000000"/>
              <w:left w:val="single" w:sz="4" w:space="0" w:color="000000"/>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WY</w:t>
            </w:r>
          </w:p>
        </w:tc>
        <w:tc>
          <w:tcPr>
            <w:tcW w:w="651"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2" w:type="pct"/>
            <w:tcBorders>
              <w:top w:val="single" w:sz="4"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2022</w:t>
            </w:r>
          </w:p>
        </w:tc>
        <w:tc>
          <w:tcPr>
            <w:tcW w:w="652"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1" w:type="pct"/>
            <w:tcBorders>
              <w:top w:val="single" w:sz="4"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2017</w:t>
            </w:r>
          </w:p>
        </w:tc>
        <w:tc>
          <w:tcPr>
            <w:tcW w:w="652"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0" w:type="pct"/>
            <w:tcBorders>
              <w:top w:val="single" w:sz="4" w:space="0" w:color="000000"/>
              <w:left w:val="nil"/>
              <w:bottom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2019</w:t>
            </w:r>
          </w:p>
        </w:tc>
      </w:tr>
      <w:tr w:rsidR="002B7DE6" w:rsidRPr="003F42C1" w:rsidTr="003F42C1">
        <w:trPr>
          <w:trHeight w:val="41"/>
        </w:trPr>
        <w:tc>
          <w:tcPr>
            <w:tcW w:w="680" w:type="pct"/>
            <w:tcBorders>
              <w:top w:val="single" w:sz="4" w:space="0" w:color="000000"/>
              <w:bottom w:val="single" w:sz="4"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r w:rsidRPr="003F42C1">
              <w:rPr>
                <w:rFonts w:ascii="Arial" w:hAnsi="Arial" w:cs="Arial"/>
                <w:sz w:val="18"/>
                <w:szCs w:val="18"/>
              </w:rPr>
              <w:t>J. Bridger 2</w:t>
            </w:r>
          </w:p>
        </w:tc>
        <w:tc>
          <w:tcPr>
            <w:tcW w:w="411" w:type="pct"/>
            <w:tcBorders>
              <w:top w:val="single" w:sz="4" w:space="0" w:color="000000"/>
              <w:left w:val="single" w:sz="4" w:space="0" w:color="000000"/>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WY</w:t>
            </w:r>
          </w:p>
        </w:tc>
        <w:tc>
          <w:tcPr>
            <w:tcW w:w="651"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2" w:type="pct"/>
            <w:tcBorders>
              <w:top w:val="single" w:sz="4"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2021</w:t>
            </w:r>
          </w:p>
        </w:tc>
        <w:tc>
          <w:tcPr>
            <w:tcW w:w="652"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1" w:type="pct"/>
            <w:tcBorders>
              <w:top w:val="single" w:sz="4"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2017</w:t>
            </w:r>
          </w:p>
        </w:tc>
        <w:tc>
          <w:tcPr>
            <w:tcW w:w="652"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0" w:type="pct"/>
            <w:tcBorders>
              <w:top w:val="single" w:sz="4" w:space="0" w:color="000000"/>
              <w:left w:val="nil"/>
              <w:bottom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2019</w:t>
            </w:r>
          </w:p>
        </w:tc>
      </w:tr>
      <w:tr w:rsidR="002B7DE6" w:rsidRPr="003F42C1" w:rsidTr="003F42C1">
        <w:trPr>
          <w:trHeight w:val="41"/>
        </w:trPr>
        <w:tc>
          <w:tcPr>
            <w:tcW w:w="680" w:type="pct"/>
            <w:tcBorders>
              <w:top w:val="single" w:sz="4" w:space="0" w:color="000000"/>
              <w:bottom w:val="single" w:sz="4"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r w:rsidRPr="003F42C1">
              <w:rPr>
                <w:rFonts w:ascii="Arial" w:hAnsi="Arial" w:cs="Arial"/>
                <w:sz w:val="18"/>
                <w:szCs w:val="18"/>
              </w:rPr>
              <w:t>J. Bridger 3</w:t>
            </w:r>
          </w:p>
        </w:tc>
        <w:tc>
          <w:tcPr>
            <w:tcW w:w="411" w:type="pct"/>
            <w:tcBorders>
              <w:top w:val="single" w:sz="4" w:space="0" w:color="000000"/>
              <w:left w:val="single" w:sz="4" w:space="0" w:color="000000"/>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WY</w:t>
            </w:r>
          </w:p>
        </w:tc>
        <w:tc>
          <w:tcPr>
            <w:tcW w:w="651"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2" w:type="pct"/>
            <w:tcBorders>
              <w:top w:val="single" w:sz="4"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2015</w:t>
            </w:r>
          </w:p>
        </w:tc>
        <w:tc>
          <w:tcPr>
            <w:tcW w:w="652"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1" w:type="pct"/>
            <w:tcBorders>
              <w:top w:val="single" w:sz="4"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2015</w:t>
            </w:r>
          </w:p>
        </w:tc>
        <w:tc>
          <w:tcPr>
            <w:tcW w:w="652"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0" w:type="pct"/>
            <w:tcBorders>
              <w:top w:val="single" w:sz="4" w:space="0" w:color="000000"/>
              <w:left w:val="nil"/>
              <w:bottom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2019</w:t>
            </w:r>
          </w:p>
        </w:tc>
      </w:tr>
      <w:tr w:rsidR="002B7DE6" w:rsidRPr="003F42C1" w:rsidTr="003F42C1">
        <w:trPr>
          <w:trHeight w:val="41"/>
        </w:trPr>
        <w:tc>
          <w:tcPr>
            <w:tcW w:w="680" w:type="pct"/>
            <w:tcBorders>
              <w:top w:val="single" w:sz="4" w:space="0" w:color="000000"/>
              <w:bottom w:val="single" w:sz="4"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r w:rsidRPr="003F42C1">
              <w:rPr>
                <w:rFonts w:ascii="Arial" w:hAnsi="Arial" w:cs="Arial"/>
                <w:sz w:val="18"/>
                <w:szCs w:val="18"/>
              </w:rPr>
              <w:t>J. Bridger 4</w:t>
            </w:r>
          </w:p>
        </w:tc>
        <w:tc>
          <w:tcPr>
            <w:tcW w:w="411" w:type="pct"/>
            <w:tcBorders>
              <w:top w:val="single" w:sz="4" w:space="0" w:color="000000"/>
              <w:left w:val="single" w:sz="4" w:space="0" w:color="000000"/>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WY</w:t>
            </w:r>
          </w:p>
        </w:tc>
        <w:tc>
          <w:tcPr>
            <w:tcW w:w="651"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2" w:type="pct"/>
            <w:tcBorders>
              <w:top w:val="single" w:sz="4"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2016</w:t>
            </w:r>
          </w:p>
        </w:tc>
        <w:tc>
          <w:tcPr>
            <w:tcW w:w="652"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1" w:type="pct"/>
            <w:tcBorders>
              <w:top w:val="single" w:sz="4"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2016</w:t>
            </w:r>
          </w:p>
        </w:tc>
        <w:tc>
          <w:tcPr>
            <w:tcW w:w="652"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0" w:type="pct"/>
            <w:tcBorders>
              <w:top w:val="single" w:sz="4" w:space="0" w:color="000000"/>
              <w:left w:val="nil"/>
              <w:bottom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2019</w:t>
            </w:r>
          </w:p>
        </w:tc>
      </w:tr>
      <w:tr w:rsidR="003F42C1" w:rsidRPr="003F42C1" w:rsidTr="003F42C1">
        <w:trPr>
          <w:trHeight w:val="41"/>
        </w:trPr>
        <w:tc>
          <w:tcPr>
            <w:tcW w:w="680" w:type="pct"/>
            <w:tcBorders>
              <w:top w:val="single" w:sz="4" w:space="0" w:color="000000"/>
              <w:bottom w:val="single" w:sz="4"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proofErr w:type="spellStart"/>
            <w:r w:rsidRPr="003F42C1">
              <w:rPr>
                <w:rFonts w:ascii="Arial" w:hAnsi="Arial" w:cs="Arial"/>
                <w:sz w:val="18"/>
                <w:szCs w:val="18"/>
              </w:rPr>
              <w:t>Naughton</w:t>
            </w:r>
            <w:proofErr w:type="spellEnd"/>
            <w:r w:rsidRPr="003F42C1">
              <w:rPr>
                <w:rFonts w:ascii="Arial" w:hAnsi="Arial" w:cs="Arial"/>
                <w:sz w:val="18"/>
                <w:szCs w:val="18"/>
              </w:rPr>
              <w:t xml:space="preserve"> 1</w:t>
            </w:r>
          </w:p>
        </w:tc>
        <w:tc>
          <w:tcPr>
            <w:tcW w:w="411" w:type="pct"/>
            <w:tcBorders>
              <w:top w:val="single" w:sz="4" w:space="0" w:color="000000"/>
              <w:left w:val="single" w:sz="4" w:space="0" w:color="000000"/>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WY</w:t>
            </w:r>
          </w:p>
        </w:tc>
        <w:tc>
          <w:tcPr>
            <w:tcW w:w="651" w:type="pct"/>
            <w:tcBorders>
              <w:top w:val="single" w:sz="4" w:space="0" w:color="000000"/>
              <w:left w:val="single" w:sz="4" w:space="0" w:color="000000"/>
              <w:bottom w:val="single" w:sz="4" w:space="0" w:color="000000"/>
              <w:right w:val="nil"/>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highlight w:val="yellow"/>
              </w:rPr>
            </w:pPr>
          </w:p>
        </w:tc>
        <w:tc>
          <w:tcPr>
            <w:tcW w:w="652" w:type="pct"/>
            <w:tcBorders>
              <w:top w:val="single" w:sz="4" w:space="0" w:color="000000"/>
              <w:left w:val="nil"/>
              <w:bottom w:val="single" w:sz="4" w:space="0" w:color="000000"/>
              <w:right w:val="single" w:sz="4" w:space="0" w:color="000000"/>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highlight w:val="yellow"/>
              </w:rPr>
            </w:pPr>
          </w:p>
        </w:tc>
        <w:tc>
          <w:tcPr>
            <w:tcW w:w="652" w:type="pct"/>
            <w:tcBorders>
              <w:top w:val="single" w:sz="4" w:space="0" w:color="000000"/>
              <w:left w:val="single" w:sz="4" w:space="0" w:color="000000"/>
              <w:bottom w:val="single" w:sz="8" w:space="0" w:color="000000"/>
              <w:right w:val="nil"/>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highlight w:val="yellow"/>
              </w:rPr>
            </w:pPr>
          </w:p>
        </w:tc>
        <w:tc>
          <w:tcPr>
            <w:tcW w:w="651" w:type="pct"/>
            <w:tcBorders>
              <w:top w:val="single" w:sz="4" w:space="0" w:color="000000"/>
              <w:left w:val="nil"/>
              <w:bottom w:val="single" w:sz="4" w:space="0" w:color="000000"/>
              <w:right w:val="single" w:sz="4" w:space="0" w:color="000000"/>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highlight w:val="yellow"/>
              </w:rPr>
            </w:pPr>
          </w:p>
        </w:tc>
        <w:tc>
          <w:tcPr>
            <w:tcW w:w="652" w:type="pct"/>
            <w:tcBorders>
              <w:top w:val="single" w:sz="4" w:space="0" w:color="000000"/>
              <w:left w:val="single" w:sz="4" w:space="0" w:color="000000"/>
              <w:bottom w:val="single" w:sz="4" w:space="0" w:color="000000"/>
              <w:right w:val="nil"/>
            </w:tcBorders>
            <w:shd w:val="clear" w:color="auto" w:fill="FFFF00"/>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0" w:type="pct"/>
            <w:tcBorders>
              <w:top w:val="single" w:sz="4" w:space="0" w:color="000000"/>
              <w:left w:val="nil"/>
              <w:bottom w:val="single" w:sz="4" w:space="0" w:color="000000"/>
            </w:tcBorders>
            <w:shd w:val="clear" w:color="auto" w:fill="FFFF00"/>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2019</w:t>
            </w:r>
          </w:p>
        </w:tc>
      </w:tr>
      <w:tr w:rsidR="003F42C1" w:rsidRPr="003F42C1" w:rsidTr="003F42C1">
        <w:trPr>
          <w:trHeight w:val="31"/>
        </w:trPr>
        <w:tc>
          <w:tcPr>
            <w:tcW w:w="680" w:type="pct"/>
            <w:tcBorders>
              <w:top w:val="single" w:sz="4" w:space="0" w:color="000000"/>
              <w:bottom w:val="single" w:sz="4"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proofErr w:type="spellStart"/>
            <w:r w:rsidRPr="003F42C1">
              <w:rPr>
                <w:rFonts w:ascii="Arial" w:hAnsi="Arial" w:cs="Arial"/>
                <w:sz w:val="18"/>
                <w:szCs w:val="18"/>
              </w:rPr>
              <w:t>Naughton</w:t>
            </w:r>
            <w:proofErr w:type="spellEnd"/>
            <w:r w:rsidRPr="003F42C1">
              <w:rPr>
                <w:rFonts w:ascii="Arial" w:hAnsi="Arial" w:cs="Arial"/>
                <w:sz w:val="18"/>
                <w:szCs w:val="18"/>
              </w:rPr>
              <w:t xml:space="preserve"> 2</w:t>
            </w:r>
          </w:p>
        </w:tc>
        <w:tc>
          <w:tcPr>
            <w:tcW w:w="411" w:type="pct"/>
            <w:tcBorders>
              <w:top w:val="single" w:sz="4" w:space="0" w:color="000000"/>
              <w:left w:val="single" w:sz="4" w:space="0" w:color="000000"/>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WY</w:t>
            </w:r>
          </w:p>
        </w:tc>
        <w:tc>
          <w:tcPr>
            <w:tcW w:w="651" w:type="pct"/>
            <w:tcBorders>
              <w:top w:val="single" w:sz="4" w:space="0" w:color="000000"/>
              <w:left w:val="single" w:sz="4" w:space="0" w:color="000000"/>
              <w:bottom w:val="single" w:sz="4" w:space="0" w:color="000000"/>
              <w:right w:val="nil"/>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highlight w:val="yellow"/>
              </w:rPr>
            </w:pPr>
          </w:p>
        </w:tc>
        <w:tc>
          <w:tcPr>
            <w:tcW w:w="652" w:type="pct"/>
            <w:tcBorders>
              <w:top w:val="single" w:sz="4" w:space="0" w:color="000000"/>
              <w:left w:val="nil"/>
              <w:bottom w:val="single" w:sz="4" w:space="0" w:color="000000"/>
              <w:right w:val="single" w:sz="4" w:space="0" w:color="000000"/>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highlight w:val="yellow"/>
              </w:rPr>
            </w:pPr>
          </w:p>
        </w:tc>
        <w:tc>
          <w:tcPr>
            <w:tcW w:w="652" w:type="pct"/>
            <w:tcBorders>
              <w:top w:val="single" w:sz="8" w:space="0" w:color="000000"/>
              <w:left w:val="single" w:sz="4" w:space="0" w:color="000000"/>
              <w:bottom w:val="single" w:sz="4" w:space="0" w:color="000000"/>
              <w:right w:val="nil"/>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highlight w:val="yellow"/>
              </w:rPr>
            </w:pPr>
          </w:p>
        </w:tc>
        <w:tc>
          <w:tcPr>
            <w:tcW w:w="651" w:type="pct"/>
            <w:tcBorders>
              <w:top w:val="single" w:sz="4" w:space="0" w:color="000000"/>
              <w:left w:val="nil"/>
              <w:bottom w:val="single" w:sz="4" w:space="0" w:color="000000"/>
              <w:right w:val="single" w:sz="4" w:space="0" w:color="000000"/>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highlight w:val="yellow"/>
              </w:rPr>
            </w:pPr>
          </w:p>
        </w:tc>
        <w:tc>
          <w:tcPr>
            <w:tcW w:w="652" w:type="pct"/>
            <w:tcBorders>
              <w:top w:val="single" w:sz="4" w:space="0" w:color="000000"/>
              <w:left w:val="single" w:sz="4" w:space="0" w:color="000000"/>
              <w:bottom w:val="single" w:sz="4" w:space="0" w:color="000000"/>
              <w:right w:val="nil"/>
            </w:tcBorders>
            <w:shd w:val="clear" w:color="auto" w:fill="FFFF00"/>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0" w:type="pct"/>
            <w:tcBorders>
              <w:top w:val="single" w:sz="4" w:space="0" w:color="000000"/>
              <w:left w:val="nil"/>
              <w:bottom w:val="single" w:sz="4" w:space="0" w:color="000000"/>
            </w:tcBorders>
            <w:shd w:val="clear" w:color="auto" w:fill="FFFF00"/>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2019</w:t>
            </w:r>
          </w:p>
        </w:tc>
      </w:tr>
      <w:tr w:rsidR="002B7DE6" w:rsidRPr="003F42C1" w:rsidTr="003F42C1">
        <w:trPr>
          <w:trHeight w:val="41"/>
        </w:trPr>
        <w:tc>
          <w:tcPr>
            <w:tcW w:w="680" w:type="pct"/>
            <w:tcBorders>
              <w:top w:val="single" w:sz="4" w:space="0" w:color="000000"/>
              <w:bottom w:val="single" w:sz="12"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proofErr w:type="spellStart"/>
            <w:r w:rsidRPr="003F42C1">
              <w:rPr>
                <w:rFonts w:ascii="Arial" w:hAnsi="Arial" w:cs="Arial"/>
                <w:sz w:val="18"/>
                <w:szCs w:val="18"/>
              </w:rPr>
              <w:t>Wyodak</w:t>
            </w:r>
            <w:proofErr w:type="spellEnd"/>
          </w:p>
        </w:tc>
        <w:tc>
          <w:tcPr>
            <w:tcW w:w="411" w:type="pct"/>
            <w:tcBorders>
              <w:top w:val="single" w:sz="4" w:space="0" w:color="000000"/>
              <w:left w:val="single" w:sz="4" w:space="0" w:color="000000"/>
              <w:bottom w:val="single" w:sz="12"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WY</w:t>
            </w:r>
          </w:p>
        </w:tc>
        <w:tc>
          <w:tcPr>
            <w:tcW w:w="651" w:type="pct"/>
            <w:tcBorders>
              <w:top w:val="single" w:sz="4" w:space="0" w:color="000000"/>
              <w:left w:val="single" w:sz="4" w:space="0" w:color="000000"/>
              <w:bottom w:val="single" w:sz="12" w:space="0" w:color="000000"/>
              <w:right w:val="nil"/>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rPr>
            </w:pPr>
          </w:p>
        </w:tc>
        <w:tc>
          <w:tcPr>
            <w:tcW w:w="652" w:type="pct"/>
            <w:tcBorders>
              <w:top w:val="single" w:sz="4" w:space="0" w:color="000000"/>
              <w:left w:val="nil"/>
              <w:bottom w:val="single" w:sz="12" w:space="0" w:color="000000"/>
              <w:right w:val="single" w:sz="4" w:space="0" w:color="000000"/>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rPr>
            </w:pPr>
          </w:p>
        </w:tc>
        <w:tc>
          <w:tcPr>
            <w:tcW w:w="652" w:type="pct"/>
            <w:tcBorders>
              <w:top w:val="single" w:sz="4" w:space="0" w:color="000000"/>
              <w:left w:val="single" w:sz="4" w:space="0" w:color="000000"/>
              <w:bottom w:val="single" w:sz="12"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SNCR/SCR</w:t>
            </w:r>
          </w:p>
        </w:tc>
        <w:tc>
          <w:tcPr>
            <w:tcW w:w="651" w:type="pct"/>
            <w:tcBorders>
              <w:top w:val="single" w:sz="4" w:space="0" w:color="000000"/>
              <w:left w:val="nil"/>
              <w:bottom w:val="single" w:sz="12"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2017/2025</w:t>
            </w:r>
          </w:p>
        </w:tc>
        <w:tc>
          <w:tcPr>
            <w:tcW w:w="652" w:type="pct"/>
            <w:tcBorders>
              <w:top w:val="single" w:sz="4" w:space="0" w:color="000000"/>
              <w:left w:val="single" w:sz="4" w:space="0" w:color="000000"/>
              <w:bottom w:val="single" w:sz="12"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SNCR</w:t>
            </w:r>
          </w:p>
        </w:tc>
        <w:tc>
          <w:tcPr>
            <w:tcW w:w="650" w:type="pct"/>
            <w:tcBorders>
              <w:top w:val="single" w:sz="4" w:space="0" w:color="000000"/>
              <w:left w:val="nil"/>
              <w:bottom w:val="single" w:sz="12"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2019</w:t>
            </w:r>
          </w:p>
        </w:tc>
      </w:tr>
      <w:tr w:rsidR="002B7DE6" w:rsidRPr="003F42C1" w:rsidTr="003F42C1">
        <w:trPr>
          <w:trHeight w:val="21"/>
        </w:trPr>
        <w:tc>
          <w:tcPr>
            <w:tcW w:w="680" w:type="pct"/>
            <w:tcBorders>
              <w:top w:val="single" w:sz="12" w:space="0" w:color="000000"/>
              <w:bottom w:val="single" w:sz="4"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r w:rsidRPr="003F42C1">
              <w:rPr>
                <w:rFonts w:ascii="Arial" w:hAnsi="Arial" w:cs="Arial"/>
                <w:sz w:val="18"/>
                <w:szCs w:val="18"/>
              </w:rPr>
              <w:t>Hunter 1</w:t>
            </w:r>
          </w:p>
        </w:tc>
        <w:tc>
          <w:tcPr>
            <w:tcW w:w="411" w:type="pct"/>
            <w:tcBorders>
              <w:top w:val="single" w:sz="12" w:space="0" w:color="000000"/>
              <w:left w:val="single" w:sz="4" w:space="0" w:color="000000"/>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UT</w:t>
            </w:r>
          </w:p>
        </w:tc>
        <w:tc>
          <w:tcPr>
            <w:tcW w:w="651" w:type="pct"/>
            <w:tcBorders>
              <w:top w:val="single" w:sz="12"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BH, LNB</w:t>
            </w:r>
          </w:p>
        </w:tc>
        <w:tc>
          <w:tcPr>
            <w:tcW w:w="652" w:type="pct"/>
            <w:tcBorders>
              <w:top w:val="single" w:sz="12"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2014</w:t>
            </w:r>
          </w:p>
        </w:tc>
        <w:tc>
          <w:tcPr>
            <w:tcW w:w="652" w:type="pct"/>
            <w:tcBorders>
              <w:top w:val="single" w:sz="12"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BH, LNB/SCR</w:t>
            </w:r>
          </w:p>
        </w:tc>
        <w:tc>
          <w:tcPr>
            <w:tcW w:w="651" w:type="pct"/>
            <w:tcBorders>
              <w:top w:val="single" w:sz="12"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2014/2018</w:t>
            </w:r>
          </w:p>
        </w:tc>
        <w:tc>
          <w:tcPr>
            <w:tcW w:w="1302" w:type="pct"/>
            <w:gridSpan w:val="2"/>
            <w:tcBorders>
              <w:top w:val="single" w:sz="12" w:space="0" w:color="000000"/>
              <w:left w:val="single" w:sz="4" w:space="0" w:color="000000"/>
              <w:bottom w:val="single" w:sz="4" w:space="0" w:color="000000"/>
            </w:tcBorders>
          </w:tcPr>
          <w:p w:rsidR="002B7DE6" w:rsidRPr="003F42C1" w:rsidRDefault="002B7DE6" w:rsidP="003F42C1">
            <w:pPr>
              <w:spacing w:after="0" w:line="240" w:lineRule="auto"/>
              <w:jc w:val="center"/>
              <w:rPr>
                <w:rFonts w:ascii="Arial" w:hAnsi="Arial" w:cs="Arial"/>
                <w:i/>
                <w:sz w:val="18"/>
                <w:szCs w:val="18"/>
              </w:rPr>
            </w:pPr>
            <w:r w:rsidRPr="003F42C1">
              <w:rPr>
                <w:rFonts w:ascii="Arial" w:hAnsi="Arial" w:cs="Arial"/>
                <w:i/>
                <w:sz w:val="18"/>
                <w:szCs w:val="18"/>
              </w:rPr>
              <w:t>Unknown</w:t>
            </w:r>
          </w:p>
        </w:tc>
      </w:tr>
      <w:tr w:rsidR="002B7DE6" w:rsidRPr="003F42C1" w:rsidTr="003F42C1">
        <w:trPr>
          <w:trHeight w:val="41"/>
        </w:trPr>
        <w:tc>
          <w:tcPr>
            <w:tcW w:w="680" w:type="pct"/>
            <w:tcBorders>
              <w:top w:val="single" w:sz="4" w:space="0" w:color="000000"/>
              <w:bottom w:val="single" w:sz="4"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r w:rsidRPr="003F42C1">
              <w:rPr>
                <w:rFonts w:ascii="Arial" w:hAnsi="Arial" w:cs="Arial"/>
                <w:sz w:val="18"/>
                <w:szCs w:val="18"/>
              </w:rPr>
              <w:t>Hunter 2</w:t>
            </w:r>
          </w:p>
        </w:tc>
        <w:tc>
          <w:tcPr>
            <w:tcW w:w="411" w:type="pct"/>
            <w:tcBorders>
              <w:top w:val="single" w:sz="4" w:space="0" w:color="000000"/>
              <w:left w:val="single" w:sz="4" w:space="0" w:color="000000"/>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UT</w:t>
            </w:r>
          </w:p>
        </w:tc>
        <w:tc>
          <w:tcPr>
            <w:tcW w:w="651"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2" w:type="pct"/>
            <w:tcBorders>
              <w:top w:val="single" w:sz="4"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2023</w:t>
            </w:r>
          </w:p>
        </w:tc>
        <w:tc>
          <w:tcPr>
            <w:tcW w:w="652"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1" w:type="pct"/>
            <w:tcBorders>
              <w:top w:val="single" w:sz="4"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2017</w:t>
            </w:r>
          </w:p>
        </w:tc>
        <w:tc>
          <w:tcPr>
            <w:tcW w:w="1302" w:type="pct"/>
            <w:gridSpan w:val="2"/>
            <w:tcBorders>
              <w:top w:val="single" w:sz="4" w:space="0" w:color="000000"/>
              <w:left w:val="single" w:sz="4" w:space="0" w:color="000000"/>
              <w:bottom w:val="single" w:sz="4" w:space="0" w:color="000000"/>
            </w:tcBorders>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i/>
                <w:sz w:val="18"/>
                <w:szCs w:val="18"/>
              </w:rPr>
              <w:t>Unknown</w:t>
            </w:r>
          </w:p>
        </w:tc>
      </w:tr>
      <w:tr w:rsidR="002B7DE6" w:rsidRPr="003F42C1" w:rsidTr="003F42C1">
        <w:trPr>
          <w:trHeight w:val="41"/>
        </w:trPr>
        <w:tc>
          <w:tcPr>
            <w:tcW w:w="680" w:type="pct"/>
            <w:tcBorders>
              <w:top w:val="single" w:sz="4" w:space="0" w:color="000000"/>
              <w:bottom w:val="single" w:sz="4"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r w:rsidRPr="003F42C1">
              <w:rPr>
                <w:rFonts w:ascii="Arial" w:hAnsi="Arial" w:cs="Arial"/>
                <w:sz w:val="18"/>
                <w:szCs w:val="18"/>
              </w:rPr>
              <w:t>Hunter 3</w:t>
            </w:r>
          </w:p>
        </w:tc>
        <w:tc>
          <w:tcPr>
            <w:tcW w:w="411" w:type="pct"/>
            <w:tcBorders>
              <w:top w:val="single" w:sz="4" w:space="0" w:color="000000"/>
              <w:left w:val="single" w:sz="4" w:space="0" w:color="000000"/>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UT</w:t>
            </w:r>
          </w:p>
        </w:tc>
        <w:tc>
          <w:tcPr>
            <w:tcW w:w="651"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2" w:type="pct"/>
            <w:tcBorders>
              <w:top w:val="single" w:sz="4" w:space="0" w:color="000000"/>
              <w:left w:val="nil"/>
              <w:bottom w:val="single" w:sz="4" w:space="0" w:color="000000"/>
              <w:right w:val="single" w:sz="4" w:space="0" w:color="000000"/>
            </w:tcBorders>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2024</w:t>
            </w:r>
          </w:p>
          <w:p w:rsidR="002B7DE6" w:rsidRPr="003F42C1" w:rsidRDefault="002B7DE6" w:rsidP="003F42C1">
            <w:pPr>
              <w:spacing w:after="0" w:line="240" w:lineRule="auto"/>
              <w:jc w:val="center"/>
              <w:rPr>
                <w:rFonts w:ascii="Arial" w:hAnsi="Arial" w:cs="Arial"/>
                <w:sz w:val="18"/>
                <w:szCs w:val="18"/>
              </w:rPr>
            </w:pPr>
          </w:p>
        </w:tc>
        <w:tc>
          <w:tcPr>
            <w:tcW w:w="652"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1" w:type="pct"/>
            <w:tcBorders>
              <w:top w:val="single" w:sz="4"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2020</w:t>
            </w:r>
          </w:p>
        </w:tc>
        <w:tc>
          <w:tcPr>
            <w:tcW w:w="1302" w:type="pct"/>
            <w:gridSpan w:val="2"/>
            <w:tcBorders>
              <w:top w:val="single" w:sz="4" w:space="0" w:color="000000"/>
              <w:left w:val="single" w:sz="4" w:space="0" w:color="000000"/>
              <w:bottom w:val="single" w:sz="4" w:space="0" w:color="000000"/>
            </w:tcBorders>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i/>
                <w:sz w:val="18"/>
                <w:szCs w:val="18"/>
              </w:rPr>
              <w:t>Unknown</w:t>
            </w:r>
          </w:p>
        </w:tc>
      </w:tr>
      <w:tr w:rsidR="002B7DE6" w:rsidRPr="003F42C1" w:rsidTr="003F42C1">
        <w:trPr>
          <w:trHeight w:val="41"/>
        </w:trPr>
        <w:tc>
          <w:tcPr>
            <w:tcW w:w="680" w:type="pct"/>
            <w:tcBorders>
              <w:top w:val="single" w:sz="4" w:space="0" w:color="000000"/>
              <w:bottom w:val="single" w:sz="4"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r w:rsidRPr="003F42C1">
              <w:rPr>
                <w:rFonts w:ascii="Arial" w:hAnsi="Arial" w:cs="Arial"/>
                <w:sz w:val="18"/>
                <w:szCs w:val="18"/>
              </w:rPr>
              <w:t>Huntington 1</w:t>
            </w:r>
          </w:p>
        </w:tc>
        <w:tc>
          <w:tcPr>
            <w:tcW w:w="411" w:type="pct"/>
            <w:tcBorders>
              <w:top w:val="single" w:sz="4" w:space="0" w:color="000000"/>
              <w:left w:val="single" w:sz="4" w:space="0" w:color="000000"/>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UT</w:t>
            </w:r>
          </w:p>
        </w:tc>
        <w:tc>
          <w:tcPr>
            <w:tcW w:w="651"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2" w:type="pct"/>
            <w:tcBorders>
              <w:top w:val="single" w:sz="4" w:space="0" w:color="000000"/>
              <w:left w:val="nil"/>
              <w:bottom w:val="single" w:sz="4" w:space="0" w:color="000000"/>
              <w:right w:val="single" w:sz="4" w:space="0" w:color="000000"/>
            </w:tcBorders>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2026</w:t>
            </w:r>
          </w:p>
          <w:p w:rsidR="002B7DE6" w:rsidRPr="003F42C1" w:rsidRDefault="002B7DE6" w:rsidP="003F42C1">
            <w:pPr>
              <w:spacing w:after="0" w:line="240" w:lineRule="auto"/>
              <w:jc w:val="center"/>
              <w:rPr>
                <w:rFonts w:ascii="Arial" w:hAnsi="Arial" w:cs="Arial"/>
                <w:sz w:val="18"/>
                <w:szCs w:val="18"/>
              </w:rPr>
            </w:pPr>
          </w:p>
        </w:tc>
        <w:tc>
          <w:tcPr>
            <w:tcW w:w="652"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1" w:type="pct"/>
            <w:tcBorders>
              <w:top w:val="single" w:sz="4"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2018</w:t>
            </w:r>
          </w:p>
        </w:tc>
        <w:tc>
          <w:tcPr>
            <w:tcW w:w="1302" w:type="pct"/>
            <w:gridSpan w:val="2"/>
            <w:tcBorders>
              <w:top w:val="single" w:sz="4" w:space="0" w:color="000000"/>
              <w:left w:val="single" w:sz="4" w:space="0" w:color="000000"/>
              <w:bottom w:val="single" w:sz="4" w:space="0" w:color="000000"/>
            </w:tcBorders>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i/>
                <w:sz w:val="18"/>
                <w:szCs w:val="18"/>
              </w:rPr>
              <w:t>Unknown</w:t>
            </w:r>
          </w:p>
        </w:tc>
      </w:tr>
      <w:tr w:rsidR="002B7DE6" w:rsidRPr="003F42C1" w:rsidTr="003F42C1">
        <w:trPr>
          <w:trHeight w:val="41"/>
        </w:trPr>
        <w:tc>
          <w:tcPr>
            <w:tcW w:w="680" w:type="pct"/>
            <w:tcBorders>
              <w:top w:val="single" w:sz="4" w:space="0" w:color="000000"/>
              <w:bottom w:val="single" w:sz="12"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r w:rsidRPr="003F42C1">
              <w:rPr>
                <w:rFonts w:ascii="Arial" w:hAnsi="Arial" w:cs="Arial"/>
                <w:sz w:val="18"/>
                <w:szCs w:val="18"/>
              </w:rPr>
              <w:t>Huntington 2</w:t>
            </w:r>
          </w:p>
        </w:tc>
        <w:tc>
          <w:tcPr>
            <w:tcW w:w="411" w:type="pct"/>
            <w:tcBorders>
              <w:top w:val="single" w:sz="4" w:space="0" w:color="000000"/>
              <w:left w:val="single" w:sz="4" w:space="0" w:color="000000"/>
              <w:bottom w:val="single" w:sz="12"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UT</w:t>
            </w:r>
          </w:p>
        </w:tc>
        <w:tc>
          <w:tcPr>
            <w:tcW w:w="651" w:type="pct"/>
            <w:tcBorders>
              <w:top w:val="single" w:sz="4" w:space="0" w:color="000000"/>
              <w:left w:val="single" w:sz="4" w:space="0" w:color="000000"/>
              <w:bottom w:val="single" w:sz="12"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2" w:type="pct"/>
            <w:tcBorders>
              <w:top w:val="single" w:sz="4" w:space="0" w:color="000000"/>
              <w:left w:val="nil"/>
              <w:bottom w:val="single" w:sz="12"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2023</w:t>
            </w:r>
          </w:p>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w:t>
            </w:r>
          </w:p>
        </w:tc>
        <w:tc>
          <w:tcPr>
            <w:tcW w:w="652" w:type="pct"/>
            <w:tcBorders>
              <w:top w:val="single" w:sz="4" w:space="0" w:color="000000"/>
              <w:left w:val="single" w:sz="4" w:space="0" w:color="000000"/>
              <w:bottom w:val="single" w:sz="12"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1" w:type="pct"/>
            <w:tcBorders>
              <w:top w:val="single" w:sz="4" w:space="0" w:color="000000"/>
              <w:left w:val="nil"/>
              <w:bottom w:val="single" w:sz="12"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2017</w:t>
            </w:r>
          </w:p>
        </w:tc>
        <w:tc>
          <w:tcPr>
            <w:tcW w:w="1302" w:type="pct"/>
            <w:gridSpan w:val="2"/>
            <w:tcBorders>
              <w:top w:val="single" w:sz="4" w:space="0" w:color="000000"/>
              <w:left w:val="single" w:sz="4" w:space="0" w:color="000000"/>
              <w:bottom w:val="single" w:sz="12" w:space="0" w:color="000000"/>
            </w:tcBorders>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i/>
                <w:sz w:val="18"/>
                <w:szCs w:val="18"/>
              </w:rPr>
              <w:t>Unknown</w:t>
            </w:r>
          </w:p>
        </w:tc>
      </w:tr>
      <w:tr w:rsidR="002B7DE6" w:rsidRPr="003F42C1" w:rsidTr="003F42C1">
        <w:trPr>
          <w:trHeight w:val="21"/>
        </w:trPr>
        <w:tc>
          <w:tcPr>
            <w:tcW w:w="680" w:type="pct"/>
            <w:tcBorders>
              <w:top w:val="single" w:sz="12" w:space="0" w:color="000000"/>
              <w:bottom w:val="single" w:sz="4"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r w:rsidRPr="003F42C1">
              <w:rPr>
                <w:rFonts w:ascii="Arial" w:hAnsi="Arial" w:cs="Arial"/>
                <w:sz w:val="18"/>
                <w:szCs w:val="18"/>
              </w:rPr>
              <w:t>Hayden 1</w:t>
            </w:r>
          </w:p>
        </w:tc>
        <w:tc>
          <w:tcPr>
            <w:tcW w:w="411" w:type="pct"/>
            <w:tcBorders>
              <w:top w:val="single" w:sz="12" w:space="0" w:color="000000"/>
              <w:left w:val="single" w:sz="4" w:space="0" w:color="000000"/>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CO</w:t>
            </w:r>
          </w:p>
        </w:tc>
        <w:tc>
          <w:tcPr>
            <w:tcW w:w="651" w:type="pct"/>
            <w:tcBorders>
              <w:top w:val="single" w:sz="12"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2" w:type="pct"/>
            <w:tcBorders>
              <w:top w:val="single" w:sz="12"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2015</w:t>
            </w:r>
          </w:p>
        </w:tc>
        <w:tc>
          <w:tcPr>
            <w:tcW w:w="652" w:type="pct"/>
            <w:tcBorders>
              <w:top w:val="single" w:sz="12"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1" w:type="pct"/>
            <w:tcBorders>
              <w:top w:val="single" w:sz="12"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2015</w:t>
            </w:r>
          </w:p>
        </w:tc>
        <w:tc>
          <w:tcPr>
            <w:tcW w:w="652" w:type="pct"/>
            <w:tcBorders>
              <w:top w:val="single" w:sz="12" w:space="0" w:color="000000"/>
              <w:left w:val="single" w:sz="4" w:space="0" w:color="000000"/>
              <w:bottom w:val="single" w:sz="4" w:space="0" w:color="000000"/>
              <w:right w:val="nil"/>
            </w:tcBorders>
          </w:tcPr>
          <w:p w:rsidR="002B7DE6" w:rsidRPr="003F42C1" w:rsidRDefault="002B7DE6" w:rsidP="003F42C1">
            <w:pPr>
              <w:spacing w:after="0" w:line="240" w:lineRule="auto"/>
              <w:jc w:val="center"/>
              <w:rPr>
                <w:rFonts w:ascii="Arial" w:hAnsi="Arial" w:cs="Arial"/>
                <w:sz w:val="18"/>
                <w:szCs w:val="18"/>
              </w:rPr>
            </w:pPr>
          </w:p>
        </w:tc>
        <w:tc>
          <w:tcPr>
            <w:tcW w:w="650" w:type="pct"/>
            <w:tcBorders>
              <w:top w:val="single" w:sz="12" w:space="0" w:color="000000"/>
              <w:left w:val="nil"/>
              <w:bottom w:val="single" w:sz="4" w:space="0" w:color="000000"/>
            </w:tcBorders>
          </w:tcPr>
          <w:p w:rsidR="002B7DE6" w:rsidRPr="003F42C1" w:rsidRDefault="002B7DE6" w:rsidP="003F42C1">
            <w:pPr>
              <w:spacing w:after="0" w:line="240" w:lineRule="auto"/>
              <w:jc w:val="center"/>
              <w:rPr>
                <w:rFonts w:ascii="Arial" w:hAnsi="Arial" w:cs="Arial"/>
                <w:sz w:val="18"/>
                <w:szCs w:val="18"/>
              </w:rPr>
            </w:pPr>
          </w:p>
        </w:tc>
      </w:tr>
      <w:tr w:rsidR="002B7DE6" w:rsidRPr="003F42C1" w:rsidTr="003F42C1">
        <w:trPr>
          <w:trHeight w:val="41"/>
        </w:trPr>
        <w:tc>
          <w:tcPr>
            <w:tcW w:w="680" w:type="pct"/>
            <w:tcBorders>
              <w:top w:val="single" w:sz="4" w:space="0" w:color="000000"/>
              <w:bottom w:val="single" w:sz="4"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r w:rsidRPr="003F42C1">
              <w:rPr>
                <w:rFonts w:ascii="Arial" w:hAnsi="Arial" w:cs="Arial"/>
                <w:sz w:val="18"/>
                <w:szCs w:val="18"/>
              </w:rPr>
              <w:t>Hayden 2</w:t>
            </w:r>
          </w:p>
        </w:tc>
        <w:tc>
          <w:tcPr>
            <w:tcW w:w="411" w:type="pct"/>
            <w:tcBorders>
              <w:top w:val="single" w:sz="4" w:space="0" w:color="000000"/>
              <w:left w:val="single" w:sz="4" w:space="0" w:color="000000"/>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CO</w:t>
            </w:r>
          </w:p>
        </w:tc>
        <w:tc>
          <w:tcPr>
            <w:tcW w:w="651"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2" w:type="pct"/>
            <w:tcBorders>
              <w:top w:val="single" w:sz="4" w:space="0" w:color="000000"/>
              <w:left w:val="nil"/>
              <w:bottom w:val="single" w:sz="4" w:space="0" w:color="000000"/>
              <w:right w:val="single" w:sz="4" w:space="0" w:color="000000"/>
            </w:tcBorders>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2016</w:t>
            </w:r>
          </w:p>
          <w:p w:rsidR="002B7DE6" w:rsidRPr="003F42C1" w:rsidRDefault="002B7DE6" w:rsidP="003F42C1">
            <w:pPr>
              <w:spacing w:after="0" w:line="240" w:lineRule="auto"/>
              <w:jc w:val="center"/>
              <w:rPr>
                <w:rFonts w:ascii="Arial" w:hAnsi="Arial" w:cs="Arial"/>
                <w:sz w:val="18"/>
                <w:szCs w:val="18"/>
              </w:rPr>
            </w:pPr>
          </w:p>
        </w:tc>
        <w:tc>
          <w:tcPr>
            <w:tcW w:w="652"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1" w:type="pct"/>
            <w:tcBorders>
              <w:top w:val="single" w:sz="4"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2016</w:t>
            </w:r>
          </w:p>
        </w:tc>
        <w:tc>
          <w:tcPr>
            <w:tcW w:w="652" w:type="pct"/>
            <w:tcBorders>
              <w:top w:val="single" w:sz="4" w:space="0" w:color="000000"/>
              <w:left w:val="single" w:sz="4" w:space="0" w:color="000000"/>
              <w:bottom w:val="single" w:sz="4" w:space="0" w:color="000000"/>
              <w:right w:val="nil"/>
            </w:tcBorders>
          </w:tcPr>
          <w:p w:rsidR="002B7DE6" w:rsidRPr="003F42C1" w:rsidRDefault="002B7DE6" w:rsidP="003F42C1">
            <w:pPr>
              <w:spacing w:after="0" w:line="240" w:lineRule="auto"/>
              <w:jc w:val="center"/>
              <w:rPr>
                <w:rFonts w:ascii="Arial" w:hAnsi="Arial" w:cs="Arial"/>
                <w:sz w:val="18"/>
                <w:szCs w:val="18"/>
              </w:rPr>
            </w:pPr>
          </w:p>
        </w:tc>
        <w:tc>
          <w:tcPr>
            <w:tcW w:w="650" w:type="pct"/>
            <w:tcBorders>
              <w:top w:val="single" w:sz="4" w:space="0" w:color="000000"/>
              <w:left w:val="nil"/>
              <w:bottom w:val="single" w:sz="4" w:space="0" w:color="000000"/>
            </w:tcBorders>
          </w:tcPr>
          <w:p w:rsidR="002B7DE6" w:rsidRPr="003F42C1" w:rsidRDefault="002B7DE6" w:rsidP="003F42C1">
            <w:pPr>
              <w:spacing w:after="0" w:line="240" w:lineRule="auto"/>
              <w:jc w:val="center"/>
              <w:rPr>
                <w:rFonts w:ascii="Arial" w:hAnsi="Arial" w:cs="Arial"/>
                <w:sz w:val="18"/>
                <w:szCs w:val="18"/>
              </w:rPr>
            </w:pPr>
          </w:p>
        </w:tc>
      </w:tr>
      <w:tr w:rsidR="002B7DE6" w:rsidRPr="003F42C1" w:rsidTr="003F42C1">
        <w:trPr>
          <w:trHeight w:val="41"/>
        </w:trPr>
        <w:tc>
          <w:tcPr>
            <w:tcW w:w="680" w:type="pct"/>
            <w:tcBorders>
              <w:top w:val="single" w:sz="4" w:space="0" w:color="000000"/>
              <w:bottom w:val="single" w:sz="4"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r w:rsidRPr="003F42C1">
              <w:rPr>
                <w:rFonts w:ascii="Arial" w:hAnsi="Arial" w:cs="Arial"/>
                <w:sz w:val="18"/>
                <w:szCs w:val="18"/>
              </w:rPr>
              <w:t>Craig 1</w:t>
            </w:r>
          </w:p>
        </w:tc>
        <w:tc>
          <w:tcPr>
            <w:tcW w:w="411" w:type="pct"/>
            <w:tcBorders>
              <w:top w:val="single" w:sz="4" w:space="0" w:color="000000"/>
              <w:left w:val="single" w:sz="4" w:space="0" w:color="000000"/>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CO</w:t>
            </w:r>
          </w:p>
        </w:tc>
        <w:tc>
          <w:tcPr>
            <w:tcW w:w="651"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SNCR</w:t>
            </w:r>
          </w:p>
        </w:tc>
        <w:tc>
          <w:tcPr>
            <w:tcW w:w="652" w:type="pct"/>
            <w:tcBorders>
              <w:top w:val="single" w:sz="4" w:space="0" w:color="000000"/>
              <w:left w:val="nil"/>
              <w:bottom w:val="single" w:sz="4" w:space="0" w:color="000000"/>
              <w:right w:val="single" w:sz="4" w:space="0" w:color="000000"/>
            </w:tcBorders>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2017</w:t>
            </w:r>
          </w:p>
          <w:p w:rsidR="002B7DE6" w:rsidRPr="003F42C1" w:rsidRDefault="002B7DE6" w:rsidP="003F42C1">
            <w:pPr>
              <w:spacing w:after="0" w:line="240" w:lineRule="auto"/>
              <w:jc w:val="center"/>
              <w:rPr>
                <w:rFonts w:ascii="Arial" w:hAnsi="Arial" w:cs="Arial"/>
                <w:sz w:val="18"/>
                <w:szCs w:val="18"/>
              </w:rPr>
            </w:pPr>
          </w:p>
        </w:tc>
        <w:tc>
          <w:tcPr>
            <w:tcW w:w="652" w:type="pct"/>
            <w:tcBorders>
              <w:top w:val="single" w:sz="4"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SNCR/SCR</w:t>
            </w:r>
          </w:p>
        </w:tc>
        <w:tc>
          <w:tcPr>
            <w:tcW w:w="651" w:type="pct"/>
            <w:tcBorders>
              <w:top w:val="single" w:sz="4"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2017/2024</w:t>
            </w:r>
          </w:p>
        </w:tc>
        <w:tc>
          <w:tcPr>
            <w:tcW w:w="652" w:type="pct"/>
            <w:tcBorders>
              <w:top w:val="single" w:sz="4" w:space="0" w:color="000000"/>
              <w:left w:val="single" w:sz="4" w:space="0" w:color="000000"/>
              <w:bottom w:val="single" w:sz="4" w:space="0" w:color="000000"/>
              <w:right w:val="nil"/>
            </w:tcBorders>
          </w:tcPr>
          <w:p w:rsidR="002B7DE6" w:rsidRPr="003F42C1" w:rsidRDefault="002B7DE6" w:rsidP="003F42C1">
            <w:pPr>
              <w:spacing w:after="0" w:line="240" w:lineRule="auto"/>
              <w:jc w:val="center"/>
              <w:rPr>
                <w:rFonts w:ascii="Arial" w:hAnsi="Arial" w:cs="Arial"/>
                <w:sz w:val="18"/>
                <w:szCs w:val="18"/>
              </w:rPr>
            </w:pPr>
          </w:p>
        </w:tc>
        <w:tc>
          <w:tcPr>
            <w:tcW w:w="650" w:type="pct"/>
            <w:tcBorders>
              <w:top w:val="single" w:sz="4" w:space="0" w:color="000000"/>
              <w:left w:val="nil"/>
              <w:bottom w:val="single" w:sz="4" w:space="0" w:color="000000"/>
            </w:tcBorders>
          </w:tcPr>
          <w:p w:rsidR="002B7DE6" w:rsidRPr="003F42C1" w:rsidRDefault="002B7DE6" w:rsidP="003F42C1">
            <w:pPr>
              <w:spacing w:after="0" w:line="240" w:lineRule="auto"/>
              <w:jc w:val="center"/>
              <w:rPr>
                <w:rFonts w:ascii="Arial" w:hAnsi="Arial" w:cs="Arial"/>
                <w:sz w:val="18"/>
                <w:szCs w:val="18"/>
              </w:rPr>
            </w:pPr>
          </w:p>
        </w:tc>
      </w:tr>
      <w:tr w:rsidR="002B7DE6" w:rsidRPr="003F42C1" w:rsidTr="003F42C1">
        <w:trPr>
          <w:trHeight w:val="41"/>
        </w:trPr>
        <w:tc>
          <w:tcPr>
            <w:tcW w:w="680" w:type="pct"/>
            <w:tcBorders>
              <w:top w:val="single" w:sz="4" w:space="0" w:color="000000"/>
              <w:bottom w:val="single" w:sz="12"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r w:rsidRPr="003F42C1">
              <w:rPr>
                <w:rFonts w:ascii="Arial" w:hAnsi="Arial" w:cs="Arial"/>
                <w:sz w:val="18"/>
                <w:szCs w:val="18"/>
              </w:rPr>
              <w:t>Craig 2</w:t>
            </w:r>
          </w:p>
        </w:tc>
        <w:tc>
          <w:tcPr>
            <w:tcW w:w="411" w:type="pct"/>
            <w:tcBorders>
              <w:top w:val="single" w:sz="4" w:space="0" w:color="000000"/>
              <w:left w:val="single" w:sz="4" w:space="0" w:color="000000"/>
              <w:bottom w:val="single" w:sz="12"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CO</w:t>
            </w:r>
          </w:p>
        </w:tc>
        <w:tc>
          <w:tcPr>
            <w:tcW w:w="651" w:type="pct"/>
            <w:tcBorders>
              <w:top w:val="single" w:sz="4" w:space="0" w:color="000000"/>
              <w:left w:val="single" w:sz="4" w:space="0" w:color="000000"/>
              <w:bottom w:val="single" w:sz="12"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2" w:type="pct"/>
            <w:tcBorders>
              <w:top w:val="single" w:sz="4" w:space="0" w:color="000000"/>
              <w:left w:val="nil"/>
              <w:bottom w:val="single" w:sz="12"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2016</w:t>
            </w:r>
          </w:p>
        </w:tc>
        <w:tc>
          <w:tcPr>
            <w:tcW w:w="652" w:type="pct"/>
            <w:tcBorders>
              <w:top w:val="single" w:sz="4" w:space="0" w:color="000000"/>
              <w:left w:val="single" w:sz="4" w:space="0" w:color="000000"/>
              <w:bottom w:val="single" w:sz="12"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1" w:type="pct"/>
            <w:tcBorders>
              <w:top w:val="single" w:sz="4" w:space="0" w:color="000000"/>
              <w:left w:val="nil"/>
              <w:bottom w:val="single" w:sz="12"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2016</w:t>
            </w:r>
          </w:p>
        </w:tc>
        <w:tc>
          <w:tcPr>
            <w:tcW w:w="652" w:type="pct"/>
            <w:tcBorders>
              <w:top w:val="single" w:sz="4" w:space="0" w:color="000000"/>
              <w:left w:val="single" w:sz="4" w:space="0" w:color="000000"/>
              <w:bottom w:val="single" w:sz="12" w:space="0" w:color="000000"/>
              <w:right w:val="nil"/>
            </w:tcBorders>
          </w:tcPr>
          <w:p w:rsidR="002B7DE6" w:rsidRPr="003F42C1" w:rsidRDefault="002B7DE6" w:rsidP="003F42C1">
            <w:pPr>
              <w:spacing w:after="0" w:line="240" w:lineRule="auto"/>
              <w:jc w:val="center"/>
              <w:rPr>
                <w:rFonts w:ascii="Arial" w:hAnsi="Arial" w:cs="Arial"/>
                <w:sz w:val="18"/>
                <w:szCs w:val="18"/>
              </w:rPr>
            </w:pPr>
          </w:p>
        </w:tc>
        <w:tc>
          <w:tcPr>
            <w:tcW w:w="650" w:type="pct"/>
            <w:tcBorders>
              <w:top w:val="single" w:sz="4" w:space="0" w:color="000000"/>
              <w:left w:val="nil"/>
              <w:bottom w:val="single" w:sz="12" w:space="0" w:color="000000"/>
            </w:tcBorders>
          </w:tcPr>
          <w:p w:rsidR="002B7DE6" w:rsidRPr="003F42C1" w:rsidRDefault="002B7DE6" w:rsidP="003F42C1">
            <w:pPr>
              <w:spacing w:after="0" w:line="240" w:lineRule="auto"/>
              <w:jc w:val="center"/>
              <w:rPr>
                <w:rFonts w:ascii="Arial" w:hAnsi="Arial" w:cs="Arial"/>
                <w:sz w:val="18"/>
                <w:szCs w:val="18"/>
              </w:rPr>
            </w:pPr>
          </w:p>
        </w:tc>
      </w:tr>
      <w:tr w:rsidR="002B7DE6" w:rsidRPr="003F42C1" w:rsidTr="003F42C1">
        <w:trPr>
          <w:trHeight w:val="21"/>
        </w:trPr>
        <w:tc>
          <w:tcPr>
            <w:tcW w:w="680" w:type="pct"/>
            <w:tcBorders>
              <w:top w:val="single" w:sz="12" w:space="0" w:color="000000"/>
              <w:bottom w:val="single" w:sz="4"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r w:rsidRPr="003F42C1">
              <w:rPr>
                <w:rFonts w:ascii="Arial" w:hAnsi="Arial" w:cs="Arial"/>
                <w:sz w:val="18"/>
                <w:szCs w:val="18"/>
              </w:rPr>
              <w:t>Colstrip 3</w:t>
            </w:r>
          </w:p>
        </w:tc>
        <w:tc>
          <w:tcPr>
            <w:tcW w:w="411" w:type="pct"/>
            <w:tcBorders>
              <w:top w:val="single" w:sz="12" w:space="0" w:color="000000"/>
              <w:left w:val="single" w:sz="4" w:space="0" w:color="000000"/>
              <w:bottom w:val="single" w:sz="4" w:space="0" w:color="000000"/>
              <w:right w:val="single" w:sz="4" w:space="0" w:color="000000"/>
            </w:tcBorders>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MT</w:t>
            </w:r>
          </w:p>
          <w:p w:rsidR="002B7DE6" w:rsidRPr="003F42C1" w:rsidRDefault="002B7DE6" w:rsidP="003F42C1">
            <w:pPr>
              <w:spacing w:after="0" w:line="240" w:lineRule="auto"/>
              <w:jc w:val="center"/>
              <w:rPr>
                <w:rFonts w:ascii="Arial" w:hAnsi="Arial" w:cs="Arial"/>
                <w:sz w:val="18"/>
                <w:szCs w:val="18"/>
              </w:rPr>
            </w:pPr>
          </w:p>
        </w:tc>
        <w:tc>
          <w:tcPr>
            <w:tcW w:w="651" w:type="pct"/>
            <w:tcBorders>
              <w:top w:val="single" w:sz="12" w:space="0" w:color="000000"/>
              <w:left w:val="single" w:sz="4" w:space="0" w:color="000000"/>
              <w:bottom w:val="single" w:sz="4" w:space="0" w:color="000000"/>
              <w:right w:val="nil"/>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rPr>
            </w:pPr>
          </w:p>
        </w:tc>
        <w:tc>
          <w:tcPr>
            <w:tcW w:w="652" w:type="pct"/>
            <w:tcBorders>
              <w:top w:val="single" w:sz="12" w:space="0" w:color="000000"/>
              <w:left w:val="nil"/>
              <w:bottom w:val="single" w:sz="4" w:space="0" w:color="000000"/>
              <w:right w:val="single" w:sz="4" w:space="0" w:color="000000"/>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rPr>
            </w:pPr>
          </w:p>
        </w:tc>
        <w:tc>
          <w:tcPr>
            <w:tcW w:w="652" w:type="pct"/>
            <w:tcBorders>
              <w:top w:val="single" w:sz="12"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1" w:type="pct"/>
            <w:tcBorders>
              <w:top w:val="single" w:sz="12"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2023</w:t>
            </w:r>
          </w:p>
        </w:tc>
        <w:tc>
          <w:tcPr>
            <w:tcW w:w="652" w:type="pct"/>
            <w:tcBorders>
              <w:top w:val="single" w:sz="12" w:space="0" w:color="000000"/>
              <w:left w:val="single" w:sz="4" w:space="0" w:color="000000"/>
              <w:bottom w:val="single" w:sz="4" w:space="0" w:color="000000"/>
              <w:right w:val="nil"/>
            </w:tcBorders>
          </w:tcPr>
          <w:p w:rsidR="002B7DE6" w:rsidRPr="003F42C1" w:rsidRDefault="002B7DE6" w:rsidP="003F42C1">
            <w:pPr>
              <w:spacing w:after="0" w:line="240" w:lineRule="auto"/>
              <w:jc w:val="center"/>
              <w:rPr>
                <w:rFonts w:ascii="Arial" w:hAnsi="Arial" w:cs="Arial"/>
                <w:sz w:val="18"/>
                <w:szCs w:val="18"/>
              </w:rPr>
            </w:pPr>
          </w:p>
        </w:tc>
        <w:tc>
          <w:tcPr>
            <w:tcW w:w="650" w:type="pct"/>
            <w:tcBorders>
              <w:top w:val="single" w:sz="12" w:space="0" w:color="000000"/>
              <w:left w:val="nil"/>
              <w:bottom w:val="single" w:sz="4" w:space="0" w:color="000000"/>
            </w:tcBorders>
          </w:tcPr>
          <w:p w:rsidR="002B7DE6" w:rsidRPr="003F42C1" w:rsidRDefault="002B7DE6" w:rsidP="003F42C1">
            <w:pPr>
              <w:spacing w:after="0" w:line="240" w:lineRule="auto"/>
              <w:jc w:val="center"/>
              <w:rPr>
                <w:rFonts w:ascii="Arial" w:hAnsi="Arial" w:cs="Arial"/>
                <w:sz w:val="18"/>
                <w:szCs w:val="18"/>
              </w:rPr>
            </w:pPr>
          </w:p>
        </w:tc>
      </w:tr>
      <w:tr w:rsidR="002B7DE6" w:rsidRPr="003F42C1" w:rsidTr="003F42C1">
        <w:trPr>
          <w:trHeight w:val="41"/>
        </w:trPr>
        <w:tc>
          <w:tcPr>
            <w:tcW w:w="680" w:type="pct"/>
            <w:tcBorders>
              <w:top w:val="single" w:sz="4" w:space="0" w:color="000000"/>
              <w:bottom w:val="single" w:sz="12"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r w:rsidRPr="003F42C1">
              <w:rPr>
                <w:rFonts w:ascii="Arial" w:hAnsi="Arial" w:cs="Arial"/>
                <w:sz w:val="18"/>
                <w:szCs w:val="18"/>
              </w:rPr>
              <w:t>Colstrip 4</w:t>
            </w:r>
          </w:p>
        </w:tc>
        <w:tc>
          <w:tcPr>
            <w:tcW w:w="411" w:type="pct"/>
            <w:tcBorders>
              <w:top w:val="single" w:sz="4" w:space="0" w:color="000000"/>
              <w:left w:val="single" w:sz="4" w:space="0" w:color="000000"/>
              <w:bottom w:val="single" w:sz="12"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MT</w:t>
            </w:r>
          </w:p>
        </w:tc>
        <w:tc>
          <w:tcPr>
            <w:tcW w:w="651" w:type="pct"/>
            <w:tcBorders>
              <w:top w:val="single" w:sz="4" w:space="0" w:color="000000"/>
              <w:left w:val="single" w:sz="4" w:space="0" w:color="000000"/>
              <w:bottom w:val="single" w:sz="12" w:space="0" w:color="000000"/>
              <w:right w:val="nil"/>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rPr>
            </w:pPr>
          </w:p>
        </w:tc>
        <w:tc>
          <w:tcPr>
            <w:tcW w:w="652" w:type="pct"/>
            <w:tcBorders>
              <w:top w:val="single" w:sz="4" w:space="0" w:color="000000"/>
              <w:left w:val="nil"/>
              <w:bottom w:val="single" w:sz="12" w:space="0" w:color="000000"/>
              <w:right w:val="single" w:sz="4" w:space="0" w:color="000000"/>
            </w:tcBorders>
            <w:shd w:val="clear" w:color="auto" w:fill="D9D9D9" w:themeFill="background1" w:themeFillShade="D9"/>
          </w:tcPr>
          <w:p w:rsidR="002B7DE6" w:rsidRPr="003F42C1" w:rsidRDefault="002B7DE6" w:rsidP="003F42C1">
            <w:pPr>
              <w:spacing w:after="0" w:line="240" w:lineRule="auto"/>
              <w:jc w:val="center"/>
              <w:rPr>
                <w:rFonts w:ascii="Arial" w:hAnsi="Arial" w:cs="Arial"/>
                <w:sz w:val="18"/>
                <w:szCs w:val="18"/>
              </w:rPr>
            </w:pPr>
          </w:p>
        </w:tc>
        <w:tc>
          <w:tcPr>
            <w:tcW w:w="652" w:type="pct"/>
            <w:tcBorders>
              <w:top w:val="single" w:sz="4" w:space="0" w:color="000000"/>
              <w:left w:val="single" w:sz="4" w:space="0" w:color="000000"/>
              <w:bottom w:val="single" w:sz="12"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1" w:type="pct"/>
            <w:tcBorders>
              <w:top w:val="single" w:sz="4" w:space="0" w:color="000000"/>
              <w:left w:val="nil"/>
              <w:bottom w:val="single" w:sz="12"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2024</w:t>
            </w:r>
          </w:p>
        </w:tc>
        <w:tc>
          <w:tcPr>
            <w:tcW w:w="652" w:type="pct"/>
            <w:tcBorders>
              <w:top w:val="single" w:sz="4" w:space="0" w:color="000000"/>
              <w:left w:val="single" w:sz="4" w:space="0" w:color="000000"/>
              <w:bottom w:val="single" w:sz="12" w:space="0" w:color="000000"/>
              <w:right w:val="nil"/>
            </w:tcBorders>
          </w:tcPr>
          <w:p w:rsidR="002B7DE6" w:rsidRPr="003F42C1" w:rsidRDefault="002B7DE6" w:rsidP="003F42C1">
            <w:pPr>
              <w:spacing w:after="0" w:line="240" w:lineRule="auto"/>
              <w:jc w:val="center"/>
              <w:rPr>
                <w:rFonts w:ascii="Arial" w:hAnsi="Arial" w:cs="Arial"/>
                <w:sz w:val="18"/>
                <w:szCs w:val="18"/>
              </w:rPr>
            </w:pPr>
          </w:p>
        </w:tc>
        <w:tc>
          <w:tcPr>
            <w:tcW w:w="650" w:type="pct"/>
            <w:tcBorders>
              <w:top w:val="single" w:sz="4" w:space="0" w:color="000000"/>
              <w:left w:val="nil"/>
              <w:bottom w:val="single" w:sz="12" w:space="0" w:color="000000"/>
            </w:tcBorders>
          </w:tcPr>
          <w:p w:rsidR="002B7DE6" w:rsidRPr="003F42C1" w:rsidRDefault="002B7DE6" w:rsidP="003F42C1">
            <w:pPr>
              <w:spacing w:after="0" w:line="240" w:lineRule="auto"/>
              <w:jc w:val="center"/>
              <w:rPr>
                <w:rFonts w:ascii="Arial" w:hAnsi="Arial" w:cs="Arial"/>
                <w:sz w:val="18"/>
                <w:szCs w:val="18"/>
              </w:rPr>
            </w:pPr>
          </w:p>
        </w:tc>
      </w:tr>
      <w:tr w:rsidR="002B7DE6" w:rsidRPr="003F42C1" w:rsidTr="003F42C1">
        <w:trPr>
          <w:trHeight w:val="21"/>
        </w:trPr>
        <w:tc>
          <w:tcPr>
            <w:tcW w:w="680" w:type="pct"/>
            <w:tcBorders>
              <w:top w:val="single" w:sz="12" w:space="0" w:color="000000"/>
              <w:bottom w:val="single" w:sz="4" w:space="0" w:color="000000"/>
              <w:right w:val="single" w:sz="4" w:space="0" w:color="000000"/>
            </w:tcBorders>
            <w:hideMark/>
          </w:tcPr>
          <w:p w:rsidR="002B7DE6" w:rsidRPr="003F42C1" w:rsidRDefault="002B7DE6" w:rsidP="003F42C1">
            <w:pPr>
              <w:spacing w:after="0" w:line="240" w:lineRule="auto"/>
              <w:rPr>
                <w:rFonts w:ascii="Arial" w:hAnsi="Arial" w:cs="Arial"/>
                <w:sz w:val="18"/>
                <w:szCs w:val="18"/>
              </w:rPr>
            </w:pPr>
            <w:proofErr w:type="spellStart"/>
            <w:r w:rsidRPr="003F42C1">
              <w:rPr>
                <w:rFonts w:ascii="Arial" w:hAnsi="Arial" w:cs="Arial"/>
                <w:sz w:val="18"/>
                <w:szCs w:val="18"/>
              </w:rPr>
              <w:t>Cholla</w:t>
            </w:r>
            <w:proofErr w:type="spellEnd"/>
            <w:r w:rsidRPr="003F42C1">
              <w:rPr>
                <w:rFonts w:ascii="Arial" w:hAnsi="Arial" w:cs="Arial"/>
                <w:sz w:val="18"/>
                <w:szCs w:val="18"/>
              </w:rPr>
              <w:t xml:space="preserve"> 4</w:t>
            </w:r>
          </w:p>
        </w:tc>
        <w:tc>
          <w:tcPr>
            <w:tcW w:w="411" w:type="pct"/>
            <w:tcBorders>
              <w:top w:val="single" w:sz="12" w:space="0" w:color="000000"/>
              <w:left w:val="single" w:sz="4" w:space="0" w:color="000000"/>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AZ</w:t>
            </w:r>
          </w:p>
        </w:tc>
        <w:tc>
          <w:tcPr>
            <w:tcW w:w="651" w:type="pct"/>
            <w:tcBorders>
              <w:top w:val="single" w:sz="12"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2" w:type="pct"/>
            <w:tcBorders>
              <w:top w:val="single" w:sz="12" w:space="0" w:color="000000"/>
              <w:left w:val="nil"/>
              <w:bottom w:val="single" w:sz="4" w:space="0" w:color="000000"/>
              <w:right w:val="single" w:sz="4" w:space="0" w:color="000000"/>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2017</w:t>
            </w:r>
          </w:p>
        </w:tc>
        <w:tc>
          <w:tcPr>
            <w:tcW w:w="652" w:type="pct"/>
            <w:tcBorders>
              <w:top w:val="single" w:sz="12" w:space="0" w:color="000000"/>
              <w:left w:val="single" w:sz="4" w:space="0" w:color="000000"/>
              <w:bottom w:val="single" w:sz="4" w:space="0" w:color="000000"/>
              <w:right w:val="nil"/>
            </w:tcBorders>
            <w:hideMark/>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SCR</w:t>
            </w:r>
          </w:p>
        </w:tc>
        <w:tc>
          <w:tcPr>
            <w:tcW w:w="651" w:type="pct"/>
            <w:tcBorders>
              <w:top w:val="single" w:sz="12" w:space="0" w:color="000000"/>
              <w:left w:val="nil"/>
              <w:bottom w:val="single" w:sz="4" w:space="0" w:color="000000"/>
              <w:right w:val="single" w:sz="4" w:space="0" w:color="000000"/>
            </w:tcBorders>
          </w:tcPr>
          <w:p w:rsidR="002B7DE6" w:rsidRPr="003F42C1" w:rsidRDefault="002B7DE6" w:rsidP="003F42C1">
            <w:pPr>
              <w:spacing w:after="0" w:line="240" w:lineRule="auto"/>
              <w:jc w:val="center"/>
              <w:rPr>
                <w:rFonts w:ascii="Arial" w:hAnsi="Arial" w:cs="Arial"/>
                <w:sz w:val="18"/>
                <w:szCs w:val="18"/>
              </w:rPr>
            </w:pPr>
            <w:r w:rsidRPr="003F42C1">
              <w:rPr>
                <w:rFonts w:ascii="Arial" w:hAnsi="Arial" w:cs="Arial"/>
                <w:sz w:val="18"/>
                <w:szCs w:val="18"/>
              </w:rPr>
              <w:t>2017</w:t>
            </w:r>
          </w:p>
          <w:p w:rsidR="002B7DE6" w:rsidRPr="003F42C1" w:rsidRDefault="002B7DE6" w:rsidP="003F42C1">
            <w:pPr>
              <w:spacing w:after="0" w:line="240" w:lineRule="auto"/>
              <w:jc w:val="center"/>
              <w:rPr>
                <w:rFonts w:ascii="Arial" w:hAnsi="Arial" w:cs="Arial"/>
                <w:sz w:val="18"/>
                <w:szCs w:val="18"/>
              </w:rPr>
            </w:pPr>
          </w:p>
        </w:tc>
        <w:tc>
          <w:tcPr>
            <w:tcW w:w="652" w:type="pct"/>
            <w:tcBorders>
              <w:top w:val="single" w:sz="12" w:space="0" w:color="000000"/>
              <w:left w:val="single" w:sz="4" w:space="0" w:color="000000"/>
              <w:bottom w:val="single" w:sz="4" w:space="0" w:color="000000"/>
              <w:right w:val="nil"/>
            </w:tcBorders>
          </w:tcPr>
          <w:p w:rsidR="002B7DE6" w:rsidRPr="003F42C1" w:rsidRDefault="002B7DE6" w:rsidP="003F42C1">
            <w:pPr>
              <w:spacing w:after="0" w:line="240" w:lineRule="auto"/>
              <w:jc w:val="center"/>
              <w:rPr>
                <w:rFonts w:ascii="Arial" w:hAnsi="Arial" w:cs="Arial"/>
                <w:sz w:val="18"/>
                <w:szCs w:val="18"/>
              </w:rPr>
            </w:pPr>
          </w:p>
        </w:tc>
        <w:tc>
          <w:tcPr>
            <w:tcW w:w="650" w:type="pct"/>
            <w:tcBorders>
              <w:top w:val="single" w:sz="12" w:space="0" w:color="000000"/>
              <w:left w:val="nil"/>
              <w:bottom w:val="single" w:sz="4" w:space="0" w:color="000000"/>
            </w:tcBorders>
          </w:tcPr>
          <w:p w:rsidR="002B7DE6" w:rsidRPr="003F42C1" w:rsidRDefault="002B7DE6" w:rsidP="003F42C1">
            <w:pPr>
              <w:spacing w:after="0" w:line="240" w:lineRule="auto"/>
              <w:jc w:val="center"/>
              <w:rPr>
                <w:rFonts w:ascii="Arial" w:hAnsi="Arial" w:cs="Arial"/>
                <w:sz w:val="18"/>
                <w:szCs w:val="18"/>
              </w:rPr>
            </w:pPr>
          </w:p>
        </w:tc>
      </w:tr>
    </w:tbl>
    <w:p w:rsidR="002B7DE6" w:rsidRDefault="002B7DE6" w:rsidP="002B7DE6">
      <w:pPr>
        <w:pStyle w:val="NoSpacing"/>
        <w:rPr>
          <w:i/>
          <w:sz w:val="20"/>
          <w:szCs w:val="20"/>
        </w:rPr>
      </w:pPr>
      <w:r>
        <w:rPr>
          <w:i/>
          <w:sz w:val="20"/>
          <w:szCs w:val="20"/>
        </w:rPr>
        <w:t xml:space="preserve">*SNCR = selective non-catalytic reduction; SCR = selective catalytic reduction; LNB = low </w:t>
      </w:r>
      <w:proofErr w:type="spellStart"/>
      <w:r>
        <w:rPr>
          <w:i/>
          <w:sz w:val="20"/>
          <w:szCs w:val="20"/>
        </w:rPr>
        <w:t>NOx</w:t>
      </w:r>
      <w:proofErr w:type="spellEnd"/>
      <w:r>
        <w:rPr>
          <w:i/>
          <w:sz w:val="20"/>
          <w:szCs w:val="20"/>
        </w:rPr>
        <w:t xml:space="preserve"> burner; BH = </w:t>
      </w:r>
      <w:proofErr w:type="spellStart"/>
      <w:r>
        <w:rPr>
          <w:i/>
          <w:sz w:val="20"/>
          <w:szCs w:val="20"/>
        </w:rPr>
        <w:t>baghouse</w:t>
      </w:r>
      <w:proofErr w:type="spellEnd"/>
    </w:p>
    <w:p w:rsidR="002B7DE6" w:rsidRDefault="002B7DE6" w:rsidP="002B7DE6">
      <w:pPr>
        <w:pStyle w:val="NoSpacing"/>
        <w:rPr>
          <w:i/>
          <w:sz w:val="20"/>
          <w:szCs w:val="20"/>
        </w:rPr>
      </w:pPr>
      <w:r>
        <w:rPr>
          <w:i/>
          <w:sz w:val="20"/>
          <w:szCs w:val="20"/>
        </w:rPr>
        <w:t>**EPA</w:t>
      </w:r>
      <w:r w:rsidR="00EF548E">
        <w:rPr>
          <w:i/>
          <w:sz w:val="20"/>
          <w:szCs w:val="20"/>
        </w:rPr>
        <w:t xml:space="preserve"> presented</w:t>
      </w:r>
      <w:r>
        <w:rPr>
          <w:i/>
          <w:sz w:val="20"/>
          <w:szCs w:val="20"/>
        </w:rPr>
        <w:t xml:space="preserve"> two options for JB 1 &amp; 2: first approach – accept current technology as BART, SCRs on both in the 2021-2022 timeframe; second approach – SCRs on both in the 2018-19 timeframe</w:t>
      </w:r>
    </w:p>
    <w:p w:rsidR="002B7DE6" w:rsidRDefault="002B7DE6" w:rsidP="002B7DE6">
      <w:pPr>
        <w:pStyle w:val="NoSpacing"/>
        <w:rPr>
          <w:i/>
          <w:sz w:val="20"/>
          <w:szCs w:val="20"/>
        </w:rPr>
      </w:pPr>
      <w:r>
        <w:rPr>
          <w:i/>
          <w:sz w:val="20"/>
          <w:szCs w:val="20"/>
        </w:rPr>
        <w:t xml:space="preserve">*** Estimate of implementation deadline “as expeditiously as practicable, </w:t>
      </w:r>
      <w:proofErr w:type="gramStart"/>
      <w:r>
        <w:rPr>
          <w:i/>
          <w:sz w:val="20"/>
          <w:szCs w:val="20"/>
        </w:rPr>
        <w:t>but</w:t>
      </w:r>
      <w:proofErr w:type="gramEnd"/>
      <w:r>
        <w:rPr>
          <w:i/>
          <w:sz w:val="20"/>
          <w:szCs w:val="20"/>
        </w:rPr>
        <w:t xml:space="preserve"> no later than five years after EPA finalized action on our proposed FIP.” </w:t>
      </w:r>
      <w:proofErr w:type="gramStart"/>
      <w:r>
        <w:rPr>
          <w:i/>
          <w:sz w:val="20"/>
          <w:szCs w:val="20"/>
        </w:rPr>
        <w:t xml:space="preserve">Assumes finalization </w:t>
      </w:r>
      <w:r w:rsidR="00EF548E">
        <w:rPr>
          <w:i/>
          <w:sz w:val="20"/>
          <w:szCs w:val="20"/>
        </w:rPr>
        <w:t>by January</w:t>
      </w:r>
      <w:r>
        <w:rPr>
          <w:i/>
          <w:sz w:val="20"/>
          <w:szCs w:val="20"/>
        </w:rPr>
        <w:t xml:space="preserve"> 2014.</w:t>
      </w:r>
      <w:proofErr w:type="gramEnd"/>
    </w:p>
    <w:p w:rsidR="00EF548E" w:rsidRDefault="00EF548E" w:rsidP="002B7DE6">
      <w:pPr>
        <w:pStyle w:val="NoSpacing"/>
        <w:rPr>
          <w:i/>
          <w:sz w:val="20"/>
          <w:szCs w:val="20"/>
        </w:rPr>
      </w:pPr>
    </w:p>
    <w:p w:rsidR="002B7DE6" w:rsidRDefault="002B7DE6" w:rsidP="002B7DE6">
      <w:r>
        <w:t>The scaling up from an SNCR to SCR at Dave Johnston 3 is a relatively expensive additional cost that could render DJ3 non-economic in the near-term. The addition of an SNCR at DJ4 adds capital and operational costs that similarly could tip the balance of this unit.</w:t>
      </w:r>
    </w:p>
    <w:p w:rsidR="002B7DE6" w:rsidRDefault="002B7DE6" w:rsidP="002B7DE6">
      <w:r>
        <w:t xml:space="preserve">PacifiCorp’s failure to anticipate a requirement for SCRs at </w:t>
      </w:r>
      <w:proofErr w:type="spellStart"/>
      <w:r>
        <w:t>Naughton</w:t>
      </w:r>
      <w:proofErr w:type="spellEnd"/>
      <w:r>
        <w:t xml:space="preserve"> 1 and 2, and failure to model the economic impact of this retrofit requirement reaffirms a long-running inability of the Company to assess the reasonable risks of environmental regulations at this plant. In April and May of 2011, Sierra Club filed testimony in rate cases in Wyoming and Utah (respectively) pointing out that while the regional haze rule was not yet finalized for those states, there was a</w:t>
      </w:r>
      <w:r w:rsidR="00EF548E">
        <w:t xml:space="preserve"> strong possibility</w:t>
      </w:r>
      <w:r>
        <w:t xml:space="preserve"> that SCRs</w:t>
      </w:r>
      <w:r w:rsidR="00EF548E">
        <w:t xml:space="preserve"> to control </w:t>
      </w:r>
      <w:proofErr w:type="spellStart"/>
      <w:r w:rsidR="00EF548E">
        <w:t>NOx</w:t>
      </w:r>
      <w:proofErr w:type="spellEnd"/>
      <w:r w:rsidR="00EF548E">
        <w:t xml:space="preserve"> emissions</w:t>
      </w:r>
      <w:r>
        <w:t xml:space="preserve"> would ultimately be required for the </w:t>
      </w:r>
      <w:proofErr w:type="spellStart"/>
      <w:r>
        <w:t>Naughton</w:t>
      </w:r>
      <w:proofErr w:type="spellEnd"/>
      <w:r>
        <w:t xml:space="preserve"> 1 and 2 units. PacifiCorp refused to acknowledge</w:t>
      </w:r>
      <w:r w:rsidR="00871F1A">
        <w:t xml:space="preserve"> </w:t>
      </w:r>
      <w:r w:rsidR="00EF548E">
        <w:t xml:space="preserve">this very real </w:t>
      </w:r>
      <w:r>
        <w:t>risk</w:t>
      </w:r>
      <w:r w:rsidR="00EF548E">
        <w:t xml:space="preserve">. </w:t>
      </w:r>
      <w:r>
        <w:t xml:space="preserve">In June of 2012, Sierra Club filed testimony in a subsequent Oregon rate case citing evidence that the Company </w:t>
      </w:r>
      <w:r w:rsidRPr="00227A33">
        <w:rPr>
          <w:u w:val="single"/>
        </w:rPr>
        <w:t>had</w:t>
      </w:r>
      <w:r>
        <w:t xml:space="preserve"> considered the risk (or even likelihood) of an SCR requirement at </w:t>
      </w:r>
      <w:proofErr w:type="spellStart"/>
      <w:r>
        <w:t>Naughton</w:t>
      </w:r>
      <w:proofErr w:type="spellEnd"/>
      <w:r>
        <w:t xml:space="preserve"> 1 and 2, but did not reflect these costs when reviewing the cost efficacy of SO</w:t>
      </w:r>
      <w:r w:rsidRPr="00227A33">
        <w:rPr>
          <w:vertAlign w:val="subscript"/>
        </w:rPr>
        <w:t>2</w:t>
      </w:r>
      <w:r>
        <w:t xml:space="preserve"> controls. Again, PacifiCorp insisted that “the Company [did] not anticipate installing SCRs on </w:t>
      </w:r>
      <w:proofErr w:type="spellStart"/>
      <w:r>
        <w:t>Naughton</w:t>
      </w:r>
      <w:proofErr w:type="spellEnd"/>
      <w:r>
        <w:t xml:space="preserve"> 1 or 2 in the future.” The Oregon PUC agreed with Sierra Club that a failure to consider reasonably likely costs constituted imprudent planning, and disallowed a portion of the retrofit costs. Today, the EPA’s proposed regional haze FIP for Wyoming requires SCRs at </w:t>
      </w:r>
      <w:proofErr w:type="spellStart"/>
      <w:r>
        <w:t>Naughton</w:t>
      </w:r>
      <w:proofErr w:type="spellEnd"/>
      <w:r>
        <w:t xml:space="preserve"> 1 &amp; 2, yet the Company has continued to ignore these cost implications. </w:t>
      </w:r>
    </w:p>
    <w:p w:rsidR="002B7DE6" w:rsidRPr="00647855" w:rsidRDefault="002B7DE6" w:rsidP="002B7DE6">
      <w:r>
        <w:t xml:space="preserve">Even if the Company were to re-run the System Optimizer model and determine that </w:t>
      </w:r>
      <w:proofErr w:type="spellStart"/>
      <w:r>
        <w:t>Naughton</w:t>
      </w:r>
      <w:proofErr w:type="spellEnd"/>
      <w:r>
        <w:t xml:space="preserve"> 1 and 2 would continue to be economic despite the SCR requirement, allowing the installation of this equipment would clearly constitute a piecemeal approach to environmental retrofits on a grand scale: had the Company simply evaluated the likely </w:t>
      </w:r>
      <w:proofErr w:type="spellStart"/>
      <w:r>
        <w:t>Naughton</w:t>
      </w:r>
      <w:proofErr w:type="spellEnd"/>
      <w:r>
        <w:t xml:space="preserve"> retrofits in a comprehensive package in 2009, the ratepayers would have been spared hundreds of millions of dollars in unnecessary and wasteful </w:t>
      </w:r>
      <w:r w:rsidR="00EF548E">
        <w:t>expenses</w:t>
      </w:r>
      <w:r>
        <w:t xml:space="preserve">. If the Company re-runs System Optimizer and determines that </w:t>
      </w:r>
      <w:proofErr w:type="spellStart"/>
      <w:r>
        <w:t>Naughton</w:t>
      </w:r>
      <w:proofErr w:type="spellEnd"/>
      <w:r>
        <w:t xml:space="preserve"> 1 and 2 are candidates for near-term retirement, Commissions in five states will be faced with the challenge of significant stranded costs for environmental equipment just coming online today.</w:t>
      </w:r>
    </w:p>
    <w:p w:rsidR="002B7DE6" w:rsidRDefault="002B7DE6" w:rsidP="002B7DE6">
      <w:r>
        <w:t xml:space="preserve">In a July 8 2013 </w:t>
      </w:r>
      <w:r w:rsidR="00EF548E">
        <w:t xml:space="preserve">IRP </w:t>
      </w:r>
      <w:r>
        <w:t xml:space="preserve">Technical Workshop, the Company flatly refused to consider re-running System Optimizer with the updated proposed FIP compliance requirements. </w:t>
      </w:r>
      <w:r w:rsidR="00EF548E">
        <w:t xml:space="preserve">According to </w:t>
      </w:r>
      <w:r w:rsidR="00130F8E">
        <w:t>t</w:t>
      </w:r>
      <w:r>
        <w:t>he Company</w:t>
      </w:r>
      <w:r w:rsidR="00130F8E">
        <w:t>,</w:t>
      </w:r>
      <w:r>
        <w:t xml:space="preserve"> it intended </w:t>
      </w:r>
      <w:r w:rsidR="00130F8E">
        <w:t xml:space="preserve">to fully challenge </w:t>
      </w:r>
      <w:r>
        <w:t xml:space="preserve">the outcome of </w:t>
      </w:r>
      <w:r w:rsidR="00130F8E">
        <w:t xml:space="preserve">EPA’s final BART determination </w:t>
      </w:r>
      <w:r>
        <w:t xml:space="preserve">for Wyoming. In light of </w:t>
      </w:r>
      <w:r w:rsidR="00130F8E">
        <w:t>its</w:t>
      </w:r>
      <w:r>
        <w:t xml:space="preserve"> likely litigation, the Company </w:t>
      </w:r>
      <w:r w:rsidR="00130F8E">
        <w:t>claim</w:t>
      </w:r>
      <w:r>
        <w:t>ed it would be disadvantageous</w:t>
      </w:r>
      <w:r w:rsidR="00130F8E">
        <w:t xml:space="preserve"> for it</w:t>
      </w:r>
      <w:r>
        <w:t xml:space="preserve"> to provide analysis materials to IRP stakeholders if those materials could then be used against the Company in litigation, specifically citing Sierra Club as such an adversarial party. The current status is that the Company </w:t>
      </w:r>
      <w:r w:rsidRPr="005000B0">
        <w:rPr>
          <w:u w:val="single"/>
        </w:rPr>
        <w:t>will not</w:t>
      </w:r>
      <w:r>
        <w:t xml:space="preserve"> model the most likely environmental retrofit requirements.</w:t>
      </w:r>
      <w:r w:rsidR="00871F1A">
        <w:t xml:space="preserve"> </w:t>
      </w:r>
      <w:r w:rsidR="00130F8E">
        <w:t xml:space="preserve">In short, PacifiCorp is withholding highly relevant analyses on grounds that it hopes to delay a final EPA rule. </w:t>
      </w:r>
    </w:p>
    <w:p w:rsidR="002B7DE6" w:rsidRDefault="002B7DE6" w:rsidP="002B7DE6">
      <w:pPr>
        <w:pStyle w:val="Heading2"/>
      </w:pPr>
      <w:r>
        <w:t>Class 2 DSM incremental purchases fall sharply, assuming steep price curve and exhaustion of economic potential</w:t>
      </w:r>
    </w:p>
    <w:p w:rsidR="002B7DE6" w:rsidRDefault="002B7DE6" w:rsidP="002B7DE6">
      <w:r>
        <w:t>PacifiCorp</w:t>
      </w:r>
      <w:r w:rsidR="009365F1">
        <w:t>’s</w:t>
      </w:r>
      <w:r>
        <w:t xml:space="preserve"> IRP is one of few electric system planning </w:t>
      </w:r>
      <w:r w:rsidR="009365F1">
        <w:t>effort</w:t>
      </w:r>
      <w:r>
        <w:t>s that allows demand-side measures (DSM) such as energy efficiency and demand-response to compete with supply-side resources in a system optimization model (in this case, System Optimizer). For “Class 2” DSM, broadly encompassing non-</w:t>
      </w:r>
      <w:proofErr w:type="spellStart"/>
      <w:r>
        <w:t>dispatchable</w:t>
      </w:r>
      <w:proofErr w:type="spellEnd"/>
      <w:r>
        <w:t xml:space="preserve"> energy efficiency, the Company established a series of DSM bundles, each with a total potential, achievable ramp rate, </w:t>
      </w:r>
      <w:proofErr w:type="spellStart"/>
      <w:r>
        <w:t>levelized</w:t>
      </w:r>
      <w:proofErr w:type="spellEnd"/>
      <w:r>
        <w:t xml:space="preserve"> cost, and lifetime. The System Optimizer model could choose cohorts of DSM bundles for each state in increments determined by the ramp rate and total potential, and lasting a particular lifetime.</w:t>
      </w:r>
    </w:p>
    <w:p w:rsidR="002B7DE6" w:rsidRDefault="002B7DE6" w:rsidP="002B7DE6">
      <w:r>
        <w:t xml:space="preserve">From a planning perspective, this mechanism has a distinct advantage in that rather than having to first derive avoidable costs and then determine the amount of EE that can be </w:t>
      </w:r>
      <w:proofErr w:type="gramStart"/>
      <w:r>
        <w:t>acquired,</w:t>
      </w:r>
      <w:proofErr w:type="gramEnd"/>
      <w:r>
        <w:t xml:space="preserve"> the Company can allow DSM purchases to vary dynamically with the parameters of a specific scenario.</w:t>
      </w:r>
    </w:p>
    <w:p w:rsidR="002B7DE6" w:rsidRDefault="002B7DE6" w:rsidP="002B7DE6">
      <w:r>
        <w:t xml:space="preserve">However, from a practical standpoint, this mechanism </w:t>
      </w:r>
      <w:r w:rsidR="009365F1">
        <w:t xml:space="preserve">yields </w:t>
      </w:r>
      <w:r>
        <w:t xml:space="preserve">questionable </w:t>
      </w:r>
      <w:r w:rsidR="009365F1">
        <w:t>results</w:t>
      </w:r>
      <w:r>
        <w:t xml:space="preserve">. The Company’s model ultimately selects a declining pathway of incremental energy efficiency investments: each year, the Company’s ability to obtain energy efficiency quickly decays from a high in 2013 to a low in 2032. This trend is completely antithetical to the steep and positive learning curve experienced by other states and utilities: few states would </w:t>
      </w:r>
      <w:r w:rsidR="009365F1">
        <w:t>claim</w:t>
      </w:r>
      <w:r w:rsidR="00871F1A">
        <w:t xml:space="preserve"> </w:t>
      </w:r>
      <w:r>
        <w:t>that they are currently at the peak of their energy efficiency investment potential, and that it will only decline from here.</w:t>
      </w:r>
    </w:p>
    <w:p w:rsidR="002B7DE6" w:rsidRPr="00773FE9" w:rsidRDefault="003F42C1" w:rsidP="002B7DE6">
      <w:r>
        <w:fldChar w:fldCharType="begin"/>
      </w:r>
      <w:r>
        <w:instrText xml:space="preserve"> REF _Ref364157804 \h  \* MERGEFORMAT </w:instrText>
      </w:r>
      <w:r>
        <w:fldChar w:fldCharType="separate"/>
      </w:r>
      <w:r w:rsidR="002B7DE6">
        <w:t>Figure 2</w:t>
      </w:r>
      <w:r>
        <w:fldChar w:fldCharType="end"/>
      </w:r>
      <w:r w:rsidR="002B7DE6">
        <w:t xml:space="preserve">, below, shows the incremental purchases of energy efficiency (Class 2 DSM) by state in C11-EG1 (reference commodity prices with stringent environmental regulations and an intact RPS). Aside from a steady increase in incremental DSM for Wyoming, all other states show rapid declines in incremental efficiency, with the steepest declines occurring in Utah, Washington, and Oregon. </w:t>
      </w:r>
    </w:p>
    <w:p w:rsidR="002B7DE6" w:rsidRDefault="002B7DE6" w:rsidP="002B7DE6">
      <w:pPr>
        <w:pStyle w:val="NoSpacing"/>
        <w:keepNext/>
        <w:spacing w:after="120"/>
      </w:pPr>
      <w:r w:rsidRPr="00773FE9">
        <w:rPr>
          <w:noProof/>
          <w:lang w:eastAsia="en-US"/>
        </w:rPr>
        <w:drawing>
          <wp:inline distT="0" distB="0" distL="0" distR="0" wp14:anchorId="050C2BAB" wp14:editId="3EF3E808">
            <wp:extent cx="4180315" cy="230083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82775" cy="2302184"/>
                    </a:xfrm>
                    <a:prstGeom prst="rect">
                      <a:avLst/>
                    </a:prstGeom>
                    <a:noFill/>
                    <a:ln>
                      <a:noFill/>
                    </a:ln>
                  </pic:spPr>
                </pic:pic>
              </a:graphicData>
            </a:graphic>
          </wp:inline>
        </w:drawing>
      </w:r>
    </w:p>
    <w:p w:rsidR="002B7DE6" w:rsidRPr="00773FE9" w:rsidRDefault="002B7DE6" w:rsidP="002B7DE6">
      <w:pPr>
        <w:pStyle w:val="Caption"/>
      </w:pPr>
      <w:bookmarkStart w:id="3" w:name="_Ref364157804"/>
      <w:proofErr w:type="gramStart"/>
      <w:r>
        <w:t xml:space="preserve">Figure </w:t>
      </w:r>
      <w:r w:rsidR="00606339">
        <w:fldChar w:fldCharType="begin"/>
      </w:r>
      <w:r>
        <w:instrText xml:space="preserve"> SEQ Figure \* ARABIC </w:instrText>
      </w:r>
      <w:r w:rsidR="00606339">
        <w:fldChar w:fldCharType="separate"/>
      </w:r>
      <w:r>
        <w:rPr>
          <w:noProof/>
        </w:rPr>
        <w:t>2</w:t>
      </w:r>
      <w:r w:rsidR="00606339">
        <w:fldChar w:fldCharType="end"/>
      </w:r>
      <w:bookmarkEnd w:id="3"/>
      <w:r>
        <w:t>.</w:t>
      </w:r>
      <w:proofErr w:type="gramEnd"/>
      <w:r>
        <w:t xml:space="preserve"> </w:t>
      </w:r>
      <w:proofErr w:type="gramStart"/>
      <w:r>
        <w:t>Energy efficiency (Class 2 DSM) incremental acquisition per year (i.e. new DSM) in C11-EG1, by state.</w:t>
      </w:r>
      <w:proofErr w:type="gramEnd"/>
    </w:p>
    <w:p w:rsidR="002B7DE6" w:rsidRDefault="002B7DE6" w:rsidP="002B7DE6">
      <w:r>
        <w:t xml:space="preserve">From a practical standpoint, this acquisition schedule results in a rapidly dropping incremental DSM pathway as a percentage of sales. In C11-EG1, the Company would expect to obtain about 0.7% of their annual sales from new energy efficiency in 2013. By 2022, the Company is down to 0.54% of annual energy sales. The fact that these numbers decline so quickly </w:t>
      </w:r>
      <w:r w:rsidR="009365F1">
        <w:t xml:space="preserve">shows </w:t>
      </w:r>
      <w:r>
        <w:t xml:space="preserve">that the Company </w:t>
      </w:r>
      <w:r w:rsidR="009365F1">
        <w:t xml:space="preserve">views itself </w:t>
      </w:r>
      <w:r>
        <w:t xml:space="preserve">at peak efficacy now, and cannot improve further. This </w:t>
      </w:r>
      <w:r w:rsidR="009365F1">
        <w:t>approach</w:t>
      </w:r>
      <w:r w:rsidR="00871F1A">
        <w:t xml:space="preserve"> </w:t>
      </w:r>
      <w:r>
        <w:t>is inconsistent with top performing utilities and states (as well as numerous established state targets around the country).</w:t>
      </w:r>
    </w:p>
    <w:p w:rsidR="002B7DE6" w:rsidRDefault="003F42C1" w:rsidP="002B7DE6">
      <w:r>
        <w:fldChar w:fldCharType="begin"/>
      </w:r>
      <w:r>
        <w:instrText xml:space="preserve"> REF _Ref364159102 \h  \* MERGEFORMAT </w:instrText>
      </w:r>
      <w:r>
        <w:fldChar w:fldCharType="separate"/>
      </w:r>
      <w:r w:rsidR="002B7DE6">
        <w:t>Figure 3</w:t>
      </w:r>
      <w:r>
        <w:fldChar w:fldCharType="end"/>
      </w:r>
      <w:r w:rsidR="002B7DE6">
        <w:t>, below, shows that the cost bundles rapidly fall off, but the low cost bundles fall out much more rapidly than the high cost bundles – i.e. PacifiCorp is indicating both some amount of cream-skimming (i.e. obtaining only low cost measures at the forefront, and attempting to pull in higher cost measures in out-years), and that once low-cost measures are exhausted, no new low cost measures will be found in the future. Again, this experience is not validated by states or utilities with long-established DSM records. Only a handful of utilities with high penetration of DSM have found costs increasing over time – and then only moderately. Most utilities with moderate to high penetrations of DSM have continued to find steady or even dropping costs of efficiency.</w:t>
      </w:r>
    </w:p>
    <w:p w:rsidR="002B7DE6" w:rsidRPr="008A2EE4" w:rsidRDefault="002B7DE6" w:rsidP="002B7DE6"/>
    <w:p w:rsidR="002B7DE6" w:rsidRDefault="002B7DE6" w:rsidP="002B7DE6">
      <w:pPr>
        <w:pStyle w:val="NoSpacing"/>
        <w:keepNext/>
        <w:spacing w:after="120"/>
      </w:pPr>
      <w:r w:rsidRPr="00EF0D05">
        <w:rPr>
          <w:noProof/>
          <w:lang w:eastAsia="en-US"/>
        </w:rPr>
        <w:drawing>
          <wp:inline distT="0" distB="0" distL="0" distR="0" wp14:anchorId="2E195B7E" wp14:editId="1DD7A96C">
            <wp:extent cx="4339087" cy="1892846"/>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39087" cy="1892846"/>
                    </a:xfrm>
                    <a:prstGeom prst="rect">
                      <a:avLst/>
                    </a:prstGeom>
                    <a:noFill/>
                    <a:ln>
                      <a:noFill/>
                    </a:ln>
                  </pic:spPr>
                </pic:pic>
              </a:graphicData>
            </a:graphic>
          </wp:inline>
        </w:drawing>
      </w:r>
    </w:p>
    <w:p w:rsidR="002B7DE6" w:rsidRPr="00773FE9" w:rsidRDefault="002B7DE6" w:rsidP="002B7DE6">
      <w:pPr>
        <w:pStyle w:val="Caption"/>
      </w:pPr>
      <w:bookmarkStart w:id="4" w:name="_Ref364159102"/>
      <w:proofErr w:type="gramStart"/>
      <w:r>
        <w:t xml:space="preserve">Figure </w:t>
      </w:r>
      <w:r w:rsidR="00606339">
        <w:fldChar w:fldCharType="begin"/>
      </w:r>
      <w:r>
        <w:instrText xml:space="preserve"> SEQ Figure \* ARABIC </w:instrText>
      </w:r>
      <w:r w:rsidR="00606339">
        <w:fldChar w:fldCharType="separate"/>
      </w:r>
      <w:r>
        <w:rPr>
          <w:noProof/>
        </w:rPr>
        <w:t>3</w:t>
      </w:r>
      <w:r w:rsidR="00606339">
        <w:fldChar w:fldCharType="end"/>
      </w:r>
      <w:bookmarkEnd w:id="4"/>
      <w:r>
        <w:t>.</w:t>
      </w:r>
      <w:proofErr w:type="gramEnd"/>
      <w:r>
        <w:t xml:space="preserve"> Utah energy efficiency (Class 2 DSM) incremental acquisition per year (i.e. new DSM) in C11-EG1, by bundle cost.</w:t>
      </w:r>
    </w:p>
    <w:p w:rsidR="002B7DE6" w:rsidRDefault="009365F1" w:rsidP="002B7DE6">
      <w:pPr>
        <w:pStyle w:val="Heading2"/>
      </w:pPr>
      <w:r>
        <w:t>The IRP’s</w:t>
      </w:r>
      <w:r w:rsidR="00871F1A">
        <w:t xml:space="preserve"> </w:t>
      </w:r>
      <w:r>
        <w:t>transmission model</w:t>
      </w:r>
      <w:r w:rsidR="00871F1A">
        <w:t xml:space="preserve"> </w:t>
      </w:r>
      <w:r w:rsidR="002B7DE6">
        <w:t xml:space="preserve">raises significant questions about </w:t>
      </w:r>
      <w:r>
        <w:t xml:space="preserve">the Company’s </w:t>
      </w:r>
      <w:r w:rsidR="002B7DE6">
        <w:t xml:space="preserve">System Optimizer and </w:t>
      </w:r>
      <w:proofErr w:type="spellStart"/>
      <w:r w:rsidR="002B7DE6">
        <w:t>PaR</w:t>
      </w:r>
      <w:proofErr w:type="spellEnd"/>
      <w:r w:rsidR="002B7DE6">
        <w:t xml:space="preserve"> results</w:t>
      </w:r>
      <w:r w:rsidR="00871F1A">
        <w:t>.</w:t>
      </w:r>
    </w:p>
    <w:p w:rsidR="002B7DE6" w:rsidRDefault="002B7DE6" w:rsidP="002B7DE6">
      <w:r>
        <w:t xml:space="preserve">In the 2013 IRP, PacifiCorp reviews the cost efficacy of building new transmission infrastructure through Wyoming and Idaho, and from Wyoming to central Utah. The Company proposes the use of a new tool, ancillary to the bulk of the IRP process, called the System Benefits Tool (SBT). The SBT, currently in draft form, is meant to capture incremental benefits associated with building new transmission that are otherwise not captured by the System Optimizer tool or </w:t>
      </w:r>
      <w:proofErr w:type="spellStart"/>
      <w:r>
        <w:t>PaR</w:t>
      </w:r>
      <w:proofErr w:type="spellEnd"/>
      <w:r>
        <w:t xml:space="preserve"> module. The SBT monetizes benefits such as reliability and loss improvements, the avoided capital costs of alternative reliability improvements, and potential benefits from wheeling power from other customers. In addition, the SBT</w:t>
      </w:r>
      <w:r w:rsidR="009365F1">
        <w:t xml:space="preserve"> ambiguously</w:t>
      </w:r>
      <w:r>
        <w:t xml:space="preserve"> attempts to capture the customer benefits from reduced outages resulting from transmission improvements, as well as the monetary value of regulatory penalties against the Company from transmission outages. To be clear, these customer and regulatory benefits cannot clearly be linked to costs incurred by the Company and imparted directly to their customers – PacifiCorp’s reliability is a public good, overseen and regulated by WECC </w:t>
      </w:r>
      <w:proofErr w:type="gramStart"/>
      <w:r>
        <w:t>rules,</w:t>
      </w:r>
      <w:proofErr w:type="gramEnd"/>
      <w:r>
        <w:t xml:space="preserve"> and impacting customers across the Western Interconnect. Strictly speaking, this cost/benefit is an externality – a type of cost not typically reviewed in</w:t>
      </w:r>
      <w:r w:rsidR="009365F1">
        <w:t xml:space="preserve"> other</w:t>
      </w:r>
      <w:r>
        <w:t xml:space="preserve"> PacifiCorp planning</w:t>
      </w:r>
      <w:r w:rsidR="009365F1">
        <w:t xml:space="preserve"> efforts</w:t>
      </w:r>
      <w:r>
        <w:t>.</w:t>
      </w:r>
    </w:p>
    <w:p w:rsidR="002B7DE6" w:rsidRDefault="002B7DE6" w:rsidP="002B7DE6">
      <w:r>
        <w:t xml:space="preserve">In </w:t>
      </w:r>
      <w:r w:rsidR="009365F1">
        <w:t>its</w:t>
      </w:r>
      <w:r>
        <w:t xml:space="preserve"> draft evaluation of Segment D (connecting Windstar to </w:t>
      </w:r>
      <w:proofErr w:type="spellStart"/>
      <w:r>
        <w:t>Populus</w:t>
      </w:r>
      <w:proofErr w:type="spellEnd"/>
      <w:r>
        <w:t xml:space="preserve">, or eastern Wyoming to a hub in Idaho), the Company finds approximately $500 million in benefits from production cost improvements alone (i.e. captured by System Optimizer or </w:t>
      </w:r>
      <w:proofErr w:type="spellStart"/>
      <w:r>
        <w:t>PaR</w:t>
      </w:r>
      <w:proofErr w:type="spellEnd"/>
      <w:r>
        <w:t>) and an additional $650 million in ancillary benefits not contemplated in the standard production cost model – almost 40% of which is due to the externality of customer and regulatory impacts from reduced outages. Ultimately, the Company’s draft SBT suggests that the monetary benefits of Segment D ($1</w:t>
      </w:r>
      <w:r w:rsidR="009365F1">
        <w:t>.</w:t>
      </w:r>
      <w:r>
        <w:t xml:space="preserve">1 </w:t>
      </w:r>
      <w:r w:rsidR="009365F1">
        <w:t>b</w:t>
      </w:r>
      <w:r>
        <w:t>illion) outweigh the cost of the segment ($934 million), and suggest that this value should inform their decision to build the segment.</w:t>
      </w:r>
    </w:p>
    <w:p w:rsidR="002B7DE6" w:rsidRDefault="002B7DE6" w:rsidP="002B7DE6">
      <w:pPr>
        <w:pStyle w:val="NoSpacing"/>
        <w:spacing w:after="120"/>
      </w:pPr>
      <w:r>
        <w:t>The SBT tool raises a number of important questions that require further review:</w:t>
      </w:r>
    </w:p>
    <w:p w:rsidR="002B7DE6" w:rsidRDefault="002B7DE6" w:rsidP="002B7DE6">
      <w:pPr>
        <w:pStyle w:val="NoSpacing"/>
        <w:numPr>
          <w:ilvl w:val="0"/>
          <w:numId w:val="50"/>
        </w:numPr>
        <w:spacing w:after="120"/>
      </w:pPr>
      <w:r>
        <w:t xml:space="preserve">Are results from System Optimizer tool or </w:t>
      </w:r>
      <w:proofErr w:type="spellStart"/>
      <w:r>
        <w:t>PaR</w:t>
      </w:r>
      <w:proofErr w:type="spellEnd"/>
      <w:r>
        <w:t xml:space="preserve"> sufficient to evaluate the cost efficacy of plans that have marginal differences of low hundreds of millions of dollars? If the SBT results s</w:t>
      </w:r>
      <w:r w:rsidR="009365F1">
        <w:t>how</w:t>
      </w:r>
      <w:r>
        <w:t xml:space="preserve"> that hundreds of millions of dollars in savings are generally not captured by the Company’s production cost model, what </w:t>
      </w:r>
      <w:r w:rsidR="009365F1">
        <w:t xml:space="preserve">impacts </w:t>
      </w:r>
      <w:r>
        <w:t xml:space="preserve">does this finding </w:t>
      </w:r>
      <w:r w:rsidR="009365F1">
        <w:t>have on</w:t>
      </w:r>
      <w:r w:rsidR="00871F1A">
        <w:t xml:space="preserve"> </w:t>
      </w:r>
      <w:r>
        <w:t xml:space="preserve">decisions </w:t>
      </w:r>
      <w:r w:rsidR="009365F1">
        <w:t>with</w:t>
      </w:r>
      <w:r w:rsidR="00871F1A">
        <w:t xml:space="preserve"> </w:t>
      </w:r>
      <w:r>
        <w:t>marginal benefits of tens to low hundreds of millions of dollars?</w:t>
      </w:r>
    </w:p>
    <w:p w:rsidR="002B7DE6" w:rsidRDefault="002B7DE6" w:rsidP="002B7DE6">
      <w:pPr>
        <w:pStyle w:val="NoSpacing"/>
        <w:numPr>
          <w:ilvl w:val="0"/>
          <w:numId w:val="50"/>
        </w:numPr>
        <w:spacing w:after="120"/>
      </w:pPr>
      <w:r>
        <w:t>If the presence or absence of a single transmission line is enough to swing marginal benefits by hundreds of millions of dollars, the impact of any given decision on transmission requirements (or avoidable transmission requirements) should be rigorously reviewed.</w:t>
      </w:r>
    </w:p>
    <w:p w:rsidR="002B7DE6" w:rsidRDefault="002B7DE6" w:rsidP="002B7DE6">
      <w:pPr>
        <w:pStyle w:val="NoSpacing"/>
        <w:numPr>
          <w:ilvl w:val="0"/>
          <w:numId w:val="50"/>
        </w:numPr>
        <w:spacing w:after="120"/>
      </w:pPr>
      <w:r>
        <w:t>If transmission can be justified on the basis of externalities (i.e. benefits not directly experienced by the Company or imparted directly to their customers), are there other decisions (such as</w:t>
      </w:r>
      <w:r w:rsidR="00871F1A">
        <w:t xml:space="preserve"> </w:t>
      </w:r>
      <w:r w:rsidR="009365F1">
        <w:t xml:space="preserve">coal plant </w:t>
      </w:r>
      <w:r>
        <w:t>retire/retrofit decisions) that require the examination of external costs and benefits as well?</w:t>
      </w:r>
    </w:p>
    <w:p w:rsidR="002B7DE6" w:rsidRDefault="002B7DE6" w:rsidP="002B7DE6">
      <w:pPr>
        <w:pStyle w:val="NoSpacing"/>
        <w:numPr>
          <w:ilvl w:val="0"/>
          <w:numId w:val="50"/>
        </w:numPr>
        <w:spacing w:after="120"/>
      </w:pPr>
      <w:r>
        <w:t>WECC rules and regulations govern reliability requirements f</w:t>
      </w:r>
      <w:r w:rsidR="00CC649D">
        <w:t>or</w:t>
      </w:r>
      <w:r>
        <w:t xml:space="preserve"> PacifiCorp – including a requirement to avoid circumstances that result in excessive customer outages. The firm rules and engineering studies conducted by WECC and affiliate utilities are a </w:t>
      </w:r>
      <w:r>
        <w:rPr>
          <w:i/>
        </w:rPr>
        <w:t>de facto</w:t>
      </w:r>
      <w:r>
        <w:t xml:space="preserve"> internalization of the benefits of reliability – i.e. PacifiCorp is required to obtain and maintain minimum reserve and operating margins, and buffer transmission to avoid outages. Attempting to internalize this cost (as an incremental benefit) in the SBT risks double-counting.</w:t>
      </w:r>
    </w:p>
    <w:p w:rsidR="002B7DE6" w:rsidRDefault="002B7DE6" w:rsidP="002B7DE6">
      <w:pPr>
        <w:pStyle w:val="Heading2"/>
      </w:pPr>
      <w:r>
        <w:t>New link with California ISO s</w:t>
      </w:r>
      <w:r w:rsidR="00CC649D">
        <w:t>hows</w:t>
      </w:r>
      <w:r>
        <w:t xml:space="preserve"> that flexible resources might have higher value in the future than </w:t>
      </w:r>
      <w:r w:rsidR="00CC649D">
        <w:t xml:space="preserve">disclosed </w:t>
      </w:r>
      <w:r>
        <w:t>in</w:t>
      </w:r>
      <w:r w:rsidR="00CC649D">
        <w:t xml:space="preserve"> the</w:t>
      </w:r>
      <w:r>
        <w:t xml:space="preserve"> IRP</w:t>
      </w:r>
      <w:r w:rsidR="00871F1A">
        <w:t>.</w:t>
      </w:r>
    </w:p>
    <w:p w:rsidR="002B7DE6" w:rsidRDefault="002B7DE6" w:rsidP="002B7DE6">
      <w:r>
        <w:t>On February 12, 2013, PacifiCorp announced a joint Memorandum of Understanding with</w:t>
      </w:r>
      <w:r w:rsidR="00CC649D">
        <w:t xml:space="preserve"> the</w:t>
      </w:r>
      <w:r>
        <w:t xml:space="preserve"> California Independent System Operator (ISO) to create an energy imbalance market – essentially an opportunity to trade in short increment time periods with CA ISO, in return for which the ISO would centrally dispatch PacifiCorp’s thermal resources. While the direct benefits (or r</w:t>
      </w:r>
      <w:r w:rsidR="00683112">
        <w:t>isks) to PacifiCorp customers are</w:t>
      </w:r>
      <w:r>
        <w:t xml:space="preserve"> </w:t>
      </w:r>
      <w:r w:rsidR="00CC649D">
        <w:t xml:space="preserve">still </w:t>
      </w:r>
      <w:r>
        <w:t xml:space="preserve">unclear, the prospect of PacifiCorp sharing resources with California raises a critical resource choice question: is there a higher value placed on flexible </w:t>
      </w:r>
      <w:proofErr w:type="spellStart"/>
      <w:r>
        <w:t>dispatchable</w:t>
      </w:r>
      <w:proofErr w:type="spellEnd"/>
      <w:r>
        <w:t xml:space="preserve"> resources in PacifiCorp once the Company is joined with CA ISO?</w:t>
      </w:r>
    </w:p>
    <w:p w:rsidR="002B7DE6" w:rsidRDefault="002B7DE6" w:rsidP="002B7DE6">
      <w:r>
        <w:t xml:space="preserve">California anticipates a </w:t>
      </w:r>
      <w:r w:rsidR="00CC649D">
        <w:t xml:space="preserve">huge </w:t>
      </w:r>
      <w:r>
        <w:t xml:space="preserve">renewable resource build out over the next two decades, with a large amount of new wind and solar resources expected to be interconnected over the next years. As such, CA ISO is actively deciding how to obtain sufficient amounts of flexible generation that can assist with the integration of large amounts of renewable energy. It is widely expected that flexible resources (i.e. generation that can ramp quickly on demand) will have a very high value to California, while inflexible generation (i.e. </w:t>
      </w:r>
      <w:proofErr w:type="spellStart"/>
      <w:r>
        <w:t>baseload</w:t>
      </w:r>
      <w:proofErr w:type="spellEnd"/>
      <w:r>
        <w:t xml:space="preserve"> units) will have a much lower value.</w:t>
      </w:r>
    </w:p>
    <w:p w:rsidR="00CC649D" w:rsidRDefault="002B7DE6" w:rsidP="006D4A3C">
      <w:r>
        <w:t xml:space="preserve">If PacifiCorp expects to harness monetary value from California’s demand for flexible generation, this value should be built into the </w:t>
      </w:r>
      <w:r w:rsidR="00CC649D">
        <w:t xml:space="preserve">Company’s </w:t>
      </w:r>
      <w:r>
        <w:t>resource choices. In the same way that the ability to sell pollution credits, RECs, or excess energy</w:t>
      </w:r>
      <w:r w:rsidR="00CC649D">
        <w:t xml:space="preserve"> that</w:t>
      </w:r>
      <w:r>
        <w:t xml:space="preserve"> benefits the Company’s customers, the ability to sell ancillary services will also benefit the Company’s customers – and in California, flexible generation may have distinct value.</w:t>
      </w:r>
      <w:r w:rsidR="00871F1A">
        <w:t xml:space="preserve"> </w:t>
      </w:r>
    </w:p>
    <w:p w:rsidR="006D4A3C" w:rsidRDefault="00C04373" w:rsidP="006D4A3C">
      <w:pPr>
        <w:pStyle w:val="Heading2"/>
      </w:pPr>
      <w:r>
        <w:t>Conclusion</w:t>
      </w:r>
    </w:p>
    <w:p w:rsidR="00852CE1" w:rsidRDefault="00852CE1" w:rsidP="006D4A3C">
      <w:r>
        <w:t>PacifiCorp’s 2013 IRP shows measurable improvement</w:t>
      </w:r>
      <w:r w:rsidR="002944BF">
        <w:t xml:space="preserve"> in rigor and transparency over its</w:t>
      </w:r>
      <w:r>
        <w:t xml:space="preserve"> 2011</w:t>
      </w:r>
      <w:r w:rsidR="002944BF">
        <w:t xml:space="preserve"> planning document</w:t>
      </w:r>
      <w:r>
        <w:t xml:space="preserve">.  However, given </w:t>
      </w:r>
      <w:r w:rsidR="002944BF">
        <w:t>that a reasonable set of</w:t>
      </w:r>
      <w:r w:rsidR="006C3B7C">
        <w:t xml:space="preserve"> modeled</w:t>
      </w:r>
      <w:r w:rsidR="002944BF">
        <w:t xml:space="preserve"> commodity price parameters indicate</w:t>
      </w:r>
      <w:r w:rsidR="00945479">
        <w:t>s</w:t>
      </w:r>
      <w:r w:rsidR="002944BF">
        <w:t xml:space="preserve"> massive coal plant retirements, prudent planning requires additional analysis of the </w:t>
      </w:r>
      <w:r w:rsidR="006C3B7C">
        <w:t xml:space="preserve">risks associated with </w:t>
      </w:r>
      <w:r w:rsidR="00F22C81">
        <w:t>continued over-</w:t>
      </w:r>
      <w:r w:rsidR="006C3B7C">
        <w:t>reliance on</w:t>
      </w:r>
      <w:r w:rsidR="00F22C81">
        <w:t xml:space="preserve"> coal</w:t>
      </w:r>
      <w:r w:rsidR="00945479">
        <w:t>-fired</w:t>
      </w:r>
      <w:r w:rsidR="00F22C81">
        <w:t xml:space="preserve"> generation</w:t>
      </w:r>
      <w:r w:rsidR="002944BF">
        <w:t xml:space="preserve">.  Likewise, PacifiCorp must be more forthcoming </w:t>
      </w:r>
      <w:r w:rsidR="006C3B7C">
        <w:t xml:space="preserve">on the </w:t>
      </w:r>
      <w:r w:rsidR="002944BF">
        <w:t xml:space="preserve">risks </w:t>
      </w:r>
      <w:r w:rsidR="006C3B7C">
        <w:t>its coal units face complying with pollution control regulations.  We look forward to the October 3 public meeting with the expectation that PacifiCorp will provide further explanation</w:t>
      </w:r>
      <w:r w:rsidR="00F22C81">
        <w:t xml:space="preserve"> of the issues described herein.</w:t>
      </w:r>
      <w:bookmarkStart w:id="5" w:name="_GoBack"/>
      <w:bookmarkEnd w:id="5"/>
    </w:p>
    <w:p w:rsidR="006D4A3C" w:rsidRPr="001828D7" w:rsidRDefault="006D4A3C" w:rsidP="006D4A3C"/>
    <w:bookmarkEnd w:id="0"/>
    <w:p w:rsidR="00A91D88" w:rsidRPr="00F013E3" w:rsidRDefault="00A91D88" w:rsidP="002B7DE6"/>
    <w:sectPr w:rsidR="00A91D88" w:rsidRPr="00F013E3" w:rsidSect="00B008D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B2B" w:rsidRDefault="00F02B2B" w:rsidP="005430F6">
      <w:r>
        <w:separator/>
      </w:r>
    </w:p>
    <w:p w:rsidR="00F02B2B" w:rsidRDefault="00F02B2B" w:rsidP="005430F6"/>
    <w:p w:rsidR="00F02B2B" w:rsidRDefault="00F02B2B" w:rsidP="005430F6"/>
  </w:endnote>
  <w:endnote w:type="continuationSeparator" w:id="0">
    <w:p w:rsidR="00F02B2B" w:rsidRDefault="00F02B2B" w:rsidP="005430F6">
      <w:r>
        <w:continuationSeparator/>
      </w:r>
    </w:p>
    <w:p w:rsidR="00F02B2B" w:rsidRDefault="00F02B2B" w:rsidP="005430F6"/>
    <w:p w:rsidR="00F02B2B" w:rsidRDefault="00F02B2B" w:rsidP="00543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2C1" w:rsidRDefault="003F42C1" w:rsidP="005430F6">
    <w:pPr>
      <w:pStyle w:val="Footer"/>
    </w:pPr>
  </w:p>
  <w:p w:rsidR="003F42C1" w:rsidRDefault="003F42C1" w:rsidP="005430F6"/>
  <w:p w:rsidR="003F42C1" w:rsidRDefault="003F42C1" w:rsidP="005430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2C1" w:rsidRDefault="003F42C1" w:rsidP="0017367E">
    <w:pPr>
      <w:pStyle w:val="Footer"/>
      <w:tabs>
        <w:tab w:val="clear" w:pos="4680"/>
        <w:tab w:val="left" w:pos="9540"/>
      </w:tabs>
    </w:pPr>
    <w:r>
      <w:drawing>
        <wp:anchor distT="0" distB="0" distL="114300" distR="114300" simplePos="0" relativeHeight="251666432" behindDoc="0" locked="0" layoutInCell="1" allowOverlap="1" wp14:anchorId="0100B812" wp14:editId="13A22F42">
          <wp:simplePos x="0" y="0"/>
          <wp:positionH relativeFrom="column">
            <wp:posOffset>-274320</wp:posOffset>
          </wp:positionH>
          <wp:positionV relativeFrom="page">
            <wp:posOffset>9418320</wp:posOffset>
          </wp:positionV>
          <wp:extent cx="219456" cy="219456"/>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apse_small_rgb  (use in docs and on screen).jpg"/>
                  <pic:cNvPicPr/>
                </pic:nvPicPr>
                <pic:blipFill rotWithShape="1">
                  <a:blip r:embed="rId1" cstate="print">
                    <a:extLst>
                      <a:ext uri="{28A0092B-C50C-407E-A947-70E740481C1C}">
                        <a14:useLocalDpi xmlns:a14="http://schemas.microsoft.com/office/drawing/2010/main" val="0"/>
                      </a:ext>
                    </a:extLst>
                  </a:blip>
                  <a:srcRect r="63806"/>
                  <a:stretch/>
                </pic:blipFill>
                <pic:spPr bwMode="auto">
                  <a:xfrm>
                    <a:off x="0" y="0"/>
                    <a:ext cx="219456" cy="219456"/>
                  </a:xfrm>
                  <a:prstGeom prst="rect">
                    <a:avLst/>
                  </a:prstGeom>
                  <a:ln>
                    <a:noFill/>
                  </a:ln>
                  <a:extLst>
                    <a:ext uri="{53640926-AAD7-44D8-BBD7-CCE9431645EC}">
                      <a14:shadowObscured xmlns:a14="http://schemas.microsoft.com/office/drawing/2010/main"/>
                    </a:ext>
                  </a:extLst>
                </pic:spPr>
              </pic:pic>
            </a:graphicData>
          </a:graphic>
        </wp:anchor>
      </w:drawing>
    </w:r>
    <w:r>
      <w:t>Synapse Energy Economics,</w:t>
    </w:r>
    <w:r w:rsidRPr="00A07D24">
      <w:t xml:space="preserve"> Inc.</w:t>
    </w:r>
    <w:r w:rsidRPr="00F25219">
      <w:tab/>
    </w:r>
    <w:sdt>
      <w:sdtPr>
        <w:rPr>
          <w:highlight w:val="green"/>
        </w:rPr>
        <w:id w:val="385230612"/>
        <w:docPartObj>
          <w:docPartGallery w:val="Page Numbers (Bottom of Page)"/>
          <w:docPartUnique/>
        </w:docPartObj>
      </w:sdtPr>
      <w:sdtEndPr>
        <w:rPr>
          <w:highlight w:val="none"/>
        </w:rPr>
      </w:sdtEndPr>
      <w:sdtContent>
        <w:sdt>
          <w:sdtPr>
            <w:rPr>
              <w:highlight w:val="green"/>
            </w:rPr>
            <w:id w:val="1969782689"/>
            <w:docPartObj>
              <w:docPartGallery w:val="Page Numbers (Bottom of Page)"/>
              <w:docPartUnique/>
            </w:docPartObj>
          </w:sdtPr>
          <w:sdtEndPr>
            <w:rPr>
              <w:highlight w:val="none"/>
            </w:rPr>
          </w:sdtEndPr>
          <w:sdtContent>
            <w:r>
              <w:rPr>
                <w:i/>
              </w:rPr>
              <w:t>Sierra Club Comments on PacifiCorp 2013 IRP</w:t>
            </w:r>
            <w:r w:rsidR="00871F1A">
              <w:rPr>
                <w:i/>
              </w:rPr>
              <w:t xml:space="preserve">  </w:t>
            </w:r>
            <w:r w:rsidRPr="00861CD8">
              <w:tab/>
            </w:r>
            <w:r w:rsidRPr="00861CD8">
              <w:rPr>
                <w:rFonts w:cs="Arial"/>
              </w:rPr>
              <w:fldChar w:fldCharType="begin"/>
            </w:r>
            <w:r w:rsidRPr="00861CD8">
              <w:rPr>
                <w:rFonts w:cs="Arial"/>
              </w:rPr>
              <w:instrText xml:space="preserve"> PAGE   \* MERGEFORMAT </w:instrText>
            </w:r>
            <w:r w:rsidRPr="00861CD8">
              <w:rPr>
                <w:rFonts w:cs="Arial"/>
              </w:rPr>
              <w:fldChar w:fldCharType="separate"/>
            </w:r>
            <w:r w:rsidR="00945479">
              <w:rPr>
                <w:rFonts w:cs="Arial"/>
              </w:rPr>
              <w:t>15</w:t>
            </w:r>
            <w:r w:rsidRPr="00861CD8">
              <w:rPr>
                <w:rFonts w:cs="Arial"/>
              </w:rPr>
              <w:fldChar w:fldCharType="end"/>
            </w:r>
          </w:sdtContent>
        </w:sdt>
        <w: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2C1" w:rsidRDefault="003F42C1" w:rsidP="00DB448F">
    <w:pPr>
      <w:tabs>
        <w:tab w:val="left" w:pos="5760"/>
      </w:tabs>
      <w:autoSpaceDE w:val="0"/>
      <w:autoSpaceDN w:val="0"/>
      <w:adjustRightInd w:val="0"/>
      <w:spacing w:after="0" w:line="320" w:lineRule="exact"/>
      <w:ind w:right="-360"/>
      <w:rPr>
        <w:rFonts w:cs="Calibri"/>
        <w:noProof/>
        <w:color w:val="555555"/>
      </w:rPr>
    </w:pPr>
    <w:r>
      <w:rPr>
        <w:noProof/>
      </w:rPr>
      <w:drawing>
        <wp:anchor distT="0" distB="0" distL="114300" distR="114300" simplePos="0" relativeHeight="251664384" behindDoc="0" locked="0" layoutInCell="1" allowOverlap="1" wp14:anchorId="3E1715D8" wp14:editId="16ADDE8E">
          <wp:simplePos x="0" y="0"/>
          <wp:positionH relativeFrom="column">
            <wp:posOffset>3657600</wp:posOffset>
          </wp:positionH>
          <wp:positionV relativeFrom="page">
            <wp:posOffset>7292340</wp:posOffset>
          </wp:positionV>
          <wp:extent cx="2042588" cy="7315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apse_small_rgb  (use in docs and on sc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2588" cy="731520"/>
                  </a:xfrm>
                  <a:prstGeom prst="rect">
                    <a:avLst/>
                  </a:prstGeom>
                </pic:spPr>
              </pic:pic>
            </a:graphicData>
          </a:graphic>
        </wp:anchor>
      </w:drawing>
    </w:r>
  </w:p>
  <w:p w:rsidR="003F42C1" w:rsidRDefault="003F42C1" w:rsidP="006F0579">
    <w:pPr>
      <w:autoSpaceDE w:val="0"/>
      <w:autoSpaceDN w:val="0"/>
      <w:adjustRightInd w:val="0"/>
      <w:spacing w:after="0" w:line="320" w:lineRule="exact"/>
      <w:ind w:left="5670" w:right="-360"/>
      <w:rPr>
        <w:rFonts w:cs="Calibri"/>
        <w:noProof/>
        <w:color w:val="555555"/>
      </w:rPr>
    </w:pPr>
  </w:p>
  <w:p w:rsidR="003F42C1" w:rsidRDefault="003F42C1" w:rsidP="006F0579">
    <w:pPr>
      <w:autoSpaceDE w:val="0"/>
      <w:autoSpaceDN w:val="0"/>
      <w:adjustRightInd w:val="0"/>
      <w:spacing w:after="0" w:line="320" w:lineRule="exact"/>
      <w:ind w:left="5670" w:right="-360"/>
      <w:rPr>
        <w:rFonts w:cs="Calibri"/>
        <w:noProof/>
        <w:color w:val="555555"/>
      </w:rPr>
    </w:pPr>
  </w:p>
  <w:p w:rsidR="003F42C1" w:rsidRPr="00DB448F" w:rsidRDefault="003F42C1" w:rsidP="0037356A">
    <w:pPr>
      <w:autoSpaceDE w:val="0"/>
      <w:autoSpaceDN w:val="0"/>
      <w:adjustRightInd w:val="0"/>
      <w:spacing w:after="0" w:line="320" w:lineRule="exact"/>
      <w:ind w:right="-360"/>
      <w:rPr>
        <w:rFonts w:cs="Calibri"/>
        <w:color w:val="555555"/>
      </w:rPr>
    </w:pPr>
  </w:p>
  <w:p w:rsidR="003F42C1" w:rsidRPr="00DB448F" w:rsidRDefault="003F42C1" w:rsidP="00DB448F">
    <w:pPr>
      <w:autoSpaceDE w:val="0"/>
      <w:autoSpaceDN w:val="0"/>
      <w:adjustRightInd w:val="0"/>
      <w:spacing w:after="0" w:line="240" w:lineRule="auto"/>
      <w:ind w:left="5760" w:right="-360"/>
      <w:rPr>
        <w:rFonts w:cs="Calibri"/>
        <w:color w:val="555555"/>
        <w:sz w:val="18"/>
      </w:rPr>
    </w:pPr>
  </w:p>
  <w:p w:rsidR="003F42C1" w:rsidRPr="000C543A" w:rsidRDefault="003F42C1" w:rsidP="00DB448F">
    <w:pPr>
      <w:autoSpaceDE w:val="0"/>
      <w:autoSpaceDN w:val="0"/>
      <w:adjustRightInd w:val="0"/>
      <w:spacing w:after="0" w:line="320" w:lineRule="exact"/>
      <w:ind w:left="5760" w:right="-360"/>
      <w:rPr>
        <w:rFonts w:cs="Calibri"/>
        <w:color w:val="555555"/>
      </w:rPr>
    </w:pPr>
    <w:r w:rsidRPr="000C543A">
      <w:rPr>
        <w:rFonts w:cs="Calibri"/>
        <w:color w:val="555555"/>
      </w:rPr>
      <w:t>485 Massachusetts Avenue, Suite 2 Cambridge, Massachusetts 02139</w:t>
    </w:r>
  </w:p>
  <w:p w:rsidR="003F42C1" w:rsidRPr="00D53C20" w:rsidRDefault="003F42C1" w:rsidP="00DB448F">
    <w:pPr>
      <w:autoSpaceDE w:val="0"/>
      <w:autoSpaceDN w:val="0"/>
      <w:adjustRightInd w:val="0"/>
      <w:spacing w:after="0" w:line="240" w:lineRule="auto"/>
      <w:ind w:left="5760" w:right="-360"/>
      <w:rPr>
        <w:rFonts w:cs="Calibri"/>
        <w:color w:val="555555"/>
        <w:sz w:val="18"/>
      </w:rPr>
    </w:pPr>
  </w:p>
  <w:p w:rsidR="003F42C1" w:rsidRDefault="003F42C1" w:rsidP="00DB448F">
    <w:pPr>
      <w:pStyle w:val="Header"/>
      <w:tabs>
        <w:tab w:val="clear" w:pos="4680"/>
      </w:tabs>
      <w:spacing w:line="320" w:lineRule="exact"/>
      <w:ind w:left="5760" w:right="-360"/>
      <w:rPr>
        <w:rFonts w:cs="Calibri"/>
        <w:color w:val="555555"/>
      </w:rPr>
    </w:pPr>
    <w:r>
      <w:rPr>
        <w:noProof/>
      </w:rPr>
      <mc:AlternateContent>
        <mc:Choice Requires="wps">
          <w:drawing>
            <wp:anchor distT="4294967295" distB="4294967295" distL="114300" distR="114300" simplePos="0" relativeHeight="251661312" behindDoc="1" locked="1" layoutInCell="1" allowOverlap="1" wp14:anchorId="273FB452" wp14:editId="51F5733F">
              <wp:simplePos x="0" y="0"/>
              <wp:positionH relativeFrom="column">
                <wp:posOffset>-228600</wp:posOffset>
              </wp:positionH>
              <wp:positionV relativeFrom="page">
                <wp:posOffset>9170034</wp:posOffset>
              </wp:positionV>
              <wp:extent cx="6428105" cy="0"/>
              <wp:effectExtent l="0" t="0" r="10795"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28105" cy="0"/>
                      </a:xfrm>
                      <a:prstGeom prst="line">
                        <a:avLst/>
                      </a:prstGeom>
                      <a:ln w="25400">
                        <a:solidFill>
                          <a:srgbClr val="EEB11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18pt,722.05pt" to="488.15pt,7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" strokecolor="#eeb111" strokeweight="2pt">
              <o:lock v:ext="edit" shapetype="f"/>
              <w10:wrap type="topAndBottom" anchory="page"/>
              <w10:anchorlock/>
            </v:line>
          </w:pict>
        </mc:Fallback>
      </mc:AlternateContent>
    </w:r>
    <w:r w:rsidRPr="000C543A">
      <w:rPr>
        <w:rFonts w:cs="Calibri"/>
        <w:color w:val="555555"/>
      </w:rPr>
      <w:t xml:space="preserve">617.661.3248 | </w:t>
    </w:r>
    <w:hyperlink r:id="rId2" w:history="1">
      <w:r w:rsidRPr="000C543A">
        <w:rPr>
          <w:rFonts w:cs="Calibri"/>
          <w:color w:val="555555"/>
        </w:rPr>
        <w:t>www.synapse-energy.com</w:t>
      </w:r>
    </w:hyperlink>
  </w:p>
  <w:p w:rsidR="003F42C1" w:rsidRDefault="003F42C1" w:rsidP="00DB448F">
    <w:pPr>
      <w:pStyle w:val="Header"/>
      <w:tabs>
        <w:tab w:val="clear" w:pos="4680"/>
      </w:tabs>
      <w:spacing w:line="320" w:lineRule="exact"/>
      <w:ind w:left="5760" w:right="-360"/>
      <w:rPr>
        <w:rFonts w:cs="Calibri"/>
        <w:color w:val="555555"/>
      </w:rPr>
    </w:pPr>
  </w:p>
  <w:p w:rsidR="003F42C1" w:rsidRPr="000C543A" w:rsidRDefault="003F42C1" w:rsidP="00DB448F">
    <w:pPr>
      <w:pStyle w:val="Header"/>
      <w:tabs>
        <w:tab w:val="clear" w:pos="4680"/>
      </w:tabs>
      <w:spacing w:line="320" w:lineRule="exact"/>
      <w:ind w:left="5760" w:right="-360"/>
      <w:rPr>
        <w:rFonts w:cs="Calibri"/>
        <w:color w:val="555555"/>
      </w:rPr>
    </w:pPr>
  </w:p>
  <w:p w:rsidR="003F42C1" w:rsidRDefault="003F42C1" w:rsidP="006F0579">
    <w:pPr>
      <w:pStyle w:val="Header"/>
      <w:tabs>
        <w:tab w:val="clear" w:pos="4680"/>
      </w:tabs>
      <w:spacing w:line="320" w:lineRule="exact"/>
      <w:ind w:left="5670" w:right="-360"/>
      <w:rPr>
        <w:rFonts w:cs="Calibri"/>
        <w:color w:val="55555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2C1" w:rsidRPr="00D26961" w:rsidRDefault="00B008D3" w:rsidP="00B008D3">
    <w:pPr>
      <w:pStyle w:val="Footer"/>
      <w:tabs>
        <w:tab w:val="clear" w:pos="4680"/>
        <w:tab w:val="left" w:pos="9540"/>
      </w:tabs>
    </w:pPr>
    <w:r>
      <w:drawing>
        <wp:anchor distT="0" distB="0" distL="114300" distR="114300" simplePos="0" relativeHeight="251668480" behindDoc="0" locked="0" layoutInCell="1" allowOverlap="1" wp14:anchorId="649AAF09" wp14:editId="1D39E0EF">
          <wp:simplePos x="0" y="0"/>
          <wp:positionH relativeFrom="column">
            <wp:posOffset>-274320</wp:posOffset>
          </wp:positionH>
          <wp:positionV relativeFrom="page">
            <wp:posOffset>9418320</wp:posOffset>
          </wp:positionV>
          <wp:extent cx="219456" cy="219456"/>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apse_small_rgb  (use in docs and on screen).jpg"/>
                  <pic:cNvPicPr/>
                </pic:nvPicPr>
                <pic:blipFill rotWithShape="1">
                  <a:blip r:embed="rId1" cstate="print">
                    <a:extLst>
                      <a:ext uri="{28A0092B-C50C-407E-A947-70E740481C1C}">
                        <a14:useLocalDpi xmlns:a14="http://schemas.microsoft.com/office/drawing/2010/main" val="0"/>
                      </a:ext>
                    </a:extLst>
                  </a:blip>
                  <a:srcRect r="63806"/>
                  <a:stretch/>
                </pic:blipFill>
                <pic:spPr bwMode="auto">
                  <a:xfrm>
                    <a:off x="0" y="0"/>
                    <a:ext cx="219456" cy="219456"/>
                  </a:xfrm>
                  <a:prstGeom prst="rect">
                    <a:avLst/>
                  </a:prstGeom>
                  <a:ln>
                    <a:noFill/>
                  </a:ln>
                  <a:extLst>
                    <a:ext uri="{53640926-AAD7-44D8-BBD7-CCE9431645EC}">
                      <a14:shadowObscured xmlns:a14="http://schemas.microsoft.com/office/drawing/2010/main"/>
                    </a:ext>
                  </a:extLst>
                </pic:spPr>
              </pic:pic>
            </a:graphicData>
          </a:graphic>
        </wp:anchor>
      </w:drawing>
    </w:r>
    <w:r>
      <w:t>Synapse Energy Economics,</w:t>
    </w:r>
    <w:r w:rsidRPr="00A07D24">
      <w:t xml:space="preserve"> Inc.</w:t>
    </w:r>
    <w:r w:rsidRPr="00F25219">
      <w:tab/>
    </w:r>
    <w:sdt>
      <w:sdtPr>
        <w:rPr>
          <w:highlight w:val="green"/>
        </w:rPr>
        <w:id w:val="684870813"/>
        <w:docPartObj>
          <w:docPartGallery w:val="Page Numbers (Bottom of Page)"/>
          <w:docPartUnique/>
        </w:docPartObj>
      </w:sdtPr>
      <w:sdtEndPr>
        <w:rPr>
          <w:highlight w:val="none"/>
        </w:rPr>
      </w:sdtEndPr>
      <w:sdtContent>
        <w:sdt>
          <w:sdtPr>
            <w:rPr>
              <w:highlight w:val="green"/>
            </w:rPr>
            <w:id w:val="1938867500"/>
            <w:docPartObj>
              <w:docPartGallery w:val="Page Numbers (Bottom of Page)"/>
              <w:docPartUnique/>
            </w:docPartObj>
          </w:sdtPr>
          <w:sdtEndPr>
            <w:rPr>
              <w:highlight w:val="none"/>
            </w:rPr>
          </w:sdtEndPr>
          <w:sdtContent>
            <w:r>
              <w:rPr>
                <w:i/>
              </w:rPr>
              <w:t xml:space="preserve">Sierra Club Comments on PacifiCorp 2013 IRP  </w:t>
            </w:r>
            <w:r w:rsidRPr="00861CD8">
              <w:tab/>
            </w:r>
            <w:r w:rsidRPr="00861CD8">
              <w:rPr>
                <w:rFonts w:cs="Arial"/>
              </w:rPr>
              <w:fldChar w:fldCharType="begin"/>
            </w:r>
            <w:r w:rsidRPr="00861CD8">
              <w:rPr>
                <w:rFonts w:cs="Arial"/>
              </w:rPr>
              <w:instrText xml:space="preserve"> PAGE   \* MERGEFORMAT </w:instrText>
            </w:r>
            <w:r w:rsidRPr="00861CD8">
              <w:rPr>
                <w:rFonts w:cs="Arial"/>
              </w:rPr>
              <w:fldChar w:fldCharType="separate"/>
            </w:r>
            <w:r w:rsidR="00945479">
              <w:rPr>
                <w:rFonts w:cs="Arial"/>
              </w:rPr>
              <w:t>1</w:t>
            </w:r>
            <w:r w:rsidRPr="00861CD8">
              <w:rPr>
                <w:rFonts w:cs="Arial"/>
              </w:rPr>
              <w:fldChar w:fldCharType="end"/>
            </w:r>
          </w:sdtContent>
        </w:sdt>
        <w: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B2B" w:rsidRDefault="00F02B2B" w:rsidP="00D330DC">
      <w:pPr>
        <w:spacing w:before="240" w:after="60"/>
      </w:pPr>
      <w:r>
        <w:separator/>
      </w:r>
    </w:p>
  </w:footnote>
  <w:footnote w:type="continuationSeparator" w:id="0">
    <w:p w:rsidR="00F02B2B" w:rsidRDefault="00F02B2B" w:rsidP="005430F6">
      <w:r>
        <w:continuationSeparator/>
      </w:r>
    </w:p>
    <w:p w:rsidR="00F02B2B" w:rsidRDefault="00F02B2B" w:rsidP="005430F6"/>
    <w:p w:rsidR="00F02B2B" w:rsidRDefault="00F02B2B" w:rsidP="005430F6"/>
  </w:footnote>
  <w:footnote w:id="1">
    <w:p w:rsidR="003F42C1" w:rsidRDefault="003F42C1" w:rsidP="002B7DE6">
      <w:pPr>
        <w:pStyle w:val="FootnoteText"/>
      </w:pPr>
      <w:r>
        <w:rPr>
          <w:rStyle w:val="FootnoteReference"/>
        </w:rPr>
        <w:footnoteRef/>
      </w:r>
      <w:r>
        <w:t xml:space="preserve"> Although</w:t>
      </w:r>
      <w:r w:rsidR="00683112">
        <w:t>, this pricing is</w:t>
      </w:r>
      <w:r>
        <w:t xml:space="preserve"> below those expected by analysts and traders in the next few years, and about a dollar below the most recent Federal estimate from the Energy Information Administration (EIA) AEO 2013 report.</w:t>
      </w:r>
    </w:p>
  </w:footnote>
  <w:footnote w:id="2">
    <w:p w:rsidR="003F42C1" w:rsidRDefault="003F42C1" w:rsidP="002B7DE6">
      <w:pPr>
        <w:pStyle w:val="FootnoteText"/>
      </w:pPr>
      <w:r>
        <w:rPr>
          <w:rStyle w:val="FootnoteReference"/>
        </w:rPr>
        <w:footnoteRef/>
      </w:r>
      <w:r>
        <w:t xml:space="preserve"> See US EPA: The Social Cost of Carbon. </w:t>
      </w:r>
      <w:r w:rsidRPr="00EA78BC">
        <w:t>http://www.epa.gov/climatechange/EPAactivities/economics/scc.html</w:t>
      </w:r>
    </w:p>
  </w:footnote>
  <w:footnote w:id="3">
    <w:p w:rsidR="003F42C1" w:rsidRDefault="003F42C1" w:rsidP="002B7DE6">
      <w:pPr>
        <w:pStyle w:val="FootnoteText"/>
      </w:pPr>
      <w:r>
        <w:rPr>
          <w:rStyle w:val="FootnoteReference"/>
        </w:rPr>
        <w:footnoteRef/>
      </w:r>
      <w:r>
        <w:t xml:space="preserve"> </w:t>
      </w:r>
      <w:r w:rsidRPr="003B23C8">
        <w:t>From a coal asset evaluation perspective, running mid gas/low CO</w:t>
      </w:r>
      <w:r w:rsidRPr="003B23C8">
        <w:rPr>
          <w:vertAlign w:val="subscript"/>
        </w:rPr>
        <w:t>2</w:t>
      </w:r>
      <w:r w:rsidRPr="003B23C8">
        <w:t xml:space="preserve"> or high gas/mid CO</w:t>
      </w:r>
      <w:r w:rsidRPr="003B23C8">
        <w:rPr>
          <w:vertAlign w:val="subscript"/>
        </w:rPr>
        <w:t xml:space="preserve">2 </w:t>
      </w:r>
      <w:r w:rsidRPr="003B23C8">
        <w:t>scenarios are not additionally illustrative.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2C1" w:rsidRDefault="003F42C1" w:rsidP="005430F6"/>
  <w:p w:rsidR="003F42C1" w:rsidRDefault="003F42C1" w:rsidP="005430F6"/>
  <w:p w:rsidR="003F42C1" w:rsidRDefault="003F42C1" w:rsidP="005430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8D3" w:rsidRDefault="00B008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2C1" w:rsidRDefault="003F42C1" w:rsidP="00445F8E">
    <w:pPr>
      <w:pStyle w:val="Header"/>
      <w:tabs>
        <w:tab w:val="clear" w:pos="9360"/>
      </w:tabs>
      <w:ind w:right="-360"/>
    </w:pPr>
    <w:r>
      <w:rPr>
        <w:noProof/>
      </w:rPr>
      <mc:AlternateContent>
        <mc:Choice Requires="wps">
          <w:drawing>
            <wp:anchor distT="4294967295" distB="4294967295" distL="114300" distR="114300" simplePos="0" relativeHeight="251659264" behindDoc="0" locked="0" layoutInCell="1" allowOverlap="1" wp14:anchorId="4FFBAA9A" wp14:editId="04CCC10F">
              <wp:simplePos x="0" y="0"/>
              <wp:positionH relativeFrom="column">
                <wp:posOffset>-228600</wp:posOffset>
              </wp:positionH>
              <wp:positionV relativeFrom="paragraph">
                <wp:posOffset>476884</wp:posOffset>
              </wp:positionV>
              <wp:extent cx="6423660" cy="0"/>
              <wp:effectExtent l="0" t="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23660" cy="0"/>
                      </a:xfrm>
                      <a:prstGeom prst="line">
                        <a:avLst/>
                      </a:prstGeom>
                      <a:ln w="25400">
                        <a:solidFill>
                          <a:srgbClr val="EEB11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7.55pt" to="487.8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" strokecolor="#eeb111" strokeweight="2pt">
              <o:lock v:ext="edit" shapetype="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2C1" w:rsidRPr="00D26961" w:rsidRDefault="003F42C1" w:rsidP="00D26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C53"/>
    <w:multiLevelType w:val="multilevel"/>
    <w:tmpl w:val="55B6C0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4EF0707"/>
    <w:multiLevelType w:val="multilevel"/>
    <w:tmpl w:val="80F8484C"/>
    <w:numStyleLink w:val="Headings"/>
  </w:abstractNum>
  <w:abstractNum w:abstractNumId="2">
    <w:nsid w:val="09886971"/>
    <w:multiLevelType w:val="hybridMultilevel"/>
    <w:tmpl w:val="6AAE0E60"/>
    <w:lvl w:ilvl="0" w:tplc="43846BEC">
      <w:start w:val="1"/>
      <w:numFmt w:val="bullet"/>
      <w:pStyle w:val="ListParagraph"/>
      <w:lvlText w:val=""/>
      <w:lvlJc w:val="left"/>
      <w:pPr>
        <w:ind w:left="1440" w:hanging="360"/>
      </w:pPr>
      <w:rPr>
        <w:rFonts w:ascii="Symbol" w:hAnsi="Symbol" w:hint="default"/>
      </w:rPr>
    </w:lvl>
    <w:lvl w:ilvl="1" w:tplc="063C87E0">
      <w:start w:val="1"/>
      <w:numFmt w:val="bullet"/>
      <w:lvlText w:val="-"/>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FD6B5A"/>
    <w:multiLevelType w:val="multilevel"/>
    <w:tmpl w:val="80F8484C"/>
    <w:numStyleLink w:val="Headings"/>
  </w:abstractNum>
  <w:abstractNum w:abstractNumId="4">
    <w:nsid w:val="118710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C56BF0"/>
    <w:multiLevelType w:val="hybridMultilevel"/>
    <w:tmpl w:val="641AB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40D9F"/>
    <w:multiLevelType w:val="multilevel"/>
    <w:tmpl w:val="80F8484C"/>
    <w:numStyleLink w:val="Headings"/>
  </w:abstractNum>
  <w:abstractNum w:abstractNumId="7">
    <w:nsid w:val="16810C31"/>
    <w:multiLevelType w:val="hybridMultilevel"/>
    <w:tmpl w:val="CEF4D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4E4D87"/>
    <w:multiLevelType w:val="multilevel"/>
    <w:tmpl w:val="BEAEBE3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9E104B5"/>
    <w:multiLevelType w:val="hybridMultilevel"/>
    <w:tmpl w:val="596AB80A"/>
    <w:lvl w:ilvl="0" w:tplc="0BBEC8BC">
      <w:start w:val="1"/>
      <w:numFmt w:val="bullet"/>
      <w:pStyle w:val="BulletList3"/>
      <w:lvlText w:val=""/>
      <w:lvlJc w:val="left"/>
      <w:pPr>
        <w:ind w:left="216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1A9F0AB2"/>
    <w:multiLevelType w:val="multilevel"/>
    <w:tmpl w:val="E4CE6810"/>
    <w:lvl w:ilvl="0">
      <w:start w:val="1"/>
      <w:numFmt w:val="decimal"/>
      <w:lvlText w:val="%1."/>
      <w:lvlJc w:val="left"/>
      <w:pPr>
        <w:ind w:left="360" w:hanging="360"/>
      </w:pPr>
      <w:rPr>
        <w:rFonts w:hint="default"/>
      </w:rPr>
    </w:lvl>
    <w:lvl w:ilvl="1">
      <w:start w:val="1"/>
      <w:numFmt w:val="decimal"/>
      <w:lvlRestart w:val="0"/>
      <w:lvlText w:val="%1.%2."/>
      <w:lvlJc w:val="left"/>
      <w:pPr>
        <w:ind w:left="43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ADD3796"/>
    <w:multiLevelType w:val="hybridMultilevel"/>
    <w:tmpl w:val="2B384A50"/>
    <w:lvl w:ilvl="0" w:tplc="599E7D78">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235450"/>
    <w:multiLevelType w:val="multilevel"/>
    <w:tmpl w:val="D2E08D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AA5200"/>
    <w:multiLevelType w:val="multilevel"/>
    <w:tmpl w:val="EA2059AA"/>
    <w:lvl w:ilvl="0">
      <w:start w:val="1"/>
      <w:numFmt w:val="decimal"/>
      <w:lvlText w:val="%1."/>
      <w:lvlJc w:val="left"/>
      <w:pPr>
        <w:ind w:left="360" w:hanging="360"/>
      </w:pPr>
      <w:rPr>
        <w:rFonts w:hint="default"/>
      </w:rPr>
    </w:lvl>
    <w:lvl w:ilvl="1">
      <w:start w:val="1"/>
      <w:numFmt w:val="decimal"/>
      <w:lvlRestart w:val="0"/>
      <w:lvlText w:val="%1.%2."/>
      <w:lvlJc w:val="left"/>
      <w:pPr>
        <w:ind w:left="43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81D0A4C"/>
    <w:multiLevelType w:val="hybridMultilevel"/>
    <w:tmpl w:val="7DEC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B1043A"/>
    <w:multiLevelType w:val="hybridMultilevel"/>
    <w:tmpl w:val="8B28036E"/>
    <w:lvl w:ilvl="0" w:tplc="E58CB1B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F368D0"/>
    <w:multiLevelType w:val="multilevel"/>
    <w:tmpl w:val="A75279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CC52FF"/>
    <w:multiLevelType w:val="hybridMultilevel"/>
    <w:tmpl w:val="E7A2B60E"/>
    <w:lvl w:ilvl="0" w:tplc="AC7CA07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79289C"/>
    <w:multiLevelType w:val="hybridMultilevel"/>
    <w:tmpl w:val="01D48D22"/>
    <w:lvl w:ilvl="0" w:tplc="AF143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AE2718"/>
    <w:multiLevelType w:val="hybridMultilevel"/>
    <w:tmpl w:val="CA18829E"/>
    <w:lvl w:ilvl="0" w:tplc="CCCC32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587433"/>
    <w:multiLevelType w:val="multilevel"/>
    <w:tmpl w:val="80F8484C"/>
    <w:numStyleLink w:val="Headings"/>
  </w:abstractNum>
  <w:abstractNum w:abstractNumId="21">
    <w:nsid w:val="46C11AF9"/>
    <w:multiLevelType w:val="multilevel"/>
    <w:tmpl w:val="042A1C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49366AAA"/>
    <w:multiLevelType w:val="multilevel"/>
    <w:tmpl w:val="80F8484C"/>
    <w:numStyleLink w:val="Headings"/>
  </w:abstractNum>
  <w:abstractNum w:abstractNumId="23">
    <w:nsid w:val="4A9029D5"/>
    <w:multiLevelType w:val="multilevel"/>
    <w:tmpl w:val="9E9C3E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4AB708D0"/>
    <w:multiLevelType w:val="multilevel"/>
    <w:tmpl w:val="80F8484C"/>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5">
    <w:nsid w:val="4D242D43"/>
    <w:multiLevelType w:val="hybridMultilevel"/>
    <w:tmpl w:val="FD9E3F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2B0963"/>
    <w:multiLevelType w:val="multilevel"/>
    <w:tmpl w:val="A75279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6EB41D2"/>
    <w:multiLevelType w:val="multilevel"/>
    <w:tmpl w:val="80F8484C"/>
    <w:numStyleLink w:val="Headings"/>
  </w:abstractNum>
  <w:abstractNum w:abstractNumId="28">
    <w:nsid w:val="5A291015"/>
    <w:multiLevelType w:val="multilevel"/>
    <w:tmpl w:val="CE9844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EC91CCC"/>
    <w:multiLevelType w:val="multilevel"/>
    <w:tmpl w:val="80F8484C"/>
    <w:numStyleLink w:val="Headings"/>
  </w:abstractNum>
  <w:abstractNum w:abstractNumId="30">
    <w:nsid w:val="639052EE"/>
    <w:multiLevelType w:val="multilevel"/>
    <w:tmpl w:val="80F8484C"/>
    <w:numStyleLink w:val="Headings"/>
  </w:abstractNum>
  <w:abstractNum w:abstractNumId="31">
    <w:nsid w:val="64B36310"/>
    <w:multiLevelType w:val="multilevel"/>
    <w:tmpl w:val="80F8484C"/>
    <w:numStyleLink w:val="Headings"/>
  </w:abstractNum>
  <w:abstractNum w:abstractNumId="32">
    <w:nsid w:val="65EA1A31"/>
    <w:multiLevelType w:val="hybridMultilevel"/>
    <w:tmpl w:val="5366D59C"/>
    <w:lvl w:ilvl="0" w:tplc="B7FA88BE">
      <w:start w:val="1"/>
      <w:numFmt w:val="bullet"/>
      <w:lvlText w:val=""/>
      <w:lvlJc w:val="left"/>
      <w:pPr>
        <w:ind w:left="1440" w:hanging="360"/>
      </w:pPr>
      <w:rPr>
        <w:rFonts w:ascii="Symbol" w:hAnsi="Symbol" w:hint="default"/>
      </w:rPr>
    </w:lvl>
    <w:lvl w:ilvl="1" w:tplc="6DC0C5DC">
      <w:start w:val="1"/>
      <w:numFmt w:val="bullet"/>
      <w:lvlText w:val="-"/>
      <w:lvlJc w:val="left"/>
      <w:pPr>
        <w:ind w:left="2160" w:hanging="360"/>
      </w:pPr>
      <w:rPr>
        <w:rFonts w:ascii="Courier New" w:hAnsi="Courier New" w:hint="default"/>
      </w:rPr>
    </w:lvl>
    <w:lvl w:ilvl="2" w:tplc="E16A49FA">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AA16C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9C5F1C"/>
    <w:multiLevelType w:val="hybridMultilevel"/>
    <w:tmpl w:val="DBA86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3D702A"/>
    <w:multiLevelType w:val="hybridMultilevel"/>
    <w:tmpl w:val="B25C10AC"/>
    <w:lvl w:ilvl="0" w:tplc="D728CA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0B31C8"/>
    <w:multiLevelType w:val="hybridMultilevel"/>
    <w:tmpl w:val="F68E4892"/>
    <w:lvl w:ilvl="0" w:tplc="03287CBE">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5267EE5"/>
    <w:multiLevelType w:val="multilevel"/>
    <w:tmpl w:val="A75279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DEC294C"/>
    <w:multiLevelType w:val="multilevel"/>
    <w:tmpl w:val="80F8484C"/>
    <w:numStyleLink w:val="Headings"/>
  </w:abstractNum>
  <w:abstractNum w:abstractNumId="39">
    <w:nsid w:val="7F313E1E"/>
    <w:multiLevelType w:val="hybridMultilevel"/>
    <w:tmpl w:val="76CE3B46"/>
    <w:lvl w:ilvl="0" w:tplc="694E2DEC">
      <w:start w:val="1"/>
      <w:numFmt w:val="bullet"/>
      <w:pStyle w:val="BulletList2"/>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5"/>
  </w:num>
  <w:num w:numId="11">
    <w:abstractNumId w:val="4"/>
  </w:num>
  <w:num w:numId="12">
    <w:abstractNumId w:val="12"/>
  </w:num>
  <w:num w:numId="13">
    <w:abstractNumId w:val="33"/>
  </w:num>
  <w:num w:numId="14">
    <w:abstractNumId w:val="21"/>
  </w:num>
  <w:num w:numId="15">
    <w:abstractNumId w:val="0"/>
  </w:num>
  <w:num w:numId="16">
    <w:abstractNumId w:val="18"/>
  </w:num>
  <w:num w:numId="17">
    <w:abstractNumId w:val="36"/>
  </w:num>
  <w:num w:numId="18">
    <w:abstractNumId w:val="32"/>
  </w:num>
  <w:num w:numId="19">
    <w:abstractNumId w:val="5"/>
  </w:num>
  <w:num w:numId="20">
    <w:abstractNumId w:val="25"/>
  </w:num>
  <w:num w:numId="21">
    <w:abstractNumId w:val="15"/>
  </w:num>
  <w:num w:numId="22">
    <w:abstractNumId w:val="9"/>
  </w:num>
  <w:num w:numId="23">
    <w:abstractNumId w:val="7"/>
  </w:num>
  <w:num w:numId="24">
    <w:abstractNumId w:val="37"/>
  </w:num>
  <w:num w:numId="25">
    <w:abstractNumId w:val="26"/>
  </w:num>
  <w:num w:numId="26">
    <w:abstractNumId w:val="16"/>
  </w:num>
  <w:num w:numId="27">
    <w:abstractNumId w:val="28"/>
  </w:num>
  <w:num w:numId="28">
    <w:abstractNumId w:val="23"/>
  </w:num>
  <w:num w:numId="29">
    <w:abstractNumId w:val="8"/>
  </w:num>
  <w:num w:numId="30">
    <w:abstractNumId w:val="2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7"/>
  </w:num>
  <w:num w:numId="34">
    <w:abstractNumId w:val="30"/>
  </w:num>
  <w:num w:numId="35">
    <w:abstractNumId w:val="1"/>
  </w:num>
  <w:num w:numId="36">
    <w:abstractNumId w:val="31"/>
  </w:num>
  <w:num w:numId="37">
    <w:abstractNumId w:val="13"/>
  </w:num>
  <w:num w:numId="38">
    <w:abstractNumId w:val="10"/>
  </w:num>
  <w:num w:numId="39">
    <w:abstractNumId w:val="20"/>
  </w:num>
  <w:num w:numId="40">
    <w:abstractNumId w:val="6"/>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29"/>
  </w:num>
  <w:num w:numId="44">
    <w:abstractNumId w:val="22"/>
  </w:num>
  <w:num w:numId="45">
    <w:abstractNumId w:val="38"/>
  </w:num>
  <w:num w:numId="46">
    <w:abstractNumId w:val="14"/>
  </w:num>
  <w:num w:numId="47">
    <w:abstractNumId w:val="39"/>
  </w:num>
  <w:num w:numId="48">
    <w:abstractNumId w:val="11"/>
  </w:num>
  <w:num w:numId="49">
    <w:abstractNumId w:val="34"/>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463"/>
    <w:rsid w:val="00016FC4"/>
    <w:rsid w:val="00020B3C"/>
    <w:rsid w:val="00021226"/>
    <w:rsid w:val="00022BDB"/>
    <w:rsid w:val="00025D30"/>
    <w:rsid w:val="0002745D"/>
    <w:rsid w:val="000418E0"/>
    <w:rsid w:val="0004303B"/>
    <w:rsid w:val="00043568"/>
    <w:rsid w:val="00046AF6"/>
    <w:rsid w:val="000503B7"/>
    <w:rsid w:val="000525C8"/>
    <w:rsid w:val="0005399B"/>
    <w:rsid w:val="00060421"/>
    <w:rsid w:val="00060F0E"/>
    <w:rsid w:val="00061454"/>
    <w:rsid w:val="000641B9"/>
    <w:rsid w:val="00070784"/>
    <w:rsid w:val="00072BCF"/>
    <w:rsid w:val="000837C1"/>
    <w:rsid w:val="00090F5A"/>
    <w:rsid w:val="00095344"/>
    <w:rsid w:val="000A1251"/>
    <w:rsid w:val="000B4588"/>
    <w:rsid w:val="000B76CE"/>
    <w:rsid w:val="000C543A"/>
    <w:rsid w:val="000C68D9"/>
    <w:rsid w:val="000C6B62"/>
    <w:rsid w:val="000D25D5"/>
    <w:rsid w:val="000D6C9B"/>
    <w:rsid w:val="000E0DAF"/>
    <w:rsid w:val="000F0AEA"/>
    <w:rsid w:val="000F4F40"/>
    <w:rsid w:val="00130F8E"/>
    <w:rsid w:val="00132044"/>
    <w:rsid w:val="0013587A"/>
    <w:rsid w:val="00143154"/>
    <w:rsid w:val="00143A66"/>
    <w:rsid w:val="0014454F"/>
    <w:rsid w:val="00144FB9"/>
    <w:rsid w:val="00145B26"/>
    <w:rsid w:val="00165E6B"/>
    <w:rsid w:val="0017367E"/>
    <w:rsid w:val="0017706A"/>
    <w:rsid w:val="00180FF3"/>
    <w:rsid w:val="00182AF4"/>
    <w:rsid w:val="001874CE"/>
    <w:rsid w:val="001914F0"/>
    <w:rsid w:val="001934DC"/>
    <w:rsid w:val="001A6273"/>
    <w:rsid w:val="001B2E71"/>
    <w:rsid w:val="001C1383"/>
    <w:rsid w:val="001C2F3E"/>
    <w:rsid w:val="001D075F"/>
    <w:rsid w:val="001E5A66"/>
    <w:rsid w:val="002000FA"/>
    <w:rsid w:val="00206770"/>
    <w:rsid w:val="00206A40"/>
    <w:rsid w:val="00227681"/>
    <w:rsid w:val="00231851"/>
    <w:rsid w:val="00231CFE"/>
    <w:rsid w:val="00234B60"/>
    <w:rsid w:val="00260D51"/>
    <w:rsid w:val="00267875"/>
    <w:rsid w:val="00272EC9"/>
    <w:rsid w:val="00274B27"/>
    <w:rsid w:val="00274CFE"/>
    <w:rsid w:val="002842A3"/>
    <w:rsid w:val="002944BF"/>
    <w:rsid w:val="002A24ED"/>
    <w:rsid w:val="002A2FF2"/>
    <w:rsid w:val="002A5CE1"/>
    <w:rsid w:val="002B66AC"/>
    <w:rsid w:val="002B7DE6"/>
    <w:rsid w:val="002C107A"/>
    <w:rsid w:val="002C3463"/>
    <w:rsid w:val="002D36A1"/>
    <w:rsid w:val="002F5C94"/>
    <w:rsid w:val="002F7420"/>
    <w:rsid w:val="00300050"/>
    <w:rsid w:val="003033EB"/>
    <w:rsid w:val="00305C17"/>
    <w:rsid w:val="00306C22"/>
    <w:rsid w:val="00310429"/>
    <w:rsid w:val="00322F33"/>
    <w:rsid w:val="003245AB"/>
    <w:rsid w:val="00325EB0"/>
    <w:rsid w:val="0034418E"/>
    <w:rsid w:val="00345CCE"/>
    <w:rsid w:val="003469B2"/>
    <w:rsid w:val="00350FE1"/>
    <w:rsid w:val="00356075"/>
    <w:rsid w:val="00364158"/>
    <w:rsid w:val="00366A34"/>
    <w:rsid w:val="0037356A"/>
    <w:rsid w:val="0037357C"/>
    <w:rsid w:val="00376F52"/>
    <w:rsid w:val="00384103"/>
    <w:rsid w:val="003B3165"/>
    <w:rsid w:val="003B6A53"/>
    <w:rsid w:val="003C0E43"/>
    <w:rsid w:val="003C673C"/>
    <w:rsid w:val="003C6EEC"/>
    <w:rsid w:val="003D7318"/>
    <w:rsid w:val="003D7691"/>
    <w:rsid w:val="003E10F5"/>
    <w:rsid w:val="003F2023"/>
    <w:rsid w:val="003F42C1"/>
    <w:rsid w:val="003F6941"/>
    <w:rsid w:val="00404595"/>
    <w:rsid w:val="00405433"/>
    <w:rsid w:val="00423306"/>
    <w:rsid w:val="00430FA6"/>
    <w:rsid w:val="004366A1"/>
    <w:rsid w:val="00445F8E"/>
    <w:rsid w:val="00451280"/>
    <w:rsid w:val="004522D5"/>
    <w:rsid w:val="00456F9A"/>
    <w:rsid w:val="00465C6B"/>
    <w:rsid w:val="00471BE8"/>
    <w:rsid w:val="00483C32"/>
    <w:rsid w:val="004868DE"/>
    <w:rsid w:val="00487EE8"/>
    <w:rsid w:val="00491CFA"/>
    <w:rsid w:val="00493E77"/>
    <w:rsid w:val="004A1D72"/>
    <w:rsid w:val="004A4FBD"/>
    <w:rsid w:val="004C15FC"/>
    <w:rsid w:val="004C1EA8"/>
    <w:rsid w:val="004C4985"/>
    <w:rsid w:val="004E7BE8"/>
    <w:rsid w:val="004E7ECC"/>
    <w:rsid w:val="004F2C27"/>
    <w:rsid w:val="004F7239"/>
    <w:rsid w:val="00503035"/>
    <w:rsid w:val="00511A8C"/>
    <w:rsid w:val="00515955"/>
    <w:rsid w:val="00516C91"/>
    <w:rsid w:val="00517473"/>
    <w:rsid w:val="005236F6"/>
    <w:rsid w:val="005251C5"/>
    <w:rsid w:val="00530703"/>
    <w:rsid w:val="00541DA4"/>
    <w:rsid w:val="005430F6"/>
    <w:rsid w:val="00546BB2"/>
    <w:rsid w:val="00552397"/>
    <w:rsid w:val="00567673"/>
    <w:rsid w:val="005762A2"/>
    <w:rsid w:val="005859B0"/>
    <w:rsid w:val="005A3923"/>
    <w:rsid w:val="005B750C"/>
    <w:rsid w:val="005C5DD4"/>
    <w:rsid w:val="005D59D3"/>
    <w:rsid w:val="005E247E"/>
    <w:rsid w:val="005F4272"/>
    <w:rsid w:val="005F61A9"/>
    <w:rsid w:val="006062AE"/>
    <w:rsid w:val="00606339"/>
    <w:rsid w:val="00607657"/>
    <w:rsid w:val="00613C94"/>
    <w:rsid w:val="0062739A"/>
    <w:rsid w:val="00634227"/>
    <w:rsid w:val="00637BB2"/>
    <w:rsid w:val="0065444A"/>
    <w:rsid w:val="0066509A"/>
    <w:rsid w:val="00666123"/>
    <w:rsid w:val="00672E38"/>
    <w:rsid w:val="0067597F"/>
    <w:rsid w:val="00676178"/>
    <w:rsid w:val="00683112"/>
    <w:rsid w:val="00691CC9"/>
    <w:rsid w:val="00695107"/>
    <w:rsid w:val="006A6F27"/>
    <w:rsid w:val="006A7678"/>
    <w:rsid w:val="006C3B7C"/>
    <w:rsid w:val="006D2E86"/>
    <w:rsid w:val="006D47BA"/>
    <w:rsid w:val="006D4A3C"/>
    <w:rsid w:val="006D5B63"/>
    <w:rsid w:val="006D7897"/>
    <w:rsid w:val="006E638B"/>
    <w:rsid w:val="006F0579"/>
    <w:rsid w:val="006F3F1F"/>
    <w:rsid w:val="00700C1B"/>
    <w:rsid w:val="007062C1"/>
    <w:rsid w:val="00714AB5"/>
    <w:rsid w:val="0074043B"/>
    <w:rsid w:val="007439B5"/>
    <w:rsid w:val="007439CD"/>
    <w:rsid w:val="00752563"/>
    <w:rsid w:val="00756741"/>
    <w:rsid w:val="0076622B"/>
    <w:rsid w:val="00774652"/>
    <w:rsid w:val="007773D1"/>
    <w:rsid w:val="00793951"/>
    <w:rsid w:val="00794E40"/>
    <w:rsid w:val="007A56E9"/>
    <w:rsid w:val="007B5461"/>
    <w:rsid w:val="007D3992"/>
    <w:rsid w:val="007D49E0"/>
    <w:rsid w:val="007E25AC"/>
    <w:rsid w:val="007F4C1B"/>
    <w:rsid w:val="007F69B3"/>
    <w:rsid w:val="00806DCB"/>
    <w:rsid w:val="0081114D"/>
    <w:rsid w:val="00813875"/>
    <w:rsid w:val="00814C56"/>
    <w:rsid w:val="00814DBD"/>
    <w:rsid w:val="008151A6"/>
    <w:rsid w:val="00816A9E"/>
    <w:rsid w:val="00834344"/>
    <w:rsid w:val="00836C8C"/>
    <w:rsid w:val="00842684"/>
    <w:rsid w:val="00852CE1"/>
    <w:rsid w:val="00861CD8"/>
    <w:rsid w:val="00871F1A"/>
    <w:rsid w:val="008764E0"/>
    <w:rsid w:val="00883F82"/>
    <w:rsid w:val="00884760"/>
    <w:rsid w:val="0089522A"/>
    <w:rsid w:val="008C0E8C"/>
    <w:rsid w:val="008C688C"/>
    <w:rsid w:val="008C7515"/>
    <w:rsid w:val="008D25F6"/>
    <w:rsid w:val="008E0079"/>
    <w:rsid w:val="008E0DEB"/>
    <w:rsid w:val="008F2345"/>
    <w:rsid w:val="00903FD7"/>
    <w:rsid w:val="009116CC"/>
    <w:rsid w:val="00914139"/>
    <w:rsid w:val="0091435F"/>
    <w:rsid w:val="00915B44"/>
    <w:rsid w:val="00920920"/>
    <w:rsid w:val="009236A8"/>
    <w:rsid w:val="009309C5"/>
    <w:rsid w:val="00931B2C"/>
    <w:rsid w:val="009365F1"/>
    <w:rsid w:val="00941E6E"/>
    <w:rsid w:val="00945479"/>
    <w:rsid w:val="00953C91"/>
    <w:rsid w:val="009542AC"/>
    <w:rsid w:val="00960C26"/>
    <w:rsid w:val="00964CC3"/>
    <w:rsid w:val="00966B17"/>
    <w:rsid w:val="00985012"/>
    <w:rsid w:val="0098528F"/>
    <w:rsid w:val="00996281"/>
    <w:rsid w:val="009973D3"/>
    <w:rsid w:val="009A17D8"/>
    <w:rsid w:val="009A33F6"/>
    <w:rsid w:val="009C454D"/>
    <w:rsid w:val="009C7DE8"/>
    <w:rsid w:val="009E10C0"/>
    <w:rsid w:val="009F33C7"/>
    <w:rsid w:val="009F3851"/>
    <w:rsid w:val="009F6AA4"/>
    <w:rsid w:val="00A02D96"/>
    <w:rsid w:val="00A07D24"/>
    <w:rsid w:val="00A10945"/>
    <w:rsid w:val="00A15A21"/>
    <w:rsid w:val="00A24A74"/>
    <w:rsid w:val="00A44EB8"/>
    <w:rsid w:val="00A467A8"/>
    <w:rsid w:val="00A54EE8"/>
    <w:rsid w:val="00A60E74"/>
    <w:rsid w:val="00A717A4"/>
    <w:rsid w:val="00A746F7"/>
    <w:rsid w:val="00A84384"/>
    <w:rsid w:val="00A91D88"/>
    <w:rsid w:val="00A93F44"/>
    <w:rsid w:val="00A95026"/>
    <w:rsid w:val="00A9508E"/>
    <w:rsid w:val="00A96127"/>
    <w:rsid w:val="00AB1C0A"/>
    <w:rsid w:val="00AC519B"/>
    <w:rsid w:val="00AC558A"/>
    <w:rsid w:val="00AE06F5"/>
    <w:rsid w:val="00AE1699"/>
    <w:rsid w:val="00AF2D59"/>
    <w:rsid w:val="00B008D3"/>
    <w:rsid w:val="00B0651C"/>
    <w:rsid w:val="00B310AD"/>
    <w:rsid w:val="00B34D93"/>
    <w:rsid w:val="00B42992"/>
    <w:rsid w:val="00B538B3"/>
    <w:rsid w:val="00B548F4"/>
    <w:rsid w:val="00B56ADE"/>
    <w:rsid w:val="00B60706"/>
    <w:rsid w:val="00B64E64"/>
    <w:rsid w:val="00B7240C"/>
    <w:rsid w:val="00B72699"/>
    <w:rsid w:val="00B8089C"/>
    <w:rsid w:val="00B80EA2"/>
    <w:rsid w:val="00B82A98"/>
    <w:rsid w:val="00B86CD2"/>
    <w:rsid w:val="00B87321"/>
    <w:rsid w:val="00B9526E"/>
    <w:rsid w:val="00BA722E"/>
    <w:rsid w:val="00BA76DE"/>
    <w:rsid w:val="00BC72FC"/>
    <w:rsid w:val="00BC793D"/>
    <w:rsid w:val="00BD233B"/>
    <w:rsid w:val="00BD6A0D"/>
    <w:rsid w:val="00BE769F"/>
    <w:rsid w:val="00BF0B88"/>
    <w:rsid w:val="00BF6460"/>
    <w:rsid w:val="00C04373"/>
    <w:rsid w:val="00C1191C"/>
    <w:rsid w:val="00C156E5"/>
    <w:rsid w:val="00C214C3"/>
    <w:rsid w:val="00C2175C"/>
    <w:rsid w:val="00C21B40"/>
    <w:rsid w:val="00C27548"/>
    <w:rsid w:val="00C345C7"/>
    <w:rsid w:val="00C41C51"/>
    <w:rsid w:val="00C531C9"/>
    <w:rsid w:val="00C91147"/>
    <w:rsid w:val="00C92632"/>
    <w:rsid w:val="00C964B4"/>
    <w:rsid w:val="00CA6645"/>
    <w:rsid w:val="00CB4ECC"/>
    <w:rsid w:val="00CB5F07"/>
    <w:rsid w:val="00CC10CD"/>
    <w:rsid w:val="00CC23A3"/>
    <w:rsid w:val="00CC2976"/>
    <w:rsid w:val="00CC4193"/>
    <w:rsid w:val="00CC4883"/>
    <w:rsid w:val="00CC649D"/>
    <w:rsid w:val="00CD0BBC"/>
    <w:rsid w:val="00CD7F11"/>
    <w:rsid w:val="00CE655B"/>
    <w:rsid w:val="00CF4593"/>
    <w:rsid w:val="00CF7AFF"/>
    <w:rsid w:val="00D07CD5"/>
    <w:rsid w:val="00D21562"/>
    <w:rsid w:val="00D26961"/>
    <w:rsid w:val="00D32C3E"/>
    <w:rsid w:val="00D330DC"/>
    <w:rsid w:val="00D35993"/>
    <w:rsid w:val="00D53C20"/>
    <w:rsid w:val="00D55361"/>
    <w:rsid w:val="00D747EA"/>
    <w:rsid w:val="00D86646"/>
    <w:rsid w:val="00D95089"/>
    <w:rsid w:val="00D97C73"/>
    <w:rsid w:val="00DA1D38"/>
    <w:rsid w:val="00DB2C2F"/>
    <w:rsid w:val="00DB448F"/>
    <w:rsid w:val="00DB5A61"/>
    <w:rsid w:val="00DC2FE1"/>
    <w:rsid w:val="00DD75BC"/>
    <w:rsid w:val="00DE0544"/>
    <w:rsid w:val="00DE53E0"/>
    <w:rsid w:val="00DE6D5D"/>
    <w:rsid w:val="00DF217F"/>
    <w:rsid w:val="00E0665E"/>
    <w:rsid w:val="00E151D0"/>
    <w:rsid w:val="00E15F68"/>
    <w:rsid w:val="00E160CF"/>
    <w:rsid w:val="00E167A1"/>
    <w:rsid w:val="00E2186A"/>
    <w:rsid w:val="00E22E25"/>
    <w:rsid w:val="00E25039"/>
    <w:rsid w:val="00E304C6"/>
    <w:rsid w:val="00E3170A"/>
    <w:rsid w:val="00E33FCA"/>
    <w:rsid w:val="00E35ACF"/>
    <w:rsid w:val="00E54B81"/>
    <w:rsid w:val="00E60ACF"/>
    <w:rsid w:val="00E667EC"/>
    <w:rsid w:val="00E8200E"/>
    <w:rsid w:val="00E82BDA"/>
    <w:rsid w:val="00E96DAD"/>
    <w:rsid w:val="00EA41D8"/>
    <w:rsid w:val="00EA7A05"/>
    <w:rsid w:val="00EB1786"/>
    <w:rsid w:val="00EB5C43"/>
    <w:rsid w:val="00EB6A70"/>
    <w:rsid w:val="00EB7228"/>
    <w:rsid w:val="00EC3742"/>
    <w:rsid w:val="00EE35E3"/>
    <w:rsid w:val="00EE661B"/>
    <w:rsid w:val="00EF3663"/>
    <w:rsid w:val="00EF548E"/>
    <w:rsid w:val="00F013E3"/>
    <w:rsid w:val="00F02B2B"/>
    <w:rsid w:val="00F03146"/>
    <w:rsid w:val="00F05F0B"/>
    <w:rsid w:val="00F22C81"/>
    <w:rsid w:val="00F25219"/>
    <w:rsid w:val="00F26E38"/>
    <w:rsid w:val="00F279AA"/>
    <w:rsid w:val="00F369EF"/>
    <w:rsid w:val="00F40533"/>
    <w:rsid w:val="00F4779C"/>
    <w:rsid w:val="00F51AEC"/>
    <w:rsid w:val="00F57A0C"/>
    <w:rsid w:val="00F64C90"/>
    <w:rsid w:val="00F65F2A"/>
    <w:rsid w:val="00F65FF9"/>
    <w:rsid w:val="00F666AE"/>
    <w:rsid w:val="00F95E56"/>
    <w:rsid w:val="00FA43C2"/>
    <w:rsid w:val="00FA5B5A"/>
    <w:rsid w:val="00FA6FA9"/>
    <w:rsid w:val="00FB1527"/>
    <w:rsid w:val="00FC3B5D"/>
    <w:rsid w:val="00FD0FB3"/>
    <w:rsid w:val="00FE2CAB"/>
    <w:rsid w:val="00FE64A5"/>
    <w:rsid w:val="00FF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2"/>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3"/>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Body text"/>
    <w:qFormat/>
    <w:rsid w:val="003F42C1"/>
    <w:rPr>
      <w:rFonts w:ascii="Calibri" w:hAnsi="Calibri"/>
      <w:sz w:val="24"/>
    </w:rPr>
  </w:style>
  <w:style w:type="paragraph" w:styleId="Heading1">
    <w:name w:val="heading 1"/>
    <w:basedOn w:val="Normal"/>
    <w:next w:val="Normal"/>
    <w:link w:val="Heading1Char"/>
    <w:qFormat/>
    <w:rsid w:val="00C91147"/>
    <w:pPr>
      <w:keepNext/>
      <w:numPr>
        <w:numId w:val="45"/>
      </w:numPr>
      <w:spacing w:before="720" w:after="360" w:line="240" w:lineRule="auto"/>
      <w:ind w:left="720" w:hanging="720"/>
      <w:outlineLvl w:val="0"/>
    </w:pPr>
    <w:rPr>
      <w:rFonts w:eastAsiaTheme="majorEastAsia" w:cstheme="majorBidi"/>
      <w:b/>
      <w:smallCaps/>
      <w:kern w:val="28"/>
      <w:sz w:val="40"/>
      <w:szCs w:val="20"/>
    </w:rPr>
  </w:style>
  <w:style w:type="paragraph" w:styleId="Heading2">
    <w:name w:val="heading 2"/>
    <w:basedOn w:val="Normal"/>
    <w:next w:val="Normal"/>
    <w:link w:val="Heading2Char"/>
    <w:qFormat/>
    <w:rsid w:val="00985012"/>
    <w:pPr>
      <w:keepNext/>
      <w:numPr>
        <w:ilvl w:val="1"/>
        <w:numId w:val="45"/>
      </w:numPr>
      <w:spacing w:before="360" w:line="240" w:lineRule="auto"/>
      <w:ind w:left="720" w:hanging="720"/>
      <w:outlineLvl w:val="1"/>
    </w:pPr>
    <w:rPr>
      <w:rFonts w:eastAsiaTheme="majorEastAsia" w:cs="Arial"/>
      <w:b/>
      <w:bCs/>
      <w:sz w:val="28"/>
      <w:szCs w:val="26"/>
    </w:rPr>
  </w:style>
  <w:style w:type="paragraph" w:styleId="Heading3">
    <w:name w:val="heading 3"/>
    <w:basedOn w:val="Normal"/>
    <w:next w:val="Normal"/>
    <w:link w:val="Heading3Char"/>
    <w:qFormat/>
    <w:rsid w:val="00491CFA"/>
    <w:pPr>
      <w:keepNext/>
      <w:spacing w:before="320" w:after="160" w:line="240" w:lineRule="auto"/>
      <w:outlineLvl w:val="2"/>
    </w:pPr>
    <w:rPr>
      <w:rFonts w:eastAsiaTheme="majorEastAsia" w:cs="Arial"/>
      <w:b/>
      <w:bCs/>
    </w:rPr>
  </w:style>
  <w:style w:type="paragraph" w:styleId="Heading4">
    <w:name w:val="heading 4"/>
    <w:basedOn w:val="Normal"/>
    <w:next w:val="Normal"/>
    <w:link w:val="Heading4Char"/>
    <w:qFormat/>
    <w:rsid w:val="007062C1"/>
    <w:pPr>
      <w:keepNext/>
      <w:spacing w:before="360" w:after="120" w:line="240" w:lineRule="auto"/>
      <w:outlineLvl w:val="3"/>
    </w:pPr>
    <w:rPr>
      <w:rFonts w:eastAsiaTheme="majorEastAsia" w:cs="Arial"/>
      <w:b/>
      <w:bCs/>
      <w:i/>
      <w:iCs/>
    </w:rPr>
  </w:style>
  <w:style w:type="paragraph" w:styleId="Heading5">
    <w:name w:val="heading 5"/>
    <w:basedOn w:val="Normal"/>
    <w:next w:val="Normal"/>
    <w:link w:val="Heading5Char"/>
    <w:qFormat/>
    <w:rsid w:val="00A10945"/>
    <w:pPr>
      <w:keepNext/>
      <w:keepLines/>
      <w:spacing w:before="240" w:after="120" w:line="240" w:lineRule="auto"/>
      <w:outlineLvl w:val="4"/>
    </w:pPr>
    <w:rPr>
      <w:rFonts w:eastAsiaTheme="majorEastAsia" w:cstheme="majorBidi"/>
      <w:u w:val="single"/>
    </w:rPr>
  </w:style>
  <w:style w:type="paragraph" w:styleId="Heading6">
    <w:name w:val="heading 6"/>
    <w:basedOn w:val="Normal"/>
    <w:next w:val="Normal"/>
    <w:link w:val="Heading6Char"/>
    <w:uiPriority w:val="9"/>
    <w:semiHidden/>
    <w:unhideWhenUsed/>
    <w:rsid w:val="004C4985"/>
    <w:pPr>
      <w:keepNext/>
      <w:keepLines/>
      <w:numPr>
        <w:ilvl w:val="5"/>
        <w:numId w:val="28"/>
      </w:numPr>
      <w:spacing w:before="200" w:after="0"/>
      <w:outlineLvl w:val="5"/>
    </w:pPr>
    <w:rPr>
      <w:rFonts w:asciiTheme="majorHAnsi" w:eastAsiaTheme="majorEastAsia" w:hAnsiTheme="majorHAnsi" w:cstheme="majorBidi"/>
      <w:i/>
      <w:iCs/>
      <w:color w:val="061642" w:themeColor="accent1" w:themeShade="7F"/>
    </w:rPr>
  </w:style>
  <w:style w:type="paragraph" w:styleId="Heading7">
    <w:name w:val="heading 7"/>
    <w:basedOn w:val="Normal"/>
    <w:next w:val="Normal"/>
    <w:link w:val="Heading7Char"/>
    <w:uiPriority w:val="9"/>
    <w:semiHidden/>
    <w:unhideWhenUsed/>
    <w:qFormat/>
    <w:rsid w:val="004C4985"/>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4985"/>
    <w:pPr>
      <w:keepNext/>
      <w:keepLines/>
      <w:numPr>
        <w:ilvl w:val="7"/>
        <w:numId w:val="28"/>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C4985"/>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7D24"/>
    <w:pPr>
      <w:pBdr>
        <w:top w:val="single" w:sz="4" w:space="3" w:color="0C2E86"/>
      </w:pBdr>
      <w:tabs>
        <w:tab w:val="center" w:pos="4680"/>
        <w:tab w:val="right" w:pos="9360"/>
      </w:tabs>
      <w:spacing w:after="0" w:line="240" w:lineRule="auto"/>
    </w:pPr>
    <w:rPr>
      <w:noProof/>
      <w:sz w:val="18"/>
    </w:rPr>
  </w:style>
  <w:style w:type="character" w:customStyle="1" w:styleId="FooterChar">
    <w:name w:val="Footer Char"/>
    <w:basedOn w:val="DefaultParagraphFont"/>
    <w:link w:val="Footer"/>
    <w:rsid w:val="009309C5"/>
    <w:rPr>
      <w:rFonts w:ascii="Calibri" w:hAnsi="Calibri"/>
      <w:noProof/>
      <w:sz w:val="18"/>
    </w:rPr>
  </w:style>
  <w:style w:type="paragraph" w:styleId="BalloonText">
    <w:name w:val="Balloon Text"/>
    <w:basedOn w:val="Normal"/>
    <w:link w:val="BalloonTextChar"/>
    <w:uiPriority w:val="99"/>
    <w:semiHidden/>
    <w:unhideWhenUsed/>
    <w:rsid w:val="00344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18E"/>
    <w:rPr>
      <w:rFonts w:ascii="Tahoma" w:hAnsi="Tahoma" w:cs="Tahoma"/>
      <w:sz w:val="16"/>
      <w:szCs w:val="16"/>
    </w:rPr>
  </w:style>
  <w:style w:type="paragraph" w:customStyle="1" w:styleId="BulletList2">
    <w:name w:val="Bullet List 2"/>
    <w:basedOn w:val="ListParagraph"/>
    <w:link w:val="BulletList2Char"/>
    <w:qFormat/>
    <w:rsid w:val="00FF2126"/>
    <w:pPr>
      <w:numPr>
        <w:numId w:val="47"/>
      </w:numPr>
      <w:ind w:left="1440"/>
    </w:pPr>
  </w:style>
  <w:style w:type="paragraph" w:customStyle="1" w:styleId="BulletList3">
    <w:name w:val="Bullet List 3"/>
    <w:basedOn w:val="BulletList2"/>
    <w:link w:val="BulletList3Char"/>
    <w:qFormat/>
    <w:rsid w:val="00FF2126"/>
    <w:pPr>
      <w:numPr>
        <w:numId w:val="22"/>
      </w:numPr>
    </w:pPr>
  </w:style>
  <w:style w:type="paragraph" w:customStyle="1" w:styleId="Footnote">
    <w:name w:val="Footnote"/>
    <w:basedOn w:val="Normal"/>
    <w:link w:val="FootnoteChar"/>
    <w:qFormat/>
    <w:rsid w:val="006D2E86"/>
    <w:pPr>
      <w:spacing w:after="40" w:line="240" w:lineRule="auto"/>
      <w:ind w:left="130" w:hanging="130"/>
    </w:pPr>
    <w:rPr>
      <w:rFonts w:cs="Arial"/>
      <w:color w:val="000000" w:themeColor="text1"/>
      <w:sz w:val="18"/>
      <w:szCs w:val="16"/>
    </w:rPr>
  </w:style>
  <w:style w:type="character" w:customStyle="1" w:styleId="FootnoteChar">
    <w:name w:val="Footnote Char"/>
    <w:basedOn w:val="DefaultParagraphFont"/>
    <w:link w:val="Footnote"/>
    <w:rsid w:val="00430FA6"/>
    <w:rPr>
      <w:rFonts w:ascii="Calibri" w:hAnsi="Calibri" w:cs="Arial"/>
      <w:color w:val="000000" w:themeColor="text1"/>
      <w:sz w:val="18"/>
      <w:szCs w:val="16"/>
    </w:rPr>
  </w:style>
  <w:style w:type="character" w:customStyle="1" w:styleId="Heading1Char">
    <w:name w:val="Heading 1 Char"/>
    <w:basedOn w:val="DefaultParagraphFont"/>
    <w:link w:val="Heading1"/>
    <w:rsid w:val="00C91147"/>
    <w:rPr>
      <w:rFonts w:ascii="Calibri" w:eastAsiaTheme="majorEastAsia" w:hAnsi="Calibri" w:cstheme="majorBidi"/>
      <w:b/>
      <w:smallCaps/>
      <w:kern w:val="28"/>
      <w:sz w:val="40"/>
      <w:szCs w:val="20"/>
    </w:rPr>
  </w:style>
  <w:style w:type="paragraph" w:styleId="TOCHeading">
    <w:name w:val="TOC Heading"/>
    <w:basedOn w:val="Heading1"/>
    <w:next w:val="Normal"/>
    <w:link w:val="TOCHeadingChar"/>
    <w:uiPriority w:val="2"/>
    <w:qFormat/>
    <w:rsid w:val="003C6EEC"/>
    <w:pPr>
      <w:numPr>
        <w:numId w:val="0"/>
      </w:numPr>
      <w:spacing w:after="0"/>
      <w:outlineLvl w:val="9"/>
    </w:pPr>
    <w:rPr>
      <w:rFonts w:cs="Arial"/>
      <w:spacing w:val="20"/>
      <w:lang w:eastAsia="ja-JP"/>
    </w:rPr>
  </w:style>
  <w:style w:type="character" w:customStyle="1" w:styleId="ListParagraphChar">
    <w:name w:val="List Paragraph Char"/>
    <w:aliases w:val="Bullet List 1 Char"/>
    <w:basedOn w:val="DefaultParagraphFont"/>
    <w:link w:val="ListParagraph"/>
    <w:rsid w:val="00430FA6"/>
    <w:rPr>
      <w:rFonts w:ascii="Calibri" w:hAnsi="Calibri"/>
    </w:rPr>
  </w:style>
  <w:style w:type="character" w:customStyle="1" w:styleId="BulletList2Char">
    <w:name w:val="Bullet List 2 Char"/>
    <w:basedOn w:val="ListParagraphChar"/>
    <w:link w:val="BulletList2"/>
    <w:rsid w:val="00430FA6"/>
    <w:rPr>
      <w:rFonts w:ascii="Calibri" w:hAnsi="Calibri"/>
    </w:rPr>
  </w:style>
  <w:style w:type="paragraph" w:customStyle="1" w:styleId="TableText">
    <w:name w:val="Table Text"/>
    <w:basedOn w:val="Normal"/>
    <w:link w:val="TableTextChar"/>
    <w:qFormat/>
    <w:rsid w:val="009A17D8"/>
    <w:pPr>
      <w:spacing w:before="100" w:beforeAutospacing="1" w:after="100" w:afterAutospacing="1" w:line="240" w:lineRule="auto"/>
    </w:pPr>
    <w:rPr>
      <w:rFonts w:ascii="Arial" w:hAnsi="Arial"/>
      <w:color w:val="000000" w:themeColor="text1"/>
      <w:sz w:val="18"/>
    </w:rPr>
  </w:style>
  <w:style w:type="character" w:customStyle="1" w:styleId="TableTextChar">
    <w:name w:val="Table Text Char"/>
    <w:basedOn w:val="DefaultParagraphFont"/>
    <w:link w:val="TableText"/>
    <w:rsid w:val="00430FA6"/>
    <w:rPr>
      <w:rFonts w:ascii="Arial" w:hAnsi="Arial"/>
      <w:color w:val="000000" w:themeColor="text1"/>
      <w:sz w:val="18"/>
    </w:rPr>
  </w:style>
  <w:style w:type="paragraph" w:customStyle="1" w:styleId="Figure-Caption">
    <w:name w:val="Figure - Caption"/>
    <w:basedOn w:val="Caption"/>
    <w:link w:val="Figure-CaptionChar"/>
    <w:qFormat/>
    <w:rsid w:val="009A17D8"/>
    <w:pPr>
      <w:keepNext/>
      <w:spacing w:before="360" w:after="60" w:line="240" w:lineRule="auto"/>
    </w:pPr>
    <w:rPr>
      <w:rFonts w:eastAsia="Times New Roman" w:cs="Arial"/>
      <w:bCs w:val="0"/>
      <w:color w:val="2D3991"/>
      <w:szCs w:val="20"/>
    </w:rPr>
  </w:style>
  <w:style w:type="character" w:customStyle="1" w:styleId="Figure-CaptionChar">
    <w:name w:val="Figure - Caption Char"/>
    <w:basedOn w:val="DefaultParagraphFont"/>
    <w:link w:val="Figure-Caption"/>
    <w:rsid w:val="00430FA6"/>
    <w:rPr>
      <w:rFonts w:ascii="Calibri" w:eastAsia="Times New Roman" w:hAnsi="Calibri" w:cs="Arial"/>
      <w:b/>
      <w:color w:val="2D3991"/>
      <w:sz w:val="20"/>
      <w:szCs w:val="20"/>
    </w:rPr>
  </w:style>
  <w:style w:type="paragraph" w:styleId="Caption">
    <w:name w:val="caption"/>
    <w:basedOn w:val="Normal"/>
    <w:next w:val="Normal"/>
    <w:uiPriority w:val="35"/>
    <w:unhideWhenUsed/>
    <w:qFormat/>
    <w:rsid w:val="003F42C1"/>
    <w:rPr>
      <w:b/>
      <w:bCs/>
      <w:color w:val="0C2E86" w:themeColor="accent1"/>
      <w:sz w:val="20"/>
      <w:szCs w:val="18"/>
    </w:rPr>
  </w:style>
  <w:style w:type="character" w:customStyle="1" w:styleId="Heading2Char">
    <w:name w:val="Heading 2 Char"/>
    <w:basedOn w:val="DefaultParagraphFont"/>
    <w:link w:val="Heading2"/>
    <w:rsid w:val="00985012"/>
    <w:rPr>
      <w:rFonts w:ascii="Calibri" w:eastAsiaTheme="majorEastAsia" w:hAnsi="Calibri" w:cs="Arial"/>
      <w:b/>
      <w:bCs/>
      <w:sz w:val="28"/>
      <w:szCs w:val="26"/>
    </w:rPr>
  </w:style>
  <w:style w:type="character" w:customStyle="1" w:styleId="Heading3Char">
    <w:name w:val="Heading 3 Char"/>
    <w:basedOn w:val="DefaultParagraphFont"/>
    <w:link w:val="Heading3"/>
    <w:rsid w:val="00491CFA"/>
    <w:rPr>
      <w:rFonts w:ascii="Calibri" w:eastAsiaTheme="majorEastAsia" w:hAnsi="Calibri" w:cs="Arial"/>
      <w:b/>
      <w:bCs/>
      <w:sz w:val="24"/>
    </w:rPr>
  </w:style>
  <w:style w:type="character" w:customStyle="1" w:styleId="Heading4Char">
    <w:name w:val="Heading 4 Char"/>
    <w:basedOn w:val="DefaultParagraphFont"/>
    <w:link w:val="Heading4"/>
    <w:rsid w:val="005C5DD4"/>
    <w:rPr>
      <w:rFonts w:ascii="Calibri" w:eastAsiaTheme="majorEastAsia" w:hAnsi="Calibri" w:cs="Arial"/>
      <w:b/>
      <w:bCs/>
      <w:i/>
      <w:iCs/>
    </w:rPr>
  </w:style>
  <w:style w:type="paragraph" w:styleId="TOC1">
    <w:name w:val="toc 1"/>
    <w:basedOn w:val="Normal"/>
    <w:next w:val="Normal"/>
    <w:autoRedefine/>
    <w:uiPriority w:val="39"/>
    <w:qFormat/>
    <w:rsid w:val="004C15FC"/>
    <w:pPr>
      <w:tabs>
        <w:tab w:val="right" w:leader="dot" w:pos="9360"/>
      </w:tabs>
      <w:spacing w:before="360" w:after="0" w:line="240" w:lineRule="auto"/>
      <w:ind w:left="547" w:hanging="547"/>
    </w:pPr>
    <w:rPr>
      <w:rFonts w:cs="Arial"/>
      <w:b/>
      <w:smallCaps/>
      <w:noProof/>
      <w:sz w:val="28"/>
      <w:szCs w:val="28"/>
    </w:rPr>
  </w:style>
  <w:style w:type="paragraph" w:styleId="TOC2">
    <w:name w:val="toc 2"/>
    <w:basedOn w:val="Normal"/>
    <w:next w:val="Normal"/>
    <w:autoRedefine/>
    <w:uiPriority w:val="39"/>
    <w:qFormat/>
    <w:rsid w:val="004C15FC"/>
    <w:pPr>
      <w:tabs>
        <w:tab w:val="left" w:leader="dot" w:pos="1320"/>
        <w:tab w:val="right" w:leader="dot" w:pos="9350"/>
      </w:tabs>
      <w:spacing w:before="120" w:after="120" w:line="240" w:lineRule="auto"/>
      <w:ind w:left="1080" w:hanging="540"/>
    </w:pPr>
    <w:rPr>
      <w:b/>
    </w:rPr>
  </w:style>
  <w:style w:type="paragraph" w:styleId="TOC3">
    <w:name w:val="toc 3"/>
    <w:basedOn w:val="Normal"/>
    <w:next w:val="Normal"/>
    <w:autoRedefine/>
    <w:uiPriority w:val="39"/>
    <w:qFormat/>
    <w:rsid w:val="003C6EEC"/>
    <w:pPr>
      <w:tabs>
        <w:tab w:val="right" w:leader="dot" w:pos="9350"/>
      </w:tabs>
      <w:spacing w:before="120" w:after="120" w:line="240" w:lineRule="auto"/>
      <w:ind w:left="1080"/>
    </w:pPr>
  </w:style>
  <w:style w:type="character" w:customStyle="1" w:styleId="BulletList3Char">
    <w:name w:val="Bullet List 3 Char"/>
    <w:basedOn w:val="BulletList2Char"/>
    <w:link w:val="BulletList3"/>
    <w:rsid w:val="00430FA6"/>
    <w:rPr>
      <w:rFonts w:ascii="Calibri" w:hAnsi="Calibri"/>
    </w:rPr>
  </w:style>
  <w:style w:type="table" w:styleId="LightList-Accent1">
    <w:name w:val="Light List Accent 1"/>
    <w:basedOn w:val="TableNormal"/>
    <w:uiPriority w:val="61"/>
    <w:rsid w:val="00016FC4"/>
    <w:pPr>
      <w:spacing w:after="0" w:line="240" w:lineRule="auto"/>
    </w:pPr>
    <w:tblPr>
      <w:tblStyleRowBandSize w:val="1"/>
      <w:tblStyleColBandSize w:val="1"/>
      <w:tblInd w:w="0" w:type="dxa"/>
      <w:tblBorders>
        <w:top w:val="single" w:sz="8" w:space="0" w:color="0C2E86" w:themeColor="accent1"/>
        <w:left w:val="single" w:sz="8" w:space="0" w:color="0C2E86" w:themeColor="accent1"/>
        <w:bottom w:val="single" w:sz="8" w:space="0" w:color="0C2E86" w:themeColor="accent1"/>
        <w:right w:val="single" w:sz="8" w:space="0" w:color="0C2E8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C2E86" w:themeFill="accent1"/>
      </w:tcPr>
    </w:tblStylePr>
    <w:tblStylePr w:type="lastRow">
      <w:pPr>
        <w:spacing w:before="0" w:after="0" w:line="240" w:lineRule="auto"/>
      </w:pPr>
      <w:rPr>
        <w:b/>
        <w:bCs/>
      </w:rPr>
      <w:tblPr/>
      <w:tcPr>
        <w:tcBorders>
          <w:top w:val="double" w:sz="6" w:space="0" w:color="0C2E86" w:themeColor="accent1"/>
          <w:left w:val="single" w:sz="8" w:space="0" w:color="0C2E86" w:themeColor="accent1"/>
          <w:bottom w:val="single" w:sz="8" w:space="0" w:color="0C2E86" w:themeColor="accent1"/>
          <w:right w:val="single" w:sz="8" w:space="0" w:color="0C2E86" w:themeColor="accent1"/>
        </w:tcBorders>
      </w:tcPr>
    </w:tblStylePr>
    <w:tblStylePr w:type="firstCol">
      <w:rPr>
        <w:b/>
        <w:bCs/>
      </w:rPr>
    </w:tblStylePr>
    <w:tblStylePr w:type="lastCol">
      <w:rPr>
        <w:b/>
        <w:bCs/>
      </w:rPr>
    </w:tblStylePr>
    <w:tblStylePr w:type="band1Vert">
      <w:tblPr/>
      <w:tcPr>
        <w:tcBorders>
          <w:top w:val="single" w:sz="8" w:space="0" w:color="0C2E86" w:themeColor="accent1"/>
          <w:left w:val="single" w:sz="8" w:space="0" w:color="0C2E86" w:themeColor="accent1"/>
          <w:bottom w:val="single" w:sz="8" w:space="0" w:color="0C2E86" w:themeColor="accent1"/>
          <w:right w:val="single" w:sz="8" w:space="0" w:color="0C2E86" w:themeColor="accent1"/>
        </w:tcBorders>
      </w:tcPr>
    </w:tblStylePr>
    <w:tblStylePr w:type="band1Horz">
      <w:tblPr/>
      <w:tcPr>
        <w:tcBorders>
          <w:top w:val="single" w:sz="8" w:space="0" w:color="0C2E86" w:themeColor="accent1"/>
          <w:left w:val="single" w:sz="8" w:space="0" w:color="0C2E86" w:themeColor="accent1"/>
          <w:bottom w:val="single" w:sz="8" w:space="0" w:color="0C2E86" w:themeColor="accent1"/>
          <w:right w:val="single" w:sz="8" w:space="0" w:color="0C2E86" w:themeColor="accent1"/>
        </w:tcBorders>
      </w:tcPr>
    </w:tblStylePr>
  </w:style>
  <w:style w:type="paragraph" w:styleId="ListParagraph">
    <w:name w:val="List Paragraph"/>
    <w:aliases w:val="Bullet List 1"/>
    <w:basedOn w:val="Normal"/>
    <w:link w:val="ListParagraphChar"/>
    <w:qFormat/>
    <w:rsid w:val="00FF2126"/>
    <w:pPr>
      <w:numPr>
        <w:numId w:val="9"/>
      </w:numPr>
      <w:spacing w:line="240" w:lineRule="auto"/>
      <w:ind w:left="720" w:right="720"/>
    </w:pPr>
  </w:style>
  <w:style w:type="character" w:customStyle="1" w:styleId="TOCHeadingChar">
    <w:name w:val="TOC Heading Char"/>
    <w:basedOn w:val="Heading1Char"/>
    <w:link w:val="TOCHeading"/>
    <w:uiPriority w:val="2"/>
    <w:rsid w:val="00FE64A5"/>
    <w:rPr>
      <w:rFonts w:ascii="Calibri" w:eastAsiaTheme="majorEastAsia" w:hAnsi="Calibri" w:cs="Arial"/>
      <w:b/>
      <w:smallCaps/>
      <w:spacing w:val="20"/>
      <w:kern w:val="28"/>
      <w:sz w:val="36"/>
      <w:szCs w:val="20"/>
      <w:lang w:eastAsia="ja-JP"/>
    </w:rPr>
  </w:style>
  <w:style w:type="character" w:customStyle="1" w:styleId="Heading5Char">
    <w:name w:val="Heading 5 Char"/>
    <w:basedOn w:val="DefaultParagraphFont"/>
    <w:link w:val="Heading5"/>
    <w:rsid w:val="00A10945"/>
    <w:rPr>
      <w:rFonts w:ascii="Calibri" w:eastAsiaTheme="majorEastAsia" w:hAnsi="Calibri" w:cstheme="majorBidi"/>
      <w:u w:val="single"/>
    </w:rPr>
  </w:style>
  <w:style w:type="character" w:customStyle="1" w:styleId="Heading6Char">
    <w:name w:val="Heading 6 Char"/>
    <w:basedOn w:val="DefaultParagraphFont"/>
    <w:link w:val="Heading6"/>
    <w:uiPriority w:val="9"/>
    <w:semiHidden/>
    <w:rsid w:val="004C4985"/>
    <w:rPr>
      <w:rFonts w:asciiTheme="majorHAnsi" w:eastAsiaTheme="majorEastAsia" w:hAnsiTheme="majorHAnsi" w:cstheme="majorBidi"/>
      <w:i/>
      <w:iCs/>
      <w:color w:val="061642" w:themeColor="accent1" w:themeShade="7F"/>
    </w:rPr>
  </w:style>
  <w:style w:type="character" w:customStyle="1" w:styleId="Heading7Char">
    <w:name w:val="Heading 7 Char"/>
    <w:basedOn w:val="DefaultParagraphFont"/>
    <w:link w:val="Heading7"/>
    <w:uiPriority w:val="9"/>
    <w:semiHidden/>
    <w:rsid w:val="004C49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C498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4C4985"/>
    <w:rPr>
      <w:rFonts w:asciiTheme="majorHAnsi" w:eastAsiaTheme="majorEastAsia" w:hAnsiTheme="majorHAnsi" w:cstheme="majorBidi"/>
      <w:i/>
      <w:iCs/>
      <w:color w:val="404040" w:themeColor="text1" w:themeTint="BF"/>
      <w:szCs w:val="20"/>
    </w:rPr>
  </w:style>
  <w:style w:type="paragraph" w:customStyle="1" w:styleId="CalloutBox">
    <w:name w:val="Call out Box"/>
    <w:basedOn w:val="Normal"/>
    <w:link w:val="CalloutBoxChar"/>
    <w:qFormat/>
    <w:rsid w:val="00FF2126"/>
    <w:pPr>
      <w:spacing w:after="0" w:line="240" w:lineRule="auto"/>
    </w:pPr>
    <w:rPr>
      <w:i/>
      <w:iCs/>
      <w:color w:val="3A3A3A"/>
      <w:sz w:val="20"/>
    </w:rPr>
  </w:style>
  <w:style w:type="paragraph" w:customStyle="1" w:styleId="Table-Caption">
    <w:name w:val="Table - Caption"/>
    <w:basedOn w:val="Figure-Caption"/>
    <w:link w:val="Table-CaptionChar"/>
    <w:qFormat/>
    <w:rsid w:val="006D7897"/>
  </w:style>
  <w:style w:type="character" w:customStyle="1" w:styleId="CalloutBoxChar">
    <w:name w:val="Call out Box Char"/>
    <w:basedOn w:val="DefaultParagraphFont"/>
    <w:link w:val="CalloutBox"/>
    <w:rsid w:val="00430FA6"/>
    <w:rPr>
      <w:rFonts w:ascii="Calibri" w:hAnsi="Calibri"/>
      <w:i/>
      <w:iCs/>
      <w:color w:val="3A3A3A"/>
      <w:sz w:val="20"/>
    </w:rPr>
  </w:style>
  <w:style w:type="character" w:customStyle="1" w:styleId="Table-CaptionChar">
    <w:name w:val="Table - Caption Char"/>
    <w:basedOn w:val="Figure-CaptionChar"/>
    <w:link w:val="Table-Caption"/>
    <w:rsid w:val="00430FA6"/>
    <w:rPr>
      <w:rFonts w:ascii="Calibri" w:eastAsia="Times New Roman" w:hAnsi="Calibri" w:cs="Arial"/>
      <w:b/>
      <w:color w:val="2D3991"/>
      <w:sz w:val="20"/>
      <w:szCs w:val="20"/>
    </w:rPr>
  </w:style>
  <w:style w:type="paragraph" w:customStyle="1" w:styleId="Figure-Source">
    <w:name w:val="Figure - Source"/>
    <w:basedOn w:val="Table-Caption"/>
    <w:link w:val="Figure-SourceChar"/>
    <w:qFormat/>
    <w:rsid w:val="00D330DC"/>
    <w:pPr>
      <w:keepNext w:val="0"/>
      <w:spacing w:before="60" w:after="480"/>
    </w:pPr>
    <w:rPr>
      <w:b w:val="0"/>
      <w:i/>
      <w:sz w:val="18"/>
    </w:rPr>
  </w:style>
  <w:style w:type="paragraph" w:customStyle="1" w:styleId="Table-Source">
    <w:name w:val="Table - Source"/>
    <w:basedOn w:val="Figure-Source"/>
    <w:link w:val="Table-SourceChar"/>
    <w:qFormat/>
    <w:rsid w:val="00D330DC"/>
    <w:rPr>
      <w:rFonts w:asciiTheme="minorHAnsi" w:hAnsiTheme="minorHAnsi"/>
    </w:rPr>
  </w:style>
  <w:style w:type="character" w:customStyle="1" w:styleId="Figure-SourceChar">
    <w:name w:val="Figure - Source Char"/>
    <w:basedOn w:val="Table-CaptionChar"/>
    <w:link w:val="Figure-Source"/>
    <w:rsid w:val="00430FA6"/>
    <w:rPr>
      <w:rFonts w:ascii="Calibri" w:eastAsia="Times New Roman" w:hAnsi="Calibri" w:cs="Arial"/>
      <w:b w:val="0"/>
      <w:i/>
      <w:color w:val="2D3991"/>
      <w:sz w:val="18"/>
      <w:szCs w:val="20"/>
    </w:rPr>
  </w:style>
  <w:style w:type="paragraph" w:customStyle="1" w:styleId="Reference">
    <w:name w:val="Reference"/>
    <w:basedOn w:val="Normal"/>
    <w:link w:val="ReferenceChar"/>
    <w:qFormat/>
    <w:rsid w:val="00F57A0C"/>
    <w:pPr>
      <w:spacing w:after="120" w:line="240" w:lineRule="auto"/>
      <w:ind w:left="130" w:hanging="130"/>
    </w:pPr>
    <w:rPr>
      <w:sz w:val="20"/>
    </w:rPr>
  </w:style>
  <w:style w:type="character" w:customStyle="1" w:styleId="Table-SourceChar">
    <w:name w:val="Table - Source Char"/>
    <w:basedOn w:val="Figure-SourceChar"/>
    <w:link w:val="Table-Source"/>
    <w:rsid w:val="00430FA6"/>
    <w:rPr>
      <w:rFonts w:asciiTheme="minorHAnsi" w:eastAsia="Times New Roman" w:hAnsiTheme="minorHAnsi" w:cs="Arial"/>
      <w:b w:val="0"/>
      <w:i/>
      <w:color w:val="2D3991"/>
      <w:sz w:val="18"/>
      <w:szCs w:val="20"/>
    </w:rPr>
  </w:style>
  <w:style w:type="character" w:customStyle="1" w:styleId="ReferenceChar">
    <w:name w:val="Reference Char"/>
    <w:basedOn w:val="DefaultParagraphFont"/>
    <w:link w:val="Reference"/>
    <w:rsid w:val="00430FA6"/>
    <w:rPr>
      <w:rFonts w:ascii="Calibri" w:hAnsi="Calibri"/>
      <w:sz w:val="20"/>
    </w:rPr>
  </w:style>
  <w:style w:type="paragraph" w:styleId="BodyText">
    <w:name w:val="Body Text"/>
    <w:basedOn w:val="Normal"/>
    <w:link w:val="BodyTextChar"/>
    <w:uiPriority w:val="99"/>
    <w:unhideWhenUsed/>
    <w:rsid w:val="00DF217F"/>
    <w:pPr>
      <w:spacing w:after="120"/>
    </w:pPr>
  </w:style>
  <w:style w:type="character" w:customStyle="1" w:styleId="BodyTextChar">
    <w:name w:val="Body Text Char"/>
    <w:basedOn w:val="DefaultParagraphFont"/>
    <w:link w:val="BodyText"/>
    <w:uiPriority w:val="99"/>
    <w:rsid w:val="00DF217F"/>
  </w:style>
  <w:style w:type="paragraph" w:styleId="FootnoteText">
    <w:name w:val="footnote text"/>
    <w:basedOn w:val="Normal"/>
    <w:link w:val="FootnoteTextChar"/>
    <w:uiPriority w:val="99"/>
    <w:unhideWhenUsed/>
    <w:rsid w:val="00714AB5"/>
    <w:pPr>
      <w:spacing w:after="0" w:line="240" w:lineRule="auto"/>
    </w:pPr>
    <w:rPr>
      <w:sz w:val="20"/>
      <w:szCs w:val="20"/>
    </w:rPr>
  </w:style>
  <w:style w:type="character" w:customStyle="1" w:styleId="FootnoteTextChar">
    <w:name w:val="Footnote Text Char"/>
    <w:basedOn w:val="DefaultParagraphFont"/>
    <w:link w:val="FootnoteText"/>
    <w:uiPriority w:val="99"/>
    <w:rsid w:val="00714AB5"/>
    <w:rPr>
      <w:sz w:val="20"/>
      <w:szCs w:val="20"/>
    </w:rPr>
  </w:style>
  <w:style w:type="character" w:styleId="FootnoteReference">
    <w:name w:val="footnote reference"/>
    <w:basedOn w:val="DefaultParagraphFont"/>
    <w:uiPriority w:val="99"/>
    <w:unhideWhenUsed/>
    <w:rsid w:val="00953C91"/>
    <w:rPr>
      <w:rFonts w:asciiTheme="minorHAnsi" w:hAnsiTheme="minorHAnsi"/>
      <w:sz w:val="24"/>
      <w:vertAlign w:val="superscript"/>
    </w:rPr>
  </w:style>
  <w:style w:type="paragraph" w:customStyle="1" w:styleId="Figure">
    <w:name w:val="Figure"/>
    <w:basedOn w:val="Normal"/>
    <w:link w:val="FigureChar"/>
    <w:qFormat/>
    <w:rsid w:val="00EB6A70"/>
    <w:pPr>
      <w:spacing w:after="0" w:line="240" w:lineRule="auto"/>
    </w:pPr>
  </w:style>
  <w:style w:type="paragraph" w:customStyle="1" w:styleId="BlockQuote">
    <w:name w:val="Block Quote"/>
    <w:basedOn w:val="Normal"/>
    <w:link w:val="BlockQuoteChar"/>
    <w:qFormat/>
    <w:rsid w:val="00491CFA"/>
    <w:pPr>
      <w:ind w:left="1080" w:right="1080"/>
    </w:pPr>
    <w:rPr>
      <w:sz w:val="20"/>
    </w:rPr>
  </w:style>
  <w:style w:type="character" w:customStyle="1" w:styleId="FigureChar">
    <w:name w:val="Figure Char"/>
    <w:basedOn w:val="DefaultParagraphFont"/>
    <w:link w:val="Figure"/>
    <w:rsid w:val="00430FA6"/>
    <w:rPr>
      <w:rFonts w:ascii="Calibri" w:hAnsi="Calibri"/>
    </w:rPr>
  </w:style>
  <w:style w:type="paragraph" w:styleId="Header">
    <w:name w:val="header"/>
    <w:basedOn w:val="Normal"/>
    <w:link w:val="HeaderChar"/>
    <w:uiPriority w:val="99"/>
    <w:unhideWhenUsed/>
    <w:rsid w:val="00BC793D"/>
    <w:pPr>
      <w:tabs>
        <w:tab w:val="center" w:pos="4680"/>
        <w:tab w:val="right" w:pos="9360"/>
      </w:tabs>
      <w:spacing w:after="0" w:line="240" w:lineRule="auto"/>
    </w:pPr>
  </w:style>
  <w:style w:type="character" w:customStyle="1" w:styleId="BlockQuoteChar">
    <w:name w:val="Block Quote Char"/>
    <w:basedOn w:val="DefaultParagraphFont"/>
    <w:link w:val="BlockQuote"/>
    <w:rsid w:val="009309C5"/>
    <w:rPr>
      <w:rFonts w:ascii="Calibri" w:hAnsi="Calibri"/>
      <w:sz w:val="20"/>
    </w:rPr>
  </w:style>
  <w:style w:type="character" w:customStyle="1" w:styleId="HeaderChar">
    <w:name w:val="Header Char"/>
    <w:basedOn w:val="DefaultParagraphFont"/>
    <w:link w:val="Header"/>
    <w:uiPriority w:val="99"/>
    <w:rsid w:val="00BC793D"/>
  </w:style>
  <w:style w:type="paragraph" w:customStyle="1" w:styleId="URL">
    <w:name w:val="URL"/>
    <w:basedOn w:val="Table-Source"/>
    <w:link w:val="URLChar"/>
    <w:uiPriority w:val="1"/>
    <w:rsid w:val="00813875"/>
    <w:pPr>
      <w:spacing w:before="0" w:after="120"/>
    </w:pPr>
    <w:rPr>
      <w:rFonts w:ascii="Times New Roman" w:hAnsi="Times New Roman" w:cs="Times New Roman"/>
      <w:i w:val="0"/>
      <w:sz w:val="20"/>
    </w:rPr>
  </w:style>
  <w:style w:type="paragraph" w:customStyle="1" w:styleId="Footnote100">
    <w:name w:val="Footnote +100"/>
    <w:basedOn w:val="Footnote10"/>
    <w:qFormat/>
    <w:rsid w:val="00D86646"/>
    <w:pPr>
      <w:ind w:left="302" w:hanging="302"/>
    </w:pPr>
  </w:style>
  <w:style w:type="character" w:customStyle="1" w:styleId="URLChar">
    <w:name w:val="URL Char"/>
    <w:basedOn w:val="Table-SourceChar"/>
    <w:link w:val="URL"/>
    <w:uiPriority w:val="1"/>
    <w:rsid w:val="00FE64A5"/>
    <w:rPr>
      <w:rFonts w:ascii="Times New Roman" w:eastAsia="Times New Roman" w:hAnsi="Times New Roman" w:cs="Times New Roman"/>
      <w:b w:val="0"/>
      <w:i w:val="0"/>
      <w:smallCaps w:val="0"/>
      <w:color w:val="2D3991"/>
      <w:sz w:val="20"/>
      <w:szCs w:val="20"/>
    </w:rPr>
  </w:style>
  <w:style w:type="character" w:styleId="FollowedHyperlink">
    <w:name w:val="FollowedHyperlink"/>
    <w:basedOn w:val="DefaultParagraphFont"/>
    <w:uiPriority w:val="99"/>
    <w:semiHidden/>
    <w:unhideWhenUsed/>
    <w:rsid w:val="007439B5"/>
    <w:rPr>
      <w:color w:val="2D3991" w:themeColor="followedHyperlink"/>
      <w:u w:val="single"/>
    </w:rPr>
  </w:style>
  <w:style w:type="numbering" w:customStyle="1" w:styleId="Headings">
    <w:name w:val="Headings"/>
    <w:uiPriority w:val="99"/>
    <w:rsid w:val="002A5CE1"/>
    <w:pPr>
      <w:numPr>
        <w:numId w:val="30"/>
      </w:numPr>
    </w:pPr>
  </w:style>
  <w:style w:type="paragraph" w:styleId="NoSpacing">
    <w:name w:val="No Spacing"/>
    <w:link w:val="NoSpacingChar"/>
    <w:uiPriority w:val="1"/>
    <w:qFormat/>
    <w:rsid w:val="00132044"/>
    <w:pPr>
      <w:spacing w:after="0" w:line="240" w:lineRule="auto"/>
    </w:pPr>
    <w:rPr>
      <w:rFonts w:asciiTheme="minorHAnsi" w:eastAsiaTheme="minorEastAsia" w:hAnsiTheme="minorHAnsi"/>
      <w:sz w:val="24"/>
      <w:lang w:eastAsia="ja-JP"/>
    </w:rPr>
  </w:style>
  <w:style w:type="character" w:customStyle="1" w:styleId="NoSpacingChar">
    <w:name w:val="No Spacing Char"/>
    <w:basedOn w:val="DefaultParagraphFont"/>
    <w:link w:val="NoSpacing"/>
    <w:uiPriority w:val="1"/>
    <w:rsid w:val="00132044"/>
    <w:rPr>
      <w:rFonts w:asciiTheme="minorHAnsi" w:eastAsiaTheme="minorEastAsia" w:hAnsiTheme="minorHAnsi"/>
      <w:sz w:val="24"/>
      <w:lang w:eastAsia="ja-JP"/>
    </w:rPr>
  </w:style>
  <w:style w:type="paragraph" w:customStyle="1" w:styleId="Default">
    <w:name w:val="Default"/>
    <w:link w:val="DefaultChar"/>
    <w:rsid w:val="00D26961"/>
    <w:pPr>
      <w:autoSpaceDE w:val="0"/>
      <w:autoSpaceDN w:val="0"/>
      <w:adjustRightInd w:val="0"/>
      <w:spacing w:after="0" w:line="240" w:lineRule="auto"/>
    </w:pPr>
    <w:rPr>
      <w:rFonts w:ascii="Calibri" w:hAnsi="Calibri" w:cs="Calibri"/>
      <w:color w:val="000000"/>
      <w:sz w:val="24"/>
      <w:szCs w:val="24"/>
    </w:rPr>
  </w:style>
  <w:style w:type="character" w:customStyle="1" w:styleId="A1">
    <w:name w:val="A1"/>
    <w:uiPriority w:val="99"/>
    <w:rsid w:val="007F69B3"/>
    <w:rPr>
      <w:rFonts w:cs="Calibri"/>
      <w:b/>
      <w:bCs/>
      <w:szCs w:val="50"/>
    </w:rPr>
  </w:style>
  <w:style w:type="character" w:customStyle="1" w:styleId="A2">
    <w:name w:val="A2"/>
    <w:uiPriority w:val="99"/>
    <w:rsid w:val="00D26961"/>
    <w:rPr>
      <w:rFonts w:cs="Calibri"/>
      <w:color w:val="000000"/>
      <w:sz w:val="34"/>
      <w:szCs w:val="34"/>
    </w:rPr>
  </w:style>
  <w:style w:type="character" w:customStyle="1" w:styleId="A0">
    <w:name w:val="A0"/>
    <w:uiPriority w:val="99"/>
    <w:rsid w:val="00D26961"/>
    <w:rPr>
      <w:rFonts w:cs="Calibri"/>
      <w:color w:val="000000"/>
      <w:sz w:val="26"/>
      <w:szCs w:val="26"/>
    </w:rPr>
  </w:style>
  <w:style w:type="paragraph" w:customStyle="1" w:styleId="Pa1">
    <w:name w:val="Pa1"/>
    <w:basedOn w:val="Default"/>
    <w:next w:val="Default"/>
    <w:link w:val="Pa1Char"/>
    <w:uiPriority w:val="99"/>
    <w:rsid w:val="00D26961"/>
    <w:pPr>
      <w:spacing w:line="241" w:lineRule="atLeast"/>
    </w:pPr>
    <w:rPr>
      <w:rFonts w:cstheme="minorBidi"/>
      <w:color w:val="auto"/>
    </w:rPr>
  </w:style>
  <w:style w:type="character" w:customStyle="1" w:styleId="A3">
    <w:name w:val="A3"/>
    <w:uiPriority w:val="99"/>
    <w:rsid w:val="00D26961"/>
    <w:rPr>
      <w:rFonts w:cs="Calibri"/>
      <w:color w:val="000000"/>
      <w:sz w:val="22"/>
      <w:szCs w:val="22"/>
    </w:rPr>
  </w:style>
  <w:style w:type="paragraph" w:customStyle="1" w:styleId="Footnote10">
    <w:name w:val="Footnote +10"/>
    <w:basedOn w:val="Footnote"/>
    <w:link w:val="Footnote10Char"/>
    <w:qFormat/>
    <w:rsid w:val="009A33F6"/>
    <w:pPr>
      <w:ind w:left="216" w:hanging="216"/>
    </w:pPr>
  </w:style>
  <w:style w:type="character" w:customStyle="1" w:styleId="Footnote10Char">
    <w:name w:val="Footnote +10 Char"/>
    <w:basedOn w:val="FootnoteChar"/>
    <w:link w:val="Footnote10"/>
    <w:rsid w:val="00430FA6"/>
    <w:rPr>
      <w:rFonts w:ascii="Calibri" w:hAnsi="Calibri" w:cs="Arial"/>
      <w:color w:val="000000" w:themeColor="text1"/>
      <w:sz w:val="18"/>
      <w:szCs w:val="16"/>
    </w:rPr>
  </w:style>
  <w:style w:type="paragraph" w:customStyle="1" w:styleId="CoverTitle">
    <w:name w:val="Cover Title"/>
    <w:link w:val="CoverTitleChar"/>
    <w:qFormat/>
    <w:rsid w:val="001C2F3E"/>
    <w:pPr>
      <w:spacing w:before="1080" w:after="280" w:line="680" w:lineRule="exact"/>
      <w:ind w:left="1627" w:right="1080"/>
    </w:pPr>
    <w:rPr>
      <w:rFonts w:ascii="Calibri" w:hAnsi="Calibri"/>
      <w:b/>
      <w:color w:val="2D3991"/>
      <w:sz w:val="50"/>
      <w:szCs w:val="50"/>
    </w:rPr>
  </w:style>
  <w:style w:type="paragraph" w:customStyle="1" w:styleId="CoverSubTitle">
    <w:name w:val="Cover SubTitle"/>
    <w:link w:val="CoverSubTitleChar"/>
    <w:qFormat/>
    <w:rsid w:val="009116CC"/>
    <w:pPr>
      <w:spacing w:after="240" w:line="480" w:lineRule="exact"/>
      <w:ind w:left="1627" w:right="1267"/>
    </w:pPr>
    <w:rPr>
      <w:rFonts w:ascii="Calibri" w:hAnsi="Calibri"/>
      <w:color w:val="555555"/>
      <w:sz w:val="34"/>
    </w:rPr>
  </w:style>
  <w:style w:type="character" w:customStyle="1" w:styleId="CoverTitleChar">
    <w:name w:val="Cover Title Char"/>
    <w:basedOn w:val="DefaultParagraphFont"/>
    <w:link w:val="CoverTitle"/>
    <w:rsid w:val="00430FA6"/>
    <w:rPr>
      <w:rFonts w:ascii="Calibri" w:hAnsi="Calibri"/>
      <w:b/>
      <w:color w:val="2D3991"/>
      <w:sz w:val="50"/>
      <w:szCs w:val="50"/>
    </w:rPr>
  </w:style>
  <w:style w:type="paragraph" w:customStyle="1" w:styleId="CoverDate">
    <w:name w:val="Cover Date"/>
    <w:link w:val="CoverDateChar"/>
    <w:qFormat/>
    <w:rsid w:val="00672E38"/>
    <w:pPr>
      <w:spacing w:after="120" w:line="240" w:lineRule="auto"/>
      <w:ind w:left="1627" w:right="1267"/>
    </w:pPr>
    <w:rPr>
      <w:rFonts w:ascii="Calibri" w:hAnsi="Calibri"/>
      <w:b/>
      <w:bCs/>
      <w:color w:val="555555"/>
      <w:sz w:val="26"/>
    </w:rPr>
  </w:style>
  <w:style w:type="character" w:customStyle="1" w:styleId="CoverSubTitleChar">
    <w:name w:val="Cover SubTitle Char"/>
    <w:basedOn w:val="DefaultParagraphFont"/>
    <w:link w:val="CoverSubTitle"/>
    <w:rsid w:val="00430FA6"/>
    <w:rPr>
      <w:rFonts w:ascii="Calibri" w:hAnsi="Calibri"/>
      <w:color w:val="555555"/>
      <w:sz w:val="34"/>
    </w:rPr>
  </w:style>
  <w:style w:type="paragraph" w:customStyle="1" w:styleId="CoverAuthors">
    <w:name w:val="Cover Authors"/>
    <w:link w:val="CoverAuthorsChar"/>
    <w:qFormat/>
    <w:rsid w:val="009116CC"/>
    <w:pPr>
      <w:spacing w:after="0" w:line="320" w:lineRule="atLeast"/>
      <w:ind w:left="1627"/>
    </w:pPr>
    <w:rPr>
      <w:rFonts w:ascii="Calibri" w:hAnsi="Calibri"/>
      <w:color w:val="555555"/>
      <w:szCs w:val="24"/>
    </w:rPr>
  </w:style>
  <w:style w:type="character" w:customStyle="1" w:styleId="CoverDateChar">
    <w:name w:val="Cover Date Char"/>
    <w:basedOn w:val="DefaultParagraphFont"/>
    <w:link w:val="CoverDate"/>
    <w:rsid w:val="00430FA6"/>
    <w:rPr>
      <w:rFonts w:ascii="Calibri" w:hAnsi="Calibri"/>
      <w:b/>
      <w:bCs/>
      <w:color w:val="555555"/>
      <w:sz w:val="26"/>
    </w:rPr>
  </w:style>
  <w:style w:type="character" w:customStyle="1" w:styleId="DefaultChar">
    <w:name w:val="Default Char"/>
    <w:basedOn w:val="DefaultParagraphFont"/>
    <w:link w:val="Default"/>
    <w:rsid w:val="00345CCE"/>
    <w:rPr>
      <w:rFonts w:ascii="Calibri" w:hAnsi="Calibri" w:cs="Calibri"/>
      <w:color w:val="000000"/>
      <w:sz w:val="24"/>
      <w:szCs w:val="24"/>
    </w:rPr>
  </w:style>
  <w:style w:type="character" w:customStyle="1" w:styleId="Pa1Char">
    <w:name w:val="Pa1 Char"/>
    <w:basedOn w:val="DefaultChar"/>
    <w:link w:val="Pa1"/>
    <w:uiPriority w:val="99"/>
    <w:rsid w:val="00345CCE"/>
    <w:rPr>
      <w:rFonts w:ascii="Calibri" w:hAnsi="Calibri" w:cs="Calibri"/>
      <w:color w:val="000000"/>
      <w:sz w:val="24"/>
      <w:szCs w:val="24"/>
    </w:rPr>
  </w:style>
  <w:style w:type="character" w:customStyle="1" w:styleId="CoverAuthorsChar">
    <w:name w:val="Cover Authors Char"/>
    <w:basedOn w:val="Pa1Char"/>
    <w:link w:val="CoverAuthors"/>
    <w:rsid w:val="00430FA6"/>
    <w:rPr>
      <w:rFonts w:ascii="Calibri" w:hAnsi="Calibri" w:cs="Calibri"/>
      <w:color w:val="555555"/>
      <w:sz w:val="24"/>
      <w:szCs w:val="24"/>
    </w:rPr>
  </w:style>
  <w:style w:type="table" w:styleId="TableGrid">
    <w:name w:val="Table Grid"/>
    <w:basedOn w:val="TableNormal"/>
    <w:uiPriority w:val="59"/>
    <w:rsid w:val="00F47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83C32"/>
    <w:rPr>
      <w:sz w:val="16"/>
      <w:szCs w:val="16"/>
    </w:rPr>
  </w:style>
  <w:style w:type="paragraph" w:styleId="CommentText">
    <w:name w:val="annotation text"/>
    <w:basedOn w:val="Normal"/>
    <w:link w:val="CommentTextChar"/>
    <w:uiPriority w:val="99"/>
    <w:semiHidden/>
    <w:unhideWhenUsed/>
    <w:rsid w:val="00483C32"/>
    <w:pPr>
      <w:spacing w:line="240" w:lineRule="auto"/>
    </w:pPr>
    <w:rPr>
      <w:sz w:val="20"/>
      <w:szCs w:val="20"/>
    </w:rPr>
  </w:style>
  <w:style w:type="character" w:customStyle="1" w:styleId="CommentTextChar">
    <w:name w:val="Comment Text Char"/>
    <w:basedOn w:val="DefaultParagraphFont"/>
    <w:link w:val="CommentText"/>
    <w:uiPriority w:val="99"/>
    <w:semiHidden/>
    <w:rsid w:val="00483C3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83C32"/>
    <w:rPr>
      <w:b/>
      <w:bCs/>
    </w:rPr>
  </w:style>
  <w:style w:type="character" w:customStyle="1" w:styleId="CommentSubjectChar">
    <w:name w:val="Comment Subject Char"/>
    <w:basedOn w:val="CommentTextChar"/>
    <w:link w:val="CommentSubject"/>
    <w:uiPriority w:val="99"/>
    <w:semiHidden/>
    <w:rsid w:val="00483C32"/>
    <w:rPr>
      <w:rFonts w:ascii="Calibri" w:hAnsi="Calibri"/>
      <w:b/>
      <w:bCs/>
      <w:sz w:val="20"/>
      <w:szCs w:val="20"/>
    </w:rPr>
  </w:style>
  <w:style w:type="paragraph" w:customStyle="1" w:styleId="Style1">
    <w:name w:val="Style1"/>
    <w:basedOn w:val="NoSpacing"/>
    <w:qFormat/>
    <w:rsid w:val="00132044"/>
    <w:pPr>
      <w:numPr>
        <w:numId w:val="48"/>
      </w:num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2"/>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3"/>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Body text"/>
    <w:qFormat/>
    <w:rsid w:val="003F42C1"/>
    <w:rPr>
      <w:rFonts w:ascii="Calibri" w:hAnsi="Calibri"/>
      <w:sz w:val="24"/>
    </w:rPr>
  </w:style>
  <w:style w:type="paragraph" w:styleId="Heading1">
    <w:name w:val="heading 1"/>
    <w:basedOn w:val="Normal"/>
    <w:next w:val="Normal"/>
    <w:link w:val="Heading1Char"/>
    <w:qFormat/>
    <w:rsid w:val="00C91147"/>
    <w:pPr>
      <w:keepNext/>
      <w:numPr>
        <w:numId w:val="45"/>
      </w:numPr>
      <w:spacing w:before="720" w:after="360" w:line="240" w:lineRule="auto"/>
      <w:ind w:left="720" w:hanging="720"/>
      <w:outlineLvl w:val="0"/>
    </w:pPr>
    <w:rPr>
      <w:rFonts w:eastAsiaTheme="majorEastAsia" w:cstheme="majorBidi"/>
      <w:b/>
      <w:smallCaps/>
      <w:kern w:val="28"/>
      <w:sz w:val="40"/>
      <w:szCs w:val="20"/>
    </w:rPr>
  </w:style>
  <w:style w:type="paragraph" w:styleId="Heading2">
    <w:name w:val="heading 2"/>
    <w:basedOn w:val="Normal"/>
    <w:next w:val="Normal"/>
    <w:link w:val="Heading2Char"/>
    <w:qFormat/>
    <w:rsid w:val="00985012"/>
    <w:pPr>
      <w:keepNext/>
      <w:numPr>
        <w:ilvl w:val="1"/>
        <w:numId w:val="45"/>
      </w:numPr>
      <w:spacing w:before="360" w:line="240" w:lineRule="auto"/>
      <w:ind w:left="720" w:hanging="720"/>
      <w:outlineLvl w:val="1"/>
    </w:pPr>
    <w:rPr>
      <w:rFonts w:eastAsiaTheme="majorEastAsia" w:cs="Arial"/>
      <w:b/>
      <w:bCs/>
      <w:sz w:val="28"/>
      <w:szCs w:val="26"/>
    </w:rPr>
  </w:style>
  <w:style w:type="paragraph" w:styleId="Heading3">
    <w:name w:val="heading 3"/>
    <w:basedOn w:val="Normal"/>
    <w:next w:val="Normal"/>
    <w:link w:val="Heading3Char"/>
    <w:qFormat/>
    <w:rsid w:val="00491CFA"/>
    <w:pPr>
      <w:keepNext/>
      <w:spacing w:before="320" w:after="160" w:line="240" w:lineRule="auto"/>
      <w:outlineLvl w:val="2"/>
    </w:pPr>
    <w:rPr>
      <w:rFonts w:eastAsiaTheme="majorEastAsia" w:cs="Arial"/>
      <w:b/>
      <w:bCs/>
    </w:rPr>
  </w:style>
  <w:style w:type="paragraph" w:styleId="Heading4">
    <w:name w:val="heading 4"/>
    <w:basedOn w:val="Normal"/>
    <w:next w:val="Normal"/>
    <w:link w:val="Heading4Char"/>
    <w:qFormat/>
    <w:rsid w:val="007062C1"/>
    <w:pPr>
      <w:keepNext/>
      <w:spacing w:before="360" w:after="120" w:line="240" w:lineRule="auto"/>
      <w:outlineLvl w:val="3"/>
    </w:pPr>
    <w:rPr>
      <w:rFonts w:eastAsiaTheme="majorEastAsia" w:cs="Arial"/>
      <w:b/>
      <w:bCs/>
      <w:i/>
      <w:iCs/>
    </w:rPr>
  </w:style>
  <w:style w:type="paragraph" w:styleId="Heading5">
    <w:name w:val="heading 5"/>
    <w:basedOn w:val="Normal"/>
    <w:next w:val="Normal"/>
    <w:link w:val="Heading5Char"/>
    <w:qFormat/>
    <w:rsid w:val="00A10945"/>
    <w:pPr>
      <w:keepNext/>
      <w:keepLines/>
      <w:spacing w:before="240" w:after="120" w:line="240" w:lineRule="auto"/>
      <w:outlineLvl w:val="4"/>
    </w:pPr>
    <w:rPr>
      <w:rFonts w:eastAsiaTheme="majorEastAsia" w:cstheme="majorBidi"/>
      <w:u w:val="single"/>
    </w:rPr>
  </w:style>
  <w:style w:type="paragraph" w:styleId="Heading6">
    <w:name w:val="heading 6"/>
    <w:basedOn w:val="Normal"/>
    <w:next w:val="Normal"/>
    <w:link w:val="Heading6Char"/>
    <w:uiPriority w:val="9"/>
    <w:semiHidden/>
    <w:unhideWhenUsed/>
    <w:rsid w:val="004C4985"/>
    <w:pPr>
      <w:keepNext/>
      <w:keepLines/>
      <w:numPr>
        <w:ilvl w:val="5"/>
        <w:numId w:val="28"/>
      </w:numPr>
      <w:spacing w:before="200" w:after="0"/>
      <w:outlineLvl w:val="5"/>
    </w:pPr>
    <w:rPr>
      <w:rFonts w:asciiTheme="majorHAnsi" w:eastAsiaTheme="majorEastAsia" w:hAnsiTheme="majorHAnsi" w:cstheme="majorBidi"/>
      <w:i/>
      <w:iCs/>
      <w:color w:val="061642" w:themeColor="accent1" w:themeShade="7F"/>
    </w:rPr>
  </w:style>
  <w:style w:type="paragraph" w:styleId="Heading7">
    <w:name w:val="heading 7"/>
    <w:basedOn w:val="Normal"/>
    <w:next w:val="Normal"/>
    <w:link w:val="Heading7Char"/>
    <w:uiPriority w:val="9"/>
    <w:semiHidden/>
    <w:unhideWhenUsed/>
    <w:qFormat/>
    <w:rsid w:val="004C4985"/>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4985"/>
    <w:pPr>
      <w:keepNext/>
      <w:keepLines/>
      <w:numPr>
        <w:ilvl w:val="7"/>
        <w:numId w:val="28"/>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C4985"/>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7D24"/>
    <w:pPr>
      <w:pBdr>
        <w:top w:val="single" w:sz="4" w:space="3" w:color="0C2E86"/>
      </w:pBdr>
      <w:tabs>
        <w:tab w:val="center" w:pos="4680"/>
        <w:tab w:val="right" w:pos="9360"/>
      </w:tabs>
      <w:spacing w:after="0" w:line="240" w:lineRule="auto"/>
    </w:pPr>
    <w:rPr>
      <w:noProof/>
      <w:sz w:val="18"/>
    </w:rPr>
  </w:style>
  <w:style w:type="character" w:customStyle="1" w:styleId="FooterChar">
    <w:name w:val="Footer Char"/>
    <w:basedOn w:val="DefaultParagraphFont"/>
    <w:link w:val="Footer"/>
    <w:rsid w:val="009309C5"/>
    <w:rPr>
      <w:rFonts w:ascii="Calibri" w:hAnsi="Calibri"/>
      <w:noProof/>
      <w:sz w:val="18"/>
    </w:rPr>
  </w:style>
  <w:style w:type="paragraph" w:styleId="BalloonText">
    <w:name w:val="Balloon Text"/>
    <w:basedOn w:val="Normal"/>
    <w:link w:val="BalloonTextChar"/>
    <w:uiPriority w:val="99"/>
    <w:semiHidden/>
    <w:unhideWhenUsed/>
    <w:rsid w:val="00344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18E"/>
    <w:rPr>
      <w:rFonts w:ascii="Tahoma" w:hAnsi="Tahoma" w:cs="Tahoma"/>
      <w:sz w:val="16"/>
      <w:szCs w:val="16"/>
    </w:rPr>
  </w:style>
  <w:style w:type="paragraph" w:customStyle="1" w:styleId="BulletList2">
    <w:name w:val="Bullet List 2"/>
    <w:basedOn w:val="ListParagraph"/>
    <w:link w:val="BulletList2Char"/>
    <w:qFormat/>
    <w:rsid w:val="00FF2126"/>
    <w:pPr>
      <w:numPr>
        <w:numId w:val="47"/>
      </w:numPr>
      <w:ind w:left="1440"/>
    </w:pPr>
  </w:style>
  <w:style w:type="paragraph" w:customStyle="1" w:styleId="BulletList3">
    <w:name w:val="Bullet List 3"/>
    <w:basedOn w:val="BulletList2"/>
    <w:link w:val="BulletList3Char"/>
    <w:qFormat/>
    <w:rsid w:val="00FF2126"/>
    <w:pPr>
      <w:numPr>
        <w:numId w:val="22"/>
      </w:numPr>
    </w:pPr>
  </w:style>
  <w:style w:type="paragraph" w:customStyle="1" w:styleId="Footnote">
    <w:name w:val="Footnote"/>
    <w:basedOn w:val="Normal"/>
    <w:link w:val="FootnoteChar"/>
    <w:qFormat/>
    <w:rsid w:val="006D2E86"/>
    <w:pPr>
      <w:spacing w:after="40" w:line="240" w:lineRule="auto"/>
      <w:ind w:left="130" w:hanging="130"/>
    </w:pPr>
    <w:rPr>
      <w:rFonts w:cs="Arial"/>
      <w:color w:val="000000" w:themeColor="text1"/>
      <w:sz w:val="18"/>
      <w:szCs w:val="16"/>
    </w:rPr>
  </w:style>
  <w:style w:type="character" w:customStyle="1" w:styleId="FootnoteChar">
    <w:name w:val="Footnote Char"/>
    <w:basedOn w:val="DefaultParagraphFont"/>
    <w:link w:val="Footnote"/>
    <w:rsid w:val="00430FA6"/>
    <w:rPr>
      <w:rFonts w:ascii="Calibri" w:hAnsi="Calibri" w:cs="Arial"/>
      <w:color w:val="000000" w:themeColor="text1"/>
      <w:sz w:val="18"/>
      <w:szCs w:val="16"/>
    </w:rPr>
  </w:style>
  <w:style w:type="character" w:customStyle="1" w:styleId="Heading1Char">
    <w:name w:val="Heading 1 Char"/>
    <w:basedOn w:val="DefaultParagraphFont"/>
    <w:link w:val="Heading1"/>
    <w:rsid w:val="00C91147"/>
    <w:rPr>
      <w:rFonts w:ascii="Calibri" w:eastAsiaTheme="majorEastAsia" w:hAnsi="Calibri" w:cstheme="majorBidi"/>
      <w:b/>
      <w:smallCaps/>
      <w:kern w:val="28"/>
      <w:sz w:val="40"/>
      <w:szCs w:val="20"/>
    </w:rPr>
  </w:style>
  <w:style w:type="paragraph" w:styleId="TOCHeading">
    <w:name w:val="TOC Heading"/>
    <w:basedOn w:val="Heading1"/>
    <w:next w:val="Normal"/>
    <w:link w:val="TOCHeadingChar"/>
    <w:uiPriority w:val="2"/>
    <w:qFormat/>
    <w:rsid w:val="003C6EEC"/>
    <w:pPr>
      <w:numPr>
        <w:numId w:val="0"/>
      </w:numPr>
      <w:spacing w:after="0"/>
      <w:outlineLvl w:val="9"/>
    </w:pPr>
    <w:rPr>
      <w:rFonts w:cs="Arial"/>
      <w:spacing w:val="20"/>
      <w:lang w:eastAsia="ja-JP"/>
    </w:rPr>
  </w:style>
  <w:style w:type="character" w:customStyle="1" w:styleId="ListParagraphChar">
    <w:name w:val="List Paragraph Char"/>
    <w:aliases w:val="Bullet List 1 Char"/>
    <w:basedOn w:val="DefaultParagraphFont"/>
    <w:link w:val="ListParagraph"/>
    <w:rsid w:val="00430FA6"/>
    <w:rPr>
      <w:rFonts w:ascii="Calibri" w:hAnsi="Calibri"/>
    </w:rPr>
  </w:style>
  <w:style w:type="character" w:customStyle="1" w:styleId="BulletList2Char">
    <w:name w:val="Bullet List 2 Char"/>
    <w:basedOn w:val="ListParagraphChar"/>
    <w:link w:val="BulletList2"/>
    <w:rsid w:val="00430FA6"/>
    <w:rPr>
      <w:rFonts w:ascii="Calibri" w:hAnsi="Calibri"/>
    </w:rPr>
  </w:style>
  <w:style w:type="paragraph" w:customStyle="1" w:styleId="TableText">
    <w:name w:val="Table Text"/>
    <w:basedOn w:val="Normal"/>
    <w:link w:val="TableTextChar"/>
    <w:qFormat/>
    <w:rsid w:val="009A17D8"/>
    <w:pPr>
      <w:spacing w:before="100" w:beforeAutospacing="1" w:after="100" w:afterAutospacing="1" w:line="240" w:lineRule="auto"/>
    </w:pPr>
    <w:rPr>
      <w:rFonts w:ascii="Arial" w:hAnsi="Arial"/>
      <w:color w:val="000000" w:themeColor="text1"/>
      <w:sz w:val="18"/>
    </w:rPr>
  </w:style>
  <w:style w:type="character" w:customStyle="1" w:styleId="TableTextChar">
    <w:name w:val="Table Text Char"/>
    <w:basedOn w:val="DefaultParagraphFont"/>
    <w:link w:val="TableText"/>
    <w:rsid w:val="00430FA6"/>
    <w:rPr>
      <w:rFonts w:ascii="Arial" w:hAnsi="Arial"/>
      <w:color w:val="000000" w:themeColor="text1"/>
      <w:sz w:val="18"/>
    </w:rPr>
  </w:style>
  <w:style w:type="paragraph" w:customStyle="1" w:styleId="Figure-Caption">
    <w:name w:val="Figure - Caption"/>
    <w:basedOn w:val="Caption"/>
    <w:link w:val="Figure-CaptionChar"/>
    <w:qFormat/>
    <w:rsid w:val="009A17D8"/>
    <w:pPr>
      <w:keepNext/>
      <w:spacing w:before="360" w:after="60" w:line="240" w:lineRule="auto"/>
    </w:pPr>
    <w:rPr>
      <w:rFonts w:eastAsia="Times New Roman" w:cs="Arial"/>
      <w:bCs w:val="0"/>
      <w:color w:val="2D3991"/>
      <w:szCs w:val="20"/>
    </w:rPr>
  </w:style>
  <w:style w:type="character" w:customStyle="1" w:styleId="Figure-CaptionChar">
    <w:name w:val="Figure - Caption Char"/>
    <w:basedOn w:val="DefaultParagraphFont"/>
    <w:link w:val="Figure-Caption"/>
    <w:rsid w:val="00430FA6"/>
    <w:rPr>
      <w:rFonts w:ascii="Calibri" w:eastAsia="Times New Roman" w:hAnsi="Calibri" w:cs="Arial"/>
      <w:b/>
      <w:color w:val="2D3991"/>
      <w:sz w:val="20"/>
      <w:szCs w:val="20"/>
    </w:rPr>
  </w:style>
  <w:style w:type="paragraph" w:styleId="Caption">
    <w:name w:val="caption"/>
    <w:basedOn w:val="Normal"/>
    <w:next w:val="Normal"/>
    <w:uiPriority w:val="35"/>
    <w:unhideWhenUsed/>
    <w:qFormat/>
    <w:rsid w:val="003F42C1"/>
    <w:rPr>
      <w:b/>
      <w:bCs/>
      <w:color w:val="0C2E86" w:themeColor="accent1"/>
      <w:sz w:val="20"/>
      <w:szCs w:val="18"/>
    </w:rPr>
  </w:style>
  <w:style w:type="character" w:customStyle="1" w:styleId="Heading2Char">
    <w:name w:val="Heading 2 Char"/>
    <w:basedOn w:val="DefaultParagraphFont"/>
    <w:link w:val="Heading2"/>
    <w:rsid w:val="00985012"/>
    <w:rPr>
      <w:rFonts w:ascii="Calibri" w:eastAsiaTheme="majorEastAsia" w:hAnsi="Calibri" w:cs="Arial"/>
      <w:b/>
      <w:bCs/>
      <w:sz w:val="28"/>
      <w:szCs w:val="26"/>
    </w:rPr>
  </w:style>
  <w:style w:type="character" w:customStyle="1" w:styleId="Heading3Char">
    <w:name w:val="Heading 3 Char"/>
    <w:basedOn w:val="DefaultParagraphFont"/>
    <w:link w:val="Heading3"/>
    <w:rsid w:val="00491CFA"/>
    <w:rPr>
      <w:rFonts w:ascii="Calibri" w:eastAsiaTheme="majorEastAsia" w:hAnsi="Calibri" w:cs="Arial"/>
      <w:b/>
      <w:bCs/>
      <w:sz w:val="24"/>
    </w:rPr>
  </w:style>
  <w:style w:type="character" w:customStyle="1" w:styleId="Heading4Char">
    <w:name w:val="Heading 4 Char"/>
    <w:basedOn w:val="DefaultParagraphFont"/>
    <w:link w:val="Heading4"/>
    <w:rsid w:val="005C5DD4"/>
    <w:rPr>
      <w:rFonts w:ascii="Calibri" w:eastAsiaTheme="majorEastAsia" w:hAnsi="Calibri" w:cs="Arial"/>
      <w:b/>
      <w:bCs/>
      <w:i/>
      <w:iCs/>
    </w:rPr>
  </w:style>
  <w:style w:type="paragraph" w:styleId="TOC1">
    <w:name w:val="toc 1"/>
    <w:basedOn w:val="Normal"/>
    <w:next w:val="Normal"/>
    <w:autoRedefine/>
    <w:uiPriority w:val="39"/>
    <w:qFormat/>
    <w:rsid w:val="004C15FC"/>
    <w:pPr>
      <w:tabs>
        <w:tab w:val="right" w:leader="dot" w:pos="9360"/>
      </w:tabs>
      <w:spacing w:before="360" w:after="0" w:line="240" w:lineRule="auto"/>
      <w:ind w:left="547" w:hanging="547"/>
    </w:pPr>
    <w:rPr>
      <w:rFonts w:cs="Arial"/>
      <w:b/>
      <w:smallCaps/>
      <w:noProof/>
      <w:sz w:val="28"/>
      <w:szCs w:val="28"/>
    </w:rPr>
  </w:style>
  <w:style w:type="paragraph" w:styleId="TOC2">
    <w:name w:val="toc 2"/>
    <w:basedOn w:val="Normal"/>
    <w:next w:val="Normal"/>
    <w:autoRedefine/>
    <w:uiPriority w:val="39"/>
    <w:qFormat/>
    <w:rsid w:val="004C15FC"/>
    <w:pPr>
      <w:tabs>
        <w:tab w:val="left" w:leader="dot" w:pos="1320"/>
        <w:tab w:val="right" w:leader="dot" w:pos="9350"/>
      </w:tabs>
      <w:spacing w:before="120" w:after="120" w:line="240" w:lineRule="auto"/>
      <w:ind w:left="1080" w:hanging="540"/>
    </w:pPr>
    <w:rPr>
      <w:b/>
    </w:rPr>
  </w:style>
  <w:style w:type="paragraph" w:styleId="TOC3">
    <w:name w:val="toc 3"/>
    <w:basedOn w:val="Normal"/>
    <w:next w:val="Normal"/>
    <w:autoRedefine/>
    <w:uiPriority w:val="39"/>
    <w:qFormat/>
    <w:rsid w:val="003C6EEC"/>
    <w:pPr>
      <w:tabs>
        <w:tab w:val="right" w:leader="dot" w:pos="9350"/>
      </w:tabs>
      <w:spacing w:before="120" w:after="120" w:line="240" w:lineRule="auto"/>
      <w:ind w:left="1080"/>
    </w:pPr>
  </w:style>
  <w:style w:type="character" w:customStyle="1" w:styleId="BulletList3Char">
    <w:name w:val="Bullet List 3 Char"/>
    <w:basedOn w:val="BulletList2Char"/>
    <w:link w:val="BulletList3"/>
    <w:rsid w:val="00430FA6"/>
    <w:rPr>
      <w:rFonts w:ascii="Calibri" w:hAnsi="Calibri"/>
    </w:rPr>
  </w:style>
  <w:style w:type="table" w:styleId="LightList-Accent1">
    <w:name w:val="Light List Accent 1"/>
    <w:basedOn w:val="TableNormal"/>
    <w:uiPriority w:val="61"/>
    <w:rsid w:val="00016FC4"/>
    <w:pPr>
      <w:spacing w:after="0" w:line="240" w:lineRule="auto"/>
    </w:pPr>
    <w:tblPr>
      <w:tblStyleRowBandSize w:val="1"/>
      <w:tblStyleColBandSize w:val="1"/>
      <w:tblInd w:w="0" w:type="dxa"/>
      <w:tblBorders>
        <w:top w:val="single" w:sz="8" w:space="0" w:color="0C2E86" w:themeColor="accent1"/>
        <w:left w:val="single" w:sz="8" w:space="0" w:color="0C2E86" w:themeColor="accent1"/>
        <w:bottom w:val="single" w:sz="8" w:space="0" w:color="0C2E86" w:themeColor="accent1"/>
        <w:right w:val="single" w:sz="8" w:space="0" w:color="0C2E8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C2E86" w:themeFill="accent1"/>
      </w:tcPr>
    </w:tblStylePr>
    <w:tblStylePr w:type="lastRow">
      <w:pPr>
        <w:spacing w:before="0" w:after="0" w:line="240" w:lineRule="auto"/>
      </w:pPr>
      <w:rPr>
        <w:b/>
        <w:bCs/>
      </w:rPr>
      <w:tblPr/>
      <w:tcPr>
        <w:tcBorders>
          <w:top w:val="double" w:sz="6" w:space="0" w:color="0C2E86" w:themeColor="accent1"/>
          <w:left w:val="single" w:sz="8" w:space="0" w:color="0C2E86" w:themeColor="accent1"/>
          <w:bottom w:val="single" w:sz="8" w:space="0" w:color="0C2E86" w:themeColor="accent1"/>
          <w:right w:val="single" w:sz="8" w:space="0" w:color="0C2E86" w:themeColor="accent1"/>
        </w:tcBorders>
      </w:tcPr>
    </w:tblStylePr>
    <w:tblStylePr w:type="firstCol">
      <w:rPr>
        <w:b/>
        <w:bCs/>
      </w:rPr>
    </w:tblStylePr>
    <w:tblStylePr w:type="lastCol">
      <w:rPr>
        <w:b/>
        <w:bCs/>
      </w:rPr>
    </w:tblStylePr>
    <w:tblStylePr w:type="band1Vert">
      <w:tblPr/>
      <w:tcPr>
        <w:tcBorders>
          <w:top w:val="single" w:sz="8" w:space="0" w:color="0C2E86" w:themeColor="accent1"/>
          <w:left w:val="single" w:sz="8" w:space="0" w:color="0C2E86" w:themeColor="accent1"/>
          <w:bottom w:val="single" w:sz="8" w:space="0" w:color="0C2E86" w:themeColor="accent1"/>
          <w:right w:val="single" w:sz="8" w:space="0" w:color="0C2E86" w:themeColor="accent1"/>
        </w:tcBorders>
      </w:tcPr>
    </w:tblStylePr>
    <w:tblStylePr w:type="band1Horz">
      <w:tblPr/>
      <w:tcPr>
        <w:tcBorders>
          <w:top w:val="single" w:sz="8" w:space="0" w:color="0C2E86" w:themeColor="accent1"/>
          <w:left w:val="single" w:sz="8" w:space="0" w:color="0C2E86" w:themeColor="accent1"/>
          <w:bottom w:val="single" w:sz="8" w:space="0" w:color="0C2E86" w:themeColor="accent1"/>
          <w:right w:val="single" w:sz="8" w:space="0" w:color="0C2E86" w:themeColor="accent1"/>
        </w:tcBorders>
      </w:tcPr>
    </w:tblStylePr>
  </w:style>
  <w:style w:type="paragraph" w:styleId="ListParagraph">
    <w:name w:val="List Paragraph"/>
    <w:aliases w:val="Bullet List 1"/>
    <w:basedOn w:val="Normal"/>
    <w:link w:val="ListParagraphChar"/>
    <w:qFormat/>
    <w:rsid w:val="00FF2126"/>
    <w:pPr>
      <w:numPr>
        <w:numId w:val="9"/>
      </w:numPr>
      <w:spacing w:line="240" w:lineRule="auto"/>
      <w:ind w:left="720" w:right="720"/>
    </w:pPr>
  </w:style>
  <w:style w:type="character" w:customStyle="1" w:styleId="TOCHeadingChar">
    <w:name w:val="TOC Heading Char"/>
    <w:basedOn w:val="Heading1Char"/>
    <w:link w:val="TOCHeading"/>
    <w:uiPriority w:val="2"/>
    <w:rsid w:val="00FE64A5"/>
    <w:rPr>
      <w:rFonts w:ascii="Calibri" w:eastAsiaTheme="majorEastAsia" w:hAnsi="Calibri" w:cs="Arial"/>
      <w:b/>
      <w:smallCaps/>
      <w:spacing w:val="20"/>
      <w:kern w:val="28"/>
      <w:sz w:val="36"/>
      <w:szCs w:val="20"/>
      <w:lang w:eastAsia="ja-JP"/>
    </w:rPr>
  </w:style>
  <w:style w:type="character" w:customStyle="1" w:styleId="Heading5Char">
    <w:name w:val="Heading 5 Char"/>
    <w:basedOn w:val="DefaultParagraphFont"/>
    <w:link w:val="Heading5"/>
    <w:rsid w:val="00A10945"/>
    <w:rPr>
      <w:rFonts w:ascii="Calibri" w:eastAsiaTheme="majorEastAsia" w:hAnsi="Calibri" w:cstheme="majorBidi"/>
      <w:u w:val="single"/>
    </w:rPr>
  </w:style>
  <w:style w:type="character" w:customStyle="1" w:styleId="Heading6Char">
    <w:name w:val="Heading 6 Char"/>
    <w:basedOn w:val="DefaultParagraphFont"/>
    <w:link w:val="Heading6"/>
    <w:uiPriority w:val="9"/>
    <w:semiHidden/>
    <w:rsid w:val="004C4985"/>
    <w:rPr>
      <w:rFonts w:asciiTheme="majorHAnsi" w:eastAsiaTheme="majorEastAsia" w:hAnsiTheme="majorHAnsi" w:cstheme="majorBidi"/>
      <w:i/>
      <w:iCs/>
      <w:color w:val="061642" w:themeColor="accent1" w:themeShade="7F"/>
    </w:rPr>
  </w:style>
  <w:style w:type="character" w:customStyle="1" w:styleId="Heading7Char">
    <w:name w:val="Heading 7 Char"/>
    <w:basedOn w:val="DefaultParagraphFont"/>
    <w:link w:val="Heading7"/>
    <w:uiPriority w:val="9"/>
    <w:semiHidden/>
    <w:rsid w:val="004C49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C498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4C4985"/>
    <w:rPr>
      <w:rFonts w:asciiTheme="majorHAnsi" w:eastAsiaTheme="majorEastAsia" w:hAnsiTheme="majorHAnsi" w:cstheme="majorBidi"/>
      <w:i/>
      <w:iCs/>
      <w:color w:val="404040" w:themeColor="text1" w:themeTint="BF"/>
      <w:szCs w:val="20"/>
    </w:rPr>
  </w:style>
  <w:style w:type="paragraph" w:customStyle="1" w:styleId="CalloutBox">
    <w:name w:val="Call out Box"/>
    <w:basedOn w:val="Normal"/>
    <w:link w:val="CalloutBoxChar"/>
    <w:qFormat/>
    <w:rsid w:val="00FF2126"/>
    <w:pPr>
      <w:spacing w:after="0" w:line="240" w:lineRule="auto"/>
    </w:pPr>
    <w:rPr>
      <w:i/>
      <w:iCs/>
      <w:color w:val="3A3A3A"/>
      <w:sz w:val="20"/>
    </w:rPr>
  </w:style>
  <w:style w:type="paragraph" w:customStyle="1" w:styleId="Table-Caption">
    <w:name w:val="Table - Caption"/>
    <w:basedOn w:val="Figure-Caption"/>
    <w:link w:val="Table-CaptionChar"/>
    <w:qFormat/>
    <w:rsid w:val="006D7897"/>
  </w:style>
  <w:style w:type="character" w:customStyle="1" w:styleId="CalloutBoxChar">
    <w:name w:val="Call out Box Char"/>
    <w:basedOn w:val="DefaultParagraphFont"/>
    <w:link w:val="CalloutBox"/>
    <w:rsid w:val="00430FA6"/>
    <w:rPr>
      <w:rFonts w:ascii="Calibri" w:hAnsi="Calibri"/>
      <w:i/>
      <w:iCs/>
      <w:color w:val="3A3A3A"/>
      <w:sz w:val="20"/>
    </w:rPr>
  </w:style>
  <w:style w:type="character" w:customStyle="1" w:styleId="Table-CaptionChar">
    <w:name w:val="Table - Caption Char"/>
    <w:basedOn w:val="Figure-CaptionChar"/>
    <w:link w:val="Table-Caption"/>
    <w:rsid w:val="00430FA6"/>
    <w:rPr>
      <w:rFonts w:ascii="Calibri" w:eastAsia="Times New Roman" w:hAnsi="Calibri" w:cs="Arial"/>
      <w:b/>
      <w:color w:val="2D3991"/>
      <w:sz w:val="20"/>
      <w:szCs w:val="20"/>
    </w:rPr>
  </w:style>
  <w:style w:type="paragraph" w:customStyle="1" w:styleId="Figure-Source">
    <w:name w:val="Figure - Source"/>
    <w:basedOn w:val="Table-Caption"/>
    <w:link w:val="Figure-SourceChar"/>
    <w:qFormat/>
    <w:rsid w:val="00D330DC"/>
    <w:pPr>
      <w:keepNext w:val="0"/>
      <w:spacing w:before="60" w:after="480"/>
    </w:pPr>
    <w:rPr>
      <w:b w:val="0"/>
      <w:i/>
      <w:sz w:val="18"/>
    </w:rPr>
  </w:style>
  <w:style w:type="paragraph" w:customStyle="1" w:styleId="Table-Source">
    <w:name w:val="Table - Source"/>
    <w:basedOn w:val="Figure-Source"/>
    <w:link w:val="Table-SourceChar"/>
    <w:qFormat/>
    <w:rsid w:val="00D330DC"/>
    <w:rPr>
      <w:rFonts w:asciiTheme="minorHAnsi" w:hAnsiTheme="minorHAnsi"/>
    </w:rPr>
  </w:style>
  <w:style w:type="character" w:customStyle="1" w:styleId="Figure-SourceChar">
    <w:name w:val="Figure - Source Char"/>
    <w:basedOn w:val="Table-CaptionChar"/>
    <w:link w:val="Figure-Source"/>
    <w:rsid w:val="00430FA6"/>
    <w:rPr>
      <w:rFonts w:ascii="Calibri" w:eastAsia="Times New Roman" w:hAnsi="Calibri" w:cs="Arial"/>
      <w:b w:val="0"/>
      <w:i/>
      <w:color w:val="2D3991"/>
      <w:sz w:val="18"/>
      <w:szCs w:val="20"/>
    </w:rPr>
  </w:style>
  <w:style w:type="paragraph" w:customStyle="1" w:styleId="Reference">
    <w:name w:val="Reference"/>
    <w:basedOn w:val="Normal"/>
    <w:link w:val="ReferenceChar"/>
    <w:qFormat/>
    <w:rsid w:val="00F57A0C"/>
    <w:pPr>
      <w:spacing w:after="120" w:line="240" w:lineRule="auto"/>
      <w:ind w:left="130" w:hanging="130"/>
    </w:pPr>
    <w:rPr>
      <w:sz w:val="20"/>
    </w:rPr>
  </w:style>
  <w:style w:type="character" w:customStyle="1" w:styleId="Table-SourceChar">
    <w:name w:val="Table - Source Char"/>
    <w:basedOn w:val="Figure-SourceChar"/>
    <w:link w:val="Table-Source"/>
    <w:rsid w:val="00430FA6"/>
    <w:rPr>
      <w:rFonts w:asciiTheme="minorHAnsi" w:eastAsia="Times New Roman" w:hAnsiTheme="minorHAnsi" w:cs="Arial"/>
      <w:b w:val="0"/>
      <w:i/>
      <w:color w:val="2D3991"/>
      <w:sz w:val="18"/>
      <w:szCs w:val="20"/>
    </w:rPr>
  </w:style>
  <w:style w:type="character" w:customStyle="1" w:styleId="ReferenceChar">
    <w:name w:val="Reference Char"/>
    <w:basedOn w:val="DefaultParagraphFont"/>
    <w:link w:val="Reference"/>
    <w:rsid w:val="00430FA6"/>
    <w:rPr>
      <w:rFonts w:ascii="Calibri" w:hAnsi="Calibri"/>
      <w:sz w:val="20"/>
    </w:rPr>
  </w:style>
  <w:style w:type="paragraph" w:styleId="BodyText">
    <w:name w:val="Body Text"/>
    <w:basedOn w:val="Normal"/>
    <w:link w:val="BodyTextChar"/>
    <w:uiPriority w:val="99"/>
    <w:unhideWhenUsed/>
    <w:rsid w:val="00DF217F"/>
    <w:pPr>
      <w:spacing w:after="120"/>
    </w:pPr>
  </w:style>
  <w:style w:type="character" w:customStyle="1" w:styleId="BodyTextChar">
    <w:name w:val="Body Text Char"/>
    <w:basedOn w:val="DefaultParagraphFont"/>
    <w:link w:val="BodyText"/>
    <w:uiPriority w:val="99"/>
    <w:rsid w:val="00DF217F"/>
  </w:style>
  <w:style w:type="paragraph" w:styleId="FootnoteText">
    <w:name w:val="footnote text"/>
    <w:basedOn w:val="Normal"/>
    <w:link w:val="FootnoteTextChar"/>
    <w:uiPriority w:val="99"/>
    <w:unhideWhenUsed/>
    <w:rsid w:val="00714AB5"/>
    <w:pPr>
      <w:spacing w:after="0" w:line="240" w:lineRule="auto"/>
    </w:pPr>
    <w:rPr>
      <w:sz w:val="20"/>
      <w:szCs w:val="20"/>
    </w:rPr>
  </w:style>
  <w:style w:type="character" w:customStyle="1" w:styleId="FootnoteTextChar">
    <w:name w:val="Footnote Text Char"/>
    <w:basedOn w:val="DefaultParagraphFont"/>
    <w:link w:val="FootnoteText"/>
    <w:uiPriority w:val="99"/>
    <w:rsid w:val="00714AB5"/>
    <w:rPr>
      <w:sz w:val="20"/>
      <w:szCs w:val="20"/>
    </w:rPr>
  </w:style>
  <w:style w:type="character" w:styleId="FootnoteReference">
    <w:name w:val="footnote reference"/>
    <w:basedOn w:val="DefaultParagraphFont"/>
    <w:uiPriority w:val="99"/>
    <w:unhideWhenUsed/>
    <w:rsid w:val="00953C91"/>
    <w:rPr>
      <w:rFonts w:asciiTheme="minorHAnsi" w:hAnsiTheme="minorHAnsi"/>
      <w:sz w:val="24"/>
      <w:vertAlign w:val="superscript"/>
    </w:rPr>
  </w:style>
  <w:style w:type="paragraph" w:customStyle="1" w:styleId="Figure">
    <w:name w:val="Figure"/>
    <w:basedOn w:val="Normal"/>
    <w:link w:val="FigureChar"/>
    <w:qFormat/>
    <w:rsid w:val="00EB6A70"/>
    <w:pPr>
      <w:spacing w:after="0" w:line="240" w:lineRule="auto"/>
    </w:pPr>
  </w:style>
  <w:style w:type="paragraph" w:customStyle="1" w:styleId="BlockQuote">
    <w:name w:val="Block Quote"/>
    <w:basedOn w:val="Normal"/>
    <w:link w:val="BlockQuoteChar"/>
    <w:qFormat/>
    <w:rsid w:val="00491CFA"/>
    <w:pPr>
      <w:ind w:left="1080" w:right="1080"/>
    </w:pPr>
    <w:rPr>
      <w:sz w:val="20"/>
    </w:rPr>
  </w:style>
  <w:style w:type="character" w:customStyle="1" w:styleId="FigureChar">
    <w:name w:val="Figure Char"/>
    <w:basedOn w:val="DefaultParagraphFont"/>
    <w:link w:val="Figure"/>
    <w:rsid w:val="00430FA6"/>
    <w:rPr>
      <w:rFonts w:ascii="Calibri" w:hAnsi="Calibri"/>
    </w:rPr>
  </w:style>
  <w:style w:type="paragraph" w:styleId="Header">
    <w:name w:val="header"/>
    <w:basedOn w:val="Normal"/>
    <w:link w:val="HeaderChar"/>
    <w:uiPriority w:val="99"/>
    <w:unhideWhenUsed/>
    <w:rsid w:val="00BC793D"/>
    <w:pPr>
      <w:tabs>
        <w:tab w:val="center" w:pos="4680"/>
        <w:tab w:val="right" w:pos="9360"/>
      </w:tabs>
      <w:spacing w:after="0" w:line="240" w:lineRule="auto"/>
    </w:pPr>
  </w:style>
  <w:style w:type="character" w:customStyle="1" w:styleId="BlockQuoteChar">
    <w:name w:val="Block Quote Char"/>
    <w:basedOn w:val="DefaultParagraphFont"/>
    <w:link w:val="BlockQuote"/>
    <w:rsid w:val="009309C5"/>
    <w:rPr>
      <w:rFonts w:ascii="Calibri" w:hAnsi="Calibri"/>
      <w:sz w:val="20"/>
    </w:rPr>
  </w:style>
  <w:style w:type="character" w:customStyle="1" w:styleId="HeaderChar">
    <w:name w:val="Header Char"/>
    <w:basedOn w:val="DefaultParagraphFont"/>
    <w:link w:val="Header"/>
    <w:uiPriority w:val="99"/>
    <w:rsid w:val="00BC793D"/>
  </w:style>
  <w:style w:type="paragraph" w:customStyle="1" w:styleId="URL">
    <w:name w:val="URL"/>
    <w:basedOn w:val="Table-Source"/>
    <w:link w:val="URLChar"/>
    <w:uiPriority w:val="1"/>
    <w:rsid w:val="00813875"/>
    <w:pPr>
      <w:spacing w:before="0" w:after="120"/>
    </w:pPr>
    <w:rPr>
      <w:rFonts w:ascii="Times New Roman" w:hAnsi="Times New Roman" w:cs="Times New Roman"/>
      <w:i w:val="0"/>
      <w:sz w:val="20"/>
    </w:rPr>
  </w:style>
  <w:style w:type="paragraph" w:customStyle="1" w:styleId="Footnote100">
    <w:name w:val="Footnote +100"/>
    <w:basedOn w:val="Footnote10"/>
    <w:qFormat/>
    <w:rsid w:val="00D86646"/>
    <w:pPr>
      <w:ind w:left="302" w:hanging="302"/>
    </w:pPr>
  </w:style>
  <w:style w:type="character" w:customStyle="1" w:styleId="URLChar">
    <w:name w:val="URL Char"/>
    <w:basedOn w:val="Table-SourceChar"/>
    <w:link w:val="URL"/>
    <w:uiPriority w:val="1"/>
    <w:rsid w:val="00FE64A5"/>
    <w:rPr>
      <w:rFonts w:ascii="Times New Roman" w:eastAsia="Times New Roman" w:hAnsi="Times New Roman" w:cs="Times New Roman"/>
      <w:b w:val="0"/>
      <w:i w:val="0"/>
      <w:smallCaps w:val="0"/>
      <w:color w:val="2D3991"/>
      <w:sz w:val="20"/>
      <w:szCs w:val="20"/>
    </w:rPr>
  </w:style>
  <w:style w:type="character" w:styleId="FollowedHyperlink">
    <w:name w:val="FollowedHyperlink"/>
    <w:basedOn w:val="DefaultParagraphFont"/>
    <w:uiPriority w:val="99"/>
    <w:semiHidden/>
    <w:unhideWhenUsed/>
    <w:rsid w:val="007439B5"/>
    <w:rPr>
      <w:color w:val="2D3991" w:themeColor="followedHyperlink"/>
      <w:u w:val="single"/>
    </w:rPr>
  </w:style>
  <w:style w:type="numbering" w:customStyle="1" w:styleId="Headings">
    <w:name w:val="Headings"/>
    <w:uiPriority w:val="99"/>
    <w:rsid w:val="002A5CE1"/>
    <w:pPr>
      <w:numPr>
        <w:numId w:val="30"/>
      </w:numPr>
    </w:pPr>
  </w:style>
  <w:style w:type="paragraph" w:styleId="NoSpacing">
    <w:name w:val="No Spacing"/>
    <w:link w:val="NoSpacingChar"/>
    <w:uiPriority w:val="1"/>
    <w:qFormat/>
    <w:rsid w:val="00132044"/>
    <w:pPr>
      <w:spacing w:after="0" w:line="240" w:lineRule="auto"/>
    </w:pPr>
    <w:rPr>
      <w:rFonts w:asciiTheme="minorHAnsi" w:eastAsiaTheme="minorEastAsia" w:hAnsiTheme="minorHAnsi"/>
      <w:sz w:val="24"/>
      <w:lang w:eastAsia="ja-JP"/>
    </w:rPr>
  </w:style>
  <w:style w:type="character" w:customStyle="1" w:styleId="NoSpacingChar">
    <w:name w:val="No Spacing Char"/>
    <w:basedOn w:val="DefaultParagraphFont"/>
    <w:link w:val="NoSpacing"/>
    <w:uiPriority w:val="1"/>
    <w:rsid w:val="00132044"/>
    <w:rPr>
      <w:rFonts w:asciiTheme="minorHAnsi" w:eastAsiaTheme="minorEastAsia" w:hAnsiTheme="minorHAnsi"/>
      <w:sz w:val="24"/>
      <w:lang w:eastAsia="ja-JP"/>
    </w:rPr>
  </w:style>
  <w:style w:type="paragraph" w:customStyle="1" w:styleId="Default">
    <w:name w:val="Default"/>
    <w:link w:val="DefaultChar"/>
    <w:rsid w:val="00D26961"/>
    <w:pPr>
      <w:autoSpaceDE w:val="0"/>
      <w:autoSpaceDN w:val="0"/>
      <w:adjustRightInd w:val="0"/>
      <w:spacing w:after="0" w:line="240" w:lineRule="auto"/>
    </w:pPr>
    <w:rPr>
      <w:rFonts w:ascii="Calibri" w:hAnsi="Calibri" w:cs="Calibri"/>
      <w:color w:val="000000"/>
      <w:sz w:val="24"/>
      <w:szCs w:val="24"/>
    </w:rPr>
  </w:style>
  <w:style w:type="character" w:customStyle="1" w:styleId="A1">
    <w:name w:val="A1"/>
    <w:uiPriority w:val="99"/>
    <w:rsid w:val="007F69B3"/>
    <w:rPr>
      <w:rFonts w:cs="Calibri"/>
      <w:b/>
      <w:bCs/>
      <w:szCs w:val="50"/>
    </w:rPr>
  </w:style>
  <w:style w:type="character" w:customStyle="1" w:styleId="A2">
    <w:name w:val="A2"/>
    <w:uiPriority w:val="99"/>
    <w:rsid w:val="00D26961"/>
    <w:rPr>
      <w:rFonts w:cs="Calibri"/>
      <w:color w:val="000000"/>
      <w:sz w:val="34"/>
      <w:szCs w:val="34"/>
    </w:rPr>
  </w:style>
  <w:style w:type="character" w:customStyle="1" w:styleId="A0">
    <w:name w:val="A0"/>
    <w:uiPriority w:val="99"/>
    <w:rsid w:val="00D26961"/>
    <w:rPr>
      <w:rFonts w:cs="Calibri"/>
      <w:color w:val="000000"/>
      <w:sz w:val="26"/>
      <w:szCs w:val="26"/>
    </w:rPr>
  </w:style>
  <w:style w:type="paragraph" w:customStyle="1" w:styleId="Pa1">
    <w:name w:val="Pa1"/>
    <w:basedOn w:val="Default"/>
    <w:next w:val="Default"/>
    <w:link w:val="Pa1Char"/>
    <w:uiPriority w:val="99"/>
    <w:rsid w:val="00D26961"/>
    <w:pPr>
      <w:spacing w:line="241" w:lineRule="atLeast"/>
    </w:pPr>
    <w:rPr>
      <w:rFonts w:cstheme="minorBidi"/>
      <w:color w:val="auto"/>
    </w:rPr>
  </w:style>
  <w:style w:type="character" w:customStyle="1" w:styleId="A3">
    <w:name w:val="A3"/>
    <w:uiPriority w:val="99"/>
    <w:rsid w:val="00D26961"/>
    <w:rPr>
      <w:rFonts w:cs="Calibri"/>
      <w:color w:val="000000"/>
      <w:sz w:val="22"/>
      <w:szCs w:val="22"/>
    </w:rPr>
  </w:style>
  <w:style w:type="paragraph" w:customStyle="1" w:styleId="Footnote10">
    <w:name w:val="Footnote +10"/>
    <w:basedOn w:val="Footnote"/>
    <w:link w:val="Footnote10Char"/>
    <w:qFormat/>
    <w:rsid w:val="009A33F6"/>
    <w:pPr>
      <w:ind w:left="216" w:hanging="216"/>
    </w:pPr>
  </w:style>
  <w:style w:type="character" w:customStyle="1" w:styleId="Footnote10Char">
    <w:name w:val="Footnote +10 Char"/>
    <w:basedOn w:val="FootnoteChar"/>
    <w:link w:val="Footnote10"/>
    <w:rsid w:val="00430FA6"/>
    <w:rPr>
      <w:rFonts w:ascii="Calibri" w:hAnsi="Calibri" w:cs="Arial"/>
      <w:color w:val="000000" w:themeColor="text1"/>
      <w:sz w:val="18"/>
      <w:szCs w:val="16"/>
    </w:rPr>
  </w:style>
  <w:style w:type="paragraph" w:customStyle="1" w:styleId="CoverTitle">
    <w:name w:val="Cover Title"/>
    <w:link w:val="CoverTitleChar"/>
    <w:qFormat/>
    <w:rsid w:val="001C2F3E"/>
    <w:pPr>
      <w:spacing w:before="1080" w:after="280" w:line="680" w:lineRule="exact"/>
      <w:ind w:left="1627" w:right="1080"/>
    </w:pPr>
    <w:rPr>
      <w:rFonts w:ascii="Calibri" w:hAnsi="Calibri"/>
      <w:b/>
      <w:color w:val="2D3991"/>
      <w:sz w:val="50"/>
      <w:szCs w:val="50"/>
    </w:rPr>
  </w:style>
  <w:style w:type="paragraph" w:customStyle="1" w:styleId="CoverSubTitle">
    <w:name w:val="Cover SubTitle"/>
    <w:link w:val="CoverSubTitleChar"/>
    <w:qFormat/>
    <w:rsid w:val="009116CC"/>
    <w:pPr>
      <w:spacing w:after="240" w:line="480" w:lineRule="exact"/>
      <w:ind w:left="1627" w:right="1267"/>
    </w:pPr>
    <w:rPr>
      <w:rFonts w:ascii="Calibri" w:hAnsi="Calibri"/>
      <w:color w:val="555555"/>
      <w:sz w:val="34"/>
    </w:rPr>
  </w:style>
  <w:style w:type="character" w:customStyle="1" w:styleId="CoverTitleChar">
    <w:name w:val="Cover Title Char"/>
    <w:basedOn w:val="DefaultParagraphFont"/>
    <w:link w:val="CoverTitle"/>
    <w:rsid w:val="00430FA6"/>
    <w:rPr>
      <w:rFonts w:ascii="Calibri" w:hAnsi="Calibri"/>
      <w:b/>
      <w:color w:val="2D3991"/>
      <w:sz w:val="50"/>
      <w:szCs w:val="50"/>
    </w:rPr>
  </w:style>
  <w:style w:type="paragraph" w:customStyle="1" w:styleId="CoverDate">
    <w:name w:val="Cover Date"/>
    <w:link w:val="CoverDateChar"/>
    <w:qFormat/>
    <w:rsid w:val="00672E38"/>
    <w:pPr>
      <w:spacing w:after="120" w:line="240" w:lineRule="auto"/>
      <w:ind w:left="1627" w:right="1267"/>
    </w:pPr>
    <w:rPr>
      <w:rFonts w:ascii="Calibri" w:hAnsi="Calibri"/>
      <w:b/>
      <w:bCs/>
      <w:color w:val="555555"/>
      <w:sz w:val="26"/>
    </w:rPr>
  </w:style>
  <w:style w:type="character" w:customStyle="1" w:styleId="CoverSubTitleChar">
    <w:name w:val="Cover SubTitle Char"/>
    <w:basedOn w:val="DefaultParagraphFont"/>
    <w:link w:val="CoverSubTitle"/>
    <w:rsid w:val="00430FA6"/>
    <w:rPr>
      <w:rFonts w:ascii="Calibri" w:hAnsi="Calibri"/>
      <w:color w:val="555555"/>
      <w:sz w:val="34"/>
    </w:rPr>
  </w:style>
  <w:style w:type="paragraph" w:customStyle="1" w:styleId="CoverAuthors">
    <w:name w:val="Cover Authors"/>
    <w:link w:val="CoverAuthorsChar"/>
    <w:qFormat/>
    <w:rsid w:val="009116CC"/>
    <w:pPr>
      <w:spacing w:after="0" w:line="320" w:lineRule="atLeast"/>
      <w:ind w:left="1627"/>
    </w:pPr>
    <w:rPr>
      <w:rFonts w:ascii="Calibri" w:hAnsi="Calibri"/>
      <w:color w:val="555555"/>
      <w:szCs w:val="24"/>
    </w:rPr>
  </w:style>
  <w:style w:type="character" w:customStyle="1" w:styleId="CoverDateChar">
    <w:name w:val="Cover Date Char"/>
    <w:basedOn w:val="DefaultParagraphFont"/>
    <w:link w:val="CoverDate"/>
    <w:rsid w:val="00430FA6"/>
    <w:rPr>
      <w:rFonts w:ascii="Calibri" w:hAnsi="Calibri"/>
      <w:b/>
      <w:bCs/>
      <w:color w:val="555555"/>
      <w:sz w:val="26"/>
    </w:rPr>
  </w:style>
  <w:style w:type="character" w:customStyle="1" w:styleId="DefaultChar">
    <w:name w:val="Default Char"/>
    <w:basedOn w:val="DefaultParagraphFont"/>
    <w:link w:val="Default"/>
    <w:rsid w:val="00345CCE"/>
    <w:rPr>
      <w:rFonts w:ascii="Calibri" w:hAnsi="Calibri" w:cs="Calibri"/>
      <w:color w:val="000000"/>
      <w:sz w:val="24"/>
      <w:szCs w:val="24"/>
    </w:rPr>
  </w:style>
  <w:style w:type="character" w:customStyle="1" w:styleId="Pa1Char">
    <w:name w:val="Pa1 Char"/>
    <w:basedOn w:val="DefaultChar"/>
    <w:link w:val="Pa1"/>
    <w:uiPriority w:val="99"/>
    <w:rsid w:val="00345CCE"/>
    <w:rPr>
      <w:rFonts w:ascii="Calibri" w:hAnsi="Calibri" w:cs="Calibri"/>
      <w:color w:val="000000"/>
      <w:sz w:val="24"/>
      <w:szCs w:val="24"/>
    </w:rPr>
  </w:style>
  <w:style w:type="character" w:customStyle="1" w:styleId="CoverAuthorsChar">
    <w:name w:val="Cover Authors Char"/>
    <w:basedOn w:val="Pa1Char"/>
    <w:link w:val="CoverAuthors"/>
    <w:rsid w:val="00430FA6"/>
    <w:rPr>
      <w:rFonts w:ascii="Calibri" w:hAnsi="Calibri" w:cs="Calibri"/>
      <w:color w:val="555555"/>
      <w:sz w:val="24"/>
      <w:szCs w:val="24"/>
    </w:rPr>
  </w:style>
  <w:style w:type="table" w:styleId="TableGrid">
    <w:name w:val="Table Grid"/>
    <w:basedOn w:val="TableNormal"/>
    <w:uiPriority w:val="59"/>
    <w:rsid w:val="00F47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83C32"/>
    <w:rPr>
      <w:sz w:val="16"/>
      <w:szCs w:val="16"/>
    </w:rPr>
  </w:style>
  <w:style w:type="paragraph" w:styleId="CommentText">
    <w:name w:val="annotation text"/>
    <w:basedOn w:val="Normal"/>
    <w:link w:val="CommentTextChar"/>
    <w:uiPriority w:val="99"/>
    <w:semiHidden/>
    <w:unhideWhenUsed/>
    <w:rsid w:val="00483C32"/>
    <w:pPr>
      <w:spacing w:line="240" w:lineRule="auto"/>
    </w:pPr>
    <w:rPr>
      <w:sz w:val="20"/>
      <w:szCs w:val="20"/>
    </w:rPr>
  </w:style>
  <w:style w:type="character" w:customStyle="1" w:styleId="CommentTextChar">
    <w:name w:val="Comment Text Char"/>
    <w:basedOn w:val="DefaultParagraphFont"/>
    <w:link w:val="CommentText"/>
    <w:uiPriority w:val="99"/>
    <w:semiHidden/>
    <w:rsid w:val="00483C3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83C32"/>
    <w:rPr>
      <w:b/>
      <w:bCs/>
    </w:rPr>
  </w:style>
  <w:style w:type="character" w:customStyle="1" w:styleId="CommentSubjectChar">
    <w:name w:val="Comment Subject Char"/>
    <w:basedOn w:val="CommentTextChar"/>
    <w:link w:val="CommentSubject"/>
    <w:uiPriority w:val="99"/>
    <w:semiHidden/>
    <w:rsid w:val="00483C32"/>
    <w:rPr>
      <w:rFonts w:ascii="Calibri" w:hAnsi="Calibri"/>
      <w:b/>
      <w:bCs/>
      <w:sz w:val="20"/>
      <w:szCs w:val="20"/>
    </w:rPr>
  </w:style>
  <w:style w:type="paragraph" w:customStyle="1" w:styleId="Style1">
    <w:name w:val="Style1"/>
    <w:basedOn w:val="NoSpacing"/>
    <w:qFormat/>
    <w:rsid w:val="00132044"/>
    <w:pPr>
      <w:numPr>
        <w:numId w:val="48"/>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713">
      <w:bodyDiv w:val="1"/>
      <w:marLeft w:val="0"/>
      <w:marRight w:val="0"/>
      <w:marTop w:val="0"/>
      <w:marBottom w:val="0"/>
      <w:divBdr>
        <w:top w:val="none" w:sz="0" w:space="0" w:color="auto"/>
        <w:left w:val="none" w:sz="0" w:space="0" w:color="auto"/>
        <w:bottom w:val="none" w:sz="0" w:space="0" w:color="auto"/>
        <w:right w:val="none" w:sz="0" w:space="0" w:color="auto"/>
      </w:divBdr>
    </w:div>
    <w:div w:id="48281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image" Target="media/image3.emf"/><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synapse-energy.com" TargetMode="External"/><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chultz\Documents\template%20-%20report%20and%20proposal.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0C2E86"/>
      </a:accent1>
      <a:accent2>
        <a:srgbClr val="EAAF0F"/>
      </a:accent2>
      <a:accent3>
        <a:srgbClr val="F9E04C"/>
      </a:accent3>
      <a:accent4>
        <a:srgbClr val="0C1975"/>
      </a:accent4>
      <a:accent5>
        <a:srgbClr val="595959"/>
      </a:accent5>
      <a:accent6>
        <a:srgbClr val="F79646"/>
      </a:accent6>
      <a:hlink>
        <a:srgbClr val="2D3991"/>
      </a:hlink>
      <a:folHlink>
        <a:srgbClr val="2D39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8F65A265F9D54A86DCE9E07CDB3753" ma:contentTypeVersion="139" ma:contentTypeDescription="" ma:contentTypeScope="" ma:versionID="cdc47c1067187a1286f0b2c6784b0c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2012-03-28T07:00:00+00:00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120416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36C6C-485E-4BB3-9F33-E7BDB9D06320}"/>
</file>

<file path=customXml/itemProps2.xml><?xml version="1.0" encoding="utf-8"?>
<ds:datastoreItem xmlns:ds="http://schemas.openxmlformats.org/officeDocument/2006/customXml" ds:itemID="{93D5D10E-C716-462D-8CE0-E3F81348CA0E}"/>
</file>

<file path=customXml/itemProps3.xml><?xml version="1.0" encoding="utf-8"?>
<ds:datastoreItem xmlns:ds="http://schemas.openxmlformats.org/officeDocument/2006/customXml" ds:itemID="{02AE2AD2-B799-4A1C-8236-73128000617D}"/>
</file>

<file path=customXml/itemProps4.xml><?xml version="1.0" encoding="utf-8"?>
<ds:datastoreItem xmlns:ds="http://schemas.openxmlformats.org/officeDocument/2006/customXml" ds:itemID="{5D89A045-A42C-4BC8-97FA-11AEE832F54F}"/>
</file>

<file path=customXml/itemProps5.xml><?xml version="1.0" encoding="utf-8"?>
<ds:datastoreItem xmlns:ds="http://schemas.openxmlformats.org/officeDocument/2006/customXml" ds:itemID="{8C250632-A6C2-4490-86E6-C43900176DBC}"/>
</file>

<file path=docProps/app.xml><?xml version="1.0" encoding="utf-8"?>
<Properties xmlns="http://schemas.openxmlformats.org/officeDocument/2006/extended-properties" xmlns:vt="http://schemas.openxmlformats.org/officeDocument/2006/docPropsVTypes">
  <Template>template - report and proposal</Template>
  <TotalTime>24</TotalTime>
  <Pages>16</Pages>
  <Words>4790</Words>
  <Characters>25483</Characters>
  <Application>Microsoft Office Word</Application>
  <DocSecurity>0</DocSecurity>
  <Lines>606</Lines>
  <Paragraphs>293</Paragraphs>
  <ScaleCrop>false</ScaleCrop>
  <HeadingPairs>
    <vt:vector size="2" baseType="variant">
      <vt:variant>
        <vt:lpstr>Title</vt:lpstr>
      </vt:variant>
      <vt:variant>
        <vt:i4>1</vt:i4>
      </vt:variant>
    </vt:vector>
  </HeadingPairs>
  <TitlesOfParts>
    <vt:vector size="1" baseType="lpstr">
      <vt:lpstr>Sierra Club Comments on PacifiCorp 2013 IRP</vt:lpstr>
    </vt:vector>
  </TitlesOfParts>
  <Company>Hewlett-Packard Company</Company>
  <LinksUpToDate>false</LinksUpToDate>
  <CharactersWithSpaces>29980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 Club Comments on PacifiCorp 2013 IRP</dc:title>
  <dc:creator>jfisher@synapse-energy.com</dc:creator>
  <cp:lastModifiedBy>Derek Nelson</cp:lastModifiedBy>
  <cp:revision>8</cp:revision>
  <cp:lastPrinted>2013-04-05T16:59:00Z</cp:lastPrinted>
  <dcterms:created xsi:type="dcterms:W3CDTF">2013-08-16T22:06:00Z</dcterms:created>
  <dcterms:modified xsi:type="dcterms:W3CDTF">2013-08-16T22:32:00Z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0x0101006E56B4D1795A2E4DB2F0B01679ED314A00F08F65A265F9D54A86DCE9E07CDB3753</vt:lpwstr>
  </property>
  <property fmtid="{D5CDD505-2E9C-101B-9397-08002B2CF9AE}" pid="3" name="_docset_NoMedatataSyncRequired">
    <vt:lpwstr>False</vt:lpwstr>
  </property>
</Properties>
</file>