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9A" w:rsidRDefault="007A1E8A" w:rsidP="007F1BFD">
      <w:pPr>
        <w:pStyle w:val="NoSpacing"/>
      </w:pPr>
      <w:r>
        <w:t>Agenda Date:</w:t>
      </w:r>
      <w:r w:rsidR="00C47BDF">
        <w:tab/>
      </w:r>
      <w:r w:rsidR="00C47BDF">
        <w:tab/>
      </w:r>
      <w:r w:rsidR="004357B5">
        <w:t>March 12</w:t>
      </w:r>
      <w:r w:rsidR="009D2C48">
        <w:t>, 2009</w:t>
      </w:r>
    </w:p>
    <w:p w:rsidR="007A1E8A" w:rsidRDefault="007A1E8A" w:rsidP="007F1BFD">
      <w:pPr>
        <w:pStyle w:val="NoSpacing"/>
      </w:pPr>
      <w:r>
        <w:t>Item Number:</w:t>
      </w:r>
      <w:r w:rsidR="00C47BDF">
        <w:tab/>
      </w:r>
      <w:r w:rsidR="00C47BDF">
        <w:tab/>
        <w:t>A</w:t>
      </w:r>
      <w:r w:rsidR="00190326">
        <w:t>1</w:t>
      </w:r>
    </w:p>
    <w:p w:rsidR="007A1E8A" w:rsidRDefault="007A1E8A" w:rsidP="007F1BFD">
      <w:pPr>
        <w:pStyle w:val="NoSpacing"/>
      </w:pPr>
    </w:p>
    <w:p w:rsidR="007A1E8A" w:rsidRPr="003749A9" w:rsidRDefault="007A1E8A" w:rsidP="007F1BFD">
      <w:pPr>
        <w:pStyle w:val="NoSpacing"/>
        <w:rPr>
          <w:b/>
        </w:rPr>
      </w:pPr>
      <w:r w:rsidRPr="003749A9">
        <w:rPr>
          <w:b/>
        </w:rPr>
        <w:t>Docket:</w:t>
      </w:r>
      <w:r w:rsidR="00C47BDF" w:rsidRPr="003749A9">
        <w:rPr>
          <w:b/>
        </w:rPr>
        <w:tab/>
      </w:r>
      <w:r w:rsidR="00C47BDF" w:rsidRPr="003749A9">
        <w:rPr>
          <w:b/>
        </w:rPr>
        <w:tab/>
        <w:t>UW-082113</w:t>
      </w:r>
    </w:p>
    <w:p w:rsidR="007A1E8A" w:rsidRDefault="007A1E8A" w:rsidP="007F1BFD">
      <w:pPr>
        <w:pStyle w:val="NoSpacing"/>
      </w:pPr>
      <w:r>
        <w:t>Company Name:</w:t>
      </w:r>
      <w:r w:rsidR="00C47BDF">
        <w:tab/>
      </w:r>
      <w:r w:rsidR="00C47BDF" w:rsidRPr="00CD2C06">
        <w:t>Deer Meadows Water Company, Incorporated</w:t>
      </w:r>
    </w:p>
    <w:p w:rsidR="007A1E8A" w:rsidRDefault="007A1E8A" w:rsidP="007F1BFD">
      <w:pPr>
        <w:pStyle w:val="NoSpacing"/>
      </w:pPr>
    </w:p>
    <w:p w:rsidR="00C47BDF" w:rsidRPr="002D6209" w:rsidRDefault="007A1E8A" w:rsidP="00C47B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96D54">
        <w:rPr>
          <w:sz w:val="24"/>
          <w:u w:val="single"/>
        </w:rPr>
        <w:t>Staff:</w:t>
      </w:r>
      <w:r w:rsidR="00C47BDF" w:rsidRPr="00B96D54">
        <w:rPr>
          <w:sz w:val="24"/>
        </w:rPr>
        <w:tab/>
      </w:r>
      <w:r w:rsidR="00C47BDF">
        <w:tab/>
      </w:r>
      <w:r w:rsidR="00C47BDF">
        <w:tab/>
      </w:r>
      <w:r w:rsidR="00C47BDF" w:rsidRPr="002D6209">
        <w:rPr>
          <w:sz w:val="24"/>
        </w:rPr>
        <w:t>Jim Ward, Regulatory Analyst</w:t>
      </w:r>
    </w:p>
    <w:p w:rsidR="00C47BDF" w:rsidRPr="002D6209" w:rsidRDefault="00C47BDF" w:rsidP="00C47B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D6209">
        <w:rPr>
          <w:sz w:val="24"/>
        </w:rPr>
        <w:tab/>
      </w:r>
      <w:r w:rsidRPr="002D6209">
        <w:rPr>
          <w:sz w:val="24"/>
        </w:rPr>
        <w:tab/>
      </w:r>
      <w:r w:rsidRPr="002D6209">
        <w:rPr>
          <w:sz w:val="24"/>
        </w:rPr>
        <w:tab/>
        <w:t xml:space="preserve">Dennis Shutler, Consumer </w:t>
      </w:r>
      <w:r w:rsidR="00B96D54">
        <w:rPr>
          <w:sz w:val="24"/>
        </w:rPr>
        <w:t>Protection Staff</w:t>
      </w:r>
    </w:p>
    <w:p w:rsidR="007A1E8A" w:rsidRDefault="007A1E8A" w:rsidP="007F1BFD">
      <w:pPr>
        <w:pStyle w:val="NoSpacing"/>
      </w:pPr>
    </w:p>
    <w:p w:rsidR="007A1E8A" w:rsidRDefault="007A1E8A" w:rsidP="007F1BFD">
      <w:pPr>
        <w:pStyle w:val="NoSpacing"/>
        <w:rPr>
          <w:b/>
          <w:u w:val="single"/>
        </w:rPr>
      </w:pPr>
      <w:r w:rsidRPr="007A1E8A">
        <w:rPr>
          <w:b/>
          <w:u w:val="single"/>
        </w:rPr>
        <w:t>Recommendation</w:t>
      </w:r>
    </w:p>
    <w:p w:rsidR="00CD2C06" w:rsidRPr="00C321B8" w:rsidRDefault="00CD2C06" w:rsidP="00CD2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D2C06" w:rsidRDefault="003B1436" w:rsidP="00CD2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0A3DBD">
        <w:rPr>
          <w:sz w:val="24"/>
        </w:rPr>
        <w:t xml:space="preserve">Dismiss the Complaint and Order Suspending the Tariff Revisions filed by </w:t>
      </w:r>
      <w:r>
        <w:rPr>
          <w:sz w:val="24"/>
        </w:rPr>
        <w:t>Deer Meadows</w:t>
      </w:r>
      <w:r w:rsidRPr="000A3DBD">
        <w:rPr>
          <w:sz w:val="24"/>
        </w:rPr>
        <w:t xml:space="preserve"> Water Company, </w:t>
      </w:r>
      <w:r>
        <w:rPr>
          <w:sz w:val="24"/>
        </w:rPr>
        <w:t>Incorporated and a</w:t>
      </w:r>
      <w:r w:rsidRPr="000A3DBD">
        <w:rPr>
          <w:sz w:val="24"/>
        </w:rPr>
        <w:t xml:space="preserve">llow the revised rates filed </w:t>
      </w:r>
      <w:r>
        <w:rPr>
          <w:sz w:val="24"/>
        </w:rPr>
        <w:t xml:space="preserve">February </w:t>
      </w:r>
      <w:r w:rsidR="00F75DF3">
        <w:rPr>
          <w:sz w:val="24"/>
        </w:rPr>
        <w:t>18</w:t>
      </w:r>
      <w:r>
        <w:rPr>
          <w:sz w:val="24"/>
        </w:rPr>
        <w:t xml:space="preserve">, 2009, </w:t>
      </w:r>
      <w:r w:rsidRPr="000A3DBD">
        <w:rPr>
          <w:sz w:val="24"/>
        </w:rPr>
        <w:t xml:space="preserve">to become effective </w:t>
      </w:r>
      <w:r>
        <w:rPr>
          <w:sz w:val="24"/>
        </w:rPr>
        <w:t xml:space="preserve">March </w:t>
      </w:r>
      <w:r w:rsidR="00A14800">
        <w:rPr>
          <w:sz w:val="24"/>
        </w:rPr>
        <w:t>20</w:t>
      </w:r>
      <w:r w:rsidRPr="000A3DBD">
        <w:rPr>
          <w:sz w:val="24"/>
        </w:rPr>
        <w:t>, 200</w:t>
      </w:r>
      <w:r>
        <w:rPr>
          <w:sz w:val="24"/>
        </w:rPr>
        <w:t>9.</w:t>
      </w:r>
    </w:p>
    <w:p w:rsidR="003B1436" w:rsidRPr="00CD2C06" w:rsidRDefault="003B1436" w:rsidP="00CD2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D2C06" w:rsidRPr="00CD2C06" w:rsidRDefault="00B96D54" w:rsidP="00CD2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u w:val="single"/>
        </w:rPr>
      </w:pPr>
      <w:r>
        <w:rPr>
          <w:b/>
          <w:bCs/>
          <w:sz w:val="24"/>
          <w:u w:val="single"/>
        </w:rPr>
        <w:t>Background</w:t>
      </w:r>
    </w:p>
    <w:p w:rsidR="00CD2C06" w:rsidRPr="00CD2C06" w:rsidRDefault="00CD2C06" w:rsidP="00CD2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u w:val="single"/>
        </w:rPr>
      </w:pPr>
    </w:p>
    <w:p w:rsidR="00CD2C06" w:rsidRPr="00CD2C06" w:rsidRDefault="00CD2C06" w:rsidP="00CD2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2C06">
        <w:rPr>
          <w:sz w:val="24"/>
        </w:rPr>
        <w:t xml:space="preserve">On </w:t>
      </w:r>
      <w:r>
        <w:rPr>
          <w:sz w:val="24"/>
        </w:rPr>
        <w:t>November 21</w:t>
      </w:r>
      <w:r w:rsidRPr="00CD2C06">
        <w:rPr>
          <w:sz w:val="24"/>
        </w:rPr>
        <w:t>, 2008, Deer Meadows Water Company, Incorporated (Deer Meadows or company) filed with the Utilities and Transportation Commission (commission) tariff revisions that would generate $</w:t>
      </w:r>
      <w:r>
        <w:rPr>
          <w:sz w:val="24"/>
        </w:rPr>
        <w:t>215,307</w:t>
      </w:r>
      <w:r w:rsidRPr="00CD2C06">
        <w:rPr>
          <w:sz w:val="24"/>
        </w:rPr>
        <w:t xml:space="preserve"> (</w:t>
      </w:r>
      <w:r>
        <w:rPr>
          <w:sz w:val="24"/>
        </w:rPr>
        <w:t>172</w:t>
      </w:r>
      <w:r w:rsidRPr="00CD2C06">
        <w:rPr>
          <w:sz w:val="24"/>
        </w:rPr>
        <w:t xml:space="preserve"> percent) in </w:t>
      </w:r>
      <w:r w:rsidR="00AD6CE8">
        <w:rPr>
          <w:sz w:val="24"/>
        </w:rPr>
        <w:t xml:space="preserve">annual </w:t>
      </w:r>
      <w:r w:rsidRPr="00CD2C06">
        <w:rPr>
          <w:sz w:val="24"/>
        </w:rPr>
        <w:t>revenue. The company serves 351 customers</w:t>
      </w:r>
      <w:r w:rsidR="009F36BC">
        <w:rPr>
          <w:sz w:val="24"/>
        </w:rPr>
        <w:t>: 199 residential customers, 150 ready-to-use residential customers, one golf course, and one restaurant/motel.</w:t>
      </w:r>
      <w:r w:rsidRPr="00CD2C06">
        <w:rPr>
          <w:sz w:val="24"/>
        </w:rPr>
        <w:t xml:space="preserve"> The proposed rates </w:t>
      </w:r>
      <w:r w:rsidR="00A84B68">
        <w:rPr>
          <w:sz w:val="24"/>
        </w:rPr>
        <w:t>were</w:t>
      </w:r>
      <w:r w:rsidRPr="00CD2C06">
        <w:rPr>
          <w:sz w:val="24"/>
        </w:rPr>
        <w:t xml:space="preserve"> prompted by increases in </w:t>
      </w:r>
      <w:r w:rsidR="006F3B38">
        <w:rPr>
          <w:sz w:val="24"/>
        </w:rPr>
        <w:t xml:space="preserve">supplies, </w:t>
      </w:r>
      <w:r w:rsidRPr="00CD2C06">
        <w:rPr>
          <w:sz w:val="24"/>
        </w:rPr>
        <w:t xml:space="preserve">power, </w:t>
      </w:r>
      <w:r w:rsidR="006F3B38">
        <w:rPr>
          <w:sz w:val="24"/>
        </w:rPr>
        <w:t xml:space="preserve">laboratory </w:t>
      </w:r>
      <w:r w:rsidR="007C0F50">
        <w:rPr>
          <w:sz w:val="24"/>
        </w:rPr>
        <w:t>fees</w:t>
      </w:r>
      <w:r w:rsidRPr="00CD2C06">
        <w:rPr>
          <w:sz w:val="24"/>
        </w:rPr>
        <w:t xml:space="preserve"> and maintenance expenses.</w:t>
      </w:r>
      <w:r w:rsidR="006E4873">
        <w:rPr>
          <w:sz w:val="24"/>
        </w:rPr>
        <w:t xml:space="preserve"> </w:t>
      </w:r>
      <w:r w:rsidR="00D01317">
        <w:rPr>
          <w:sz w:val="24"/>
        </w:rPr>
        <w:t xml:space="preserve">The proposed effective date for the </w:t>
      </w:r>
      <w:r w:rsidR="001B219B">
        <w:rPr>
          <w:sz w:val="24"/>
        </w:rPr>
        <w:t xml:space="preserve">original </w:t>
      </w:r>
      <w:r w:rsidR="00D01317">
        <w:rPr>
          <w:sz w:val="24"/>
        </w:rPr>
        <w:t xml:space="preserve">filing </w:t>
      </w:r>
      <w:r w:rsidR="001B219B">
        <w:rPr>
          <w:sz w:val="24"/>
        </w:rPr>
        <w:t>wa</w:t>
      </w:r>
      <w:r w:rsidR="00D01317">
        <w:rPr>
          <w:sz w:val="24"/>
        </w:rPr>
        <w:t>s January 20, 2009</w:t>
      </w:r>
      <w:r w:rsidR="006B499C">
        <w:rPr>
          <w:sz w:val="24"/>
        </w:rPr>
        <w:t xml:space="preserve">. </w:t>
      </w:r>
    </w:p>
    <w:p w:rsidR="005127CE" w:rsidRDefault="005127CE" w:rsidP="00CD2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569FE" w:rsidRDefault="005127CE" w:rsidP="00CD2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Deer Meadows</w:t>
      </w:r>
      <w:r w:rsidR="00950B87">
        <w:rPr>
          <w:sz w:val="24"/>
        </w:rPr>
        <w:t xml:space="preserve">' </w:t>
      </w:r>
      <w:r>
        <w:rPr>
          <w:sz w:val="24"/>
        </w:rPr>
        <w:t xml:space="preserve">initial tariff </w:t>
      </w:r>
      <w:r w:rsidR="00950B87">
        <w:rPr>
          <w:sz w:val="24"/>
        </w:rPr>
        <w:t xml:space="preserve">filing with the commission </w:t>
      </w:r>
      <w:r>
        <w:rPr>
          <w:sz w:val="24"/>
        </w:rPr>
        <w:t xml:space="preserve">became effective </w:t>
      </w:r>
      <w:r w:rsidR="00305CA8">
        <w:rPr>
          <w:sz w:val="24"/>
        </w:rPr>
        <w:t>November 1, 2007</w:t>
      </w:r>
      <w:r w:rsidRPr="009442FC">
        <w:rPr>
          <w:sz w:val="24"/>
        </w:rPr>
        <w:t xml:space="preserve">. </w:t>
      </w:r>
      <w:r w:rsidR="00CD2C06" w:rsidRPr="009442FC">
        <w:rPr>
          <w:sz w:val="24"/>
        </w:rPr>
        <w:t>The company states th</w:t>
      </w:r>
      <w:r w:rsidRPr="009442FC">
        <w:rPr>
          <w:sz w:val="24"/>
        </w:rPr>
        <w:t>at its</w:t>
      </w:r>
      <w:r w:rsidR="00CD2C06" w:rsidRPr="009442FC">
        <w:rPr>
          <w:sz w:val="24"/>
        </w:rPr>
        <w:t xml:space="preserve"> last general rate increase was approximately five years ago. </w:t>
      </w:r>
      <w:r w:rsidRPr="009442FC">
        <w:rPr>
          <w:sz w:val="24"/>
        </w:rPr>
        <w:t>T</w:t>
      </w:r>
      <w:r w:rsidR="00CD2C06" w:rsidRPr="009442FC">
        <w:rPr>
          <w:sz w:val="24"/>
        </w:rPr>
        <w:t>he company propose</w:t>
      </w:r>
      <w:r w:rsidR="001B219B">
        <w:rPr>
          <w:sz w:val="24"/>
        </w:rPr>
        <w:t>d</w:t>
      </w:r>
      <w:r w:rsidR="00CD2C06" w:rsidRPr="009442FC">
        <w:rPr>
          <w:sz w:val="24"/>
        </w:rPr>
        <w:t xml:space="preserve"> to </w:t>
      </w:r>
      <w:r w:rsidRPr="009442FC">
        <w:rPr>
          <w:sz w:val="24"/>
        </w:rPr>
        <w:t xml:space="preserve">change residential rates </w:t>
      </w:r>
      <w:r w:rsidR="00CD2C06" w:rsidRPr="009442FC">
        <w:rPr>
          <w:sz w:val="24"/>
        </w:rPr>
        <w:t xml:space="preserve">from a one-block rate design with </w:t>
      </w:r>
      <w:r w:rsidR="007F75E4">
        <w:rPr>
          <w:sz w:val="24"/>
        </w:rPr>
        <w:t xml:space="preserve">a </w:t>
      </w:r>
      <w:r w:rsidR="00CD2C06" w:rsidRPr="009442FC">
        <w:rPr>
          <w:sz w:val="24"/>
        </w:rPr>
        <w:t xml:space="preserve">5,000 gallon </w:t>
      </w:r>
      <w:r w:rsidRPr="009442FC">
        <w:rPr>
          <w:sz w:val="24"/>
        </w:rPr>
        <w:t xml:space="preserve">usage </w:t>
      </w:r>
      <w:r w:rsidR="00CD2C06" w:rsidRPr="009442FC">
        <w:rPr>
          <w:sz w:val="24"/>
        </w:rPr>
        <w:t>allowance to a zero allowance</w:t>
      </w:r>
      <w:r w:rsidRPr="009442FC">
        <w:rPr>
          <w:sz w:val="24"/>
        </w:rPr>
        <w:t>,</w:t>
      </w:r>
      <w:r w:rsidR="00CD2C06" w:rsidRPr="009442FC">
        <w:rPr>
          <w:sz w:val="24"/>
        </w:rPr>
        <w:t xml:space="preserve"> </w:t>
      </w:r>
      <w:r w:rsidR="00305CA8">
        <w:rPr>
          <w:sz w:val="24"/>
        </w:rPr>
        <w:t>three</w:t>
      </w:r>
      <w:r w:rsidRPr="009442FC">
        <w:rPr>
          <w:sz w:val="24"/>
        </w:rPr>
        <w:t xml:space="preserve">-block </w:t>
      </w:r>
      <w:r w:rsidR="00B96D54" w:rsidRPr="009442FC">
        <w:rPr>
          <w:sz w:val="24"/>
        </w:rPr>
        <w:t xml:space="preserve">rate </w:t>
      </w:r>
      <w:r w:rsidR="00CD2C06" w:rsidRPr="009442FC">
        <w:rPr>
          <w:sz w:val="24"/>
        </w:rPr>
        <w:t xml:space="preserve">design to encourage conservation. </w:t>
      </w:r>
      <w:r w:rsidR="00B17750">
        <w:rPr>
          <w:sz w:val="24"/>
        </w:rPr>
        <w:t>Currently, the company charge</w:t>
      </w:r>
      <w:r w:rsidR="00CE1E2E">
        <w:rPr>
          <w:sz w:val="24"/>
        </w:rPr>
        <w:t>s</w:t>
      </w:r>
      <w:r w:rsidR="00B17750">
        <w:rPr>
          <w:sz w:val="24"/>
        </w:rPr>
        <w:t xml:space="preserve"> $500 </w:t>
      </w:r>
      <w:r w:rsidR="00860856">
        <w:rPr>
          <w:sz w:val="24"/>
        </w:rPr>
        <w:t xml:space="preserve">per month </w:t>
      </w:r>
      <w:r w:rsidR="00B17750">
        <w:rPr>
          <w:sz w:val="24"/>
        </w:rPr>
        <w:t xml:space="preserve">to serve both the </w:t>
      </w:r>
      <w:r w:rsidR="00B17750" w:rsidRPr="009442FC">
        <w:rPr>
          <w:sz w:val="24"/>
        </w:rPr>
        <w:t xml:space="preserve">restaurant/motel </w:t>
      </w:r>
      <w:r w:rsidR="00B17750">
        <w:rPr>
          <w:sz w:val="24"/>
        </w:rPr>
        <w:t>and the golf course.</w:t>
      </w:r>
      <w:r w:rsidR="005569FE">
        <w:rPr>
          <w:sz w:val="24"/>
        </w:rPr>
        <w:t xml:space="preserve"> The company propose</w:t>
      </w:r>
      <w:r w:rsidR="001B219B">
        <w:rPr>
          <w:sz w:val="24"/>
        </w:rPr>
        <w:t>d</w:t>
      </w:r>
      <w:r w:rsidR="005569FE">
        <w:rPr>
          <w:sz w:val="24"/>
        </w:rPr>
        <w:t xml:space="preserve"> </w:t>
      </w:r>
      <w:r w:rsidR="00A82239">
        <w:rPr>
          <w:sz w:val="24"/>
        </w:rPr>
        <w:t xml:space="preserve">to change the rates for </w:t>
      </w:r>
      <w:r w:rsidR="005569FE">
        <w:rPr>
          <w:sz w:val="24"/>
        </w:rPr>
        <w:t xml:space="preserve">the </w:t>
      </w:r>
      <w:r w:rsidR="005569FE" w:rsidRPr="009442FC">
        <w:rPr>
          <w:sz w:val="24"/>
        </w:rPr>
        <w:t xml:space="preserve">restaurant/motel </w:t>
      </w:r>
      <w:r w:rsidR="005569FE">
        <w:rPr>
          <w:sz w:val="24"/>
        </w:rPr>
        <w:t>and the golf course</w:t>
      </w:r>
      <w:r w:rsidR="00A82239">
        <w:rPr>
          <w:sz w:val="24"/>
        </w:rPr>
        <w:t xml:space="preserve"> from flat rates to </w:t>
      </w:r>
      <w:r w:rsidR="00D22F30">
        <w:rPr>
          <w:sz w:val="24"/>
        </w:rPr>
        <w:t>metered</w:t>
      </w:r>
      <w:r w:rsidR="00A82239">
        <w:rPr>
          <w:sz w:val="24"/>
        </w:rPr>
        <w:t xml:space="preserve"> rates</w:t>
      </w:r>
      <w:r w:rsidR="005569FE">
        <w:rPr>
          <w:sz w:val="24"/>
        </w:rPr>
        <w:t xml:space="preserve"> using a </w:t>
      </w:r>
      <w:r w:rsidR="00CD2C06" w:rsidRPr="009442FC">
        <w:rPr>
          <w:sz w:val="24"/>
        </w:rPr>
        <w:t>zero allowance</w:t>
      </w:r>
      <w:r w:rsidRPr="009442FC">
        <w:rPr>
          <w:sz w:val="24"/>
        </w:rPr>
        <w:t xml:space="preserve">, </w:t>
      </w:r>
      <w:r w:rsidR="00305CA8">
        <w:rPr>
          <w:sz w:val="24"/>
        </w:rPr>
        <w:t>three</w:t>
      </w:r>
      <w:r w:rsidRPr="009442FC">
        <w:rPr>
          <w:sz w:val="24"/>
        </w:rPr>
        <w:t>-block</w:t>
      </w:r>
      <w:r w:rsidR="00CD2C06" w:rsidRPr="009442FC">
        <w:rPr>
          <w:sz w:val="24"/>
        </w:rPr>
        <w:t xml:space="preserve"> rate design. </w:t>
      </w:r>
    </w:p>
    <w:p w:rsidR="00CD2C06" w:rsidRPr="009442FC" w:rsidRDefault="00CD2C06" w:rsidP="00CD2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C50E3" w:rsidRPr="009442FC" w:rsidRDefault="00CD2C06" w:rsidP="008C50E3">
      <w:pPr>
        <w:pStyle w:val="BodyText"/>
        <w:widowControl/>
        <w:tabs>
          <w:tab w:val="left" w:pos="0"/>
        </w:tabs>
        <w:rPr>
          <w:rFonts w:ascii="Times New Roman" w:hAnsi="Times New Roman"/>
        </w:rPr>
      </w:pPr>
      <w:r w:rsidRPr="009442FC">
        <w:rPr>
          <w:rFonts w:ascii="Times New Roman" w:hAnsi="Times New Roman"/>
        </w:rPr>
        <w:t xml:space="preserve">On </w:t>
      </w:r>
      <w:r w:rsidR="0099378A" w:rsidRPr="009442FC">
        <w:rPr>
          <w:rFonts w:ascii="Times New Roman" w:hAnsi="Times New Roman"/>
        </w:rPr>
        <w:t>November 22</w:t>
      </w:r>
      <w:r w:rsidRPr="009442FC">
        <w:rPr>
          <w:rFonts w:ascii="Times New Roman" w:hAnsi="Times New Roman"/>
        </w:rPr>
        <w:t xml:space="preserve">, 2008, the company notified its customers of the rate increase by mail. </w:t>
      </w:r>
      <w:r w:rsidR="007C07AE" w:rsidRPr="007C07AE">
        <w:rPr>
          <w:rFonts w:ascii="Times New Roman" w:hAnsi="Times New Roman"/>
        </w:rPr>
        <w:t xml:space="preserve">The commission received </w:t>
      </w:r>
      <w:r w:rsidR="00950B87">
        <w:rPr>
          <w:rFonts w:ascii="Times New Roman" w:hAnsi="Times New Roman"/>
        </w:rPr>
        <w:t xml:space="preserve">numerous </w:t>
      </w:r>
      <w:r w:rsidR="007C07AE" w:rsidRPr="007C07AE">
        <w:rPr>
          <w:rFonts w:ascii="Times New Roman" w:hAnsi="Times New Roman"/>
        </w:rPr>
        <w:t xml:space="preserve">customer comments on this filing as of </w:t>
      </w:r>
      <w:r w:rsidR="009C5E87">
        <w:rPr>
          <w:rFonts w:ascii="Times New Roman" w:hAnsi="Times New Roman"/>
        </w:rPr>
        <w:t>March 5</w:t>
      </w:r>
      <w:r w:rsidR="008E0EAA">
        <w:rPr>
          <w:rFonts w:ascii="Times New Roman" w:hAnsi="Times New Roman"/>
        </w:rPr>
        <w:t>, 2009</w:t>
      </w:r>
      <w:r w:rsidR="0007397F" w:rsidRPr="007C07AE">
        <w:rPr>
          <w:rFonts w:ascii="Times New Roman" w:hAnsi="Times New Roman"/>
        </w:rPr>
        <w:t xml:space="preserve">. </w:t>
      </w:r>
      <w:r w:rsidR="00D01317">
        <w:rPr>
          <w:rFonts w:ascii="Times New Roman" w:hAnsi="Times New Roman"/>
        </w:rPr>
        <w:t>The commission also heard comments on the filing at its December 23, 2008, open meeting</w:t>
      </w:r>
      <w:r w:rsidR="006B67C1">
        <w:rPr>
          <w:rFonts w:ascii="Times New Roman" w:hAnsi="Times New Roman"/>
        </w:rPr>
        <w:t xml:space="preserve">. </w:t>
      </w:r>
      <w:r w:rsidR="007C07AE" w:rsidRPr="007C07AE">
        <w:rPr>
          <w:rFonts w:ascii="Times New Roman" w:hAnsi="Times New Roman"/>
        </w:rPr>
        <w:t xml:space="preserve">All customers are opposed to the </w:t>
      </w:r>
      <w:r w:rsidR="009C5E87">
        <w:rPr>
          <w:rFonts w:ascii="Times New Roman" w:hAnsi="Times New Roman"/>
        </w:rPr>
        <w:t xml:space="preserve">proposed </w:t>
      </w:r>
      <w:r w:rsidR="007C07AE" w:rsidRPr="007C07AE">
        <w:rPr>
          <w:rFonts w:ascii="Times New Roman" w:hAnsi="Times New Roman"/>
        </w:rPr>
        <w:t xml:space="preserve">increase. </w:t>
      </w:r>
      <w:r w:rsidR="00FE480B">
        <w:rPr>
          <w:rFonts w:ascii="Times New Roman" w:hAnsi="Times New Roman"/>
        </w:rPr>
        <w:t xml:space="preserve">A summary of </w:t>
      </w:r>
      <w:r w:rsidR="00D01317">
        <w:rPr>
          <w:rFonts w:ascii="Times New Roman" w:hAnsi="Times New Roman"/>
        </w:rPr>
        <w:t xml:space="preserve">the written </w:t>
      </w:r>
      <w:r w:rsidR="00FE480B">
        <w:rPr>
          <w:rFonts w:ascii="Times New Roman" w:hAnsi="Times New Roman"/>
        </w:rPr>
        <w:t>comments were attached to the December 23, 2008</w:t>
      </w:r>
      <w:r w:rsidR="00D37FC7">
        <w:rPr>
          <w:rFonts w:ascii="Times New Roman" w:hAnsi="Times New Roman"/>
        </w:rPr>
        <w:t>,</w:t>
      </w:r>
      <w:r w:rsidR="00FE480B">
        <w:rPr>
          <w:rFonts w:ascii="Times New Roman" w:hAnsi="Times New Roman"/>
        </w:rPr>
        <w:t xml:space="preserve"> </w:t>
      </w:r>
      <w:r w:rsidR="005E0006">
        <w:rPr>
          <w:rFonts w:ascii="Times New Roman" w:hAnsi="Times New Roman"/>
        </w:rPr>
        <w:t>memorandum</w:t>
      </w:r>
      <w:r w:rsidR="00FE480B">
        <w:rPr>
          <w:rFonts w:ascii="Times New Roman" w:hAnsi="Times New Roman"/>
        </w:rPr>
        <w:t xml:space="preserve">. </w:t>
      </w:r>
    </w:p>
    <w:p w:rsidR="00CD2C06" w:rsidRPr="009442FC" w:rsidRDefault="00CD2C06" w:rsidP="00CD2C06">
      <w:pPr>
        <w:pStyle w:val="BodyText"/>
        <w:widowControl/>
        <w:tabs>
          <w:tab w:val="left" w:pos="0"/>
        </w:tabs>
        <w:rPr>
          <w:rFonts w:ascii="Times New Roman" w:hAnsi="Times New Roman"/>
        </w:rPr>
      </w:pPr>
    </w:p>
    <w:p w:rsidR="009E0D1E" w:rsidRDefault="005E380D">
      <w:pPr>
        <w:pStyle w:val="BodyText"/>
        <w:tabs>
          <w:tab w:val="left" w:pos="0"/>
        </w:tabs>
        <w:rPr>
          <w:rFonts w:ascii="Times New Roman" w:hAnsi="Times New Roman"/>
        </w:rPr>
      </w:pPr>
      <w:r>
        <w:rPr>
          <w:rFonts w:ascii="Times New Roman" w:hAnsi="Times New Roman"/>
        </w:rPr>
        <w:t>On January 8, 2009</w:t>
      </w:r>
      <w:r w:rsidR="00EA5DEF">
        <w:rPr>
          <w:rFonts w:ascii="Times New Roman" w:hAnsi="Times New Roman"/>
        </w:rPr>
        <w:t>,</w:t>
      </w:r>
      <w:r>
        <w:rPr>
          <w:rFonts w:ascii="Times New Roman" w:hAnsi="Times New Roman"/>
        </w:rPr>
        <w:t xml:space="preserve"> staff participated in a customer meeting by conference call. </w:t>
      </w:r>
      <w:r w:rsidR="00AE30E4">
        <w:rPr>
          <w:rFonts w:ascii="Times New Roman" w:hAnsi="Times New Roman"/>
        </w:rPr>
        <w:t>A</w:t>
      </w:r>
      <w:r>
        <w:rPr>
          <w:rFonts w:ascii="Times New Roman" w:hAnsi="Times New Roman"/>
        </w:rPr>
        <w:t xml:space="preserve">bout </w:t>
      </w:r>
      <w:r w:rsidR="001E7624">
        <w:rPr>
          <w:rFonts w:ascii="Times New Roman" w:hAnsi="Times New Roman"/>
        </w:rPr>
        <w:t>1</w:t>
      </w:r>
      <w:r w:rsidR="006D346E" w:rsidRPr="002C583C">
        <w:rPr>
          <w:rFonts w:ascii="Times New Roman" w:hAnsi="Times New Roman"/>
        </w:rPr>
        <w:t>2</w:t>
      </w:r>
      <w:r>
        <w:rPr>
          <w:rFonts w:ascii="Times New Roman" w:hAnsi="Times New Roman"/>
        </w:rPr>
        <w:t xml:space="preserve"> customer</w:t>
      </w:r>
      <w:r w:rsidR="00EA5DEF">
        <w:rPr>
          <w:rFonts w:ascii="Times New Roman" w:hAnsi="Times New Roman"/>
        </w:rPr>
        <w:t>s</w:t>
      </w:r>
      <w:r w:rsidR="00AE30E4">
        <w:rPr>
          <w:rFonts w:ascii="Times New Roman" w:hAnsi="Times New Roman"/>
        </w:rPr>
        <w:t xml:space="preserve"> participated along with </w:t>
      </w:r>
      <w:r w:rsidR="00A82239">
        <w:rPr>
          <w:rFonts w:ascii="Times New Roman" w:hAnsi="Times New Roman"/>
        </w:rPr>
        <w:t xml:space="preserve">the company’s consultant, </w:t>
      </w:r>
      <w:r>
        <w:rPr>
          <w:rFonts w:ascii="Times New Roman" w:hAnsi="Times New Roman"/>
        </w:rPr>
        <w:t>Belsby Engineering</w:t>
      </w:r>
      <w:r w:rsidR="00A82239">
        <w:rPr>
          <w:rFonts w:ascii="Times New Roman" w:hAnsi="Times New Roman"/>
        </w:rPr>
        <w:t>,</w:t>
      </w:r>
      <w:r>
        <w:rPr>
          <w:rFonts w:ascii="Times New Roman" w:hAnsi="Times New Roman"/>
        </w:rPr>
        <w:t xml:space="preserve"> and </w:t>
      </w:r>
      <w:r w:rsidR="00EA5DEF">
        <w:rPr>
          <w:rFonts w:ascii="Times New Roman" w:hAnsi="Times New Roman"/>
        </w:rPr>
        <w:t xml:space="preserve">commission </w:t>
      </w:r>
      <w:r>
        <w:rPr>
          <w:rFonts w:ascii="Times New Roman" w:hAnsi="Times New Roman"/>
        </w:rPr>
        <w:t>staff. The meeting agenda included an explanation</w:t>
      </w:r>
      <w:r w:rsidRPr="005E380D">
        <w:rPr>
          <w:rFonts w:ascii="Times New Roman" w:hAnsi="Times New Roman"/>
        </w:rPr>
        <w:t xml:space="preserve"> of the commission’s regulatory process, regulatory principles and rate-setting methodology.</w:t>
      </w:r>
      <w:r w:rsidR="00D64FD7">
        <w:rPr>
          <w:rFonts w:ascii="Times New Roman" w:hAnsi="Times New Roman"/>
        </w:rPr>
        <w:t xml:space="preserve"> Since</w:t>
      </w:r>
      <w:r w:rsidRPr="005E380D">
        <w:rPr>
          <w:rFonts w:ascii="Times New Roman" w:hAnsi="Times New Roman"/>
        </w:rPr>
        <w:t xml:space="preserve"> staff ha</w:t>
      </w:r>
      <w:r w:rsidR="001F3F02">
        <w:rPr>
          <w:rFonts w:ascii="Times New Roman" w:hAnsi="Times New Roman"/>
        </w:rPr>
        <w:t>d</w:t>
      </w:r>
      <w:r w:rsidRPr="005E380D">
        <w:rPr>
          <w:rFonts w:ascii="Times New Roman" w:hAnsi="Times New Roman"/>
        </w:rPr>
        <w:t xml:space="preserve"> not yet completed its audit, staff w</w:t>
      </w:r>
      <w:r w:rsidR="00D64FD7">
        <w:rPr>
          <w:rFonts w:ascii="Times New Roman" w:hAnsi="Times New Roman"/>
        </w:rPr>
        <w:t>as</w:t>
      </w:r>
      <w:r w:rsidRPr="005E380D">
        <w:rPr>
          <w:rFonts w:ascii="Times New Roman" w:hAnsi="Times New Roman"/>
        </w:rPr>
        <w:t xml:space="preserve"> not able to respond to </w:t>
      </w:r>
      <w:r w:rsidR="00322CC6">
        <w:rPr>
          <w:rFonts w:ascii="Times New Roman" w:hAnsi="Times New Roman"/>
        </w:rPr>
        <w:t xml:space="preserve">some of the customers’ </w:t>
      </w:r>
      <w:r w:rsidRPr="005E380D">
        <w:rPr>
          <w:rFonts w:ascii="Times New Roman" w:hAnsi="Times New Roman"/>
        </w:rPr>
        <w:t>specific questions on specific issues.</w:t>
      </w:r>
      <w:r w:rsidR="00022CE7">
        <w:rPr>
          <w:rFonts w:ascii="Times New Roman" w:hAnsi="Times New Roman"/>
        </w:rPr>
        <w:t xml:space="preserve"> </w:t>
      </w:r>
    </w:p>
    <w:p w:rsidR="00A82239" w:rsidRDefault="00A82239">
      <w:pPr>
        <w:pStyle w:val="BodyText"/>
        <w:tabs>
          <w:tab w:val="left" w:pos="0"/>
        </w:tabs>
        <w:rPr>
          <w:rFonts w:ascii="Times New Roman" w:hAnsi="Times New Roman"/>
        </w:rPr>
      </w:pPr>
    </w:p>
    <w:p w:rsidR="001D72D9" w:rsidRDefault="00425F97">
      <w:pPr>
        <w:pStyle w:val="FindingsConclusions"/>
        <w:numPr>
          <w:ilvl w:val="0"/>
          <w:numId w:val="0"/>
        </w:numPr>
        <w:spacing w:line="240" w:lineRule="auto"/>
      </w:pPr>
      <w:r w:rsidRPr="00ED2772">
        <w:lastRenderedPageBreak/>
        <w:t xml:space="preserve">On </w:t>
      </w:r>
      <w:r>
        <w:t>January 15, 2009</w:t>
      </w:r>
      <w:r w:rsidRPr="00ED2772">
        <w:t xml:space="preserve">, the </w:t>
      </w:r>
      <w:r w:rsidR="00860856">
        <w:t>c</w:t>
      </w:r>
      <w:r>
        <w:t>ommission</w:t>
      </w:r>
      <w:r w:rsidRPr="00ED2772">
        <w:t xml:space="preserve"> entered a Complaint and Order Suspending Tariff </w:t>
      </w:r>
      <w:r w:rsidRPr="00ED2772">
        <w:rPr>
          <w:noProof/>
        </w:rPr>
        <w:t>Revisions</w:t>
      </w:r>
      <w:r w:rsidRPr="00ED2772">
        <w:t xml:space="preserve"> pending an investigation to determine whether the </w:t>
      </w:r>
      <w:r w:rsidR="00EB073B">
        <w:t>proposed</w:t>
      </w:r>
      <w:r w:rsidR="001F3F02">
        <w:t xml:space="preserve"> rates</w:t>
      </w:r>
      <w:r w:rsidRPr="00ED2772">
        <w:t xml:space="preserve"> </w:t>
      </w:r>
      <w:r>
        <w:rPr>
          <w:noProof/>
        </w:rPr>
        <w:t>are</w:t>
      </w:r>
      <w:r w:rsidRPr="00ED2772">
        <w:t xml:space="preserve"> fair, just, reasonable and sufficient.</w:t>
      </w:r>
    </w:p>
    <w:p w:rsidR="004357B5" w:rsidRDefault="004357B5">
      <w:pPr>
        <w:pStyle w:val="BodyText"/>
        <w:widowControl/>
        <w:tabs>
          <w:tab w:val="left" w:pos="0"/>
        </w:tabs>
        <w:rPr>
          <w:rFonts w:ascii="Times New Roman" w:hAnsi="Times New Roman"/>
        </w:rPr>
      </w:pPr>
    </w:p>
    <w:p w:rsidR="00860856" w:rsidRPr="007C1A07" w:rsidRDefault="00137B15">
      <w:pPr>
        <w:widowControl/>
        <w:autoSpaceDE/>
        <w:autoSpaceDN/>
        <w:adjustRightInd/>
        <w:rPr>
          <w:sz w:val="24"/>
        </w:rPr>
      </w:pPr>
      <w:r w:rsidRPr="00137B15">
        <w:rPr>
          <w:sz w:val="24"/>
        </w:rPr>
        <w:t xml:space="preserve">Staff and the </w:t>
      </w:r>
      <w:r w:rsidR="00860856">
        <w:rPr>
          <w:sz w:val="24"/>
        </w:rPr>
        <w:t>c</w:t>
      </w:r>
      <w:r w:rsidRPr="00137B15">
        <w:rPr>
          <w:sz w:val="24"/>
        </w:rPr>
        <w:t xml:space="preserve">ompany reviewed the </w:t>
      </w:r>
      <w:r w:rsidR="00860856">
        <w:rPr>
          <w:sz w:val="24"/>
        </w:rPr>
        <w:t>c</w:t>
      </w:r>
      <w:r w:rsidRPr="00137B15">
        <w:rPr>
          <w:sz w:val="24"/>
        </w:rPr>
        <w:t xml:space="preserve">ompany’s original filing and agreed to a revised revenue </w:t>
      </w:r>
      <w:r w:rsidRPr="007C1A07">
        <w:rPr>
          <w:sz w:val="24"/>
        </w:rPr>
        <w:t>requirement of $34,</w:t>
      </w:r>
      <w:r w:rsidR="0039523A" w:rsidRPr="007C1A07">
        <w:rPr>
          <w:sz w:val="24"/>
        </w:rPr>
        <w:t>499</w:t>
      </w:r>
      <w:r w:rsidRPr="007C1A07">
        <w:rPr>
          <w:sz w:val="24"/>
        </w:rPr>
        <w:t xml:space="preserve"> (27.</w:t>
      </w:r>
      <w:r w:rsidR="0039523A" w:rsidRPr="007C1A07">
        <w:rPr>
          <w:sz w:val="24"/>
        </w:rPr>
        <w:t>4</w:t>
      </w:r>
      <w:r w:rsidRPr="007C1A07">
        <w:rPr>
          <w:sz w:val="24"/>
        </w:rPr>
        <w:t xml:space="preserve"> percent) in additional annual revenue and revised rates</w:t>
      </w:r>
      <w:r w:rsidR="006B0663" w:rsidRPr="007C1A07">
        <w:rPr>
          <w:sz w:val="24"/>
        </w:rPr>
        <w:t xml:space="preserve">. </w:t>
      </w:r>
      <w:r w:rsidRPr="007C1A07">
        <w:rPr>
          <w:sz w:val="24"/>
        </w:rPr>
        <w:t>On Febru</w:t>
      </w:r>
      <w:r w:rsidR="000F2D61">
        <w:rPr>
          <w:sz w:val="24"/>
        </w:rPr>
        <w:t>ary 18, 2009, the company filed revised rates at the staff recommended level as follows:</w:t>
      </w:r>
    </w:p>
    <w:p w:rsidR="000A5DEC" w:rsidRDefault="000F2D61">
      <w:pPr>
        <w:pStyle w:val="ListParagraph"/>
        <w:widowControl/>
        <w:numPr>
          <w:ilvl w:val="0"/>
          <w:numId w:val="12"/>
        </w:numPr>
        <w:autoSpaceDE/>
        <w:autoSpaceDN/>
        <w:adjustRightInd/>
        <w:rPr>
          <w:b/>
          <w:sz w:val="24"/>
          <w:u w:val="single"/>
        </w:rPr>
      </w:pPr>
      <w:r>
        <w:rPr>
          <w:sz w:val="24"/>
        </w:rPr>
        <w:t>Base Charge: The base meter charge, which does not include any water usage, increases in proportion to the meter size to reflect the potential capacity demand on the water system, consistent with standard rate design</w:t>
      </w:r>
    </w:p>
    <w:p w:rsidR="000A5DEC" w:rsidRDefault="000F2D61">
      <w:pPr>
        <w:pStyle w:val="ListParagraph"/>
        <w:widowControl/>
        <w:numPr>
          <w:ilvl w:val="1"/>
          <w:numId w:val="12"/>
        </w:numPr>
        <w:autoSpaceDE/>
        <w:autoSpaceDN/>
        <w:adjustRightInd/>
        <w:rPr>
          <w:b/>
          <w:sz w:val="24"/>
          <w:u w:val="single"/>
        </w:rPr>
      </w:pPr>
      <w:r w:rsidRPr="000F2D61">
        <w:rPr>
          <w:sz w:val="24"/>
        </w:rPr>
        <w:t>For residential customers and ready-to-serve customers, t</w:t>
      </w:r>
      <w:r w:rsidRPr="000F2D61">
        <w:rPr>
          <w:color w:val="000000"/>
          <w:sz w:val="24"/>
        </w:rPr>
        <w:t xml:space="preserve">he original proposed base charge and ready-to-serve rates </w:t>
      </w:r>
      <w:r w:rsidR="00B07CA5" w:rsidRPr="007C1A07">
        <w:rPr>
          <w:color w:val="000000"/>
          <w:sz w:val="24"/>
        </w:rPr>
        <w:t xml:space="preserve">of </w:t>
      </w:r>
      <w:r w:rsidRPr="000F2D61">
        <w:rPr>
          <w:color w:val="000000"/>
          <w:sz w:val="24"/>
        </w:rPr>
        <w:t xml:space="preserve">$54.50 </w:t>
      </w:r>
      <w:r w:rsidR="00B07CA5" w:rsidRPr="007C1A07">
        <w:rPr>
          <w:color w:val="000000"/>
          <w:sz w:val="24"/>
        </w:rPr>
        <w:t xml:space="preserve">per month are decreased </w:t>
      </w:r>
      <w:r w:rsidRPr="000F2D61">
        <w:rPr>
          <w:color w:val="000000"/>
          <w:sz w:val="24"/>
        </w:rPr>
        <w:t>to $26.25 per month.</w:t>
      </w:r>
    </w:p>
    <w:p w:rsidR="000A5DEC" w:rsidRDefault="000F2D61">
      <w:pPr>
        <w:pStyle w:val="ListParagraph"/>
        <w:widowControl/>
        <w:numPr>
          <w:ilvl w:val="1"/>
          <w:numId w:val="12"/>
        </w:numPr>
        <w:autoSpaceDE/>
        <w:autoSpaceDN/>
        <w:adjustRightInd/>
        <w:rPr>
          <w:b/>
          <w:sz w:val="24"/>
          <w:u w:val="single"/>
        </w:rPr>
      </w:pPr>
      <w:r w:rsidRPr="000F2D61">
        <w:rPr>
          <w:sz w:val="24"/>
        </w:rPr>
        <w:t xml:space="preserve">For the golf course customer, the original proposed base rate of $500.00 per month is increased to $874.38 per month.  </w:t>
      </w:r>
    </w:p>
    <w:p w:rsidR="000A5DEC" w:rsidRDefault="000F2D61">
      <w:pPr>
        <w:pStyle w:val="ListParagraph"/>
        <w:widowControl/>
        <w:numPr>
          <w:ilvl w:val="1"/>
          <w:numId w:val="12"/>
        </w:numPr>
        <w:autoSpaceDE/>
        <w:autoSpaceDN/>
        <w:adjustRightInd/>
        <w:rPr>
          <w:b/>
          <w:sz w:val="24"/>
          <w:u w:val="single"/>
        </w:rPr>
      </w:pPr>
      <w:r w:rsidRPr="000F2D61">
        <w:rPr>
          <w:sz w:val="24"/>
        </w:rPr>
        <w:t>For the restaurant/motel customer, the original proposed base rate of $</w:t>
      </w:r>
      <w:r w:rsidR="001C7DFF">
        <w:rPr>
          <w:sz w:val="24"/>
        </w:rPr>
        <w:t>115</w:t>
      </w:r>
      <w:r w:rsidRPr="000F2D61">
        <w:rPr>
          <w:sz w:val="24"/>
        </w:rPr>
        <w:t>.00 per month is increased to $438.38 per month.</w:t>
      </w:r>
    </w:p>
    <w:p w:rsidR="000A5DEC" w:rsidRDefault="00860856">
      <w:pPr>
        <w:pStyle w:val="ListParagraph"/>
        <w:widowControl/>
        <w:numPr>
          <w:ilvl w:val="0"/>
          <w:numId w:val="12"/>
        </w:numPr>
        <w:autoSpaceDE/>
        <w:autoSpaceDN/>
        <w:adjustRightInd/>
        <w:rPr>
          <w:b/>
          <w:sz w:val="24"/>
          <w:u w:val="single"/>
        </w:rPr>
      </w:pPr>
      <w:r w:rsidRPr="007C1A07">
        <w:rPr>
          <w:color w:val="000000"/>
          <w:sz w:val="24"/>
        </w:rPr>
        <w:t>Usage Rate:</w:t>
      </w:r>
      <w:r w:rsidR="00B07CA5" w:rsidRPr="007C1A07">
        <w:rPr>
          <w:sz w:val="24"/>
        </w:rPr>
        <w:t xml:space="preserve"> All water usage on the water system is charged at the same rate.</w:t>
      </w:r>
    </w:p>
    <w:p w:rsidR="000A5DEC" w:rsidRDefault="00860856">
      <w:pPr>
        <w:pStyle w:val="ListParagraph"/>
        <w:widowControl/>
        <w:numPr>
          <w:ilvl w:val="1"/>
          <w:numId w:val="12"/>
        </w:numPr>
        <w:autoSpaceDE/>
        <w:autoSpaceDN/>
        <w:adjustRightInd/>
        <w:rPr>
          <w:b/>
          <w:sz w:val="24"/>
          <w:u w:val="single"/>
        </w:rPr>
      </w:pPr>
      <w:r w:rsidRPr="007C1A07">
        <w:rPr>
          <w:color w:val="000000"/>
          <w:sz w:val="24"/>
        </w:rPr>
        <w:t xml:space="preserve">For all customers, </w:t>
      </w:r>
      <w:r w:rsidR="000F2D61" w:rsidRPr="000F2D61">
        <w:rPr>
          <w:color w:val="000000"/>
          <w:sz w:val="24"/>
        </w:rPr>
        <w:t xml:space="preserve">the original proposed usage rates, ranging from $1.05 to $3.20 per 1,000 gallons, are decreased </w:t>
      </w:r>
      <w:r w:rsidR="00B07CA5" w:rsidRPr="007C1A07">
        <w:rPr>
          <w:color w:val="000000"/>
          <w:sz w:val="24"/>
        </w:rPr>
        <w:t xml:space="preserve">to </w:t>
      </w:r>
      <w:r w:rsidR="000F2D61" w:rsidRPr="000F2D61">
        <w:rPr>
          <w:color w:val="000000"/>
          <w:sz w:val="24"/>
        </w:rPr>
        <w:t>$.46 per 1,000 gallons.</w:t>
      </w:r>
    </w:p>
    <w:p w:rsidR="00137B15" w:rsidRPr="007C1A07" w:rsidRDefault="00137B15" w:rsidP="00B81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sz w:val="24"/>
        </w:rPr>
      </w:pPr>
    </w:p>
    <w:p w:rsidR="00EE5143" w:rsidRDefault="000F2D61" w:rsidP="00EE5143">
      <w:pPr>
        <w:rPr>
          <w:sz w:val="24"/>
        </w:rPr>
      </w:pPr>
      <w:r w:rsidRPr="000F2D61">
        <w:rPr>
          <w:sz w:val="24"/>
        </w:rPr>
        <w:t>Customers expressed concerns</w:t>
      </w:r>
      <w:r w:rsidR="00EE5143">
        <w:rPr>
          <w:sz w:val="24"/>
        </w:rPr>
        <w:t xml:space="preserve"> </w:t>
      </w:r>
      <w:r w:rsidR="00BB3805">
        <w:rPr>
          <w:sz w:val="24"/>
        </w:rPr>
        <w:t>regarding</w:t>
      </w:r>
      <w:r w:rsidR="009F36BC">
        <w:rPr>
          <w:sz w:val="24"/>
        </w:rPr>
        <w:t xml:space="preserve"> </w:t>
      </w:r>
      <w:r w:rsidR="00EE5143">
        <w:rPr>
          <w:sz w:val="24"/>
        </w:rPr>
        <w:t xml:space="preserve">water </w:t>
      </w:r>
      <w:r w:rsidR="0039523A">
        <w:rPr>
          <w:sz w:val="24"/>
        </w:rPr>
        <w:t xml:space="preserve">bills and </w:t>
      </w:r>
      <w:r w:rsidR="00EE5143">
        <w:rPr>
          <w:sz w:val="24"/>
        </w:rPr>
        <w:t>usage. For 2007</w:t>
      </w:r>
      <w:r w:rsidR="009F36BC">
        <w:rPr>
          <w:sz w:val="24"/>
        </w:rPr>
        <w:t>,</w:t>
      </w:r>
      <w:r w:rsidR="00EE5143">
        <w:rPr>
          <w:sz w:val="24"/>
        </w:rPr>
        <w:t xml:space="preserve"> the 199 </w:t>
      </w:r>
      <w:r w:rsidR="001B219B">
        <w:rPr>
          <w:sz w:val="24"/>
        </w:rPr>
        <w:t>residential</w:t>
      </w:r>
      <w:r w:rsidR="00EE5143">
        <w:rPr>
          <w:sz w:val="24"/>
        </w:rPr>
        <w:t xml:space="preserve"> </w:t>
      </w:r>
      <w:r w:rsidR="00D22F30">
        <w:rPr>
          <w:sz w:val="24"/>
        </w:rPr>
        <w:t xml:space="preserve">customers </w:t>
      </w:r>
      <w:r w:rsidR="00EE5143">
        <w:rPr>
          <w:sz w:val="24"/>
        </w:rPr>
        <w:t>consume</w:t>
      </w:r>
      <w:r w:rsidR="00536D47">
        <w:rPr>
          <w:sz w:val="24"/>
        </w:rPr>
        <w:t>d</w:t>
      </w:r>
      <w:r w:rsidR="00EE5143">
        <w:rPr>
          <w:sz w:val="24"/>
        </w:rPr>
        <w:t xml:space="preserve"> 41,760,639 gallons. The estimated golf course and</w:t>
      </w:r>
      <w:r w:rsidR="001B219B">
        <w:rPr>
          <w:sz w:val="24"/>
        </w:rPr>
        <w:t xml:space="preserve"> </w:t>
      </w:r>
      <w:r w:rsidR="00EE5143">
        <w:rPr>
          <w:sz w:val="24"/>
        </w:rPr>
        <w:t>restaurant</w:t>
      </w:r>
      <w:r w:rsidR="001B219B">
        <w:rPr>
          <w:sz w:val="24"/>
        </w:rPr>
        <w:t>/motel</w:t>
      </w:r>
      <w:r w:rsidR="00EE5143">
        <w:rPr>
          <w:sz w:val="24"/>
        </w:rPr>
        <w:t xml:space="preserve"> usage for 2007 was about 76 million gallons for the year.</w:t>
      </w:r>
    </w:p>
    <w:p w:rsidR="00EE5143" w:rsidRDefault="00EE5143" w:rsidP="00EE5143">
      <w:pPr>
        <w:rPr>
          <w:sz w:val="24"/>
        </w:rPr>
      </w:pPr>
    </w:p>
    <w:p w:rsidR="00EE5143" w:rsidRDefault="00536D47" w:rsidP="00EE5143">
      <w:pPr>
        <w:rPr>
          <w:sz w:val="24"/>
        </w:rPr>
      </w:pPr>
      <w:r>
        <w:rPr>
          <w:sz w:val="24"/>
        </w:rPr>
        <w:t>T</w:t>
      </w:r>
      <w:r w:rsidR="00EE5143">
        <w:rPr>
          <w:sz w:val="24"/>
        </w:rPr>
        <w:t xml:space="preserve">he golf course provided </w:t>
      </w:r>
      <w:r>
        <w:rPr>
          <w:sz w:val="24"/>
        </w:rPr>
        <w:t xml:space="preserve">daily </w:t>
      </w:r>
      <w:r w:rsidR="00EE5143">
        <w:rPr>
          <w:sz w:val="24"/>
        </w:rPr>
        <w:t xml:space="preserve">usage data for the month of August 2008. </w:t>
      </w:r>
      <w:r w:rsidR="009F36BC">
        <w:rPr>
          <w:sz w:val="24"/>
        </w:rPr>
        <w:t xml:space="preserve">Staff </w:t>
      </w:r>
      <w:r w:rsidR="001C7DFF">
        <w:rPr>
          <w:sz w:val="24"/>
        </w:rPr>
        <w:t xml:space="preserve">projects </w:t>
      </w:r>
      <w:r w:rsidR="00BB3805">
        <w:rPr>
          <w:sz w:val="24"/>
        </w:rPr>
        <w:t>this</w:t>
      </w:r>
      <w:r w:rsidR="00EE5143">
        <w:rPr>
          <w:sz w:val="24"/>
        </w:rPr>
        <w:t xml:space="preserve"> data to </w:t>
      </w:r>
      <w:r w:rsidR="001C7DFF">
        <w:rPr>
          <w:sz w:val="24"/>
        </w:rPr>
        <w:t xml:space="preserve">represent </w:t>
      </w:r>
      <w:r w:rsidR="00EE5143">
        <w:rPr>
          <w:sz w:val="24"/>
        </w:rPr>
        <w:t>about one-half the usage for 2007. The golf course is under new management and irrigation procedures have been changed starting in August 2008. Based on the golf course meter readings and improved water</w:t>
      </w:r>
      <w:r>
        <w:rPr>
          <w:sz w:val="24"/>
        </w:rPr>
        <w:t xml:space="preserve"> use</w:t>
      </w:r>
      <w:r w:rsidR="00EE5143">
        <w:rPr>
          <w:sz w:val="24"/>
        </w:rPr>
        <w:t xml:space="preserve"> practices</w:t>
      </w:r>
      <w:r>
        <w:rPr>
          <w:sz w:val="24"/>
        </w:rPr>
        <w:t>, staff believes</w:t>
      </w:r>
      <w:r w:rsidR="00EE5143">
        <w:rPr>
          <w:sz w:val="24"/>
        </w:rPr>
        <w:t xml:space="preserve"> the estimated total water usage for future periods should be about 34,120,000 gallons. Based on the same period of meter readings the restaurant</w:t>
      </w:r>
      <w:r w:rsidR="001B219B">
        <w:rPr>
          <w:sz w:val="24"/>
        </w:rPr>
        <w:t>/motel</w:t>
      </w:r>
      <w:r w:rsidR="00EE5143">
        <w:rPr>
          <w:sz w:val="24"/>
        </w:rPr>
        <w:t xml:space="preserve"> is estimated to use 495,000 gallons for the projected future periods.</w:t>
      </w:r>
    </w:p>
    <w:p w:rsidR="00536D47" w:rsidRDefault="00536D47" w:rsidP="00EE5143">
      <w:pPr>
        <w:rPr>
          <w:sz w:val="24"/>
        </w:rPr>
      </w:pPr>
    </w:p>
    <w:p w:rsidR="00536D47" w:rsidRDefault="00536D47" w:rsidP="00EE5143">
      <w:pPr>
        <w:rPr>
          <w:sz w:val="24"/>
        </w:rPr>
      </w:pPr>
      <w:r>
        <w:rPr>
          <w:sz w:val="24"/>
        </w:rPr>
        <w:t xml:space="preserve">The </w:t>
      </w:r>
      <w:r w:rsidR="006B499C">
        <w:rPr>
          <w:sz w:val="24"/>
        </w:rPr>
        <w:t xml:space="preserve">customers of the water company and </w:t>
      </w:r>
      <w:r>
        <w:rPr>
          <w:sz w:val="24"/>
        </w:rPr>
        <w:t>golf course management ha</w:t>
      </w:r>
      <w:r w:rsidR="006B499C">
        <w:rPr>
          <w:sz w:val="24"/>
        </w:rPr>
        <w:t>ve</w:t>
      </w:r>
      <w:r>
        <w:rPr>
          <w:sz w:val="24"/>
        </w:rPr>
        <w:t xml:space="preserve"> expressed concerns about continued operation of the </w:t>
      </w:r>
      <w:r w:rsidR="001C7DFF">
        <w:rPr>
          <w:sz w:val="24"/>
        </w:rPr>
        <w:t xml:space="preserve">golf course </w:t>
      </w:r>
      <w:r>
        <w:rPr>
          <w:sz w:val="24"/>
        </w:rPr>
        <w:t>with the end of the $500 per month flat</w:t>
      </w:r>
      <w:r w:rsidR="00B07CA5">
        <w:rPr>
          <w:sz w:val="24"/>
        </w:rPr>
        <w:t>,</w:t>
      </w:r>
      <w:r w:rsidR="006B499C">
        <w:rPr>
          <w:sz w:val="24"/>
        </w:rPr>
        <w:t xml:space="preserve"> unlimited use</w:t>
      </w:r>
      <w:r>
        <w:rPr>
          <w:sz w:val="24"/>
        </w:rPr>
        <w:t xml:space="preserve"> rate</w:t>
      </w:r>
      <w:r w:rsidR="006B499C">
        <w:rPr>
          <w:sz w:val="24"/>
        </w:rPr>
        <w:t xml:space="preserve">. </w:t>
      </w:r>
      <w:r w:rsidR="00B07CA5">
        <w:rPr>
          <w:sz w:val="24"/>
        </w:rPr>
        <w:t xml:space="preserve">Staff explained that </w:t>
      </w:r>
      <w:r w:rsidR="007F75E4">
        <w:rPr>
          <w:sz w:val="24"/>
        </w:rPr>
        <w:t>its</w:t>
      </w:r>
      <w:r w:rsidR="00080D0F">
        <w:rPr>
          <w:sz w:val="24"/>
        </w:rPr>
        <w:t xml:space="preserve"> goal is to recommend rates that </w:t>
      </w:r>
      <w:r w:rsidR="00B07CA5">
        <w:rPr>
          <w:sz w:val="24"/>
        </w:rPr>
        <w:t>fairly allocate the costs of operating the water system to the rates paid by the various customers</w:t>
      </w:r>
      <w:r w:rsidR="00080D0F">
        <w:rPr>
          <w:sz w:val="24"/>
        </w:rPr>
        <w:t xml:space="preserve">. Staff recognizes that many customers consider the golf course and the restaurant/motel as assets to their community, and staff encourages </w:t>
      </w:r>
      <w:r w:rsidR="00BB3805">
        <w:rPr>
          <w:sz w:val="24"/>
        </w:rPr>
        <w:t>those</w:t>
      </w:r>
      <w:r w:rsidR="00080D0F">
        <w:rPr>
          <w:sz w:val="24"/>
        </w:rPr>
        <w:t xml:space="preserve"> customers to explore different ways for the community to support those customers. However, staff strongly believes the commission should not set rates that require all residential customers to pay higher rates that would subsidize the golf course and the restaurant/motel customers. </w:t>
      </w:r>
      <w:r>
        <w:rPr>
          <w:sz w:val="24"/>
        </w:rPr>
        <w:t xml:space="preserve">Options </w:t>
      </w:r>
      <w:r w:rsidR="00080D0F">
        <w:rPr>
          <w:sz w:val="24"/>
        </w:rPr>
        <w:t xml:space="preserve">that staff suggested to </w:t>
      </w:r>
      <w:r w:rsidR="006B499C">
        <w:rPr>
          <w:sz w:val="24"/>
        </w:rPr>
        <w:t xml:space="preserve">customers, </w:t>
      </w:r>
      <w:r>
        <w:rPr>
          <w:sz w:val="24"/>
        </w:rPr>
        <w:t>golf course</w:t>
      </w:r>
      <w:r w:rsidR="006B499C">
        <w:rPr>
          <w:sz w:val="24"/>
        </w:rPr>
        <w:t xml:space="preserve"> management,</w:t>
      </w:r>
      <w:r>
        <w:rPr>
          <w:sz w:val="24"/>
        </w:rPr>
        <w:t xml:space="preserve"> and the water company included: </w:t>
      </w:r>
    </w:p>
    <w:p w:rsidR="000A5DEC" w:rsidRDefault="000F2D61">
      <w:pPr>
        <w:pStyle w:val="ListParagraph"/>
        <w:numPr>
          <w:ilvl w:val="0"/>
          <w:numId w:val="11"/>
        </w:numPr>
        <w:rPr>
          <w:sz w:val="24"/>
        </w:rPr>
      </w:pPr>
      <w:r w:rsidRPr="000F2D61">
        <w:rPr>
          <w:sz w:val="24"/>
        </w:rPr>
        <w:t>The golf course</w:t>
      </w:r>
      <w:r w:rsidR="007F75E4">
        <w:rPr>
          <w:sz w:val="24"/>
        </w:rPr>
        <w:t xml:space="preserve"> </w:t>
      </w:r>
      <w:r w:rsidR="001C7DFF">
        <w:rPr>
          <w:sz w:val="24"/>
        </w:rPr>
        <w:t>d</w:t>
      </w:r>
      <w:r w:rsidRPr="000F2D61">
        <w:rPr>
          <w:sz w:val="24"/>
        </w:rPr>
        <w:t xml:space="preserve">rill its own well;  </w:t>
      </w:r>
    </w:p>
    <w:p w:rsidR="000A5DEC" w:rsidRDefault="000F2D61">
      <w:pPr>
        <w:pStyle w:val="ListParagraph"/>
        <w:numPr>
          <w:ilvl w:val="0"/>
          <w:numId w:val="11"/>
        </w:numPr>
        <w:rPr>
          <w:sz w:val="24"/>
        </w:rPr>
      </w:pPr>
      <w:r w:rsidRPr="000F2D61">
        <w:rPr>
          <w:sz w:val="24"/>
        </w:rPr>
        <w:t xml:space="preserve">The golf course decrease water use; </w:t>
      </w:r>
    </w:p>
    <w:p w:rsidR="000A5DEC" w:rsidRDefault="00364A72">
      <w:pPr>
        <w:pStyle w:val="ListParagraph"/>
        <w:numPr>
          <w:ilvl w:val="0"/>
          <w:numId w:val="11"/>
        </w:numPr>
        <w:rPr>
          <w:sz w:val="24"/>
        </w:rPr>
      </w:pPr>
      <w:r>
        <w:rPr>
          <w:sz w:val="24"/>
        </w:rPr>
        <w:t xml:space="preserve">The golf course consider becoming a 9-hole course </w:t>
      </w:r>
      <w:r w:rsidR="00080D0F">
        <w:rPr>
          <w:sz w:val="24"/>
        </w:rPr>
        <w:t xml:space="preserve">instead of </w:t>
      </w:r>
      <w:r>
        <w:rPr>
          <w:sz w:val="24"/>
        </w:rPr>
        <w:t xml:space="preserve">an 18-hole course; </w:t>
      </w:r>
    </w:p>
    <w:p w:rsidR="000A5DEC" w:rsidRDefault="00080D0F">
      <w:pPr>
        <w:pStyle w:val="ListParagraph"/>
        <w:numPr>
          <w:ilvl w:val="0"/>
          <w:numId w:val="11"/>
        </w:numPr>
        <w:rPr>
          <w:sz w:val="24"/>
        </w:rPr>
      </w:pPr>
      <w:r>
        <w:rPr>
          <w:sz w:val="24"/>
        </w:rPr>
        <w:t xml:space="preserve">Interested </w:t>
      </w:r>
      <w:r w:rsidR="00B07CA5">
        <w:rPr>
          <w:sz w:val="24"/>
        </w:rPr>
        <w:t xml:space="preserve">residents form an association to </w:t>
      </w:r>
      <w:r w:rsidR="00364A72">
        <w:rPr>
          <w:sz w:val="24"/>
        </w:rPr>
        <w:t xml:space="preserve">purchase and operate </w:t>
      </w:r>
      <w:r w:rsidR="00B07CA5">
        <w:rPr>
          <w:sz w:val="24"/>
        </w:rPr>
        <w:t>the golf course</w:t>
      </w:r>
      <w:r w:rsidR="00364A72">
        <w:rPr>
          <w:sz w:val="24"/>
        </w:rPr>
        <w:t xml:space="preserve">; </w:t>
      </w:r>
    </w:p>
    <w:p w:rsidR="000A5DEC" w:rsidRDefault="00BB3805">
      <w:pPr>
        <w:pStyle w:val="ListParagraph"/>
        <w:numPr>
          <w:ilvl w:val="0"/>
          <w:numId w:val="11"/>
        </w:numPr>
        <w:rPr>
          <w:sz w:val="24"/>
        </w:rPr>
      </w:pPr>
      <w:r>
        <w:rPr>
          <w:sz w:val="24"/>
        </w:rPr>
        <w:lastRenderedPageBreak/>
        <w:t>Interested</w:t>
      </w:r>
      <w:r w:rsidR="00080D0F">
        <w:rPr>
          <w:sz w:val="24"/>
        </w:rPr>
        <w:t xml:space="preserve"> customers form </w:t>
      </w:r>
      <w:r>
        <w:rPr>
          <w:sz w:val="24"/>
        </w:rPr>
        <w:t>a “Friends</w:t>
      </w:r>
      <w:r w:rsidR="00536D47">
        <w:rPr>
          <w:sz w:val="24"/>
        </w:rPr>
        <w:t xml:space="preserve"> of the Golf Course” organization </w:t>
      </w:r>
      <w:r w:rsidR="00080D0F">
        <w:rPr>
          <w:sz w:val="24"/>
        </w:rPr>
        <w:t>t</w:t>
      </w:r>
      <w:r w:rsidR="0057006C">
        <w:rPr>
          <w:sz w:val="24"/>
        </w:rPr>
        <w:t>o</w:t>
      </w:r>
      <w:r w:rsidR="00080D0F">
        <w:rPr>
          <w:sz w:val="24"/>
        </w:rPr>
        <w:t xml:space="preserve"> help the </w:t>
      </w:r>
      <w:r w:rsidR="006B499C">
        <w:rPr>
          <w:sz w:val="24"/>
        </w:rPr>
        <w:t xml:space="preserve">golf course </w:t>
      </w:r>
      <w:r w:rsidR="00080D0F">
        <w:rPr>
          <w:sz w:val="24"/>
        </w:rPr>
        <w:t>pay its water bills</w:t>
      </w:r>
      <w:r w:rsidR="00536D47">
        <w:rPr>
          <w:sz w:val="24"/>
        </w:rPr>
        <w:t>;</w:t>
      </w:r>
      <w:r w:rsidR="00364A72">
        <w:rPr>
          <w:sz w:val="24"/>
        </w:rPr>
        <w:t xml:space="preserve"> </w:t>
      </w:r>
    </w:p>
    <w:p w:rsidR="000A5DEC" w:rsidRDefault="00080D0F">
      <w:pPr>
        <w:pStyle w:val="ListParagraph"/>
        <w:numPr>
          <w:ilvl w:val="0"/>
          <w:numId w:val="11"/>
        </w:numPr>
        <w:rPr>
          <w:sz w:val="24"/>
        </w:rPr>
      </w:pPr>
      <w:r>
        <w:rPr>
          <w:sz w:val="24"/>
        </w:rPr>
        <w:t xml:space="preserve">The golf course consider creating a “Friend of the Golf Course” membership to help pay the water bills, </w:t>
      </w:r>
      <w:r w:rsidR="00364A72">
        <w:rPr>
          <w:sz w:val="24"/>
        </w:rPr>
        <w:t>and</w:t>
      </w:r>
    </w:p>
    <w:p w:rsidR="000A5DEC" w:rsidRDefault="00536D47">
      <w:pPr>
        <w:pStyle w:val="ListParagraph"/>
        <w:numPr>
          <w:ilvl w:val="0"/>
          <w:numId w:val="11"/>
        </w:numPr>
        <w:rPr>
          <w:sz w:val="24"/>
        </w:rPr>
      </w:pPr>
      <w:r>
        <w:rPr>
          <w:sz w:val="24"/>
        </w:rPr>
        <w:t xml:space="preserve">The golf course and </w:t>
      </w:r>
      <w:r w:rsidR="00B07CA5">
        <w:rPr>
          <w:sz w:val="24"/>
        </w:rPr>
        <w:t>restaurant/</w:t>
      </w:r>
      <w:r>
        <w:rPr>
          <w:sz w:val="24"/>
        </w:rPr>
        <w:t xml:space="preserve">hotel </w:t>
      </w:r>
      <w:r w:rsidR="00B07CA5">
        <w:rPr>
          <w:sz w:val="24"/>
        </w:rPr>
        <w:t xml:space="preserve">customers review their water use requirements and, if appropriate, </w:t>
      </w:r>
      <w:r>
        <w:rPr>
          <w:sz w:val="24"/>
        </w:rPr>
        <w:t xml:space="preserve">request </w:t>
      </w:r>
      <w:r w:rsidR="00B07CA5">
        <w:rPr>
          <w:sz w:val="24"/>
        </w:rPr>
        <w:t xml:space="preserve">the company to install smaller water meters </w:t>
      </w:r>
      <w:r>
        <w:rPr>
          <w:sz w:val="24"/>
        </w:rPr>
        <w:t>to save on base rate</w:t>
      </w:r>
      <w:r w:rsidR="006B499C">
        <w:rPr>
          <w:sz w:val="24"/>
        </w:rPr>
        <w:t xml:space="preserve"> charges</w:t>
      </w:r>
      <w:r w:rsidR="00364A72">
        <w:rPr>
          <w:sz w:val="24"/>
        </w:rPr>
        <w:t xml:space="preserve">. </w:t>
      </w:r>
    </w:p>
    <w:p w:rsidR="000A5DEC" w:rsidRDefault="000A5DEC">
      <w:pPr>
        <w:pStyle w:val="ListParagraph"/>
        <w:rPr>
          <w:sz w:val="24"/>
        </w:rPr>
      </w:pPr>
    </w:p>
    <w:p w:rsidR="00EE5143" w:rsidRDefault="005B7367" w:rsidP="00B81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sz w:val="24"/>
        </w:rPr>
      </w:pPr>
      <w:r>
        <w:rPr>
          <w:sz w:val="24"/>
        </w:rPr>
        <w:t xml:space="preserve">Staff identified a </w:t>
      </w:r>
      <w:r w:rsidR="00BD598D">
        <w:rPr>
          <w:sz w:val="24"/>
        </w:rPr>
        <w:t xml:space="preserve">$46,000 loan </w:t>
      </w:r>
      <w:r>
        <w:rPr>
          <w:sz w:val="24"/>
        </w:rPr>
        <w:t xml:space="preserve">between the </w:t>
      </w:r>
      <w:r w:rsidR="00BD598D">
        <w:rPr>
          <w:sz w:val="24"/>
        </w:rPr>
        <w:t xml:space="preserve">company </w:t>
      </w:r>
      <w:r>
        <w:rPr>
          <w:sz w:val="24"/>
        </w:rPr>
        <w:t xml:space="preserve">and a </w:t>
      </w:r>
      <w:r w:rsidR="00BD598D">
        <w:rPr>
          <w:sz w:val="24"/>
        </w:rPr>
        <w:t>shareholder</w:t>
      </w:r>
      <w:r>
        <w:rPr>
          <w:sz w:val="24"/>
        </w:rPr>
        <w:t xml:space="preserve">, an </w:t>
      </w:r>
      <w:r w:rsidR="00BB3805">
        <w:rPr>
          <w:sz w:val="24"/>
        </w:rPr>
        <w:t>affiliate</w:t>
      </w:r>
      <w:r>
        <w:rPr>
          <w:sz w:val="24"/>
        </w:rPr>
        <w:t xml:space="preserve"> transaction</w:t>
      </w:r>
      <w:r w:rsidR="00BD598D">
        <w:rPr>
          <w:sz w:val="24"/>
        </w:rPr>
        <w:t xml:space="preserve">. The loan was not subject to the terms of </w:t>
      </w:r>
      <w:r>
        <w:rPr>
          <w:sz w:val="24"/>
        </w:rPr>
        <w:t>the commission’s securities filings</w:t>
      </w:r>
      <w:r w:rsidR="007C1A07">
        <w:rPr>
          <w:sz w:val="24"/>
        </w:rPr>
        <w:t xml:space="preserve"> </w:t>
      </w:r>
      <w:r w:rsidR="001C7DFF">
        <w:rPr>
          <w:sz w:val="24"/>
        </w:rPr>
        <w:t>because</w:t>
      </w:r>
      <w:r w:rsidR="00BD598D">
        <w:rPr>
          <w:sz w:val="24"/>
        </w:rPr>
        <w:t xml:space="preserve"> it was made before the company became regulated by the commission. </w:t>
      </w:r>
      <w:r w:rsidR="00F379B3">
        <w:rPr>
          <w:sz w:val="24"/>
        </w:rPr>
        <w:t xml:space="preserve">The company entered into the agreement on October 5, 2007 and the water company dated the agreement October 11, 2008.  </w:t>
      </w:r>
      <w:r w:rsidR="006B499C">
        <w:rPr>
          <w:sz w:val="24"/>
        </w:rPr>
        <w:t xml:space="preserve">The loan has an interest rate of 11 percent. </w:t>
      </w:r>
      <w:r w:rsidR="00C37313">
        <w:rPr>
          <w:sz w:val="24"/>
        </w:rPr>
        <w:t xml:space="preserve">Because </w:t>
      </w:r>
      <w:r w:rsidR="006B499C">
        <w:rPr>
          <w:sz w:val="24"/>
        </w:rPr>
        <w:t xml:space="preserve">this loan </w:t>
      </w:r>
      <w:r w:rsidR="00C37313">
        <w:rPr>
          <w:sz w:val="24"/>
        </w:rPr>
        <w:t xml:space="preserve">is </w:t>
      </w:r>
      <w:r w:rsidR="006B499C">
        <w:rPr>
          <w:sz w:val="24"/>
        </w:rPr>
        <w:t xml:space="preserve">an affiliated interest transaction, commission staff imputed </w:t>
      </w:r>
      <w:r w:rsidR="00C37313">
        <w:rPr>
          <w:sz w:val="24"/>
        </w:rPr>
        <w:t xml:space="preserve">an </w:t>
      </w:r>
      <w:r w:rsidR="006B499C">
        <w:rPr>
          <w:sz w:val="24"/>
        </w:rPr>
        <w:t xml:space="preserve">interest rate </w:t>
      </w:r>
      <w:r w:rsidR="00C37313">
        <w:rPr>
          <w:sz w:val="24"/>
        </w:rPr>
        <w:t xml:space="preserve">of 10.08 percent (prime plus </w:t>
      </w:r>
      <w:r w:rsidR="00B37B6C">
        <w:rPr>
          <w:sz w:val="24"/>
        </w:rPr>
        <w:t xml:space="preserve">two </w:t>
      </w:r>
      <w:r w:rsidR="00C37313">
        <w:rPr>
          <w:sz w:val="24"/>
        </w:rPr>
        <w:t>percent) for the test period of 2007, which is consistent with a previous commission</w:t>
      </w:r>
      <w:r w:rsidR="001C7DFF">
        <w:rPr>
          <w:sz w:val="24"/>
        </w:rPr>
        <w:t xml:space="preserve"> decision</w:t>
      </w:r>
      <w:r w:rsidR="00C37313">
        <w:rPr>
          <w:sz w:val="24"/>
        </w:rPr>
        <w:t xml:space="preserve">. </w:t>
      </w:r>
      <w:r>
        <w:rPr>
          <w:sz w:val="24"/>
        </w:rPr>
        <w:t xml:space="preserve">Staff </w:t>
      </w:r>
      <w:r w:rsidR="00C37313">
        <w:rPr>
          <w:sz w:val="24"/>
        </w:rPr>
        <w:t xml:space="preserve">determined that the company used the proceeds of the loan </w:t>
      </w:r>
      <w:r w:rsidR="006B499C">
        <w:rPr>
          <w:sz w:val="24"/>
        </w:rPr>
        <w:t>to cover operating expenses</w:t>
      </w:r>
      <w:r w:rsidR="00C37313">
        <w:rPr>
          <w:sz w:val="24"/>
        </w:rPr>
        <w:t xml:space="preserve"> and removed </w:t>
      </w:r>
      <w:r w:rsidR="00BD598D">
        <w:rPr>
          <w:sz w:val="24"/>
        </w:rPr>
        <w:t>costs related to the loan</w:t>
      </w:r>
      <w:r w:rsidR="00DA6143">
        <w:rPr>
          <w:sz w:val="24"/>
        </w:rPr>
        <w:t xml:space="preserve"> </w:t>
      </w:r>
      <w:r w:rsidR="00C37313">
        <w:rPr>
          <w:sz w:val="24"/>
        </w:rPr>
        <w:t xml:space="preserve">from our </w:t>
      </w:r>
      <w:r w:rsidR="00BB3805">
        <w:rPr>
          <w:sz w:val="24"/>
        </w:rPr>
        <w:t>calculation</w:t>
      </w:r>
      <w:r w:rsidR="00C37313">
        <w:rPr>
          <w:sz w:val="24"/>
        </w:rPr>
        <w:t xml:space="preserve"> of </w:t>
      </w:r>
      <w:r w:rsidR="00DA6143">
        <w:rPr>
          <w:sz w:val="24"/>
        </w:rPr>
        <w:t>rates</w:t>
      </w:r>
      <w:r w:rsidR="006B499C">
        <w:rPr>
          <w:sz w:val="24"/>
        </w:rPr>
        <w:t xml:space="preserve">. </w:t>
      </w:r>
      <w:r w:rsidR="00BD598D">
        <w:rPr>
          <w:sz w:val="24"/>
        </w:rPr>
        <w:t xml:space="preserve"> </w:t>
      </w:r>
    </w:p>
    <w:p w:rsidR="00BD598D" w:rsidRDefault="00BD598D" w:rsidP="00B81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sz w:val="24"/>
        </w:rPr>
      </w:pPr>
    </w:p>
    <w:p w:rsidR="000A5DEC" w:rsidRDefault="00AC52E4">
      <w:pPr>
        <w:pStyle w:val="NoSpacing"/>
      </w:pPr>
      <w:r w:rsidRPr="00AC52E4">
        <w:t xml:space="preserve">The company’s actual capital structure is $46,000 (39 percent) debt and </w:t>
      </w:r>
      <w:r w:rsidR="00510912" w:rsidRPr="00AC52E4">
        <w:t>$71,335</w:t>
      </w:r>
      <w:r w:rsidRPr="00AC52E4">
        <w:t xml:space="preserve"> (61 percent equity), which staff believes is reasonable</w:t>
      </w:r>
      <w:r w:rsidR="00510912" w:rsidRPr="00AC52E4">
        <w:t xml:space="preserve">. </w:t>
      </w:r>
      <w:r>
        <w:t xml:space="preserve">This capital structure results in </w:t>
      </w:r>
      <w:r w:rsidR="00BB3805">
        <w:t>an</w:t>
      </w:r>
      <w:r>
        <w:t xml:space="preserve"> </w:t>
      </w:r>
      <w:r w:rsidRPr="00AC52E4">
        <w:t>11.25 percent</w:t>
      </w:r>
      <w:r w:rsidRPr="00AC52E4" w:rsidDel="00AC52E4">
        <w:t xml:space="preserve"> </w:t>
      </w:r>
      <w:r w:rsidR="000F2D61" w:rsidRPr="000F2D61">
        <w:rPr>
          <w:rFonts w:eastAsia="Times New Roman"/>
        </w:rPr>
        <w:t>weighted average rate of return</w:t>
      </w:r>
      <w:r>
        <w:t>. However, s</w:t>
      </w:r>
      <w:r w:rsidR="000F2D61" w:rsidRPr="000F2D61">
        <w:rPr>
          <w:rFonts w:eastAsia="Times New Roman"/>
        </w:rPr>
        <w:t>taff disallowed the $46,000 loan and used a hypothetical capital structure</w:t>
      </w:r>
      <w:r>
        <w:t xml:space="preserve"> (40 percent debt and 60 percent equity)</w:t>
      </w:r>
      <w:r w:rsidR="000F2D61" w:rsidRPr="000F2D61">
        <w:rPr>
          <w:rFonts w:eastAsia="Times New Roman"/>
        </w:rPr>
        <w:t xml:space="preserve">, resulting in </w:t>
      </w:r>
      <w:r w:rsidR="00BB3805" w:rsidRPr="00AC52E4">
        <w:t>an</w:t>
      </w:r>
      <w:r w:rsidR="000F2D61" w:rsidRPr="000F2D61">
        <w:rPr>
          <w:rFonts w:eastAsia="Times New Roman"/>
        </w:rPr>
        <w:t xml:space="preserve"> 11.23 percent weighted average return. Using the hypothetical capital structure decreases the revenue requirement by </w:t>
      </w:r>
      <w:r w:rsidR="00F379B3">
        <w:t>$69.</w:t>
      </w:r>
    </w:p>
    <w:p w:rsidR="000A5DEC" w:rsidRDefault="000A5DEC">
      <w:pPr>
        <w:pStyle w:val="NoSpacing"/>
      </w:pPr>
    </w:p>
    <w:p w:rsidR="000A5DEC" w:rsidRDefault="001B219B">
      <w:pPr>
        <w:pStyle w:val="NoSpacing"/>
      </w:pPr>
      <w:r w:rsidRPr="00AC52E4">
        <w:t>Residential</w:t>
      </w:r>
      <w:r w:rsidR="00FB6FB0" w:rsidRPr="00AC52E4">
        <w:t xml:space="preserve"> customers </w:t>
      </w:r>
      <w:r w:rsidRPr="00AC52E4">
        <w:t>using</w:t>
      </w:r>
      <w:r w:rsidR="00FB6FB0" w:rsidRPr="00AC52E4">
        <w:t xml:space="preserve"> </w:t>
      </w:r>
      <w:r w:rsidR="00613CF4">
        <w:t>3/4</w:t>
      </w:r>
      <w:r w:rsidR="00AC52E4">
        <w:t>-</w:t>
      </w:r>
      <w:r w:rsidR="00FB6FB0" w:rsidRPr="00AC52E4">
        <w:t xml:space="preserve">inch meters </w:t>
      </w:r>
      <w:r w:rsidR="009C5E87" w:rsidRPr="00AC52E4">
        <w:t xml:space="preserve">have a revised </w:t>
      </w:r>
      <w:r w:rsidR="00AC52E4">
        <w:t xml:space="preserve">base </w:t>
      </w:r>
      <w:r w:rsidR="009C5E87" w:rsidRPr="00AC52E4">
        <w:t>rate of $26.25</w:t>
      </w:r>
      <w:r w:rsidR="009C5E87">
        <w:t xml:space="preserve">. </w:t>
      </w:r>
      <w:r w:rsidR="00AC52E4">
        <w:t xml:space="preserve">Staff uses the </w:t>
      </w:r>
      <w:r w:rsidR="00FB6FB0">
        <w:t>capacity factor</w:t>
      </w:r>
      <w:r w:rsidR="00AC52E4">
        <w:t xml:space="preserve">, as calculated </w:t>
      </w:r>
      <w:r w:rsidR="00FB6FB0">
        <w:t xml:space="preserve">by </w:t>
      </w:r>
      <w:r w:rsidR="00AC52E4">
        <w:t xml:space="preserve">the </w:t>
      </w:r>
      <w:r w:rsidR="00FB6FB0">
        <w:t>American Water Works Association (AWWA)</w:t>
      </w:r>
      <w:r w:rsidR="00AC52E4">
        <w:t>, to calculate the base rate for larger meters</w:t>
      </w:r>
      <w:r w:rsidR="00FB6FB0">
        <w:t xml:space="preserve">. For a 4-inch meter </w:t>
      </w:r>
      <w:r w:rsidR="009C5E87">
        <w:t>(restaurant/motel)</w:t>
      </w:r>
      <w:r w:rsidR="00AC52E4">
        <w:t>,</w:t>
      </w:r>
      <w:r w:rsidR="009C5E87">
        <w:t xml:space="preserve"> </w:t>
      </w:r>
      <w:r w:rsidR="00FB6FB0">
        <w:t xml:space="preserve">the capacity factor is 16.7 times a </w:t>
      </w:r>
      <w:r w:rsidR="009C5E87">
        <w:t>3/4-</w:t>
      </w:r>
      <w:r w:rsidR="00FB6FB0">
        <w:t xml:space="preserve">inch meter, which </w:t>
      </w:r>
      <w:r w:rsidR="00AC52E4">
        <w:t xml:space="preserve">calculates to a $438.38 </w:t>
      </w:r>
      <w:r w:rsidR="00FB6FB0">
        <w:t>base rate.</w:t>
      </w:r>
      <w:r w:rsidR="00FB6FB0" w:rsidRPr="0067233F">
        <w:t xml:space="preserve"> </w:t>
      </w:r>
      <w:r w:rsidR="00FB6FB0">
        <w:t xml:space="preserve">For a 6-inch meter </w:t>
      </w:r>
      <w:r w:rsidR="009C5E87">
        <w:t>(golf course)</w:t>
      </w:r>
      <w:r w:rsidR="00AC52E4">
        <w:t>,</w:t>
      </w:r>
      <w:r w:rsidR="009C5E87">
        <w:t xml:space="preserve"> </w:t>
      </w:r>
      <w:r w:rsidR="00FB6FB0">
        <w:t>the ca</w:t>
      </w:r>
      <w:r w:rsidR="009C5E87">
        <w:t>pacity factor is 33.3 times a 3/4-</w:t>
      </w:r>
      <w:r w:rsidR="00FB6FB0">
        <w:t xml:space="preserve">inch meter, which </w:t>
      </w:r>
      <w:r w:rsidR="00AC52E4">
        <w:t xml:space="preserve">calculates to </w:t>
      </w:r>
      <w:r w:rsidR="00BB3805">
        <w:t>an</w:t>
      </w:r>
      <w:r w:rsidR="00AC52E4">
        <w:t xml:space="preserve"> </w:t>
      </w:r>
      <w:r w:rsidR="00FB6FB0">
        <w:t>$874.13</w:t>
      </w:r>
      <w:r w:rsidR="00AC52E4">
        <w:t xml:space="preserve"> base rate</w:t>
      </w:r>
      <w:r w:rsidR="00FB6FB0">
        <w:t xml:space="preserve">. This form of rate design is common practice for the water industry on </w:t>
      </w:r>
      <w:r w:rsidR="00571C23">
        <w:t xml:space="preserve">larger </w:t>
      </w:r>
      <w:r w:rsidR="00FB6FB0">
        <w:t xml:space="preserve">meter </w:t>
      </w:r>
      <w:r w:rsidR="00571C23">
        <w:t xml:space="preserve">sizes </w:t>
      </w:r>
      <w:r w:rsidR="00FB6FB0">
        <w:t>and normally would include a</w:t>
      </w:r>
      <w:r w:rsidR="00571C23">
        <w:t xml:space="preserve"> similar adjustment </w:t>
      </w:r>
      <w:r w:rsidR="00FB6FB0">
        <w:t>to the usage blocks. Th</w:t>
      </w:r>
      <w:r w:rsidR="00571C23">
        <w:t xml:space="preserve">e usage block adjustment </w:t>
      </w:r>
      <w:r w:rsidR="00FB6FB0">
        <w:t xml:space="preserve">is not possible for this rate </w:t>
      </w:r>
      <w:r w:rsidR="001C7DFF">
        <w:t xml:space="preserve">case </w:t>
      </w:r>
      <w:r w:rsidR="00571C23">
        <w:t xml:space="preserve">because of </w:t>
      </w:r>
      <w:r w:rsidR="00FB6FB0">
        <w:t xml:space="preserve">insufficient </w:t>
      </w:r>
      <w:r w:rsidR="001C7DFF">
        <w:t xml:space="preserve">water </w:t>
      </w:r>
      <w:r w:rsidR="00FB6FB0">
        <w:t>usage data. For this case</w:t>
      </w:r>
      <w:r w:rsidR="00571C23">
        <w:t>,</w:t>
      </w:r>
      <w:r w:rsidR="00FB6FB0">
        <w:t xml:space="preserve"> staff </w:t>
      </w:r>
      <w:r w:rsidR="00571C23">
        <w:t xml:space="preserve">believes the </w:t>
      </w:r>
      <w:r w:rsidR="00BB3805">
        <w:t>proposed single</w:t>
      </w:r>
      <w:r w:rsidR="00571C23">
        <w:t xml:space="preserve"> usage block and single usage rate for all customers are reasonable</w:t>
      </w:r>
      <w:r w:rsidR="00FB6FB0">
        <w:t>.</w:t>
      </w:r>
    </w:p>
    <w:p w:rsidR="00137B15" w:rsidRPr="00137B15" w:rsidRDefault="00137B15" w:rsidP="00B81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b/>
          <w:sz w:val="24"/>
          <w:u w:val="single"/>
        </w:rPr>
      </w:pPr>
    </w:p>
    <w:p w:rsidR="00EE5495" w:rsidRDefault="00EE5495" w:rsidP="00EE5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b/>
          <w:sz w:val="24"/>
          <w:u w:val="single"/>
        </w:rPr>
      </w:pPr>
      <w:r>
        <w:rPr>
          <w:b/>
          <w:sz w:val="24"/>
          <w:u w:val="single"/>
        </w:rPr>
        <w:t xml:space="preserve">Customer Comments </w:t>
      </w:r>
    </w:p>
    <w:p w:rsidR="00EE5495" w:rsidRDefault="00EE5495" w:rsidP="00EE5495">
      <w:pPr>
        <w:rPr>
          <w:sz w:val="24"/>
        </w:rPr>
      </w:pPr>
      <w:r>
        <w:rPr>
          <w:sz w:val="24"/>
        </w:rPr>
        <w:t>A total of 52 customer comments have been received to date, all opposed the rate increase as originally proposed. Please note: Customers often address several issues of concern within one comment. Therefore, subtotals may not equal the total number of comments submitted.</w:t>
      </w:r>
    </w:p>
    <w:p w:rsidR="00EE5495" w:rsidRDefault="00EE5495" w:rsidP="00EE5495">
      <w:pPr>
        <w:rPr>
          <w:b/>
          <w:sz w:val="24"/>
          <w:u w:val="single"/>
        </w:rPr>
      </w:pPr>
    </w:p>
    <w:p w:rsidR="00EE5495" w:rsidRDefault="00EE5495" w:rsidP="00EE5495">
      <w:pPr>
        <w:rPr>
          <w:b/>
          <w:sz w:val="24"/>
          <w:u w:val="single"/>
        </w:rPr>
      </w:pPr>
      <w:r>
        <w:rPr>
          <w:color w:val="000000"/>
          <w:sz w:val="24"/>
        </w:rPr>
        <w:t>Consumer Protection staff advised customer</w:t>
      </w:r>
      <w:r>
        <w:rPr>
          <w:sz w:val="24"/>
        </w:rPr>
        <w:t xml:space="preserve">s that they may access company documents pertinent to this rate case at </w:t>
      </w:r>
      <w:hyperlink r:id="rId11" w:history="1">
        <w:r>
          <w:rPr>
            <w:rStyle w:val="Hyperlink"/>
            <w:sz w:val="24"/>
          </w:rPr>
          <w:t>utc.wa.gov</w:t>
        </w:r>
      </w:hyperlink>
      <w:r>
        <w:rPr>
          <w:sz w:val="24"/>
        </w:rPr>
        <w:t xml:space="preserve">, and </w:t>
      </w:r>
      <w:hyperlink r:id="rId12" w:history="1">
        <w:r>
          <w:rPr>
            <w:rStyle w:val="Hyperlink"/>
            <w:sz w:val="24"/>
          </w:rPr>
          <w:t>utc.wa.gov/water</w:t>
        </w:r>
      </w:hyperlink>
      <w:r>
        <w:rPr>
          <w:sz w:val="24"/>
        </w:rPr>
        <w:t xml:space="preserve"> and that they may contact Dennis Shutler toll-free at 1-888-333-9882 with questions.</w:t>
      </w:r>
    </w:p>
    <w:p w:rsidR="00EE5495" w:rsidRDefault="00EE5495" w:rsidP="00EE5495">
      <w:pPr>
        <w:rPr>
          <w:sz w:val="24"/>
        </w:rPr>
      </w:pPr>
    </w:p>
    <w:p w:rsidR="00EE5495" w:rsidRDefault="00EE5495" w:rsidP="00EE5495">
      <w:pPr>
        <w:widowControl/>
        <w:autoSpaceDE/>
        <w:adjustRightInd/>
        <w:rPr>
          <w:b/>
          <w:sz w:val="24"/>
        </w:rPr>
      </w:pPr>
      <w:r>
        <w:rPr>
          <w:b/>
          <w:sz w:val="24"/>
        </w:rPr>
        <w:t>Filing Documents and Methodology Comments</w:t>
      </w:r>
    </w:p>
    <w:p w:rsidR="00EE5495" w:rsidRDefault="00EE5495" w:rsidP="00EE5495">
      <w:pPr>
        <w:numPr>
          <w:ilvl w:val="0"/>
          <w:numId w:val="13"/>
        </w:numPr>
        <w:rPr>
          <w:sz w:val="24"/>
        </w:rPr>
      </w:pPr>
      <w:r>
        <w:rPr>
          <w:sz w:val="24"/>
        </w:rPr>
        <w:t xml:space="preserve">Nine customers expressed concerns over the company’s proposed rate increase and the effect on the golf course. </w:t>
      </w:r>
    </w:p>
    <w:p w:rsidR="00EE5495" w:rsidRDefault="00EE5495" w:rsidP="00EE5495">
      <w:pPr>
        <w:rPr>
          <w:sz w:val="24"/>
        </w:rPr>
      </w:pPr>
    </w:p>
    <w:p w:rsidR="00EE5495" w:rsidRDefault="00EE5495" w:rsidP="00EE5495">
      <w:pPr>
        <w:ind w:left="720"/>
        <w:rPr>
          <w:sz w:val="24"/>
        </w:rPr>
      </w:pPr>
      <w:r>
        <w:rPr>
          <w:b/>
          <w:sz w:val="24"/>
        </w:rPr>
        <w:t>Staff Response</w:t>
      </w:r>
    </w:p>
    <w:p w:rsidR="00EE5495" w:rsidRDefault="00EE5495" w:rsidP="00EE5495">
      <w:pPr>
        <w:ind w:left="720"/>
        <w:rPr>
          <w:sz w:val="24"/>
        </w:rPr>
      </w:pPr>
      <w:r>
        <w:rPr>
          <w:sz w:val="24"/>
        </w:rPr>
        <w:t xml:space="preserve">Rates are designed to recover costs from water users. Under the revised rate design, the golf course will pay a base charge plus a usage charge. Residential water rates will not subsidize golf course water rates. </w:t>
      </w:r>
    </w:p>
    <w:p w:rsidR="00EE5495" w:rsidRDefault="00EE5495" w:rsidP="00EE5495">
      <w:pPr>
        <w:widowControl/>
        <w:autoSpaceDE/>
        <w:adjustRightInd/>
        <w:rPr>
          <w:sz w:val="24"/>
        </w:rPr>
      </w:pPr>
    </w:p>
    <w:p w:rsidR="00EE5495" w:rsidRDefault="00EE5495" w:rsidP="00EE5495">
      <w:pPr>
        <w:pStyle w:val="ListParagraph"/>
        <w:widowControl/>
        <w:numPr>
          <w:ilvl w:val="0"/>
          <w:numId w:val="13"/>
        </w:numPr>
        <w:tabs>
          <w:tab w:val="left" w:pos="90"/>
        </w:tabs>
        <w:autoSpaceDE/>
        <w:adjustRightInd/>
        <w:rPr>
          <w:b/>
          <w:sz w:val="24"/>
        </w:rPr>
      </w:pPr>
      <w:r>
        <w:rPr>
          <w:sz w:val="24"/>
        </w:rPr>
        <w:t xml:space="preserve">Eleven customers mentioned their distrust of the information and documentation provided by the company to substantiate its rate increase, requesting staff review the company’s financial records from more than only a single test-year period. </w:t>
      </w:r>
    </w:p>
    <w:p w:rsidR="00EE5495" w:rsidRDefault="00EE5495" w:rsidP="00EE5495">
      <w:pPr>
        <w:widowControl/>
        <w:tabs>
          <w:tab w:val="left" w:pos="90"/>
        </w:tabs>
        <w:autoSpaceDE/>
        <w:adjustRightInd/>
        <w:rPr>
          <w:b/>
          <w:sz w:val="24"/>
        </w:rPr>
      </w:pPr>
    </w:p>
    <w:p w:rsidR="00EE5495" w:rsidRDefault="00EE5495" w:rsidP="00EE5495">
      <w:pPr>
        <w:ind w:left="720"/>
        <w:rPr>
          <w:b/>
          <w:sz w:val="24"/>
        </w:rPr>
      </w:pPr>
      <w:r>
        <w:rPr>
          <w:b/>
          <w:sz w:val="24"/>
        </w:rPr>
        <w:t>Staff Response</w:t>
      </w:r>
    </w:p>
    <w:p w:rsidR="00EE5495" w:rsidRDefault="00EE5495" w:rsidP="00EE5495">
      <w:pPr>
        <w:ind w:left="720"/>
        <w:rPr>
          <w:sz w:val="24"/>
        </w:rPr>
      </w:pPr>
      <w:r>
        <w:rPr>
          <w:sz w:val="24"/>
        </w:rPr>
        <w:t xml:space="preserve">Staff only reviews one year of operating expenses and revenues called a “test period” to determine rates. Adjustments to this test period may be made to reflect a typical year of operations. The company filed 2007 as a test period and staff used the 2007 test period for the rate case. </w:t>
      </w:r>
    </w:p>
    <w:p w:rsidR="00EE5495" w:rsidRDefault="00EE5495" w:rsidP="00EE5495">
      <w:pPr>
        <w:widowControl/>
        <w:tabs>
          <w:tab w:val="left" w:pos="90"/>
        </w:tabs>
        <w:autoSpaceDE/>
        <w:adjustRightInd/>
        <w:rPr>
          <w:b/>
          <w:sz w:val="24"/>
        </w:rPr>
      </w:pPr>
    </w:p>
    <w:p w:rsidR="00EE5495" w:rsidRDefault="00EE5495" w:rsidP="00EE5495">
      <w:pPr>
        <w:pStyle w:val="ListParagraph"/>
        <w:numPr>
          <w:ilvl w:val="0"/>
          <w:numId w:val="13"/>
        </w:numPr>
        <w:tabs>
          <w:tab w:val="left" w:pos="90"/>
        </w:tabs>
        <w:rPr>
          <w:sz w:val="24"/>
        </w:rPr>
      </w:pPr>
      <w:r>
        <w:rPr>
          <w:sz w:val="24"/>
        </w:rPr>
        <w:t xml:space="preserve">One customer inquired about </w:t>
      </w:r>
      <w:r>
        <w:rPr>
          <w:rFonts w:eastAsia="Calibri"/>
          <w:color w:val="000000"/>
          <w:sz w:val="24"/>
        </w:rPr>
        <w:t xml:space="preserve">the 2007 Profit/Loss statement showing a $46,000 loan from a shareholder, wondering if this should be listed as income rather than an expense.  </w:t>
      </w:r>
    </w:p>
    <w:p w:rsidR="00EE5495" w:rsidRDefault="00EE5495" w:rsidP="00EE5495">
      <w:pPr>
        <w:tabs>
          <w:tab w:val="left" w:pos="90"/>
        </w:tabs>
        <w:rPr>
          <w:b/>
          <w:sz w:val="24"/>
        </w:rPr>
      </w:pPr>
    </w:p>
    <w:p w:rsidR="00EE5495" w:rsidRDefault="00EE5495" w:rsidP="00EE5495">
      <w:pPr>
        <w:ind w:left="720"/>
        <w:rPr>
          <w:b/>
          <w:sz w:val="24"/>
        </w:rPr>
      </w:pPr>
      <w:r>
        <w:rPr>
          <w:b/>
          <w:sz w:val="24"/>
        </w:rPr>
        <w:t>Staff Response</w:t>
      </w:r>
    </w:p>
    <w:p w:rsidR="00EE5495" w:rsidRDefault="00EE5495" w:rsidP="00EE5495">
      <w:pPr>
        <w:ind w:left="720"/>
        <w:rPr>
          <w:sz w:val="24"/>
        </w:rPr>
      </w:pPr>
      <w:r>
        <w:rPr>
          <w:sz w:val="24"/>
        </w:rPr>
        <w:t>Loans to a company are neither income nor expenses. They are a source of funds reflected on a company’s balance sheet. Normally, loans are used to purchase new assets. Because this loan was used to cover operating expenses, there was no recovery of costs related to the loan in rates.</w:t>
      </w:r>
    </w:p>
    <w:p w:rsidR="00EE5495" w:rsidRDefault="00EE5495" w:rsidP="00EE5495">
      <w:pPr>
        <w:tabs>
          <w:tab w:val="left" w:pos="90"/>
        </w:tabs>
        <w:rPr>
          <w:b/>
          <w:sz w:val="24"/>
        </w:rPr>
      </w:pPr>
    </w:p>
    <w:p w:rsidR="00EE5495" w:rsidRDefault="00EE5495" w:rsidP="00EE5495">
      <w:pPr>
        <w:pStyle w:val="ListParagraph"/>
        <w:numPr>
          <w:ilvl w:val="0"/>
          <w:numId w:val="13"/>
        </w:numPr>
        <w:tabs>
          <w:tab w:val="left" w:pos="90"/>
        </w:tabs>
        <w:rPr>
          <w:b/>
          <w:sz w:val="24"/>
        </w:rPr>
      </w:pPr>
      <w:r>
        <w:rPr>
          <w:sz w:val="24"/>
        </w:rPr>
        <w:t>Eleven customers</w:t>
      </w:r>
      <w:r>
        <w:rPr>
          <w:b/>
          <w:sz w:val="24"/>
        </w:rPr>
        <w:t xml:space="preserve"> </w:t>
      </w:r>
      <w:r>
        <w:rPr>
          <w:sz w:val="24"/>
        </w:rPr>
        <w:t xml:space="preserve">expressed concerns over the differences in the water system valuation surveys submitted by Munson Engineering at $2,347,591 and what they believed to be an inflated valuation submitted by Thomas Dean &amp; Hoskins (TD&amp;H) at $8,622,484. </w:t>
      </w:r>
    </w:p>
    <w:p w:rsidR="00EE5495" w:rsidRDefault="00EE5495" w:rsidP="00EE5495">
      <w:pPr>
        <w:pStyle w:val="ListParagraph"/>
        <w:rPr>
          <w:b/>
          <w:sz w:val="24"/>
        </w:rPr>
      </w:pPr>
    </w:p>
    <w:p w:rsidR="00EE5495" w:rsidRDefault="00EE5495" w:rsidP="00EE5495">
      <w:pPr>
        <w:pStyle w:val="ListParagraph"/>
        <w:rPr>
          <w:b/>
          <w:sz w:val="24"/>
        </w:rPr>
      </w:pPr>
      <w:r>
        <w:rPr>
          <w:b/>
          <w:sz w:val="24"/>
        </w:rPr>
        <w:t>Staff Response</w:t>
      </w:r>
    </w:p>
    <w:p w:rsidR="00EE5495" w:rsidRDefault="00EE5495" w:rsidP="00EE5495">
      <w:pPr>
        <w:pStyle w:val="ListParagraph"/>
        <w:rPr>
          <w:sz w:val="24"/>
        </w:rPr>
      </w:pPr>
      <w:r>
        <w:rPr>
          <w:sz w:val="24"/>
        </w:rPr>
        <w:t xml:space="preserve">Staff uses historical cost of plant less deprecation and contributions in aid of construction (CIAC) to determine the appropriate assets recovery amount known as rate base. Staff used neither study to determine rates. The surveys were not used to determine the rates for the company. </w:t>
      </w:r>
    </w:p>
    <w:p w:rsidR="00EE5495" w:rsidRDefault="00EE5495" w:rsidP="00EE5495">
      <w:pPr>
        <w:tabs>
          <w:tab w:val="left" w:pos="90"/>
        </w:tabs>
        <w:rPr>
          <w:b/>
          <w:sz w:val="24"/>
        </w:rPr>
      </w:pPr>
    </w:p>
    <w:p w:rsidR="00EE5495" w:rsidRDefault="00EE5495" w:rsidP="00EE5495">
      <w:pPr>
        <w:widowControl/>
        <w:autoSpaceDE/>
        <w:adjustRightInd/>
        <w:rPr>
          <w:sz w:val="24"/>
        </w:rPr>
      </w:pPr>
      <w:r>
        <w:rPr>
          <w:b/>
          <w:sz w:val="24"/>
        </w:rPr>
        <w:t>General Comments</w:t>
      </w:r>
    </w:p>
    <w:p w:rsidR="00EE5495" w:rsidRDefault="00EE5495" w:rsidP="00EE5495">
      <w:pPr>
        <w:numPr>
          <w:ilvl w:val="0"/>
          <w:numId w:val="13"/>
        </w:numPr>
        <w:rPr>
          <w:color w:val="000000"/>
          <w:sz w:val="24"/>
        </w:rPr>
      </w:pPr>
      <w:r>
        <w:rPr>
          <w:sz w:val="24"/>
        </w:rPr>
        <w:t xml:space="preserve">Twenty-seven customers believe </w:t>
      </w:r>
      <w:r>
        <w:rPr>
          <w:color w:val="000000"/>
          <w:sz w:val="24"/>
        </w:rPr>
        <w:t>the amount of the increase is unacceptable and unaffordable, mentioning the drastic increase in rates, increased costs of living and current economic conditions</w:t>
      </w:r>
      <w:r>
        <w:rPr>
          <w:sz w:val="24"/>
        </w:rPr>
        <w:t xml:space="preserve"> as the basis for their opposition. Customers stressed their fear of losing their landscaping and the green-belts surrounding their homes if they cannot afford to water</w:t>
      </w:r>
      <w:r>
        <w:rPr>
          <w:color w:val="000000"/>
          <w:sz w:val="24"/>
        </w:rPr>
        <w:t xml:space="preserve">, believing an increase based on inflation would be more reasonable. </w:t>
      </w:r>
    </w:p>
    <w:p w:rsidR="00EE5495" w:rsidRDefault="00EE5495" w:rsidP="00EE5495">
      <w:pPr>
        <w:ind w:left="720"/>
        <w:rPr>
          <w:color w:val="000000"/>
          <w:sz w:val="24"/>
        </w:rPr>
      </w:pPr>
    </w:p>
    <w:p w:rsidR="00EE5495" w:rsidRDefault="00EE5495" w:rsidP="00EE5495">
      <w:pPr>
        <w:tabs>
          <w:tab w:val="left" w:pos="90"/>
        </w:tabs>
        <w:ind w:left="720"/>
        <w:rPr>
          <w:b/>
          <w:sz w:val="24"/>
        </w:rPr>
      </w:pPr>
      <w:r>
        <w:rPr>
          <w:b/>
          <w:color w:val="000000"/>
          <w:sz w:val="24"/>
        </w:rPr>
        <w:t xml:space="preserve">Staff Response  </w:t>
      </w:r>
    </w:p>
    <w:p w:rsidR="00EE5495" w:rsidRDefault="00EE5495" w:rsidP="00EE5495">
      <w:pPr>
        <w:widowControl/>
        <w:autoSpaceDE/>
        <w:adjustRightInd/>
        <w:ind w:left="720"/>
        <w:rPr>
          <w:sz w:val="24"/>
        </w:rPr>
      </w:pPr>
      <w:r>
        <w:rPr>
          <w:color w:val="000000"/>
          <w:sz w:val="24"/>
        </w:rPr>
        <w:t>Customer</w:t>
      </w:r>
      <w:r>
        <w:rPr>
          <w:sz w:val="24"/>
        </w:rPr>
        <w:t xml:space="preserve">s were advised that state law requires rates to be fair and reasonable for customers, but sufficient to allow the company the opportunity to recover operating </w:t>
      </w:r>
      <w:r>
        <w:rPr>
          <w:sz w:val="24"/>
        </w:rPr>
        <w:lastRenderedPageBreak/>
        <w:t xml:space="preserve">expenses and earn a return on investment. The commission cannot deny rates that are needed to cover company costs. </w:t>
      </w:r>
    </w:p>
    <w:p w:rsidR="00EE5495" w:rsidRDefault="00EE5495" w:rsidP="00EE5495">
      <w:pPr>
        <w:widowControl/>
        <w:autoSpaceDE/>
        <w:adjustRightInd/>
        <w:ind w:left="720"/>
        <w:rPr>
          <w:sz w:val="24"/>
        </w:rPr>
      </w:pPr>
    </w:p>
    <w:p w:rsidR="00EE5495" w:rsidRDefault="00EE5495" w:rsidP="00EE5495">
      <w:pPr>
        <w:pStyle w:val="ListParagraph"/>
        <w:widowControl/>
        <w:numPr>
          <w:ilvl w:val="0"/>
          <w:numId w:val="13"/>
        </w:numPr>
        <w:autoSpaceDE/>
        <w:adjustRightInd/>
        <w:rPr>
          <w:sz w:val="24"/>
        </w:rPr>
      </w:pPr>
      <w:r>
        <w:rPr>
          <w:sz w:val="24"/>
        </w:rPr>
        <w:t xml:space="preserve">Nine customers expressed their concern with the company submitting this filing during a time of year when a large number of residents were traveling outside the area and unable to respond with their concerns. </w:t>
      </w:r>
    </w:p>
    <w:p w:rsidR="00EE5495" w:rsidRDefault="00EE5495" w:rsidP="00EE5495">
      <w:pPr>
        <w:widowControl/>
        <w:autoSpaceDE/>
        <w:adjustRightInd/>
        <w:rPr>
          <w:sz w:val="24"/>
        </w:rPr>
      </w:pPr>
    </w:p>
    <w:p w:rsidR="00EE5495" w:rsidRDefault="00EE5495" w:rsidP="00EE5495">
      <w:pPr>
        <w:tabs>
          <w:tab w:val="left" w:pos="90"/>
        </w:tabs>
        <w:ind w:left="720"/>
        <w:rPr>
          <w:b/>
          <w:sz w:val="24"/>
        </w:rPr>
      </w:pPr>
      <w:r>
        <w:rPr>
          <w:b/>
          <w:color w:val="000000"/>
          <w:sz w:val="24"/>
        </w:rPr>
        <w:t xml:space="preserve">Staff Response  </w:t>
      </w:r>
    </w:p>
    <w:p w:rsidR="00EE5495" w:rsidRDefault="00EE5495" w:rsidP="00EE5495">
      <w:pPr>
        <w:widowControl/>
        <w:autoSpaceDE/>
        <w:adjustRightInd/>
        <w:ind w:left="720"/>
        <w:rPr>
          <w:sz w:val="24"/>
        </w:rPr>
      </w:pPr>
      <w:r>
        <w:rPr>
          <w:color w:val="000000"/>
          <w:sz w:val="24"/>
        </w:rPr>
        <w:t xml:space="preserve">A company may submit a filing at any time the company believes it is able to support its request. The company initially submitted its filing on </w:t>
      </w:r>
      <w:smartTag w:uri="urn:schemas-microsoft-com:office:smarttags" w:element="date">
        <w:smartTagPr>
          <w:attr w:name="Month" w:val="7"/>
          <w:attr w:name="Day" w:val="30"/>
          <w:attr w:name="Year" w:val="2008"/>
        </w:smartTagPr>
        <w:r>
          <w:rPr>
            <w:color w:val="000000"/>
            <w:sz w:val="24"/>
          </w:rPr>
          <w:t>July 30, 2008</w:t>
        </w:r>
      </w:smartTag>
      <w:r>
        <w:rPr>
          <w:color w:val="000000"/>
          <w:sz w:val="24"/>
        </w:rPr>
        <w:t xml:space="preserve">, and later withdrew it on </w:t>
      </w:r>
      <w:smartTag w:uri="urn:schemas-microsoft-com:office:smarttags" w:element="date">
        <w:smartTagPr>
          <w:attr w:name="Month" w:val="9"/>
          <w:attr w:name="Day" w:val="5"/>
          <w:attr w:name="Year" w:val="2008"/>
        </w:smartTagPr>
        <w:r>
          <w:rPr>
            <w:color w:val="000000"/>
            <w:sz w:val="24"/>
          </w:rPr>
          <w:t>September 5, 2008</w:t>
        </w:r>
      </w:smartTag>
      <w:r>
        <w:rPr>
          <w:color w:val="000000"/>
          <w:sz w:val="24"/>
        </w:rPr>
        <w:t xml:space="preserve">. The company obtained additional documentation supporting its filing and again </w:t>
      </w:r>
      <w:proofErr w:type="spellStart"/>
      <w:r>
        <w:rPr>
          <w:color w:val="000000"/>
          <w:sz w:val="24"/>
        </w:rPr>
        <w:t>refiled</w:t>
      </w:r>
      <w:proofErr w:type="spellEnd"/>
      <w:r>
        <w:rPr>
          <w:color w:val="000000"/>
          <w:sz w:val="24"/>
        </w:rPr>
        <w:t xml:space="preserve"> its request on </w:t>
      </w:r>
      <w:smartTag w:uri="urn:schemas-microsoft-com:office:smarttags" w:element="date">
        <w:smartTagPr>
          <w:attr w:name="Month" w:val="11"/>
          <w:attr w:name="Day" w:val="21"/>
          <w:attr w:name="Year" w:val="2008"/>
        </w:smartTagPr>
        <w:r>
          <w:rPr>
            <w:color w:val="000000"/>
            <w:sz w:val="24"/>
          </w:rPr>
          <w:t>November 21, 2008</w:t>
        </w:r>
      </w:smartTag>
      <w:r>
        <w:rPr>
          <w:color w:val="000000"/>
          <w:sz w:val="24"/>
        </w:rPr>
        <w:t xml:space="preserve">. </w:t>
      </w:r>
      <w:r>
        <w:rPr>
          <w:sz w:val="24"/>
        </w:rPr>
        <w:t xml:space="preserve"> </w:t>
      </w:r>
    </w:p>
    <w:p w:rsidR="00EE5495" w:rsidRDefault="00EE5495" w:rsidP="00EE5495">
      <w:pPr>
        <w:widowControl/>
        <w:autoSpaceDE/>
        <w:adjustRightInd/>
        <w:rPr>
          <w:sz w:val="24"/>
        </w:rPr>
      </w:pPr>
    </w:p>
    <w:p w:rsidR="00EE5495" w:rsidRDefault="00EE5495" w:rsidP="00EE5495">
      <w:pPr>
        <w:pStyle w:val="ListParagraph"/>
        <w:widowControl/>
        <w:numPr>
          <w:ilvl w:val="0"/>
          <w:numId w:val="13"/>
        </w:numPr>
        <w:autoSpaceDE/>
        <w:adjustRightInd/>
        <w:rPr>
          <w:sz w:val="24"/>
        </w:rPr>
      </w:pPr>
      <w:r>
        <w:rPr>
          <w:sz w:val="24"/>
        </w:rPr>
        <w:t>Nineteen comments mentioned poor company management, mentioning the company’s poor record keeping practices and its mismanagement of company revenues as an additional basis for their opposition.</w:t>
      </w:r>
    </w:p>
    <w:p w:rsidR="00EE5495" w:rsidRDefault="00EE5495" w:rsidP="00EE5495">
      <w:pPr>
        <w:widowControl/>
        <w:autoSpaceDE/>
        <w:adjustRightInd/>
        <w:rPr>
          <w:sz w:val="24"/>
        </w:rPr>
      </w:pPr>
    </w:p>
    <w:p w:rsidR="00EE5495" w:rsidRDefault="00EE5495" w:rsidP="00EE5495">
      <w:pPr>
        <w:ind w:left="720"/>
        <w:rPr>
          <w:b/>
          <w:sz w:val="24"/>
        </w:rPr>
      </w:pPr>
      <w:r>
        <w:rPr>
          <w:b/>
          <w:sz w:val="24"/>
        </w:rPr>
        <w:t>Staff Response</w:t>
      </w:r>
    </w:p>
    <w:p w:rsidR="000A5DEC" w:rsidRDefault="00EE5495" w:rsidP="00EE5495">
      <w:pPr>
        <w:widowControl/>
        <w:autoSpaceDE/>
        <w:autoSpaceDN/>
        <w:adjustRightInd/>
        <w:ind w:left="720"/>
        <w:rPr>
          <w:sz w:val="24"/>
        </w:rPr>
      </w:pPr>
      <w:r>
        <w:rPr>
          <w:sz w:val="24"/>
        </w:rPr>
        <w:t>Staff reviews financial records and determines what costs are appropriate to pass to customers through rates. Staff found no evidence of mismanagement of company revenues. Staff found some historical plant cost records were not available (initial water system construction records). These historical costs were not allowed in rates, though the company may substantiate these costs at a later time. Previously, company revenues were supplemented by the $2,000 connection charges, resulting from rapid growth in the company. As construction slowed these revenues diminished.</w:t>
      </w:r>
    </w:p>
    <w:p w:rsidR="00EE5495" w:rsidRDefault="00EE5495" w:rsidP="00EE5495">
      <w:pPr>
        <w:widowControl/>
        <w:autoSpaceDE/>
        <w:autoSpaceDN/>
        <w:adjustRightInd/>
        <w:rPr>
          <w:sz w:val="24"/>
        </w:rPr>
      </w:pPr>
    </w:p>
    <w:p w:rsidR="000A5DEC" w:rsidRDefault="007C07AE" w:rsidP="00613CF4">
      <w:pPr>
        <w:widowControl/>
        <w:autoSpaceDE/>
        <w:autoSpaceDN/>
        <w:adjustRightInd/>
        <w:jc w:val="center"/>
        <w:rPr>
          <w:b/>
          <w:sz w:val="24"/>
          <w:u w:val="single"/>
        </w:rPr>
      </w:pPr>
      <w:r w:rsidRPr="00950B87">
        <w:rPr>
          <w:b/>
          <w:sz w:val="24"/>
          <w:u w:val="single"/>
        </w:rPr>
        <w:t>Rate Comparison</w:t>
      </w:r>
    </w:p>
    <w:p w:rsidR="00CD2C06" w:rsidRPr="009442FC" w:rsidRDefault="00CD2C06" w:rsidP="00CD2C06">
      <w:pPr>
        <w:rPr>
          <w:sz w:val="24"/>
        </w:rPr>
      </w:pPr>
    </w:p>
    <w:tbl>
      <w:tblPr>
        <w:tblW w:w="901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gridCol w:w="1800"/>
        <w:gridCol w:w="1800"/>
        <w:gridCol w:w="1638"/>
      </w:tblGrid>
      <w:tr w:rsidR="002A350C" w:rsidRPr="009442FC" w:rsidTr="00B21ED4">
        <w:tc>
          <w:tcPr>
            <w:tcW w:w="3780" w:type="dxa"/>
          </w:tcPr>
          <w:p w:rsidR="002A350C" w:rsidRPr="00950B87" w:rsidRDefault="002A350C" w:rsidP="00CD2C06">
            <w:pPr>
              <w:rPr>
                <w:b/>
                <w:sz w:val="24"/>
              </w:rPr>
            </w:pPr>
            <w:r w:rsidRPr="00950B87">
              <w:rPr>
                <w:b/>
                <w:sz w:val="24"/>
              </w:rPr>
              <w:t>Monthly Rate</w:t>
            </w:r>
          </w:p>
        </w:tc>
        <w:tc>
          <w:tcPr>
            <w:tcW w:w="1800" w:type="dxa"/>
          </w:tcPr>
          <w:p w:rsidR="002A350C" w:rsidRPr="00950B87" w:rsidRDefault="002A350C" w:rsidP="00CD2C06">
            <w:pPr>
              <w:jc w:val="center"/>
              <w:rPr>
                <w:b/>
                <w:sz w:val="24"/>
              </w:rPr>
            </w:pPr>
            <w:r w:rsidRPr="00950B87">
              <w:rPr>
                <w:b/>
                <w:sz w:val="24"/>
              </w:rPr>
              <w:t>Current Rate</w:t>
            </w:r>
          </w:p>
        </w:tc>
        <w:tc>
          <w:tcPr>
            <w:tcW w:w="1800" w:type="dxa"/>
          </w:tcPr>
          <w:p w:rsidR="002A350C" w:rsidRPr="00950B87" w:rsidRDefault="002A350C" w:rsidP="00CD2C06">
            <w:pPr>
              <w:jc w:val="center"/>
              <w:rPr>
                <w:b/>
                <w:sz w:val="24"/>
              </w:rPr>
            </w:pPr>
            <w:r w:rsidRPr="00950B87">
              <w:rPr>
                <w:b/>
                <w:sz w:val="24"/>
              </w:rPr>
              <w:t>Proposed Rate</w:t>
            </w:r>
          </w:p>
        </w:tc>
        <w:tc>
          <w:tcPr>
            <w:tcW w:w="1638" w:type="dxa"/>
          </w:tcPr>
          <w:p w:rsidR="002A350C" w:rsidRPr="00950B87" w:rsidRDefault="002A350C" w:rsidP="00CD2C06">
            <w:pPr>
              <w:jc w:val="center"/>
              <w:rPr>
                <w:b/>
                <w:sz w:val="24"/>
              </w:rPr>
            </w:pPr>
            <w:r>
              <w:rPr>
                <w:b/>
                <w:sz w:val="24"/>
              </w:rPr>
              <w:t>Revised Rate</w:t>
            </w:r>
          </w:p>
        </w:tc>
      </w:tr>
      <w:tr w:rsidR="002A350C" w:rsidRPr="009442FC" w:rsidTr="00B21ED4">
        <w:tc>
          <w:tcPr>
            <w:tcW w:w="3780" w:type="dxa"/>
          </w:tcPr>
          <w:p w:rsidR="002A350C" w:rsidRPr="009442FC" w:rsidRDefault="002A350C" w:rsidP="007B12E3">
            <w:pPr>
              <w:jc w:val="center"/>
              <w:rPr>
                <w:sz w:val="24"/>
              </w:rPr>
            </w:pPr>
            <w:r w:rsidRPr="007C07AE">
              <w:rPr>
                <w:sz w:val="24"/>
              </w:rPr>
              <w:t>Residential</w:t>
            </w:r>
          </w:p>
        </w:tc>
        <w:tc>
          <w:tcPr>
            <w:tcW w:w="1800" w:type="dxa"/>
          </w:tcPr>
          <w:p w:rsidR="002A350C" w:rsidRPr="009442FC" w:rsidRDefault="002A350C" w:rsidP="00CD2C06">
            <w:pPr>
              <w:jc w:val="center"/>
              <w:rPr>
                <w:sz w:val="24"/>
              </w:rPr>
            </w:pPr>
          </w:p>
        </w:tc>
        <w:tc>
          <w:tcPr>
            <w:tcW w:w="1800" w:type="dxa"/>
          </w:tcPr>
          <w:p w:rsidR="002A350C" w:rsidRPr="009442FC" w:rsidRDefault="002A350C" w:rsidP="00CD2C06">
            <w:pPr>
              <w:jc w:val="center"/>
              <w:rPr>
                <w:sz w:val="24"/>
              </w:rPr>
            </w:pPr>
          </w:p>
        </w:tc>
        <w:tc>
          <w:tcPr>
            <w:tcW w:w="1638" w:type="dxa"/>
          </w:tcPr>
          <w:p w:rsidR="002A350C" w:rsidRPr="009442FC" w:rsidRDefault="002A350C" w:rsidP="00CD2C06">
            <w:pPr>
              <w:jc w:val="center"/>
              <w:rPr>
                <w:sz w:val="24"/>
              </w:rPr>
            </w:pPr>
          </w:p>
        </w:tc>
      </w:tr>
      <w:tr w:rsidR="002A350C" w:rsidRPr="009442FC" w:rsidTr="00B21ED4">
        <w:tc>
          <w:tcPr>
            <w:tcW w:w="3780" w:type="dxa"/>
          </w:tcPr>
          <w:p w:rsidR="002A350C" w:rsidRPr="009442FC" w:rsidRDefault="002A350C" w:rsidP="00CD2C06">
            <w:pPr>
              <w:rPr>
                <w:sz w:val="24"/>
              </w:rPr>
            </w:pPr>
            <w:r w:rsidRPr="009442FC">
              <w:rPr>
                <w:sz w:val="24"/>
              </w:rPr>
              <w:t>Ready To Serve</w:t>
            </w:r>
          </w:p>
        </w:tc>
        <w:tc>
          <w:tcPr>
            <w:tcW w:w="1800" w:type="dxa"/>
          </w:tcPr>
          <w:p w:rsidR="002A350C" w:rsidRPr="009442FC" w:rsidRDefault="002A350C" w:rsidP="00CD2C06">
            <w:pPr>
              <w:jc w:val="center"/>
              <w:rPr>
                <w:sz w:val="24"/>
              </w:rPr>
            </w:pPr>
            <w:r w:rsidRPr="009442FC">
              <w:rPr>
                <w:sz w:val="24"/>
              </w:rPr>
              <w:t>N/A</w:t>
            </w:r>
          </w:p>
        </w:tc>
        <w:tc>
          <w:tcPr>
            <w:tcW w:w="1800" w:type="dxa"/>
          </w:tcPr>
          <w:p w:rsidR="002A350C" w:rsidRPr="009442FC" w:rsidRDefault="002A350C" w:rsidP="00CD2C06">
            <w:pPr>
              <w:jc w:val="center"/>
              <w:rPr>
                <w:sz w:val="24"/>
              </w:rPr>
            </w:pPr>
            <w:r w:rsidRPr="009442FC">
              <w:rPr>
                <w:sz w:val="24"/>
              </w:rPr>
              <w:t>$54.50</w:t>
            </w:r>
          </w:p>
        </w:tc>
        <w:tc>
          <w:tcPr>
            <w:tcW w:w="1638" w:type="dxa"/>
          </w:tcPr>
          <w:p w:rsidR="002A350C" w:rsidRPr="009442FC" w:rsidRDefault="002A350C" w:rsidP="00CD2C06">
            <w:pPr>
              <w:jc w:val="center"/>
              <w:rPr>
                <w:sz w:val="24"/>
              </w:rPr>
            </w:pPr>
            <w:r>
              <w:rPr>
                <w:sz w:val="24"/>
              </w:rPr>
              <w:t>$26.25</w:t>
            </w:r>
          </w:p>
        </w:tc>
      </w:tr>
      <w:tr w:rsidR="002A350C" w:rsidRPr="009442FC" w:rsidTr="00B21ED4">
        <w:tc>
          <w:tcPr>
            <w:tcW w:w="3780" w:type="dxa"/>
          </w:tcPr>
          <w:p w:rsidR="002A350C" w:rsidRPr="009442FC" w:rsidRDefault="002A350C" w:rsidP="00CD2C06">
            <w:pPr>
              <w:rPr>
                <w:sz w:val="24"/>
              </w:rPr>
            </w:pPr>
            <w:r w:rsidRPr="009442FC">
              <w:rPr>
                <w:sz w:val="24"/>
              </w:rPr>
              <w:t xml:space="preserve">Base Rate (3/4 Inch Meter, </w:t>
            </w:r>
          </w:p>
          <w:p w:rsidR="002A350C" w:rsidRPr="009442FC" w:rsidRDefault="002A350C" w:rsidP="00CD2C06">
            <w:pPr>
              <w:rPr>
                <w:sz w:val="24"/>
              </w:rPr>
            </w:pPr>
            <w:r w:rsidRPr="009442FC">
              <w:rPr>
                <w:sz w:val="24"/>
              </w:rPr>
              <w:t>5,000 Gallon Allowance)</w:t>
            </w:r>
          </w:p>
        </w:tc>
        <w:tc>
          <w:tcPr>
            <w:tcW w:w="1800" w:type="dxa"/>
          </w:tcPr>
          <w:p w:rsidR="002A350C" w:rsidRPr="009442FC" w:rsidRDefault="002A350C" w:rsidP="00CD2C06">
            <w:pPr>
              <w:jc w:val="center"/>
              <w:rPr>
                <w:sz w:val="24"/>
              </w:rPr>
            </w:pPr>
          </w:p>
          <w:p w:rsidR="002A350C" w:rsidRPr="009442FC" w:rsidRDefault="002A350C" w:rsidP="00CD2C06">
            <w:pPr>
              <w:jc w:val="center"/>
              <w:rPr>
                <w:sz w:val="24"/>
              </w:rPr>
            </w:pPr>
            <w:r w:rsidRPr="009442FC">
              <w:rPr>
                <w:sz w:val="24"/>
              </w:rPr>
              <w:t>$28.00</w:t>
            </w:r>
          </w:p>
        </w:tc>
        <w:tc>
          <w:tcPr>
            <w:tcW w:w="1800" w:type="dxa"/>
          </w:tcPr>
          <w:p w:rsidR="002A350C" w:rsidRPr="009442FC" w:rsidRDefault="002A350C" w:rsidP="00CD2C06">
            <w:pPr>
              <w:jc w:val="center"/>
              <w:rPr>
                <w:sz w:val="24"/>
              </w:rPr>
            </w:pPr>
          </w:p>
          <w:p w:rsidR="002A350C" w:rsidRPr="009442FC" w:rsidRDefault="002A350C" w:rsidP="00CD2C06">
            <w:pPr>
              <w:jc w:val="center"/>
              <w:rPr>
                <w:sz w:val="24"/>
              </w:rPr>
            </w:pPr>
            <w:r w:rsidRPr="009442FC">
              <w:rPr>
                <w:sz w:val="24"/>
              </w:rPr>
              <w:t>N/A</w:t>
            </w:r>
          </w:p>
        </w:tc>
        <w:tc>
          <w:tcPr>
            <w:tcW w:w="1638" w:type="dxa"/>
          </w:tcPr>
          <w:p w:rsidR="002A350C" w:rsidRDefault="002A350C" w:rsidP="002A350C">
            <w:pPr>
              <w:jc w:val="center"/>
              <w:rPr>
                <w:sz w:val="24"/>
              </w:rPr>
            </w:pPr>
          </w:p>
          <w:p w:rsidR="002A350C" w:rsidRPr="009442FC" w:rsidRDefault="002A350C" w:rsidP="00CD2C06">
            <w:pPr>
              <w:jc w:val="center"/>
              <w:rPr>
                <w:sz w:val="24"/>
              </w:rPr>
            </w:pPr>
            <w:r w:rsidRPr="009442FC">
              <w:rPr>
                <w:sz w:val="24"/>
              </w:rPr>
              <w:t>N/A</w:t>
            </w:r>
          </w:p>
        </w:tc>
      </w:tr>
      <w:tr w:rsidR="002A350C" w:rsidRPr="009442FC" w:rsidTr="00B21ED4">
        <w:tc>
          <w:tcPr>
            <w:tcW w:w="3780" w:type="dxa"/>
          </w:tcPr>
          <w:p w:rsidR="002A350C" w:rsidRPr="009442FC" w:rsidRDefault="002A350C" w:rsidP="008812B7">
            <w:pPr>
              <w:rPr>
                <w:sz w:val="24"/>
              </w:rPr>
            </w:pPr>
            <w:r w:rsidRPr="009442FC">
              <w:rPr>
                <w:sz w:val="24"/>
              </w:rPr>
              <w:t>Base Rate (3/4 Inch Meter, Zero Allowance)</w:t>
            </w:r>
          </w:p>
        </w:tc>
        <w:tc>
          <w:tcPr>
            <w:tcW w:w="1800" w:type="dxa"/>
          </w:tcPr>
          <w:p w:rsidR="006B67C1" w:rsidRDefault="006B67C1" w:rsidP="008812B7">
            <w:pPr>
              <w:jc w:val="center"/>
              <w:rPr>
                <w:sz w:val="24"/>
              </w:rPr>
            </w:pPr>
          </w:p>
          <w:p w:rsidR="002A350C" w:rsidRPr="009442FC" w:rsidRDefault="002A350C" w:rsidP="008812B7">
            <w:pPr>
              <w:jc w:val="center"/>
              <w:rPr>
                <w:sz w:val="24"/>
              </w:rPr>
            </w:pPr>
            <w:r w:rsidRPr="009442FC">
              <w:rPr>
                <w:sz w:val="24"/>
              </w:rPr>
              <w:t>N/A</w:t>
            </w:r>
          </w:p>
        </w:tc>
        <w:tc>
          <w:tcPr>
            <w:tcW w:w="1800" w:type="dxa"/>
          </w:tcPr>
          <w:p w:rsidR="006B67C1" w:rsidRDefault="006B67C1" w:rsidP="008812B7">
            <w:pPr>
              <w:jc w:val="center"/>
              <w:rPr>
                <w:sz w:val="24"/>
              </w:rPr>
            </w:pPr>
          </w:p>
          <w:p w:rsidR="002A350C" w:rsidRPr="009442FC" w:rsidRDefault="002A350C" w:rsidP="008812B7">
            <w:pPr>
              <w:jc w:val="center"/>
              <w:rPr>
                <w:sz w:val="24"/>
              </w:rPr>
            </w:pPr>
            <w:r w:rsidRPr="009442FC">
              <w:rPr>
                <w:sz w:val="24"/>
              </w:rPr>
              <w:t>$54.50</w:t>
            </w:r>
          </w:p>
        </w:tc>
        <w:tc>
          <w:tcPr>
            <w:tcW w:w="1638" w:type="dxa"/>
          </w:tcPr>
          <w:p w:rsidR="002A350C" w:rsidRDefault="002A350C" w:rsidP="002A350C">
            <w:pPr>
              <w:jc w:val="center"/>
              <w:rPr>
                <w:sz w:val="24"/>
              </w:rPr>
            </w:pPr>
          </w:p>
          <w:p w:rsidR="002A350C" w:rsidRPr="009442FC" w:rsidRDefault="002A350C" w:rsidP="008812B7">
            <w:pPr>
              <w:jc w:val="center"/>
              <w:rPr>
                <w:sz w:val="24"/>
              </w:rPr>
            </w:pPr>
            <w:r>
              <w:rPr>
                <w:sz w:val="24"/>
              </w:rPr>
              <w:t>$26.25</w:t>
            </w:r>
          </w:p>
        </w:tc>
      </w:tr>
      <w:tr w:rsidR="002A350C" w:rsidRPr="009442FC" w:rsidTr="00B21ED4">
        <w:tc>
          <w:tcPr>
            <w:tcW w:w="3780" w:type="dxa"/>
          </w:tcPr>
          <w:p w:rsidR="002A350C" w:rsidRPr="009442FC" w:rsidRDefault="002A350C" w:rsidP="00CD2C06">
            <w:pPr>
              <w:rPr>
                <w:sz w:val="24"/>
              </w:rPr>
            </w:pPr>
            <w:r w:rsidRPr="009442FC">
              <w:rPr>
                <w:sz w:val="24"/>
              </w:rPr>
              <w:t>0 - 5,000 Gallons, Per 1,000 Gallons</w:t>
            </w:r>
          </w:p>
        </w:tc>
        <w:tc>
          <w:tcPr>
            <w:tcW w:w="1800" w:type="dxa"/>
          </w:tcPr>
          <w:p w:rsidR="002A350C" w:rsidRPr="009442FC" w:rsidRDefault="002A350C" w:rsidP="00CD2C06">
            <w:pPr>
              <w:jc w:val="center"/>
              <w:rPr>
                <w:sz w:val="24"/>
              </w:rPr>
            </w:pPr>
            <w:r w:rsidRPr="009442FC">
              <w:rPr>
                <w:sz w:val="24"/>
              </w:rPr>
              <w:t>N/A</w:t>
            </w:r>
          </w:p>
        </w:tc>
        <w:tc>
          <w:tcPr>
            <w:tcW w:w="1800" w:type="dxa"/>
          </w:tcPr>
          <w:p w:rsidR="002A350C" w:rsidRPr="009442FC" w:rsidRDefault="002A350C" w:rsidP="00677A86">
            <w:pPr>
              <w:jc w:val="center"/>
              <w:rPr>
                <w:sz w:val="24"/>
              </w:rPr>
            </w:pPr>
            <w:r w:rsidRPr="009442FC">
              <w:rPr>
                <w:sz w:val="24"/>
              </w:rPr>
              <w:t>$1.05</w:t>
            </w:r>
          </w:p>
        </w:tc>
        <w:tc>
          <w:tcPr>
            <w:tcW w:w="1638" w:type="dxa"/>
          </w:tcPr>
          <w:p w:rsidR="002A350C" w:rsidRPr="009442FC" w:rsidRDefault="002A350C" w:rsidP="00677A86">
            <w:pPr>
              <w:jc w:val="center"/>
              <w:rPr>
                <w:sz w:val="24"/>
              </w:rPr>
            </w:pPr>
            <w:r>
              <w:rPr>
                <w:sz w:val="24"/>
              </w:rPr>
              <w:t>$0.46</w:t>
            </w:r>
          </w:p>
        </w:tc>
      </w:tr>
      <w:tr w:rsidR="002A350C" w:rsidRPr="009442FC" w:rsidTr="00B21ED4">
        <w:tc>
          <w:tcPr>
            <w:tcW w:w="3780" w:type="dxa"/>
          </w:tcPr>
          <w:p w:rsidR="002A350C" w:rsidRPr="009442FC" w:rsidRDefault="002A350C" w:rsidP="00677A86">
            <w:pPr>
              <w:rPr>
                <w:sz w:val="24"/>
              </w:rPr>
            </w:pPr>
            <w:r w:rsidRPr="009442FC">
              <w:rPr>
                <w:sz w:val="24"/>
              </w:rPr>
              <w:t>5,001 - 10,000 Gallons, Per 1,000 Gallons</w:t>
            </w:r>
          </w:p>
        </w:tc>
        <w:tc>
          <w:tcPr>
            <w:tcW w:w="1800" w:type="dxa"/>
          </w:tcPr>
          <w:p w:rsidR="006B67C1" w:rsidRDefault="006B67C1" w:rsidP="00677A86">
            <w:pPr>
              <w:jc w:val="center"/>
              <w:rPr>
                <w:sz w:val="24"/>
              </w:rPr>
            </w:pPr>
          </w:p>
          <w:p w:rsidR="002A350C" w:rsidRPr="009442FC" w:rsidRDefault="002A350C" w:rsidP="00677A86">
            <w:pPr>
              <w:jc w:val="center"/>
              <w:rPr>
                <w:sz w:val="24"/>
              </w:rPr>
            </w:pPr>
            <w:r w:rsidRPr="009442FC">
              <w:rPr>
                <w:sz w:val="24"/>
              </w:rPr>
              <w:t>$0.35</w:t>
            </w:r>
          </w:p>
        </w:tc>
        <w:tc>
          <w:tcPr>
            <w:tcW w:w="1800" w:type="dxa"/>
          </w:tcPr>
          <w:p w:rsidR="006B67C1" w:rsidRDefault="006B67C1" w:rsidP="00677A86">
            <w:pPr>
              <w:jc w:val="center"/>
              <w:rPr>
                <w:sz w:val="24"/>
              </w:rPr>
            </w:pPr>
          </w:p>
          <w:p w:rsidR="002A350C" w:rsidRPr="009442FC" w:rsidRDefault="002A350C" w:rsidP="00677A86">
            <w:pPr>
              <w:jc w:val="center"/>
              <w:rPr>
                <w:sz w:val="24"/>
              </w:rPr>
            </w:pPr>
            <w:r w:rsidRPr="009442FC">
              <w:rPr>
                <w:sz w:val="24"/>
              </w:rPr>
              <w:t>$1.90</w:t>
            </w:r>
          </w:p>
        </w:tc>
        <w:tc>
          <w:tcPr>
            <w:tcW w:w="1638" w:type="dxa"/>
          </w:tcPr>
          <w:p w:rsidR="002A350C" w:rsidRDefault="002A350C" w:rsidP="002A350C">
            <w:pPr>
              <w:jc w:val="center"/>
              <w:rPr>
                <w:sz w:val="24"/>
              </w:rPr>
            </w:pPr>
          </w:p>
          <w:p w:rsidR="002A350C" w:rsidRPr="009442FC" w:rsidRDefault="002A350C" w:rsidP="00677A86">
            <w:pPr>
              <w:jc w:val="center"/>
              <w:rPr>
                <w:sz w:val="24"/>
              </w:rPr>
            </w:pPr>
            <w:r>
              <w:rPr>
                <w:sz w:val="24"/>
              </w:rPr>
              <w:t>$0.46</w:t>
            </w:r>
          </w:p>
        </w:tc>
      </w:tr>
      <w:tr w:rsidR="002A350C" w:rsidRPr="009442FC" w:rsidTr="00B21ED4">
        <w:tc>
          <w:tcPr>
            <w:tcW w:w="3780" w:type="dxa"/>
          </w:tcPr>
          <w:p w:rsidR="002A350C" w:rsidRPr="009442FC" w:rsidRDefault="002A350C" w:rsidP="00677A86">
            <w:pPr>
              <w:rPr>
                <w:sz w:val="24"/>
              </w:rPr>
            </w:pPr>
            <w:r w:rsidRPr="009442FC">
              <w:rPr>
                <w:sz w:val="24"/>
              </w:rPr>
              <w:t>Over 10,000 Gallons, Per 1,000 Gallons</w:t>
            </w:r>
          </w:p>
        </w:tc>
        <w:tc>
          <w:tcPr>
            <w:tcW w:w="1800" w:type="dxa"/>
          </w:tcPr>
          <w:p w:rsidR="006B67C1" w:rsidRDefault="006B67C1" w:rsidP="00677A86">
            <w:pPr>
              <w:jc w:val="center"/>
              <w:rPr>
                <w:sz w:val="24"/>
              </w:rPr>
            </w:pPr>
          </w:p>
          <w:p w:rsidR="002A350C" w:rsidRPr="009442FC" w:rsidRDefault="002A350C" w:rsidP="00677A86">
            <w:pPr>
              <w:jc w:val="center"/>
              <w:rPr>
                <w:sz w:val="24"/>
              </w:rPr>
            </w:pPr>
            <w:r w:rsidRPr="009442FC">
              <w:rPr>
                <w:sz w:val="24"/>
              </w:rPr>
              <w:t>$0.35</w:t>
            </w:r>
          </w:p>
        </w:tc>
        <w:tc>
          <w:tcPr>
            <w:tcW w:w="1800" w:type="dxa"/>
          </w:tcPr>
          <w:p w:rsidR="006B67C1" w:rsidRDefault="006B67C1" w:rsidP="00B96D54">
            <w:pPr>
              <w:jc w:val="center"/>
              <w:rPr>
                <w:sz w:val="24"/>
              </w:rPr>
            </w:pPr>
          </w:p>
          <w:p w:rsidR="002A350C" w:rsidRPr="009442FC" w:rsidRDefault="002A350C" w:rsidP="00B96D54">
            <w:pPr>
              <w:jc w:val="center"/>
              <w:rPr>
                <w:sz w:val="24"/>
              </w:rPr>
            </w:pPr>
            <w:r w:rsidRPr="009442FC">
              <w:rPr>
                <w:sz w:val="24"/>
              </w:rPr>
              <w:t>$3.20</w:t>
            </w:r>
          </w:p>
        </w:tc>
        <w:tc>
          <w:tcPr>
            <w:tcW w:w="1638" w:type="dxa"/>
          </w:tcPr>
          <w:p w:rsidR="006B67C1" w:rsidRDefault="006B67C1" w:rsidP="00B96D54">
            <w:pPr>
              <w:jc w:val="center"/>
              <w:rPr>
                <w:sz w:val="24"/>
              </w:rPr>
            </w:pPr>
          </w:p>
          <w:p w:rsidR="002A350C" w:rsidRPr="009442FC" w:rsidRDefault="002A350C" w:rsidP="00B96D54">
            <w:pPr>
              <w:jc w:val="center"/>
              <w:rPr>
                <w:sz w:val="24"/>
              </w:rPr>
            </w:pPr>
            <w:r>
              <w:rPr>
                <w:sz w:val="24"/>
              </w:rPr>
              <w:t>$0.46</w:t>
            </w:r>
          </w:p>
        </w:tc>
      </w:tr>
    </w:tbl>
    <w:p w:rsidR="001139DE" w:rsidRDefault="001139DE">
      <w:r>
        <w:br w:type="page"/>
      </w:r>
    </w:p>
    <w:tbl>
      <w:tblPr>
        <w:tblW w:w="901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gridCol w:w="1800"/>
        <w:gridCol w:w="1800"/>
        <w:gridCol w:w="1638"/>
      </w:tblGrid>
      <w:tr w:rsidR="00571C23" w:rsidRPr="009442FC" w:rsidTr="00571C23">
        <w:tc>
          <w:tcPr>
            <w:tcW w:w="3780" w:type="dxa"/>
          </w:tcPr>
          <w:p w:rsidR="00571C23" w:rsidRPr="007C07AE" w:rsidRDefault="00571C23" w:rsidP="0099378A">
            <w:pPr>
              <w:jc w:val="center"/>
              <w:rPr>
                <w:sz w:val="24"/>
              </w:rPr>
            </w:pPr>
            <w:r w:rsidRPr="00950B87">
              <w:rPr>
                <w:b/>
                <w:sz w:val="24"/>
              </w:rPr>
              <w:lastRenderedPageBreak/>
              <w:t>Monthly Rate</w:t>
            </w:r>
          </w:p>
        </w:tc>
        <w:tc>
          <w:tcPr>
            <w:tcW w:w="1800" w:type="dxa"/>
          </w:tcPr>
          <w:p w:rsidR="00571C23" w:rsidRPr="009442FC" w:rsidRDefault="00571C23" w:rsidP="0099378A">
            <w:pPr>
              <w:jc w:val="center"/>
              <w:rPr>
                <w:sz w:val="24"/>
              </w:rPr>
            </w:pPr>
            <w:r w:rsidRPr="00950B87">
              <w:rPr>
                <w:b/>
                <w:sz w:val="24"/>
              </w:rPr>
              <w:t>Current Rate</w:t>
            </w:r>
          </w:p>
        </w:tc>
        <w:tc>
          <w:tcPr>
            <w:tcW w:w="1800" w:type="dxa"/>
          </w:tcPr>
          <w:p w:rsidR="00571C23" w:rsidRPr="009442FC" w:rsidRDefault="00571C23" w:rsidP="0099378A">
            <w:pPr>
              <w:jc w:val="center"/>
              <w:rPr>
                <w:sz w:val="24"/>
              </w:rPr>
            </w:pPr>
            <w:r w:rsidRPr="00950B87">
              <w:rPr>
                <w:b/>
                <w:sz w:val="24"/>
              </w:rPr>
              <w:t>Proposed Rate</w:t>
            </w:r>
          </w:p>
        </w:tc>
        <w:tc>
          <w:tcPr>
            <w:tcW w:w="1638" w:type="dxa"/>
          </w:tcPr>
          <w:p w:rsidR="00571C23" w:rsidRPr="009442FC" w:rsidRDefault="00571C23" w:rsidP="0099378A">
            <w:pPr>
              <w:jc w:val="center"/>
              <w:rPr>
                <w:sz w:val="24"/>
              </w:rPr>
            </w:pPr>
            <w:r>
              <w:rPr>
                <w:b/>
                <w:sz w:val="24"/>
              </w:rPr>
              <w:t>Revised Rate</w:t>
            </w:r>
          </w:p>
        </w:tc>
      </w:tr>
      <w:tr w:rsidR="00571C23" w:rsidRPr="009442FC" w:rsidTr="00B21ED4">
        <w:tc>
          <w:tcPr>
            <w:tcW w:w="3780" w:type="dxa"/>
            <w:vAlign w:val="bottom"/>
          </w:tcPr>
          <w:p w:rsidR="00571C23" w:rsidRPr="009442FC" w:rsidRDefault="00571C23" w:rsidP="0099378A">
            <w:pPr>
              <w:jc w:val="center"/>
              <w:rPr>
                <w:sz w:val="24"/>
              </w:rPr>
            </w:pPr>
            <w:r w:rsidRPr="007C07AE">
              <w:rPr>
                <w:sz w:val="24"/>
              </w:rPr>
              <w:t>Restaurant/Motel</w:t>
            </w:r>
          </w:p>
        </w:tc>
        <w:tc>
          <w:tcPr>
            <w:tcW w:w="1800" w:type="dxa"/>
            <w:vAlign w:val="bottom"/>
          </w:tcPr>
          <w:p w:rsidR="00571C23" w:rsidRPr="009442FC" w:rsidRDefault="00571C23" w:rsidP="0099378A">
            <w:pPr>
              <w:jc w:val="center"/>
              <w:rPr>
                <w:sz w:val="24"/>
              </w:rPr>
            </w:pPr>
          </w:p>
        </w:tc>
        <w:tc>
          <w:tcPr>
            <w:tcW w:w="1800" w:type="dxa"/>
            <w:vAlign w:val="bottom"/>
          </w:tcPr>
          <w:p w:rsidR="00571C23" w:rsidRPr="009442FC" w:rsidRDefault="00571C23" w:rsidP="0099378A">
            <w:pPr>
              <w:jc w:val="center"/>
              <w:rPr>
                <w:sz w:val="24"/>
              </w:rPr>
            </w:pPr>
          </w:p>
        </w:tc>
        <w:tc>
          <w:tcPr>
            <w:tcW w:w="1638" w:type="dxa"/>
          </w:tcPr>
          <w:p w:rsidR="00571C23" w:rsidRPr="009442FC" w:rsidRDefault="00571C23" w:rsidP="0099378A">
            <w:pPr>
              <w:jc w:val="center"/>
              <w:rPr>
                <w:sz w:val="24"/>
              </w:rPr>
            </w:pPr>
          </w:p>
        </w:tc>
      </w:tr>
      <w:tr w:rsidR="00571C23" w:rsidRPr="009442FC" w:rsidTr="00B21ED4">
        <w:tc>
          <w:tcPr>
            <w:tcW w:w="3780" w:type="dxa"/>
            <w:vAlign w:val="bottom"/>
          </w:tcPr>
          <w:p w:rsidR="00571C23" w:rsidRPr="009442FC" w:rsidRDefault="00571C23" w:rsidP="007B12E3">
            <w:pPr>
              <w:rPr>
                <w:sz w:val="24"/>
              </w:rPr>
            </w:pPr>
            <w:r w:rsidRPr="009442FC">
              <w:rPr>
                <w:sz w:val="24"/>
              </w:rPr>
              <w:t>Base Rate (4 Inch Meter,</w:t>
            </w:r>
          </w:p>
          <w:p w:rsidR="00571C23" w:rsidRPr="009442FC" w:rsidRDefault="00571C23" w:rsidP="007B12E3">
            <w:pPr>
              <w:rPr>
                <w:sz w:val="24"/>
              </w:rPr>
            </w:pPr>
            <w:r w:rsidRPr="009442FC">
              <w:rPr>
                <w:sz w:val="24"/>
              </w:rPr>
              <w:t xml:space="preserve"> Included With Golf Course)</w:t>
            </w:r>
          </w:p>
        </w:tc>
        <w:tc>
          <w:tcPr>
            <w:tcW w:w="1800" w:type="dxa"/>
            <w:vAlign w:val="bottom"/>
          </w:tcPr>
          <w:p w:rsidR="00571C23" w:rsidRPr="009442FC" w:rsidRDefault="00571C23" w:rsidP="0099378A">
            <w:pPr>
              <w:jc w:val="center"/>
              <w:rPr>
                <w:sz w:val="24"/>
              </w:rPr>
            </w:pPr>
            <w:r w:rsidRPr="009442FC">
              <w:rPr>
                <w:sz w:val="24"/>
              </w:rPr>
              <w:t>N/A</w:t>
            </w:r>
          </w:p>
        </w:tc>
        <w:tc>
          <w:tcPr>
            <w:tcW w:w="1800" w:type="dxa"/>
            <w:vAlign w:val="bottom"/>
          </w:tcPr>
          <w:p w:rsidR="00571C23" w:rsidRPr="009442FC" w:rsidRDefault="00571C23" w:rsidP="00677A86">
            <w:pPr>
              <w:jc w:val="center"/>
              <w:rPr>
                <w:sz w:val="24"/>
              </w:rPr>
            </w:pPr>
            <w:r w:rsidRPr="009442FC">
              <w:rPr>
                <w:sz w:val="24"/>
              </w:rPr>
              <w:t>N/A</w:t>
            </w:r>
          </w:p>
        </w:tc>
        <w:tc>
          <w:tcPr>
            <w:tcW w:w="1638" w:type="dxa"/>
          </w:tcPr>
          <w:p w:rsidR="00571C23" w:rsidRDefault="00571C23" w:rsidP="00677A86">
            <w:pPr>
              <w:jc w:val="center"/>
              <w:rPr>
                <w:sz w:val="24"/>
              </w:rPr>
            </w:pPr>
          </w:p>
          <w:p w:rsidR="00571C23" w:rsidRPr="009442FC" w:rsidRDefault="00571C23" w:rsidP="00677A86">
            <w:pPr>
              <w:jc w:val="center"/>
              <w:rPr>
                <w:sz w:val="24"/>
              </w:rPr>
            </w:pPr>
            <w:r>
              <w:rPr>
                <w:sz w:val="24"/>
              </w:rPr>
              <w:t>N/A</w:t>
            </w:r>
          </w:p>
        </w:tc>
      </w:tr>
      <w:tr w:rsidR="00571C23" w:rsidRPr="009442FC" w:rsidTr="00B21ED4">
        <w:tc>
          <w:tcPr>
            <w:tcW w:w="3780" w:type="dxa"/>
            <w:vAlign w:val="bottom"/>
          </w:tcPr>
          <w:p w:rsidR="00571C23" w:rsidRPr="009442FC" w:rsidRDefault="00571C23" w:rsidP="008812B7">
            <w:pPr>
              <w:rPr>
                <w:sz w:val="24"/>
              </w:rPr>
            </w:pPr>
            <w:r w:rsidRPr="009442FC">
              <w:rPr>
                <w:sz w:val="24"/>
              </w:rPr>
              <w:t>Base Rate (4 Inch Meter, Zero Allowance)</w:t>
            </w:r>
          </w:p>
        </w:tc>
        <w:tc>
          <w:tcPr>
            <w:tcW w:w="1800" w:type="dxa"/>
            <w:vAlign w:val="bottom"/>
          </w:tcPr>
          <w:p w:rsidR="00571C23" w:rsidRPr="009442FC" w:rsidRDefault="00571C23" w:rsidP="008812B7">
            <w:pPr>
              <w:jc w:val="center"/>
              <w:rPr>
                <w:sz w:val="24"/>
              </w:rPr>
            </w:pPr>
            <w:r w:rsidRPr="009442FC">
              <w:rPr>
                <w:sz w:val="24"/>
              </w:rPr>
              <w:t>N/A</w:t>
            </w:r>
          </w:p>
        </w:tc>
        <w:tc>
          <w:tcPr>
            <w:tcW w:w="1800" w:type="dxa"/>
            <w:vAlign w:val="bottom"/>
          </w:tcPr>
          <w:p w:rsidR="00571C23" w:rsidRPr="009442FC" w:rsidRDefault="00571C23" w:rsidP="008812B7">
            <w:pPr>
              <w:jc w:val="center"/>
              <w:rPr>
                <w:sz w:val="24"/>
              </w:rPr>
            </w:pPr>
            <w:r w:rsidRPr="009442FC">
              <w:rPr>
                <w:sz w:val="24"/>
              </w:rPr>
              <w:t>$115.00</w:t>
            </w:r>
          </w:p>
        </w:tc>
        <w:tc>
          <w:tcPr>
            <w:tcW w:w="1638" w:type="dxa"/>
          </w:tcPr>
          <w:p w:rsidR="00571C23" w:rsidRDefault="00571C23" w:rsidP="002A350C">
            <w:pPr>
              <w:jc w:val="center"/>
              <w:rPr>
                <w:sz w:val="24"/>
              </w:rPr>
            </w:pPr>
          </w:p>
          <w:p w:rsidR="00571C23" w:rsidRPr="009442FC" w:rsidRDefault="00571C23" w:rsidP="008812B7">
            <w:pPr>
              <w:jc w:val="center"/>
              <w:rPr>
                <w:sz w:val="24"/>
              </w:rPr>
            </w:pPr>
            <w:r>
              <w:rPr>
                <w:sz w:val="24"/>
              </w:rPr>
              <w:t>$438.38</w:t>
            </w:r>
          </w:p>
        </w:tc>
      </w:tr>
      <w:tr w:rsidR="00571C23" w:rsidRPr="009442FC" w:rsidTr="00B21ED4">
        <w:tc>
          <w:tcPr>
            <w:tcW w:w="3780" w:type="dxa"/>
            <w:vAlign w:val="bottom"/>
          </w:tcPr>
          <w:p w:rsidR="00571C23" w:rsidRPr="009442FC" w:rsidRDefault="00571C23" w:rsidP="00677A86">
            <w:pPr>
              <w:rPr>
                <w:sz w:val="24"/>
              </w:rPr>
            </w:pPr>
            <w:r w:rsidRPr="009442FC">
              <w:rPr>
                <w:sz w:val="24"/>
              </w:rPr>
              <w:t xml:space="preserve">0 - 10,000 Gallons Per 1,000 </w:t>
            </w:r>
            <w:r w:rsidRPr="00305CA8">
              <w:rPr>
                <w:sz w:val="24"/>
              </w:rPr>
              <w:t>Gallons</w:t>
            </w:r>
          </w:p>
        </w:tc>
        <w:tc>
          <w:tcPr>
            <w:tcW w:w="1800" w:type="dxa"/>
            <w:vAlign w:val="bottom"/>
          </w:tcPr>
          <w:p w:rsidR="00571C23" w:rsidRPr="009442FC" w:rsidRDefault="00571C23" w:rsidP="00677A86">
            <w:pPr>
              <w:jc w:val="center"/>
              <w:rPr>
                <w:sz w:val="24"/>
              </w:rPr>
            </w:pPr>
            <w:r w:rsidRPr="009442FC">
              <w:rPr>
                <w:sz w:val="24"/>
              </w:rPr>
              <w:t>N/A</w:t>
            </w:r>
          </w:p>
        </w:tc>
        <w:tc>
          <w:tcPr>
            <w:tcW w:w="1800" w:type="dxa"/>
            <w:vAlign w:val="bottom"/>
          </w:tcPr>
          <w:p w:rsidR="00571C23" w:rsidRPr="009442FC" w:rsidRDefault="00571C23" w:rsidP="00BF1F7D">
            <w:pPr>
              <w:jc w:val="center"/>
              <w:rPr>
                <w:sz w:val="24"/>
              </w:rPr>
            </w:pPr>
            <w:r w:rsidRPr="009442FC">
              <w:rPr>
                <w:sz w:val="24"/>
              </w:rPr>
              <w:t>$0.30</w:t>
            </w:r>
          </w:p>
        </w:tc>
        <w:tc>
          <w:tcPr>
            <w:tcW w:w="1638" w:type="dxa"/>
          </w:tcPr>
          <w:p w:rsidR="00571C23" w:rsidRDefault="00571C23" w:rsidP="002A350C">
            <w:pPr>
              <w:jc w:val="center"/>
              <w:rPr>
                <w:sz w:val="24"/>
              </w:rPr>
            </w:pPr>
          </w:p>
          <w:p w:rsidR="00571C23" w:rsidRPr="009442FC" w:rsidRDefault="00571C23" w:rsidP="00B21ED4">
            <w:pPr>
              <w:jc w:val="center"/>
              <w:rPr>
                <w:sz w:val="24"/>
              </w:rPr>
            </w:pPr>
            <w:r>
              <w:rPr>
                <w:sz w:val="24"/>
              </w:rPr>
              <w:t>$0.46</w:t>
            </w:r>
          </w:p>
        </w:tc>
      </w:tr>
      <w:tr w:rsidR="00571C23" w:rsidRPr="009442FC" w:rsidTr="00B21ED4">
        <w:tc>
          <w:tcPr>
            <w:tcW w:w="3780" w:type="dxa"/>
            <w:vAlign w:val="bottom"/>
          </w:tcPr>
          <w:p w:rsidR="00571C23" w:rsidRPr="009442FC" w:rsidRDefault="00571C23" w:rsidP="00BF1F7D">
            <w:pPr>
              <w:rPr>
                <w:sz w:val="24"/>
              </w:rPr>
            </w:pPr>
            <w:r w:rsidRPr="009442FC">
              <w:rPr>
                <w:sz w:val="24"/>
              </w:rPr>
              <w:t>10,001 - 50,000 Gallons Per 1,000 Gallons</w:t>
            </w:r>
          </w:p>
        </w:tc>
        <w:tc>
          <w:tcPr>
            <w:tcW w:w="1800" w:type="dxa"/>
            <w:vAlign w:val="bottom"/>
          </w:tcPr>
          <w:p w:rsidR="00571C23" w:rsidRPr="009442FC" w:rsidRDefault="00571C23" w:rsidP="00312771">
            <w:pPr>
              <w:jc w:val="center"/>
              <w:rPr>
                <w:sz w:val="24"/>
              </w:rPr>
            </w:pPr>
            <w:r w:rsidRPr="009442FC">
              <w:rPr>
                <w:sz w:val="24"/>
              </w:rPr>
              <w:t>N/A</w:t>
            </w:r>
          </w:p>
        </w:tc>
        <w:tc>
          <w:tcPr>
            <w:tcW w:w="1800" w:type="dxa"/>
            <w:vAlign w:val="bottom"/>
          </w:tcPr>
          <w:p w:rsidR="00571C23" w:rsidRPr="009442FC" w:rsidRDefault="00571C23" w:rsidP="00BF1F7D">
            <w:pPr>
              <w:jc w:val="center"/>
              <w:rPr>
                <w:sz w:val="24"/>
              </w:rPr>
            </w:pPr>
            <w:r w:rsidRPr="009442FC">
              <w:rPr>
                <w:sz w:val="24"/>
              </w:rPr>
              <w:t>$0.75</w:t>
            </w:r>
          </w:p>
        </w:tc>
        <w:tc>
          <w:tcPr>
            <w:tcW w:w="1638" w:type="dxa"/>
          </w:tcPr>
          <w:p w:rsidR="00571C23" w:rsidRDefault="00571C23" w:rsidP="00BF1F7D">
            <w:pPr>
              <w:jc w:val="center"/>
              <w:rPr>
                <w:sz w:val="24"/>
              </w:rPr>
            </w:pPr>
          </w:p>
          <w:p w:rsidR="00571C23" w:rsidRPr="009442FC" w:rsidRDefault="00571C23" w:rsidP="00BF1F7D">
            <w:pPr>
              <w:jc w:val="center"/>
              <w:rPr>
                <w:sz w:val="24"/>
              </w:rPr>
            </w:pPr>
            <w:r>
              <w:rPr>
                <w:sz w:val="24"/>
              </w:rPr>
              <w:t>$0.46</w:t>
            </w:r>
          </w:p>
        </w:tc>
      </w:tr>
      <w:tr w:rsidR="00571C23" w:rsidRPr="009442FC" w:rsidTr="00B21ED4">
        <w:tc>
          <w:tcPr>
            <w:tcW w:w="3780" w:type="dxa"/>
            <w:vAlign w:val="bottom"/>
          </w:tcPr>
          <w:p w:rsidR="00571C23" w:rsidRPr="009442FC" w:rsidRDefault="00571C23" w:rsidP="00BF1F7D">
            <w:pPr>
              <w:rPr>
                <w:sz w:val="24"/>
              </w:rPr>
            </w:pPr>
            <w:r w:rsidRPr="009442FC">
              <w:rPr>
                <w:sz w:val="24"/>
              </w:rPr>
              <w:t>Over 50,000 Gallons Per 1,000 Gallons</w:t>
            </w:r>
          </w:p>
        </w:tc>
        <w:tc>
          <w:tcPr>
            <w:tcW w:w="1800" w:type="dxa"/>
            <w:vAlign w:val="bottom"/>
          </w:tcPr>
          <w:p w:rsidR="00571C23" w:rsidRPr="009442FC" w:rsidRDefault="00571C23" w:rsidP="0099378A">
            <w:pPr>
              <w:jc w:val="center"/>
              <w:rPr>
                <w:sz w:val="24"/>
              </w:rPr>
            </w:pPr>
            <w:r w:rsidRPr="009442FC">
              <w:rPr>
                <w:sz w:val="24"/>
              </w:rPr>
              <w:t>N/A</w:t>
            </w:r>
          </w:p>
        </w:tc>
        <w:tc>
          <w:tcPr>
            <w:tcW w:w="1800" w:type="dxa"/>
            <w:vAlign w:val="bottom"/>
          </w:tcPr>
          <w:p w:rsidR="00571C23" w:rsidRPr="009442FC" w:rsidRDefault="00571C23" w:rsidP="00312771">
            <w:pPr>
              <w:jc w:val="center"/>
              <w:rPr>
                <w:sz w:val="24"/>
              </w:rPr>
            </w:pPr>
            <w:r w:rsidRPr="009442FC">
              <w:rPr>
                <w:sz w:val="24"/>
              </w:rPr>
              <w:t>$1.50</w:t>
            </w:r>
          </w:p>
        </w:tc>
        <w:tc>
          <w:tcPr>
            <w:tcW w:w="1638" w:type="dxa"/>
          </w:tcPr>
          <w:p w:rsidR="00571C23" w:rsidRDefault="00571C23" w:rsidP="002A350C">
            <w:pPr>
              <w:jc w:val="center"/>
              <w:rPr>
                <w:sz w:val="24"/>
              </w:rPr>
            </w:pPr>
          </w:p>
          <w:p w:rsidR="00571C23" w:rsidRPr="009442FC" w:rsidRDefault="00571C23" w:rsidP="00312771">
            <w:pPr>
              <w:jc w:val="center"/>
              <w:rPr>
                <w:sz w:val="24"/>
              </w:rPr>
            </w:pPr>
            <w:r>
              <w:rPr>
                <w:sz w:val="24"/>
              </w:rPr>
              <w:t>$0.46</w:t>
            </w:r>
          </w:p>
        </w:tc>
      </w:tr>
      <w:tr w:rsidR="00571C23" w:rsidRPr="009442FC" w:rsidTr="00B21ED4">
        <w:trPr>
          <w:trHeight w:hRule="exact" w:val="307"/>
        </w:trPr>
        <w:tc>
          <w:tcPr>
            <w:tcW w:w="3780" w:type="dxa"/>
            <w:vAlign w:val="bottom"/>
          </w:tcPr>
          <w:p w:rsidR="00571C23" w:rsidRPr="009442FC" w:rsidRDefault="00571C23" w:rsidP="00C21574">
            <w:pPr>
              <w:pStyle w:val="Heading1"/>
              <w:jc w:val="center"/>
              <w:rPr>
                <w:rFonts w:ascii="Times New Roman" w:hAnsi="Times New Roman" w:cs="Times New Roman"/>
                <w:sz w:val="24"/>
                <w:szCs w:val="24"/>
              </w:rPr>
            </w:pPr>
          </w:p>
        </w:tc>
        <w:tc>
          <w:tcPr>
            <w:tcW w:w="1800" w:type="dxa"/>
            <w:vAlign w:val="bottom"/>
          </w:tcPr>
          <w:p w:rsidR="00571C23" w:rsidRPr="009442FC" w:rsidRDefault="00571C23" w:rsidP="00C21574">
            <w:pPr>
              <w:jc w:val="center"/>
              <w:rPr>
                <w:sz w:val="24"/>
              </w:rPr>
            </w:pPr>
          </w:p>
        </w:tc>
        <w:tc>
          <w:tcPr>
            <w:tcW w:w="1800" w:type="dxa"/>
            <w:vAlign w:val="bottom"/>
          </w:tcPr>
          <w:p w:rsidR="00571C23" w:rsidRPr="009442FC" w:rsidRDefault="00571C23" w:rsidP="00C21574">
            <w:pPr>
              <w:jc w:val="center"/>
              <w:rPr>
                <w:sz w:val="24"/>
              </w:rPr>
            </w:pPr>
          </w:p>
        </w:tc>
        <w:tc>
          <w:tcPr>
            <w:tcW w:w="1638" w:type="dxa"/>
          </w:tcPr>
          <w:p w:rsidR="00571C23" w:rsidRPr="009442FC" w:rsidRDefault="00571C23" w:rsidP="00C21574">
            <w:pPr>
              <w:jc w:val="center"/>
              <w:rPr>
                <w:sz w:val="24"/>
              </w:rPr>
            </w:pPr>
          </w:p>
        </w:tc>
      </w:tr>
      <w:tr w:rsidR="00571C23" w:rsidRPr="009442FC" w:rsidTr="00B21ED4">
        <w:tc>
          <w:tcPr>
            <w:tcW w:w="3780" w:type="dxa"/>
            <w:vAlign w:val="bottom"/>
          </w:tcPr>
          <w:p w:rsidR="00571C23" w:rsidRPr="009442FC" w:rsidRDefault="00571C23" w:rsidP="00BF1F7D">
            <w:pPr>
              <w:jc w:val="center"/>
              <w:rPr>
                <w:sz w:val="24"/>
              </w:rPr>
            </w:pPr>
            <w:r w:rsidRPr="007C07AE">
              <w:rPr>
                <w:sz w:val="24"/>
              </w:rPr>
              <w:t>Golf Course</w:t>
            </w:r>
          </w:p>
        </w:tc>
        <w:tc>
          <w:tcPr>
            <w:tcW w:w="1800" w:type="dxa"/>
            <w:vAlign w:val="bottom"/>
          </w:tcPr>
          <w:p w:rsidR="00571C23" w:rsidRPr="009442FC" w:rsidRDefault="00571C23" w:rsidP="0099378A">
            <w:pPr>
              <w:jc w:val="center"/>
              <w:rPr>
                <w:sz w:val="24"/>
              </w:rPr>
            </w:pPr>
          </w:p>
        </w:tc>
        <w:tc>
          <w:tcPr>
            <w:tcW w:w="1800" w:type="dxa"/>
            <w:vAlign w:val="bottom"/>
          </w:tcPr>
          <w:p w:rsidR="00571C23" w:rsidRPr="009442FC" w:rsidRDefault="00571C23" w:rsidP="0099378A">
            <w:pPr>
              <w:jc w:val="center"/>
              <w:rPr>
                <w:sz w:val="24"/>
              </w:rPr>
            </w:pPr>
          </w:p>
        </w:tc>
        <w:tc>
          <w:tcPr>
            <w:tcW w:w="1638" w:type="dxa"/>
          </w:tcPr>
          <w:p w:rsidR="00571C23" w:rsidRPr="009442FC" w:rsidRDefault="00571C23" w:rsidP="0099378A">
            <w:pPr>
              <w:jc w:val="center"/>
              <w:rPr>
                <w:sz w:val="24"/>
              </w:rPr>
            </w:pPr>
          </w:p>
        </w:tc>
      </w:tr>
      <w:tr w:rsidR="00571C23" w:rsidRPr="009442FC" w:rsidTr="00B21ED4">
        <w:tc>
          <w:tcPr>
            <w:tcW w:w="3780" w:type="dxa"/>
            <w:vAlign w:val="bottom"/>
          </w:tcPr>
          <w:p w:rsidR="00571C23" w:rsidRPr="009442FC" w:rsidRDefault="00571C23" w:rsidP="007B12E3">
            <w:pPr>
              <w:rPr>
                <w:sz w:val="24"/>
              </w:rPr>
            </w:pPr>
            <w:r w:rsidRPr="009442FC">
              <w:rPr>
                <w:sz w:val="24"/>
              </w:rPr>
              <w:t>Base Rate (6 Inch Meter, Flat Rate)</w:t>
            </w:r>
          </w:p>
        </w:tc>
        <w:tc>
          <w:tcPr>
            <w:tcW w:w="1800" w:type="dxa"/>
            <w:vAlign w:val="bottom"/>
          </w:tcPr>
          <w:p w:rsidR="00571C23" w:rsidRPr="009442FC" w:rsidRDefault="00571C23" w:rsidP="00BF1F7D">
            <w:pPr>
              <w:jc w:val="center"/>
              <w:rPr>
                <w:sz w:val="24"/>
              </w:rPr>
            </w:pPr>
            <w:r w:rsidRPr="009442FC">
              <w:rPr>
                <w:sz w:val="24"/>
              </w:rPr>
              <w:t>$500.00</w:t>
            </w:r>
          </w:p>
        </w:tc>
        <w:tc>
          <w:tcPr>
            <w:tcW w:w="1800" w:type="dxa"/>
            <w:vAlign w:val="bottom"/>
          </w:tcPr>
          <w:p w:rsidR="00571C23" w:rsidRPr="009442FC" w:rsidRDefault="00571C23" w:rsidP="00BF1F7D">
            <w:pPr>
              <w:jc w:val="center"/>
              <w:rPr>
                <w:sz w:val="24"/>
              </w:rPr>
            </w:pPr>
            <w:r w:rsidRPr="009442FC">
              <w:rPr>
                <w:sz w:val="24"/>
              </w:rPr>
              <w:t>N/A</w:t>
            </w:r>
          </w:p>
        </w:tc>
        <w:tc>
          <w:tcPr>
            <w:tcW w:w="1638" w:type="dxa"/>
          </w:tcPr>
          <w:p w:rsidR="00571C23" w:rsidRPr="009442FC" w:rsidRDefault="00571C23" w:rsidP="00BF1F7D">
            <w:pPr>
              <w:jc w:val="center"/>
              <w:rPr>
                <w:sz w:val="24"/>
              </w:rPr>
            </w:pPr>
            <w:r w:rsidRPr="009442FC">
              <w:rPr>
                <w:sz w:val="24"/>
              </w:rPr>
              <w:t>N/A</w:t>
            </w:r>
          </w:p>
        </w:tc>
      </w:tr>
      <w:tr w:rsidR="00571C23" w:rsidRPr="009442FC" w:rsidTr="00B21ED4">
        <w:tc>
          <w:tcPr>
            <w:tcW w:w="3780" w:type="dxa"/>
            <w:vAlign w:val="bottom"/>
          </w:tcPr>
          <w:p w:rsidR="00571C23" w:rsidRPr="009442FC" w:rsidRDefault="00571C23" w:rsidP="008812B7">
            <w:pPr>
              <w:rPr>
                <w:sz w:val="24"/>
              </w:rPr>
            </w:pPr>
            <w:r w:rsidRPr="009442FC">
              <w:rPr>
                <w:sz w:val="24"/>
              </w:rPr>
              <w:t>Base Rate (6 Inch Meter, Zero Allowance)</w:t>
            </w:r>
          </w:p>
        </w:tc>
        <w:tc>
          <w:tcPr>
            <w:tcW w:w="1800" w:type="dxa"/>
            <w:vAlign w:val="bottom"/>
          </w:tcPr>
          <w:p w:rsidR="00571C23" w:rsidRPr="009442FC" w:rsidRDefault="00571C23" w:rsidP="008812B7">
            <w:pPr>
              <w:jc w:val="center"/>
              <w:rPr>
                <w:sz w:val="24"/>
              </w:rPr>
            </w:pPr>
            <w:r w:rsidRPr="009442FC">
              <w:rPr>
                <w:sz w:val="24"/>
              </w:rPr>
              <w:t>N/A</w:t>
            </w:r>
          </w:p>
        </w:tc>
        <w:tc>
          <w:tcPr>
            <w:tcW w:w="1800" w:type="dxa"/>
            <w:vAlign w:val="bottom"/>
          </w:tcPr>
          <w:p w:rsidR="00571C23" w:rsidRPr="009442FC" w:rsidRDefault="00571C23" w:rsidP="008812B7">
            <w:pPr>
              <w:jc w:val="center"/>
              <w:rPr>
                <w:sz w:val="24"/>
              </w:rPr>
            </w:pPr>
            <w:r w:rsidRPr="009442FC">
              <w:rPr>
                <w:sz w:val="24"/>
              </w:rPr>
              <w:t>$500.00</w:t>
            </w:r>
          </w:p>
        </w:tc>
        <w:tc>
          <w:tcPr>
            <w:tcW w:w="1638" w:type="dxa"/>
          </w:tcPr>
          <w:p w:rsidR="00571C23" w:rsidRDefault="00571C23" w:rsidP="008812B7">
            <w:pPr>
              <w:jc w:val="center"/>
              <w:rPr>
                <w:sz w:val="24"/>
              </w:rPr>
            </w:pPr>
          </w:p>
          <w:p w:rsidR="00571C23" w:rsidRPr="009442FC" w:rsidRDefault="00571C23" w:rsidP="008812B7">
            <w:pPr>
              <w:jc w:val="center"/>
              <w:rPr>
                <w:sz w:val="24"/>
              </w:rPr>
            </w:pPr>
            <w:r>
              <w:rPr>
                <w:sz w:val="24"/>
              </w:rPr>
              <w:t>$874.13</w:t>
            </w:r>
          </w:p>
        </w:tc>
      </w:tr>
      <w:tr w:rsidR="00571C23" w:rsidRPr="009442FC" w:rsidTr="00B21ED4">
        <w:tc>
          <w:tcPr>
            <w:tcW w:w="3780" w:type="dxa"/>
            <w:vAlign w:val="bottom"/>
          </w:tcPr>
          <w:p w:rsidR="00571C23" w:rsidRPr="009442FC" w:rsidRDefault="00571C23" w:rsidP="00BF1F7D">
            <w:pPr>
              <w:rPr>
                <w:sz w:val="24"/>
              </w:rPr>
            </w:pPr>
            <w:r w:rsidRPr="009442FC">
              <w:rPr>
                <w:sz w:val="24"/>
              </w:rPr>
              <w:t>0 – 1,000,000 Gallons Per 1,000 Gallons</w:t>
            </w:r>
          </w:p>
        </w:tc>
        <w:tc>
          <w:tcPr>
            <w:tcW w:w="1800" w:type="dxa"/>
            <w:vAlign w:val="bottom"/>
          </w:tcPr>
          <w:p w:rsidR="00571C23" w:rsidRPr="009442FC" w:rsidRDefault="00571C23" w:rsidP="007B12E3">
            <w:pPr>
              <w:jc w:val="center"/>
              <w:rPr>
                <w:sz w:val="24"/>
              </w:rPr>
            </w:pPr>
            <w:r w:rsidRPr="009442FC">
              <w:rPr>
                <w:sz w:val="24"/>
              </w:rPr>
              <w:t>N/A</w:t>
            </w:r>
          </w:p>
        </w:tc>
        <w:tc>
          <w:tcPr>
            <w:tcW w:w="1800" w:type="dxa"/>
            <w:vAlign w:val="bottom"/>
          </w:tcPr>
          <w:p w:rsidR="00571C23" w:rsidRPr="009442FC" w:rsidRDefault="00571C23" w:rsidP="007B12E3">
            <w:pPr>
              <w:jc w:val="center"/>
              <w:rPr>
                <w:sz w:val="24"/>
              </w:rPr>
            </w:pPr>
            <w:r w:rsidRPr="009442FC">
              <w:rPr>
                <w:sz w:val="24"/>
              </w:rPr>
              <w:t>$0.100</w:t>
            </w:r>
          </w:p>
        </w:tc>
        <w:tc>
          <w:tcPr>
            <w:tcW w:w="1638" w:type="dxa"/>
          </w:tcPr>
          <w:p w:rsidR="00571C23" w:rsidRDefault="00571C23" w:rsidP="007B12E3">
            <w:pPr>
              <w:jc w:val="center"/>
              <w:rPr>
                <w:sz w:val="24"/>
              </w:rPr>
            </w:pPr>
          </w:p>
          <w:p w:rsidR="00571C23" w:rsidRPr="009442FC" w:rsidRDefault="00571C23" w:rsidP="007B12E3">
            <w:pPr>
              <w:jc w:val="center"/>
              <w:rPr>
                <w:sz w:val="24"/>
              </w:rPr>
            </w:pPr>
            <w:r>
              <w:rPr>
                <w:sz w:val="24"/>
              </w:rPr>
              <w:t>$0.46</w:t>
            </w:r>
          </w:p>
        </w:tc>
      </w:tr>
      <w:tr w:rsidR="00571C23" w:rsidRPr="009442FC" w:rsidTr="00B21ED4">
        <w:tc>
          <w:tcPr>
            <w:tcW w:w="3780" w:type="dxa"/>
            <w:vAlign w:val="bottom"/>
          </w:tcPr>
          <w:p w:rsidR="00571C23" w:rsidRPr="009442FC" w:rsidRDefault="00571C23" w:rsidP="007B12E3">
            <w:pPr>
              <w:rPr>
                <w:sz w:val="24"/>
              </w:rPr>
            </w:pPr>
            <w:r w:rsidRPr="009442FC">
              <w:rPr>
                <w:sz w:val="24"/>
              </w:rPr>
              <w:t>1,000,001 – 5,000,000 Gallons Per 1,000 Gallons</w:t>
            </w:r>
          </w:p>
        </w:tc>
        <w:tc>
          <w:tcPr>
            <w:tcW w:w="1800" w:type="dxa"/>
            <w:vAlign w:val="bottom"/>
          </w:tcPr>
          <w:p w:rsidR="00571C23" w:rsidRPr="009442FC" w:rsidRDefault="00571C23" w:rsidP="0099378A">
            <w:pPr>
              <w:jc w:val="center"/>
              <w:rPr>
                <w:sz w:val="24"/>
              </w:rPr>
            </w:pPr>
            <w:r w:rsidRPr="009442FC">
              <w:rPr>
                <w:sz w:val="24"/>
              </w:rPr>
              <w:t>NA</w:t>
            </w:r>
          </w:p>
        </w:tc>
        <w:tc>
          <w:tcPr>
            <w:tcW w:w="1800" w:type="dxa"/>
            <w:vAlign w:val="bottom"/>
          </w:tcPr>
          <w:p w:rsidR="00571C23" w:rsidRPr="009442FC" w:rsidRDefault="00571C23" w:rsidP="007B12E3">
            <w:pPr>
              <w:jc w:val="center"/>
              <w:rPr>
                <w:sz w:val="24"/>
              </w:rPr>
            </w:pPr>
            <w:r w:rsidRPr="009442FC">
              <w:rPr>
                <w:sz w:val="24"/>
              </w:rPr>
              <w:t>$0.325</w:t>
            </w:r>
          </w:p>
        </w:tc>
        <w:tc>
          <w:tcPr>
            <w:tcW w:w="1638" w:type="dxa"/>
          </w:tcPr>
          <w:p w:rsidR="00571C23" w:rsidRDefault="00571C23" w:rsidP="002A350C">
            <w:pPr>
              <w:jc w:val="center"/>
              <w:rPr>
                <w:sz w:val="24"/>
              </w:rPr>
            </w:pPr>
          </w:p>
          <w:p w:rsidR="00571C23" w:rsidRPr="009442FC" w:rsidRDefault="00571C23" w:rsidP="007B12E3">
            <w:pPr>
              <w:jc w:val="center"/>
              <w:rPr>
                <w:sz w:val="24"/>
              </w:rPr>
            </w:pPr>
            <w:r>
              <w:rPr>
                <w:sz w:val="24"/>
              </w:rPr>
              <w:t>$0.46</w:t>
            </w:r>
          </w:p>
        </w:tc>
      </w:tr>
      <w:tr w:rsidR="00571C23" w:rsidRPr="009442FC" w:rsidTr="00B21ED4">
        <w:tc>
          <w:tcPr>
            <w:tcW w:w="3780" w:type="dxa"/>
            <w:vAlign w:val="bottom"/>
          </w:tcPr>
          <w:p w:rsidR="00571C23" w:rsidRPr="009442FC" w:rsidRDefault="00571C23" w:rsidP="007B12E3">
            <w:pPr>
              <w:rPr>
                <w:sz w:val="24"/>
              </w:rPr>
            </w:pPr>
            <w:r w:rsidRPr="009442FC">
              <w:rPr>
                <w:sz w:val="24"/>
              </w:rPr>
              <w:t>Over 5,000,000 Gallons Per 1,000 Gallons</w:t>
            </w:r>
          </w:p>
        </w:tc>
        <w:tc>
          <w:tcPr>
            <w:tcW w:w="1800" w:type="dxa"/>
            <w:vAlign w:val="bottom"/>
          </w:tcPr>
          <w:p w:rsidR="00571C23" w:rsidRPr="009442FC" w:rsidRDefault="00571C23" w:rsidP="0099378A">
            <w:pPr>
              <w:jc w:val="center"/>
              <w:rPr>
                <w:sz w:val="24"/>
              </w:rPr>
            </w:pPr>
            <w:r w:rsidRPr="009442FC">
              <w:rPr>
                <w:sz w:val="24"/>
              </w:rPr>
              <w:t>NA</w:t>
            </w:r>
          </w:p>
        </w:tc>
        <w:tc>
          <w:tcPr>
            <w:tcW w:w="1800" w:type="dxa"/>
            <w:vAlign w:val="bottom"/>
          </w:tcPr>
          <w:p w:rsidR="00571C23" w:rsidRPr="009442FC" w:rsidRDefault="00571C23" w:rsidP="0099378A">
            <w:pPr>
              <w:jc w:val="center"/>
              <w:rPr>
                <w:sz w:val="24"/>
              </w:rPr>
            </w:pPr>
            <w:r w:rsidRPr="009442FC">
              <w:rPr>
                <w:sz w:val="24"/>
              </w:rPr>
              <w:t>$0.410</w:t>
            </w:r>
          </w:p>
        </w:tc>
        <w:tc>
          <w:tcPr>
            <w:tcW w:w="1638" w:type="dxa"/>
          </w:tcPr>
          <w:p w:rsidR="00571C23" w:rsidRDefault="00571C23" w:rsidP="0099378A">
            <w:pPr>
              <w:jc w:val="center"/>
              <w:rPr>
                <w:sz w:val="24"/>
              </w:rPr>
            </w:pPr>
          </w:p>
          <w:p w:rsidR="00571C23" w:rsidRPr="009442FC" w:rsidRDefault="00571C23" w:rsidP="0099378A">
            <w:pPr>
              <w:jc w:val="center"/>
              <w:rPr>
                <w:sz w:val="24"/>
              </w:rPr>
            </w:pPr>
            <w:r>
              <w:rPr>
                <w:sz w:val="24"/>
              </w:rPr>
              <w:t>$0.46</w:t>
            </w:r>
          </w:p>
        </w:tc>
      </w:tr>
    </w:tbl>
    <w:p w:rsidR="0025177B" w:rsidRDefault="0025177B" w:rsidP="00CD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1D72D9" w:rsidRDefault="007C07AE">
      <w:pPr>
        <w:widowControl/>
        <w:autoSpaceDE/>
        <w:autoSpaceDN/>
        <w:adjustRightInd/>
        <w:jc w:val="center"/>
        <w:rPr>
          <w:b/>
          <w:sz w:val="24"/>
          <w:u w:val="single"/>
        </w:rPr>
      </w:pPr>
      <w:r w:rsidRPr="00950B87">
        <w:rPr>
          <w:b/>
          <w:sz w:val="24"/>
          <w:u w:val="single"/>
        </w:rPr>
        <w:t>Average Monthly Bill Comparison, Residential Customers</w:t>
      </w:r>
    </w:p>
    <w:p w:rsidR="00AD3584" w:rsidRPr="00950B87" w:rsidRDefault="00AD3584" w:rsidP="00CD2C06">
      <w:pPr>
        <w:jc w:val="center"/>
        <w:rPr>
          <w:b/>
          <w:sz w:val="24"/>
          <w:u w:val="single"/>
        </w:rPr>
      </w:pPr>
    </w:p>
    <w:p w:rsidR="00CD2C06" w:rsidRDefault="005E0006" w:rsidP="00CD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During staff’s review of the filing and customer usage data, staff has determined that the average residential customer uses </w:t>
      </w:r>
      <w:r w:rsidR="0056079B">
        <w:rPr>
          <w:sz w:val="24"/>
        </w:rPr>
        <w:t>5,645</w:t>
      </w:r>
      <w:r>
        <w:rPr>
          <w:sz w:val="24"/>
        </w:rPr>
        <w:t xml:space="preserve"> gallons per month.</w:t>
      </w:r>
      <w:r w:rsidR="00FF4255">
        <w:rPr>
          <w:sz w:val="24"/>
        </w:rPr>
        <w:t xml:space="preserve"> Staff previously noted 9,907 </w:t>
      </w:r>
      <w:r w:rsidR="003A3315">
        <w:rPr>
          <w:sz w:val="24"/>
        </w:rPr>
        <w:t xml:space="preserve">gallons </w:t>
      </w:r>
      <w:r w:rsidR="00FF4255">
        <w:rPr>
          <w:sz w:val="24"/>
        </w:rPr>
        <w:t xml:space="preserve">as the estimated average </w:t>
      </w:r>
      <w:r w:rsidR="007C0F50">
        <w:rPr>
          <w:sz w:val="24"/>
        </w:rPr>
        <w:t>usage</w:t>
      </w:r>
      <w:r w:rsidR="00FF4255">
        <w:rPr>
          <w:sz w:val="24"/>
        </w:rPr>
        <w:t>.</w:t>
      </w:r>
    </w:p>
    <w:p w:rsidR="001D72D9" w:rsidRDefault="001D72D9">
      <w:pPr>
        <w:widowControl/>
        <w:autoSpaceDE/>
        <w:autoSpaceDN/>
        <w:adjustRightInd/>
        <w:rPr>
          <w:sz w:val="24"/>
        </w:rPr>
      </w:pPr>
    </w:p>
    <w:tbl>
      <w:tblPr>
        <w:tblW w:w="901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gridCol w:w="1800"/>
        <w:gridCol w:w="1800"/>
        <w:gridCol w:w="1638"/>
      </w:tblGrid>
      <w:tr w:rsidR="00B21ED4" w:rsidRPr="009442FC" w:rsidTr="00B21ED4">
        <w:tc>
          <w:tcPr>
            <w:tcW w:w="3780" w:type="dxa"/>
          </w:tcPr>
          <w:p w:rsidR="00B21ED4" w:rsidRPr="009442FC" w:rsidRDefault="00B21ED4" w:rsidP="009D2C48">
            <w:pPr>
              <w:rPr>
                <w:sz w:val="24"/>
              </w:rPr>
            </w:pPr>
          </w:p>
        </w:tc>
        <w:tc>
          <w:tcPr>
            <w:tcW w:w="1800" w:type="dxa"/>
            <w:tcBorders>
              <w:bottom w:val="single" w:sz="4" w:space="0" w:color="auto"/>
            </w:tcBorders>
          </w:tcPr>
          <w:p w:rsidR="00B21ED4" w:rsidRPr="009442FC" w:rsidRDefault="00B21ED4" w:rsidP="009D2C48">
            <w:pPr>
              <w:jc w:val="center"/>
              <w:rPr>
                <w:sz w:val="24"/>
              </w:rPr>
            </w:pPr>
            <w:r w:rsidRPr="00950B87">
              <w:rPr>
                <w:b/>
                <w:sz w:val="24"/>
              </w:rPr>
              <w:t>Current Rate</w:t>
            </w:r>
          </w:p>
        </w:tc>
        <w:tc>
          <w:tcPr>
            <w:tcW w:w="1800" w:type="dxa"/>
            <w:tcBorders>
              <w:bottom w:val="single" w:sz="4" w:space="0" w:color="auto"/>
            </w:tcBorders>
          </w:tcPr>
          <w:p w:rsidR="00B21ED4" w:rsidRPr="00950B87" w:rsidRDefault="00B21ED4" w:rsidP="009D2C48">
            <w:pPr>
              <w:jc w:val="center"/>
              <w:rPr>
                <w:b/>
                <w:sz w:val="24"/>
              </w:rPr>
            </w:pPr>
            <w:r>
              <w:rPr>
                <w:b/>
                <w:sz w:val="24"/>
              </w:rPr>
              <w:t>Proposed Rate</w:t>
            </w:r>
          </w:p>
        </w:tc>
        <w:tc>
          <w:tcPr>
            <w:tcW w:w="1638" w:type="dxa"/>
            <w:tcBorders>
              <w:bottom w:val="single" w:sz="4" w:space="0" w:color="auto"/>
            </w:tcBorders>
          </w:tcPr>
          <w:p w:rsidR="00B21ED4" w:rsidRDefault="00B21ED4" w:rsidP="009D2C48">
            <w:pPr>
              <w:jc w:val="center"/>
              <w:rPr>
                <w:b/>
                <w:sz w:val="24"/>
              </w:rPr>
            </w:pPr>
            <w:r>
              <w:rPr>
                <w:b/>
                <w:sz w:val="24"/>
              </w:rPr>
              <w:t>Revised Rate</w:t>
            </w:r>
          </w:p>
        </w:tc>
      </w:tr>
      <w:tr w:rsidR="00B21ED4" w:rsidRPr="009442FC" w:rsidTr="00B21ED4">
        <w:tc>
          <w:tcPr>
            <w:tcW w:w="3780" w:type="dxa"/>
          </w:tcPr>
          <w:p w:rsidR="00B21ED4" w:rsidRPr="009442FC" w:rsidRDefault="00B21ED4" w:rsidP="007C3E7E">
            <w:pPr>
              <w:rPr>
                <w:sz w:val="24"/>
              </w:rPr>
            </w:pPr>
            <w:r>
              <w:rPr>
                <w:sz w:val="24"/>
              </w:rPr>
              <w:t>Base Meter Charge (3/4 inch meter)</w:t>
            </w:r>
          </w:p>
        </w:tc>
        <w:tc>
          <w:tcPr>
            <w:tcW w:w="1800" w:type="dxa"/>
            <w:tcBorders>
              <w:bottom w:val="single" w:sz="4" w:space="0" w:color="auto"/>
            </w:tcBorders>
          </w:tcPr>
          <w:p w:rsidR="00B21ED4" w:rsidRPr="009442FC" w:rsidRDefault="00B21ED4" w:rsidP="009D2C48">
            <w:pPr>
              <w:jc w:val="center"/>
              <w:rPr>
                <w:sz w:val="24"/>
              </w:rPr>
            </w:pPr>
            <w:r w:rsidRPr="009442FC">
              <w:rPr>
                <w:sz w:val="24"/>
              </w:rPr>
              <w:t>$28.00</w:t>
            </w:r>
          </w:p>
        </w:tc>
        <w:tc>
          <w:tcPr>
            <w:tcW w:w="1800" w:type="dxa"/>
            <w:tcBorders>
              <w:bottom w:val="single" w:sz="4" w:space="0" w:color="auto"/>
            </w:tcBorders>
          </w:tcPr>
          <w:p w:rsidR="00B21ED4" w:rsidRPr="009442FC" w:rsidRDefault="00B21ED4" w:rsidP="009D2C48">
            <w:pPr>
              <w:jc w:val="center"/>
              <w:rPr>
                <w:sz w:val="24"/>
              </w:rPr>
            </w:pPr>
            <w:r w:rsidRPr="009442FC">
              <w:rPr>
                <w:sz w:val="24"/>
              </w:rPr>
              <w:t>$54.50</w:t>
            </w:r>
          </w:p>
        </w:tc>
        <w:tc>
          <w:tcPr>
            <w:tcW w:w="1638" w:type="dxa"/>
            <w:tcBorders>
              <w:bottom w:val="single" w:sz="4" w:space="0" w:color="auto"/>
            </w:tcBorders>
          </w:tcPr>
          <w:p w:rsidR="00B21ED4" w:rsidRPr="009442FC" w:rsidRDefault="00B21ED4" w:rsidP="00B21ED4">
            <w:pPr>
              <w:jc w:val="center"/>
              <w:rPr>
                <w:sz w:val="24"/>
              </w:rPr>
            </w:pPr>
            <w:r>
              <w:rPr>
                <w:sz w:val="24"/>
              </w:rPr>
              <w:t>$26.25</w:t>
            </w:r>
          </w:p>
        </w:tc>
      </w:tr>
      <w:tr w:rsidR="00B21ED4" w:rsidRPr="009442FC" w:rsidTr="00B21ED4">
        <w:tc>
          <w:tcPr>
            <w:tcW w:w="3780" w:type="dxa"/>
            <w:vAlign w:val="bottom"/>
          </w:tcPr>
          <w:p w:rsidR="00B21ED4" w:rsidRPr="009442FC" w:rsidRDefault="00B21ED4" w:rsidP="007C3E7E">
            <w:pPr>
              <w:rPr>
                <w:sz w:val="24"/>
              </w:rPr>
            </w:pPr>
            <w:r w:rsidRPr="009442FC">
              <w:rPr>
                <w:sz w:val="24"/>
              </w:rPr>
              <w:t>5,000 Gallons</w:t>
            </w:r>
            <w:r>
              <w:rPr>
                <w:sz w:val="24"/>
              </w:rPr>
              <w:t xml:space="preserve"> usage</w:t>
            </w:r>
          </w:p>
        </w:tc>
        <w:tc>
          <w:tcPr>
            <w:tcW w:w="1800" w:type="dxa"/>
            <w:tcBorders>
              <w:bottom w:val="single" w:sz="4" w:space="0" w:color="auto"/>
            </w:tcBorders>
            <w:vAlign w:val="bottom"/>
          </w:tcPr>
          <w:p w:rsidR="00B21ED4" w:rsidRPr="009442FC" w:rsidRDefault="00B21ED4" w:rsidP="009D2C48">
            <w:pPr>
              <w:jc w:val="center"/>
              <w:rPr>
                <w:sz w:val="24"/>
              </w:rPr>
            </w:pPr>
            <w:r w:rsidRPr="009442FC">
              <w:rPr>
                <w:sz w:val="24"/>
              </w:rPr>
              <w:t>$0.00</w:t>
            </w:r>
          </w:p>
        </w:tc>
        <w:tc>
          <w:tcPr>
            <w:tcW w:w="1800" w:type="dxa"/>
            <w:tcBorders>
              <w:bottom w:val="single" w:sz="4" w:space="0" w:color="auto"/>
            </w:tcBorders>
          </w:tcPr>
          <w:p w:rsidR="00B21ED4" w:rsidRPr="009442FC" w:rsidRDefault="00B21ED4" w:rsidP="009D2C48">
            <w:pPr>
              <w:jc w:val="center"/>
              <w:rPr>
                <w:sz w:val="24"/>
              </w:rPr>
            </w:pPr>
            <w:r w:rsidRPr="009442FC">
              <w:rPr>
                <w:sz w:val="24"/>
              </w:rPr>
              <w:t>$5.25</w:t>
            </w:r>
          </w:p>
        </w:tc>
        <w:tc>
          <w:tcPr>
            <w:tcW w:w="1638" w:type="dxa"/>
            <w:tcBorders>
              <w:bottom w:val="single" w:sz="4" w:space="0" w:color="auto"/>
            </w:tcBorders>
          </w:tcPr>
          <w:p w:rsidR="00B21ED4" w:rsidRPr="009442FC" w:rsidRDefault="00B21ED4" w:rsidP="009D2C48">
            <w:pPr>
              <w:jc w:val="center"/>
              <w:rPr>
                <w:sz w:val="24"/>
              </w:rPr>
            </w:pPr>
            <w:r>
              <w:rPr>
                <w:sz w:val="24"/>
              </w:rPr>
              <w:t>$2.30</w:t>
            </w:r>
          </w:p>
        </w:tc>
      </w:tr>
      <w:tr w:rsidR="00B21ED4" w:rsidRPr="009442FC" w:rsidTr="00B21ED4">
        <w:tc>
          <w:tcPr>
            <w:tcW w:w="3780" w:type="dxa"/>
            <w:vAlign w:val="bottom"/>
          </w:tcPr>
          <w:p w:rsidR="00B21ED4" w:rsidRPr="009442FC" w:rsidRDefault="00B21ED4" w:rsidP="0056079B">
            <w:pPr>
              <w:rPr>
                <w:sz w:val="24"/>
              </w:rPr>
            </w:pPr>
            <w:r>
              <w:rPr>
                <w:sz w:val="24"/>
              </w:rPr>
              <w:t>645</w:t>
            </w:r>
            <w:r w:rsidRPr="009442FC">
              <w:rPr>
                <w:sz w:val="24"/>
              </w:rPr>
              <w:t>Gallons</w:t>
            </w:r>
            <w:r>
              <w:rPr>
                <w:sz w:val="24"/>
              </w:rPr>
              <w:t xml:space="preserve"> usage</w:t>
            </w:r>
          </w:p>
        </w:tc>
        <w:tc>
          <w:tcPr>
            <w:tcW w:w="1800" w:type="dxa"/>
            <w:tcBorders>
              <w:bottom w:val="single" w:sz="4" w:space="0" w:color="auto"/>
            </w:tcBorders>
            <w:vAlign w:val="bottom"/>
          </w:tcPr>
          <w:p w:rsidR="00B21ED4" w:rsidRPr="009442FC" w:rsidRDefault="00B21ED4" w:rsidP="0056079B">
            <w:pPr>
              <w:jc w:val="center"/>
              <w:rPr>
                <w:sz w:val="24"/>
              </w:rPr>
            </w:pPr>
            <w:r>
              <w:rPr>
                <w:sz w:val="24"/>
              </w:rPr>
              <w:t>$.23</w:t>
            </w:r>
          </w:p>
        </w:tc>
        <w:tc>
          <w:tcPr>
            <w:tcW w:w="1800" w:type="dxa"/>
            <w:tcBorders>
              <w:bottom w:val="single" w:sz="4" w:space="0" w:color="auto"/>
            </w:tcBorders>
          </w:tcPr>
          <w:p w:rsidR="00B21ED4" w:rsidRPr="009442FC" w:rsidRDefault="00B21ED4" w:rsidP="0056079B">
            <w:pPr>
              <w:jc w:val="center"/>
              <w:rPr>
                <w:sz w:val="24"/>
              </w:rPr>
            </w:pPr>
            <w:r w:rsidRPr="009442FC">
              <w:rPr>
                <w:sz w:val="24"/>
              </w:rPr>
              <w:t>$</w:t>
            </w:r>
            <w:r>
              <w:rPr>
                <w:sz w:val="24"/>
              </w:rPr>
              <w:t>1.23</w:t>
            </w:r>
          </w:p>
        </w:tc>
        <w:tc>
          <w:tcPr>
            <w:tcW w:w="1638" w:type="dxa"/>
            <w:tcBorders>
              <w:bottom w:val="single" w:sz="4" w:space="0" w:color="auto"/>
            </w:tcBorders>
          </w:tcPr>
          <w:p w:rsidR="00B21ED4" w:rsidRPr="009442FC" w:rsidRDefault="00B21ED4" w:rsidP="0056079B">
            <w:pPr>
              <w:jc w:val="center"/>
              <w:rPr>
                <w:sz w:val="24"/>
              </w:rPr>
            </w:pPr>
            <w:r>
              <w:rPr>
                <w:sz w:val="24"/>
              </w:rPr>
              <w:t>$0.30</w:t>
            </w:r>
          </w:p>
        </w:tc>
      </w:tr>
      <w:tr w:rsidR="00B21ED4" w:rsidRPr="009442FC" w:rsidTr="00B21ED4">
        <w:tc>
          <w:tcPr>
            <w:tcW w:w="3780" w:type="dxa"/>
            <w:tcBorders>
              <w:right w:val="single" w:sz="4" w:space="0" w:color="auto"/>
            </w:tcBorders>
            <w:vAlign w:val="bottom"/>
          </w:tcPr>
          <w:p w:rsidR="00B21ED4" w:rsidRPr="009442FC" w:rsidRDefault="00B21ED4" w:rsidP="009D2C48">
            <w:pPr>
              <w:jc w:val="center"/>
              <w:rPr>
                <w:sz w:val="24"/>
              </w:rPr>
            </w:pPr>
            <w:r w:rsidRPr="009442FC">
              <w:rPr>
                <w:sz w:val="24"/>
              </w:rPr>
              <w:t>Average Monthly Bill</w:t>
            </w:r>
          </w:p>
        </w:tc>
        <w:tc>
          <w:tcPr>
            <w:tcW w:w="1800" w:type="dxa"/>
            <w:tcBorders>
              <w:top w:val="single" w:sz="18" w:space="0" w:color="auto"/>
              <w:left w:val="single" w:sz="4" w:space="0" w:color="auto"/>
              <w:bottom w:val="single" w:sz="4" w:space="0" w:color="auto"/>
              <w:right w:val="single" w:sz="4" w:space="0" w:color="auto"/>
            </w:tcBorders>
            <w:vAlign w:val="bottom"/>
          </w:tcPr>
          <w:p w:rsidR="00B21ED4" w:rsidRPr="009442FC" w:rsidRDefault="00B21ED4" w:rsidP="0056079B">
            <w:pPr>
              <w:jc w:val="center"/>
              <w:rPr>
                <w:sz w:val="24"/>
              </w:rPr>
            </w:pPr>
            <w:r w:rsidRPr="009442FC">
              <w:rPr>
                <w:sz w:val="24"/>
              </w:rPr>
              <w:t>$</w:t>
            </w:r>
            <w:r>
              <w:rPr>
                <w:sz w:val="24"/>
              </w:rPr>
              <w:t>28.23</w:t>
            </w:r>
          </w:p>
        </w:tc>
        <w:tc>
          <w:tcPr>
            <w:tcW w:w="1800" w:type="dxa"/>
            <w:tcBorders>
              <w:top w:val="single" w:sz="18" w:space="0" w:color="auto"/>
              <w:left w:val="single" w:sz="4" w:space="0" w:color="auto"/>
              <w:bottom w:val="single" w:sz="4" w:space="0" w:color="auto"/>
              <w:right w:val="single" w:sz="4" w:space="0" w:color="auto"/>
            </w:tcBorders>
          </w:tcPr>
          <w:p w:rsidR="00B21ED4" w:rsidRPr="009442FC" w:rsidRDefault="00B21ED4" w:rsidP="008E0EAA">
            <w:pPr>
              <w:jc w:val="center"/>
              <w:rPr>
                <w:sz w:val="24"/>
              </w:rPr>
            </w:pPr>
            <w:r w:rsidRPr="009442FC">
              <w:rPr>
                <w:sz w:val="24"/>
              </w:rPr>
              <w:t>$</w:t>
            </w:r>
            <w:r>
              <w:rPr>
                <w:sz w:val="24"/>
              </w:rPr>
              <w:t>60.98</w:t>
            </w:r>
          </w:p>
        </w:tc>
        <w:tc>
          <w:tcPr>
            <w:tcW w:w="1638" w:type="dxa"/>
            <w:tcBorders>
              <w:top w:val="single" w:sz="18" w:space="0" w:color="auto"/>
              <w:left w:val="single" w:sz="4" w:space="0" w:color="auto"/>
              <w:bottom w:val="single" w:sz="4" w:space="0" w:color="auto"/>
              <w:right w:val="single" w:sz="4" w:space="0" w:color="auto"/>
            </w:tcBorders>
          </w:tcPr>
          <w:p w:rsidR="00B21ED4" w:rsidRPr="009442FC" w:rsidRDefault="00B21ED4" w:rsidP="008E0EAA">
            <w:pPr>
              <w:jc w:val="center"/>
              <w:rPr>
                <w:sz w:val="24"/>
              </w:rPr>
            </w:pPr>
            <w:r>
              <w:rPr>
                <w:sz w:val="24"/>
              </w:rPr>
              <w:t>$28.85</w:t>
            </w:r>
          </w:p>
        </w:tc>
      </w:tr>
      <w:tr w:rsidR="00B21ED4" w:rsidRPr="009442FC" w:rsidTr="00B21ED4">
        <w:tblPrEx>
          <w:tblLook w:val="01E0"/>
        </w:tblPrEx>
        <w:tc>
          <w:tcPr>
            <w:tcW w:w="3780" w:type="dxa"/>
            <w:vAlign w:val="bottom"/>
          </w:tcPr>
          <w:p w:rsidR="00B21ED4" w:rsidRPr="009442FC" w:rsidRDefault="00B21ED4" w:rsidP="009D2C48">
            <w:pPr>
              <w:rPr>
                <w:sz w:val="24"/>
              </w:rPr>
            </w:pPr>
            <w:r w:rsidRPr="007C07AE">
              <w:rPr>
                <w:sz w:val="24"/>
              </w:rPr>
              <w:t>Increase From Current Rates</w:t>
            </w:r>
          </w:p>
        </w:tc>
        <w:tc>
          <w:tcPr>
            <w:tcW w:w="1800" w:type="dxa"/>
            <w:tcBorders>
              <w:top w:val="single" w:sz="4" w:space="0" w:color="auto"/>
            </w:tcBorders>
            <w:vAlign w:val="bottom"/>
          </w:tcPr>
          <w:p w:rsidR="00B21ED4" w:rsidRPr="009442FC" w:rsidRDefault="00B21ED4" w:rsidP="009D2C48">
            <w:pPr>
              <w:jc w:val="center"/>
              <w:rPr>
                <w:sz w:val="24"/>
              </w:rPr>
            </w:pPr>
          </w:p>
        </w:tc>
        <w:tc>
          <w:tcPr>
            <w:tcW w:w="1800" w:type="dxa"/>
            <w:tcBorders>
              <w:top w:val="single" w:sz="4" w:space="0" w:color="auto"/>
            </w:tcBorders>
          </w:tcPr>
          <w:p w:rsidR="00B21ED4" w:rsidRPr="007C07AE" w:rsidRDefault="00B21ED4" w:rsidP="008E0EAA">
            <w:pPr>
              <w:jc w:val="center"/>
              <w:rPr>
                <w:sz w:val="24"/>
              </w:rPr>
            </w:pPr>
            <w:r>
              <w:rPr>
                <w:sz w:val="24"/>
              </w:rPr>
              <w:t>(116</w:t>
            </w:r>
            <w:r w:rsidRPr="007C07AE">
              <w:rPr>
                <w:sz w:val="24"/>
              </w:rPr>
              <w:t>%)</w:t>
            </w:r>
          </w:p>
        </w:tc>
        <w:tc>
          <w:tcPr>
            <w:tcW w:w="1638" w:type="dxa"/>
            <w:tcBorders>
              <w:top w:val="single" w:sz="4" w:space="0" w:color="auto"/>
            </w:tcBorders>
          </w:tcPr>
          <w:p w:rsidR="00B21ED4" w:rsidRDefault="006B67C1" w:rsidP="006B67C1">
            <w:pPr>
              <w:jc w:val="center"/>
              <w:rPr>
                <w:sz w:val="24"/>
              </w:rPr>
            </w:pPr>
            <w:r>
              <w:rPr>
                <w:sz w:val="24"/>
              </w:rPr>
              <w:t>(2%)</w:t>
            </w:r>
          </w:p>
        </w:tc>
      </w:tr>
    </w:tbl>
    <w:p w:rsidR="007B2929" w:rsidRPr="009442FC" w:rsidRDefault="007B2929" w:rsidP="006B67C1">
      <w:pPr>
        <w:widowControl/>
        <w:autoSpaceDE/>
        <w:autoSpaceDN/>
        <w:adjustRightInd/>
        <w:rPr>
          <w:sz w:val="24"/>
        </w:rPr>
      </w:pPr>
    </w:p>
    <w:p w:rsidR="00571C23" w:rsidRPr="00571C23" w:rsidRDefault="000F2D61" w:rsidP="00571C23">
      <w:pPr>
        <w:rPr>
          <w:sz w:val="24"/>
        </w:rPr>
      </w:pPr>
      <w:r w:rsidRPr="000F2D61">
        <w:rPr>
          <w:sz w:val="24"/>
        </w:rPr>
        <w:t xml:space="preserve">Staff has completed its review of the company’s supporting documents, books, and financial records. Staff’s review shows that the expenses are required and reasonable for the company’s operations. The company’s financial information supports the </w:t>
      </w:r>
      <w:r w:rsidR="00571C23">
        <w:rPr>
          <w:sz w:val="24"/>
        </w:rPr>
        <w:t xml:space="preserve">revised revenue requirement of $34,499 </w:t>
      </w:r>
      <w:r w:rsidR="00571C23" w:rsidRPr="00137B15">
        <w:rPr>
          <w:sz w:val="24"/>
        </w:rPr>
        <w:t>(27.</w:t>
      </w:r>
      <w:r w:rsidR="00571C23">
        <w:rPr>
          <w:sz w:val="24"/>
        </w:rPr>
        <w:t>4</w:t>
      </w:r>
      <w:r w:rsidR="00571C23" w:rsidRPr="00137B15">
        <w:rPr>
          <w:sz w:val="24"/>
        </w:rPr>
        <w:t xml:space="preserve"> percent)</w:t>
      </w:r>
      <w:r w:rsidR="00571C23">
        <w:rPr>
          <w:sz w:val="24"/>
        </w:rPr>
        <w:t xml:space="preserve"> and the revised </w:t>
      </w:r>
      <w:r w:rsidR="001C7DFF">
        <w:rPr>
          <w:sz w:val="24"/>
        </w:rPr>
        <w:t xml:space="preserve">rates </w:t>
      </w:r>
      <w:r w:rsidRPr="000F2D61">
        <w:rPr>
          <w:sz w:val="24"/>
        </w:rPr>
        <w:t>which are fair, just, reasonable, and sufficient.</w:t>
      </w:r>
      <w:r w:rsidR="00BB3805" w:rsidRPr="00BB3805">
        <w:rPr>
          <w:sz w:val="24"/>
        </w:rPr>
        <w:t xml:space="preserve"> </w:t>
      </w:r>
      <w:r w:rsidR="00BB3805">
        <w:rPr>
          <w:sz w:val="24"/>
        </w:rPr>
        <w:t xml:space="preserve">The company has agreed to upgrade its office technology and intends to refile after one year of operations. During that time the company will collect meter readings for all customers, improve accounting records and </w:t>
      </w:r>
      <w:r w:rsidR="001139DE">
        <w:rPr>
          <w:sz w:val="24"/>
        </w:rPr>
        <w:t>develop support</w:t>
      </w:r>
      <w:r w:rsidR="00BB3805">
        <w:rPr>
          <w:sz w:val="24"/>
        </w:rPr>
        <w:t xml:space="preserve"> </w:t>
      </w:r>
      <w:r w:rsidR="001139DE">
        <w:rPr>
          <w:sz w:val="24"/>
        </w:rPr>
        <w:t xml:space="preserve">for additional </w:t>
      </w:r>
      <w:r w:rsidR="00BB3805">
        <w:rPr>
          <w:sz w:val="24"/>
        </w:rPr>
        <w:t>historical plant cost.</w:t>
      </w:r>
    </w:p>
    <w:p w:rsidR="0025167B" w:rsidRDefault="0025167B" w:rsidP="002516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1139DE" w:rsidRPr="009442FC" w:rsidRDefault="001139DE" w:rsidP="002516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25167B" w:rsidRPr="002D6209" w:rsidRDefault="0025167B" w:rsidP="002516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2D6209">
        <w:rPr>
          <w:b/>
          <w:sz w:val="24"/>
          <w:u w:val="single"/>
        </w:rPr>
        <w:lastRenderedPageBreak/>
        <w:t>Conclusion</w:t>
      </w:r>
    </w:p>
    <w:p w:rsidR="0025167B" w:rsidRPr="002D6209" w:rsidRDefault="0025167B" w:rsidP="002516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D2C06" w:rsidRPr="00CD2C06" w:rsidRDefault="00C321B8" w:rsidP="0025167B">
      <w:pPr>
        <w:pStyle w:val="NoSpacing"/>
        <w:rPr>
          <w:b/>
          <w:u w:val="single"/>
        </w:rPr>
      </w:pPr>
      <w:r w:rsidRPr="007E2FBD">
        <w:rPr>
          <w:rFonts w:eastAsia="Calibri"/>
          <w:color w:val="000000"/>
        </w:rPr>
        <w:t xml:space="preserve">Therefore, staff recommends the commission </w:t>
      </w:r>
      <w:r w:rsidR="003B1436">
        <w:t>d</w:t>
      </w:r>
      <w:r w:rsidR="003B1436" w:rsidRPr="000A3DBD">
        <w:t xml:space="preserve">ismiss the Complaint and Order Suspending the Tariff Revisions filed by </w:t>
      </w:r>
      <w:r w:rsidR="003B1436">
        <w:t>Deer Meadows</w:t>
      </w:r>
      <w:r w:rsidR="003B1436" w:rsidRPr="000A3DBD">
        <w:t xml:space="preserve"> Water Company, </w:t>
      </w:r>
      <w:r w:rsidR="003B1436">
        <w:t>Incorporated and a</w:t>
      </w:r>
      <w:r w:rsidR="003B1436" w:rsidRPr="000A3DBD">
        <w:t xml:space="preserve">llow the revised rates filed </w:t>
      </w:r>
      <w:r w:rsidR="003B1436">
        <w:t xml:space="preserve">February </w:t>
      </w:r>
      <w:r w:rsidR="00081065">
        <w:t>18</w:t>
      </w:r>
      <w:r w:rsidR="003B1436">
        <w:t xml:space="preserve">, 2009, </w:t>
      </w:r>
      <w:r w:rsidR="003B1436" w:rsidRPr="000A3DBD">
        <w:t xml:space="preserve">to become effective </w:t>
      </w:r>
      <w:r w:rsidR="003B1436">
        <w:t>March</w:t>
      </w:r>
      <w:r w:rsidR="00564D25">
        <w:t xml:space="preserve"> </w:t>
      </w:r>
      <w:r w:rsidR="00A14800">
        <w:t>20</w:t>
      </w:r>
      <w:r w:rsidR="003B1436" w:rsidRPr="000A3DBD">
        <w:t>, 200</w:t>
      </w:r>
      <w:r w:rsidR="003B1436">
        <w:t>9.</w:t>
      </w:r>
    </w:p>
    <w:sectPr w:rsidR="00CD2C06" w:rsidRPr="00CD2C06" w:rsidSect="00883D6C">
      <w:headerReference w:type="default" r:id="rId13"/>
      <w:pgSz w:w="12240" w:h="15840" w:code="1"/>
      <w:pgMar w:top="1440" w:right="1440" w:bottom="1440" w:left="1440" w:header="576"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CF4" w:rsidRDefault="00613CF4" w:rsidP="0025167B">
      <w:r>
        <w:separator/>
      </w:r>
    </w:p>
  </w:endnote>
  <w:endnote w:type="continuationSeparator" w:id="1">
    <w:p w:rsidR="00613CF4" w:rsidRDefault="00613CF4" w:rsidP="002516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CF4" w:rsidRDefault="00613CF4" w:rsidP="0025167B">
      <w:r>
        <w:separator/>
      </w:r>
    </w:p>
  </w:footnote>
  <w:footnote w:type="continuationSeparator" w:id="1">
    <w:p w:rsidR="00613CF4" w:rsidRDefault="00613CF4" w:rsidP="002516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CF4" w:rsidRPr="00F04770" w:rsidRDefault="00613CF4">
    <w:pPr>
      <w:spacing w:line="238" w:lineRule="auto"/>
    </w:pPr>
    <w:r w:rsidRPr="00F04770">
      <w:t>Docket UW-08</w:t>
    </w:r>
    <w:r>
      <w:t>2113</w:t>
    </w:r>
  </w:p>
  <w:p w:rsidR="00613CF4" w:rsidRPr="00FE0AD1" w:rsidRDefault="00613CF4">
    <w:pPr>
      <w:spacing w:line="238" w:lineRule="auto"/>
    </w:pPr>
    <w:r>
      <w:t>March 12, 2009</w:t>
    </w:r>
  </w:p>
  <w:p w:rsidR="00613CF4" w:rsidRDefault="00613CF4">
    <w:pPr>
      <w:spacing w:line="238" w:lineRule="auto"/>
      <w:rPr>
        <w:rFonts w:ascii="Palatino Linotype" w:hAnsi="Palatino Linotype"/>
      </w:rPr>
    </w:pPr>
    <w:r w:rsidRPr="00FE0AD1">
      <w:t>Page</w:t>
    </w:r>
    <w:r>
      <w:t xml:space="preserve"> </w:t>
    </w:r>
    <w:fldSimple w:instr=" PAGE   \* MERGEFORMAT ">
      <w:r w:rsidR="00C36438">
        <w:rPr>
          <w:noProof/>
        </w:rPr>
        <w:t>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8B0"/>
    <w:multiLevelType w:val="hybridMultilevel"/>
    <w:tmpl w:val="F7646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E5C1C"/>
    <w:multiLevelType w:val="hybridMultilevel"/>
    <w:tmpl w:val="7F3EF2D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63B2267"/>
    <w:multiLevelType w:val="hybridMultilevel"/>
    <w:tmpl w:val="328A58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565033"/>
    <w:multiLevelType w:val="hybridMultilevel"/>
    <w:tmpl w:val="EC563C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6EC1907"/>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4FD27910"/>
    <w:multiLevelType w:val="hybridMultilevel"/>
    <w:tmpl w:val="E0B04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32F70F3"/>
    <w:multiLevelType w:val="hybridMultilevel"/>
    <w:tmpl w:val="22069DB8"/>
    <w:lvl w:ilvl="0" w:tplc="04184588">
      <w:start w:val="1"/>
      <w:numFmt w:val="decimal"/>
      <w:pStyle w:val="FindingsConclusions"/>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A6C1845"/>
    <w:multiLevelType w:val="multilevel"/>
    <w:tmpl w:val="59E4E85A"/>
    <w:lvl w:ilvl="0">
      <w:start w:val="1"/>
      <w:numFmt w:val="decimal"/>
      <w:pStyle w:val="Jim1"/>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7D2A77CD"/>
    <w:multiLevelType w:val="hybridMultilevel"/>
    <w:tmpl w:val="FF8EB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4"/>
  </w:num>
  <w:num w:numId="4">
    <w:abstractNumId w:val="7"/>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1"/>
  </w:num>
  <w:num w:numId="11">
    <w:abstractNumId w:val="0"/>
  </w:num>
  <w:num w:numId="12">
    <w:abstractNumId w:val="8"/>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stylePaneFormatFilter w:val="3F04"/>
  <w:defaultTabStop w:val="720"/>
  <w:drawingGridHorizontalSpacing w:val="100"/>
  <w:displayHorizontalDrawingGridEvery w:val="2"/>
  <w:displayVerticalDrawingGridEvery w:val="2"/>
  <w:characterSpacingControl w:val="doNotCompress"/>
  <w:hdrShapeDefaults>
    <o:shapedefaults v:ext="edit" spidmax="111617"/>
  </w:hdrShapeDefaults>
  <w:footnotePr>
    <w:footnote w:id="0"/>
    <w:footnote w:id="1"/>
  </w:footnotePr>
  <w:endnotePr>
    <w:endnote w:id="0"/>
    <w:endnote w:id="1"/>
  </w:endnotePr>
  <w:compat/>
  <w:rsids>
    <w:rsidRoot w:val="007A1E8A"/>
    <w:rsid w:val="00010FF4"/>
    <w:rsid w:val="00022CE7"/>
    <w:rsid w:val="00025B33"/>
    <w:rsid w:val="00031B0B"/>
    <w:rsid w:val="00043B9F"/>
    <w:rsid w:val="00045CE7"/>
    <w:rsid w:val="000523DF"/>
    <w:rsid w:val="00061941"/>
    <w:rsid w:val="0007397F"/>
    <w:rsid w:val="00080D0F"/>
    <w:rsid w:val="00081065"/>
    <w:rsid w:val="00087518"/>
    <w:rsid w:val="000A5DEC"/>
    <w:rsid w:val="000A77BE"/>
    <w:rsid w:val="000B63F2"/>
    <w:rsid w:val="000C28CC"/>
    <w:rsid w:val="000D10B8"/>
    <w:rsid w:val="000F2D61"/>
    <w:rsid w:val="001139DE"/>
    <w:rsid w:val="00124C4D"/>
    <w:rsid w:val="00126C5A"/>
    <w:rsid w:val="00134396"/>
    <w:rsid w:val="00137B15"/>
    <w:rsid w:val="00164083"/>
    <w:rsid w:val="001671C8"/>
    <w:rsid w:val="00180CD5"/>
    <w:rsid w:val="00190326"/>
    <w:rsid w:val="001A5C88"/>
    <w:rsid w:val="001B1955"/>
    <w:rsid w:val="001B219B"/>
    <w:rsid w:val="001B22B6"/>
    <w:rsid w:val="001C5AB1"/>
    <w:rsid w:val="001C7DFF"/>
    <w:rsid w:val="001D3FE8"/>
    <w:rsid w:val="001D72D9"/>
    <w:rsid w:val="001D7556"/>
    <w:rsid w:val="001E0B9C"/>
    <w:rsid w:val="001E2928"/>
    <w:rsid w:val="001E7624"/>
    <w:rsid w:val="001F3F02"/>
    <w:rsid w:val="001F4371"/>
    <w:rsid w:val="00234716"/>
    <w:rsid w:val="00250113"/>
    <w:rsid w:val="0025167B"/>
    <w:rsid w:val="0025177B"/>
    <w:rsid w:val="00251A5F"/>
    <w:rsid w:val="00264389"/>
    <w:rsid w:val="002675D5"/>
    <w:rsid w:val="00282042"/>
    <w:rsid w:val="002A0205"/>
    <w:rsid w:val="002A350C"/>
    <w:rsid w:val="002A6E07"/>
    <w:rsid w:val="002C039A"/>
    <w:rsid w:val="002C583C"/>
    <w:rsid w:val="002E036E"/>
    <w:rsid w:val="00304352"/>
    <w:rsid w:val="00304AF0"/>
    <w:rsid w:val="00305CA8"/>
    <w:rsid w:val="00312771"/>
    <w:rsid w:val="00322CC6"/>
    <w:rsid w:val="00324115"/>
    <w:rsid w:val="00331013"/>
    <w:rsid w:val="003351DF"/>
    <w:rsid w:val="00363F21"/>
    <w:rsid w:val="00364A72"/>
    <w:rsid w:val="003749A9"/>
    <w:rsid w:val="00385062"/>
    <w:rsid w:val="00394707"/>
    <w:rsid w:val="0039523A"/>
    <w:rsid w:val="003A06C1"/>
    <w:rsid w:val="003A118B"/>
    <w:rsid w:val="003A3315"/>
    <w:rsid w:val="003B1183"/>
    <w:rsid w:val="003B1436"/>
    <w:rsid w:val="003B19D4"/>
    <w:rsid w:val="003B23B1"/>
    <w:rsid w:val="003E1936"/>
    <w:rsid w:val="003F5A2F"/>
    <w:rsid w:val="00403CF1"/>
    <w:rsid w:val="004057C8"/>
    <w:rsid w:val="004139D4"/>
    <w:rsid w:val="00423207"/>
    <w:rsid w:val="00425F97"/>
    <w:rsid w:val="004357B5"/>
    <w:rsid w:val="00436E7E"/>
    <w:rsid w:val="00441937"/>
    <w:rsid w:val="00446874"/>
    <w:rsid w:val="0046627B"/>
    <w:rsid w:val="00477D84"/>
    <w:rsid w:val="004C5110"/>
    <w:rsid w:val="004E787D"/>
    <w:rsid w:val="00510912"/>
    <w:rsid w:val="005127CE"/>
    <w:rsid w:val="00523CC1"/>
    <w:rsid w:val="005273F5"/>
    <w:rsid w:val="00532185"/>
    <w:rsid w:val="00536D47"/>
    <w:rsid w:val="00540838"/>
    <w:rsid w:val="00541CC9"/>
    <w:rsid w:val="005569FE"/>
    <w:rsid w:val="0056079B"/>
    <w:rsid w:val="00564D25"/>
    <w:rsid w:val="0057006C"/>
    <w:rsid w:val="00571C23"/>
    <w:rsid w:val="00575D19"/>
    <w:rsid w:val="005A121A"/>
    <w:rsid w:val="005B7367"/>
    <w:rsid w:val="005E0006"/>
    <w:rsid w:val="005E1025"/>
    <w:rsid w:val="005E380D"/>
    <w:rsid w:val="00613CF4"/>
    <w:rsid w:val="006174D3"/>
    <w:rsid w:val="00623E26"/>
    <w:rsid w:val="006315E7"/>
    <w:rsid w:val="006374CF"/>
    <w:rsid w:val="00652758"/>
    <w:rsid w:val="00661EF4"/>
    <w:rsid w:val="00677A86"/>
    <w:rsid w:val="006B0663"/>
    <w:rsid w:val="006B499C"/>
    <w:rsid w:val="006B67C1"/>
    <w:rsid w:val="006C1569"/>
    <w:rsid w:val="006D2E4D"/>
    <w:rsid w:val="006D346E"/>
    <w:rsid w:val="006E4873"/>
    <w:rsid w:val="006F3B38"/>
    <w:rsid w:val="006F747B"/>
    <w:rsid w:val="006F7629"/>
    <w:rsid w:val="00767DE0"/>
    <w:rsid w:val="0077186E"/>
    <w:rsid w:val="007A1E8A"/>
    <w:rsid w:val="007B12E3"/>
    <w:rsid w:val="007B2929"/>
    <w:rsid w:val="007C07AE"/>
    <w:rsid w:val="007C0F50"/>
    <w:rsid w:val="007C1A07"/>
    <w:rsid w:val="007C3E7E"/>
    <w:rsid w:val="007F1BFD"/>
    <w:rsid w:val="007F75E4"/>
    <w:rsid w:val="00842A35"/>
    <w:rsid w:val="0084317B"/>
    <w:rsid w:val="00855786"/>
    <w:rsid w:val="00860856"/>
    <w:rsid w:val="008812B7"/>
    <w:rsid w:val="00883D6C"/>
    <w:rsid w:val="00885DA8"/>
    <w:rsid w:val="008B07F0"/>
    <w:rsid w:val="008B5628"/>
    <w:rsid w:val="008C50E3"/>
    <w:rsid w:val="008D2526"/>
    <w:rsid w:val="008D74ED"/>
    <w:rsid w:val="008E0EAA"/>
    <w:rsid w:val="008E3B2C"/>
    <w:rsid w:val="008F53D4"/>
    <w:rsid w:val="00914340"/>
    <w:rsid w:val="00914BFF"/>
    <w:rsid w:val="009249CE"/>
    <w:rsid w:val="00927207"/>
    <w:rsid w:val="009442FC"/>
    <w:rsid w:val="00944950"/>
    <w:rsid w:val="00950B87"/>
    <w:rsid w:val="00953AB0"/>
    <w:rsid w:val="009831E5"/>
    <w:rsid w:val="0099065C"/>
    <w:rsid w:val="0099378A"/>
    <w:rsid w:val="00997A6B"/>
    <w:rsid w:val="009A086D"/>
    <w:rsid w:val="009C5E87"/>
    <w:rsid w:val="009D2C48"/>
    <w:rsid w:val="009D5F02"/>
    <w:rsid w:val="009E0D1E"/>
    <w:rsid w:val="009E7811"/>
    <w:rsid w:val="009F36BC"/>
    <w:rsid w:val="009F5DF8"/>
    <w:rsid w:val="00A14453"/>
    <w:rsid w:val="00A14800"/>
    <w:rsid w:val="00A4211A"/>
    <w:rsid w:val="00A82239"/>
    <w:rsid w:val="00A832EA"/>
    <w:rsid w:val="00A84B68"/>
    <w:rsid w:val="00A84C2A"/>
    <w:rsid w:val="00AA19E4"/>
    <w:rsid w:val="00AA7ACA"/>
    <w:rsid w:val="00AC52E4"/>
    <w:rsid w:val="00AD079D"/>
    <w:rsid w:val="00AD3584"/>
    <w:rsid w:val="00AD6CE8"/>
    <w:rsid w:val="00AE30E4"/>
    <w:rsid w:val="00AF0106"/>
    <w:rsid w:val="00B03A0A"/>
    <w:rsid w:val="00B07CA5"/>
    <w:rsid w:val="00B17750"/>
    <w:rsid w:val="00B21ED4"/>
    <w:rsid w:val="00B224E8"/>
    <w:rsid w:val="00B37B6C"/>
    <w:rsid w:val="00B678BF"/>
    <w:rsid w:val="00B77FD3"/>
    <w:rsid w:val="00B811CD"/>
    <w:rsid w:val="00B96D54"/>
    <w:rsid w:val="00B9710A"/>
    <w:rsid w:val="00BA45A9"/>
    <w:rsid w:val="00BB3805"/>
    <w:rsid w:val="00BD598D"/>
    <w:rsid w:val="00BF1F7D"/>
    <w:rsid w:val="00BF4B8A"/>
    <w:rsid w:val="00C12D07"/>
    <w:rsid w:val="00C21574"/>
    <w:rsid w:val="00C321B8"/>
    <w:rsid w:val="00C33974"/>
    <w:rsid w:val="00C36438"/>
    <w:rsid w:val="00C37313"/>
    <w:rsid w:val="00C47BDF"/>
    <w:rsid w:val="00C56EB8"/>
    <w:rsid w:val="00CA7ABF"/>
    <w:rsid w:val="00CC4E55"/>
    <w:rsid w:val="00CD2C06"/>
    <w:rsid w:val="00CD7851"/>
    <w:rsid w:val="00CE1E2E"/>
    <w:rsid w:val="00CF26EA"/>
    <w:rsid w:val="00D01317"/>
    <w:rsid w:val="00D12D1E"/>
    <w:rsid w:val="00D16760"/>
    <w:rsid w:val="00D22F30"/>
    <w:rsid w:val="00D24C81"/>
    <w:rsid w:val="00D37FC7"/>
    <w:rsid w:val="00D50D7D"/>
    <w:rsid w:val="00D64FD7"/>
    <w:rsid w:val="00D84B8F"/>
    <w:rsid w:val="00DA6143"/>
    <w:rsid w:val="00DB2FA0"/>
    <w:rsid w:val="00DC25CD"/>
    <w:rsid w:val="00DD2A47"/>
    <w:rsid w:val="00DD653A"/>
    <w:rsid w:val="00DF382C"/>
    <w:rsid w:val="00E3506D"/>
    <w:rsid w:val="00E51FED"/>
    <w:rsid w:val="00E70957"/>
    <w:rsid w:val="00E72F45"/>
    <w:rsid w:val="00E930A2"/>
    <w:rsid w:val="00EA5DEF"/>
    <w:rsid w:val="00EB073B"/>
    <w:rsid w:val="00EC6BB4"/>
    <w:rsid w:val="00EC79ED"/>
    <w:rsid w:val="00ED0F5B"/>
    <w:rsid w:val="00EE5143"/>
    <w:rsid w:val="00EE5495"/>
    <w:rsid w:val="00EE7A0B"/>
    <w:rsid w:val="00F052E3"/>
    <w:rsid w:val="00F25367"/>
    <w:rsid w:val="00F379B3"/>
    <w:rsid w:val="00F75DF3"/>
    <w:rsid w:val="00FA0458"/>
    <w:rsid w:val="00FA3DCA"/>
    <w:rsid w:val="00FB6FB0"/>
    <w:rsid w:val="00FC1FD9"/>
    <w:rsid w:val="00FE480B"/>
    <w:rsid w:val="00FE6FD8"/>
    <w:rsid w:val="00FF42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116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page number" w:semiHidden="1" w:unhideWhenUsed="1"/>
    <w:lsdException w:name="Title" w:qFormat="1"/>
    <w:lsdException w:name="Default Paragraph Font" w:semiHidden="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2C06"/>
    <w:pPr>
      <w:widowControl w:val="0"/>
      <w:autoSpaceDE w:val="0"/>
      <w:autoSpaceDN w:val="0"/>
      <w:adjustRightInd w:val="0"/>
    </w:pPr>
    <w:rPr>
      <w:rFonts w:eastAsia="Times New Roman"/>
      <w:sz w:val="20"/>
    </w:rPr>
  </w:style>
  <w:style w:type="paragraph" w:styleId="Heading1">
    <w:name w:val="heading 1"/>
    <w:basedOn w:val="Normal"/>
    <w:next w:val="Normal"/>
    <w:link w:val="Heading1Char"/>
    <w:qFormat/>
    <w:rsid w:val="008F53D4"/>
    <w:pPr>
      <w:keepNext/>
      <w:widowControl/>
      <w:autoSpaceDE/>
      <w:autoSpaceDN/>
      <w:adjustRightInd/>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3D4"/>
  </w:style>
  <w:style w:type="character" w:customStyle="1" w:styleId="Heading1Char">
    <w:name w:val="Heading 1 Char"/>
    <w:basedOn w:val="DefaultParagraphFont"/>
    <w:link w:val="Heading1"/>
    <w:rsid w:val="008F53D4"/>
    <w:rPr>
      <w:rFonts w:asciiTheme="majorHAnsi" w:eastAsiaTheme="majorEastAsia" w:hAnsiTheme="majorHAnsi" w:cstheme="majorBidi"/>
      <w:b/>
      <w:bCs/>
      <w:kern w:val="32"/>
      <w:sz w:val="32"/>
      <w:szCs w:val="32"/>
    </w:rPr>
  </w:style>
  <w:style w:type="paragraph" w:styleId="Header">
    <w:name w:val="header"/>
    <w:basedOn w:val="Normal"/>
    <w:link w:val="HeaderChar"/>
    <w:rsid w:val="008F53D4"/>
    <w:pPr>
      <w:widowControl/>
      <w:tabs>
        <w:tab w:val="center" w:pos="4320"/>
        <w:tab w:val="right" w:pos="8640"/>
      </w:tabs>
      <w:autoSpaceDE/>
      <w:autoSpaceDN/>
      <w:adjustRightInd/>
    </w:pPr>
    <w:rPr>
      <w:sz w:val="24"/>
    </w:rPr>
  </w:style>
  <w:style w:type="character" w:customStyle="1" w:styleId="HeaderChar">
    <w:name w:val="Header Char"/>
    <w:basedOn w:val="DefaultParagraphFont"/>
    <w:link w:val="Header"/>
    <w:rsid w:val="008F53D4"/>
    <w:rPr>
      <w:rFonts w:eastAsia="Times New Roman"/>
      <w:sz w:val="24"/>
      <w:szCs w:val="24"/>
    </w:rPr>
  </w:style>
  <w:style w:type="paragraph" w:styleId="Footer">
    <w:name w:val="footer"/>
    <w:basedOn w:val="Normal"/>
    <w:link w:val="FooterChar"/>
    <w:rsid w:val="008F53D4"/>
    <w:pPr>
      <w:widowControl/>
      <w:tabs>
        <w:tab w:val="center" w:pos="4320"/>
        <w:tab w:val="right" w:pos="8640"/>
      </w:tabs>
      <w:autoSpaceDE/>
      <w:autoSpaceDN/>
      <w:adjustRightInd/>
    </w:pPr>
    <w:rPr>
      <w:sz w:val="24"/>
    </w:rPr>
  </w:style>
  <w:style w:type="character" w:customStyle="1" w:styleId="FooterChar">
    <w:name w:val="Footer Char"/>
    <w:basedOn w:val="DefaultParagraphFont"/>
    <w:link w:val="Footer"/>
    <w:rsid w:val="008F53D4"/>
    <w:rPr>
      <w:rFonts w:eastAsia="Times New Roman"/>
      <w:sz w:val="24"/>
      <w:szCs w:val="24"/>
    </w:rPr>
  </w:style>
  <w:style w:type="character" w:styleId="PageNumber">
    <w:name w:val="page number"/>
    <w:basedOn w:val="DefaultParagraphFont"/>
    <w:rsid w:val="008F53D4"/>
  </w:style>
  <w:style w:type="character" w:styleId="Hyperlink">
    <w:name w:val="Hyperlink"/>
    <w:basedOn w:val="DefaultParagraphFont"/>
    <w:rsid w:val="008F53D4"/>
    <w:rPr>
      <w:color w:val="0000FF"/>
      <w:u w:val="single"/>
    </w:rPr>
  </w:style>
  <w:style w:type="character" w:styleId="FollowedHyperlink">
    <w:name w:val="FollowedHyperlink"/>
    <w:basedOn w:val="DefaultParagraphFont"/>
    <w:rsid w:val="008F53D4"/>
    <w:rPr>
      <w:color w:val="800080"/>
      <w:u w:val="single"/>
    </w:rPr>
  </w:style>
  <w:style w:type="paragraph" w:styleId="NormalWeb">
    <w:name w:val="Normal (Web)"/>
    <w:basedOn w:val="Normal"/>
    <w:rsid w:val="008F53D4"/>
    <w:pPr>
      <w:widowControl/>
      <w:autoSpaceDE/>
      <w:autoSpaceDN/>
      <w:adjustRightInd/>
      <w:spacing w:before="100" w:beforeAutospacing="1" w:after="100" w:afterAutospacing="1"/>
    </w:pPr>
    <w:rPr>
      <w:sz w:val="24"/>
    </w:rPr>
  </w:style>
  <w:style w:type="numbering" w:customStyle="1" w:styleId="Style1">
    <w:name w:val="Style1"/>
    <w:basedOn w:val="NoList"/>
    <w:rsid w:val="008F53D4"/>
    <w:pPr>
      <w:numPr>
        <w:numId w:val="1"/>
      </w:numPr>
    </w:pPr>
  </w:style>
  <w:style w:type="paragraph" w:customStyle="1" w:styleId="Jim1">
    <w:name w:val="Jim 1"/>
    <w:basedOn w:val="Normal"/>
    <w:qFormat/>
    <w:rsid w:val="008F53D4"/>
    <w:pPr>
      <w:widowControl/>
      <w:numPr>
        <w:numId w:val="4"/>
      </w:numPr>
      <w:autoSpaceDE/>
      <w:autoSpaceDN/>
      <w:adjustRightInd/>
    </w:pPr>
    <w:rPr>
      <w:b/>
      <w:sz w:val="24"/>
    </w:rPr>
  </w:style>
  <w:style w:type="character" w:styleId="FootnoteReference">
    <w:name w:val="footnote reference"/>
    <w:rsid w:val="00CD2C06"/>
  </w:style>
  <w:style w:type="paragraph" w:styleId="BodyText">
    <w:name w:val="Body Text"/>
    <w:basedOn w:val="Normal"/>
    <w:link w:val="BodyTextChar"/>
    <w:rsid w:val="00CD2C06"/>
    <w:rPr>
      <w:rFonts w:ascii="Courier" w:hAnsi="Courier"/>
      <w:sz w:val="24"/>
    </w:rPr>
  </w:style>
  <w:style w:type="character" w:customStyle="1" w:styleId="BodyTextChar">
    <w:name w:val="Body Text Char"/>
    <w:basedOn w:val="DefaultParagraphFont"/>
    <w:link w:val="BodyText"/>
    <w:rsid w:val="00CD2C06"/>
    <w:rPr>
      <w:rFonts w:ascii="Courier" w:eastAsia="Times New Roman" w:hAnsi="Courier"/>
    </w:rPr>
  </w:style>
  <w:style w:type="character" w:styleId="CommentReference">
    <w:name w:val="annotation reference"/>
    <w:basedOn w:val="DefaultParagraphFont"/>
    <w:rsid w:val="005127CE"/>
    <w:rPr>
      <w:sz w:val="16"/>
      <w:szCs w:val="16"/>
    </w:rPr>
  </w:style>
  <w:style w:type="paragraph" w:styleId="CommentText">
    <w:name w:val="annotation text"/>
    <w:basedOn w:val="Normal"/>
    <w:link w:val="CommentTextChar"/>
    <w:rsid w:val="005127CE"/>
    <w:rPr>
      <w:szCs w:val="20"/>
    </w:rPr>
  </w:style>
  <w:style w:type="character" w:customStyle="1" w:styleId="CommentTextChar">
    <w:name w:val="Comment Text Char"/>
    <w:basedOn w:val="DefaultParagraphFont"/>
    <w:link w:val="CommentText"/>
    <w:rsid w:val="005127CE"/>
    <w:rPr>
      <w:rFonts w:eastAsia="Times New Roman"/>
      <w:sz w:val="20"/>
      <w:szCs w:val="20"/>
    </w:rPr>
  </w:style>
  <w:style w:type="paragraph" w:styleId="CommentSubject">
    <w:name w:val="annotation subject"/>
    <w:basedOn w:val="CommentText"/>
    <w:next w:val="CommentText"/>
    <w:link w:val="CommentSubjectChar"/>
    <w:rsid w:val="005127CE"/>
    <w:rPr>
      <w:b/>
      <w:bCs/>
    </w:rPr>
  </w:style>
  <w:style w:type="character" w:customStyle="1" w:styleId="CommentSubjectChar">
    <w:name w:val="Comment Subject Char"/>
    <w:basedOn w:val="CommentTextChar"/>
    <w:link w:val="CommentSubject"/>
    <w:rsid w:val="005127CE"/>
    <w:rPr>
      <w:b/>
      <w:bCs/>
    </w:rPr>
  </w:style>
  <w:style w:type="paragraph" w:styleId="Revision">
    <w:name w:val="Revision"/>
    <w:hidden/>
    <w:uiPriority w:val="99"/>
    <w:semiHidden/>
    <w:rsid w:val="005127CE"/>
    <w:rPr>
      <w:rFonts w:eastAsia="Times New Roman"/>
      <w:sz w:val="20"/>
    </w:rPr>
  </w:style>
  <w:style w:type="paragraph" w:styleId="BalloonText">
    <w:name w:val="Balloon Text"/>
    <w:basedOn w:val="Normal"/>
    <w:link w:val="BalloonTextChar"/>
    <w:rsid w:val="005127CE"/>
    <w:rPr>
      <w:rFonts w:ascii="Tahoma" w:hAnsi="Tahoma" w:cs="Tahoma"/>
      <w:sz w:val="16"/>
      <w:szCs w:val="16"/>
    </w:rPr>
  </w:style>
  <w:style w:type="character" w:customStyle="1" w:styleId="BalloonTextChar">
    <w:name w:val="Balloon Text Char"/>
    <w:basedOn w:val="DefaultParagraphFont"/>
    <w:link w:val="BalloonText"/>
    <w:rsid w:val="005127CE"/>
    <w:rPr>
      <w:rFonts w:ascii="Tahoma" w:eastAsia="Times New Roman" w:hAnsi="Tahoma" w:cs="Tahoma"/>
      <w:sz w:val="16"/>
      <w:szCs w:val="16"/>
    </w:rPr>
  </w:style>
  <w:style w:type="paragraph" w:styleId="ListParagraph">
    <w:name w:val="List Paragraph"/>
    <w:basedOn w:val="Normal"/>
    <w:uiPriority w:val="34"/>
    <w:qFormat/>
    <w:rsid w:val="00D64FD7"/>
    <w:pPr>
      <w:ind w:left="720"/>
      <w:contextualSpacing/>
    </w:pPr>
  </w:style>
  <w:style w:type="paragraph" w:customStyle="1" w:styleId="FindingsConclusions">
    <w:name w:val="Findings &amp; Conclusions"/>
    <w:basedOn w:val="Normal"/>
    <w:autoRedefine/>
    <w:rsid w:val="00425F97"/>
    <w:pPr>
      <w:widowControl/>
      <w:numPr>
        <w:numId w:val="9"/>
      </w:numPr>
      <w:autoSpaceDE/>
      <w:autoSpaceDN/>
      <w:adjustRightInd/>
      <w:spacing w:line="288" w:lineRule="auto"/>
    </w:pPr>
    <w:rPr>
      <w:sz w:val="24"/>
    </w:rPr>
  </w:style>
</w:styles>
</file>

<file path=word/webSettings.xml><?xml version="1.0" encoding="utf-8"?>
<w:webSettings xmlns:r="http://schemas.openxmlformats.org/officeDocument/2006/relationships" xmlns:w="http://schemas.openxmlformats.org/wordprocessingml/2006/main">
  <w:divs>
    <w:div w:id="108166022">
      <w:bodyDiv w:val="1"/>
      <w:marLeft w:val="0"/>
      <w:marRight w:val="0"/>
      <w:marTop w:val="0"/>
      <w:marBottom w:val="0"/>
      <w:divBdr>
        <w:top w:val="none" w:sz="0" w:space="0" w:color="auto"/>
        <w:left w:val="none" w:sz="0" w:space="0" w:color="auto"/>
        <w:bottom w:val="none" w:sz="0" w:space="0" w:color="auto"/>
        <w:right w:val="none" w:sz="0" w:space="0" w:color="auto"/>
      </w:divBdr>
    </w:div>
    <w:div w:id="316959365">
      <w:bodyDiv w:val="1"/>
      <w:marLeft w:val="0"/>
      <w:marRight w:val="0"/>
      <w:marTop w:val="0"/>
      <w:marBottom w:val="0"/>
      <w:divBdr>
        <w:top w:val="none" w:sz="0" w:space="0" w:color="auto"/>
        <w:left w:val="none" w:sz="0" w:space="0" w:color="auto"/>
        <w:bottom w:val="none" w:sz="0" w:space="0" w:color="auto"/>
        <w:right w:val="none" w:sz="0" w:space="0" w:color="auto"/>
      </w:divBdr>
    </w:div>
    <w:div w:id="454758395">
      <w:bodyDiv w:val="1"/>
      <w:marLeft w:val="0"/>
      <w:marRight w:val="0"/>
      <w:marTop w:val="0"/>
      <w:marBottom w:val="0"/>
      <w:divBdr>
        <w:top w:val="none" w:sz="0" w:space="0" w:color="auto"/>
        <w:left w:val="none" w:sz="0" w:space="0" w:color="auto"/>
        <w:bottom w:val="none" w:sz="0" w:space="0" w:color="auto"/>
        <w:right w:val="none" w:sz="0" w:space="0" w:color="auto"/>
      </w:divBdr>
    </w:div>
    <w:div w:id="814642116">
      <w:bodyDiv w:val="1"/>
      <w:marLeft w:val="0"/>
      <w:marRight w:val="0"/>
      <w:marTop w:val="0"/>
      <w:marBottom w:val="0"/>
      <w:divBdr>
        <w:top w:val="none" w:sz="0" w:space="0" w:color="auto"/>
        <w:left w:val="none" w:sz="0" w:space="0" w:color="auto"/>
        <w:bottom w:val="none" w:sz="0" w:space="0" w:color="auto"/>
        <w:right w:val="none" w:sz="0" w:space="0" w:color="auto"/>
      </w:divBdr>
    </w:div>
    <w:div w:id="20890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tc.wa.gov/water"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tc.w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82C483066811D45A078D7F0AE466EED" ma:contentTypeVersion="135" ma:contentTypeDescription="" ma:contentTypeScope="" ma:versionID="b837d8550070529f5ccbeeebd49a35f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2008-11-21T08:00:00+00:00</OpenedDate>
    <Date1 xmlns="dc463f71-b30c-4ab2-9473-d307f9d35888">2009-03-12T07:00:00+00:00</Date1>
    <IsDocumentOrder xmlns="dc463f71-b30c-4ab2-9473-d307f9d35888" xsi:nil="true"/>
    <IsHighlyConfidential xmlns="dc463f71-b30c-4ab2-9473-d307f9d35888">false</IsHighlyConfidential>
    <CaseCompanyNames xmlns="dc463f71-b30c-4ab2-9473-d307f9d35888">Deer Meadows Water Company, Incorporated</CaseCompanyNames>
    <DocketNumber xmlns="dc463f71-b30c-4ab2-9473-d307f9d35888">082113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5145F-829C-40AB-8D90-BCC4A30F4E8D}"/>
</file>

<file path=customXml/itemProps2.xml><?xml version="1.0" encoding="utf-8"?>
<ds:datastoreItem xmlns:ds="http://schemas.openxmlformats.org/officeDocument/2006/customXml" ds:itemID="{D52592B9-DF6E-4343-83F7-4C4C248A99F2}"/>
</file>

<file path=customXml/itemProps3.xml><?xml version="1.0" encoding="utf-8"?>
<ds:datastoreItem xmlns:ds="http://schemas.openxmlformats.org/officeDocument/2006/customXml" ds:itemID="{6CEE55E4-9638-4EF0-8FFA-A97F4DCCB63C}"/>
</file>

<file path=customXml/itemProps4.xml><?xml version="1.0" encoding="utf-8"?>
<ds:datastoreItem xmlns:ds="http://schemas.openxmlformats.org/officeDocument/2006/customXml" ds:itemID="{22F4C183-CBB9-42F8-974C-10171399C138}"/>
</file>

<file path=customXml/itemProps5.xml><?xml version="1.0" encoding="utf-8"?>
<ds:datastoreItem xmlns:ds="http://schemas.openxmlformats.org/officeDocument/2006/customXml" ds:itemID="{08D54D9C-07F2-4167-82DF-D42159784E42}"/>
</file>

<file path=docProps/app.xml><?xml version="1.0" encoding="utf-8"?>
<Properties xmlns="http://schemas.openxmlformats.org/officeDocument/2006/extended-properties" xmlns:vt="http://schemas.openxmlformats.org/officeDocument/2006/docPropsVTypes">
  <Template>Normal.dotm</Template>
  <TotalTime>1</TotalTime>
  <Pages>7</Pages>
  <Words>2318</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UW-082113 Memo</vt:lpstr>
    </vt:vector>
  </TitlesOfParts>
  <Company>Washington Utilities and Transportation Commission</Company>
  <LinksUpToDate>false</LinksUpToDate>
  <CharactersWithSpaces>15506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UW-082113 Memo</dc:title>
  <dc:subject/>
  <dc:creator>JWard</dc:creator>
  <cp:keywords/>
  <dc:description/>
  <cp:lastModifiedBy>Catherine Hudspeth, Forms and Records Analyst 2</cp:lastModifiedBy>
  <cp:revision>2</cp:revision>
  <cp:lastPrinted>2009-03-09T17:26:00Z</cp:lastPrinted>
  <dcterms:created xsi:type="dcterms:W3CDTF">2009-03-09T21:29:00Z</dcterms:created>
  <dcterms:modified xsi:type="dcterms:W3CDTF">2009-03-09T21:29:00Z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0x0101006E56B4D1795A2E4DB2F0B01679ED314A00382C483066811D45A078D7F0AE466EED</vt:lpwstr>
  </property>
  <property fmtid="{D5CDD505-2E9C-101B-9397-08002B2CF9AE}" pid="3" name="_docset_NoMedatataSyncRequired">
    <vt:lpwstr>False</vt:lpwstr>
  </property>
</Properties>
</file>