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A00D" w14:textId="7528DDA8" w:rsidR="002C039A"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U-1406</w:t>
      </w:r>
      <w:r w:rsidR="007673BD">
        <w:rPr>
          <w:rFonts w:ascii="Times New Roman" w:hAnsi="Times New Roman" w:cs="Times New Roman"/>
          <w:b/>
          <w:sz w:val="28"/>
          <w:szCs w:val="28"/>
        </w:rPr>
        <w:t>21</w:t>
      </w:r>
      <w:r w:rsidRPr="00B5727C">
        <w:rPr>
          <w:rFonts w:ascii="Times New Roman" w:hAnsi="Times New Roman" w:cs="Times New Roman"/>
          <w:b/>
          <w:sz w:val="28"/>
          <w:szCs w:val="28"/>
        </w:rPr>
        <w:t xml:space="preserve"> </w:t>
      </w:r>
      <w:r w:rsidR="007673BD">
        <w:rPr>
          <w:rFonts w:ascii="Times New Roman" w:hAnsi="Times New Roman" w:cs="Times New Roman"/>
          <w:b/>
          <w:sz w:val="28"/>
          <w:szCs w:val="28"/>
        </w:rPr>
        <w:t>Pole Attachment</w:t>
      </w:r>
      <w:r w:rsidRPr="00B5727C">
        <w:rPr>
          <w:rFonts w:ascii="Times New Roman" w:hAnsi="Times New Roman" w:cs="Times New Roman"/>
          <w:b/>
          <w:sz w:val="28"/>
          <w:szCs w:val="28"/>
        </w:rPr>
        <w:t xml:space="preserve"> Rules</w:t>
      </w:r>
    </w:p>
    <w:p w14:paraId="310B01B1" w14:textId="5B56F700" w:rsidR="00F372F8"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Summary of Comments</w:t>
      </w:r>
      <w:r w:rsidR="007673BD">
        <w:rPr>
          <w:rFonts w:ascii="Times New Roman" w:hAnsi="Times New Roman" w:cs="Times New Roman"/>
          <w:b/>
          <w:sz w:val="28"/>
          <w:szCs w:val="28"/>
        </w:rPr>
        <w:t xml:space="preserve"> on </w:t>
      </w:r>
      <w:r w:rsidR="009D7E6C">
        <w:rPr>
          <w:rFonts w:ascii="Times New Roman" w:hAnsi="Times New Roman" w:cs="Times New Roman"/>
          <w:b/>
          <w:sz w:val="28"/>
          <w:szCs w:val="28"/>
        </w:rPr>
        <w:t>Proposed</w:t>
      </w:r>
      <w:r w:rsidR="007673BD">
        <w:rPr>
          <w:rFonts w:ascii="Times New Roman" w:hAnsi="Times New Roman" w:cs="Times New Roman"/>
          <w:b/>
          <w:sz w:val="28"/>
          <w:szCs w:val="28"/>
        </w:rPr>
        <w:t xml:space="preserve"> Rules</w:t>
      </w:r>
    </w:p>
    <w:p w14:paraId="0E4CBD85" w14:textId="7995664F" w:rsidR="00F372F8" w:rsidRPr="00B5727C" w:rsidRDefault="009D7E6C" w:rsidP="00F372F8">
      <w:pPr>
        <w:jc w:val="center"/>
        <w:rPr>
          <w:rFonts w:ascii="Times New Roman" w:hAnsi="Times New Roman" w:cs="Times New Roman"/>
          <w:b/>
          <w:sz w:val="28"/>
          <w:szCs w:val="28"/>
        </w:rPr>
      </w:pPr>
      <w:r>
        <w:rPr>
          <w:rFonts w:ascii="Times New Roman" w:hAnsi="Times New Roman" w:cs="Times New Roman"/>
          <w:b/>
          <w:sz w:val="28"/>
          <w:szCs w:val="28"/>
        </w:rPr>
        <w:t>September 17</w:t>
      </w:r>
      <w:r w:rsidR="00F372F8" w:rsidRPr="00B5727C">
        <w:rPr>
          <w:rFonts w:ascii="Times New Roman" w:hAnsi="Times New Roman" w:cs="Times New Roman"/>
          <w:b/>
          <w:sz w:val="28"/>
          <w:szCs w:val="28"/>
        </w:rPr>
        <w:t>, 2015</w:t>
      </w:r>
    </w:p>
    <w:p w14:paraId="5E4DC036" w14:textId="77777777" w:rsidR="007673BD" w:rsidRPr="00B5727C" w:rsidRDefault="007673BD" w:rsidP="007673BD">
      <w:pPr>
        <w:rPr>
          <w:rFonts w:ascii="Times New Roman" w:hAnsi="Times New Roman" w:cs="Times New Roman"/>
        </w:rPr>
      </w:pPr>
    </w:p>
    <w:tbl>
      <w:tblPr>
        <w:tblStyle w:val="TableGrid"/>
        <w:tblW w:w="17455" w:type="dxa"/>
        <w:tblLook w:val="04A0" w:firstRow="1" w:lastRow="0" w:firstColumn="1" w:lastColumn="0" w:noHBand="0" w:noVBand="1"/>
      </w:tblPr>
      <w:tblGrid>
        <w:gridCol w:w="1075"/>
        <w:gridCol w:w="1530"/>
        <w:gridCol w:w="1890"/>
        <w:gridCol w:w="1620"/>
        <w:gridCol w:w="1890"/>
        <w:gridCol w:w="2250"/>
        <w:gridCol w:w="1710"/>
        <w:gridCol w:w="5490"/>
      </w:tblGrid>
      <w:tr w:rsidR="00E3732D" w:rsidRPr="00B5727C" w14:paraId="0AF10B47" w14:textId="77777777" w:rsidTr="00E3732D">
        <w:tc>
          <w:tcPr>
            <w:tcW w:w="1075" w:type="dxa"/>
            <w:shd w:val="clear" w:color="auto" w:fill="D9D9D9" w:themeFill="background1" w:themeFillShade="D9"/>
          </w:tcPr>
          <w:p w14:paraId="67D3C4C9" w14:textId="59DBC886" w:rsidR="00E3732D" w:rsidRPr="00B5727C" w:rsidRDefault="00E3732D" w:rsidP="00931CB4">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423145CF" w14:textId="77777777" w:rsidR="00E3732D" w:rsidRPr="00B5727C" w:rsidRDefault="00E3732D" w:rsidP="00931CB4">
            <w:pPr>
              <w:rPr>
                <w:rFonts w:ascii="Times New Roman" w:hAnsi="Times New Roman" w:cs="Times New Roman"/>
                <w:b/>
              </w:rPr>
            </w:pPr>
            <w:r w:rsidRPr="00B5727C">
              <w:rPr>
                <w:rFonts w:ascii="Times New Roman" w:hAnsi="Times New Roman" w:cs="Times New Roman"/>
                <w:b/>
              </w:rPr>
              <w:t>WAC Title</w:t>
            </w:r>
          </w:p>
        </w:tc>
        <w:tc>
          <w:tcPr>
            <w:tcW w:w="1890" w:type="dxa"/>
            <w:shd w:val="clear" w:color="auto" w:fill="D9D9D9" w:themeFill="background1" w:themeFillShade="D9"/>
          </w:tcPr>
          <w:p w14:paraId="774FFA86" w14:textId="77777777" w:rsidR="00E3732D" w:rsidRPr="00B5727C" w:rsidRDefault="00E3732D" w:rsidP="00931CB4">
            <w:pPr>
              <w:rPr>
                <w:rFonts w:ascii="Times New Roman" w:hAnsi="Times New Roman" w:cs="Times New Roman"/>
                <w:b/>
              </w:rPr>
            </w:pPr>
            <w:r>
              <w:rPr>
                <w:rFonts w:ascii="Times New Roman" w:hAnsi="Times New Roman" w:cs="Times New Roman"/>
                <w:b/>
              </w:rPr>
              <w:t>PSE</w:t>
            </w:r>
          </w:p>
        </w:tc>
        <w:tc>
          <w:tcPr>
            <w:tcW w:w="1620" w:type="dxa"/>
            <w:shd w:val="clear" w:color="auto" w:fill="D9D9D9" w:themeFill="background1" w:themeFillShade="D9"/>
          </w:tcPr>
          <w:p w14:paraId="524AEF33" w14:textId="77777777" w:rsidR="00E3732D" w:rsidRPr="00B5727C" w:rsidRDefault="00E3732D" w:rsidP="00931CB4">
            <w:pPr>
              <w:rPr>
                <w:rFonts w:ascii="Times New Roman" w:hAnsi="Times New Roman" w:cs="Times New Roman"/>
                <w:b/>
              </w:rPr>
            </w:pPr>
            <w:proofErr w:type="spellStart"/>
            <w:r>
              <w:rPr>
                <w:rFonts w:ascii="Times New Roman" w:hAnsi="Times New Roman" w:cs="Times New Roman"/>
                <w:b/>
              </w:rPr>
              <w:t>Avista</w:t>
            </w:r>
            <w:proofErr w:type="spellEnd"/>
          </w:p>
        </w:tc>
        <w:tc>
          <w:tcPr>
            <w:tcW w:w="1890" w:type="dxa"/>
            <w:shd w:val="clear" w:color="auto" w:fill="D9D9D9" w:themeFill="background1" w:themeFillShade="D9"/>
          </w:tcPr>
          <w:p w14:paraId="1FC74F92" w14:textId="227E8876" w:rsidR="00E3732D" w:rsidRPr="00B5727C" w:rsidRDefault="00E3732D" w:rsidP="00C96B7C">
            <w:pPr>
              <w:rPr>
                <w:rFonts w:ascii="Times New Roman" w:hAnsi="Times New Roman" w:cs="Times New Roman"/>
                <w:b/>
              </w:rPr>
            </w:pPr>
            <w:r>
              <w:rPr>
                <w:rFonts w:ascii="Times New Roman" w:hAnsi="Times New Roman" w:cs="Times New Roman"/>
                <w:b/>
              </w:rPr>
              <w:t>Pacific Power</w:t>
            </w:r>
          </w:p>
        </w:tc>
        <w:tc>
          <w:tcPr>
            <w:tcW w:w="2250" w:type="dxa"/>
            <w:shd w:val="clear" w:color="auto" w:fill="D9D9D9" w:themeFill="background1" w:themeFillShade="D9"/>
          </w:tcPr>
          <w:p w14:paraId="3C4457ED" w14:textId="78018BFF" w:rsidR="00E3732D" w:rsidRPr="00B5727C" w:rsidRDefault="00E3732D" w:rsidP="00931CB4">
            <w:pPr>
              <w:rPr>
                <w:rFonts w:ascii="Times New Roman" w:hAnsi="Times New Roman" w:cs="Times New Roman"/>
                <w:b/>
              </w:rPr>
            </w:pPr>
            <w:r>
              <w:rPr>
                <w:rFonts w:ascii="Times New Roman" w:hAnsi="Times New Roman" w:cs="Times New Roman"/>
                <w:b/>
              </w:rPr>
              <w:t>Cable/</w:t>
            </w:r>
            <w:proofErr w:type="spellStart"/>
            <w:r>
              <w:rPr>
                <w:rFonts w:ascii="Times New Roman" w:hAnsi="Times New Roman" w:cs="Times New Roman"/>
                <w:b/>
              </w:rPr>
              <w:t>ILECs</w:t>
            </w:r>
            <w:proofErr w:type="spellEnd"/>
          </w:p>
        </w:tc>
        <w:tc>
          <w:tcPr>
            <w:tcW w:w="1710" w:type="dxa"/>
            <w:shd w:val="clear" w:color="auto" w:fill="D9D9D9" w:themeFill="background1" w:themeFillShade="D9"/>
          </w:tcPr>
          <w:p w14:paraId="24EDE84E" w14:textId="77777777" w:rsidR="00E3732D" w:rsidRPr="00B5727C" w:rsidRDefault="00E3732D" w:rsidP="00931CB4">
            <w:pPr>
              <w:rPr>
                <w:rFonts w:ascii="Times New Roman" w:hAnsi="Times New Roman" w:cs="Times New Roman"/>
                <w:b/>
              </w:rPr>
            </w:pPr>
            <w:r>
              <w:rPr>
                <w:rFonts w:ascii="Times New Roman" w:hAnsi="Times New Roman" w:cs="Times New Roman"/>
                <w:b/>
              </w:rPr>
              <w:t>Wireless</w:t>
            </w:r>
          </w:p>
        </w:tc>
        <w:tc>
          <w:tcPr>
            <w:tcW w:w="5490" w:type="dxa"/>
            <w:shd w:val="clear" w:color="auto" w:fill="D9D9D9" w:themeFill="background1" w:themeFillShade="D9"/>
          </w:tcPr>
          <w:p w14:paraId="4F765D95" w14:textId="561DE6D8" w:rsidR="00E3732D" w:rsidRPr="00B5727C" w:rsidRDefault="00E3732D" w:rsidP="00931CB4">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E3732D" w:rsidRPr="00B5727C" w14:paraId="0BFDD9AE" w14:textId="77777777" w:rsidTr="00E3732D">
        <w:tc>
          <w:tcPr>
            <w:tcW w:w="1075" w:type="dxa"/>
          </w:tcPr>
          <w:p w14:paraId="62D54DBD" w14:textId="641B63B8" w:rsidR="00E3732D" w:rsidRPr="00B5727C" w:rsidRDefault="00E3732D" w:rsidP="00931CB4">
            <w:pPr>
              <w:rPr>
                <w:rFonts w:ascii="Times New Roman" w:hAnsi="Times New Roman" w:cs="Times New Roman"/>
              </w:rPr>
            </w:pPr>
            <w:r>
              <w:rPr>
                <w:rFonts w:ascii="Times New Roman" w:hAnsi="Times New Roman" w:cs="Times New Roman"/>
              </w:rPr>
              <w:t>020(2)</w:t>
            </w:r>
          </w:p>
        </w:tc>
        <w:tc>
          <w:tcPr>
            <w:tcW w:w="1530" w:type="dxa"/>
          </w:tcPr>
          <w:p w14:paraId="2C143BD4" w14:textId="6525BA90" w:rsidR="00E3732D" w:rsidRDefault="00E3732D" w:rsidP="00264137">
            <w:pPr>
              <w:rPr>
                <w:rFonts w:ascii="Times New Roman" w:hAnsi="Times New Roman" w:cs="Times New Roman"/>
                <w:color w:val="000000"/>
              </w:rPr>
            </w:pPr>
            <w:r>
              <w:rPr>
                <w:rFonts w:ascii="Times New Roman" w:hAnsi="Times New Roman" w:cs="Times New Roman"/>
                <w:color w:val="000000"/>
              </w:rPr>
              <w:t>Definitions – Carrying Charge</w:t>
            </w:r>
          </w:p>
        </w:tc>
        <w:tc>
          <w:tcPr>
            <w:tcW w:w="1890" w:type="dxa"/>
          </w:tcPr>
          <w:p w14:paraId="1F480AA3" w14:textId="1F2DBFBD" w:rsidR="00E3732D" w:rsidRPr="00B5727C" w:rsidRDefault="00E3732D" w:rsidP="003461DA">
            <w:pPr>
              <w:rPr>
                <w:rFonts w:ascii="Times New Roman" w:hAnsi="Times New Roman" w:cs="Times New Roman"/>
              </w:rPr>
            </w:pPr>
          </w:p>
        </w:tc>
        <w:tc>
          <w:tcPr>
            <w:tcW w:w="1620" w:type="dxa"/>
          </w:tcPr>
          <w:p w14:paraId="29CCC1CB" w14:textId="410143CD" w:rsidR="00E3732D" w:rsidRPr="00B5727C" w:rsidRDefault="00E3732D" w:rsidP="0086721E">
            <w:pPr>
              <w:rPr>
                <w:rFonts w:ascii="Times New Roman" w:hAnsi="Times New Roman" w:cs="Times New Roman"/>
                <w:color w:val="000000"/>
              </w:rPr>
            </w:pPr>
          </w:p>
        </w:tc>
        <w:tc>
          <w:tcPr>
            <w:tcW w:w="1890" w:type="dxa"/>
          </w:tcPr>
          <w:p w14:paraId="2F335387" w14:textId="77777777" w:rsidR="00E3732D" w:rsidRPr="00B5727C" w:rsidRDefault="00E3732D" w:rsidP="00931CB4">
            <w:pPr>
              <w:rPr>
                <w:rFonts w:ascii="Times New Roman" w:hAnsi="Times New Roman" w:cs="Times New Roman"/>
                <w:color w:val="000000"/>
              </w:rPr>
            </w:pPr>
          </w:p>
        </w:tc>
        <w:tc>
          <w:tcPr>
            <w:tcW w:w="2250" w:type="dxa"/>
          </w:tcPr>
          <w:p w14:paraId="5F182028" w14:textId="48C57DA6" w:rsidR="00E3732D" w:rsidRPr="00B5727C" w:rsidRDefault="00E3732D" w:rsidP="008452CD">
            <w:pPr>
              <w:rPr>
                <w:rFonts w:ascii="Times New Roman" w:hAnsi="Times New Roman" w:cs="Times New Roman"/>
                <w:color w:val="000000"/>
              </w:rPr>
            </w:pPr>
            <w:r>
              <w:rPr>
                <w:rFonts w:ascii="Times New Roman" w:hAnsi="Times New Roman" w:cs="Times New Roman"/>
                <w:color w:val="000000"/>
              </w:rPr>
              <w:t>Frontier: clarify and avoid disputes by substituting “which are limited to” for “including”</w:t>
            </w:r>
          </w:p>
        </w:tc>
        <w:tc>
          <w:tcPr>
            <w:tcW w:w="1710" w:type="dxa"/>
          </w:tcPr>
          <w:p w14:paraId="3B968EA0" w14:textId="767E194A" w:rsidR="00E3732D" w:rsidRPr="00B5727C" w:rsidRDefault="00E3732D" w:rsidP="00931CB4">
            <w:pPr>
              <w:rPr>
                <w:rFonts w:ascii="Times New Roman" w:hAnsi="Times New Roman" w:cs="Times New Roman"/>
              </w:rPr>
            </w:pPr>
          </w:p>
        </w:tc>
        <w:tc>
          <w:tcPr>
            <w:tcW w:w="5490" w:type="dxa"/>
          </w:tcPr>
          <w:p w14:paraId="4F690BFD" w14:textId="3907AF51" w:rsidR="00E3732D" w:rsidRPr="00B5727C" w:rsidRDefault="0095300C" w:rsidP="0095300C">
            <w:pPr>
              <w:rPr>
                <w:rFonts w:ascii="Times New Roman" w:hAnsi="Times New Roman" w:cs="Times New Roman"/>
                <w:color w:val="000000"/>
              </w:rPr>
            </w:pPr>
            <w:r>
              <w:rPr>
                <w:rFonts w:ascii="Times New Roman" w:hAnsi="Times New Roman" w:cs="Times New Roman"/>
                <w:color w:val="000000"/>
              </w:rPr>
              <w:t>Clarify</w:t>
            </w:r>
            <w:r w:rsidR="008B6B51">
              <w:rPr>
                <w:rFonts w:ascii="Times New Roman" w:hAnsi="Times New Roman" w:cs="Times New Roman"/>
                <w:color w:val="000000"/>
              </w:rPr>
              <w:t xml:space="preserve"> that </w:t>
            </w:r>
            <w:r>
              <w:rPr>
                <w:rFonts w:ascii="Times New Roman" w:hAnsi="Times New Roman" w:cs="Times New Roman"/>
                <w:color w:val="000000"/>
              </w:rPr>
              <w:t xml:space="preserve">carrying charges are comprised of </w:t>
            </w:r>
            <w:r w:rsidR="008B6B51">
              <w:rPr>
                <w:rFonts w:ascii="Times New Roman" w:hAnsi="Times New Roman" w:cs="Times New Roman"/>
                <w:color w:val="000000"/>
              </w:rPr>
              <w:t>the listed items consistent with the FCC’s long-standing practice.</w:t>
            </w:r>
          </w:p>
        </w:tc>
      </w:tr>
      <w:tr w:rsidR="00E3732D" w:rsidRPr="00B5727C" w14:paraId="6B8770AA" w14:textId="77777777" w:rsidTr="00E3732D">
        <w:tc>
          <w:tcPr>
            <w:tcW w:w="1075" w:type="dxa"/>
          </w:tcPr>
          <w:p w14:paraId="17838E70" w14:textId="079F1444" w:rsidR="00E3732D" w:rsidRDefault="00E3732D" w:rsidP="00931CB4">
            <w:pPr>
              <w:rPr>
                <w:rFonts w:ascii="Times New Roman" w:hAnsi="Times New Roman" w:cs="Times New Roman"/>
              </w:rPr>
            </w:pPr>
            <w:r>
              <w:rPr>
                <w:rFonts w:ascii="Times New Roman" w:hAnsi="Times New Roman" w:cs="Times New Roman"/>
              </w:rPr>
              <w:t>020(15)</w:t>
            </w:r>
          </w:p>
        </w:tc>
        <w:tc>
          <w:tcPr>
            <w:tcW w:w="1530" w:type="dxa"/>
          </w:tcPr>
          <w:p w14:paraId="2CFC1829" w14:textId="7DE22893" w:rsidR="00E3732D" w:rsidRDefault="00E3732D" w:rsidP="00264137">
            <w:pPr>
              <w:rPr>
                <w:rFonts w:ascii="Times New Roman" w:hAnsi="Times New Roman" w:cs="Times New Roman"/>
                <w:color w:val="000000"/>
              </w:rPr>
            </w:pPr>
            <w:r>
              <w:rPr>
                <w:rFonts w:ascii="Times New Roman" w:hAnsi="Times New Roman" w:cs="Times New Roman"/>
                <w:color w:val="000000"/>
              </w:rPr>
              <w:t xml:space="preserve">Definitions – Owner </w:t>
            </w:r>
          </w:p>
        </w:tc>
        <w:tc>
          <w:tcPr>
            <w:tcW w:w="1890" w:type="dxa"/>
          </w:tcPr>
          <w:p w14:paraId="5E379C95" w14:textId="43C2B793" w:rsidR="00E3732D" w:rsidRDefault="00E3732D" w:rsidP="006A6B04">
            <w:pPr>
              <w:rPr>
                <w:rFonts w:ascii="Times New Roman" w:hAnsi="Times New Roman" w:cs="Times New Roman"/>
              </w:rPr>
            </w:pPr>
          </w:p>
        </w:tc>
        <w:tc>
          <w:tcPr>
            <w:tcW w:w="1620" w:type="dxa"/>
          </w:tcPr>
          <w:p w14:paraId="167EE91B" w14:textId="77777777" w:rsidR="00E3732D" w:rsidRPr="00B5727C" w:rsidRDefault="00E3732D" w:rsidP="00931CB4">
            <w:pPr>
              <w:rPr>
                <w:rFonts w:ascii="Times New Roman" w:hAnsi="Times New Roman" w:cs="Times New Roman"/>
                <w:color w:val="000000"/>
              </w:rPr>
            </w:pPr>
          </w:p>
        </w:tc>
        <w:tc>
          <w:tcPr>
            <w:tcW w:w="1890" w:type="dxa"/>
          </w:tcPr>
          <w:p w14:paraId="1DC176A5" w14:textId="77777777" w:rsidR="00E3732D" w:rsidRPr="00B5727C" w:rsidRDefault="00E3732D" w:rsidP="00931CB4">
            <w:pPr>
              <w:rPr>
                <w:rFonts w:ascii="Times New Roman" w:hAnsi="Times New Roman" w:cs="Times New Roman"/>
                <w:color w:val="000000"/>
              </w:rPr>
            </w:pPr>
          </w:p>
        </w:tc>
        <w:tc>
          <w:tcPr>
            <w:tcW w:w="2250" w:type="dxa"/>
          </w:tcPr>
          <w:p w14:paraId="21F15682" w14:textId="77777777" w:rsidR="00E3732D" w:rsidRPr="00B5727C" w:rsidRDefault="00E3732D" w:rsidP="00931CB4">
            <w:pPr>
              <w:rPr>
                <w:rFonts w:ascii="Times New Roman" w:hAnsi="Times New Roman" w:cs="Times New Roman"/>
                <w:color w:val="000000"/>
              </w:rPr>
            </w:pPr>
          </w:p>
        </w:tc>
        <w:tc>
          <w:tcPr>
            <w:tcW w:w="1710" w:type="dxa"/>
          </w:tcPr>
          <w:p w14:paraId="42908667" w14:textId="4B815BED" w:rsidR="00E3732D" w:rsidRPr="00B5727C" w:rsidRDefault="00E3732D" w:rsidP="009E7385">
            <w:pPr>
              <w:rPr>
                <w:rFonts w:ascii="Times New Roman" w:hAnsi="Times New Roman" w:cs="Times New Roman"/>
              </w:rPr>
            </w:pPr>
            <w:r>
              <w:rPr>
                <w:rFonts w:ascii="Times New Roman" w:hAnsi="Times New Roman" w:cs="Times New Roman"/>
              </w:rPr>
              <w:t xml:space="preserve">AT&amp;T and </w:t>
            </w:r>
            <w:proofErr w:type="spellStart"/>
            <w:r>
              <w:rPr>
                <w:rFonts w:ascii="Times New Roman" w:hAnsi="Times New Roman" w:cs="Times New Roman"/>
              </w:rPr>
              <w:t>PCIA</w:t>
            </w:r>
            <w:proofErr w:type="spellEnd"/>
            <w:r>
              <w:rPr>
                <w:rFonts w:ascii="Times New Roman" w:hAnsi="Times New Roman" w:cs="Times New Roman"/>
              </w:rPr>
              <w:t xml:space="preserve">: </w:t>
            </w:r>
            <w:r w:rsidR="009E7385">
              <w:rPr>
                <w:rFonts w:ascii="Times New Roman" w:hAnsi="Times New Roman" w:cs="Times New Roman"/>
              </w:rPr>
              <w:t>reinsert express</w:t>
            </w:r>
            <w:r>
              <w:rPr>
                <w:rFonts w:ascii="Times New Roman" w:hAnsi="Times New Roman" w:cs="Times New Roman"/>
              </w:rPr>
              <w:t xml:space="preserve"> exempt</w:t>
            </w:r>
            <w:r w:rsidR="009E7385">
              <w:rPr>
                <w:rFonts w:ascii="Times New Roman" w:hAnsi="Times New Roman" w:cs="Times New Roman"/>
              </w:rPr>
              <w:t>ion of</w:t>
            </w:r>
            <w:r>
              <w:rPr>
                <w:rFonts w:ascii="Times New Roman" w:hAnsi="Times New Roman" w:cs="Times New Roman"/>
              </w:rPr>
              <w:t xml:space="preserve"> commercial mobile radio service companies because the Commission lacks jurisdiction to regulate attachments to their facilities</w:t>
            </w:r>
          </w:p>
        </w:tc>
        <w:tc>
          <w:tcPr>
            <w:tcW w:w="5490" w:type="dxa"/>
          </w:tcPr>
          <w:p w14:paraId="181EAAB4" w14:textId="487A0D9B" w:rsidR="00E3732D" w:rsidRPr="00B5727C" w:rsidRDefault="008B6B51" w:rsidP="008B6B51">
            <w:pPr>
              <w:rPr>
                <w:rFonts w:ascii="Times New Roman" w:hAnsi="Times New Roman" w:cs="Times New Roman"/>
                <w:color w:val="000000"/>
              </w:rPr>
            </w:pPr>
            <w:r>
              <w:rPr>
                <w:rFonts w:ascii="Times New Roman" w:hAnsi="Times New Roman" w:cs="Times New Roman"/>
                <w:color w:val="000000"/>
              </w:rPr>
              <w:t xml:space="preserve">Do not make the suggested change. The definition mirrors the language in the statute. If an entity requests access to a </w:t>
            </w:r>
            <w:proofErr w:type="spellStart"/>
            <w:r>
              <w:rPr>
                <w:rFonts w:ascii="Times New Roman" w:hAnsi="Times New Roman" w:cs="Times New Roman"/>
                <w:color w:val="000000"/>
              </w:rPr>
              <w:t>CMRS</w:t>
            </w:r>
            <w:proofErr w:type="spellEnd"/>
            <w:r>
              <w:rPr>
                <w:rFonts w:ascii="Times New Roman" w:hAnsi="Times New Roman" w:cs="Times New Roman"/>
                <w:color w:val="000000"/>
              </w:rPr>
              <w:t xml:space="preserve"> provider’s facilities, the Commission can address the jurisdictional question at that time.</w:t>
            </w:r>
          </w:p>
        </w:tc>
      </w:tr>
    </w:tbl>
    <w:p w14:paraId="2808EFA5" w14:textId="2F036076" w:rsidR="00814C7C" w:rsidRDefault="00814C7C"/>
    <w:p w14:paraId="2F984A70" w14:textId="77777777" w:rsidR="00814C7C" w:rsidRDefault="00814C7C">
      <w:r>
        <w:br w:type="page"/>
      </w:r>
    </w:p>
    <w:p w14:paraId="469075C8" w14:textId="77777777" w:rsidR="00814C7C" w:rsidRDefault="00814C7C"/>
    <w:tbl>
      <w:tblPr>
        <w:tblStyle w:val="TableGrid"/>
        <w:tblW w:w="17365" w:type="dxa"/>
        <w:tblLook w:val="04A0" w:firstRow="1" w:lastRow="0" w:firstColumn="1" w:lastColumn="0" w:noHBand="0" w:noVBand="1"/>
      </w:tblPr>
      <w:tblGrid>
        <w:gridCol w:w="1075"/>
        <w:gridCol w:w="1530"/>
        <w:gridCol w:w="1890"/>
        <w:gridCol w:w="1605"/>
        <w:gridCol w:w="15"/>
        <w:gridCol w:w="1857"/>
        <w:gridCol w:w="32"/>
        <w:gridCol w:w="2253"/>
        <w:gridCol w:w="1710"/>
        <w:gridCol w:w="5398"/>
      </w:tblGrid>
      <w:tr w:rsidR="00E3732D" w:rsidRPr="00B5727C" w14:paraId="42A43525" w14:textId="77777777" w:rsidTr="00E3732D">
        <w:tc>
          <w:tcPr>
            <w:tcW w:w="1075" w:type="dxa"/>
            <w:shd w:val="clear" w:color="auto" w:fill="D9D9D9" w:themeFill="background1" w:themeFillShade="D9"/>
          </w:tcPr>
          <w:p w14:paraId="1DF65D9D" w14:textId="32683E20" w:rsidR="00E3732D" w:rsidRDefault="00E3732D" w:rsidP="00814C7C">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0F7224DB" w14:textId="6424246B" w:rsidR="00E3732D" w:rsidRDefault="00E3732D" w:rsidP="00814C7C">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28FCB0B7" w14:textId="5996120F" w:rsidR="00E3732D" w:rsidRDefault="00E3732D" w:rsidP="00814C7C">
            <w:pPr>
              <w:rPr>
                <w:rFonts w:ascii="Times New Roman" w:hAnsi="Times New Roman" w:cs="Times New Roman"/>
              </w:rPr>
            </w:pPr>
            <w:r>
              <w:rPr>
                <w:rFonts w:ascii="Times New Roman" w:hAnsi="Times New Roman" w:cs="Times New Roman"/>
                <w:b/>
              </w:rPr>
              <w:t>PSE</w:t>
            </w:r>
          </w:p>
        </w:tc>
        <w:tc>
          <w:tcPr>
            <w:tcW w:w="1620" w:type="dxa"/>
            <w:gridSpan w:val="2"/>
            <w:shd w:val="clear" w:color="auto" w:fill="D9D9D9" w:themeFill="background1" w:themeFillShade="D9"/>
          </w:tcPr>
          <w:p w14:paraId="01141714" w14:textId="6D3FA695" w:rsidR="00E3732D" w:rsidRDefault="00E3732D" w:rsidP="00814C7C">
            <w:pPr>
              <w:rPr>
                <w:rFonts w:ascii="Times New Roman" w:hAnsi="Times New Roman" w:cs="Times New Roman"/>
                <w:color w:val="000000"/>
              </w:rPr>
            </w:pPr>
            <w:proofErr w:type="spellStart"/>
            <w:r>
              <w:rPr>
                <w:rFonts w:ascii="Times New Roman" w:hAnsi="Times New Roman" w:cs="Times New Roman"/>
                <w:b/>
              </w:rPr>
              <w:t>Avista</w:t>
            </w:r>
            <w:proofErr w:type="spellEnd"/>
          </w:p>
        </w:tc>
        <w:tc>
          <w:tcPr>
            <w:tcW w:w="1889" w:type="dxa"/>
            <w:gridSpan w:val="2"/>
            <w:shd w:val="clear" w:color="auto" w:fill="D9D9D9" w:themeFill="background1" w:themeFillShade="D9"/>
          </w:tcPr>
          <w:p w14:paraId="7AC60F63" w14:textId="3DE699DD" w:rsidR="00E3732D" w:rsidRPr="00B5727C" w:rsidRDefault="00E3732D" w:rsidP="00814C7C">
            <w:pPr>
              <w:rPr>
                <w:rFonts w:ascii="Times New Roman" w:hAnsi="Times New Roman" w:cs="Times New Roman"/>
                <w:color w:val="000000"/>
              </w:rPr>
            </w:pPr>
            <w:r>
              <w:rPr>
                <w:rFonts w:ascii="Times New Roman" w:hAnsi="Times New Roman" w:cs="Times New Roman"/>
                <w:b/>
              </w:rPr>
              <w:t>Pacific Power</w:t>
            </w:r>
          </w:p>
        </w:tc>
        <w:tc>
          <w:tcPr>
            <w:tcW w:w="2253" w:type="dxa"/>
            <w:shd w:val="clear" w:color="auto" w:fill="D9D9D9" w:themeFill="background1" w:themeFillShade="D9"/>
          </w:tcPr>
          <w:p w14:paraId="1B4940DB" w14:textId="52A99750" w:rsidR="00E3732D" w:rsidRPr="005E0193" w:rsidRDefault="00E3732D" w:rsidP="00814C7C">
            <w:pPr>
              <w:rPr>
                <w:rFonts w:ascii="Times New Roman" w:hAnsi="Times New Roman" w:cs="Times New Roman"/>
                <w:color w:val="000000"/>
                <w:sz w:val="21"/>
                <w:szCs w:val="21"/>
              </w:rPr>
            </w:pPr>
            <w:r>
              <w:rPr>
                <w:rFonts w:ascii="Times New Roman" w:hAnsi="Times New Roman" w:cs="Times New Roman"/>
                <w:b/>
              </w:rPr>
              <w:t>Cable/</w:t>
            </w:r>
            <w:proofErr w:type="spellStart"/>
            <w:r>
              <w:rPr>
                <w:rFonts w:ascii="Times New Roman" w:hAnsi="Times New Roman" w:cs="Times New Roman"/>
                <w:b/>
              </w:rPr>
              <w:t>ILECs</w:t>
            </w:r>
            <w:proofErr w:type="spellEnd"/>
          </w:p>
        </w:tc>
        <w:tc>
          <w:tcPr>
            <w:tcW w:w="1710" w:type="dxa"/>
            <w:shd w:val="clear" w:color="auto" w:fill="D9D9D9" w:themeFill="background1" w:themeFillShade="D9"/>
          </w:tcPr>
          <w:p w14:paraId="6449C22F" w14:textId="4F1EC4B5" w:rsidR="00E3732D" w:rsidRDefault="00E3732D" w:rsidP="00814C7C">
            <w:pPr>
              <w:rPr>
                <w:rFonts w:ascii="Times New Roman" w:hAnsi="Times New Roman" w:cs="Times New Roman"/>
              </w:rPr>
            </w:pPr>
            <w:r>
              <w:rPr>
                <w:rFonts w:ascii="Times New Roman" w:hAnsi="Times New Roman" w:cs="Times New Roman"/>
                <w:b/>
              </w:rPr>
              <w:t>Wireless</w:t>
            </w:r>
          </w:p>
        </w:tc>
        <w:tc>
          <w:tcPr>
            <w:tcW w:w="5398" w:type="dxa"/>
            <w:shd w:val="clear" w:color="auto" w:fill="D9D9D9" w:themeFill="background1" w:themeFillShade="D9"/>
          </w:tcPr>
          <w:p w14:paraId="5A7B2E18" w14:textId="7BA898CC" w:rsidR="00E3732D" w:rsidRDefault="00E3732D" w:rsidP="00814C7C">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E3732D" w:rsidRPr="00B5727C" w14:paraId="712624E6" w14:textId="77777777" w:rsidTr="00E3732D">
        <w:tc>
          <w:tcPr>
            <w:tcW w:w="1075" w:type="dxa"/>
          </w:tcPr>
          <w:p w14:paraId="146E0FE9" w14:textId="07EC892F" w:rsidR="00E3732D" w:rsidRPr="00B5727C" w:rsidRDefault="00E3732D" w:rsidP="00931CB4">
            <w:pPr>
              <w:rPr>
                <w:rFonts w:ascii="Times New Roman" w:hAnsi="Times New Roman" w:cs="Times New Roman"/>
              </w:rPr>
            </w:pPr>
            <w:r>
              <w:rPr>
                <w:rFonts w:ascii="Times New Roman" w:hAnsi="Times New Roman" w:cs="Times New Roman"/>
              </w:rPr>
              <w:t>030(1)</w:t>
            </w:r>
          </w:p>
        </w:tc>
        <w:tc>
          <w:tcPr>
            <w:tcW w:w="1530" w:type="dxa"/>
          </w:tcPr>
          <w:p w14:paraId="5D65146A" w14:textId="4D1EFF8C" w:rsidR="00E3732D" w:rsidRPr="00B5727C" w:rsidRDefault="00E3732D" w:rsidP="00931CB4">
            <w:pPr>
              <w:rPr>
                <w:rFonts w:ascii="Times New Roman" w:hAnsi="Times New Roman" w:cs="Times New Roman"/>
                <w:color w:val="000000"/>
              </w:rPr>
            </w:pPr>
            <w:r>
              <w:rPr>
                <w:rFonts w:ascii="Times New Roman" w:hAnsi="Times New Roman" w:cs="Times New Roman"/>
                <w:color w:val="000000"/>
              </w:rPr>
              <w:t>Duty to provide access; make-ready work; timelines</w:t>
            </w:r>
          </w:p>
          <w:p w14:paraId="09CD1E3F" w14:textId="77777777" w:rsidR="00E3732D" w:rsidRPr="00B5727C" w:rsidRDefault="00E3732D" w:rsidP="00931CB4">
            <w:pPr>
              <w:rPr>
                <w:rFonts w:ascii="Times New Roman" w:hAnsi="Times New Roman" w:cs="Times New Roman"/>
              </w:rPr>
            </w:pPr>
          </w:p>
        </w:tc>
        <w:tc>
          <w:tcPr>
            <w:tcW w:w="1890" w:type="dxa"/>
          </w:tcPr>
          <w:p w14:paraId="1D0E1468" w14:textId="4CEB5A34" w:rsidR="00E3732D" w:rsidRPr="00B5727C" w:rsidRDefault="00E3732D" w:rsidP="0040222E">
            <w:pPr>
              <w:rPr>
                <w:rFonts w:ascii="Times New Roman" w:hAnsi="Times New Roman" w:cs="Times New Roman"/>
              </w:rPr>
            </w:pPr>
            <w:r>
              <w:rPr>
                <w:rFonts w:ascii="Times New Roman" w:hAnsi="Times New Roman" w:cs="Times New Roman"/>
              </w:rPr>
              <w:t xml:space="preserve">Remove pole replacement requirement as beyond FCC requirements, unsupported by evidence, and improperly prioritizing needs of </w:t>
            </w:r>
            <w:proofErr w:type="spellStart"/>
            <w:r>
              <w:rPr>
                <w:rFonts w:ascii="Times New Roman" w:hAnsi="Times New Roman" w:cs="Times New Roman"/>
              </w:rPr>
              <w:t>attachers</w:t>
            </w:r>
            <w:proofErr w:type="spellEnd"/>
            <w:r>
              <w:rPr>
                <w:rFonts w:ascii="Times New Roman" w:hAnsi="Times New Roman" w:cs="Times New Roman"/>
              </w:rPr>
              <w:t xml:space="preserve"> over other PSE customers; timelines to process applications and conduce make-ready work are arbitrary, do not allow sufficient time for owner evaluation, and will result in increased number of complaints to the Commission</w:t>
            </w:r>
          </w:p>
        </w:tc>
        <w:tc>
          <w:tcPr>
            <w:tcW w:w="1605" w:type="dxa"/>
          </w:tcPr>
          <w:p w14:paraId="40319221" w14:textId="367DE059" w:rsidR="00E3732D" w:rsidRPr="00B5727C" w:rsidRDefault="00E3732D" w:rsidP="00F8712A">
            <w:pPr>
              <w:rPr>
                <w:rFonts w:ascii="Times New Roman" w:hAnsi="Times New Roman" w:cs="Times New Roman"/>
              </w:rPr>
            </w:pPr>
            <w:r>
              <w:rPr>
                <w:rFonts w:ascii="Times New Roman" w:hAnsi="Times New Roman" w:cs="Times New Roman"/>
              </w:rPr>
              <w:t>Delete requirement to replace existing poles with taller poles as inconsistent with FCC and other state rules and diminishing ability of electric utilities to provide safe and reliable electric service</w:t>
            </w:r>
          </w:p>
        </w:tc>
        <w:tc>
          <w:tcPr>
            <w:tcW w:w="1872" w:type="dxa"/>
            <w:gridSpan w:val="2"/>
          </w:tcPr>
          <w:p w14:paraId="48BFC63E" w14:textId="48D8C030" w:rsidR="00E3732D" w:rsidRPr="00B5727C" w:rsidRDefault="00E3732D" w:rsidP="00AF2FDB">
            <w:pPr>
              <w:rPr>
                <w:rFonts w:ascii="Times New Roman" w:hAnsi="Times New Roman" w:cs="Times New Roman"/>
                <w:color w:val="000000"/>
              </w:rPr>
            </w:pPr>
            <w:r>
              <w:rPr>
                <w:rFonts w:ascii="Times New Roman" w:hAnsi="Times New Roman" w:cs="Times New Roman"/>
                <w:color w:val="000000"/>
              </w:rPr>
              <w:t xml:space="preserve">Joins </w:t>
            </w:r>
            <w:proofErr w:type="spellStart"/>
            <w:r>
              <w:rPr>
                <w:rFonts w:ascii="Times New Roman" w:hAnsi="Times New Roman" w:cs="Times New Roman"/>
                <w:color w:val="000000"/>
              </w:rPr>
              <w:t>Avista</w:t>
            </w:r>
            <w:proofErr w:type="spellEnd"/>
            <w:r>
              <w:rPr>
                <w:rFonts w:ascii="Times New Roman" w:hAnsi="Times New Roman" w:cs="Times New Roman"/>
                <w:color w:val="000000"/>
              </w:rPr>
              <w:t xml:space="preserve"> and PSE in opposing mandatory capacity expansion; substitute “and” for “or” in last sentence to clarify that a requester must pay all costs incurred to increase pole capacity for attachment</w:t>
            </w:r>
          </w:p>
        </w:tc>
        <w:tc>
          <w:tcPr>
            <w:tcW w:w="2285" w:type="dxa"/>
            <w:gridSpan w:val="2"/>
          </w:tcPr>
          <w:p w14:paraId="00251297" w14:textId="7067550F" w:rsidR="00E3732D" w:rsidRPr="00B5727C" w:rsidRDefault="00E3732D" w:rsidP="00931CB4">
            <w:pPr>
              <w:rPr>
                <w:rFonts w:ascii="Times New Roman" w:hAnsi="Times New Roman" w:cs="Times New Roman"/>
                <w:color w:val="000000"/>
              </w:rPr>
            </w:pPr>
          </w:p>
        </w:tc>
        <w:tc>
          <w:tcPr>
            <w:tcW w:w="1710" w:type="dxa"/>
          </w:tcPr>
          <w:p w14:paraId="2946EB12" w14:textId="3CD5C806" w:rsidR="00E3732D" w:rsidRPr="00B5727C" w:rsidRDefault="00E3732D" w:rsidP="00573EE0">
            <w:pPr>
              <w:rPr>
                <w:rFonts w:ascii="Times New Roman" w:hAnsi="Times New Roman" w:cs="Times New Roman"/>
              </w:rPr>
            </w:pPr>
          </w:p>
        </w:tc>
        <w:tc>
          <w:tcPr>
            <w:tcW w:w="5398" w:type="dxa"/>
          </w:tcPr>
          <w:p w14:paraId="55CB3E69" w14:textId="549D52A5" w:rsidR="00E3732D" w:rsidRPr="00B5727C" w:rsidRDefault="0095300C" w:rsidP="0095300C">
            <w:pPr>
              <w:rPr>
                <w:rFonts w:ascii="Times New Roman" w:hAnsi="Times New Roman" w:cs="Times New Roman"/>
                <w:color w:val="000000"/>
              </w:rPr>
            </w:pPr>
            <w:r>
              <w:rPr>
                <w:rFonts w:ascii="Times New Roman" w:hAnsi="Times New Roman" w:cs="Times New Roman"/>
                <w:color w:val="000000"/>
              </w:rPr>
              <w:t xml:space="preserve">Adopt Pacific Power proposal to use “and” rather than “or” but clarify in the adoption order that the owner need not incur both costs to recover either of them. </w:t>
            </w:r>
            <w:r w:rsidR="00E82D98">
              <w:rPr>
                <w:rFonts w:ascii="Times New Roman" w:hAnsi="Times New Roman" w:cs="Times New Roman"/>
                <w:color w:val="000000"/>
              </w:rPr>
              <w:t xml:space="preserve">Do not make </w:t>
            </w:r>
            <w:r>
              <w:rPr>
                <w:rFonts w:ascii="Times New Roman" w:hAnsi="Times New Roman" w:cs="Times New Roman"/>
                <w:color w:val="000000"/>
              </w:rPr>
              <w:t xml:space="preserve">other </w:t>
            </w:r>
            <w:r w:rsidR="00E82D98">
              <w:rPr>
                <w:rFonts w:ascii="Times New Roman" w:hAnsi="Times New Roman" w:cs="Times New Roman"/>
                <w:color w:val="000000"/>
              </w:rPr>
              <w:t xml:space="preserve">proposed changes. The specific timelines are the same as the timelines in the FCC rules, which PSE proposes the Commission adopt. The pole replacement requirement reflects current </w:t>
            </w:r>
            <w:r w:rsidR="00E84B1E">
              <w:rPr>
                <w:rFonts w:ascii="Times New Roman" w:hAnsi="Times New Roman" w:cs="Times New Roman"/>
                <w:color w:val="000000"/>
              </w:rPr>
              <w:t xml:space="preserve">industry </w:t>
            </w:r>
            <w:r w:rsidR="00E82D98">
              <w:rPr>
                <w:rFonts w:ascii="Times New Roman" w:hAnsi="Times New Roman" w:cs="Times New Roman"/>
                <w:color w:val="000000"/>
              </w:rPr>
              <w:t xml:space="preserve">practice, and the rules provide the pole owners with longer times </w:t>
            </w:r>
            <w:r w:rsidR="00E84B1E">
              <w:rPr>
                <w:rFonts w:ascii="Times New Roman" w:hAnsi="Times New Roman" w:cs="Times New Roman"/>
                <w:color w:val="000000"/>
              </w:rPr>
              <w:t>to complete pole</w:t>
            </w:r>
            <w:r w:rsidR="00E82D98">
              <w:rPr>
                <w:rFonts w:ascii="Times New Roman" w:hAnsi="Times New Roman" w:cs="Times New Roman"/>
                <w:color w:val="000000"/>
              </w:rPr>
              <w:t xml:space="preserve"> replacement</w:t>
            </w:r>
            <w:r w:rsidR="00E84B1E">
              <w:rPr>
                <w:rFonts w:ascii="Times New Roman" w:hAnsi="Times New Roman" w:cs="Times New Roman"/>
                <w:color w:val="000000"/>
              </w:rPr>
              <w:t>s</w:t>
            </w:r>
            <w:r w:rsidR="00E82D98">
              <w:rPr>
                <w:rFonts w:ascii="Times New Roman" w:hAnsi="Times New Roman" w:cs="Times New Roman"/>
                <w:color w:val="000000"/>
              </w:rPr>
              <w:t xml:space="preserve"> to accommodate issues beyond the owner’s control. The electric utilities have provided no evidence to demonstrate that this practice will have any detrimental impact on their ability to provide safe and reliable electric service.</w:t>
            </w:r>
            <w:r w:rsidR="00E84B1E">
              <w:rPr>
                <w:rFonts w:ascii="Times New Roman" w:hAnsi="Times New Roman" w:cs="Times New Roman"/>
                <w:color w:val="000000"/>
              </w:rPr>
              <w:t xml:space="preserve"> </w:t>
            </w:r>
            <w:r>
              <w:rPr>
                <w:rFonts w:ascii="Times New Roman" w:hAnsi="Times New Roman" w:cs="Times New Roman"/>
                <w:color w:val="000000"/>
              </w:rPr>
              <w:t xml:space="preserve">Owners can include language in their attachment agreements to address these concerns </w:t>
            </w:r>
            <w:r w:rsidR="000D5599">
              <w:rPr>
                <w:rFonts w:ascii="Times New Roman" w:hAnsi="Times New Roman" w:cs="Times New Roman"/>
                <w:color w:val="000000"/>
              </w:rPr>
              <w:t xml:space="preserve">if necessary, </w:t>
            </w:r>
            <w:r>
              <w:rPr>
                <w:rFonts w:ascii="Times New Roman" w:hAnsi="Times New Roman" w:cs="Times New Roman"/>
                <w:color w:val="000000"/>
              </w:rPr>
              <w:t xml:space="preserve">or </w:t>
            </w:r>
            <w:r w:rsidR="000D5599">
              <w:rPr>
                <w:rFonts w:ascii="Times New Roman" w:hAnsi="Times New Roman" w:cs="Times New Roman"/>
                <w:color w:val="000000"/>
              </w:rPr>
              <w:t xml:space="preserve">they may </w:t>
            </w:r>
            <w:r>
              <w:rPr>
                <w:rFonts w:ascii="Times New Roman" w:hAnsi="Times New Roman" w:cs="Times New Roman"/>
                <w:color w:val="000000"/>
              </w:rPr>
              <w:t>seek a waiver of this requirement if a legitimate and demonstrable issue arises</w:t>
            </w:r>
            <w:r w:rsidR="00E84B1E">
              <w:rPr>
                <w:rFonts w:ascii="Times New Roman" w:hAnsi="Times New Roman" w:cs="Times New Roman"/>
                <w:color w:val="000000"/>
              </w:rPr>
              <w:t xml:space="preserve">. </w:t>
            </w:r>
            <w:r w:rsidR="00E82D98">
              <w:rPr>
                <w:rFonts w:ascii="Times New Roman" w:hAnsi="Times New Roman" w:cs="Times New Roman"/>
                <w:color w:val="000000"/>
              </w:rPr>
              <w:t xml:space="preserve"> </w:t>
            </w:r>
          </w:p>
        </w:tc>
      </w:tr>
    </w:tbl>
    <w:p w14:paraId="0DFAD002" w14:textId="72FFE876" w:rsidR="00814C7C" w:rsidRDefault="00814C7C"/>
    <w:p w14:paraId="5E85EA41" w14:textId="77777777" w:rsidR="00814C7C" w:rsidRDefault="00814C7C">
      <w:r>
        <w:br w:type="page"/>
      </w:r>
    </w:p>
    <w:tbl>
      <w:tblPr>
        <w:tblStyle w:val="TableGrid"/>
        <w:tblW w:w="17365" w:type="dxa"/>
        <w:tblLook w:val="04A0" w:firstRow="1" w:lastRow="0" w:firstColumn="1" w:lastColumn="0" w:noHBand="0" w:noVBand="1"/>
      </w:tblPr>
      <w:tblGrid>
        <w:gridCol w:w="1074"/>
        <w:gridCol w:w="1530"/>
        <w:gridCol w:w="1889"/>
        <w:gridCol w:w="1605"/>
        <w:gridCol w:w="1871"/>
        <w:gridCol w:w="2186"/>
        <w:gridCol w:w="1684"/>
        <w:gridCol w:w="5526"/>
      </w:tblGrid>
      <w:tr w:rsidR="00E3732D" w:rsidRPr="00B5727C" w14:paraId="03E4EE54" w14:textId="77777777" w:rsidTr="00E3732D">
        <w:tc>
          <w:tcPr>
            <w:tcW w:w="1074" w:type="dxa"/>
            <w:shd w:val="clear" w:color="auto" w:fill="D9D9D9" w:themeFill="background1" w:themeFillShade="D9"/>
          </w:tcPr>
          <w:p w14:paraId="41558A68" w14:textId="77777777" w:rsidR="00E3732D" w:rsidRPr="00B5727C" w:rsidRDefault="00E3732D" w:rsidP="00931CB4">
            <w:pPr>
              <w:rPr>
                <w:rFonts w:ascii="Times New Roman" w:hAnsi="Times New Roman" w:cs="Times New Roman"/>
                <w:b/>
              </w:rPr>
            </w:pPr>
            <w:r>
              <w:rPr>
                <w:rFonts w:ascii="Times New Roman" w:hAnsi="Times New Roman" w:cs="Times New Roman"/>
                <w:b/>
              </w:rPr>
              <w:lastRenderedPageBreak/>
              <w:t>480-54-</w:t>
            </w:r>
          </w:p>
        </w:tc>
        <w:tc>
          <w:tcPr>
            <w:tcW w:w="1530" w:type="dxa"/>
            <w:shd w:val="clear" w:color="auto" w:fill="D9D9D9" w:themeFill="background1" w:themeFillShade="D9"/>
          </w:tcPr>
          <w:p w14:paraId="09AB8C01" w14:textId="77777777" w:rsidR="00E3732D" w:rsidRPr="00B5727C" w:rsidRDefault="00E3732D" w:rsidP="00931CB4">
            <w:pPr>
              <w:rPr>
                <w:rFonts w:ascii="Times New Roman" w:hAnsi="Times New Roman" w:cs="Times New Roman"/>
                <w:b/>
              </w:rPr>
            </w:pPr>
            <w:r w:rsidRPr="00B5727C">
              <w:rPr>
                <w:rFonts w:ascii="Times New Roman" w:hAnsi="Times New Roman" w:cs="Times New Roman"/>
                <w:b/>
              </w:rPr>
              <w:t>WAC Title</w:t>
            </w:r>
          </w:p>
        </w:tc>
        <w:tc>
          <w:tcPr>
            <w:tcW w:w="1889" w:type="dxa"/>
            <w:shd w:val="clear" w:color="auto" w:fill="D9D9D9" w:themeFill="background1" w:themeFillShade="D9"/>
          </w:tcPr>
          <w:p w14:paraId="1526BC23" w14:textId="77777777" w:rsidR="00E3732D" w:rsidRPr="00B5727C" w:rsidRDefault="00E3732D" w:rsidP="00931CB4">
            <w:pPr>
              <w:rPr>
                <w:rFonts w:ascii="Times New Roman" w:hAnsi="Times New Roman" w:cs="Times New Roman"/>
                <w:b/>
              </w:rPr>
            </w:pPr>
            <w:r>
              <w:rPr>
                <w:rFonts w:ascii="Times New Roman" w:hAnsi="Times New Roman" w:cs="Times New Roman"/>
                <w:b/>
              </w:rPr>
              <w:t>PSE</w:t>
            </w:r>
          </w:p>
        </w:tc>
        <w:tc>
          <w:tcPr>
            <w:tcW w:w="1605" w:type="dxa"/>
            <w:shd w:val="clear" w:color="auto" w:fill="D9D9D9" w:themeFill="background1" w:themeFillShade="D9"/>
          </w:tcPr>
          <w:p w14:paraId="0A0C3FEB" w14:textId="77777777" w:rsidR="00E3732D" w:rsidRPr="00B5727C" w:rsidRDefault="00E3732D" w:rsidP="00931CB4">
            <w:pPr>
              <w:rPr>
                <w:rFonts w:ascii="Times New Roman" w:hAnsi="Times New Roman" w:cs="Times New Roman"/>
                <w:b/>
              </w:rPr>
            </w:pPr>
            <w:proofErr w:type="spellStart"/>
            <w:r>
              <w:rPr>
                <w:rFonts w:ascii="Times New Roman" w:hAnsi="Times New Roman" w:cs="Times New Roman"/>
                <w:b/>
              </w:rPr>
              <w:t>Avista</w:t>
            </w:r>
            <w:proofErr w:type="spellEnd"/>
          </w:p>
        </w:tc>
        <w:tc>
          <w:tcPr>
            <w:tcW w:w="1871" w:type="dxa"/>
            <w:shd w:val="clear" w:color="auto" w:fill="D9D9D9" w:themeFill="background1" w:themeFillShade="D9"/>
          </w:tcPr>
          <w:p w14:paraId="12FCCC80" w14:textId="77777777" w:rsidR="00E3732D" w:rsidRPr="00B5727C" w:rsidRDefault="00E3732D" w:rsidP="00931CB4">
            <w:pPr>
              <w:rPr>
                <w:rFonts w:ascii="Times New Roman" w:hAnsi="Times New Roman" w:cs="Times New Roman"/>
                <w:b/>
              </w:rPr>
            </w:pPr>
            <w:r>
              <w:rPr>
                <w:rFonts w:ascii="Times New Roman" w:hAnsi="Times New Roman" w:cs="Times New Roman"/>
                <w:b/>
              </w:rPr>
              <w:t>Pacific Power</w:t>
            </w:r>
          </w:p>
        </w:tc>
        <w:tc>
          <w:tcPr>
            <w:tcW w:w="2186" w:type="dxa"/>
            <w:shd w:val="clear" w:color="auto" w:fill="D9D9D9" w:themeFill="background1" w:themeFillShade="D9"/>
          </w:tcPr>
          <w:p w14:paraId="073E11D6" w14:textId="77777777" w:rsidR="00E3732D" w:rsidRPr="00B5727C" w:rsidRDefault="00E3732D" w:rsidP="00931CB4">
            <w:pPr>
              <w:rPr>
                <w:rFonts w:ascii="Times New Roman" w:hAnsi="Times New Roman" w:cs="Times New Roman"/>
                <w:b/>
              </w:rPr>
            </w:pPr>
            <w:r>
              <w:rPr>
                <w:rFonts w:ascii="Times New Roman" w:hAnsi="Times New Roman" w:cs="Times New Roman"/>
                <w:b/>
              </w:rPr>
              <w:t>Cable/</w:t>
            </w:r>
            <w:proofErr w:type="spellStart"/>
            <w:r>
              <w:rPr>
                <w:rFonts w:ascii="Times New Roman" w:hAnsi="Times New Roman" w:cs="Times New Roman"/>
                <w:b/>
              </w:rPr>
              <w:t>ILECs</w:t>
            </w:r>
            <w:proofErr w:type="spellEnd"/>
          </w:p>
        </w:tc>
        <w:tc>
          <w:tcPr>
            <w:tcW w:w="1684" w:type="dxa"/>
            <w:shd w:val="clear" w:color="auto" w:fill="D9D9D9" w:themeFill="background1" w:themeFillShade="D9"/>
          </w:tcPr>
          <w:p w14:paraId="733EEF38" w14:textId="77777777" w:rsidR="00E3732D" w:rsidRPr="00B5727C" w:rsidRDefault="00E3732D" w:rsidP="00931CB4">
            <w:pPr>
              <w:rPr>
                <w:rFonts w:ascii="Times New Roman" w:hAnsi="Times New Roman" w:cs="Times New Roman"/>
                <w:b/>
              </w:rPr>
            </w:pPr>
            <w:r>
              <w:rPr>
                <w:rFonts w:ascii="Times New Roman" w:hAnsi="Times New Roman" w:cs="Times New Roman"/>
                <w:b/>
              </w:rPr>
              <w:t>Wireless</w:t>
            </w:r>
          </w:p>
        </w:tc>
        <w:tc>
          <w:tcPr>
            <w:tcW w:w="5526" w:type="dxa"/>
            <w:shd w:val="clear" w:color="auto" w:fill="D9D9D9" w:themeFill="background1" w:themeFillShade="D9"/>
          </w:tcPr>
          <w:p w14:paraId="5FDB875D" w14:textId="77777777" w:rsidR="00E3732D" w:rsidRPr="00B5727C" w:rsidRDefault="00E3732D" w:rsidP="00931CB4">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E3732D" w:rsidRPr="00B5727C" w14:paraId="30EA1882" w14:textId="77777777" w:rsidTr="00E3732D">
        <w:tc>
          <w:tcPr>
            <w:tcW w:w="1074" w:type="dxa"/>
          </w:tcPr>
          <w:p w14:paraId="0A80D705" w14:textId="33669368" w:rsidR="00E3732D" w:rsidRDefault="00E3732D" w:rsidP="00931CB4">
            <w:pPr>
              <w:rPr>
                <w:rFonts w:ascii="Times New Roman" w:hAnsi="Times New Roman" w:cs="Times New Roman"/>
              </w:rPr>
            </w:pPr>
            <w:r>
              <w:rPr>
                <w:rFonts w:ascii="Times New Roman" w:hAnsi="Times New Roman" w:cs="Times New Roman"/>
              </w:rPr>
              <w:t>030(11)</w:t>
            </w:r>
          </w:p>
        </w:tc>
        <w:tc>
          <w:tcPr>
            <w:tcW w:w="1530" w:type="dxa"/>
          </w:tcPr>
          <w:p w14:paraId="0BC59E1B" w14:textId="631137F4" w:rsidR="00E3732D" w:rsidRDefault="00E3732D" w:rsidP="00091E07">
            <w:pPr>
              <w:rPr>
                <w:rFonts w:ascii="Times New Roman" w:hAnsi="Times New Roman" w:cs="Times New Roman"/>
                <w:color w:val="000000"/>
              </w:rPr>
            </w:pPr>
            <w:proofErr w:type="spellStart"/>
            <w:r>
              <w:rPr>
                <w:rFonts w:ascii="Times New Roman" w:hAnsi="Times New Roman" w:cs="Times New Roman"/>
                <w:color w:val="000000"/>
              </w:rPr>
              <w:t>Overlashing</w:t>
            </w:r>
            <w:proofErr w:type="spellEnd"/>
          </w:p>
        </w:tc>
        <w:tc>
          <w:tcPr>
            <w:tcW w:w="1889" w:type="dxa"/>
          </w:tcPr>
          <w:p w14:paraId="374F29A2" w14:textId="36AE0465" w:rsidR="00E3732D" w:rsidRPr="00931CB4" w:rsidRDefault="00E3732D" w:rsidP="00091E07">
            <w:pPr>
              <w:rPr>
                <w:rFonts w:ascii="Times New Roman" w:hAnsi="Times New Roman" w:cs="Times New Roman"/>
                <w:sz w:val="21"/>
                <w:szCs w:val="21"/>
              </w:rPr>
            </w:pPr>
            <w:r>
              <w:rPr>
                <w:rFonts w:ascii="Times New Roman" w:hAnsi="Times New Roman" w:cs="Times New Roman"/>
                <w:sz w:val="21"/>
                <w:szCs w:val="21"/>
              </w:rPr>
              <w:t xml:space="preserve">Delete this subsection and rely on FCC rules as more appropriately balancing safety with needs of </w:t>
            </w:r>
            <w:proofErr w:type="spellStart"/>
            <w:r>
              <w:rPr>
                <w:rFonts w:ascii="Times New Roman" w:hAnsi="Times New Roman" w:cs="Times New Roman"/>
                <w:sz w:val="21"/>
                <w:szCs w:val="21"/>
              </w:rPr>
              <w:t>attachers</w:t>
            </w:r>
            <w:proofErr w:type="spellEnd"/>
            <w:r>
              <w:rPr>
                <w:rFonts w:ascii="Times New Roman" w:hAnsi="Times New Roman" w:cs="Times New Roman"/>
                <w:sz w:val="21"/>
                <w:szCs w:val="21"/>
              </w:rPr>
              <w:t>; alternatively, adopt revisions PSE previously proposed</w:t>
            </w:r>
          </w:p>
        </w:tc>
        <w:tc>
          <w:tcPr>
            <w:tcW w:w="1605" w:type="dxa"/>
          </w:tcPr>
          <w:p w14:paraId="72FCEBB0" w14:textId="6777D818" w:rsidR="00E3732D" w:rsidRPr="00931CB4" w:rsidRDefault="00E3732D" w:rsidP="006C732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Delete this subsection and require </w:t>
            </w:r>
            <w:proofErr w:type="spellStart"/>
            <w:r>
              <w:rPr>
                <w:rFonts w:ascii="Times New Roman" w:hAnsi="Times New Roman" w:cs="Times New Roman"/>
                <w:color w:val="000000"/>
                <w:sz w:val="21"/>
                <w:szCs w:val="21"/>
              </w:rPr>
              <w:t>overlashing</w:t>
            </w:r>
            <w:proofErr w:type="spellEnd"/>
            <w:r>
              <w:rPr>
                <w:rFonts w:ascii="Times New Roman" w:hAnsi="Times New Roman" w:cs="Times New Roman"/>
                <w:color w:val="000000"/>
                <w:sz w:val="21"/>
                <w:szCs w:val="21"/>
              </w:rPr>
              <w:t xml:space="preserve"> projects be submitted as applications to enable owners to evaluate safety and reliability impacts on poles</w:t>
            </w:r>
          </w:p>
        </w:tc>
        <w:tc>
          <w:tcPr>
            <w:tcW w:w="1871" w:type="dxa"/>
          </w:tcPr>
          <w:p w14:paraId="6BEAB5D9" w14:textId="65153BC3" w:rsidR="00E3732D" w:rsidRPr="00B5727C" w:rsidRDefault="00E3732D" w:rsidP="001F5109">
            <w:pPr>
              <w:rPr>
                <w:rFonts w:ascii="Times New Roman" w:hAnsi="Times New Roman" w:cs="Times New Roman"/>
                <w:color w:val="000000"/>
              </w:rPr>
            </w:pPr>
            <w:r>
              <w:rPr>
                <w:rFonts w:ascii="Times New Roman" w:hAnsi="Times New Roman" w:cs="Times New Roman"/>
                <w:color w:val="000000"/>
              </w:rPr>
              <w:t xml:space="preserve">Joins </w:t>
            </w:r>
            <w:proofErr w:type="spellStart"/>
            <w:r>
              <w:rPr>
                <w:rFonts w:ascii="Times New Roman" w:hAnsi="Times New Roman" w:cs="Times New Roman"/>
                <w:color w:val="000000"/>
              </w:rPr>
              <w:t>Avista</w:t>
            </w:r>
            <w:proofErr w:type="spellEnd"/>
            <w:r>
              <w:rPr>
                <w:rFonts w:ascii="Times New Roman" w:hAnsi="Times New Roman" w:cs="Times New Roman"/>
                <w:color w:val="000000"/>
              </w:rPr>
              <w:t xml:space="preserve"> and PSE in opposing allowing </w:t>
            </w:r>
            <w:proofErr w:type="spellStart"/>
            <w:r>
              <w:rPr>
                <w:rFonts w:ascii="Times New Roman" w:hAnsi="Times New Roman" w:cs="Times New Roman"/>
                <w:color w:val="000000"/>
              </w:rPr>
              <w:t>overlashing</w:t>
            </w:r>
            <w:proofErr w:type="spellEnd"/>
            <w:r>
              <w:rPr>
                <w:rFonts w:ascii="Times New Roman" w:hAnsi="Times New Roman" w:cs="Times New Roman"/>
                <w:color w:val="000000"/>
              </w:rPr>
              <w:t xml:space="preserve"> without an application</w:t>
            </w:r>
          </w:p>
        </w:tc>
        <w:tc>
          <w:tcPr>
            <w:tcW w:w="2186" w:type="dxa"/>
          </w:tcPr>
          <w:p w14:paraId="264F29DD" w14:textId="5851CEC2" w:rsidR="00E3732D" w:rsidRPr="00B5727C" w:rsidRDefault="00E3732D" w:rsidP="00B0232C">
            <w:pPr>
              <w:rPr>
                <w:rFonts w:ascii="Times New Roman" w:hAnsi="Times New Roman" w:cs="Times New Roman"/>
                <w:color w:val="000000"/>
              </w:rPr>
            </w:pPr>
          </w:p>
        </w:tc>
        <w:tc>
          <w:tcPr>
            <w:tcW w:w="1684" w:type="dxa"/>
          </w:tcPr>
          <w:p w14:paraId="4605C9A5" w14:textId="77777777" w:rsidR="00E3732D" w:rsidRPr="00B5727C" w:rsidRDefault="00E3732D" w:rsidP="00931CB4">
            <w:pPr>
              <w:rPr>
                <w:rFonts w:ascii="Times New Roman" w:hAnsi="Times New Roman" w:cs="Times New Roman"/>
              </w:rPr>
            </w:pPr>
          </w:p>
        </w:tc>
        <w:tc>
          <w:tcPr>
            <w:tcW w:w="5526" w:type="dxa"/>
          </w:tcPr>
          <w:p w14:paraId="400C3F6D" w14:textId="3808325D" w:rsidR="00E3732D" w:rsidRPr="00B5727C" w:rsidRDefault="00B75D54" w:rsidP="00C916AB">
            <w:pPr>
              <w:rPr>
                <w:rFonts w:ascii="Times New Roman" w:hAnsi="Times New Roman" w:cs="Times New Roman"/>
                <w:color w:val="000000"/>
              </w:rPr>
            </w:pPr>
            <w:r>
              <w:rPr>
                <w:rFonts w:ascii="Times New Roman" w:hAnsi="Times New Roman" w:cs="Times New Roman"/>
                <w:color w:val="000000"/>
              </w:rPr>
              <w:t xml:space="preserve">Do not make proposed changes. </w:t>
            </w:r>
            <w:proofErr w:type="spellStart"/>
            <w:r>
              <w:rPr>
                <w:rFonts w:ascii="Times New Roman" w:hAnsi="Times New Roman" w:cs="Times New Roman"/>
                <w:color w:val="000000"/>
              </w:rPr>
              <w:t>Overlashing</w:t>
            </w:r>
            <w:proofErr w:type="spellEnd"/>
            <w:r>
              <w:rPr>
                <w:rFonts w:ascii="Times New Roman" w:hAnsi="Times New Roman" w:cs="Times New Roman"/>
                <w:color w:val="000000"/>
              </w:rPr>
              <w:t xml:space="preserve"> without an application is </w:t>
            </w:r>
            <w:r w:rsidR="00C916AB">
              <w:rPr>
                <w:rFonts w:ascii="Times New Roman" w:hAnsi="Times New Roman" w:cs="Times New Roman"/>
                <w:color w:val="000000"/>
              </w:rPr>
              <w:t>available only for</w:t>
            </w:r>
            <w:r>
              <w:rPr>
                <w:rFonts w:ascii="Times New Roman" w:hAnsi="Times New Roman" w:cs="Times New Roman"/>
                <w:color w:val="000000"/>
              </w:rPr>
              <w:t xml:space="preserve"> addi</w:t>
            </w:r>
            <w:r w:rsidR="00C916AB">
              <w:rPr>
                <w:rFonts w:ascii="Times New Roman" w:hAnsi="Times New Roman" w:cs="Times New Roman"/>
                <w:color w:val="000000"/>
              </w:rPr>
              <w:t>ng</w:t>
            </w:r>
            <w:r>
              <w:rPr>
                <w:rFonts w:ascii="Times New Roman" w:hAnsi="Times New Roman" w:cs="Times New Roman"/>
                <w:color w:val="000000"/>
              </w:rPr>
              <w:t xml:space="preserve"> communications wires on </w:t>
            </w:r>
            <w:r w:rsidR="00C916AB">
              <w:rPr>
                <w:rFonts w:ascii="Times New Roman" w:hAnsi="Times New Roman" w:cs="Times New Roman"/>
                <w:color w:val="000000"/>
              </w:rPr>
              <w:t xml:space="preserve">existing attachments to </w:t>
            </w:r>
            <w:r>
              <w:rPr>
                <w:rFonts w:ascii="Times New Roman" w:hAnsi="Times New Roman" w:cs="Times New Roman"/>
                <w:color w:val="000000"/>
              </w:rPr>
              <w:t xml:space="preserve">a small number of poles, and the electric utilities provided no evidence that such </w:t>
            </w:r>
            <w:proofErr w:type="spellStart"/>
            <w:r>
              <w:rPr>
                <w:rFonts w:ascii="Times New Roman" w:hAnsi="Times New Roman" w:cs="Times New Roman"/>
                <w:color w:val="000000"/>
              </w:rPr>
              <w:t>overlashing</w:t>
            </w:r>
            <w:proofErr w:type="spellEnd"/>
            <w:r>
              <w:rPr>
                <w:rFonts w:ascii="Times New Roman" w:hAnsi="Times New Roman" w:cs="Times New Roman"/>
                <w:color w:val="000000"/>
              </w:rPr>
              <w:t xml:space="preserve"> pose</w:t>
            </w:r>
            <w:r w:rsidR="00C916AB">
              <w:rPr>
                <w:rFonts w:ascii="Times New Roman" w:hAnsi="Times New Roman" w:cs="Times New Roman"/>
                <w:color w:val="000000"/>
              </w:rPr>
              <w:t>s</w:t>
            </w:r>
            <w:r>
              <w:rPr>
                <w:rFonts w:ascii="Times New Roman" w:hAnsi="Times New Roman" w:cs="Times New Roman"/>
                <w:color w:val="000000"/>
              </w:rPr>
              <w:t xml:space="preserve"> any legitimate safety or reliability concerns. The notice requirements provide pole owners with adequate time to inspect the proposed route for the </w:t>
            </w:r>
            <w:proofErr w:type="spellStart"/>
            <w:r>
              <w:rPr>
                <w:rFonts w:ascii="Times New Roman" w:hAnsi="Times New Roman" w:cs="Times New Roman"/>
                <w:color w:val="000000"/>
              </w:rPr>
              <w:t>overlashing</w:t>
            </w:r>
            <w:proofErr w:type="spellEnd"/>
            <w:r>
              <w:rPr>
                <w:rFonts w:ascii="Times New Roman" w:hAnsi="Times New Roman" w:cs="Times New Roman"/>
                <w:color w:val="000000"/>
              </w:rPr>
              <w:t>, consistent with, or more lenient than, the time Pacific Power suggested in prior written comments.</w:t>
            </w:r>
          </w:p>
        </w:tc>
      </w:tr>
      <w:tr w:rsidR="00E3732D" w:rsidRPr="00B5727C" w14:paraId="3BCC097C" w14:textId="77777777" w:rsidTr="00E3732D">
        <w:tc>
          <w:tcPr>
            <w:tcW w:w="1074" w:type="dxa"/>
          </w:tcPr>
          <w:p w14:paraId="7AAFDDC1" w14:textId="35872B43" w:rsidR="00E3732D" w:rsidRPr="00B5727C" w:rsidRDefault="00E3732D" w:rsidP="00264137">
            <w:pPr>
              <w:rPr>
                <w:rFonts w:ascii="Times New Roman" w:hAnsi="Times New Roman" w:cs="Times New Roman"/>
              </w:rPr>
            </w:pPr>
            <w:r>
              <w:rPr>
                <w:rFonts w:ascii="Times New Roman" w:hAnsi="Times New Roman" w:cs="Times New Roman"/>
              </w:rPr>
              <w:t>050</w:t>
            </w:r>
          </w:p>
        </w:tc>
        <w:tc>
          <w:tcPr>
            <w:tcW w:w="1530" w:type="dxa"/>
          </w:tcPr>
          <w:p w14:paraId="47DB24AE" w14:textId="62F00B00" w:rsidR="00E3732D" w:rsidRPr="00B5727C" w:rsidRDefault="00E3732D" w:rsidP="00931CB4">
            <w:pPr>
              <w:rPr>
                <w:rFonts w:ascii="Times New Roman" w:hAnsi="Times New Roman" w:cs="Times New Roman"/>
                <w:color w:val="000000"/>
              </w:rPr>
            </w:pPr>
            <w:r>
              <w:rPr>
                <w:rFonts w:ascii="Times New Roman" w:hAnsi="Times New Roman" w:cs="Times New Roman"/>
                <w:color w:val="000000"/>
              </w:rPr>
              <w:t>Modification costs; notice; temporary stay</w:t>
            </w:r>
          </w:p>
          <w:p w14:paraId="3D1B12E2" w14:textId="77777777" w:rsidR="00E3732D" w:rsidRPr="00B5727C" w:rsidRDefault="00E3732D" w:rsidP="00931CB4">
            <w:pPr>
              <w:rPr>
                <w:rFonts w:ascii="Times New Roman" w:hAnsi="Times New Roman" w:cs="Times New Roman"/>
              </w:rPr>
            </w:pPr>
          </w:p>
        </w:tc>
        <w:tc>
          <w:tcPr>
            <w:tcW w:w="1889" w:type="dxa"/>
          </w:tcPr>
          <w:p w14:paraId="52B0429D" w14:textId="5FB128F1" w:rsidR="00E3732D" w:rsidRPr="00931CB4" w:rsidRDefault="00E3732D" w:rsidP="00032CE1">
            <w:pPr>
              <w:rPr>
                <w:rFonts w:ascii="Times New Roman" w:hAnsi="Times New Roman" w:cs="Times New Roman"/>
              </w:rPr>
            </w:pPr>
          </w:p>
        </w:tc>
        <w:tc>
          <w:tcPr>
            <w:tcW w:w="1605" w:type="dxa"/>
          </w:tcPr>
          <w:p w14:paraId="4EF86B0F" w14:textId="5C91C7F7" w:rsidR="00E3732D" w:rsidRPr="00931CB4" w:rsidRDefault="00E3732D" w:rsidP="00BD52AE">
            <w:pPr>
              <w:rPr>
                <w:rFonts w:ascii="Times New Roman" w:hAnsi="Times New Roman" w:cs="Times New Roman"/>
              </w:rPr>
            </w:pPr>
          </w:p>
        </w:tc>
        <w:tc>
          <w:tcPr>
            <w:tcW w:w="1871" w:type="dxa"/>
          </w:tcPr>
          <w:p w14:paraId="2B2FF91D" w14:textId="3A407CB1" w:rsidR="00E3732D" w:rsidRPr="00B5727C" w:rsidRDefault="00E3732D" w:rsidP="005849B6">
            <w:pPr>
              <w:rPr>
                <w:rFonts w:ascii="Times New Roman" w:hAnsi="Times New Roman" w:cs="Times New Roman"/>
                <w:color w:val="000000"/>
              </w:rPr>
            </w:pPr>
            <w:r>
              <w:rPr>
                <w:rFonts w:ascii="Times New Roman" w:hAnsi="Times New Roman" w:cs="Times New Roman"/>
                <w:color w:val="000000"/>
              </w:rPr>
              <w:t>Limit time in which owner or occupant has cost responsibility for benefits from modifications to 60 days; Require occupants to transfer their attachments to a new pole at their cost; clarify subsection (2) that a conforming occupant bears no cost to rearrange its attachment if required solely as a result of creating capacity to comply with safety requirements</w:t>
            </w:r>
          </w:p>
        </w:tc>
        <w:tc>
          <w:tcPr>
            <w:tcW w:w="2186" w:type="dxa"/>
          </w:tcPr>
          <w:p w14:paraId="6A749F21" w14:textId="76B6D0FF" w:rsidR="00E3732D" w:rsidRPr="00B5727C" w:rsidRDefault="00E3732D" w:rsidP="00AA0B68">
            <w:pPr>
              <w:rPr>
                <w:rFonts w:ascii="Times New Roman" w:hAnsi="Times New Roman" w:cs="Times New Roman"/>
                <w:color w:val="000000"/>
              </w:rPr>
            </w:pPr>
            <w:proofErr w:type="spellStart"/>
            <w:r>
              <w:rPr>
                <w:rFonts w:ascii="Times New Roman" w:hAnsi="Times New Roman" w:cs="Times New Roman"/>
                <w:color w:val="000000"/>
              </w:rPr>
              <w:t>BCAW</w:t>
            </w:r>
            <w:proofErr w:type="spellEnd"/>
            <w:r>
              <w:rPr>
                <w:rFonts w:ascii="Times New Roman" w:hAnsi="Times New Roman" w:cs="Times New Roman"/>
                <w:color w:val="000000"/>
              </w:rPr>
              <w:t xml:space="preserve">: modify language to clarify the intent that an existing compliant </w:t>
            </w:r>
            <w:proofErr w:type="spellStart"/>
            <w:r>
              <w:rPr>
                <w:rFonts w:ascii="Times New Roman" w:hAnsi="Times New Roman" w:cs="Times New Roman"/>
                <w:color w:val="000000"/>
              </w:rPr>
              <w:t>attacher</w:t>
            </w:r>
            <w:proofErr w:type="spellEnd"/>
            <w:r>
              <w:rPr>
                <w:rFonts w:ascii="Times New Roman" w:hAnsi="Times New Roman" w:cs="Times New Roman"/>
                <w:color w:val="000000"/>
              </w:rPr>
              <w:t xml:space="preserve"> (including an owner) is not responsible for modification costs it does not cause or benefit from</w:t>
            </w:r>
          </w:p>
        </w:tc>
        <w:tc>
          <w:tcPr>
            <w:tcW w:w="1684" w:type="dxa"/>
          </w:tcPr>
          <w:p w14:paraId="1709ADC7" w14:textId="41788BC5" w:rsidR="00E3732D" w:rsidRPr="00B5727C" w:rsidRDefault="00E3732D" w:rsidP="00931CB4">
            <w:pPr>
              <w:rPr>
                <w:rFonts w:ascii="Times New Roman" w:hAnsi="Times New Roman" w:cs="Times New Roman"/>
              </w:rPr>
            </w:pPr>
          </w:p>
        </w:tc>
        <w:tc>
          <w:tcPr>
            <w:tcW w:w="5526" w:type="dxa"/>
          </w:tcPr>
          <w:p w14:paraId="168D0A2C" w14:textId="4AE0869D" w:rsidR="00E3732D" w:rsidRPr="00B5727C" w:rsidRDefault="003C3D66" w:rsidP="00FD7AF1">
            <w:pPr>
              <w:rPr>
                <w:rFonts w:ascii="Times New Roman" w:hAnsi="Times New Roman" w:cs="Times New Roman"/>
                <w:color w:val="000000"/>
              </w:rPr>
            </w:pPr>
            <w:r>
              <w:rPr>
                <w:rFonts w:ascii="Times New Roman" w:hAnsi="Times New Roman" w:cs="Times New Roman"/>
                <w:color w:val="000000"/>
              </w:rPr>
              <w:t>Make</w:t>
            </w:r>
            <w:r w:rsidR="0031181D">
              <w:rPr>
                <w:rFonts w:ascii="Times New Roman" w:hAnsi="Times New Roman" w:cs="Times New Roman"/>
                <w:color w:val="000000"/>
              </w:rPr>
              <w:t xml:space="preserve"> most of the</w:t>
            </w:r>
            <w:r>
              <w:rPr>
                <w:rFonts w:ascii="Times New Roman" w:hAnsi="Times New Roman" w:cs="Times New Roman"/>
                <w:color w:val="000000"/>
              </w:rPr>
              <w:t xml:space="preserve"> proposed changes to address commenters’ concerns. Staff removed the limitation on timing</w:t>
            </w:r>
            <w:r w:rsidR="005B37F7">
              <w:rPr>
                <w:rFonts w:ascii="Times New Roman" w:hAnsi="Times New Roman" w:cs="Times New Roman"/>
                <w:color w:val="000000"/>
              </w:rPr>
              <w:t xml:space="preserve"> for cost responsibility</w:t>
            </w:r>
            <w:r>
              <w:rPr>
                <w:rFonts w:ascii="Times New Roman" w:hAnsi="Times New Roman" w:cs="Times New Roman"/>
                <w:color w:val="000000"/>
              </w:rPr>
              <w:t xml:space="preserve"> in response to concerns about the lack of owners’ ability to track such intervals but believes such a limitation is appropriate. </w:t>
            </w:r>
            <w:r w:rsidR="00FD7AF1">
              <w:rPr>
                <w:rFonts w:ascii="Times New Roman" w:hAnsi="Times New Roman" w:cs="Times New Roman"/>
                <w:color w:val="000000"/>
              </w:rPr>
              <w:t xml:space="preserve">Staff agrees that subsection (2) is specific to rearrangements of attachments to address safety issues and that the language concerning space for an additional attachment should be deleted. On the other hand, the requester is responsible for all costs of replacing an existing pole with a taller one, and thus the requester – not the owner or occupants – should bear the cost to transfer attachments to the new pole. Accordingly, Staff recommends that the Commission not revise the proposed rule as Pacific Power suggests on this issue. With respect to </w:t>
            </w:r>
            <w:proofErr w:type="spellStart"/>
            <w:r w:rsidR="00FD7AF1">
              <w:rPr>
                <w:rFonts w:ascii="Times New Roman" w:hAnsi="Times New Roman" w:cs="Times New Roman"/>
                <w:color w:val="000000"/>
              </w:rPr>
              <w:t>BCAW’s</w:t>
            </w:r>
            <w:proofErr w:type="spellEnd"/>
            <w:r w:rsidR="00FD7AF1">
              <w:rPr>
                <w:rFonts w:ascii="Times New Roman" w:hAnsi="Times New Roman" w:cs="Times New Roman"/>
                <w:color w:val="000000"/>
              </w:rPr>
              <w:t xml:space="preserve"> proposed changes, </w:t>
            </w:r>
            <w:r>
              <w:rPr>
                <w:rFonts w:ascii="Times New Roman" w:hAnsi="Times New Roman" w:cs="Times New Roman"/>
                <w:color w:val="000000"/>
              </w:rPr>
              <w:t>Staff’s intent is also to ensure that neither the owner nor other occupants on the pole are responsible for costs they do not cause or benefit from, and some minor revisions would clarify that intent.</w:t>
            </w:r>
          </w:p>
        </w:tc>
      </w:tr>
      <w:tr w:rsidR="00DC0FDE" w:rsidRPr="00B5727C" w14:paraId="7EEC0431" w14:textId="77777777" w:rsidTr="00DC0FDE">
        <w:tc>
          <w:tcPr>
            <w:tcW w:w="1074" w:type="dxa"/>
            <w:shd w:val="clear" w:color="auto" w:fill="BFBFBF" w:themeFill="background1" w:themeFillShade="BF"/>
          </w:tcPr>
          <w:p w14:paraId="7EDE6676" w14:textId="6EEF4E32" w:rsidR="00DC0FDE" w:rsidRPr="00DC0FDE" w:rsidRDefault="00DC0FDE" w:rsidP="00264137">
            <w:pPr>
              <w:rPr>
                <w:rFonts w:ascii="Times New Roman" w:hAnsi="Times New Roman" w:cs="Times New Roman"/>
                <w:b/>
              </w:rPr>
            </w:pPr>
            <w:r w:rsidRPr="00DC0FDE">
              <w:rPr>
                <w:rFonts w:ascii="Times New Roman" w:hAnsi="Times New Roman" w:cs="Times New Roman"/>
                <w:b/>
              </w:rPr>
              <w:lastRenderedPageBreak/>
              <w:t>480-54</w:t>
            </w:r>
          </w:p>
        </w:tc>
        <w:tc>
          <w:tcPr>
            <w:tcW w:w="1530" w:type="dxa"/>
            <w:shd w:val="clear" w:color="auto" w:fill="BFBFBF" w:themeFill="background1" w:themeFillShade="BF"/>
          </w:tcPr>
          <w:p w14:paraId="350DC89C" w14:textId="6D97BB6A" w:rsidR="00DC0FDE" w:rsidRPr="00DC0FDE" w:rsidRDefault="00DC0FDE" w:rsidP="00931CB4">
            <w:pPr>
              <w:rPr>
                <w:rFonts w:ascii="Times New Roman" w:hAnsi="Times New Roman" w:cs="Times New Roman"/>
                <w:b/>
                <w:color w:val="000000"/>
              </w:rPr>
            </w:pPr>
            <w:r w:rsidRPr="00DC0FDE">
              <w:rPr>
                <w:rFonts w:ascii="Times New Roman" w:hAnsi="Times New Roman" w:cs="Times New Roman"/>
                <w:b/>
                <w:color w:val="000000"/>
              </w:rPr>
              <w:t>WAC Title</w:t>
            </w:r>
          </w:p>
        </w:tc>
        <w:tc>
          <w:tcPr>
            <w:tcW w:w="1889" w:type="dxa"/>
            <w:shd w:val="clear" w:color="auto" w:fill="BFBFBF" w:themeFill="background1" w:themeFillShade="BF"/>
          </w:tcPr>
          <w:p w14:paraId="6CD5D95E" w14:textId="70FDB708" w:rsidR="00DC0FDE" w:rsidRPr="00DC0FDE" w:rsidRDefault="00DC0FDE" w:rsidP="00032CE1">
            <w:pPr>
              <w:rPr>
                <w:rFonts w:ascii="Times New Roman" w:hAnsi="Times New Roman" w:cs="Times New Roman"/>
                <w:b/>
              </w:rPr>
            </w:pPr>
            <w:r w:rsidRPr="00DC0FDE">
              <w:rPr>
                <w:rFonts w:ascii="Times New Roman" w:hAnsi="Times New Roman" w:cs="Times New Roman"/>
                <w:b/>
              </w:rPr>
              <w:t>PSE</w:t>
            </w:r>
          </w:p>
        </w:tc>
        <w:tc>
          <w:tcPr>
            <w:tcW w:w="1605" w:type="dxa"/>
            <w:shd w:val="clear" w:color="auto" w:fill="BFBFBF" w:themeFill="background1" w:themeFillShade="BF"/>
          </w:tcPr>
          <w:p w14:paraId="6300DD0A" w14:textId="5063B2E7" w:rsidR="00DC0FDE" w:rsidRPr="00DC0FDE" w:rsidRDefault="00DC0FDE" w:rsidP="00BD52AE">
            <w:pPr>
              <w:rPr>
                <w:rFonts w:ascii="Times New Roman" w:hAnsi="Times New Roman" w:cs="Times New Roman"/>
                <w:b/>
              </w:rPr>
            </w:pPr>
            <w:proofErr w:type="spellStart"/>
            <w:r w:rsidRPr="00DC0FDE">
              <w:rPr>
                <w:rFonts w:ascii="Times New Roman" w:hAnsi="Times New Roman" w:cs="Times New Roman"/>
                <w:b/>
              </w:rPr>
              <w:t>Avista</w:t>
            </w:r>
            <w:proofErr w:type="spellEnd"/>
          </w:p>
        </w:tc>
        <w:tc>
          <w:tcPr>
            <w:tcW w:w="1871" w:type="dxa"/>
            <w:shd w:val="clear" w:color="auto" w:fill="BFBFBF" w:themeFill="background1" w:themeFillShade="BF"/>
          </w:tcPr>
          <w:p w14:paraId="332CA612" w14:textId="1BD331A5" w:rsidR="00DC0FDE" w:rsidRPr="00DC0FDE" w:rsidRDefault="00DC0FDE" w:rsidP="005849B6">
            <w:pPr>
              <w:rPr>
                <w:rFonts w:ascii="Times New Roman" w:hAnsi="Times New Roman" w:cs="Times New Roman"/>
                <w:b/>
                <w:color w:val="000000"/>
              </w:rPr>
            </w:pPr>
            <w:r w:rsidRPr="00DC0FDE">
              <w:rPr>
                <w:rFonts w:ascii="Times New Roman" w:hAnsi="Times New Roman" w:cs="Times New Roman"/>
                <w:b/>
                <w:color w:val="000000"/>
              </w:rPr>
              <w:t>Pacific Power</w:t>
            </w:r>
          </w:p>
        </w:tc>
        <w:tc>
          <w:tcPr>
            <w:tcW w:w="2186" w:type="dxa"/>
            <w:shd w:val="clear" w:color="auto" w:fill="BFBFBF" w:themeFill="background1" w:themeFillShade="BF"/>
          </w:tcPr>
          <w:p w14:paraId="52EBC76C" w14:textId="102445BC" w:rsidR="00DC0FDE" w:rsidRPr="00DC0FDE" w:rsidRDefault="00DC0FDE" w:rsidP="00AA0B68">
            <w:pPr>
              <w:rPr>
                <w:rFonts w:ascii="Times New Roman" w:hAnsi="Times New Roman" w:cs="Times New Roman"/>
                <w:b/>
                <w:color w:val="000000"/>
              </w:rPr>
            </w:pPr>
            <w:r w:rsidRPr="00DC0FDE">
              <w:rPr>
                <w:rFonts w:ascii="Times New Roman" w:hAnsi="Times New Roman" w:cs="Times New Roman"/>
                <w:b/>
                <w:color w:val="000000"/>
              </w:rPr>
              <w:t>Cable/</w:t>
            </w:r>
            <w:proofErr w:type="spellStart"/>
            <w:r w:rsidRPr="00DC0FDE">
              <w:rPr>
                <w:rFonts w:ascii="Times New Roman" w:hAnsi="Times New Roman" w:cs="Times New Roman"/>
                <w:b/>
                <w:color w:val="000000"/>
              </w:rPr>
              <w:t>ILECs</w:t>
            </w:r>
            <w:proofErr w:type="spellEnd"/>
          </w:p>
        </w:tc>
        <w:tc>
          <w:tcPr>
            <w:tcW w:w="1684" w:type="dxa"/>
            <w:shd w:val="clear" w:color="auto" w:fill="BFBFBF" w:themeFill="background1" w:themeFillShade="BF"/>
          </w:tcPr>
          <w:p w14:paraId="3A4E4DA1" w14:textId="5A93F903" w:rsidR="00DC0FDE" w:rsidRPr="00DC0FDE" w:rsidRDefault="00DC0FDE" w:rsidP="00931CB4">
            <w:pPr>
              <w:rPr>
                <w:rFonts w:ascii="Times New Roman" w:hAnsi="Times New Roman" w:cs="Times New Roman"/>
                <w:b/>
              </w:rPr>
            </w:pPr>
            <w:r w:rsidRPr="00DC0FDE">
              <w:rPr>
                <w:rFonts w:ascii="Times New Roman" w:hAnsi="Times New Roman" w:cs="Times New Roman"/>
                <w:b/>
              </w:rPr>
              <w:t>Wireless</w:t>
            </w:r>
          </w:p>
        </w:tc>
        <w:tc>
          <w:tcPr>
            <w:tcW w:w="5526" w:type="dxa"/>
            <w:shd w:val="clear" w:color="auto" w:fill="BFBFBF" w:themeFill="background1" w:themeFillShade="BF"/>
          </w:tcPr>
          <w:p w14:paraId="6904F9B2" w14:textId="79C4DF5F" w:rsidR="00DC0FDE" w:rsidRPr="00DC0FDE" w:rsidRDefault="00DC0FDE" w:rsidP="00FD7AF1">
            <w:pPr>
              <w:rPr>
                <w:rFonts w:ascii="Times New Roman" w:hAnsi="Times New Roman" w:cs="Times New Roman"/>
                <w:b/>
                <w:color w:val="000000"/>
              </w:rPr>
            </w:pPr>
            <w:r w:rsidRPr="00DC0FDE">
              <w:rPr>
                <w:rFonts w:ascii="Times New Roman" w:hAnsi="Times New Roman" w:cs="Times New Roman"/>
                <w:b/>
                <w:color w:val="000000"/>
              </w:rPr>
              <w:t>Staff Recommendation</w:t>
            </w:r>
          </w:p>
        </w:tc>
      </w:tr>
      <w:tr w:rsidR="00DC0FDE" w:rsidRPr="00B5727C" w14:paraId="086CBD8C" w14:textId="77777777" w:rsidTr="00E3732D">
        <w:tc>
          <w:tcPr>
            <w:tcW w:w="1074" w:type="dxa"/>
          </w:tcPr>
          <w:p w14:paraId="665976B5" w14:textId="3A370D49" w:rsidR="00DC0FDE" w:rsidRDefault="00DC0FDE" w:rsidP="00264137">
            <w:pPr>
              <w:rPr>
                <w:rFonts w:ascii="Times New Roman" w:hAnsi="Times New Roman" w:cs="Times New Roman"/>
              </w:rPr>
            </w:pPr>
            <w:r>
              <w:rPr>
                <w:rFonts w:ascii="Times New Roman" w:hAnsi="Times New Roman" w:cs="Times New Roman"/>
              </w:rPr>
              <w:t>070</w:t>
            </w:r>
          </w:p>
        </w:tc>
        <w:tc>
          <w:tcPr>
            <w:tcW w:w="1530" w:type="dxa"/>
          </w:tcPr>
          <w:p w14:paraId="112BF02C" w14:textId="6D056BE7" w:rsidR="00DC0FDE" w:rsidRDefault="00DC0FDE" w:rsidP="00931CB4">
            <w:pPr>
              <w:rPr>
                <w:rFonts w:ascii="Times New Roman" w:hAnsi="Times New Roman" w:cs="Times New Roman"/>
                <w:color w:val="000000"/>
              </w:rPr>
            </w:pPr>
            <w:r>
              <w:rPr>
                <w:rFonts w:ascii="Times New Roman" w:hAnsi="Times New Roman" w:cs="Times New Roman"/>
                <w:color w:val="000000"/>
              </w:rPr>
              <w:t>Complaint</w:t>
            </w:r>
          </w:p>
        </w:tc>
        <w:tc>
          <w:tcPr>
            <w:tcW w:w="1889" w:type="dxa"/>
          </w:tcPr>
          <w:p w14:paraId="5DA98978" w14:textId="52717CCD" w:rsidR="00DC0FDE" w:rsidRPr="00931CB4" w:rsidRDefault="00DC0FDE" w:rsidP="00032CE1">
            <w:pPr>
              <w:rPr>
                <w:rFonts w:ascii="Times New Roman" w:hAnsi="Times New Roman" w:cs="Times New Roman"/>
              </w:rPr>
            </w:pPr>
            <w:r>
              <w:rPr>
                <w:rFonts w:ascii="Times New Roman" w:hAnsi="Times New Roman" w:cs="Times New Roman"/>
              </w:rPr>
              <w:t>Keep burden of proof with the complainant or rely on existing rules regarding complaints</w:t>
            </w:r>
          </w:p>
        </w:tc>
        <w:tc>
          <w:tcPr>
            <w:tcW w:w="1605" w:type="dxa"/>
          </w:tcPr>
          <w:p w14:paraId="4C0BB75B" w14:textId="6B292E00" w:rsidR="00DC0FDE" w:rsidRPr="00931CB4" w:rsidRDefault="00DC0FDE" w:rsidP="00BD52AE">
            <w:pPr>
              <w:rPr>
                <w:rFonts w:ascii="Times New Roman" w:hAnsi="Times New Roman" w:cs="Times New Roman"/>
              </w:rPr>
            </w:pPr>
            <w:r>
              <w:rPr>
                <w:rFonts w:ascii="Times New Roman" w:hAnsi="Times New Roman" w:cs="Times New Roman"/>
              </w:rPr>
              <w:t>Authorize owners to apply sanctions comparable to those authorized in Oregon against occupants with unauthorized or noncompliant attachments</w:t>
            </w:r>
          </w:p>
        </w:tc>
        <w:tc>
          <w:tcPr>
            <w:tcW w:w="1871" w:type="dxa"/>
          </w:tcPr>
          <w:p w14:paraId="7885F413" w14:textId="77777777" w:rsidR="00DC0FDE" w:rsidRDefault="00DC0FDE" w:rsidP="005849B6">
            <w:pPr>
              <w:rPr>
                <w:rFonts w:ascii="Times New Roman" w:hAnsi="Times New Roman" w:cs="Times New Roman"/>
                <w:color w:val="000000"/>
              </w:rPr>
            </w:pPr>
          </w:p>
        </w:tc>
        <w:tc>
          <w:tcPr>
            <w:tcW w:w="2186" w:type="dxa"/>
          </w:tcPr>
          <w:p w14:paraId="45F16AD2" w14:textId="77777777" w:rsidR="00DC0FDE" w:rsidRDefault="00DC0FDE" w:rsidP="00AA0B68">
            <w:pPr>
              <w:rPr>
                <w:rFonts w:ascii="Times New Roman" w:hAnsi="Times New Roman" w:cs="Times New Roman"/>
                <w:color w:val="000000"/>
              </w:rPr>
            </w:pPr>
          </w:p>
        </w:tc>
        <w:tc>
          <w:tcPr>
            <w:tcW w:w="1684" w:type="dxa"/>
          </w:tcPr>
          <w:p w14:paraId="599BE61C" w14:textId="77777777" w:rsidR="00DC0FDE" w:rsidRPr="00B5727C" w:rsidRDefault="00DC0FDE" w:rsidP="00931CB4">
            <w:pPr>
              <w:rPr>
                <w:rFonts w:ascii="Times New Roman" w:hAnsi="Times New Roman" w:cs="Times New Roman"/>
              </w:rPr>
            </w:pPr>
          </w:p>
        </w:tc>
        <w:tc>
          <w:tcPr>
            <w:tcW w:w="5526" w:type="dxa"/>
          </w:tcPr>
          <w:p w14:paraId="4CD7A89F" w14:textId="31B44D1A" w:rsidR="00DC0FDE" w:rsidRDefault="00DC0FDE" w:rsidP="00FD7AF1">
            <w:pPr>
              <w:rPr>
                <w:rFonts w:ascii="Times New Roman" w:hAnsi="Times New Roman" w:cs="Times New Roman"/>
                <w:color w:val="000000"/>
              </w:rPr>
            </w:pPr>
            <w:r>
              <w:rPr>
                <w:rFonts w:ascii="Times New Roman" w:hAnsi="Times New Roman" w:cs="Times New Roman"/>
                <w:color w:val="000000"/>
              </w:rPr>
              <w:t>Do not make proposed change. The proposed rules properly shift the burden of proof only to the entity denying a right or seeking to deviate from the rules. The Commission cannot, and should not, delegate its authority to penalize entities for violating Commission rules. The absence of sanctions in the rules, however, does not preclude parties from negotiating to include such terms in attachment agreements.</w:t>
            </w:r>
          </w:p>
        </w:tc>
      </w:tr>
    </w:tbl>
    <w:p w14:paraId="179026AB" w14:textId="77777777" w:rsidR="00AB37B3" w:rsidRDefault="00AB37B3">
      <w:bookmarkStart w:id="0" w:name="_GoBack"/>
      <w:bookmarkEnd w:id="0"/>
    </w:p>
    <w:sectPr w:rsidR="00AB37B3" w:rsidSect="00DC0FDE">
      <w:footerReference w:type="default" r:id="rId9"/>
      <w:pgSz w:w="20160" w:h="12240" w:orient="landscape" w:code="5"/>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07347" w14:textId="77777777" w:rsidR="00200043" w:rsidRDefault="00200043" w:rsidP="00B5727C">
      <w:r>
        <w:separator/>
      </w:r>
    </w:p>
  </w:endnote>
  <w:endnote w:type="continuationSeparator" w:id="0">
    <w:p w14:paraId="6F82057B" w14:textId="77777777" w:rsidR="00200043" w:rsidRDefault="00200043" w:rsidP="00B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D25E" w14:textId="77777777" w:rsidR="00316DE8" w:rsidRPr="00B5727C" w:rsidRDefault="00316DE8" w:rsidP="00B5727C">
    <w:pPr>
      <w:pStyle w:val="Footer"/>
      <w:jc w:val="center"/>
      <w:rPr>
        <w:rFonts w:ascii="Times New Roman" w:hAnsi="Times New Roman" w:cs="Times New Roman"/>
      </w:rPr>
    </w:pPr>
    <w:r>
      <w:fldChar w:fldCharType="begin"/>
    </w:r>
    <w:r>
      <w:instrText xml:space="preserve"> PAGE   \* MERGEFORMAT </w:instrText>
    </w:r>
    <w:r>
      <w:fldChar w:fldCharType="separate"/>
    </w:r>
    <w:r w:rsidR="00DC0FDE">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913D4" w14:textId="77777777" w:rsidR="00200043" w:rsidRDefault="00200043" w:rsidP="00B5727C">
      <w:r>
        <w:separator/>
      </w:r>
    </w:p>
  </w:footnote>
  <w:footnote w:type="continuationSeparator" w:id="0">
    <w:p w14:paraId="5905DB22" w14:textId="77777777" w:rsidR="00200043" w:rsidRDefault="00200043" w:rsidP="00B5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5"/>
    <w:rsid w:val="00013D2B"/>
    <w:rsid w:val="000223EE"/>
    <w:rsid w:val="00022E4B"/>
    <w:rsid w:val="00032CE1"/>
    <w:rsid w:val="0003348F"/>
    <w:rsid w:val="000467AB"/>
    <w:rsid w:val="00047249"/>
    <w:rsid w:val="00060DB2"/>
    <w:rsid w:val="00073CC5"/>
    <w:rsid w:val="00091E07"/>
    <w:rsid w:val="00092281"/>
    <w:rsid w:val="000A24B8"/>
    <w:rsid w:val="000A622B"/>
    <w:rsid w:val="000B22B6"/>
    <w:rsid w:val="000B4892"/>
    <w:rsid w:val="000C05A9"/>
    <w:rsid w:val="000D3D08"/>
    <w:rsid w:val="000D5599"/>
    <w:rsid w:val="000D7ECE"/>
    <w:rsid w:val="000E640C"/>
    <w:rsid w:val="001008B1"/>
    <w:rsid w:val="00107BA7"/>
    <w:rsid w:val="00120EF4"/>
    <w:rsid w:val="00131732"/>
    <w:rsid w:val="00133E01"/>
    <w:rsid w:val="001400A6"/>
    <w:rsid w:val="00151815"/>
    <w:rsid w:val="00156FED"/>
    <w:rsid w:val="001609C2"/>
    <w:rsid w:val="0016797A"/>
    <w:rsid w:val="00173ECC"/>
    <w:rsid w:val="001754E6"/>
    <w:rsid w:val="00187DAC"/>
    <w:rsid w:val="00192AE2"/>
    <w:rsid w:val="001A1AB4"/>
    <w:rsid w:val="001B75E9"/>
    <w:rsid w:val="001C5AB1"/>
    <w:rsid w:val="001D0624"/>
    <w:rsid w:val="001D32CE"/>
    <w:rsid w:val="001E1D7A"/>
    <w:rsid w:val="001E1EF2"/>
    <w:rsid w:val="001E6C48"/>
    <w:rsid w:val="001F003A"/>
    <w:rsid w:val="001F5109"/>
    <w:rsid w:val="00200043"/>
    <w:rsid w:val="00207E56"/>
    <w:rsid w:val="00232931"/>
    <w:rsid w:val="002338B8"/>
    <w:rsid w:val="0025236D"/>
    <w:rsid w:val="00264137"/>
    <w:rsid w:val="00272031"/>
    <w:rsid w:val="00274B6B"/>
    <w:rsid w:val="00284143"/>
    <w:rsid w:val="002918F0"/>
    <w:rsid w:val="00293D87"/>
    <w:rsid w:val="002B0534"/>
    <w:rsid w:val="002C039A"/>
    <w:rsid w:val="002C23DE"/>
    <w:rsid w:val="002C311C"/>
    <w:rsid w:val="002D5B46"/>
    <w:rsid w:val="002E4B3E"/>
    <w:rsid w:val="002E7AEE"/>
    <w:rsid w:val="002F0A25"/>
    <w:rsid w:val="002F0AC3"/>
    <w:rsid w:val="003016E7"/>
    <w:rsid w:val="00306BE1"/>
    <w:rsid w:val="003107D2"/>
    <w:rsid w:val="0031181D"/>
    <w:rsid w:val="00316DE8"/>
    <w:rsid w:val="00320C03"/>
    <w:rsid w:val="00334490"/>
    <w:rsid w:val="003461DA"/>
    <w:rsid w:val="00350F67"/>
    <w:rsid w:val="00362BEA"/>
    <w:rsid w:val="00363E57"/>
    <w:rsid w:val="00364357"/>
    <w:rsid w:val="00367D31"/>
    <w:rsid w:val="003843D3"/>
    <w:rsid w:val="00387C2F"/>
    <w:rsid w:val="00393129"/>
    <w:rsid w:val="003A2622"/>
    <w:rsid w:val="003A2720"/>
    <w:rsid w:val="003A4A7B"/>
    <w:rsid w:val="003A7B34"/>
    <w:rsid w:val="003B7C78"/>
    <w:rsid w:val="003C3D66"/>
    <w:rsid w:val="003C3FDA"/>
    <w:rsid w:val="003C4F4B"/>
    <w:rsid w:val="003C5635"/>
    <w:rsid w:val="003D1EB4"/>
    <w:rsid w:val="003D79EF"/>
    <w:rsid w:val="003E3A5E"/>
    <w:rsid w:val="003F411A"/>
    <w:rsid w:val="003F41AA"/>
    <w:rsid w:val="0040196E"/>
    <w:rsid w:val="0040222E"/>
    <w:rsid w:val="0040225A"/>
    <w:rsid w:val="0040636C"/>
    <w:rsid w:val="0041373D"/>
    <w:rsid w:val="00425DFB"/>
    <w:rsid w:val="00426900"/>
    <w:rsid w:val="00432959"/>
    <w:rsid w:val="00434762"/>
    <w:rsid w:val="00442E49"/>
    <w:rsid w:val="00461825"/>
    <w:rsid w:val="004638CE"/>
    <w:rsid w:val="00466C2C"/>
    <w:rsid w:val="00473DC2"/>
    <w:rsid w:val="004824DD"/>
    <w:rsid w:val="0048414C"/>
    <w:rsid w:val="00494E2F"/>
    <w:rsid w:val="004B6B74"/>
    <w:rsid w:val="004C3DD1"/>
    <w:rsid w:val="004C672F"/>
    <w:rsid w:val="00502422"/>
    <w:rsid w:val="00516AC2"/>
    <w:rsid w:val="00531427"/>
    <w:rsid w:val="00531977"/>
    <w:rsid w:val="00544EB8"/>
    <w:rsid w:val="00545534"/>
    <w:rsid w:val="00552600"/>
    <w:rsid w:val="00552D04"/>
    <w:rsid w:val="00573980"/>
    <w:rsid w:val="00573EE0"/>
    <w:rsid w:val="0057476B"/>
    <w:rsid w:val="00580E6E"/>
    <w:rsid w:val="005849B6"/>
    <w:rsid w:val="005A4AFF"/>
    <w:rsid w:val="005A6C74"/>
    <w:rsid w:val="005A7223"/>
    <w:rsid w:val="005B37F7"/>
    <w:rsid w:val="005C4710"/>
    <w:rsid w:val="005D06FB"/>
    <w:rsid w:val="005D66A8"/>
    <w:rsid w:val="005D7AD0"/>
    <w:rsid w:val="005E0193"/>
    <w:rsid w:val="006010EE"/>
    <w:rsid w:val="006047E3"/>
    <w:rsid w:val="00604B31"/>
    <w:rsid w:val="0062057C"/>
    <w:rsid w:val="006222BA"/>
    <w:rsid w:val="00623FC5"/>
    <w:rsid w:val="00624944"/>
    <w:rsid w:val="00645AB6"/>
    <w:rsid w:val="00651966"/>
    <w:rsid w:val="0065688D"/>
    <w:rsid w:val="00672C15"/>
    <w:rsid w:val="00672F7B"/>
    <w:rsid w:val="0069739F"/>
    <w:rsid w:val="006A0419"/>
    <w:rsid w:val="006A41EE"/>
    <w:rsid w:val="006A443C"/>
    <w:rsid w:val="006A6B04"/>
    <w:rsid w:val="006B7D87"/>
    <w:rsid w:val="006C7323"/>
    <w:rsid w:val="006C7A1F"/>
    <w:rsid w:val="006D4BB5"/>
    <w:rsid w:val="006E09D9"/>
    <w:rsid w:val="006E2AB7"/>
    <w:rsid w:val="006F72F0"/>
    <w:rsid w:val="007065C9"/>
    <w:rsid w:val="00723707"/>
    <w:rsid w:val="007240ED"/>
    <w:rsid w:val="00736E14"/>
    <w:rsid w:val="00740412"/>
    <w:rsid w:val="007427AF"/>
    <w:rsid w:val="0074288D"/>
    <w:rsid w:val="00763478"/>
    <w:rsid w:val="0076647A"/>
    <w:rsid w:val="007673BD"/>
    <w:rsid w:val="007708FB"/>
    <w:rsid w:val="00782F0D"/>
    <w:rsid w:val="00792480"/>
    <w:rsid w:val="007A252D"/>
    <w:rsid w:val="007A2B0F"/>
    <w:rsid w:val="007A3D08"/>
    <w:rsid w:val="007A54E2"/>
    <w:rsid w:val="007B3FD1"/>
    <w:rsid w:val="007C7642"/>
    <w:rsid w:val="007C7AF5"/>
    <w:rsid w:val="007C7B5F"/>
    <w:rsid w:val="007E02EC"/>
    <w:rsid w:val="007E1E6E"/>
    <w:rsid w:val="007E1EAF"/>
    <w:rsid w:val="007E64F7"/>
    <w:rsid w:val="007F0D8E"/>
    <w:rsid w:val="00805127"/>
    <w:rsid w:val="00814C7C"/>
    <w:rsid w:val="008203F4"/>
    <w:rsid w:val="008452CD"/>
    <w:rsid w:val="0086081E"/>
    <w:rsid w:val="00860DBD"/>
    <w:rsid w:val="00864814"/>
    <w:rsid w:val="0086721E"/>
    <w:rsid w:val="008678A9"/>
    <w:rsid w:val="00871AF8"/>
    <w:rsid w:val="008819BE"/>
    <w:rsid w:val="00890141"/>
    <w:rsid w:val="00893941"/>
    <w:rsid w:val="008A40B0"/>
    <w:rsid w:val="008B1BCE"/>
    <w:rsid w:val="008B66E2"/>
    <w:rsid w:val="008B6B51"/>
    <w:rsid w:val="008D0183"/>
    <w:rsid w:val="008E3AE0"/>
    <w:rsid w:val="008E479B"/>
    <w:rsid w:val="008F22AD"/>
    <w:rsid w:val="008F2799"/>
    <w:rsid w:val="008F2EED"/>
    <w:rsid w:val="0090400E"/>
    <w:rsid w:val="00915B64"/>
    <w:rsid w:val="00917C3D"/>
    <w:rsid w:val="00923619"/>
    <w:rsid w:val="00931CB4"/>
    <w:rsid w:val="0095300C"/>
    <w:rsid w:val="00954450"/>
    <w:rsid w:val="00973567"/>
    <w:rsid w:val="00981ED0"/>
    <w:rsid w:val="00984B6F"/>
    <w:rsid w:val="009A281E"/>
    <w:rsid w:val="009B742E"/>
    <w:rsid w:val="009C0096"/>
    <w:rsid w:val="009D2B87"/>
    <w:rsid w:val="009D5DD2"/>
    <w:rsid w:val="009D7E6C"/>
    <w:rsid w:val="009E28FB"/>
    <w:rsid w:val="009E310F"/>
    <w:rsid w:val="009E62DF"/>
    <w:rsid w:val="009E7385"/>
    <w:rsid w:val="009F3187"/>
    <w:rsid w:val="00A006CB"/>
    <w:rsid w:val="00A019F8"/>
    <w:rsid w:val="00A0267B"/>
    <w:rsid w:val="00A065C9"/>
    <w:rsid w:val="00A07C17"/>
    <w:rsid w:val="00A21397"/>
    <w:rsid w:val="00A35CDB"/>
    <w:rsid w:val="00A36ABD"/>
    <w:rsid w:val="00A5330A"/>
    <w:rsid w:val="00A54777"/>
    <w:rsid w:val="00A5751A"/>
    <w:rsid w:val="00A63F7C"/>
    <w:rsid w:val="00A84C2A"/>
    <w:rsid w:val="00A851C0"/>
    <w:rsid w:val="00AA0B68"/>
    <w:rsid w:val="00AA39A6"/>
    <w:rsid w:val="00AB37B3"/>
    <w:rsid w:val="00AB5B4B"/>
    <w:rsid w:val="00AC4AC7"/>
    <w:rsid w:val="00AC649F"/>
    <w:rsid w:val="00AD3312"/>
    <w:rsid w:val="00AD7E5C"/>
    <w:rsid w:val="00AE273E"/>
    <w:rsid w:val="00AE6109"/>
    <w:rsid w:val="00AF2FDB"/>
    <w:rsid w:val="00AF402E"/>
    <w:rsid w:val="00B0232C"/>
    <w:rsid w:val="00B036CE"/>
    <w:rsid w:val="00B11DC2"/>
    <w:rsid w:val="00B12333"/>
    <w:rsid w:val="00B13041"/>
    <w:rsid w:val="00B178D0"/>
    <w:rsid w:val="00B3282D"/>
    <w:rsid w:val="00B476CE"/>
    <w:rsid w:val="00B52ECB"/>
    <w:rsid w:val="00B55F2D"/>
    <w:rsid w:val="00B5727C"/>
    <w:rsid w:val="00B61509"/>
    <w:rsid w:val="00B75D54"/>
    <w:rsid w:val="00B76DDC"/>
    <w:rsid w:val="00B804E6"/>
    <w:rsid w:val="00B819D7"/>
    <w:rsid w:val="00B829A9"/>
    <w:rsid w:val="00BB2952"/>
    <w:rsid w:val="00BC344D"/>
    <w:rsid w:val="00BD2946"/>
    <w:rsid w:val="00BD52AE"/>
    <w:rsid w:val="00BE2DEE"/>
    <w:rsid w:val="00BE7356"/>
    <w:rsid w:val="00BF063C"/>
    <w:rsid w:val="00BF6A33"/>
    <w:rsid w:val="00BF72D5"/>
    <w:rsid w:val="00C025F7"/>
    <w:rsid w:val="00C1606F"/>
    <w:rsid w:val="00C30389"/>
    <w:rsid w:val="00C309AB"/>
    <w:rsid w:val="00C4095C"/>
    <w:rsid w:val="00C45E4E"/>
    <w:rsid w:val="00C71353"/>
    <w:rsid w:val="00C771DF"/>
    <w:rsid w:val="00C80420"/>
    <w:rsid w:val="00C80C4C"/>
    <w:rsid w:val="00C82995"/>
    <w:rsid w:val="00C916AB"/>
    <w:rsid w:val="00C96B7C"/>
    <w:rsid w:val="00CA0EEA"/>
    <w:rsid w:val="00CA5020"/>
    <w:rsid w:val="00CA5A34"/>
    <w:rsid w:val="00CB2C14"/>
    <w:rsid w:val="00CC010B"/>
    <w:rsid w:val="00CC288A"/>
    <w:rsid w:val="00CC45D6"/>
    <w:rsid w:val="00CE0A76"/>
    <w:rsid w:val="00CE7B77"/>
    <w:rsid w:val="00D14C5D"/>
    <w:rsid w:val="00D3047B"/>
    <w:rsid w:val="00D43613"/>
    <w:rsid w:val="00D83A21"/>
    <w:rsid w:val="00DA1B86"/>
    <w:rsid w:val="00DC0FDE"/>
    <w:rsid w:val="00DC37F7"/>
    <w:rsid w:val="00DC5ACF"/>
    <w:rsid w:val="00DC6AB1"/>
    <w:rsid w:val="00DC764E"/>
    <w:rsid w:val="00DD2A47"/>
    <w:rsid w:val="00DD4C6B"/>
    <w:rsid w:val="00DD567E"/>
    <w:rsid w:val="00DD71CA"/>
    <w:rsid w:val="00DD7DAD"/>
    <w:rsid w:val="00DE0FD0"/>
    <w:rsid w:val="00E15C1E"/>
    <w:rsid w:val="00E23542"/>
    <w:rsid w:val="00E26584"/>
    <w:rsid w:val="00E310B8"/>
    <w:rsid w:val="00E357B0"/>
    <w:rsid w:val="00E3732D"/>
    <w:rsid w:val="00E446F1"/>
    <w:rsid w:val="00E47683"/>
    <w:rsid w:val="00E5639E"/>
    <w:rsid w:val="00E716BE"/>
    <w:rsid w:val="00E72CBE"/>
    <w:rsid w:val="00E82D98"/>
    <w:rsid w:val="00E84B1E"/>
    <w:rsid w:val="00E86CD5"/>
    <w:rsid w:val="00E87C35"/>
    <w:rsid w:val="00E97A5A"/>
    <w:rsid w:val="00EA31C9"/>
    <w:rsid w:val="00EB413B"/>
    <w:rsid w:val="00EC4E42"/>
    <w:rsid w:val="00EC7E4F"/>
    <w:rsid w:val="00ED15BD"/>
    <w:rsid w:val="00ED7DDE"/>
    <w:rsid w:val="00EF54CF"/>
    <w:rsid w:val="00F0379E"/>
    <w:rsid w:val="00F146F6"/>
    <w:rsid w:val="00F21B68"/>
    <w:rsid w:val="00F372F8"/>
    <w:rsid w:val="00F37D5A"/>
    <w:rsid w:val="00F55BB5"/>
    <w:rsid w:val="00F63900"/>
    <w:rsid w:val="00F8712A"/>
    <w:rsid w:val="00F929B5"/>
    <w:rsid w:val="00FB12D0"/>
    <w:rsid w:val="00FC142F"/>
    <w:rsid w:val="00FC4096"/>
    <w:rsid w:val="00FD7AF1"/>
    <w:rsid w:val="00FF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0A5F"/>
  <w15:chartTrackingRefBased/>
  <w15:docId w15:val="{A3B4A443-045E-4D38-97AD-57407F61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5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15"/>
    <w:pPr>
      <w:ind w:left="720"/>
      <w:contextualSpacing/>
    </w:pPr>
  </w:style>
  <w:style w:type="paragraph" w:styleId="Header">
    <w:name w:val="header"/>
    <w:basedOn w:val="Normal"/>
    <w:link w:val="HeaderChar"/>
    <w:uiPriority w:val="99"/>
    <w:unhideWhenUsed/>
    <w:rsid w:val="00B5727C"/>
    <w:pPr>
      <w:tabs>
        <w:tab w:val="center" w:pos="4680"/>
        <w:tab w:val="right" w:pos="9360"/>
      </w:tabs>
    </w:pPr>
  </w:style>
  <w:style w:type="character" w:customStyle="1" w:styleId="HeaderChar">
    <w:name w:val="Header Char"/>
    <w:basedOn w:val="DefaultParagraphFont"/>
    <w:link w:val="Header"/>
    <w:uiPriority w:val="99"/>
    <w:rsid w:val="00B5727C"/>
  </w:style>
  <w:style w:type="paragraph" w:styleId="Footer">
    <w:name w:val="footer"/>
    <w:basedOn w:val="Normal"/>
    <w:link w:val="FooterChar"/>
    <w:uiPriority w:val="99"/>
    <w:unhideWhenUsed/>
    <w:rsid w:val="00B5727C"/>
    <w:pPr>
      <w:tabs>
        <w:tab w:val="center" w:pos="4680"/>
        <w:tab w:val="right" w:pos="9360"/>
      </w:tabs>
    </w:pPr>
  </w:style>
  <w:style w:type="character" w:customStyle="1" w:styleId="FooterChar">
    <w:name w:val="Footer Char"/>
    <w:basedOn w:val="DefaultParagraphFont"/>
    <w:link w:val="Footer"/>
    <w:uiPriority w:val="99"/>
    <w:rsid w:val="00B5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883">
      <w:bodyDiv w:val="1"/>
      <w:marLeft w:val="0"/>
      <w:marRight w:val="0"/>
      <w:marTop w:val="0"/>
      <w:marBottom w:val="0"/>
      <w:divBdr>
        <w:top w:val="none" w:sz="0" w:space="0" w:color="auto"/>
        <w:left w:val="none" w:sz="0" w:space="0" w:color="auto"/>
        <w:bottom w:val="none" w:sz="0" w:space="0" w:color="auto"/>
        <w:right w:val="none" w:sz="0" w:space="0" w:color="auto"/>
      </w:divBdr>
    </w:div>
    <w:div w:id="50273877">
      <w:bodyDiv w:val="1"/>
      <w:marLeft w:val="0"/>
      <w:marRight w:val="0"/>
      <w:marTop w:val="0"/>
      <w:marBottom w:val="0"/>
      <w:divBdr>
        <w:top w:val="none" w:sz="0" w:space="0" w:color="auto"/>
        <w:left w:val="none" w:sz="0" w:space="0" w:color="auto"/>
        <w:bottom w:val="none" w:sz="0" w:space="0" w:color="auto"/>
        <w:right w:val="none" w:sz="0" w:space="0" w:color="auto"/>
      </w:divBdr>
    </w:div>
    <w:div w:id="61492204">
      <w:bodyDiv w:val="1"/>
      <w:marLeft w:val="0"/>
      <w:marRight w:val="0"/>
      <w:marTop w:val="0"/>
      <w:marBottom w:val="0"/>
      <w:divBdr>
        <w:top w:val="none" w:sz="0" w:space="0" w:color="auto"/>
        <w:left w:val="none" w:sz="0" w:space="0" w:color="auto"/>
        <w:bottom w:val="none" w:sz="0" w:space="0" w:color="auto"/>
        <w:right w:val="none" w:sz="0" w:space="0" w:color="auto"/>
      </w:divBdr>
    </w:div>
    <w:div w:id="194005399">
      <w:bodyDiv w:val="1"/>
      <w:marLeft w:val="0"/>
      <w:marRight w:val="0"/>
      <w:marTop w:val="0"/>
      <w:marBottom w:val="0"/>
      <w:divBdr>
        <w:top w:val="none" w:sz="0" w:space="0" w:color="auto"/>
        <w:left w:val="none" w:sz="0" w:space="0" w:color="auto"/>
        <w:bottom w:val="none" w:sz="0" w:space="0" w:color="auto"/>
        <w:right w:val="none" w:sz="0" w:space="0" w:color="auto"/>
      </w:divBdr>
    </w:div>
    <w:div w:id="436217861">
      <w:bodyDiv w:val="1"/>
      <w:marLeft w:val="0"/>
      <w:marRight w:val="0"/>
      <w:marTop w:val="0"/>
      <w:marBottom w:val="0"/>
      <w:divBdr>
        <w:top w:val="none" w:sz="0" w:space="0" w:color="auto"/>
        <w:left w:val="none" w:sz="0" w:space="0" w:color="auto"/>
        <w:bottom w:val="none" w:sz="0" w:space="0" w:color="auto"/>
        <w:right w:val="none" w:sz="0" w:space="0" w:color="auto"/>
      </w:divBdr>
    </w:div>
    <w:div w:id="453058271">
      <w:bodyDiv w:val="1"/>
      <w:marLeft w:val="0"/>
      <w:marRight w:val="0"/>
      <w:marTop w:val="0"/>
      <w:marBottom w:val="0"/>
      <w:divBdr>
        <w:top w:val="none" w:sz="0" w:space="0" w:color="auto"/>
        <w:left w:val="none" w:sz="0" w:space="0" w:color="auto"/>
        <w:bottom w:val="none" w:sz="0" w:space="0" w:color="auto"/>
        <w:right w:val="none" w:sz="0" w:space="0" w:color="auto"/>
      </w:divBdr>
    </w:div>
    <w:div w:id="661393033">
      <w:bodyDiv w:val="1"/>
      <w:marLeft w:val="0"/>
      <w:marRight w:val="0"/>
      <w:marTop w:val="0"/>
      <w:marBottom w:val="0"/>
      <w:divBdr>
        <w:top w:val="none" w:sz="0" w:space="0" w:color="auto"/>
        <w:left w:val="none" w:sz="0" w:space="0" w:color="auto"/>
        <w:bottom w:val="none" w:sz="0" w:space="0" w:color="auto"/>
        <w:right w:val="none" w:sz="0" w:space="0" w:color="auto"/>
      </w:divBdr>
    </w:div>
    <w:div w:id="773087808">
      <w:bodyDiv w:val="1"/>
      <w:marLeft w:val="0"/>
      <w:marRight w:val="0"/>
      <w:marTop w:val="0"/>
      <w:marBottom w:val="0"/>
      <w:divBdr>
        <w:top w:val="none" w:sz="0" w:space="0" w:color="auto"/>
        <w:left w:val="none" w:sz="0" w:space="0" w:color="auto"/>
        <w:bottom w:val="none" w:sz="0" w:space="0" w:color="auto"/>
        <w:right w:val="none" w:sz="0" w:space="0" w:color="auto"/>
      </w:divBdr>
    </w:div>
    <w:div w:id="817263760">
      <w:bodyDiv w:val="1"/>
      <w:marLeft w:val="0"/>
      <w:marRight w:val="0"/>
      <w:marTop w:val="0"/>
      <w:marBottom w:val="0"/>
      <w:divBdr>
        <w:top w:val="none" w:sz="0" w:space="0" w:color="auto"/>
        <w:left w:val="none" w:sz="0" w:space="0" w:color="auto"/>
        <w:bottom w:val="none" w:sz="0" w:space="0" w:color="auto"/>
        <w:right w:val="none" w:sz="0" w:space="0" w:color="auto"/>
      </w:divBdr>
    </w:div>
    <w:div w:id="828134207">
      <w:bodyDiv w:val="1"/>
      <w:marLeft w:val="0"/>
      <w:marRight w:val="0"/>
      <w:marTop w:val="0"/>
      <w:marBottom w:val="0"/>
      <w:divBdr>
        <w:top w:val="none" w:sz="0" w:space="0" w:color="auto"/>
        <w:left w:val="none" w:sz="0" w:space="0" w:color="auto"/>
        <w:bottom w:val="none" w:sz="0" w:space="0" w:color="auto"/>
        <w:right w:val="none" w:sz="0" w:space="0" w:color="auto"/>
      </w:divBdr>
    </w:div>
    <w:div w:id="836924961">
      <w:bodyDiv w:val="1"/>
      <w:marLeft w:val="0"/>
      <w:marRight w:val="0"/>
      <w:marTop w:val="0"/>
      <w:marBottom w:val="0"/>
      <w:divBdr>
        <w:top w:val="none" w:sz="0" w:space="0" w:color="auto"/>
        <w:left w:val="none" w:sz="0" w:space="0" w:color="auto"/>
        <w:bottom w:val="none" w:sz="0" w:space="0" w:color="auto"/>
        <w:right w:val="none" w:sz="0" w:space="0" w:color="auto"/>
      </w:divBdr>
    </w:div>
    <w:div w:id="871236112">
      <w:bodyDiv w:val="1"/>
      <w:marLeft w:val="0"/>
      <w:marRight w:val="0"/>
      <w:marTop w:val="0"/>
      <w:marBottom w:val="0"/>
      <w:divBdr>
        <w:top w:val="none" w:sz="0" w:space="0" w:color="auto"/>
        <w:left w:val="none" w:sz="0" w:space="0" w:color="auto"/>
        <w:bottom w:val="none" w:sz="0" w:space="0" w:color="auto"/>
        <w:right w:val="none" w:sz="0" w:space="0" w:color="auto"/>
      </w:divBdr>
    </w:div>
    <w:div w:id="883446450">
      <w:bodyDiv w:val="1"/>
      <w:marLeft w:val="0"/>
      <w:marRight w:val="0"/>
      <w:marTop w:val="0"/>
      <w:marBottom w:val="0"/>
      <w:divBdr>
        <w:top w:val="none" w:sz="0" w:space="0" w:color="auto"/>
        <w:left w:val="none" w:sz="0" w:space="0" w:color="auto"/>
        <w:bottom w:val="none" w:sz="0" w:space="0" w:color="auto"/>
        <w:right w:val="none" w:sz="0" w:space="0" w:color="auto"/>
      </w:divBdr>
    </w:div>
    <w:div w:id="919604002">
      <w:bodyDiv w:val="1"/>
      <w:marLeft w:val="0"/>
      <w:marRight w:val="0"/>
      <w:marTop w:val="0"/>
      <w:marBottom w:val="0"/>
      <w:divBdr>
        <w:top w:val="none" w:sz="0" w:space="0" w:color="auto"/>
        <w:left w:val="none" w:sz="0" w:space="0" w:color="auto"/>
        <w:bottom w:val="none" w:sz="0" w:space="0" w:color="auto"/>
        <w:right w:val="none" w:sz="0" w:space="0" w:color="auto"/>
      </w:divBdr>
    </w:div>
    <w:div w:id="1062292661">
      <w:bodyDiv w:val="1"/>
      <w:marLeft w:val="0"/>
      <w:marRight w:val="0"/>
      <w:marTop w:val="0"/>
      <w:marBottom w:val="0"/>
      <w:divBdr>
        <w:top w:val="none" w:sz="0" w:space="0" w:color="auto"/>
        <w:left w:val="none" w:sz="0" w:space="0" w:color="auto"/>
        <w:bottom w:val="none" w:sz="0" w:space="0" w:color="auto"/>
        <w:right w:val="none" w:sz="0" w:space="0" w:color="auto"/>
      </w:divBdr>
    </w:div>
    <w:div w:id="1117874993">
      <w:bodyDiv w:val="1"/>
      <w:marLeft w:val="0"/>
      <w:marRight w:val="0"/>
      <w:marTop w:val="0"/>
      <w:marBottom w:val="0"/>
      <w:divBdr>
        <w:top w:val="none" w:sz="0" w:space="0" w:color="auto"/>
        <w:left w:val="none" w:sz="0" w:space="0" w:color="auto"/>
        <w:bottom w:val="none" w:sz="0" w:space="0" w:color="auto"/>
        <w:right w:val="none" w:sz="0" w:space="0" w:color="auto"/>
      </w:divBdr>
    </w:div>
    <w:div w:id="1145319897">
      <w:bodyDiv w:val="1"/>
      <w:marLeft w:val="0"/>
      <w:marRight w:val="0"/>
      <w:marTop w:val="0"/>
      <w:marBottom w:val="0"/>
      <w:divBdr>
        <w:top w:val="none" w:sz="0" w:space="0" w:color="auto"/>
        <w:left w:val="none" w:sz="0" w:space="0" w:color="auto"/>
        <w:bottom w:val="none" w:sz="0" w:space="0" w:color="auto"/>
        <w:right w:val="none" w:sz="0" w:space="0" w:color="auto"/>
      </w:divBdr>
    </w:div>
    <w:div w:id="1159807745">
      <w:bodyDiv w:val="1"/>
      <w:marLeft w:val="0"/>
      <w:marRight w:val="0"/>
      <w:marTop w:val="0"/>
      <w:marBottom w:val="0"/>
      <w:divBdr>
        <w:top w:val="none" w:sz="0" w:space="0" w:color="auto"/>
        <w:left w:val="none" w:sz="0" w:space="0" w:color="auto"/>
        <w:bottom w:val="none" w:sz="0" w:space="0" w:color="auto"/>
        <w:right w:val="none" w:sz="0" w:space="0" w:color="auto"/>
      </w:divBdr>
    </w:div>
    <w:div w:id="1232933425">
      <w:bodyDiv w:val="1"/>
      <w:marLeft w:val="0"/>
      <w:marRight w:val="0"/>
      <w:marTop w:val="0"/>
      <w:marBottom w:val="0"/>
      <w:divBdr>
        <w:top w:val="none" w:sz="0" w:space="0" w:color="auto"/>
        <w:left w:val="none" w:sz="0" w:space="0" w:color="auto"/>
        <w:bottom w:val="none" w:sz="0" w:space="0" w:color="auto"/>
        <w:right w:val="none" w:sz="0" w:space="0" w:color="auto"/>
      </w:divBdr>
    </w:div>
    <w:div w:id="1246571329">
      <w:bodyDiv w:val="1"/>
      <w:marLeft w:val="0"/>
      <w:marRight w:val="0"/>
      <w:marTop w:val="0"/>
      <w:marBottom w:val="0"/>
      <w:divBdr>
        <w:top w:val="none" w:sz="0" w:space="0" w:color="auto"/>
        <w:left w:val="none" w:sz="0" w:space="0" w:color="auto"/>
        <w:bottom w:val="none" w:sz="0" w:space="0" w:color="auto"/>
        <w:right w:val="none" w:sz="0" w:space="0" w:color="auto"/>
      </w:divBdr>
    </w:div>
    <w:div w:id="1270894073">
      <w:bodyDiv w:val="1"/>
      <w:marLeft w:val="0"/>
      <w:marRight w:val="0"/>
      <w:marTop w:val="0"/>
      <w:marBottom w:val="0"/>
      <w:divBdr>
        <w:top w:val="none" w:sz="0" w:space="0" w:color="auto"/>
        <w:left w:val="none" w:sz="0" w:space="0" w:color="auto"/>
        <w:bottom w:val="none" w:sz="0" w:space="0" w:color="auto"/>
        <w:right w:val="none" w:sz="0" w:space="0" w:color="auto"/>
      </w:divBdr>
    </w:div>
    <w:div w:id="1275211003">
      <w:bodyDiv w:val="1"/>
      <w:marLeft w:val="0"/>
      <w:marRight w:val="0"/>
      <w:marTop w:val="0"/>
      <w:marBottom w:val="0"/>
      <w:divBdr>
        <w:top w:val="none" w:sz="0" w:space="0" w:color="auto"/>
        <w:left w:val="none" w:sz="0" w:space="0" w:color="auto"/>
        <w:bottom w:val="none" w:sz="0" w:space="0" w:color="auto"/>
        <w:right w:val="none" w:sz="0" w:space="0" w:color="auto"/>
      </w:divBdr>
    </w:div>
    <w:div w:id="1305814398">
      <w:bodyDiv w:val="1"/>
      <w:marLeft w:val="0"/>
      <w:marRight w:val="0"/>
      <w:marTop w:val="0"/>
      <w:marBottom w:val="0"/>
      <w:divBdr>
        <w:top w:val="none" w:sz="0" w:space="0" w:color="auto"/>
        <w:left w:val="none" w:sz="0" w:space="0" w:color="auto"/>
        <w:bottom w:val="none" w:sz="0" w:space="0" w:color="auto"/>
        <w:right w:val="none" w:sz="0" w:space="0" w:color="auto"/>
      </w:divBdr>
    </w:div>
    <w:div w:id="1387532846">
      <w:bodyDiv w:val="1"/>
      <w:marLeft w:val="0"/>
      <w:marRight w:val="0"/>
      <w:marTop w:val="0"/>
      <w:marBottom w:val="0"/>
      <w:divBdr>
        <w:top w:val="none" w:sz="0" w:space="0" w:color="auto"/>
        <w:left w:val="none" w:sz="0" w:space="0" w:color="auto"/>
        <w:bottom w:val="none" w:sz="0" w:space="0" w:color="auto"/>
        <w:right w:val="none" w:sz="0" w:space="0" w:color="auto"/>
      </w:divBdr>
    </w:div>
    <w:div w:id="1439059441">
      <w:bodyDiv w:val="1"/>
      <w:marLeft w:val="0"/>
      <w:marRight w:val="0"/>
      <w:marTop w:val="0"/>
      <w:marBottom w:val="0"/>
      <w:divBdr>
        <w:top w:val="none" w:sz="0" w:space="0" w:color="auto"/>
        <w:left w:val="none" w:sz="0" w:space="0" w:color="auto"/>
        <w:bottom w:val="none" w:sz="0" w:space="0" w:color="auto"/>
        <w:right w:val="none" w:sz="0" w:space="0" w:color="auto"/>
      </w:divBdr>
    </w:div>
    <w:div w:id="1484615966">
      <w:bodyDiv w:val="1"/>
      <w:marLeft w:val="0"/>
      <w:marRight w:val="0"/>
      <w:marTop w:val="0"/>
      <w:marBottom w:val="0"/>
      <w:divBdr>
        <w:top w:val="none" w:sz="0" w:space="0" w:color="auto"/>
        <w:left w:val="none" w:sz="0" w:space="0" w:color="auto"/>
        <w:bottom w:val="none" w:sz="0" w:space="0" w:color="auto"/>
        <w:right w:val="none" w:sz="0" w:space="0" w:color="auto"/>
      </w:divBdr>
    </w:div>
    <w:div w:id="1494637080">
      <w:bodyDiv w:val="1"/>
      <w:marLeft w:val="0"/>
      <w:marRight w:val="0"/>
      <w:marTop w:val="0"/>
      <w:marBottom w:val="0"/>
      <w:divBdr>
        <w:top w:val="none" w:sz="0" w:space="0" w:color="auto"/>
        <w:left w:val="none" w:sz="0" w:space="0" w:color="auto"/>
        <w:bottom w:val="none" w:sz="0" w:space="0" w:color="auto"/>
        <w:right w:val="none" w:sz="0" w:space="0" w:color="auto"/>
      </w:divBdr>
    </w:div>
    <w:div w:id="1580560914">
      <w:bodyDiv w:val="1"/>
      <w:marLeft w:val="0"/>
      <w:marRight w:val="0"/>
      <w:marTop w:val="0"/>
      <w:marBottom w:val="0"/>
      <w:divBdr>
        <w:top w:val="none" w:sz="0" w:space="0" w:color="auto"/>
        <w:left w:val="none" w:sz="0" w:space="0" w:color="auto"/>
        <w:bottom w:val="none" w:sz="0" w:space="0" w:color="auto"/>
        <w:right w:val="none" w:sz="0" w:space="0" w:color="auto"/>
      </w:divBdr>
    </w:div>
    <w:div w:id="1632050188">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838686928">
      <w:bodyDiv w:val="1"/>
      <w:marLeft w:val="0"/>
      <w:marRight w:val="0"/>
      <w:marTop w:val="0"/>
      <w:marBottom w:val="0"/>
      <w:divBdr>
        <w:top w:val="none" w:sz="0" w:space="0" w:color="auto"/>
        <w:left w:val="none" w:sz="0" w:space="0" w:color="auto"/>
        <w:bottom w:val="none" w:sz="0" w:space="0" w:color="auto"/>
        <w:right w:val="none" w:sz="0" w:space="0" w:color="auto"/>
      </w:divBdr>
    </w:div>
    <w:div w:id="1901284614">
      <w:bodyDiv w:val="1"/>
      <w:marLeft w:val="0"/>
      <w:marRight w:val="0"/>
      <w:marTop w:val="0"/>
      <w:marBottom w:val="0"/>
      <w:divBdr>
        <w:top w:val="none" w:sz="0" w:space="0" w:color="auto"/>
        <w:left w:val="none" w:sz="0" w:space="0" w:color="auto"/>
        <w:bottom w:val="none" w:sz="0" w:space="0" w:color="auto"/>
        <w:right w:val="none" w:sz="0" w:space="0" w:color="auto"/>
      </w:divBdr>
    </w:div>
    <w:div w:id="1911383548">
      <w:bodyDiv w:val="1"/>
      <w:marLeft w:val="0"/>
      <w:marRight w:val="0"/>
      <w:marTop w:val="0"/>
      <w:marBottom w:val="0"/>
      <w:divBdr>
        <w:top w:val="none" w:sz="0" w:space="0" w:color="auto"/>
        <w:left w:val="none" w:sz="0" w:space="0" w:color="auto"/>
        <w:bottom w:val="none" w:sz="0" w:space="0" w:color="auto"/>
        <w:right w:val="none" w:sz="0" w:space="0" w:color="auto"/>
      </w:divBdr>
    </w:div>
    <w:div w:id="1915772770">
      <w:bodyDiv w:val="1"/>
      <w:marLeft w:val="0"/>
      <w:marRight w:val="0"/>
      <w:marTop w:val="0"/>
      <w:marBottom w:val="0"/>
      <w:divBdr>
        <w:top w:val="none" w:sz="0" w:space="0" w:color="auto"/>
        <w:left w:val="none" w:sz="0" w:space="0" w:color="auto"/>
        <w:bottom w:val="none" w:sz="0" w:space="0" w:color="auto"/>
        <w:right w:val="none" w:sz="0" w:space="0" w:color="auto"/>
      </w:divBdr>
    </w:div>
    <w:div w:id="1939830425">
      <w:bodyDiv w:val="1"/>
      <w:marLeft w:val="0"/>
      <w:marRight w:val="0"/>
      <w:marTop w:val="0"/>
      <w:marBottom w:val="0"/>
      <w:divBdr>
        <w:top w:val="none" w:sz="0" w:space="0" w:color="auto"/>
        <w:left w:val="none" w:sz="0" w:space="0" w:color="auto"/>
        <w:bottom w:val="none" w:sz="0" w:space="0" w:color="auto"/>
        <w:right w:val="none" w:sz="0" w:space="0" w:color="auto"/>
      </w:divBdr>
    </w:div>
    <w:div w:id="2013409947">
      <w:bodyDiv w:val="1"/>
      <w:marLeft w:val="0"/>
      <w:marRight w:val="0"/>
      <w:marTop w:val="0"/>
      <w:marBottom w:val="0"/>
      <w:divBdr>
        <w:top w:val="none" w:sz="0" w:space="0" w:color="auto"/>
        <w:left w:val="none" w:sz="0" w:space="0" w:color="auto"/>
        <w:bottom w:val="none" w:sz="0" w:space="0" w:color="auto"/>
        <w:right w:val="none" w:sz="0" w:space="0" w:color="auto"/>
      </w:divBdr>
    </w:div>
    <w:div w:id="20386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140621</DocketNumber>
    <IndustryCode xmlns="dc463f71-b30c-4ab2-9473-d307f9d35888">501</IndustryCode>
    <Prefix xmlns="dc463f71-b30c-4ab2-9473-d307f9d35888">U</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2014-04-15T07:00:00+00:00</OpenedDate>
    <Date1 xmlns="dc463f71-b30c-4ab2-9473-d307f9d35888">2015-09-15T15:59:20+00:00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DFF58-CA56-49F5-B841-3B1D54B3B580}"/>
</file>

<file path=customXml/itemProps2.xml><?xml version="1.0" encoding="utf-8"?>
<ds:datastoreItem xmlns:ds="http://schemas.openxmlformats.org/officeDocument/2006/customXml" ds:itemID="{8133BA85-4CB2-41D4-A384-2DA2CF6DF668}"/>
</file>

<file path=customXml/itemProps3.xml><?xml version="1.0" encoding="utf-8"?>
<ds:datastoreItem xmlns:ds="http://schemas.openxmlformats.org/officeDocument/2006/customXml" ds:itemID="{31716885-E750-433B-AA50-5A4C604C7942}"/>
</file>

<file path=customXml/itemProps4.xml><?xml version="1.0" encoding="utf-8"?>
<ds:datastoreItem xmlns:ds="http://schemas.openxmlformats.org/officeDocument/2006/customXml" ds:itemID="{74E7D2BA-10EB-4090-8C08-1FA8D52AA02F}"/>
</file>

<file path=docProps/app.xml><?xml version="1.0" encoding="utf-8"?>
<Properties xmlns="http://schemas.openxmlformats.org/officeDocument/2006/extended-properties" xmlns:vt="http://schemas.openxmlformats.org/officeDocument/2006/docPropsVTypes">
  <Template>Normal</Template>
  <TotalTime>10</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Kippi (UTC)</dc:creator>
  <cp:keywords/>
  <dc:description/>
  <cp:lastModifiedBy>Walker, Kippi (UTC)</cp:lastModifiedBy>
  <cp:revision>3</cp:revision>
  <cp:lastPrinted>2015-09-14T20:41:00Z</cp:lastPrinted>
  <dcterms:created xsi:type="dcterms:W3CDTF">2015-09-14T21:30:00Z</dcterms:created>
  <dcterms:modified xsi:type="dcterms:W3CDTF">2015-09-16T21:34:00Z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