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AA00D" w14:textId="3AE657A1" w:rsidR="002C039A" w:rsidRPr="00B5727C" w:rsidRDefault="007950F8" w:rsidP="00F372F8">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A</w:t>
      </w:r>
      <w:r w:rsidR="00F372F8" w:rsidRPr="00B5727C">
        <w:rPr>
          <w:rFonts w:ascii="Times New Roman" w:hAnsi="Times New Roman" w:cs="Times New Roman"/>
          <w:b/>
          <w:sz w:val="28"/>
          <w:szCs w:val="28"/>
        </w:rPr>
        <w:t>-1</w:t>
      </w:r>
      <w:r>
        <w:rPr>
          <w:rFonts w:ascii="Times New Roman" w:hAnsi="Times New Roman" w:cs="Times New Roman"/>
          <w:b/>
          <w:sz w:val="28"/>
          <w:szCs w:val="28"/>
        </w:rPr>
        <w:t>30355</w:t>
      </w:r>
      <w:r w:rsidR="00F372F8" w:rsidRPr="00B5727C">
        <w:rPr>
          <w:rFonts w:ascii="Times New Roman" w:hAnsi="Times New Roman" w:cs="Times New Roman"/>
          <w:b/>
          <w:sz w:val="28"/>
          <w:szCs w:val="28"/>
        </w:rPr>
        <w:t xml:space="preserve"> </w:t>
      </w:r>
      <w:r w:rsidR="007673BD">
        <w:rPr>
          <w:rFonts w:ascii="Times New Roman" w:hAnsi="Times New Roman" w:cs="Times New Roman"/>
          <w:b/>
          <w:sz w:val="28"/>
          <w:szCs w:val="28"/>
        </w:rPr>
        <w:t>P</w:t>
      </w:r>
      <w:r>
        <w:rPr>
          <w:rFonts w:ascii="Times New Roman" w:hAnsi="Times New Roman" w:cs="Times New Roman"/>
          <w:b/>
          <w:sz w:val="28"/>
          <w:szCs w:val="28"/>
        </w:rPr>
        <w:t>rocedural</w:t>
      </w:r>
      <w:r w:rsidR="00F372F8" w:rsidRPr="00B5727C">
        <w:rPr>
          <w:rFonts w:ascii="Times New Roman" w:hAnsi="Times New Roman" w:cs="Times New Roman"/>
          <w:b/>
          <w:sz w:val="28"/>
          <w:szCs w:val="28"/>
        </w:rPr>
        <w:t xml:space="preserve"> Rules</w:t>
      </w:r>
    </w:p>
    <w:p w14:paraId="310B01B1" w14:textId="52439BFE" w:rsidR="00F372F8" w:rsidRPr="00B5727C" w:rsidRDefault="00F372F8" w:rsidP="00F372F8">
      <w:pPr>
        <w:jc w:val="center"/>
        <w:rPr>
          <w:rFonts w:ascii="Times New Roman" w:hAnsi="Times New Roman" w:cs="Times New Roman"/>
          <w:b/>
          <w:sz w:val="28"/>
          <w:szCs w:val="28"/>
        </w:rPr>
      </w:pPr>
      <w:r w:rsidRPr="00B5727C">
        <w:rPr>
          <w:rFonts w:ascii="Times New Roman" w:hAnsi="Times New Roman" w:cs="Times New Roman"/>
          <w:b/>
          <w:sz w:val="28"/>
          <w:szCs w:val="28"/>
        </w:rPr>
        <w:t>Summary of Comments</w:t>
      </w:r>
      <w:r w:rsidR="007673BD">
        <w:rPr>
          <w:rFonts w:ascii="Times New Roman" w:hAnsi="Times New Roman" w:cs="Times New Roman"/>
          <w:b/>
          <w:sz w:val="28"/>
          <w:szCs w:val="28"/>
        </w:rPr>
        <w:t xml:space="preserve"> on </w:t>
      </w:r>
      <w:r w:rsidR="003D131B">
        <w:rPr>
          <w:rFonts w:ascii="Times New Roman" w:hAnsi="Times New Roman" w:cs="Times New Roman"/>
          <w:b/>
          <w:sz w:val="28"/>
          <w:szCs w:val="28"/>
        </w:rPr>
        <w:t xml:space="preserve">CR 102 </w:t>
      </w:r>
      <w:r w:rsidR="007950F8">
        <w:rPr>
          <w:rFonts w:ascii="Times New Roman" w:hAnsi="Times New Roman" w:cs="Times New Roman"/>
          <w:b/>
          <w:sz w:val="28"/>
          <w:szCs w:val="28"/>
        </w:rPr>
        <w:t>Proposed Revisions to</w:t>
      </w:r>
      <w:r w:rsidR="007673BD">
        <w:rPr>
          <w:rFonts w:ascii="Times New Roman" w:hAnsi="Times New Roman" w:cs="Times New Roman"/>
          <w:b/>
          <w:sz w:val="28"/>
          <w:szCs w:val="28"/>
        </w:rPr>
        <w:t xml:space="preserve"> Rules</w:t>
      </w:r>
      <w:r w:rsidR="007105DE">
        <w:rPr>
          <w:rFonts w:ascii="Times New Roman" w:hAnsi="Times New Roman" w:cs="Times New Roman"/>
          <w:b/>
          <w:sz w:val="28"/>
          <w:szCs w:val="28"/>
        </w:rPr>
        <w:t xml:space="preserve"> in Parts I</w:t>
      </w:r>
      <w:r w:rsidR="003D131B">
        <w:rPr>
          <w:rFonts w:ascii="Times New Roman" w:hAnsi="Times New Roman" w:cs="Times New Roman"/>
          <w:b/>
          <w:sz w:val="28"/>
          <w:szCs w:val="28"/>
        </w:rPr>
        <w:t>, II,</w:t>
      </w:r>
      <w:r w:rsidR="007105DE">
        <w:rPr>
          <w:rFonts w:ascii="Times New Roman" w:hAnsi="Times New Roman" w:cs="Times New Roman"/>
          <w:b/>
          <w:sz w:val="28"/>
          <w:szCs w:val="28"/>
        </w:rPr>
        <w:t xml:space="preserve"> and IIIA</w:t>
      </w:r>
    </w:p>
    <w:p w14:paraId="0E4CBD85" w14:textId="4CF9C1B0" w:rsidR="00F372F8" w:rsidRPr="00B5727C" w:rsidRDefault="00FC10A5" w:rsidP="00F372F8">
      <w:pPr>
        <w:jc w:val="center"/>
        <w:rPr>
          <w:rFonts w:ascii="Times New Roman" w:hAnsi="Times New Roman" w:cs="Times New Roman"/>
          <w:b/>
          <w:sz w:val="28"/>
          <w:szCs w:val="28"/>
        </w:rPr>
      </w:pPr>
      <w:r>
        <w:rPr>
          <w:rFonts w:ascii="Times New Roman" w:hAnsi="Times New Roman" w:cs="Times New Roman"/>
          <w:b/>
          <w:sz w:val="28"/>
          <w:szCs w:val="28"/>
        </w:rPr>
        <w:t>J</w:t>
      </w:r>
      <w:r w:rsidR="003D131B">
        <w:rPr>
          <w:rFonts w:ascii="Times New Roman" w:hAnsi="Times New Roman" w:cs="Times New Roman"/>
          <w:b/>
          <w:sz w:val="28"/>
          <w:szCs w:val="28"/>
        </w:rPr>
        <w:t xml:space="preserve">anuary </w:t>
      </w:r>
      <w:r w:rsidR="00B272E3">
        <w:rPr>
          <w:rFonts w:ascii="Times New Roman" w:hAnsi="Times New Roman" w:cs="Times New Roman"/>
          <w:b/>
          <w:sz w:val="28"/>
          <w:szCs w:val="28"/>
        </w:rPr>
        <w:t>25</w:t>
      </w:r>
      <w:r w:rsidR="003D131B">
        <w:rPr>
          <w:rFonts w:ascii="Times New Roman" w:hAnsi="Times New Roman" w:cs="Times New Roman"/>
          <w:b/>
          <w:sz w:val="28"/>
          <w:szCs w:val="28"/>
        </w:rPr>
        <w:t>, 2017</w:t>
      </w:r>
    </w:p>
    <w:p w14:paraId="7968143D" w14:textId="77777777" w:rsidR="001040FE" w:rsidRDefault="001040FE" w:rsidP="007673BD">
      <w:pPr>
        <w:rPr>
          <w:rFonts w:ascii="Times New Roman" w:hAnsi="Times New Roman" w:cs="Times New Roman"/>
        </w:rPr>
        <w:sectPr w:rsidR="001040FE" w:rsidSect="001040FE">
          <w:footerReference w:type="default" r:id="rId11"/>
          <w:pgSz w:w="20160" w:h="12240" w:orient="landscape" w:code="5"/>
          <w:pgMar w:top="720" w:right="1440" w:bottom="1440" w:left="1440" w:header="720" w:footer="720" w:gutter="0"/>
          <w:cols w:space="720"/>
          <w:docGrid w:linePitch="360"/>
        </w:sectPr>
      </w:pPr>
    </w:p>
    <w:p w14:paraId="5E4DC036" w14:textId="20EE84C4" w:rsidR="007673BD" w:rsidRPr="00B5727C" w:rsidRDefault="007673BD" w:rsidP="007673BD">
      <w:pPr>
        <w:rPr>
          <w:rFonts w:ascii="Times New Roman" w:hAnsi="Times New Roman" w:cs="Times New Roman"/>
        </w:rPr>
      </w:pPr>
    </w:p>
    <w:tbl>
      <w:tblPr>
        <w:tblStyle w:val="TableGrid"/>
        <w:tblW w:w="17185" w:type="dxa"/>
        <w:tblLook w:val="04A0" w:firstRow="1" w:lastRow="0" w:firstColumn="1" w:lastColumn="0" w:noHBand="0" w:noVBand="1"/>
      </w:tblPr>
      <w:tblGrid>
        <w:gridCol w:w="1328"/>
        <w:gridCol w:w="2717"/>
        <w:gridCol w:w="2610"/>
        <w:gridCol w:w="2970"/>
        <w:gridCol w:w="2430"/>
        <w:gridCol w:w="5130"/>
      </w:tblGrid>
      <w:tr w:rsidR="00FB2E7E" w:rsidRPr="00B5727C" w14:paraId="77A95D90" w14:textId="77777777" w:rsidTr="00D1070E">
        <w:trPr>
          <w:cantSplit/>
          <w:tblHeader/>
        </w:trPr>
        <w:tc>
          <w:tcPr>
            <w:tcW w:w="1328" w:type="dxa"/>
            <w:shd w:val="clear" w:color="auto" w:fill="D9D9D9" w:themeFill="background1" w:themeFillShade="D9"/>
          </w:tcPr>
          <w:p w14:paraId="68351654" w14:textId="77777777" w:rsidR="00FB2E7E" w:rsidRPr="00B5727C" w:rsidRDefault="00FB2E7E" w:rsidP="003E0EF3">
            <w:pPr>
              <w:rPr>
                <w:rFonts w:ascii="Times New Roman" w:hAnsi="Times New Roman" w:cs="Times New Roman"/>
                <w:b/>
              </w:rPr>
            </w:pPr>
            <w:r>
              <w:rPr>
                <w:rFonts w:ascii="Times New Roman" w:hAnsi="Times New Roman" w:cs="Times New Roman"/>
                <w:b/>
              </w:rPr>
              <w:t>480-07-</w:t>
            </w:r>
          </w:p>
        </w:tc>
        <w:tc>
          <w:tcPr>
            <w:tcW w:w="2717" w:type="dxa"/>
            <w:shd w:val="clear" w:color="auto" w:fill="D9D9D9" w:themeFill="background1" w:themeFillShade="D9"/>
          </w:tcPr>
          <w:p w14:paraId="57A693BE" w14:textId="42095908" w:rsidR="00FB2E7E" w:rsidRPr="00B5727C" w:rsidRDefault="00FB2E7E" w:rsidP="003E0EF3">
            <w:pPr>
              <w:rPr>
                <w:rFonts w:ascii="Times New Roman" w:hAnsi="Times New Roman" w:cs="Times New Roman"/>
                <w:b/>
              </w:rPr>
            </w:pPr>
            <w:r>
              <w:rPr>
                <w:rFonts w:ascii="Times New Roman" w:hAnsi="Times New Roman" w:cs="Times New Roman"/>
                <w:b/>
              </w:rPr>
              <w:t>Utilities</w:t>
            </w:r>
          </w:p>
        </w:tc>
        <w:tc>
          <w:tcPr>
            <w:tcW w:w="2610" w:type="dxa"/>
            <w:shd w:val="clear" w:color="auto" w:fill="D9D9D9" w:themeFill="background1" w:themeFillShade="D9"/>
          </w:tcPr>
          <w:p w14:paraId="2C7ECA33" w14:textId="77777777" w:rsidR="00FB2E7E" w:rsidRPr="00B5727C" w:rsidRDefault="00FB2E7E" w:rsidP="003E0EF3">
            <w:pPr>
              <w:rPr>
                <w:rFonts w:ascii="Times New Roman" w:hAnsi="Times New Roman" w:cs="Times New Roman"/>
                <w:b/>
              </w:rPr>
            </w:pPr>
            <w:r>
              <w:rPr>
                <w:rFonts w:ascii="Times New Roman" w:hAnsi="Times New Roman" w:cs="Times New Roman"/>
                <w:b/>
              </w:rPr>
              <w:t>Rail</w:t>
            </w:r>
          </w:p>
        </w:tc>
        <w:tc>
          <w:tcPr>
            <w:tcW w:w="2970" w:type="dxa"/>
            <w:shd w:val="clear" w:color="auto" w:fill="D9D9D9" w:themeFill="background1" w:themeFillShade="D9"/>
          </w:tcPr>
          <w:p w14:paraId="171FC8C4" w14:textId="77777777" w:rsidR="00FB2E7E" w:rsidRPr="00B5727C" w:rsidRDefault="00FB2E7E" w:rsidP="003E0EF3">
            <w:pPr>
              <w:rPr>
                <w:rFonts w:ascii="Times New Roman" w:hAnsi="Times New Roman" w:cs="Times New Roman"/>
                <w:b/>
              </w:rPr>
            </w:pPr>
            <w:r>
              <w:rPr>
                <w:rFonts w:ascii="Times New Roman" w:hAnsi="Times New Roman" w:cs="Times New Roman"/>
                <w:b/>
              </w:rPr>
              <w:t>Solid Waste</w:t>
            </w:r>
          </w:p>
        </w:tc>
        <w:tc>
          <w:tcPr>
            <w:tcW w:w="2430" w:type="dxa"/>
            <w:shd w:val="clear" w:color="auto" w:fill="D9D9D9" w:themeFill="background1" w:themeFillShade="D9"/>
          </w:tcPr>
          <w:p w14:paraId="3965D08F" w14:textId="2739E72A" w:rsidR="00FB2E7E" w:rsidRPr="00B5727C" w:rsidRDefault="00D46C5B" w:rsidP="00F25EE9">
            <w:pPr>
              <w:rPr>
                <w:rFonts w:ascii="Times New Roman" w:hAnsi="Times New Roman" w:cs="Times New Roman"/>
                <w:b/>
              </w:rPr>
            </w:pPr>
            <w:r>
              <w:rPr>
                <w:rFonts w:ascii="Times New Roman" w:hAnsi="Times New Roman" w:cs="Times New Roman"/>
                <w:b/>
              </w:rPr>
              <w:t>Consumers</w:t>
            </w:r>
          </w:p>
        </w:tc>
        <w:tc>
          <w:tcPr>
            <w:tcW w:w="5130" w:type="dxa"/>
            <w:shd w:val="clear" w:color="auto" w:fill="D9D9D9" w:themeFill="background1" w:themeFillShade="D9"/>
          </w:tcPr>
          <w:p w14:paraId="11FED11F" w14:textId="76E88644" w:rsidR="00FB2E7E" w:rsidRPr="00B5727C" w:rsidRDefault="00FB2E7E" w:rsidP="003E0EF3">
            <w:pPr>
              <w:rPr>
                <w:rFonts w:ascii="Times New Roman" w:hAnsi="Times New Roman" w:cs="Times New Roman"/>
                <w:b/>
              </w:rPr>
            </w:pPr>
            <w:r w:rsidRPr="00B5727C">
              <w:rPr>
                <w:rFonts w:ascii="Times New Roman" w:hAnsi="Times New Roman" w:cs="Times New Roman"/>
                <w:b/>
              </w:rPr>
              <w:t>Staff</w:t>
            </w:r>
            <w:r w:rsidR="00A74B53">
              <w:rPr>
                <w:rFonts w:ascii="Times New Roman" w:hAnsi="Times New Roman" w:cs="Times New Roman"/>
                <w:b/>
              </w:rPr>
              <w:t xml:space="preserve"> Response</w:t>
            </w:r>
          </w:p>
        </w:tc>
      </w:tr>
      <w:tr w:rsidR="00FB2E7E" w:rsidRPr="00B5727C" w14:paraId="6F5BB988" w14:textId="77777777" w:rsidTr="00D1070E">
        <w:trPr>
          <w:cantSplit/>
        </w:trPr>
        <w:tc>
          <w:tcPr>
            <w:tcW w:w="1328" w:type="dxa"/>
          </w:tcPr>
          <w:p w14:paraId="0ACA3F1E" w14:textId="77777777" w:rsidR="00FB2E7E" w:rsidRDefault="00FB2E7E" w:rsidP="003E0EF3">
            <w:pPr>
              <w:rPr>
                <w:rFonts w:ascii="Times New Roman" w:hAnsi="Times New Roman" w:cs="Times New Roman"/>
              </w:rPr>
            </w:pPr>
            <w:r>
              <w:rPr>
                <w:rFonts w:ascii="Times New Roman" w:hAnsi="Times New Roman" w:cs="Times New Roman"/>
              </w:rPr>
              <w:t>140(3)</w:t>
            </w:r>
          </w:p>
        </w:tc>
        <w:tc>
          <w:tcPr>
            <w:tcW w:w="2717" w:type="dxa"/>
          </w:tcPr>
          <w:p w14:paraId="0BE4080A" w14:textId="77777777" w:rsidR="00FB2E7E" w:rsidRDefault="00FB2E7E" w:rsidP="003E0EF3">
            <w:pPr>
              <w:rPr>
                <w:rFonts w:ascii="Times New Roman" w:hAnsi="Times New Roman" w:cs="Times New Roman"/>
              </w:rPr>
            </w:pPr>
            <w:r>
              <w:rPr>
                <w:rFonts w:ascii="Times New Roman" w:hAnsi="Times New Roman" w:cs="Times New Roman"/>
              </w:rPr>
              <w:t>PPL: Exclude workpapers from requirement that cover letters identify all submitted documents as overly burdensome</w:t>
            </w:r>
          </w:p>
        </w:tc>
        <w:tc>
          <w:tcPr>
            <w:tcW w:w="2610" w:type="dxa"/>
          </w:tcPr>
          <w:p w14:paraId="46152C91" w14:textId="77777777" w:rsidR="00FB2E7E" w:rsidRPr="00B5727C" w:rsidRDefault="00FB2E7E" w:rsidP="003E0EF3">
            <w:pPr>
              <w:rPr>
                <w:rFonts w:ascii="Times New Roman" w:hAnsi="Times New Roman" w:cs="Times New Roman"/>
              </w:rPr>
            </w:pPr>
          </w:p>
        </w:tc>
        <w:tc>
          <w:tcPr>
            <w:tcW w:w="2970" w:type="dxa"/>
          </w:tcPr>
          <w:p w14:paraId="355B94B6" w14:textId="77777777" w:rsidR="00FB2E7E" w:rsidRDefault="00FB2E7E" w:rsidP="003E0EF3">
            <w:pPr>
              <w:rPr>
                <w:rFonts w:ascii="Times New Roman" w:hAnsi="Times New Roman" w:cs="Times New Roman"/>
                <w:color w:val="000000"/>
              </w:rPr>
            </w:pPr>
          </w:p>
        </w:tc>
        <w:tc>
          <w:tcPr>
            <w:tcW w:w="2430" w:type="dxa"/>
          </w:tcPr>
          <w:p w14:paraId="1564E263" w14:textId="77777777" w:rsidR="00FB2E7E" w:rsidRPr="00B5727C" w:rsidRDefault="00FB2E7E" w:rsidP="003E0EF3">
            <w:pPr>
              <w:rPr>
                <w:rFonts w:ascii="Times New Roman" w:hAnsi="Times New Roman" w:cs="Times New Roman"/>
                <w:color w:val="000000"/>
              </w:rPr>
            </w:pPr>
          </w:p>
        </w:tc>
        <w:tc>
          <w:tcPr>
            <w:tcW w:w="5130" w:type="dxa"/>
          </w:tcPr>
          <w:p w14:paraId="5A4DA264" w14:textId="471830D5" w:rsidR="00FB2E7E" w:rsidRDefault="00FB2E7E" w:rsidP="003E0EF3">
            <w:pPr>
              <w:rPr>
                <w:rFonts w:ascii="Times New Roman" w:hAnsi="Times New Roman" w:cs="Times New Roman"/>
                <w:color w:val="000000"/>
              </w:rPr>
            </w:pPr>
            <w:r>
              <w:rPr>
                <w:rFonts w:ascii="Times New Roman" w:hAnsi="Times New Roman" w:cs="Times New Roman"/>
                <w:color w:val="000000"/>
              </w:rPr>
              <w:t>Disagree. The purpose of listing in the cover letter all of the documents submitted is to ensure that the Commission has received all documents persons believe they have submitted. This is just as necessary for workpapers as it is for other documents</w:t>
            </w:r>
            <w:r w:rsidR="00D46C5B">
              <w:rPr>
                <w:rFonts w:ascii="Times New Roman" w:hAnsi="Times New Roman" w:cs="Times New Roman"/>
                <w:color w:val="000000"/>
              </w:rPr>
              <w:t xml:space="preserve"> and benefits both the Commission and the company submitting the documents</w:t>
            </w:r>
            <w:r>
              <w:rPr>
                <w:rFonts w:ascii="Times New Roman" w:hAnsi="Times New Roman" w:cs="Times New Roman"/>
                <w:color w:val="000000"/>
              </w:rPr>
              <w:t xml:space="preserve">. </w:t>
            </w:r>
          </w:p>
        </w:tc>
      </w:tr>
      <w:tr w:rsidR="00D46C5B" w:rsidRPr="00B5727C" w14:paraId="15CE3945" w14:textId="77777777" w:rsidTr="00D1070E">
        <w:trPr>
          <w:cantSplit/>
        </w:trPr>
        <w:tc>
          <w:tcPr>
            <w:tcW w:w="1328" w:type="dxa"/>
          </w:tcPr>
          <w:p w14:paraId="73DC9FF0" w14:textId="25AA5587" w:rsidR="00D46C5B" w:rsidRDefault="00D46C5B" w:rsidP="003E0EF3">
            <w:pPr>
              <w:rPr>
                <w:rFonts w:ascii="Times New Roman" w:hAnsi="Times New Roman" w:cs="Times New Roman"/>
              </w:rPr>
            </w:pPr>
            <w:r>
              <w:rPr>
                <w:rFonts w:ascii="Times New Roman" w:hAnsi="Times New Roman" w:cs="Times New Roman"/>
              </w:rPr>
              <w:t>140(6)(a)</w:t>
            </w:r>
          </w:p>
        </w:tc>
        <w:tc>
          <w:tcPr>
            <w:tcW w:w="2717" w:type="dxa"/>
          </w:tcPr>
          <w:p w14:paraId="71F09D77" w14:textId="2ABD60A2" w:rsidR="00D46C5B" w:rsidRDefault="00D46C5B" w:rsidP="003E0EF3">
            <w:pPr>
              <w:rPr>
                <w:rFonts w:ascii="Times New Roman" w:hAnsi="Times New Roman" w:cs="Times New Roman"/>
              </w:rPr>
            </w:pPr>
            <w:r>
              <w:rPr>
                <w:rFonts w:ascii="Times New Roman" w:hAnsi="Times New Roman" w:cs="Times New Roman"/>
              </w:rPr>
              <w:t>PPL: Allow flexibility in using “hidden cells’ to permit lines and columns to be hidden to present the information in a more expansive format.</w:t>
            </w:r>
          </w:p>
        </w:tc>
        <w:tc>
          <w:tcPr>
            <w:tcW w:w="2610" w:type="dxa"/>
          </w:tcPr>
          <w:p w14:paraId="36D5D1FF" w14:textId="77777777" w:rsidR="00D46C5B" w:rsidRDefault="00D46C5B" w:rsidP="003E0EF3">
            <w:pPr>
              <w:rPr>
                <w:rFonts w:ascii="Times New Roman" w:hAnsi="Times New Roman" w:cs="Times New Roman"/>
              </w:rPr>
            </w:pPr>
          </w:p>
        </w:tc>
        <w:tc>
          <w:tcPr>
            <w:tcW w:w="2970" w:type="dxa"/>
          </w:tcPr>
          <w:p w14:paraId="43E5EF8A" w14:textId="77777777" w:rsidR="00D46C5B" w:rsidRDefault="00D46C5B" w:rsidP="003E0EF3">
            <w:pPr>
              <w:rPr>
                <w:rFonts w:ascii="Times New Roman" w:hAnsi="Times New Roman" w:cs="Times New Roman"/>
                <w:color w:val="000000"/>
              </w:rPr>
            </w:pPr>
          </w:p>
        </w:tc>
        <w:tc>
          <w:tcPr>
            <w:tcW w:w="2430" w:type="dxa"/>
          </w:tcPr>
          <w:p w14:paraId="67235B0B" w14:textId="77777777" w:rsidR="00D46C5B" w:rsidRPr="00B5727C" w:rsidRDefault="00D46C5B" w:rsidP="003E0EF3">
            <w:pPr>
              <w:rPr>
                <w:rFonts w:ascii="Times New Roman" w:hAnsi="Times New Roman" w:cs="Times New Roman"/>
                <w:color w:val="000000"/>
              </w:rPr>
            </w:pPr>
          </w:p>
        </w:tc>
        <w:tc>
          <w:tcPr>
            <w:tcW w:w="5130" w:type="dxa"/>
          </w:tcPr>
          <w:p w14:paraId="5268B400" w14:textId="27273685" w:rsidR="00D46C5B" w:rsidRDefault="001A35A9" w:rsidP="00340455">
            <w:pPr>
              <w:rPr>
                <w:rFonts w:ascii="Times New Roman" w:hAnsi="Times New Roman" w:cs="Times New Roman"/>
                <w:color w:val="000000"/>
              </w:rPr>
            </w:pPr>
            <w:r>
              <w:rPr>
                <w:rFonts w:ascii="Times New Roman" w:hAnsi="Times New Roman" w:cs="Times New Roman"/>
                <w:color w:val="000000"/>
              </w:rPr>
              <w:t>Disagree. The rule precludes information and its source in the cells of a spreadsheet</w:t>
            </w:r>
            <w:r w:rsidR="00340455">
              <w:rPr>
                <w:rFonts w:ascii="Times New Roman" w:hAnsi="Times New Roman" w:cs="Times New Roman"/>
                <w:color w:val="000000"/>
              </w:rPr>
              <w:t xml:space="preserve"> from being hidden</w:t>
            </w:r>
            <w:r>
              <w:rPr>
                <w:rFonts w:ascii="Times New Roman" w:hAnsi="Times New Roman" w:cs="Times New Roman"/>
                <w:color w:val="000000"/>
              </w:rPr>
              <w:t>, not the format of the sprea</w:t>
            </w:r>
            <w:r w:rsidR="00340455">
              <w:rPr>
                <w:rFonts w:ascii="Times New Roman" w:hAnsi="Times New Roman" w:cs="Times New Roman"/>
                <w:color w:val="000000"/>
              </w:rPr>
              <w:t xml:space="preserve">dsheet itself. Accordingly, </w:t>
            </w:r>
            <w:r>
              <w:rPr>
                <w:rFonts w:ascii="Times New Roman" w:hAnsi="Times New Roman" w:cs="Times New Roman"/>
                <w:color w:val="000000"/>
              </w:rPr>
              <w:t>the rule do</w:t>
            </w:r>
            <w:r w:rsidR="00340455">
              <w:rPr>
                <w:rFonts w:ascii="Times New Roman" w:hAnsi="Times New Roman" w:cs="Times New Roman"/>
                <w:color w:val="000000"/>
              </w:rPr>
              <w:t>es</w:t>
            </w:r>
            <w:r>
              <w:rPr>
                <w:rFonts w:ascii="Times New Roman" w:hAnsi="Times New Roman" w:cs="Times New Roman"/>
                <w:color w:val="000000"/>
              </w:rPr>
              <w:t xml:space="preserve"> not preclude the expansion of th</w:t>
            </w:r>
            <w:r w:rsidR="00340455">
              <w:rPr>
                <w:rFonts w:ascii="Times New Roman" w:hAnsi="Times New Roman" w:cs="Times New Roman"/>
                <w:color w:val="000000"/>
              </w:rPr>
              <w:t>e size of a cell as PPL describes</w:t>
            </w:r>
            <w:r>
              <w:rPr>
                <w:rFonts w:ascii="Times New Roman" w:hAnsi="Times New Roman" w:cs="Times New Roman"/>
                <w:color w:val="000000"/>
              </w:rPr>
              <w:t>, even if that is technically accomplished by “hiding” lines or columns.</w:t>
            </w:r>
          </w:p>
        </w:tc>
      </w:tr>
      <w:tr w:rsidR="00E71D66" w:rsidRPr="00B5727C" w14:paraId="61BCAD6B" w14:textId="77777777" w:rsidTr="00D1070E">
        <w:trPr>
          <w:cantSplit/>
        </w:trPr>
        <w:tc>
          <w:tcPr>
            <w:tcW w:w="1328" w:type="dxa"/>
          </w:tcPr>
          <w:p w14:paraId="01BC628D" w14:textId="0F6B30D7" w:rsidR="00E71D66" w:rsidRDefault="00E71D66" w:rsidP="003E0EF3">
            <w:pPr>
              <w:rPr>
                <w:rFonts w:ascii="Times New Roman" w:hAnsi="Times New Roman" w:cs="Times New Roman"/>
              </w:rPr>
            </w:pPr>
            <w:r>
              <w:rPr>
                <w:rFonts w:ascii="Times New Roman" w:hAnsi="Times New Roman" w:cs="Times New Roman"/>
              </w:rPr>
              <w:t>141</w:t>
            </w:r>
          </w:p>
        </w:tc>
        <w:tc>
          <w:tcPr>
            <w:tcW w:w="2717" w:type="dxa"/>
          </w:tcPr>
          <w:p w14:paraId="331D6722" w14:textId="77777777" w:rsidR="00E71D66" w:rsidRDefault="00E71D66" w:rsidP="003E0EF3">
            <w:pPr>
              <w:rPr>
                <w:rFonts w:ascii="Times New Roman" w:hAnsi="Times New Roman" w:cs="Times New Roman"/>
              </w:rPr>
            </w:pPr>
          </w:p>
        </w:tc>
        <w:tc>
          <w:tcPr>
            <w:tcW w:w="2610" w:type="dxa"/>
          </w:tcPr>
          <w:p w14:paraId="0A0A47C4" w14:textId="77777777" w:rsidR="00E71D66" w:rsidRDefault="00E71D66" w:rsidP="003E0EF3">
            <w:pPr>
              <w:rPr>
                <w:rFonts w:ascii="Times New Roman" w:hAnsi="Times New Roman" w:cs="Times New Roman"/>
              </w:rPr>
            </w:pPr>
          </w:p>
        </w:tc>
        <w:tc>
          <w:tcPr>
            <w:tcW w:w="2970" w:type="dxa"/>
          </w:tcPr>
          <w:p w14:paraId="476FEE76" w14:textId="317DB3E5" w:rsidR="00E71D66" w:rsidRDefault="00E71D66" w:rsidP="003E0EF3">
            <w:pPr>
              <w:rPr>
                <w:rFonts w:ascii="Times New Roman" w:hAnsi="Times New Roman" w:cs="Times New Roman"/>
                <w:color w:val="000000"/>
              </w:rPr>
            </w:pPr>
            <w:r>
              <w:rPr>
                <w:rFonts w:ascii="Times New Roman" w:hAnsi="Times New Roman" w:cs="Times New Roman"/>
                <w:color w:val="000000"/>
              </w:rPr>
              <w:t>SLG: Concerned that staff review of all filings would be overbroad and burdensome to Commission staff; such review would be better included in the rules specifically governing rate case filings</w:t>
            </w:r>
          </w:p>
        </w:tc>
        <w:tc>
          <w:tcPr>
            <w:tcW w:w="2430" w:type="dxa"/>
          </w:tcPr>
          <w:p w14:paraId="2C1C10EA" w14:textId="77777777" w:rsidR="00E71D66" w:rsidRPr="00B5727C" w:rsidRDefault="00E71D66" w:rsidP="003E0EF3">
            <w:pPr>
              <w:rPr>
                <w:rFonts w:ascii="Times New Roman" w:hAnsi="Times New Roman" w:cs="Times New Roman"/>
                <w:color w:val="000000"/>
              </w:rPr>
            </w:pPr>
          </w:p>
        </w:tc>
        <w:tc>
          <w:tcPr>
            <w:tcW w:w="5130" w:type="dxa"/>
          </w:tcPr>
          <w:p w14:paraId="4BC1B800" w14:textId="456B5787" w:rsidR="00E71D66" w:rsidRDefault="001A35A9" w:rsidP="00340455">
            <w:pPr>
              <w:rPr>
                <w:rFonts w:ascii="Times New Roman" w:hAnsi="Times New Roman" w:cs="Times New Roman"/>
                <w:color w:val="000000"/>
              </w:rPr>
            </w:pPr>
            <w:r>
              <w:rPr>
                <w:rFonts w:ascii="Times New Roman" w:hAnsi="Times New Roman" w:cs="Times New Roman"/>
                <w:color w:val="000000"/>
              </w:rPr>
              <w:t xml:space="preserve">Disagree. Staff appreciates </w:t>
            </w:r>
            <w:r w:rsidR="000852F8">
              <w:rPr>
                <w:rFonts w:ascii="Times New Roman" w:hAnsi="Times New Roman" w:cs="Times New Roman"/>
                <w:color w:val="000000"/>
              </w:rPr>
              <w:t>SLG’s</w:t>
            </w:r>
            <w:r>
              <w:rPr>
                <w:rFonts w:ascii="Times New Roman" w:hAnsi="Times New Roman" w:cs="Times New Roman"/>
                <w:color w:val="000000"/>
              </w:rPr>
              <w:t xml:space="preserve"> concern but continues to propose that Staff, particularly in the Records Center, review all submissions </w:t>
            </w:r>
            <w:r w:rsidR="000852F8">
              <w:rPr>
                <w:rFonts w:ascii="Times New Roman" w:hAnsi="Times New Roman" w:cs="Times New Roman"/>
                <w:color w:val="000000"/>
              </w:rPr>
              <w:t xml:space="preserve">within a reasonable time </w:t>
            </w:r>
            <w:r>
              <w:rPr>
                <w:rFonts w:ascii="Times New Roman" w:hAnsi="Times New Roman" w:cs="Times New Roman"/>
                <w:color w:val="000000"/>
              </w:rPr>
              <w:t>to determine whet</w:t>
            </w:r>
            <w:r w:rsidR="00340455">
              <w:rPr>
                <w:rFonts w:ascii="Times New Roman" w:hAnsi="Times New Roman" w:cs="Times New Roman"/>
                <w:color w:val="000000"/>
              </w:rPr>
              <w:t xml:space="preserve">her they comply with applicable </w:t>
            </w:r>
            <w:r w:rsidR="000852F8">
              <w:rPr>
                <w:rFonts w:ascii="Times New Roman" w:hAnsi="Times New Roman" w:cs="Times New Roman"/>
                <w:color w:val="000000"/>
              </w:rPr>
              <w:t>requirements</w:t>
            </w:r>
            <w:r>
              <w:rPr>
                <w:rFonts w:ascii="Times New Roman" w:hAnsi="Times New Roman" w:cs="Times New Roman"/>
                <w:color w:val="000000"/>
              </w:rPr>
              <w:t>.</w:t>
            </w:r>
          </w:p>
        </w:tc>
      </w:tr>
      <w:tr w:rsidR="00FB2E7E" w:rsidRPr="00B5727C" w14:paraId="4847375F" w14:textId="77777777" w:rsidTr="00D1070E">
        <w:trPr>
          <w:cantSplit/>
        </w:trPr>
        <w:tc>
          <w:tcPr>
            <w:tcW w:w="1328" w:type="dxa"/>
          </w:tcPr>
          <w:p w14:paraId="6C970CC2" w14:textId="77777777" w:rsidR="00FB2E7E" w:rsidRDefault="00FB2E7E" w:rsidP="003E0EF3">
            <w:pPr>
              <w:rPr>
                <w:rFonts w:ascii="Times New Roman" w:hAnsi="Times New Roman" w:cs="Times New Roman"/>
              </w:rPr>
            </w:pPr>
            <w:r>
              <w:rPr>
                <w:rFonts w:ascii="Times New Roman" w:hAnsi="Times New Roman" w:cs="Times New Roman"/>
              </w:rPr>
              <w:lastRenderedPageBreak/>
              <w:t>150</w:t>
            </w:r>
          </w:p>
        </w:tc>
        <w:tc>
          <w:tcPr>
            <w:tcW w:w="2717" w:type="dxa"/>
          </w:tcPr>
          <w:p w14:paraId="79D1671C" w14:textId="77777777" w:rsidR="00FB2E7E" w:rsidRDefault="00FB2E7E" w:rsidP="003E0EF3">
            <w:pPr>
              <w:rPr>
                <w:rFonts w:ascii="Times New Roman" w:hAnsi="Times New Roman" w:cs="Times New Roman"/>
              </w:rPr>
            </w:pPr>
          </w:p>
        </w:tc>
        <w:tc>
          <w:tcPr>
            <w:tcW w:w="2610" w:type="dxa"/>
          </w:tcPr>
          <w:p w14:paraId="716D8818" w14:textId="77777777" w:rsidR="00FB2E7E" w:rsidRDefault="00FB2E7E" w:rsidP="003E0EF3">
            <w:pPr>
              <w:rPr>
                <w:rFonts w:ascii="Times New Roman" w:hAnsi="Times New Roman" w:cs="Times New Roman"/>
              </w:rPr>
            </w:pPr>
          </w:p>
        </w:tc>
        <w:tc>
          <w:tcPr>
            <w:tcW w:w="2970" w:type="dxa"/>
          </w:tcPr>
          <w:p w14:paraId="120AE25A" w14:textId="61EA2D95" w:rsidR="00FB2E7E" w:rsidRDefault="00E71D66" w:rsidP="00E71D66">
            <w:pPr>
              <w:rPr>
                <w:rFonts w:ascii="Times New Roman" w:hAnsi="Times New Roman" w:cs="Times New Roman"/>
                <w:color w:val="000000"/>
              </w:rPr>
            </w:pPr>
            <w:r>
              <w:rPr>
                <w:rFonts w:ascii="Times New Roman" w:hAnsi="Times New Roman" w:cs="Times New Roman"/>
                <w:color w:val="000000"/>
              </w:rPr>
              <w:t>SLG: When initiating an adjudication, Commission should use the same service required to commence a lawsuit in court; Create a procedural mechanism for filing and maintaining contact information, perhaps including verification in annual reports</w:t>
            </w:r>
          </w:p>
        </w:tc>
        <w:tc>
          <w:tcPr>
            <w:tcW w:w="2430" w:type="dxa"/>
          </w:tcPr>
          <w:p w14:paraId="469A643F" w14:textId="77777777" w:rsidR="00FB2E7E" w:rsidRPr="00B5727C" w:rsidRDefault="00FB2E7E" w:rsidP="003E0EF3">
            <w:pPr>
              <w:rPr>
                <w:rFonts w:ascii="Times New Roman" w:hAnsi="Times New Roman" w:cs="Times New Roman"/>
                <w:color w:val="000000"/>
              </w:rPr>
            </w:pPr>
          </w:p>
        </w:tc>
        <w:tc>
          <w:tcPr>
            <w:tcW w:w="5130" w:type="dxa"/>
          </w:tcPr>
          <w:p w14:paraId="26CEA3A5" w14:textId="77777777" w:rsidR="00872C1D" w:rsidRDefault="001A35A9" w:rsidP="00872C1D">
            <w:pPr>
              <w:rPr>
                <w:rFonts w:ascii="Times New Roman" w:hAnsi="Times New Roman" w:cs="Times New Roman"/>
                <w:color w:val="000000"/>
              </w:rPr>
            </w:pPr>
            <w:r>
              <w:rPr>
                <w:rFonts w:ascii="Times New Roman" w:hAnsi="Times New Roman" w:cs="Times New Roman"/>
                <w:color w:val="000000"/>
              </w:rPr>
              <w:t xml:space="preserve">Disagree. All documents the Commission serves on a regulated company are important, and no </w:t>
            </w:r>
            <w:r w:rsidR="00872C1D">
              <w:rPr>
                <w:rFonts w:ascii="Times New Roman" w:hAnsi="Times New Roman" w:cs="Times New Roman"/>
                <w:color w:val="000000"/>
              </w:rPr>
              <w:t xml:space="preserve">more specialized </w:t>
            </w:r>
            <w:r>
              <w:rPr>
                <w:rFonts w:ascii="Times New Roman" w:hAnsi="Times New Roman" w:cs="Times New Roman"/>
                <w:color w:val="000000"/>
              </w:rPr>
              <w:t>service should be required for documents initiating an adjudication than for other documents requiring company action, including but not limited to penalty assessments, requests for information, and annual report reminders</w:t>
            </w:r>
            <w:r w:rsidR="00FB2E7E">
              <w:rPr>
                <w:rFonts w:ascii="Times New Roman" w:hAnsi="Times New Roman" w:cs="Times New Roman"/>
                <w:color w:val="000000"/>
              </w:rPr>
              <w:t>.</w:t>
            </w:r>
            <w:r>
              <w:rPr>
                <w:rFonts w:ascii="Times New Roman" w:hAnsi="Times New Roman" w:cs="Times New Roman"/>
                <w:color w:val="000000"/>
              </w:rPr>
              <w:t xml:space="preserve"> </w:t>
            </w:r>
          </w:p>
          <w:p w14:paraId="2C049EA7" w14:textId="406E29C2" w:rsidR="00FB2E7E" w:rsidRDefault="00872C1D" w:rsidP="00872C1D">
            <w:pPr>
              <w:rPr>
                <w:rFonts w:ascii="Times New Roman" w:hAnsi="Times New Roman" w:cs="Times New Roman"/>
                <w:color w:val="000000"/>
              </w:rPr>
            </w:pPr>
            <w:r>
              <w:rPr>
                <w:rFonts w:ascii="Times New Roman" w:hAnsi="Times New Roman" w:cs="Times New Roman"/>
                <w:color w:val="000000"/>
              </w:rPr>
              <w:t>Staff</w:t>
            </w:r>
            <w:r w:rsidR="001A35A9">
              <w:rPr>
                <w:rFonts w:ascii="Times New Roman" w:hAnsi="Times New Roman" w:cs="Times New Roman"/>
                <w:color w:val="000000"/>
              </w:rPr>
              <w:t xml:space="preserve"> will explore</w:t>
            </w:r>
            <w:r>
              <w:rPr>
                <w:rFonts w:ascii="Times New Roman" w:hAnsi="Times New Roman" w:cs="Times New Roman"/>
                <w:color w:val="000000"/>
              </w:rPr>
              <w:t xml:space="preserve"> and implement</w:t>
            </w:r>
            <w:r w:rsidR="001A35A9">
              <w:rPr>
                <w:rFonts w:ascii="Times New Roman" w:hAnsi="Times New Roman" w:cs="Times New Roman"/>
                <w:color w:val="000000"/>
              </w:rPr>
              <w:t xml:space="preserve"> appropriate procedures for obtaining and maintaining current contact information, but such procedures need not be included in this rule.</w:t>
            </w:r>
          </w:p>
        </w:tc>
      </w:tr>
      <w:tr w:rsidR="00FB2E7E" w:rsidRPr="00B5727C" w14:paraId="51880DD7" w14:textId="77777777" w:rsidTr="00D1070E">
        <w:trPr>
          <w:cantSplit/>
        </w:trPr>
        <w:tc>
          <w:tcPr>
            <w:tcW w:w="1328" w:type="dxa"/>
          </w:tcPr>
          <w:p w14:paraId="6F241505" w14:textId="77777777" w:rsidR="00FB2E7E" w:rsidRDefault="00FB2E7E" w:rsidP="003E0EF3">
            <w:pPr>
              <w:rPr>
                <w:rFonts w:ascii="Times New Roman" w:hAnsi="Times New Roman" w:cs="Times New Roman"/>
              </w:rPr>
            </w:pPr>
            <w:r>
              <w:rPr>
                <w:rFonts w:ascii="Times New Roman" w:hAnsi="Times New Roman" w:cs="Times New Roman"/>
              </w:rPr>
              <w:t>160</w:t>
            </w:r>
          </w:p>
        </w:tc>
        <w:tc>
          <w:tcPr>
            <w:tcW w:w="2717" w:type="dxa"/>
          </w:tcPr>
          <w:p w14:paraId="56475507" w14:textId="2EE9270D" w:rsidR="00FB2E7E" w:rsidRDefault="00FB2E7E" w:rsidP="003E0EF3">
            <w:pPr>
              <w:rPr>
                <w:rFonts w:ascii="Times New Roman" w:hAnsi="Times New Roman" w:cs="Times New Roman"/>
              </w:rPr>
            </w:pPr>
          </w:p>
        </w:tc>
        <w:tc>
          <w:tcPr>
            <w:tcW w:w="2610" w:type="dxa"/>
          </w:tcPr>
          <w:p w14:paraId="0995E342" w14:textId="278A57C4" w:rsidR="00FB2E7E" w:rsidRPr="00B5727C" w:rsidRDefault="00D1070E" w:rsidP="00D1070E">
            <w:pPr>
              <w:rPr>
                <w:rFonts w:ascii="Times New Roman" w:hAnsi="Times New Roman" w:cs="Times New Roman"/>
              </w:rPr>
            </w:pPr>
            <w:r>
              <w:rPr>
                <w:rFonts w:ascii="Times New Roman" w:hAnsi="Times New Roman" w:cs="Times New Roman"/>
              </w:rPr>
              <w:t>UP: Opposes the revisions to this rule, which are vague and confusing as to scope and purpose</w:t>
            </w:r>
          </w:p>
        </w:tc>
        <w:tc>
          <w:tcPr>
            <w:tcW w:w="2970" w:type="dxa"/>
          </w:tcPr>
          <w:p w14:paraId="196D1790" w14:textId="77777777" w:rsidR="00E207AF" w:rsidRDefault="00FB2E7E" w:rsidP="00D46C5B">
            <w:pPr>
              <w:rPr>
                <w:rFonts w:ascii="Times New Roman" w:hAnsi="Times New Roman" w:cs="Times New Roman"/>
                <w:color w:val="000000"/>
              </w:rPr>
            </w:pPr>
            <w:r>
              <w:rPr>
                <w:rFonts w:ascii="Times New Roman" w:hAnsi="Times New Roman" w:cs="Times New Roman"/>
                <w:color w:val="000000"/>
              </w:rPr>
              <w:t>WRRA: Clarify that applicants for solid waste certificate may not designate information as confidential</w:t>
            </w:r>
          </w:p>
          <w:p w14:paraId="5B115225" w14:textId="64589BC4" w:rsidR="00E207AF" w:rsidRPr="00B5727C" w:rsidRDefault="00E207AF" w:rsidP="00D46C5B">
            <w:pPr>
              <w:rPr>
                <w:rFonts w:ascii="Times New Roman" w:hAnsi="Times New Roman" w:cs="Times New Roman"/>
                <w:color w:val="000000"/>
              </w:rPr>
            </w:pPr>
            <w:r>
              <w:rPr>
                <w:rFonts w:ascii="Times New Roman" w:hAnsi="Times New Roman" w:cs="Times New Roman"/>
                <w:color w:val="000000"/>
              </w:rPr>
              <w:t xml:space="preserve">SLG: Clarify whether the rule applies to information </w:t>
            </w:r>
            <w:r w:rsidR="00F83E70">
              <w:rPr>
                <w:rFonts w:ascii="Times New Roman" w:hAnsi="Times New Roman" w:cs="Times New Roman"/>
                <w:color w:val="000000"/>
              </w:rPr>
              <w:t xml:space="preserve">that </w:t>
            </w:r>
            <w:r>
              <w:rPr>
                <w:rFonts w:ascii="Times New Roman" w:hAnsi="Times New Roman" w:cs="Times New Roman"/>
                <w:color w:val="000000"/>
              </w:rPr>
              <w:t>companies provide in the context of informal data requests.</w:t>
            </w:r>
          </w:p>
        </w:tc>
        <w:tc>
          <w:tcPr>
            <w:tcW w:w="2430" w:type="dxa"/>
          </w:tcPr>
          <w:p w14:paraId="42893BF2" w14:textId="77777777" w:rsidR="00FB2E7E" w:rsidRPr="00B5727C" w:rsidRDefault="00FB2E7E" w:rsidP="003E0EF3">
            <w:pPr>
              <w:rPr>
                <w:rFonts w:ascii="Times New Roman" w:hAnsi="Times New Roman" w:cs="Times New Roman"/>
                <w:color w:val="000000"/>
              </w:rPr>
            </w:pPr>
          </w:p>
        </w:tc>
        <w:tc>
          <w:tcPr>
            <w:tcW w:w="5130" w:type="dxa"/>
          </w:tcPr>
          <w:p w14:paraId="35104190" w14:textId="013A1A65" w:rsidR="00AA34FA" w:rsidRDefault="00AA34FA" w:rsidP="003E0EF3">
            <w:pPr>
              <w:rPr>
                <w:rFonts w:ascii="Times New Roman" w:hAnsi="Times New Roman" w:cs="Times New Roman"/>
                <w:color w:val="000000"/>
              </w:rPr>
            </w:pPr>
            <w:r>
              <w:rPr>
                <w:rFonts w:ascii="Times New Roman" w:hAnsi="Times New Roman" w:cs="Times New Roman"/>
                <w:color w:val="000000"/>
              </w:rPr>
              <w:t>UP – The proposed revisions consolidate into a single rule the process and requirements for designating information as confidential and better tailor those requirements to RCW 80.04.095, RCW 81.77.210, and RCW 42.56.</w:t>
            </w:r>
            <w:r w:rsidR="00340455">
              <w:rPr>
                <w:rFonts w:ascii="Times New Roman" w:hAnsi="Times New Roman" w:cs="Times New Roman"/>
                <w:color w:val="000000"/>
              </w:rPr>
              <w:t xml:space="preserve"> </w:t>
            </w:r>
          </w:p>
          <w:p w14:paraId="102AFA39" w14:textId="77777777" w:rsidR="00FB2E7E" w:rsidRDefault="00FB2E7E" w:rsidP="00F83E70">
            <w:pPr>
              <w:rPr>
                <w:rFonts w:ascii="Times New Roman" w:hAnsi="Times New Roman" w:cs="Times New Roman"/>
                <w:color w:val="000000"/>
              </w:rPr>
            </w:pPr>
            <w:r>
              <w:rPr>
                <w:rFonts w:ascii="Times New Roman" w:hAnsi="Times New Roman" w:cs="Times New Roman"/>
                <w:color w:val="000000"/>
              </w:rPr>
              <w:t xml:space="preserve">WRRA – Disagree. </w:t>
            </w:r>
            <w:r w:rsidR="00872C1D">
              <w:rPr>
                <w:rFonts w:ascii="Times New Roman" w:hAnsi="Times New Roman" w:cs="Times New Roman"/>
                <w:color w:val="000000"/>
              </w:rPr>
              <w:t>RCW 81.77 applies to all solid waste collection companies, not just certificated solid waste collection companies</w:t>
            </w:r>
            <w:r w:rsidR="00F83E70">
              <w:rPr>
                <w:rFonts w:ascii="Times New Roman" w:hAnsi="Times New Roman" w:cs="Times New Roman"/>
                <w:color w:val="000000"/>
              </w:rPr>
              <w:t>, and there is no basis in the language of RCW 81.77.210 to limit its applicability to certificated companies</w:t>
            </w:r>
            <w:r w:rsidR="00872C1D">
              <w:rPr>
                <w:rFonts w:ascii="Times New Roman" w:hAnsi="Times New Roman" w:cs="Times New Roman"/>
                <w:color w:val="000000"/>
              </w:rPr>
              <w:t xml:space="preserve">. </w:t>
            </w:r>
            <w:r>
              <w:rPr>
                <w:rFonts w:ascii="Times New Roman" w:hAnsi="Times New Roman" w:cs="Times New Roman"/>
                <w:color w:val="000000"/>
              </w:rPr>
              <w:t xml:space="preserve">The Commission has consistently applied </w:t>
            </w:r>
            <w:r w:rsidR="00F83E70">
              <w:rPr>
                <w:rFonts w:ascii="Times New Roman" w:hAnsi="Times New Roman" w:cs="Times New Roman"/>
                <w:color w:val="000000"/>
              </w:rPr>
              <w:t>WAC 480-07-160</w:t>
            </w:r>
            <w:r>
              <w:rPr>
                <w:rFonts w:ascii="Times New Roman" w:hAnsi="Times New Roman" w:cs="Times New Roman"/>
                <w:color w:val="000000"/>
              </w:rPr>
              <w:t xml:space="preserve"> to applicants for authority to provide utility service, and because RCW 81.77.210 is virtually identical to RCW 80.04.095, the rule also should apply to applicants for solid waste collection authority.</w:t>
            </w:r>
          </w:p>
          <w:p w14:paraId="55845A46" w14:textId="0E15ACCE" w:rsidR="00340455" w:rsidRDefault="00340455" w:rsidP="00F83E70">
            <w:pPr>
              <w:rPr>
                <w:rFonts w:ascii="Times New Roman" w:hAnsi="Times New Roman" w:cs="Times New Roman"/>
                <w:color w:val="000000"/>
              </w:rPr>
            </w:pPr>
            <w:r>
              <w:rPr>
                <w:rFonts w:ascii="Times New Roman" w:hAnsi="Times New Roman" w:cs="Times New Roman"/>
                <w:color w:val="000000"/>
              </w:rPr>
              <w:t>SLG –The rule applies to all documents submitted to the Commission or its staff, which includes documents companies provide in response to informal Commission data requests.</w:t>
            </w:r>
          </w:p>
        </w:tc>
      </w:tr>
      <w:tr w:rsidR="00FB2E7E" w:rsidRPr="00B5727C" w14:paraId="7B4C0CAC" w14:textId="77777777" w:rsidTr="00D1070E">
        <w:trPr>
          <w:cantSplit/>
        </w:trPr>
        <w:tc>
          <w:tcPr>
            <w:tcW w:w="1328" w:type="dxa"/>
          </w:tcPr>
          <w:p w14:paraId="6B87C5D9" w14:textId="77777777" w:rsidR="00FB2E7E" w:rsidRDefault="00FB2E7E" w:rsidP="003E0EF3">
            <w:pPr>
              <w:rPr>
                <w:rFonts w:ascii="Times New Roman" w:hAnsi="Times New Roman" w:cs="Times New Roman"/>
              </w:rPr>
            </w:pPr>
            <w:r>
              <w:rPr>
                <w:rFonts w:ascii="Times New Roman" w:hAnsi="Times New Roman" w:cs="Times New Roman"/>
              </w:rPr>
              <w:t>160(2)</w:t>
            </w:r>
          </w:p>
        </w:tc>
        <w:tc>
          <w:tcPr>
            <w:tcW w:w="2717" w:type="dxa"/>
          </w:tcPr>
          <w:p w14:paraId="52BE0061" w14:textId="72989FB9" w:rsidR="00FB2E7E" w:rsidRDefault="00FB2E7E" w:rsidP="00A72836">
            <w:pPr>
              <w:rPr>
                <w:rFonts w:ascii="Times New Roman" w:hAnsi="Times New Roman" w:cs="Times New Roman"/>
              </w:rPr>
            </w:pPr>
            <w:r>
              <w:rPr>
                <w:rFonts w:ascii="Times New Roman" w:hAnsi="Times New Roman" w:cs="Times New Roman"/>
              </w:rPr>
              <w:t xml:space="preserve">PSE, PPL, NWN: </w:t>
            </w:r>
            <w:r w:rsidR="00A72836">
              <w:rPr>
                <w:rFonts w:ascii="Times New Roman" w:hAnsi="Times New Roman" w:cs="Times New Roman"/>
              </w:rPr>
              <w:t>Protect additional information that is exempt from public disclosure</w:t>
            </w:r>
            <w:r w:rsidR="003E0EF3">
              <w:rPr>
                <w:rFonts w:ascii="Times New Roman" w:hAnsi="Times New Roman" w:cs="Times New Roman"/>
              </w:rPr>
              <w:t xml:space="preserve"> under the PRA</w:t>
            </w:r>
            <w:r w:rsidR="00A72836">
              <w:rPr>
                <w:rFonts w:ascii="Times New Roman" w:hAnsi="Times New Roman" w:cs="Times New Roman"/>
              </w:rPr>
              <w:t xml:space="preserve"> (</w:t>
            </w:r>
            <w:r w:rsidR="00A72836" w:rsidRPr="00A72836">
              <w:rPr>
                <w:rFonts w:ascii="Times New Roman" w:hAnsi="Times New Roman" w:cs="Times New Roman"/>
                <w:i/>
              </w:rPr>
              <w:t>e.g</w:t>
            </w:r>
            <w:r w:rsidR="00A72836">
              <w:rPr>
                <w:rFonts w:ascii="Times New Roman" w:hAnsi="Times New Roman" w:cs="Times New Roman"/>
              </w:rPr>
              <w:t>., customers’ personal, financial, and contact information) as confidential information</w:t>
            </w:r>
          </w:p>
        </w:tc>
        <w:tc>
          <w:tcPr>
            <w:tcW w:w="2610" w:type="dxa"/>
          </w:tcPr>
          <w:p w14:paraId="5E216E77" w14:textId="37897E72" w:rsidR="00FB2E7E" w:rsidRPr="00B5727C" w:rsidRDefault="00FB2E7E" w:rsidP="003E0EF3">
            <w:pPr>
              <w:rPr>
                <w:rFonts w:ascii="Times New Roman" w:hAnsi="Times New Roman" w:cs="Times New Roman"/>
              </w:rPr>
            </w:pPr>
          </w:p>
        </w:tc>
        <w:tc>
          <w:tcPr>
            <w:tcW w:w="2970" w:type="dxa"/>
          </w:tcPr>
          <w:p w14:paraId="4397B448" w14:textId="77777777" w:rsidR="00FB2E7E" w:rsidRPr="00B5727C" w:rsidRDefault="00FB2E7E" w:rsidP="003E0EF3">
            <w:pPr>
              <w:rPr>
                <w:rFonts w:ascii="Times New Roman" w:hAnsi="Times New Roman" w:cs="Times New Roman"/>
                <w:color w:val="000000"/>
              </w:rPr>
            </w:pPr>
          </w:p>
        </w:tc>
        <w:tc>
          <w:tcPr>
            <w:tcW w:w="2430" w:type="dxa"/>
          </w:tcPr>
          <w:p w14:paraId="2DEBFAF6" w14:textId="77777777" w:rsidR="00FB2E7E" w:rsidRPr="00B5727C" w:rsidRDefault="00FB2E7E" w:rsidP="003E0EF3">
            <w:pPr>
              <w:rPr>
                <w:rFonts w:ascii="Times New Roman" w:hAnsi="Times New Roman" w:cs="Times New Roman"/>
                <w:color w:val="000000"/>
              </w:rPr>
            </w:pPr>
          </w:p>
        </w:tc>
        <w:tc>
          <w:tcPr>
            <w:tcW w:w="5130" w:type="dxa"/>
          </w:tcPr>
          <w:p w14:paraId="510769CF" w14:textId="7241C578" w:rsidR="00FB2E7E" w:rsidRDefault="00340455" w:rsidP="003E0EF3">
            <w:pPr>
              <w:rPr>
                <w:rFonts w:ascii="Times New Roman" w:hAnsi="Times New Roman" w:cs="Times New Roman"/>
                <w:color w:val="000000"/>
              </w:rPr>
            </w:pPr>
            <w:r>
              <w:rPr>
                <w:rFonts w:ascii="Times New Roman" w:hAnsi="Times New Roman" w:cs="Times New Roman"/>
                <w:color w:val="000000"/>
              </w:rPr>
              <w:t xml:space="preserve">Disagree. </w:t>
            </w:r>
            <w:r w:rsidR="00E026CA">
              <w:rPr>
                <w:rFonts w:ascii="Times New Roman" w:hAnsi="Times New Roman" w:cs="Times New Roman"/>
                <w:color w:val="000000"/>
              </w:rPr>
              <w:t>See separate Staff memo</w:t>
            </w:r>
            <w:r w:rsidR="003501DC">
              <w:rPr>
                <w:rFonts w:ascii="Times New Roman" w:hAnsi="Times New Roman" w:cs="Times New Roman"/>
                <w:color w:val="000000"/>
              </w:rPr>
              <w:t xml:space="preserve"> on information designated as confidential</w:t>
            </w:r>
            <w:r w:rsidR="00303E2D">
              <w:rPr>
                <w:rFonts w:ascii="Times New Roman" w:hAnsi="Times New Roman" w:cs="Times New Roman"/>
                <w:color w:val="000000"/>
              </w:rPr>
              <w:t>.</w:t>
            </w:r>
          </w:p>
          <w:p w14:paraId="6F57184C" w14:textId="77777777" w:rsidR="00FB2E7E" w:rsidRDefault="00FB2E7E" w:rsidP="003E0EF3">
            <w:pPr>
              <w:rPr>
                <w:rFonts w:ascii="Times New Roman" w:hAnsi="Times New Roman" w:cs="Times New Roman"/>
                <w:color w:val="000000"/>
              </w:rPr>
            </w:pPr>
          </w:p>
        </w:tc>
      </w:tr>
      <w:tr w:rsidR="00FB2E7E" w:rsidRPr="00B5727C" w14:paraId="34E04191" w14:textId="77777777" w:rsidTr="00D1070E">
        <w:trPr>
          <w:cantSplit/>
        </w:trPr>
        <w:tc>
          <w:tcPr>
            <w:tcW w:w="1328" w:type="dxa"/>
          </w:tcPr>
          <w:p w14:paraId="2F8F266F" w14:textId="77777777" w:rsidR="00FB2E7E" w:rsidRDefault="00FB2E7E" w:rsidP="003E0EF3">
            <w:pPr>
              <w:rPr>
                <w:rFonts w:ascii="Times New Roman" w:hAnsi="Times New Roman" w:cs="Times New Roman"/>
              </w:rPr>
            </w:pPr>
            <w:r>
              <w:rPr>
                <w:rFonts w:ascii="Times New Roman" w:hAnsi="Times New Roman" w:cs="Times New Roman"/>
              </w:rPr>
              <w:t>160(3)</w:t>
            </w:r>
          </w:p>
        </w:tc>
        <w:tc>
          <w:tcPr>
            <w:tcW w:w="2717" w:type="dxa"/>
          </w:tcPr>
          <w:p w14:paraId="21C24538" w14:textId="77777777" w:rsidR="00FB2E7E" w:rsidRDefault="00FB2E7E" w:rsidP="003E0EF3">
            <w:pPr>
              <w:rPr>
                <w:rFonts w:ascii="Times New Roman" w:hAnsi="Times New Roman" w:cs="Times New Roman"/>
              </w:rPr>
            </w:pPr>
          </w:p>
        </w:tc>
        <w:tc>
          <w:tcPr>
            <w:tcW w:w="2610" w:type="dxa"/>
          </w:tcPr>
          <w:p w14:paraId="34E64777" w14:textId="622A7FDA" w:rsidR="00FB2E7E" w:rsidRPr="00B5727C" w:rsidRDefault="00FB2E7E" w:rsidP="00D1070E">
            <w:pPr>
              <w:rPr>
                <w:rFonts w:ascii="Times New Roman" w:hAnsi="Times New Roman" w:cs="Times New Roman"/>
              </w:rPr>
            </w:pPr>
            <w:r>
              <w:rPr>
                <w:rFonts w:ascii="Times New Roman" w:hAnsi="Times New Roman" w:cs="Times New Roman"/>
              </w:rPr>
              <w:t xml:space="preserve">UP: </w:t>
            </w:r>
            <w:r w:rsidR="00D1070E">
              <w:rPr>
                <w:rFonts w:ascii="Times New Roman" w:hAnsi="Times New Roman" w:cs="Times New Roman"/>
              </w:rPr>
              <w:t xml:space="preserve">Commission should not create and impose its own definition of “confidential Information,” including </w:t>
            </w:r>
            <w:r w:rsidR="003E0EF3">
              <w:rPr>
                <w:rFonts w:ascii="Times New Roman" w:hAnsi="Times New Roman" w:cs="Times New Roman"/>
              </w:rPr>
              <w:t>highly confidential protection</w:t>
            </w:r>
            <w:r w:rsidR="00D1070E">
              <w:rPr>
                <w:rFonts w:ascii="Times New Roman" w:hAnsi="Times New Roman" w:cs="Times New Roman"/>
              </w:rPr>
              <w:t>; revised rule fails to recognize other exemptions, specifically federal law</w:t>
            </w:r>
          </w:p>
        </w:tc>
        <w:tc>
          <w:tcPr>
            <w:tcW w:w="2970" w:type="dxa"/>
          </w:tcPr>
          <w:p w14:paraId="01507D12" w14:textId="77777777" w:rsidR="00FB2E7E" w:rsidRDefault="00FB2E7E" w:rsidP="003E0EF3">
            <w:pPr>
              <w:rPr>
                <w:rFonts w:ascii="Times New Roman" w:hAnsi="Times New Roman" w:cs="Times New Roman"/>
                <w:color w:val="000000"/>
              </w:rPr>
            </w:pPr>
          </w:p>
        </w:tc>
        <w:tc>
          <w:tcPr>
            <w:tcW w:w="2430" w:type="dxa"/>
          </w:tcPr>
          <w:p w14:paraId="07DAD10B" w14:textId="77777777" w:rsidR="00FB2E7E" w:rsidRPr="00B5727C" w:rsidRDefault="00FB2E7E" w:rsidP="003E0EF3">
            <w:pPr>
              <w:rPr>
                <w:rFonts w:ascii="Times New Roman" w:hAnsi="Times New Roman" w:cs="Times New Roman"/>
                <w:color w:val="000000"/>
              </w:rPr>
            </w:pPr>
          </w:p>
        </w:tc>
        <w:tc>
          <w:tcPr>
            <w:tcW w:w="5130" w:type="dxa"/>
          </w:tcPr>
          <w:p w14:paraId="70923AA2" w14:textId="02B8A427" w:rsidR="00FB2E7E" w:rsidRDefault="00340455" w:rsidP="003E0EF3">
            <w:pPr>
              <w:rPr>
                <w:rFonts w:ascii="Times New Roman" w:hAnsi="Times New Roman" w:cs="Times New Roman"/>
                <w:color w:val="000000"/>
              </w:rPr>
            </w:pPr>
            <w:r>
              <w:rPr>
                <w:rFonts w:ascii="Times New Roman" w:hAnsi="Times New Roman" w:cs="Times New Roman"/>
                <w:color w:val="000000"/>
              </w:rPr>
              <w:t xml:space="preserve">Disagree. </w:t>
            </w:r>
            <w:r w:rsidR="00D32E4D" w:rsidRPr="00D32E4D">
              <w:rPr>
                <w:rFonts w:ascii="Times New Roman" w:hAnsi="Times New Roman" w:cs="Times New Roman"/>
                <w:color w:val="000000"/>
              </w:rPr>
              <w:t xml:space="preserve">With respect to the </w:t>
            </w:r>
            <w:r w:rsidR="00D32E4D" w:rsidRPr="00D32E4D">
              <w:rPr>
                <w:rFonts w:ascii="Times New Roman" w:hAnsi="Times New Roman"/>
              </w:rPr>
              <w:t xml:space="preserve">highly confidential designation, the rule does not alter the statutory definition of “valuable commercial information” but only provides more restrictive limits on </w:t>
            </w:r>
            <w:r w:rsidR="00A74B53">
              <w:rPr>
                <w:rFonts w:ascii="Times New Roman" w:hAnsi="Times New Roman"/>
              </w:rPr>
              <w:t>persons other than C</w:t>
            </w:r>
            <w:r w:rsidR="00D32E4D" w:rsidRPr="00D32E4D">
              <w:rPr>
                <w:rFonts w:ascii="Times New Roman" w:hAnsi="Times New Roman"/>
              </w:rPr>
              <w:t xml:space="preserve">ommission or attorney general personnel who can have access to such information. That protection is part of the existing rule and has been part of Commission practice for over 20 years. </w:t>
            </w:r>
            <w:r w:rsidR="00715E20">
              <w:rPr>
                <w:rFonts w:ascii="Times New Roman" w:hAnsi="Times New Roman" w:cs="Times New Roman"/>
                <w:color w:val="000000"/>
              </w:rPr>
              <w:t>See separate Staff memo</w:t>
            </w:r>
            <w:r w:rsidR="003501DC">
              <w:rPr>
                <w:rFonts w:ascii="Times New Roman" w:hAnsi="Times New Roman" w:cs="Times New Roman"/>
                <w:color w:val="000000"/>
              </w:rPr>
              <w:t xml:space="preserve"> on information designated as confidential</w:t>
            </w:r>
            <w:r w:rsidR="00D32E4D">
              <w:rPr>
                <w:rFonts w:ascii="Times New Roman" w:hAnsi="Times New Roman" w:cs="Times New Roman"/>
                <w:color w:val="000000"/>
              </w:rPr>
              <w:t xml:space="preserve"> for </w:t>
            </w:r>
            <w:r w:rsidR="00A74B53">
              <w:rPr>
                <w:rFonts w:ascii="Times New Roman" w:hAnsi="Times New Roman" w:cs="Times New Roman"/>
                <w:color w:val="000000"/>
              </w:rPr>
              <w:t xml:space="preserve">the response to the </w:t>
            </w:r>
            <w:r w:rsidR="00D32E4D">
              <w:rPr>
                <w:rFonts w:ascii="Times New Roman" w:hAnsi="Times New Roman" w:cs="Times New Roman"/>
                <w:color w:val="000000"/>
              </w:rPr>
              <w:t>more general objections</w:t>
            </w:r>
            <w:r w:rsidR="00FB2E7E">
              <w:rPr>
                <w:rFonts w:ascii="Times New Roman" w:hAnsi="Times New Roman" w:cs="Times New Roman"/>
                <w:color w:val="000000"/>
              </w:rPr>
              <w:t>.</w:t>
            </w:r>
          </w:p>
        </w:tc>
      </w:tr>
      <w:tr w:rsidR="00FB2E7E" w:rsidRPr="00B5727C" w14:paraId="3DA01B6E" w14:textId="77777777" w:rsidTr="00D1070E">
        <w:trPr>
          <w:cantSplit/>
        </w:trPr>
        <w:tc>
          <w:tcPr>
            <w:tcW w:w="1328" w:type="dxa"/>
          </w:tcPr>
          <w:p w14:paraId="6377261B" w14:textId="77777777" w:rsidR="00FB2E7E" w:rsidRDefault="00FB2E7E" w:rsidP="003E0EF3">
            <w:pPr>
              <w:rPr>
                <w:rFonts w:ascii="Times New Roman" w:hAnsi="Times New Roman" w:cs="Times New Roman"/>
              </w:rPr>
            </w:pPr>
            <w:r>
              <w:rPr>
                <w:rFonts w:ascii="Times New Roman" w:hAnsi="Times New Roman" w:cs="Times New Roman"/>
              </w:rPr>
              <w:t>160(4)(d)</w:t>
            </w:r>
          </w:p>
        </w:tc>
        <w:tc>
          <w:tcPr>
            <w:tcW w:w="2717" w:type="dxa"/>
          </w:tcPr>
          <w:p w14:paraId="6CFDCA46" w14:textId="226A9A09" w:rsidR="00FB2E7E" w:rsidRDefault="00FB2E7E" w:rsidP="00A72836">
            <w:pPr>
              <w:rPr>
                <w:rFonts w:ascii="Times New Roman" w:hAnsi="Times New Roman" w:cs="Times New Roman"/>
              </w:rPr>
            </w:pPr>
            <w:r>
              <w:rPr>
                <w:rFonts w:ascii="Times New Roman" w:hAnsi="Times New Roman" w:cs="Times New Roman"/>
              </w:rPr>
              <w:t xml:space="preserve">PPL: </w:t>
            </w:r>
            <w:r w:rsidR="00A72836">
              <w:rPr>
                <w:rFonts w:ascii="Times New Roman" w:hAnsi="Times New Roman" w:cs="Times New Roman"/>
              </w:rPr>
              <w:t>Use a “reasonable efforts” standard with respect to designating confidential information, particularly for extremely voluminous documents or designations.</w:t>
            </w:r>
          </w:p>
        </w:tc>
        <w:tc>
          <w:tcPr>
            <w:tcW w:w="2610" w:type="dxa"/>
          </w:tcPr>
          <w:p w14:paraId="5F45D1EB" w14:textId="77777777" w:rsidR="00FB2E7E" w:rsidRPr="00B5727C" w:rsidRDefault="00FB2E7E" w:rsidP="003E0EF3">
            <w:pPr>
              <w:rPr>
                <w:rFonts w:ascii="Times New Roman" w:hAnsi="Times New Roman" w:cs="Times New Roman"/>
              </w:rPr>
            </w:pPr>
          </w:p>
        </w:tc>
        <w:tc>
          <w:tcPr>
            <w:tcW w:w="2970" w:type="dxa"/>
          </w:tcPr>
          <w:p w14:paraId="14931331" w14:textId="77777777" w:rsidR="00FB2E7E" w:rsidRDefault="00FB2E7E" w:rsidP="003E0EF3">
            <w:pPr>
              <w:rPr>
                <w:rFonts w:ascii="Times New Roman" w:hAnsi="Times New Roman" w:cs="Times New Roman"/>
                <w:color w:val="000000"/>
              </w:rPr>
            </w:pPr>
          </w:p>
        </w:tc>
        <w:tc>
          <w:tcPr>
            <w:tcW w:w="2430" w:type="dxa"/>
          </w:tcPr>
          <w:p w14:paraId="69540B13" w14:textId="77777777" w:rsidR="00FB2E7E" w:rsidRPr="00B5727C" w:rsidRDefault="00FB2E7E" w:rsidP="003E0EF3">
            <w:pPr>
              <w:rPr>
                <w:rFonts w:ascii="Times New Roman" w:hAnsi="Times New Roman" w:cs="Times New Roman"/>
                <w:color w:val="000000"/>
              </w:rPr>
            </w:pPr>
          </w:p>
        </w:tc>
        <w:tc>
          <w:tcPr>
            <w:tcW w:w="5130" w:type="dxa"/>
          </w:tcPr>
          <w:p w14:paraId="5839D4A8" w14:textId="149970F4" w:rsidR="00FB2E7E" w:rsidRDefault="00FB2E7E" w:rsidP="000E6E83">
            <w:pPr>
              <w:rPr>
                <w:rFonts w:ascii="Times New Roman" w:hAnsi="Times New Roman" w:cs="Times New Roman"/>
                <w:color w:val="000000"/>
              </w:rPr>
            </w:pPr>
            <w:r>
              <w:rPr>
                <w:rFonts w:ascii="Times New Roman" w:hAnsi="Times New Roman" w:cs="Times New Roman"/>
                <w:color w:val="000000"/>
              </w:rPr>
              <w:t xml:space="preserve">Disagree. </w:t>
            </w:r>
            <w:r w:rsidR="00A72836">
              <w:rPr>
                <w:rFonts w:ascii="Times New Roman" w:hAnsi="Times New Roman" w:cs="Times New Roman"/>
                <w:color w:val="000000"/>
              </w:rPr>
              <w:t>T</w:t>
            </w:r>
            <w:r>
              <w:rPr>
                <w:rFonts w:ascii="Times New Roman" w:hAnsi="Times New Roman" w:cs="Times New Roman"/>
                <w:color w:val="000000"/>
              </w:rPr>
              <w:t xml:space="preserve">he </w:t>
            </w:r>
            <w:r w:rsidR="00715E20">
              <w:rPr>
                <w:rFonts w:ascii="Times New Roman" w:hAnsi="Times New Roman" w:cs="Times New Roman"/>
                <w:color w:val="000000"/>
              </w:rPr>
              <w:t xml:space="preserve">proposed rule </w:t>
            </w:r>
            <w:r>
              <w:rPr>
                <w:rFonts w:ascii="Times New Roman" w:hAnsi="Times New Roman" w:cs="Times New Roman"/>
                <w:color w:val="000000"/>
              </w:rPr>
              <w:t xml:space="preserve">language </w:t>
            </w:r>
            <w:r w:rsidR="00715E20">
              <w:rPr>
                <w:rFonts w:ascii="Times New Roman" w:hAnsi="Times New Roman" w:cs="Times New Roman"/>
                <w:color w:val="000000"/>
              </w:rPr>
              <w:t xml:space="preserve">allows for </w:t>
            </w:r>
            <w:r w:rsidR="000E6E83">
              <w:rPr>
                <w:rFonts w:ascii="Times New Roman" w:hAnsi="Times New Roman" w:cs="Times New Roman"/>
                <w:color w:val="000000"/>
              </w:rPr>
              <w:t xml:space="preserve">greater </w:t>
            </w:r>
            <w:r w:rsidR="00715E20">
              <w:rPr>
                <w:rFonts w:ascii="Times New Roman" w:hAnsi="Times New Roman" w:cs="Times New Roman"/>
                <w:color w:val="000000"/>
              </w:rPr>
              <w:t xml:space="preserve">flexibility </w:t>
            </w:r>
            <w:r w:rsidR="000E6E83">
              <w:rPr>
                <w:rFonts w:ascii="Times New Roman" w:hAnsi="Times New Roman" w:cs="Times New Roman"/>
                <w:color w:val="000000"/>
              </w:rPr>
              <w:t xml:space="preserve">than the existing rule </w:t>
            </w:r>
            <w:r w:rsidR="00715E20">
              <w:rPr>
                <w:rFonts w:ascii="Times New Roman" w:hAnsi="Times New Roman" w:cs="Times New Roman"/>
                <w:color w:val="000000"/>
              </w:rPr>
              <w:t xml:space="preserve">by requiring that information designated as confidential be highlighted through shading </w:t>
            </w:r>
            <w:r w:rsidR="00715E20" w:rsidRPr="000E6E83">
              <w:rPr>
                <w:rFonts w:ascii="Times New Roman" w:hAnsi="Times New Roman" w:cs="Times New Roman"/>
                <w:i/>
                <w:color w:val="000000"/>
              </w:rPr>
              <w:t>or other clearly visible designation</w:t>
            </w:r>
            <w:r>
              <w:rPr>
                <w:rFonts w:ascii="Times New Roman" w:hAnsi="Times New Roman" w:cs="Times New Roman"/>
                <w:color w:val="000000"/>
              </w:rPr>
              <w:t>.</w:t>
            </w:r>
            <w:r w:rsidR="00715E20">
              <w:rPr>
                <w:rFonts w:ascii="Times New Roman" w:hAnsi="Times New Roman" w:cs="Times New Roman"/>
                <w:color w:val="000000"/>
              </w:rPr>
              <w:t xml:space="preserve"> To the extent that </w:t>
            </w:r>
            <w:r w:rsidR="000E6E83">
              <w:rPr>
                <w:rFonts w:ascii="Times New Roman" w:hAnsi="Times New Roman" w:cs="Times New Roman"/>
                <w:color w:val="000000"/>
              </w:rPr>
              <w:t>even with this flexibility, the requirement</w:t>
            </w:r>
            <w:r w:rsidR="00715E20">
              <w:rPr>
                <w:rFonts w:ascii="Times New Roman" w:hAnsi="Times New Roman" w:cs="Times New Roman"/>
                <w:color w:val="000000"/>
              </w:rPr>
              <w:t xml:space="preserve"> imposes an extraordinary burden on the provider of a specific document, the provider may seek a waiver of the requirement. The Commission’s ultimate goal is to ensure that it is fully aware of all information that a company has designated as confidential</w:t>
            </w:r>
            <w:r w:rsidR="00340455">
              <w:rPr>
                <w:rFonts w:ascii="Times New Roman" w:hAnsi="Times New Roman" w:cs="Times New Roman"/>
                <w:color w:val="000000"/>
              </w:rPr>
              <w:t>, and requiring only “reasonable efforts” is too vague a standard for accomplishing that goal</w:t>
            </w:r>
            <w:r>
              <w:rPr>
                <w:rFonts w:ascii="Times New Roman" w:hAnsi="Times New Roman" w:cs="Times New Roman"/>
                <w:color w:val="000000"/>
              </w:rPr>
              <w:t>.</w:t>
            </w:r>
          </w:p>
        </w:tc>
      </w:tr>
      <w:tr w:rsidR="003E0EF3" w:rsidRPr="00B5727C" w14:paraId="7AFB770A" w14:textId="77777777" w:rsidTr="00D1070E">
        <w:trPr>
          <w:cantSplit/>
        </w:trPr>
        <w:tc>
          <w:tcPr>
            <w:tcW w:w="1328" w:type="dxa"/>
          </w:tcPr>
          <w:p w14:paraId="4B15CA94" w14:textId="2AB76A2B" w:rsidR="003E0EF3" w:rsidRDefault="003E0EF3" w:rsidP="003E0EF3">
            <w:pPr>
              <w:rPr>
                <w:rFonts w:ascii="Times New Roman" w:hAnsi="Times New Roman" w:cs="Times New Roman"/>
              </w:rPr>
            </w:pPr>
            <w:r>
              <w:rPr>
                <w:rFonts w:ascii="Times New Roman" w:hAnsi="Times New Roman" w:cs="Times New Roman"/>
              </w:rPr>
              <w:t>160(5)</w:t>
            </w:r>
          </w:p>
        </w:tc>
        <w:tc>
          <w:tcPr>
            <w:tcW w:w="2717" w:type="dxa"/>
          </w:tcPr>
          <w:p w14:paraId="1E09737F" w14:textId="273D98B0" w:rsidR="003E0EF3" w:rsidRDefault="00BB032D" w:rsidP="003E0EF3">
            <w:pPr>
              <w:rPr>
                <w:rFonts w:ascii="Times New Roman" w:hAnsi="Times New Roman" w:cs="Times New Roman"/>
              </w:rPr>
            </w:pPr>
            <w:r>
              <w:rPr>
                <w:rFonts w:ascii="Times New Roman" w:hAnsi="Times New Roman" w:cs="Times New Roman"/>
              </w:rPr>
              <w:t xml:space="preserve">CL, </w:t>
            </w:r>
            <w:r w:rsidR="00E71D66">
              <w:rPr>
                <w:rFonts w:ascii="Times New Roman" w:hAnsi="Times New Roman" w:cs="Times New Roman"/>
              </w:rPr>
              <w:t xml:space="preserve">NWN, </w:t>
            </w:r>
            <w:r w:rsidR="003E0EF3">
              <w:rPr>
                <w:rFonts w:ascii="Times New Roman" w:hAnsi="Times New Roman" w:cs="Times New Roman"/>
              </w:rPr>
              <w:t>PPL</w:t>
            </w:r>
            <w:r w:rsidR="00D1070E">
              <w:rPr>
                <w:rFonts w:ascii="Times New Roman" w:hAnsi="Times New Roman" w:cs="Times New Roman"/>
              </w:rPr>
              <w:t>, PSE</w:t>
            </w:r>
            <w:r w:rsidR="003E0EF3">
              <w:rPr>
                <w:rFonts w:ascii="Times New Roman" w:hAnsi="Times New Roman" w:cs="Times New Roman"/>
              </w:rPr>
              <w:t>: Retain existing rule provision requiring Commission resolution of dispute over confidentiality designation in adjudications</w:t>
            </w:r>
          </w:p>
        </w:tc>
        <w:tc>
          <w:tcPr>
            <w:tcW w:w="2610" w:type="dxa"/>
          </w:tcPr>
          <w:p w14:paraId="6BA09FE8" w14:textId="77777777" w:rsidR="003E0EF3" w:rsidRDefault="003E0EF3" w:rsidP="003E0EF3">
            <w:pPr>
              <w:rPr>
                <w:rFonts w:ascii="Times New Roman" w:hAnsi="Times New Roman" w:cs="Times New Roman"/>
              </w:rPr>
            </w:pPr>
          </w:p>
        </w:tc>
        <w:tc>
          <w:tcPr>
            <w:tcW w:w="2970" w:type="dxa"/>
          </w:tcPr>
          <w:p w14:paraId="0C238025" w14:textId="2BB2DC27" w:rsidR="003E0EF3" w:rsidRDefault="00E207AF" w:rsidP="003E0EF3">
            <w:pPr>
              <w:rPr>
                <w:rFonts w:ascii="Times New Roman" w:hAnsi="Times New Roman" w:cs="Times New Roman"/>
                <w:color w:val="000000"/>
              </w:rPr>
            </w:pPr>
            <w:r>
              <w:rPr>
                <w:rFonts w:ascii="Times New Roman" w:hAnsi="Times New Roman" w:cs="Times New Roman"/>
                <w:color w:val="000000"/>
              </w:rPr>
              <w:t>SLG: Commission should review any challenge to a confidentiality designation to ensure it is made in good faith, rather than to burden or harass an opposing party</w:t>
            </w:r>
          </w:p>
        </w:tc>
        <w:tc>
          <w:tcPr>
            <w:tcW w:w="2430" w:type="dxa"/>
          </w:tcPr>
          <w:p w14:paraId="48F7BE78" w14:textId="77777777" w:rsidR="003E0EF3" w:rsidRPr="00B5727C" w:rsidRDefault="003E0EF3" w:rsidP="003E0EF3">
            <w:pPr>
              <w:rPr>
                <w:rFonts w:ascii="Times New Roman" w:hAnsi="Times New Roman" w:cs="Times New Roman"/>
                <w:color w:val="000000"/>
              </w:rPr>
            </w:pPr>
          </w:p>
        </w:tc>
        <w:tc>
          <w:tcPr>
            <w:tcW w:w="5130" w:type="dxa"/>
          </w:tcPr>
          <w:p w14:paraId="6352CFD1" w14:textId="6C31E67A" w:rsidR="003E0EF3" w:rsidRDefault="00EF08A7" w:rsidP="003E0EF3">
            <w:pPr>
              <w:rPr>
                <w:rFonts w:ascii="Times New Roman" w:hAnsi="Times New Roman" w:cs="Times New Roman"/>
                <w:color w:val="000000"/>
              </w:rPr>
            </w:pPr>
            <w:r>
              <w:rPr>
                <w:rFonts w:ascii="Times New Roman" w:hAnsi="Times New Roman" w:cs="Times New Roman"/>
                <w:color w:val="000000"/>
              </w:rPr>
              <w:t xml:space="preserve">Disagree. </w:t>
            </w:r>
            <w:r w:rsidR="000E6E83">
              <w:rPr>
                <w:rFonts w:ascii="Times New Roman" w:hAnsi="Times New Roman" w:cs="Times New Roman"/>
                <w:color w:val="000000"/>
              </w:rPr>
              <w:t>See separate Staff memo</w:t>
            </w:r>
            <w:r w:rsidR="003501DC">
              <w:rPr>
                <w:rFonts w:ascii="Times New Roman" w:hAnsi="Times New Roman" w:cs="Times New Roman"/>
                <w:color w:val="000000"/>
              </w:rPr>
              <w:t xml:space="preserve"> on information designated as confidential</w:t>
            </w:r>
            <w:r w:rsidR="000E6E83">
              <w:rPr>
                <w:rFonts w:ascii="Times New Roman" w:hAnsi="Times New Roman" w:cs="Times New Roman"/>
                <w:color w:val="000000"/>
              </w:rPr>
              <w:t>.</w:t>
            </w:r>
          </w:p>
        </w:tc>
      </w:tr>
      <w:tr w:rsidR="00FB2E7E" w:rsidRPr="00B5727C" w14:paraId="25233829" w14:textId="77777777" w:rsidTr="00D1070E">
        <w:trPr>
          <w:cantSplit/>
        </w:trPr>
        <w:tc>
          <w:tcPr>
            <w:tcW w:w="1328" w:type="dxa"/>
          </w:tcPr>
          <w:p w14:paraId="2339FB1D" w14:textId="77777777" w:rsidR="00FB2E7E" w:rsidRDefault="00FB2E7E" w:rsidP="003E0EF3">
            <w:pPr>
              <w:rPr>
                <w:rFonts w:ascii="Times New Roman" w:hAnsi="Times New Roman" w:cs="Times New Roman"/>
              </w:rPr>
            </w:pPr>
            <w:r>
              <w:rPr>
                <w:rFonts w:ascii="Times New Roman" w:hAnsi="Times New Roman" w:cs="Times New Roman"/>
              </w:rPr>
              <w:t>160(6)</w:t>
            </w:r>
          </w:p>
        </w:tc>
        <w:tc>
          <w:tcPr>
            <w:tcW w:w="2717" w:type="dxa"/>
          </w:tcPr>
          <w:p w14:paraId="0263497A" w14:textId="730B9DAD" w:rsidR="00FB2E7E" w:rsidRDefault="003E0EF3" w:rsidP="003E0EF3">
            <w:pPr>
              <w:rPr>
                <w:rFonts w:ascii="Times New Roman" w:hAnsi="Times New Roman" w:cs="Times New Roman"/>
              </w:rPr>
            </w:pPr>
            <w:r>
              <w:rPr>
                <w:rFonts w:ascii="Times New Roman" w:hAnsi="Times New Roman" w:cs="Times New Roman"/>
              </w:rPr>
              <w:t>PPL: Clarify that any release of information designated as confidential is conditioned on that release not being prohibited by law, rule, or Commission order</w:t>
            </w:r>
          </w:p>
        </w:tc>
        <w:tc>
          <w:tcPr>
            <w:tcW w:w="2610" w:type="dxa"/>
          </w:tcPr>
          <w:p w14:paraId="36067ACD" w14:textId="77777777" w:rsidR="00FB2E7E" w:rsidRDefault="00FB2E7E" w:rsidP="003E0EF3">
            <w:pPr>
              <w:rPr>
                <w:rFonts w:ascii="Times New Roman" w:hAnsi="Times New Roman" w:cs="Times New Roman"/>
              </w:rPr>
            </w:pPr>
          </w:p>
        </w:tc>
        <w:tc>
          <w:tcPr>
            <w:tcW w:w="2970" w:type="dxa"/>
          </w:tcPr>
          <w:p w14:paraId="31A1EE21" w14:textId="70907DAD" w:rsidR="00FB2E7E" w:rsidRDefault="00FB2E7E" w:rsidP="00E207AF">
            <w:pPr>
              <w:rPr>
                <w:rFonts w:ascii="Times New Roman" w:hAnsi="Times New Roman" w:cs="Times New Roman"/>
                <w:color w:val="000000"/>
              </w:rPr>
            </w:pPr>
            <w:r>
              <w:rPr>
                <w:rFonts w:ascii="Times New Roman" w:hAnsi="Times New Roman" w:cs="Times New Roman"/>
                <w:color w:val="000000"/>
              </w:rPr>
              <w:t>SLG: C</w:t>
            </w:r>
            <w:r w:rsidR="00E207AF">
              <w:rPr>
                <w:rFonts w:ascii="Times New Roman" w:hAnsi="Times New Roman" w:cs="Times New Roman"/>
                <w:color w:val="000000"/>
              </w:rPr>
              <w:t xml:space="preserve">ommission should notify provider whenever its </w:t>
            </w:r>
            <w:r>
              <w:rPr>
                <w:rFonts w:ascii="Times New Roman" w:hAnsi="Times New Roman" w:cs="Times New Roman"/>
                <w:color w:val="000000"/>
              </w:rPr>
              <w:t>confidential information is requested</w:t>
            </w:r>
            <w:r w:rsidR="00E207AF">
              <w:rPr>
                <w:rFonts w:ascii="Times New Roman" w:hAnsi="Times New Roman" w:cs="Times New Roman"/>
                <w:color w:val="000000"/>
              </w:rPr>
              <w:t>, not just</w:t>
            </w:r>
            <w:r>
              <w:rPr>
                <w:rFonts w:ascii="Times New Roman" w:hAnsi="Times New Roman" w:cs="Times New Roman"/>
                <w:color w:val="000000"/>
              </w:rPr>
              <w:t xml:space="preserve"> when the designation is challenged</w:t>
            </w:r>
            <w:r w:rsidR="00E207AF">
              <w:rPr>
                <w:rFonts w:ascii="Times New Roman" w:hAnsi="Times New Roman" w:cs="Times New Roman"/>
                <w:color w:val="000000"/>
              </w:rPr>
              <w:t>, to enable the requester and the company to resolve the request agreeably</w:t>
            </w:r>
          </w:p>
        </w:tc>
        <w:tc>
          <w:tcPr>
            <w:tcW w:w="2430" w:type="dxa"/>
          </w:tcPr>
          <w:p w14:paraId="2C3948CC" w14:textId="77777777" w:rsidR="00FB2E7E" w:rsidRPr="00B5727C" w:rsidRDefault="00FB2E7E" w:rsidP="003E0EF3">
            <w:pPr>
              <w:rPr>
                <w:rFonts w:ascii="Times New Roman" w:hAnsi="Times New Roman" w:cs="Times New Roman"/>
                <w:color w:val="000000"/>
              </w:rPr>
            </w:pPr>
          </w:p>
        </w:tc>
        <w:tc>
          <w:tcPr>
            <w:tcW w:w="5130" w:type="dxa"/>
          </w:tcPr>
          <w:p w14:paraId="6F601A08" w14:textId="1F0A3F3D" w:rsidR="000E6E83" w:rsidRDefault="000E6E83" w:rsidP="003E0EF3">
            <w:pPr>
              <w:rPr>
                <w:rFonts w:ascii="Times New Roman" w:hAnsi="Times New Roman" w:cs="Times New Roman"/>
                <w:color w:val="000000"/>
              </w:rPr>
            </w:pPr>
            <w:r>
              <w:rPr>
                <w:rFonts w:ascii="Times New Roman" w:hAnsi="Times New Roman" w:cs="Times New Roman"/>
                <w:color w:val="000000"/>
              </w:rPr>
              <w:t>PPL – Disagree. The rule is sufficiently clear that the Commission will not release information designated as confidential if a court order prohibits such release. A Commission rule or order can delay that release by 10 days but cannot otherwise authorize the Commission to withhold production of such information.</w:t>
            </w:r>
          </w:p>
          <w:p w14:paraId="2CAA87A9" w14:textId="2A96DD21" w:rsidR="00FB2E7E" w:rsidRDefault="000E6E83" w:rsidP="009A243E">
            <w:pPr>
              <w:rPr>
                <w:rFonts w:ascii="Times New Roman" w:hAnsi="Times New Roman" w:cs="Times New Roman"/>
                <w:color w:val="000000"/>
              </w:rPr>
            </w:pPr>
            <w:r>
              <w:rPr>
                <w:rFonts w:ascii="Times New Roman" w:hAnsi="Times New Roman" w:cs="Times New Roman"/>
                <w:color w:val="000000"/>
              </w:rPr>
              <w:t xml:space="preserve">SLG – Disagree. </w:t>
            </w:r>
            <w:r w:rsidR="00FB2E7E">
              <w:rPr>
                <w:rFonts w:ascii="Times New Roman" w:hAnsi="Times New Roman" w:cs="Times New Roman"/>
                <w:color w:val="000000"/>
              </w:rPr>
              <w:t xml:space="preserve">Requesters often do not </w:t>
            </w:r>
            <w:r w:rsidR="009A243E">
              <w:rPr>
                <w:rFonts w:ascii="Times New Roman" w:hAnsi="Times New Roman" w:cs="Times New Roman"/>
                <w:color w:val="000000"/>
              </w:rPr>
              <w:t>continue to request</w:t>
            </w:r>
            <w:r w:rsidR="00FB2E7E">
              <w:rPr>
                <w:rFonts w:ascii="Times New Roman" w:hAnsi="Times New Roman" w:cs="Times New Roman"/>
                <w:color w:val="000000"/>
              </w:rPr>
              <w:t xml:space="preserve"> information once they are aware it is designated as confidential, so the commission notifies the provider only when the requester continues to request information knowing it</w:t>
            </w:r>
            <w:r>
              <w:rPr>
                <w:rFonts w:ascii="Times New Roman" w:hAnsi="Times New Roman" w:cs="Times New Roman"/>
                <w:color w:val="000000"/>
              </w:rPr>
              <w:t>s</w:t>
            </w:r>
            <w:r w:rsidR="00FB2E7E">
              <w:rPr>
                <w:rFonts w:ascii="Times New Roman" w:hAnsi="Times New Roman" w:cs="Times New Roman"/>
                <w:color w:val="000000"/>
              </w:rPr>
              <w:t xml:space="preserve"> confidential</w:t>
            </w:r>
            <w:r>
              <w:rPr>
                <w:rFonts w:ascii="Times New Roman" w:hAnsi="Times New Roman" w:cs="Times New Roman"/>
                <w:color w:val="000000"/>
              </w:rPr>
              <w:t xml:space="preserve"> designation</w:t>
            </w:r>
            <w:r w:rsidR="00FB2E7E">
              <w:rPr>
                <w:rFonts w:ascii="Times New Roman" w:hAnsi="Times New Roman" w:cs="Times New Roman"/>
                <w:color w:val="000000"/>
              </w:rPr>
              <w:t>.</w:t>
            </w:r>
            <w:r>
              <w:rPr>
                <w:rFonts w:ascii="Times New Roman" w:hAnsi="Times New Roman" w:cs="Times New Roman"/>
                <w:color w:val="000000"/>
              </w:rPr>
              <w:t xml:space="preserve"> The requester and the company may then negotiate a resolution </w:t>
            </w:r>
            <w:r w:rsidR="00EF08A7">
              <w:rPr>
                <w:rFonts w:ascii="Times New Roman" w:hAnsi="Times New Roman" w:cs="Times New Roman"/>
                <w:color w:val="000000"/>
              </w:rPr>
              <w:t xml:space="preserve">of the request </w:t>
            </w:r>
            <w:r>
              <w:rPr>
                <w:rFonts w:ascii="Times New Roman" w:hAnsi="Times New Roman" w:cs="Times New Roman"/>
                <w:color w:val="000000"/>
              </w:rPr>
              <w:t>short of resorting to a superior court determination.</w:t>
            </w:r>
          </w:p>
        </w:tc>
      </w:tr>
      <w:tr w:rsidR="00FB2E7E" w:rsidRPr="00B5727C" w14:paraId="15296055" w14:textId="77777777" w:rsidTr="00D1070E">
        <w:trPr>
          <w:cantSplit/>
        </w:trPr>
        <w:tc>
          <w:tcPr>
            <w:tcW w:w="1328" w:type="dxa"/>
          </w:tcPr>
          <w:p w14:paraId="532E4799" w14:textId="77777777" w:rsidR="00FB2E7E" w:rsidRDefault="00FB2E7E" w:rsidP="003E0EF3">
            <w:pPr>
              <w:rPr>
                <w:rFonts w:ascii="Times New Roman" w:hAnsi="Times New Roman" w:cs="Times New Roman"/>
              </w:rPr>
            </w:pPr>
            <w:r>
              <w:rPr>
                <w:rFonts w:ascii="Times New Roman" w:hAnsi="Times New Roman" w:cs="Times New Roman"/>
              </w:rPr>
              <w:t>175</w:t>
            </w:r>
          </w:p>
        </w:tc>
        <w:tc>
          <w:tcPr>
            <w:tcW w:w="2717" w:type="dxa"/>
          </w:tcPr>
          <w:p w14:paraId="317D9618" w14:textId="77777777" w:rsidR="00FB2E7E" w:rsidRDefault="00FB2E7E" w:rsidP="003E0EF3">
            <w:pPr>
              <w:rPr>
                <w:rFonts w:ascii="Times New Roman" w:hAnsi="Times New Roman" w:cs="Times New Roman"/>
              </w:rPr>
            </w:pPr>
          </w:p>
        </w:tc>
        <w:tc>
          <w:tcPr>
            <w:tcW w:w="2610" w:type="dxa"/>
          </w:tcPr>
          <w:p w14:paraId="39F3E492" w14:textId="0EEC8DA4" w:rsidR="00FB2E7E" w:rsidRPr="00B5727C" w:rsidRDefault="00FB2E7E" w:rsidP="003E0EF3">
            <w:pPr>
              <w:rPr>
                <w:rFonts w:ascii="Times New Roman" w:hAnsi="Times New Roman" w:cs="Times New Roman"/>
              </w:rPr>
            </w:pPr>
            <w:r>
              <w:rPr>
                <w:rFonts w:ascii="Times New Roman" w:hAnsi="Times New Roman" w:cs="Times New Roman"/>
              </w:rPr>
              <w:t xml:space="preserve">UP: </w:t>
            </w:r>
            <w:r w:rsidR="00D1070E">
              <w:rPr>
                <w:rFonts w:ascii="Times New Roman" w:hAnsi="Times New Roman" w:cs="Times New Roman"/>
              </w:rPr>
              <w:t xml:space="preserve">Opposes this rule; </w:t>
            </w:r>
            <w:r>
              <w:rPr>
                <w:rFonts w:ascii="Times New Roman" w:hAnsi="Times New Roman" w:cs="Times New Roman"/>
              </w:rPr>
              <w:t>Requiring access to all documents at any and all times is wildly and impracticably overbroad</w:t>
            </w:r>
            <w:r w:rsidR="00D1070E">
              <w:rPr>
                <w:rFonts w:ascii="Times New Roman" w:hAnsi="Times New Roman" w:cs="Times New Roman"/>
              </w:rPr>
              <w:t>, and Commission cannot circumvent protections for privileged or proprietary information or warrant requirements</w:t>
            </w:r>
          </w:p>
        </w:tc>
        <w:tc>
          <w:tcPr>
            <w:tcW w:w="2970" w:type="dxa"/>
          </w:tcPr>
          <w:p w14:paraId="1F354B30" w14:textId="2CF6CEBC" w:rsidR="00BB032D" w:rsidRDefault="00900AC3" w:rsidP="00BB032D">
            <w:pPr>
              <w:rPr>
                <w:rFonts w:ascii="Times New Roman" w:hAnsi="Times New Roman" w:cs="Times New Roman"/>
                <w:color w:val="000000"/>
              </w:rPr>
            </w:pPr>
            <w:r>
              <w:rPr>
                <w:rFonts w:ascii="Times New Roman" w:hAnsi="Times New Roman" w:cs="Times New Roman"/>
                <w:color w:val="000000"/>
              </w:rPr>
              <w:t>SLG: C</w:t>
            </w:r>
            <w:r w:rsidR="00FB2E7E">
              <w:rPr>
                <w:rFonts w:ascii="Times New Roman" w:hAnsi="Times New Roman" w:cs="Times New Roman"/>
                <w:color w:val="000000"/>
              </w:rPr>
              <w:t>larify impact of PRA on documents reviewed at</w:t>
            </w:r>
            <w:r w:rsidR="00BB032D">
              <w:rPr>
                <w:rFonts w:ascii="Times New Roman" w:hAnsi="Times New Roman" w:cs="Times New Roman"/>
                <w:color w:val="000000"/>
              </w:rPr>
              <w:t xml:space="preserve"> company locations</w:t>
            </w:r>
            <w:r>
              <w:rPr>
                <w:rFonts w:ascii="Times New Roman" w:hAnsi="Times New Roman" w:cs="Times New Roman"/>
                <w:color w:val="000000"/>
              </w:rPr>
              <w:t>; Lack of limitation on production is troubling; Need to understand the formality of the requests contemplated by this rule</w:t>
            </w:r>
          </w:p>
          <w:p w14:paraId="48A4D1A5" w14:textId="5A922C27" w:rsidR="00FB2E7E" w:rsidRPr="00B5727C" w:rsidRDefault="00FB2E7E" w:rsidP="00BB032D">
            <w:pPr>
              <w:rPr>
                <w:rFonts w:ascii="Times New Roman" w:hAnsi="Times New Roman" w:cs="Times New Roman"/>
                <w:color w:val="000000"/>
              </w:rPr>
            </w:pPr>
            <w:r>
              <w:rPr>
                <w:rFonts w:ascii="Times New Roman" w:hAnsi="Times New Roman" w:cs="Times New Roman"/>
                <w:color w:val="000000"/>
              </w:rPr>
              <w:t>WRRA: Extend application to applicants for solid waste collection authority</w:t>
            </w:r>
          </w:p>
        </w:tc>
        <w:tc>
          <w:tcPr>
            <w:tcW w:w="2430" w:type="dxa"/>
          </w:tcPr>
          <w:p w14:paraId="760B85F3" w14:textId="77777777" w:rsidR="00FB2E7E" w:rsidRPr="00B5727C" w:rsidRDefault="00FB2E7E" w:rsidP="003E0EF3">
            <w:pPr>
              <w:rPr>
                <w:rFonts w:ascii="Times New Roman" w:hAnsi="Times New Roman" w:cs="Times New Roman"/>
                <w:color w:val="000000"/>
              </w:rPr>
            </w:pPr>
            <w:r>
              <w:rPr>
                <w:rFonts w:ascii="Times New Roman" w:hAnsi="Times New Roman" w:cs="Times New Roman"/>
                <w:color w:val="000000"/>
              </w:rPr>
              <w:t xml:space="preserve"> </w:t>
            </w:r>
          </w:p>
        </w:tc>
        <w:tc>
          <w:tcPr>
            <w:tcW w:w="5130" w:type="dxa"/>
          </w:tcPr>
          <w:p w14:paraId="331EA168" w14:textId="2B0B99DC" w:rsidR="00FB2E7E" w:rsidRDefault="00FB2E7E" w:rsidP="003E0EF3">
            <w:pPr>
              <w:rPr>
                <w:rFonts w:ascii="Times New Roman" w:hAnsi="Times New Roman" w:cs="Times New Roman"/>
                <w:color w:val="000000"/>
              </w:rPr>
            </w:pPr>
            <w:r>
              <w:rPr>
                <w:rFonts w:ascii="Times New Roman" w:hAnsi="Times New Roman" w:cs="Times New Roman"/>
                <w:color w:val="000000"/>
              </w:rPr>
              <w:t xml:space="preserve">UP – Disagree. Staff’s proposed language properly incorporates the authority in RCW 81.04.070 that the Commission “shall have the right, at any and all times, to inspect the accounts, books, papers, and documents of any public service company.” </w:t>
            </w:r>
            <w:r w:rsidRPr="00E53F20">
              <w:rPr>
                <w:rFonts w:ascii="Times New Roman" w:hAnsi="Times New Roman" w:cs="Times New Roman"/>
                <w:i/>
                <w:color w:val="000000"/>
              </w:rPr>
              <w:t>See also</w:t>
            </w:r>
            <w:r>
              <w:rPr>
                <w:rFonts w:ascii="Times New Roman" w:hAnsi="Times New Roman" w:cs="Times New Roman"/>
                <w:color w:val="000000"/>
              </w:rPr>
              <w:t xml:space="preserve"> RCW 81.04.090.</w:t>
            </w:r>
            <w:r w:rsidR="009A243E">
              <w:rPr>
                <w:rFonts w:ascii="Times New Roman" w:hAnsi="Times New Roman" w:cs="Times New Roman"/>
                <w:color w:val="000000"/>
              </w:rPr>
              <w:t xml:space="preserve"> To the extent that a company believes that other legal authority supersedes this statutory authority, the company may make such an objection in response to the Commission’s request for inspection or documents, and the Commission will address that objection before proceeding. </w:t>
            </w:r>
          </w:p>
          <w:p w14:paraId="3922DC70" w14:textId="1E972A14" w:rsidR="00FB2E7E" w:rsidRDefault="00FB2E7E" w:rsidP="003E0EF3">
            <w:pPr>
              <w:rPr>
                <w:rFonts w:ascii="Times New Roman" w:hAnsi="Times New Roman" w:cs="Times New Roman"/>
                <w:color w:val="000000"/>
              </w:rPr>
            </w:pPr>
            <w:r>
              <w:rPr>
                <w:rFonts w:ascii="Times New Roman" w:hAnsi="Times New Roman" w:cs="Times New Roman"/>
                <w:color w:val="000000"/>
              </w:rPr>
              <w:t xml:space="preserve">SLG – Disagree. </w:t>
            </w:r>
            <w:r w:rsidR="00EF08A7">
              <w:rPr>
                <w:rFonts w:ascii="Times New Roman" w:hAnsi="Times New Roman" w:cs="Times New Roman"/>
                <w:color w:val="000000"/>
              </w:rPr>
              <w:t>A</w:t>
            </w:r>
            <w:r>
              <w:rPr>
                <w:rFonts w:ascii="Times New Roman" w:hAnsi="Times New Roman" w:cs="Times New Roman"/>
                <w:color w:val="000000"/>
              </w:rPr>
              <w:t xml:space="preserve"> court, not the Commission, determine</w:t>
            </w:r>
            <w:r w:rsidR="00EF08A7">
              <w:rPr>
                <w:rFonts w:ascii="Times New Roman" w:hAnsi="Times New Roman" w:cs="Times New Roman"/>
                <w:color w:val="000000"/>
              </w:rPr>
              <w:t>s</w:t>
            </w:r>
            <w:r>
              <w:rPr>
                <w:rFonts w:ascii="Times New Roman" w:hAnsi="Times New Roman" w:cs="Times New Roman"/>
                <w:color w:val="000000"/>
              </w:rPr>
              <w:t xml:space="preserve"> the applicability of the PRA</w:t>
            </w:r>
            <w:r w:rsidR="009A243E">
              <w:rPr>
                <w:rFonts w:ascii="Times New Roman" w:hAnsi="Times New Roman" w:cs="Times New Roman"/>
                <w:color w:val="000000"/>
              </w:rPr>
              <w:t>, and the Commission will not render a legal opinion on that applicability. As discussed above, the rule reflects the breadth of the statute</w:t>
            </w:r>
            <w:r w:rsidR="00952B5A">
              <w:rPr>
                <w:rFonts w:ascii="Times New Roman" w:hAnsi="Times New Roman" w:cs="Times New Roman"/>
                <w:color w:val="000000"/>
              </w:rPr>
              <w:t>, and the company can object if it believes the Commission is exceeding its authority</w:t>
            </w:r>
            <w:r>
              <w:rPr>
                <w:rFonts w:ascii="Times New Roman" w:hAnsi="Times New Roman" w:cs="Times New Roman"/>
                <w:color w:val="000000"/>
              </w:rPr>
              <w:t xml:space="preserve">. </w:t>
            </w:r>
            <w:r w:rsidR="00952B5A">
              <w:rPr>
                <w:rFonts w:ascii="Times New Roman" w:hAnsi="Times New Roman" w:cs="Times New Roman"/>
                <w:color w:val="000000"/>
              </w:rPr>
              <w:t>The formality of the rule is similar to a bench request in an adjudication – the company is obligated to provide the requested information unless the Commission sustains an objection to the request.</w:t>
            </w:r>
          </w:p>
          <w:p w14:paraId="096F7D5F" w14:textId="059B0C87" w:rsidR="00FB2E7E" w:rsidRDefault="00FB2E7E" w:rsidP="00BB032D">
            <w:pPr>
              <w:rPr>
                <w:rFonts w:ascii="Times New Roman" w:hAnsi="Times New Roman" w:cs="Times New Roman"/>
                <w:color w:val="000000"/>
              </w:rPr>
            </w:pPr>
            <w:r>
              <w:rPr>
                <w:rFonts w:ascii="Times New Roman" w:hAnsi="Times New Roman" w:cs="Times New Roman"/>
                <w:color w:val="000000"/>
              </w:rPr>
              <w:t xml:space="preserve">WRRA – Disagree. The statute limits the Commission’s authority to public service companies, and the Commission cannot extend that authority by rule. The Commission, moreover, </w:t>
            </w:r>
            <w:r w:rsidR="00A74B53">
              <w:rPr>
                <w:rFonts w:ascii="Times New Roman" w:hAnsi="Times New Roman" w:cs="Times New Roman"/>
                <w:color w:val="000000"/>
              </w:rPr>
              <w:t xml:space="preserve">has subpoena power and </w:t>
            </w:r>
            <w:r>
              <w:rPr>
                <w:rFonts w:ascii="Times New Roman" w:hAnsi="Times New Roman" w:cs="Times New Roman"/>
                <w:color w:val="000000"/>
              </w:rPr>
              <w:t xml:space="preserve">does not need this rule to request any additional information </w:t>
            </w:r>
            <w:r w:rsidR="009A243E">
              <w:rPr>
                <w:rFonts w:ascii="Times New Roman" w:hAnsi="Times New Roman" w:cs="Times New Roman"/>
                <w:color w:val="000000"/>
              </w:rPr>
              <w:t xml:space="preserve">the Commission believes is </w:t>
            </w:r>
            <w:r>
              <w:rPr>
                <w:rFonts w:ascii="Times New Roman" w:hAnsi="Times New Roman" w:cs="Times New Roman"/>
                <w:color w:val="000000"/>
              </w:rPr>
              <w:t>necessary to determine whether to grant an application.</w:t>
            </w:r>
          </w:p>
        </w:tc>
      </w:tr>
      <w:tr w:rsidR="00900AC3" w:rsidRPr="00B5727C" w14:paraId="46BF6EB7" w14:textId="77777777" w:rsidTr="00D1070E">
        <w:trPr>
          <w:cantSplit/>
        </w:trPr>
        <w:tc>
          <w:tcPr>
            <w:tcW w:w="1328" w:type="dxa"/>
          </w:tcPr>
          <w:p w14:paraId="7831F492" w14:textId="75E44CE4" w:rsidR="00900AC3" w:rsidRDefault="00900AC3" w:rsidP="003E0EF3">
            <w:pPr>
              <w:rPr>
                <w:rFonts w:ascii="Times New Roman" w:hAnsi="Times New Roman" w:cs="Times New Roman"/>
              </w:rPr>
            </w:pPr>
            <w:r>
              <w:rPr>
                <w:rFonts w:ascii="Times New Roman" w:hAnsi="Times New Roman" w:cs="Times New Roman"/>
              </w:rPr>
              <w:t>190</w:t>
            </w:r>
          </w:p>
        </w:tc>
        <w:tc>
          <w:tcPr>
            <w:tcW w:w="2717" w:type="dxa"/>
          </w:tcPr>
          <w:p w14:paraId="2F8086E4" w14:textId="77777777" w:rsidR="00900AC3" w:rsidRDefault="00900AC3" w:rsidP="003E0EF3">
            <w:pPr>
              <w:rPr>
                <w:rFonts w:ascii="Times New Roman" w:hAnsi="Times New Roman" w:cs="Times New Roman"/>
              </w:rPr>
            </w:pPr>
          </w:p>
        </w:tc>
        <w:tc>
          <w:tcPr>
            <w:tcW w:w="2610" w:type="dxa"/>
          </w:tcPr>
          <w:p w14:paraId="70C3AA6C" w14:textId="77777777" w:rsidR="00900AC3" w:rsidRPr="00B5727C" w:rsidRDefault="00900AC3" w:rsidP="003E0EF3">
            <w:pPr>
              <w:rPr>
                <w:rFonts w:ascii="Times New Roman" w:hAnsi="Times New Roman" w:cs="Times New Roman"/>
              </w:rPr>
            </w:pPr>
          </w:p>
        </w:tc>
        <w:tc>
          <w:tcPr>
            <w:tcW w:w="2970" w:type="dxa"/>
          </w:tcPr>
          <w:p w14:paraId="1D6DEA05" w14:textId="725FE56B" w:rsidR="00900AC3" w:rsidRDefault="00900AC3" w:rsidP="00C055BF">
            <w:pPr>
              <w:rPr>
                <w:rFonts w:ascii="Times New Roman" w:hAnsi="Times New Roman" w:cs="Times New Roman"/>
                <w:color w:val="000000"/>
              </w:rPr>
            </w:pPr>
            <w:r>
              <w:rPr>
                <w:rFonts w:ascii="Times New Roman" w:hAnsi="Times New Roman" w:cs="Times New Roman"/>
                <w:color w:val="000000"/>
              </w:rPr>
              <w:t xml:space="preserve">SLG: </w:t>
            </w:r>
            <w:r w:rsidR="00C055BF">
              <w:rPr>
                <w:rFonts w:ascii="Times New Roman" w:hAnsi="Times New Roman" w:cs="Times New Roman"/>
                <w:color w:val="000000"/>
              </w:rPr>
              <w:t>A</w:t>
            </w:r>
            <w:r>
              <w:rPr>
                <w:rFonts w:ascii="Times New Roman" w:hAnsi="Times New Roman" w:cs="Times New Roman"/>
                <w:color w:val="000000"/>
              </w:rPr>
              <w:t xml:space="preserve"> digital image of a signature copied onto the signature line </w:t>
            </w:r>
            <w:r w:rsidR="00C055BF">
              <w:rPr>
                <w:rFonts w:ascii="Times New Roman" w:hAnsi="Times New Roman" w:cs="Times New Roman"/>
                <w:color w:val="000000"/>
              </w:rPr>
              <w:t xml:space="preserve">should </w:t>
            </w:r>
            <w:r>
              <w:rPr>
                <w:rFonts w:ascii="Times New Roman" w:hAnsi="Times New Roman" w:cs="Times New Roman"/>
                <w:color w:val="000000"/>
              </w:rPr>
              <w:t>qualif</w:t>
            </w:r>
            <w:r w:rsidR="00C055BF">
              <w:rPr>
                <w:rFonts w:ascii="Times New Roman" w:hAnsi="Times New Roman" w:cs="Times New Roman"/>
                <w:color w:val="000000"/>
              </w:rPr>
              <w:t>y</w:t>
            </w:r>
            <w:r>
              <w:rPr>
                <w:rFonts w:ascii="Times New Roman" w:hAnsi="Times New Roman" w:cs="Times New Roman"/>
                <w:color w:val="000000"/>
              </w:rPr>
              <w:t xml:space="preserve"> as a “secure” electronic signature</w:t>
            </w:r>
          </w:p>
        </w:tc>
        <w:tc>
          <w:tcPr>
            <w:tcW w:w="2430" w:type="dxa"/>
          </w:tcPr>
          <w:p w14:paraId="1CB7942A" w14:textId="77777777" w:rsidR="00900AC3" w:rsidRPr="00B5727C" w:rsidRDefault="00900AC3" w:rsidP="003E0EF3">
            <w:pPr>
              <w:rPr>
                <w:rFonts w:ascii="Times New Roman" w:hAnsi="Times New Roman" w:cs="Times New Roman"/>
                <w:color w:val="000000"/>
              </w:rPr>
            </w:pPr>
          </w:p>
        </w:tc>
        <w:tc>
          <w:tcPr>
            <w:tcW w:w="5130" w:type="dxa"/>
          </w:tcPr>
          <w:p w14:paraId="49BBDAA3" w14:textId="67890AF7" w:rsidR="00900AC3" w:rsidRDefault="00EF08A7" w:rsidP="00A74B53">
            <w:pPr>
              <w:rPr>
                <w:rFonts w:ascii="Times New Roman" w:hAnsi="Times New Roman" w:cs="Times New Roman"/>
                <w:color w:val="000000"/>
              </w:rPr>
            </w:pPr>
            <w:r>
              <w:rPr>
                <w:rFonts w:ascii="Times New Roman" w:hAnsi="Times New Roman" w:cs="Times New Roman"/>
                <w:color w:val="000000"/>
              </w:rPr>
              <w:t xml:space="preserve">Disagree. The proposed rule establishes general guidelines for </w:t>
            </w:r>
            <w:r w:rsidR="007265EE">
              <w:rPr>
                <w:rFonts w:ascii="Times New Roman" w:hAnsi="Times New Roman" w:cs="Times New Roman"/>
                <w:color w:val="000000"/>
              </w:rPr>
              <w:t xml:space="preserve">secure </w:t>
            </w:r>
            <w:r>
              <w:rPr>
                <w:rFonts w:ascii="Times New Roman" w:hAnsi="Times New Roman" w:cs="Times New Roman"/>
                <w:color w:val="000000"/>
              </w:rPr>
              <w:t xml:space="preserve">electronic signatures to accommodate evolving technology. A digital image of a signature </w:t>
            </w:r>
            <w:r w:rsidR="008A5A10">
              <w:rPr>
                <w:rFonts w:ascii="Times New Roman" w:hAnsi="Times New Roman" w:cs="Times New Roman"/>
                <w:color w:val="000000"/>
              </w:rPr>
              <w:t>must satisfy</w:t>
            </w:r>
            <w:r>
              <w:rPr>
                <w:rFonts w:ascii="Times New Roman" w:hAnsi="Times New Roman" w:cs="Times New Roman"/>
                <w:color w:val="000000"/>
              </w:rPr>
              <w:t xml:space="preserve"> all of the requirements </w:t>
            </w:r>
            <w:r w:rsidR="008A5A10">
              <w:rPr>
                <w:rFonts w:ascii="Times New Roman" w:hAnsi="Times New Roman" w:cs="Times New Roman"/>
                <w:color w:val="000000"/>
              </w:rPr>
              <w:t>in the rule to be</w:t>
            </w:r>
            <w:r w:rsidR="00BB7136">
              <w:rPr>
                <w:rFonts w:ascii="Times New Roman" w:hAnsi="Times New Roman" w:cs="Times New Roman"/>
                <w:color w:val="000000"/>
              </w:rPr>
              <w:t xml:space="preserve"> considered </w:t>
            </w:r>
            <w:r w:rsidR="008A5A10">
              <w:rPr>
                <w:rFonts w:ascii="Times New Roman" w:hAnsi="Times New Roman" w:cs="Times New Roman"/>
                <w:color w:val="000000"/>
              </w:rPr>
              <w:t>a secure electronic signature</w:t>
            </w:r>
            <w:r w:rsidR="00BB7136">
              <w:rPr>
                <w:rFonts w:ascii="Times New Roman" w:hAnsi="Times New Roman" w:cs="Times New Roman"/>
                <w:color w:val="000000"/>
              </w:rPr>
              <w:t>. The Commission should make that determination based on the specific technology being used, which is a fact-specific inquiry</w:t>
            </w:r>
            <w:r w:rsidR="007265EE">
              <w:rPr>
                <w:rFonts w:ascii="Times New Roman" w:hAnsi="Times New Roman" w:cs="Times New Roman"/>
                <w:color w:val="000000"/>
              </w:rPr>
              <w:t xml:space="preserve">, rather than </w:t>
            </w:r>
            <w:r w:rsidR="00A74B53">
              <w:rPr>
                <w:rFonts w:ascii="Times New Roman" w:hAnsi="Times New Roman" w:cs="Times New Roman"/>
                <w:color w:val="000000"/>
              </w:rPr>
              <w:t>incorporating that technology into the</w:t>
            </w:r>
            <w:r w:rsidR="007265EE">
              <w:rPr>
                <w:rFonts w:ascii="Times New Roman" w:hAnsi="Times New Roman" w:cs="Times New Roman"/>
                <w:color w:val="000000"/>
              </w:rPr>
              <w:t xml:space="preserve"> rule</w:t>
            </w:r>
            <w:r w:rsidR="00BB7136">
              <w:rPr>
                <w:rFonts w:ascii="Times New Roman" w:hAnsi="Times New Roman" w:cs="Times New Roman"/>
                <w:color w:val="000000"/>
              </w:rPr>
              <w:t>.</w:t>
            </w:r>
          </w:p>
        </w:tc>
      </w:tr>
      <w:tr w:rsidR="00FB2E7E" w:rsidRPr="00B5727C" w14:paraId="30518163" w14:textId="77777777" w:rsidTr="00D1070E">
        <w:trPr>
          <w:cantSplit/>
        </w:trPr>
        <w:tc>
          <w:tcPr>
            <w:tcW w:w="1328" w:type="dxa"/>
          </w:tcPr>
          <w:p w14:paraId="3A70F94B" w14:textId="77777777" w:rsidR="00FB2E7E" w:rsidRDefault="00FB2E7E" w:rsidP="003E0EF3">
            <w:pPr>
              <w:rPr>
                <w:rFonts w:ascii="Times New Roman" w:hAnsi="Times New Roman" w:cs="Times New Roman"/>
              </w:rPr>
            </w:pPr>
            <w:r>
              <w:rPr>
                <w:rFonts w:ascii="Times New Roman" w:hAnsi="Times New Roman" w:cs="Times New Roman"/>
              </w:rPr>
              <w:t>305(5)(b)</w:t>
            </w:r>
          </w:p>
        </w:tc>
        <w:tc>
          <w:tcPr>
            <w:tcW w:w="2717" w:type="dxa"/>
          </w:tcPr>
          <w:p w14:paraId="1B18917C" w14:textId="7619A34B" w:rsidR="00FB2E7E" w:rsidRDefault="00FB2E7E" w:rsidP="00AC4A92">
            <w:pPr>
              <w:rPr>
                <w:rFonts w:ascii="Times New Roman" w:hAnsi="Times New Roman" w:cs="Times New Roman"/>
              </w:rPr>
            </w:pPr>
            <w:r>
              <w:rPr>
                <w:rFonts w:ascii="Times New Roman" w:hAnsi="Times New Roman" w:cs="Times New Roman"/>
              </w:rPr>
              <w:t xml:space="preserve">PPL: Consider </w:t>
            </w:r>
            <w:r w:rsidR="00AC4A92">
              <w:rPr>
                <w:rFonts w:ascii="Times New Roman" w:hAnsi="Times New Roman" w:cs="Times New Roman"/>
              </w:rPr>
              <w:t>adding circumstances in which the person seeking to initiate an adjudication is not “involved in an actual case or controversy” or otherwise aggrieved to</w:t>
            </w:r>
            <w:r>
              <w:rPr>
                <w:rFonts w:ascii="Times New Roman" w:hAnsi="Times New Roman" w:cs="Times New Roman"/>
              </w:rPr>
              <w:t xml:space="preserve"> the list of circumstances in which the Commission will not commence an adjudication</w:t>
            </w:r>
          </w:p>
        </w:tc>
        <w:tc>
          <w:tcPr>
            <w:tcW w:w="2610" w:type="dxa"/>
          </w:tcPr>
          <w:p w14:paraId="1891F05B" w14:textId="77777777" w:rsidR="00FB2E7E" w:rsidRPr="00B5727C" w:rsidRDefault="00FB2E7E" w:rsidP="003E0EF3">
            <w:pPr>
              <w:rPr>
                <w:rFonts w:ascii="Times New Roman" w:hAnsi="Times New Roman" w:cs="Times New Roman"/>
              </w:rPr>
            </w:pPr>
          </w:p>
        </w:tc>
        <w:tc>
          <w:tcPr>
            <w:tcW w:w="2970" w:type="dxa"/>
          </w:tcPr>
          <w:p w14:paraId="31BE9047" w14:textId="77777777" w:rsidR="00FB2E7E" w:rsidRDefault="00FB2E7E" w:rsidP="003E0EF3">
            <w:pPr>
              <w:rPr>
                <w:rFonts w:ascii="Times New Roman" w:hAnsi="Times New Roman" w:cs="Times New Roman"/>
                <w:color w:val="000000"/>
              </w:rPr>
            </w:pPr>
          </w:p>
        </w:tc>
        <w:tc>
          <w:tcPr>
            <w:tcW w:w="2430" w:type="dxa"/>
          </w:tcPr>
          <w:p w14:paraId="76B1B6A0" w14:textId="55A84DD7" w:rsidR="00FB2E7E" w:rsidRPr="00B5727C" w:rsidRDefault="00FB2E7E" w:rsidP="003E0EF3">
            <w:pPr>
              <w:rPr>
                <w:rFonts w:ascii="Times New Roman" w:hAnsi="Times New Roman" w:cs="Times New Roman"/>
                <w:color w:val="000000"/>
              </w:rPr>
            </w:pPr>
          </w:p>
        </w:tc>
        <w:tc>
          <w:tcPr>
            <w:tcW w:w="5130" w:type="dxa"/>
          </w:tcPr>
          <w:p w14:paraId="1AB8193B" w14:textId="3BD64BC2" w:rsidR="00FB2E7E" w:rsidRDefault="00480567" w:rsidP="003E0EF3">
            <w:pPr>
              <w:rPr>
                <w:rFonts w:ascii="Times New Roman" w:hAnsi="Times New Roman" w:cs="Times New Roman"/>
                <w:color w:val="000000"/>
              </w:rPr>
            </w:pPr>
            <w:r>
              <w:rPr>
                <w:rFonts w:ascii="Times New Roman" w:hAnsi="Times New Roman" w:cs="Times New Roman"/>
                <w:color w:val="000000"/>
              </w:rPr>
              <w:t>Disagree. The circumstances PPL describes are already covered under the rule (</w:t>
            </w:r>
            <w:r w:rsidRPr="00480567">
              <w:rPr>
                <w:rFonts w:ascii="Times New Roman" w:hAnsi="Times New Roman" w:cs="Times New Roman"/>
                <w:i/>
                <w:color w:val="000000"/>
              </w:rPr>
              <w:t>e.g</w:t>
            </w:r>
            <w:r>
              <w:rPr>
                <w:rFonts w:ascii="Times New Roman" w:hAnsi="Times New Roman" w:cs="Times New Roman"/>
                <w:color w:val="000000"/>
              </w:rPr>
              <w:t>., as lack of standing or Commission authority). Even if that were not the case, the rule expressly provides that the list of circumstances is not exclusive, and as a matter of practice, the Commission will not initiate an adjudication where no actual case or controversy exists or where no harm is alleged</w:t>
            </w:r>
            <w:r w:rsidR="00FB2E7E">
              <w:rPr>
                <w:rFonts w:ascii="Times New Roman" w:hAnsi="Times New Roman" w:cs="Times New Roman"/>
                <w:color w:val="000000"/>
              </w:rPr>
              <w:t>.</w:t>
            </w:r>
          </w:p>
          <w:p w14:paraId="23AC9EB6" w14:textId="34BF01BB" w:rsidR="00FB2E7E" w:rsidRDefault="00FB2E7E" w:rsidP="003E0EF3">
            <w:pPr>
              <w:rPr>
                <w:rFonts w:ascii="Times New Roman" w:hAnsi="Times New Roman" w:cs="Times New Roman"/>
                <w:color w:val="000000"/>
              </w:rPr>
            </w:pPr>
          </w:p>
        </w:tc>
      </w:tr>
      <w:tr w:rsidR="00FB2E7E" w:rsidRPr="00B5727C" w14:paraId="4DBD7124" w14:textId="77777777" w:rsidTr="00D1070E">
        <w:trPr>
          <w:cantSplit/>
        </w:trPr>
        <w:tc>
          <w:tcPr>
            <w:tcW w:w="1328" w:type="dxa"/>
          </w:tcPr>
          <w:p w14:paraId="41DD8191" w14:textId="77777777" w:rsidR="00FB2E7E" w:rsidRDefault="00FB2E7E" w:rsidP="003E0EF3">
            <w:pPr>
              <w:rPr>
                <w:rFonts w:ascii="Times New Roman" w:hAnsi="Times New Roman" w:cs="Times New Roman"/>
              </w:rPr>
            </w:pPr>
            <w:r>
              <w:rPr>
                <w:rFonts w:ascii="Times New Roman" w:hAnsi="Times New Roman" w:cs="Times New Roman"/>
              </w:rPr>
              <w:t>307</w:t>
            </w:r>
          </w:p>
        </w:tc>
        <w:tc>
          <w:tcPr>
            <w:tcW w:w="2717" w:type="dxa"/>
          </w:tcPr>
          <w:p w14:paraId="69C05FE8" w14:textId="77777777" w:rsidR="00FB2E7E" w:rsidRDefault="00FB2E7E" w:rsidP="003E0EF3">
            <w:pPr>
              <w:rPr>
                <w:rFonts w:ascii="Times New Roman" w:hAnsi="Times New Roman" w:cs="Times New Roman"/>
              </w:rPr>
            </w:pPr>
          </w:p>
        </w:tc>
        <w:tc>
          <w:tcPr>
            <w:tcW w:w="2610" w:type="dxa"/>
          </w:tcPr>
          <w:p w14:paraId="142C2505" w14:textId="77777777" w:rsidR="00FB2E7E" w:rsidRPr="00B5727C" w:rsidRDefault="00FB2E7E" w:rsidP="003E0EF3">
            <w:pPr>
              <w:rPr>
                <w:rFonts w:ascii="Times New Roman" w:hAnsi="Times New Roman" w:cs="Times New Roman"/>
              </w:rPr>
            </w:pPr>
          </w:p>
        </w:tc>
        <w:tc>
          <w:tcPr>
            <w:tcW w:w="2970" w:type="dxa"/>
          </w:tcPr>
          <w:p w14:paraId="7C94ED35" w14:textId="12BE6665" w:rsidR="00FB2E7E" w:rsidRPr="00B5727C" w:rsidRDefault="00FB2E7E" w:rsidP="00C055BF">
            <w:pPr>
              <w:rPr>
                <w:rFonts w:ascii="Times New Roman" w:hAnsi="Times New Roman" w:cs="Times New Roman"/>
                <w:color w:val="000000"/>
              </w:rPr>
            </w:pPr>
            <w:r>
              <w:rPr>
                <w:rFonts w:ascii="Times New Roman" w:hAnsi="Times New Roman" w:cs="Times New Roman"/>
                <w:color w:val="000000"/>
              </w:rPr>
              <w:t xml:space="preserve">SLG: </w:t>
            </w:r>
            <w:r w:rsidR="00C055BF">
              <w:rPr>
                <w:rFonts w:ascii="Times New Roman" w:hAnsi="Times New Roman" w:cs="Times New Roman"/>
                <w:color w:val="000000"/>
              </w:rPr>
              <w:t>Add more substantive review of third-party complaints prior to initiating an adjudication to preclude nuisance actions</w:t>
            </w:r>
          </w:p>
        </w:tc>
        <w:tc>
          <w:tcPr>
            <w:tcW w:w="2430" w:type="dxa"/>
          </w:tcPr>
          <w:p w14:paraId="785CF386" w14:textId="77777777" w:rsidR="00FB2E7E" w:rsidRPr="00B5727C" w:rsidRDefault="00FB2E7E" w:rsidP="003E0EF3">
            <w:pPr>
              <w:rPr>
                <w:rFonts w:ascii="Times New Roman" w:hAnsi="Times New Roman" w:cs="Times New Roman"/>
                <w:color w:val="000000"/>
              </w:rPr>
            </w:pPr>
          </w:p>
        </w:tc>
        <w:tc>
          <w:tcPr>
            <w:tcW w:w="5130" w:type="dxa"/>
          </w:tcPr>
          <w:p w14:paraId="20F763D4" w14:textId="7F5CCC40" w:rsidR="00FB2E7E" w:rsidRDefault="00F60A7C" w:rsidP="00F60A7C">
            <w:pPr>
              <w:rPr>
                <w:rFonts w:ascii="Times New Roman" w:hAnsi="Times New Roman" w:cs="Times New Roman"/>
                <w:color w:val="000000"/>
              </w:rPr>
            </w:pPr>
            <w:r>
              <w:rPr>
                <w:rFonts w:ascii="Times New Roman" w:hAnsi="Times New Roman" w:cs="Times New Roman"/>
                <w:color w:val="000000"/>
              </w:rPr>
              <w:t>Disagree. The Commission reviews all third party complaints and only serves those that comply with the rules. The Commission commences an adjudication only after receiving the respondent company’s answer to the complaint. If that answer contends that the complaint is frivolous or brought in bad faith, the Commission will take that into consideration before initiating an adjudication</w:t>
            </w:r>
            <w:r w:rsidR="00FB2E7E">
              <w:rPr>
                <w:rFonts w:ascii="Times New Roman" w:hAnsi="Times New Roman" w:cs="Times New Roman"/>
                <w:color w:val="000000"/>
              </w:rPr>
              <w:t>.</w:t>
            </w:r>
          </w:p>
        </w:tc>
      </w:tr>
      <w:tr w:rsidR="00FB2E7E" w:rsidRPr="00B5727C" w14:paraId="7368BC33" w14:textId="77777777" w:rsidTr="00D1070E">
        <w:trPr>
          <w:cantSplit/>
        </w:trPr>
        <w:tc>
          <w:tcPr>
            <w:tcW w:w="1328" w:type="dxa"/>
          </w:tcPr>
          <w:p w14:paraId="77AA4399" w14:textId="77777777" w:rsidR="00FB2E7E" w:rsidRDefault="00FB2E7E" w:rsidP="003E0EF3">
            <w:pPr>
              <w:rPr>
                <w:rFonts w:ascii="Times New Roman" w:hAnsi="Times New Roman" w:cs="Times New Roman"/>
              </w:rPr>
            </w:pPr>
            <w:r>
              <w:rPr>
                <w:rFonts w:ascii="Times New Roman" w:hAnsi="Times New Roman" w:cs="Times New Roman"/>
              </w:rPr>
              <w:t>310</w:t>
            </w:r>
          </w:p>
        </w:tc>
        <w:tc>
          <w:tcPr>
            <w:tcW w:w="2717" w:type="dxa"/>
          </w:tcPr>
          <w:p w14:paraId="59F03666" w14:textId="77777777" w:rsidR="00FB2E7E" w:rsidRDefault="00FB2E7E" w:rsidP="003E0EF3">
            <w:pPr>
              <w:rPr>
                <w:rFonts w:ascii="Times New Roman" w:hAnsi="Times New Roman" w:cs="Times New Roman"/>
              </w:rPr>
            </w:pPr>
          </w:p>
        </w:tc>
        <w:tc>
          <w:tcPr>
            <w:tcW w:w="2610" w:type="dxa"/>
          </w:tcPr>
          <w:p w14:paraId="6F63BD98" w14:textId="77777777" w:rsidR="00FB2E7E" w:rsidRPr="00B5727C" w:rsidRDefault="00FB2E7E" w:rsidP="003E0EF3">
            <w:pPr>
              <w:rPr>
                <w:rFonts w:ascii="Times New Roman" w:hAnsi="Times New Roman" w:cs="Times New Roman"/>
              </w:rPr>
            </w:pPr>
          </w:p>
        </w:tc>
        <w:tc>
          <w:tcPr>
            <w:tcW w:w="2970" w:type="dxa"/>
          </w:tcPr>
          <w:p w14:paraId="606D688D" w14:textId="702166E1" w:rsidR="00FB2E7E" w:rsidRDefault="00FB2E7E" w:rsidP="0081519E">
            <w:pPr>
              <w:rPr>
                <w:rFonts w:ascii="Times New Roman" w:hAnsi="Times New Roman" w:cs="Times New Roman"/>
                <w:color w:val="000000"/>
              </w:rPr>
            </w:pPr>
            <w:r>
              <w:rPr>
                <w:rFonts w:ascii="Times New Roman" w:hAnsi="Times New Roman" w:cs="Times New Roman"/>
                <w:color w:val="000000"/>
              </w:rPr>
              <w:t>WRRA</w:t>
            </w:r>
            <w:r w:rsidR="0081519E">
              <w:rPr>
                <w:rFonts w:ascii="Times New Roman" w:hAnsi="Times New Roman" w:cs="Times New Roman"/>
                <w:color w:val="000000"/>
              </w:rPr>
              <w:t>:</w:t>
            </w:r>
            <w:r>
              <w:rPr>
                <w:rFonts w:ascii="Times New Roman" w:hAnsi="Times New Roman" w:cs="Times New Roman"/>
                <w:color w:val="000000"/>
              </w:rPr>
              <w:t xml:space="preserve"> On Commission review of an initial order, prohibit contact between Commissioners and advisory staff that worked on that order </w:t>
            </w:r>
          </w:p>
        </w:tc>
        <w:tc>
          <w:tcPr>
            <w:tcW w:w="2430" w:type="dxa"/>
          </w:tcPr>
          <w:p w14:paraId="6050DEA2" w14:textId="77777777" w:rsidR="00FB2E7E" w:rsidRPr="00B5727C" w:rsidRDefault="00FB2E7E" w:rsidP="003E0EF3">
            <w:pPr>
              <w:rPr>
                <w:rFonts w:ascii="Times New Roman" w:hAnsi="Times New Roman" w:cs="Times New Roman"/>
                <w:color w:val="000000"/>
              </w:rPr>
            </w:pPr>
          </w:p>
        </w:tc>
        <w:tc>
          <w:tcPr>
            <w:tcW w:w="5130" w:type="dxa"/>
          </w:tcPr>
          <w:p w14:paraId="1979DEE5" w14:textId="7DD2A91C" w:rsidR="00FB2E7E" w:rsidRDefault="00FB2E7E" w:rsidP="00952B5A">
            <w:pPr>
              <w:rPr>
                <w:rFonts w:ascii="Times New Roman" w:hAnsi="Times New Roman" w:cs="Times New Roman"/>
                <w:color w:val="000000"/>
              </w:rPr>
            </w:pPr>
            <w:r>
              <w:rPr>
                <w:rFonts w:ascii="Times New Roman" w:hAnsi="Times New Roman" w:cs="Times New Roman"/>
                <w:color w:val="000000"/>
              </w:rPr>
              <w:t xml:space="preserve">Disagree. The Commission’s practice is to have a different ALJ assist the Commissioners on review than the judge who entered the initial order, but this is not an ex parte issue. </w:t>
            </w:r>
            <w:r w:rsidR="00952B5A">
              <w:rPr>
                <w:rFonts w:ascii="Times New Roman" w:hAnsi="Times New Roman" w:cs="Times New Roman"/>
                <w:color w:val="000000"/>
              </w:rPr>
              <w:t xml:space="preserve">Staff intends to propose revisions to </w:t>
            </w:r>
            <w:r>
              <w:rPr>
                <w:rFonts w:ascii="Times New Roman" w:hAnsi="Times New Roman" w:cs="Times New Roman"/>
                <w:color w:val="000000"/>
              </w:rPr>
              <w:t>WAC 480-07-825, which governs review of initial orders</w:t>
            </w:r>
            <w:r w:rsidR="00952B5A">
              <w:rPr>
                <w:rFonts w:ascii="Times New Roman" w:hAnsi="Times New Roman" w:cs="Times New Roman"/>
                <w:color w:val="000000"/>
              </w:rPr>
              <w:t>, to codify the requirement that a different ALJ and advisory staff assist the Commissioners when reviewing an initial order</w:t>
            </w:r>
            <w:r>
              <w:rPr>
                <w:rFonts w:ascii="Times New Roman" w:hAnsi="Times New Roman" w:cs="Times New Roman"/>
                <w:color w:val="000000"/>
              </w:rPr>
              <w:t>.</w:t>
            </w:r>
          </w:p>
        </w:tc>
      </w:tr>
      <w:tr w:rsidR="00FB2E7E" w:rsidRPr="00B5727C" w14:paraId="2F1F2412" w14:textId="77777777" w:rsidTr="00D1070E">
        <w:trPr>
          <w:cantSplit/>
        </w:trPr>
        <w:tc>
          <w:tcPr>
            <w:tcW w:w="1328" w:type="dxa"/>
          </w:tcPr>
          <w:p w14:paraId="12FB90FF" w14:textId="78FC8AD8" w:rsidR="00FB2E7E" w:rsidRDefault="00E50D66" w:rsidP="003E0EF3">
            <w:pPr>
              <w:rPr>
                <w:rFonts w:ascii="Times New Roman" w:hAnsi="Times New Roman" w:cs="Times New Roman"/>
              </w:rPr>
            </w:pPr>
            <w:r>
              <w:rPr>
                <w:rFonts w:ascii="Times New Roman" w:hAnsi="Times New Roman" w:cs="Times New Roman"/>
              </w:rPr>
              <w:t>355(2)</w:t>
            </w:r>
          </w:p>
        </w:tc>
        <w:tc>
          <w:tcPr>
            <w:tcW w:w="2717" w:type="dxa"/>
          </w:tcPr>
          <w:p w14:paraId="57F65443" w14:textId="77777777" w:rsidR="00FB2E7E" w:rsidRDefault="00FB2E7E" w:rsidP="003E0EF3">
            <w:pPr>
              <w:rPr>
                <w:rFonts w:ascii="Times New Roman" w:hAnsi="Times New Roman" w:cs="Times New Roman"/>
              </w:rPr>
            </w:pPr>
          </w:p>
        </w:tc>
        <w:tc>
          <w:tcPr>
            <w:tcW w:w="2610" w:type="dxa"/>
          </w:tcPr>
          <w:p w14:paraId="200B6F13" w14:textId="77777777" w:rsidR="00FB2E7E" w:rsidRPr="00B5727C" w:rsidRDefault="00FB2E7E" w:rsidP="003E0EF3">
            <w:pPr>
              <w:rPr>
                <w:rFonts w:ascii="Times New Roman" w:hAnsi="Times New Roman" w:cs="Times New Roman"/>
              </w:rPr>
            </w:pPr>
          </w:p>
        </w:tc>
        <w:tc>
          <w:tcPr>
            <w:tcW w:w="2970" w:type="dxa"/>
          </w:tcPr>
          <w:p w14:paraId="71B0F27B" w14:textId="77777777" w:rsidR="00FB2E7E" w:rsidRPr="00B5727C" w:rsidRDefault="00FB2E7E" w:rsidP="003E0EF3">
            <w:pPr>
              <w:rPr>
                <w:rFonts w:ascii="Times New Roman" w:hAnsi="Times New Roman" w:cs="Times New Roman"/>
                <w:color w:val="000000"/>
              </w:rPr>
            </w:pPr>
          </w:p>
        </w:tc>
        <w:tc>
          <w:tcPr>
            <w:tcW w:w="2430" w:type="dxa"/>
          </w:tcPr>
          <w:p w14:paraId="2C535CEF" w14:textId="37BE89F1" w:rsidR="00FB2E7E" w:rsidRDefault="00FB2E7E" w:rsidP="003E0EF3">
            <w:pPr>
              <w:rPr>
                <w:rFonts w:ascii="Times New Roman" w:hAnsi="Times New Roman" w:cs="Times New Roman"/>
                <w:color w:val="000000"/>
              </w:rPr>
            </w:pPr>
            <w:r>
              <w:rPr>
                <w:rFonts w:ascii="Times New Roman" w:hAnsi="Times New Roman" w:cs="Times New Roman"/>
                <w:color w:val="000000"/>
              </w:rPr>
              <w:t xml:space="preserve">ICNU: Require </w:t>
            </w:r>
            <w:r w:rsidR="00AC4A92">
              <w:rPr>
                <w:rFonts w:ascii="Times New Roman" w:hAnsi="Times New Roman" w:cs="Times New Roman"/>
                <w:color w:val="000000"/>
              </w:rPr>
              <w:t xml:space="preserve">responses to </w:t>
            </w:r>
            <w:r>
              <w:rPr>
                <w:rFonts w:ascii="Times New Roman" w:hAnsi="Times New Roman" w:cs="Times New Roman"/>
                <w:color w:val="000000"/>
              </w:rPr>
              <w:t xml:space="preserve">petitions to intervene to be filed within 20 days </w:t>
            </w:r>
            <w:r w:rsidR="00AC4A92">
              <w:rPr>
                <w:rFonts w:ascii="Times New Roman" w:hAnsi="Times New Roman" w:cs="Times New Roman"/>
                <w:color w:val="000000"/>
              </w:rPr>
              <w:t xml:space="preserve">of the date the petition is filed </w:t>
            </w:r>
            <w:r>
              <w:rPr>
                <w:rFonts w:ascii="Times New Roman" w:hAnsi="Times New Roman" w:cs="Times New Roman"/>
                <w:color w:val="000000"/>
              </w:rPr>
              <w:t>or two business days</w:t>
            </w:r>
            <w:r w:rsidR="00AC4A92">
              <w:rPr>
                <w:rFonts w:ascii="Times New Roman" w:hAnsi="Times New Roman" w:cs="Times New Roman"/>
                <w:color w:val="000000"/>
              </w:rPr>
              <w:t xml:space="preserve"> prior to the prehearing conference</w:t>
            </w:r>
            <w:r>
              <w:rPr>
                <w:rFonts w:ascii="Times New Roman" w:hAnsi="Times New Roman" w:cs="Times New Roman"/>
                <w:color w:val="000000"/>
              </w:rPr>
              <w:t>, whichever is less</w:t>
            </w:r>
          </w:p>
        </w:tc>
        <w:tc>
          <w:tcPr>
            <w:tcW w:w="5130" w:type="dxa"/>
          </w:tcPr>
          <w:p w14:paraId="1521073B" w14:textId="3EA6E377" w:rsidR="00FB2E7E" w:rsidRDefault="001818F8" w:rsidP="001818F8">
            <w:pPr>
              <w:rPr>
                <w:rFonts w:ascii="Times New Roman" w:hAnsi="Times New Roman" w:cs="Times New Roman"/>
                <w:color w:val="000000"/>
              </w:rPr>
            </w:pPr>
            <w:r>
              <w:rPr>
                <w:rFonts w:ascii="Times New Roman" w:hAnsi="Times New Roman" w:cs="Times New Roman"/>
                <w:color w:val="000000"/>
              </w:rPr>
              <w:t>Disagree. The Commission receives the vast majority of petitions to intervene much less than 20 days before the prehearing conference</w:t>
            </w:r>
            <w:r w:rsidR="00FB2E7E">
              <w:rPr>
                <w:rFonts w:ascii="Times New Roman" w:hAnsi="Times New Roman" w:cs="Times New Roman"/>
                <w:color w:val="000000"/>
              </w:rPr>
              <w:t>.</w:t>
            </w:r>
            <w:r>
              <w:rPr>
                <w:rFonts w:ascii="Times New Roman" w:hAnsi="Times New Roman" w:cs="Times New Roman"/>
                <w:color w:val="000000"/>
              </w:rPr>
              <w:t xml:space="preserve"> Having a single deadline for filing responses to such petitions is preferable to adding the alternative deadline </w:t>
            </w:r>
            <w:r w:rsidR="00A74B53">
              <w:rPr>
                <w:rFonts w:ascii="Times New Roman" w:hAnsi="Times New Roman" w:cs="Times New Roman"/>
                <w:color w:val="000000"/>
              </w:rPr>
              <w:t xml:space="preserve">that the Commission has established </w:t>
            </w:r>
            <w:r>
              <w:rPr>
                <w:rFonts w:ascii="Times New Roman" w:hAnsi="Times New Roman" w:cs="Times New Roman"/>
                <w:color w:val="000000"/>
              </w:rPr>
              <w:t>for petitions in general.</w:t>
            </w:r>
          </w:p>
        </w:tc>
      </w:tr>
      <w:tr w:rsidR="00C055BF" w:rsidRPr="00B5727C" w14:paraId="701A0156" w14:textId="77777777" w:rsidTr="00D1070E">
        <w:trPr>
          <w:cantSplit/>
        </w:trPr>
        <w:tc>
          <w:tcPr>
            <w:tcW w:w="1328" w:type="dxa"/>
          </w:tcPr>
          <w:p w14:paraId="15501A4D" w14:textId="01081A64" w:rsidR="00C055BF" w:rsidRDefault="00C055BF" w:rsidP="00C055BF">
            <w:pPr>
              <w:rPr>
                <w:rFonts w:ascii="Times New Roman" w:hAnsi="Times New Roman" w:cs="Times New Roman"/>
              </w:rPr>
            </w:pPr>
            <w:r>
              <w:rPr>
                <w:rFonts w:ascii="Times New Roman" w:hAnsi="Times New Roman" w:cs="Times New Roman"/>
              </w:rPr>
              <w:t>370</w:t>
            </w:r>
          </w:p>
        </w:tc>
        <w:tc>
          <w:tcPr>
            <w:tcW w:w="2717" w:type="dxa"/>
          </w:tcPr>
          <w:p w14:paraId="3D0DC268" w14:textId="77777777" w:rsidR="00C055BF" w:rsidRDefault="00C055BF" w:rsidP="003E0EF3">
            <w:pPr>
              <w:rPr>
                <w:rFonts w:ascii="Times New Roman" w:hAnsi="Times New Roman" w:cs="Times New Roman"/>
              </w:rPr>
            </w:pPr>
          </w:p>
        </w:tc>
        <w:tc>
          <w:tcPr>
            <w:tcW w:w="2610" w:type="dxa"/>
          </w:tcPr>
          <w:p w14:paraId="53E7DFBB" w14:textId="77777777" w:rsidR="00C055BF" w:rsidRPr="00B5727C" w:rsidRDefault="00C055BF" w:rsidP="003E0EF3">
            <w:pPr>
              <w:rPr>
                <w:rFonts w:ascii="Times New Roman" w:hAnsi="Times New Roman" w:cs="Times New Roman"/>
              </w:rPr>
            </w:pPr>
          </w:p>
        </w:tc>
        <w:tc>
          <w:tcPr>
            <w:tcW w:w="2970" w:type="dxa"/>
          </w:tcPr>
          <w:p w14:paraId="017EDB82" w14:textId="77777777" w:rsidR="00C055BF" w:rsidRPr="00B5727C" w:rsidRDefault="00C055BF" w:rsidP="003E0EF3">
            <w:pPr>
              <w:rPr>
                <w:rFonts w:ascii="Times New Roman" w:hAnsi="Times New Roman" w:cs="Times New Roman"/>
                <w:color w:val="000000"/>
              </w:rPr>
            </w:pPr>
          </w:p>
        </w:tc>
        <w:tc>
          <w:tcPr>
            <w:tcW w:w="2430" w:type="dxa"/>
          </w:tcPr>
          <w:p w14:paraId="7AB7C425" w14:textId="748A4629" w:rsidR="00C055BF" w:rsidRPr="00B5727C" w:rsidRDefault="00C055BF" w:rsidP="003E0EF3">
            <w:pPr>
              <w:rPr>
                <w:rFonts w:ascii="Times New Roman" w:hAnsi="Times New Roman" w:cs="Times New Roman"/>
                <w:color w:val="000000"/>
              </w:rPr>
            </w:pPr>
            <w:r>
              <w:rPr>
                <w:rFonts w:ascii="Times New Roman" w:hAnsi="Times New Roman" w:cs="Times New Roman"/>
                <w:color w:val="000000"/>
              </w:rPr>
              <w:t>SLG: Include motions in the list of pleadings?</w:t>
            </w:r>
          </w:p>
        </w:tc>
        <w:tc>
          <w:tcPr>
            <w:tcW w:w="5130" w:type="dxa"/>
          </w:tcPr>
          <w:p w14:paraId="76ECA8F0" w14:textId="131EC185" w:rsidR="00C055BF" w:rsidRDefault="00956CC9" w:rsidP="00956CC9">
            <w:pPr>
              <w:rPr>
                <w:rFonts w:ascii="Times New Roman" w:hAnsi="Times New Roman" w:cs="Times New Roman"/>
                <w:color w:val="000000"/>
              </w:rPr>
            </w:pPr>
            <w:r>
              <w:rPr>
                <w:rFonts w:ascii="Times New Roman" w:hAnsi="Times New Roman" w:cs="Times New Roman"/>
                <w:color w:val="000000"/>
              </w:rPr>
              <w:t>No. Pleadings under the rules are documents that seek to initiate formal Commission action or that respond to such requests. Motions are requests for relief within an adjudication that the Commission has already initiated. Some petitions are also filed in existing adjudications, but no motions are filed outside of such proceedings.</w:t>
            </w:r>
          </w:p>
        </w:tc>
      </w:tr>
      <w:tr w:rsidR="00FB2E7E" w:rsidRPr="00B5727C" w14:paraId="055707EE" w14:textId="77777777" w:rsidTr="00D1070E">
        <w:trPr>
          <w:cantSplit/>
        </w:trPr>
        <w:tc>
          <w:tcPr>
            <w:tcW w:w="1328" w:type="dxa"/>
          </w:tcPr>
          <w:p w14:paraId="090E506F" w14:textId="77777777" w:rsidR="00FB2E7E" w:rsidRDefault="00FB2E7E" w:rsidP="003E0EF3">
            <w:pPr>
              <w:rPr>
                <w:rFonts w:ascii="Times New Roman" w:hAnsi="Times New Roman" w:cs="Times New Roman"/>
              </w:rPr>
            </w:pPr>
            <w:r>
              <w:rPr>
                <w:rFonts w:ascii="Times New Roman" w:hAnsi="Times New Roman" w:cs="Times New Roman"/>
              </w:rPr>
              <w:t>400(1)(c)</w:t>
            </w:r>
          </w:p>
        </w:tc>
        <w:tc>
          <w:tcPr>
            <w:tcW w:w="2717" w:type="dxa"/>
          </w:tcPr>
          <w:p w14:paraId="05307683" w14:textId="64F834E6" w:rsidR="00FB2E7E" w:rsidRDefault="00FB2E7E" w:rsidP="003E0EF3">
            <w:pPr>
              <w:rPr>
                <w:rFonts w:ascii="Times New Roman" w:hAnsi="Times New Roman" w:cs="Times New Roman"/>
              </w:rPr>
            </w:pPr>
            <w:r>
              <w:rPr>
                <w:rFonts w:ascii="Times New Roman" w:hAnsi="Times New Roman" w:cs="Times New Roman"/>
              </w:rPr>
              <w:t>PPL: Condition with “reasonable efforts” or limit time period within which a company must rerun or recalculate a model to exclude models that are obsolete or no longer available and allow for additional time to rerun the model</w:t>
            </w:r>
          </w:p>
        </w:tc>
        <w:tc>
          <w:tcPr>
            <w:tcW w:w="2610" w:type="dxa"/>
          </w:tcPr>
          <w:p w14:paraId="2F3F3E4E" w14:textId="77777777" w:rsidR="00FB2E7E" w:rsidRPr="00B5727C" w:rsidRDefault="00FB2E7E" w:rsidP="003E0EF3">
            <w:pPr>
              <w:rPr>
                <w:rFonts w:ascii="Times New Roman" w:hAnsi="Times New Roman" w:cs="Times New Roman"/>
              </w:rPr>
            </w:pPr>
          </w:p>
        </w:tc>
        <w:tc>
          <w:tcPr>
            <w:tcW w:w="2970" w:type="dxa"/>
          </w:tcPr>
          <w:p w14:paraId="28461173" w14:textId="77777777" w:rsidR="00FB2E7E" w:rsidRPr="00B5727C" w:rsidRDefault="00FB2E7E" w:rsidP="003E0EF3">
            <w:pPr>
              <w:rPr>
                <w:rFonts w:ascii="Times New Roman" w:hAnsi="Times New Roman" w:cs="Times New Roman"/>
                <w:color w:val="000000"/>
              </w:rPr>
            </w:pPr>
          </w:p>
        </w:tc>
        <w:tc>
          <w:tcPr>
            <w:tcW w:w="2430" w:type="dxa"/>
          </w:tcPr>
          <w:p w14:paraId="23183DD3" w14:textId="77777777" w:rsidR="00FB2E7E" w:rsidRPr="00B5727C" w:rsidRDefault="00FB2E7E" w:rsidP="003E0EF3">
            <w:pPr>
              <w:rPr>
                <w:rFonts w:ascii="Times New Roman" w:hAnsi="Times New Roman" w:cs="Times New Roman"/>
                <w:color w:val="000000"/>
              </w:rPr>
            </w:pPr>
          </w:p>
        </w:tc>
        <w:tc>
          <w:tcPr>
            <w:tcW w:w="5130" w:type="dxa"/>
          </w:tcPr>
          <w:p w14:paraId="74088158" w14:textId="77777777" w:rsidR="00FB2E7E" w:rsidRDefault="00FB2E7E" w:rsidP="003E0EF3">
            <w:pPr>
              <w:rPr>
                <w:rFonts w:ascii="Times New Roman" w:hAnsi="Times New Roman" w:cs="Times New Roman"/>
                <w:color w:val="000000"/>
              </w:rPr>
            </w:pPr>
            <w:r>
              <w:rPr>
                <w:rFonts w:ascii="Times New Roman" w:hAnsi="Times New Roman" w:cs="Times New Roman"/>
                <w:color w:val="000000"/>
              </w:rPr>
              <w:t>Disagree. Any cost study or model on which a party relies should not be obsolete or no longer available, and the party must be willing to rerun it with different inputs and assumptions. As with any other data request, if the party cannot respond within the required time frame, the rules already allow for a reasonable extension of time in which to provide a response. WAC 480-07-405(7)(b).</w:t>
            </w:r>
          </w:p>
        </w:tc>
      </w:tr>
      <w:tr w:rsidR="00FB2E7E" w:rsidRPr="00B5727C" w14:paraId="64848229" w14:textId="77777777" w:rsidTr="00D1070E">
        <w:trPr>
          <w:cantSplit/>
        </w:trPr>
        <w:tc>
          <w:tcPr>
            <w:tcW w:w="1328" w:type="dxa"/>
          </w:tcPr>
          <w:p w14:paraId="496C5411" w14:textId="77777777" w:rsidR="00FB2E7E" w:rsidRDefault="00FB2E7E" w:rsidP="003E0EF3">
            <w:pPr>
              <w:rPr>
                <w:rFonts w:ascii="Times New Roman" w:hAnsi="Times New Roman" w:cs="Times New Roman"/>
              </w:rPr>
            </w:pPr>
            <w:r>
              <w:rPr>
                <w:rFonts w:ascii="Times New Roman" w:hAnsi="Times New Roman" w:cs="Times New Roman"/>
              </w:rPr>
              <w:t>460(1)(a)</w:t>
            </w:r>
          </w:p>
        </w:tc>
        <w:tc>
          <w:tcPr>
            <w:tcW w:w="2717" w:type="dxa"/>
          </w:tcPr>
          <w:p w14:paraId="5BE1E4D8" w14:textId="77777777" w:rsidR="00FB2E7E" w:rsidRDefault="00FB2E7E" w:rsidP="003E0EF3">
            <w:pPr>
              <w:rPr>
                <w:rFonts w:ascii="Times New Roman" w:hAnsi="Times New Roman" w:cs="Times New Roman"/>
              </w:rPr>
            </w:pPr>
          </w:p>
        </w:tc>
        <w:tc>
          <w:tcPr>
            <w:tcW w:w="2610" w:type="dxa"/>
          </w:tcPr>
          <w:p w14:paraId="0415160D" w14:textId="77777777" w:rsidR="00FB2E7E" w:rsidRPr="00B5727C" w:rsidRDefault="00FB2E7E" w:rsidP="003E0EF3">
            <w:pPr>
              <w:rPr>
                <w:rFonts w:ascii="Times New Roman" w:hAnsi="Times New Roman" w:cs="Times New Roman"/>
                <w:color w:val="000000"/>
              </w:rPr>
            </w:pPr>
          </w:p>
        </w:tc>
        <w:tc>
          <w:tcPr>
            <w:tcW w:w="2970" w:type="dxa"/>
          </w:tcPr>
          <w:p w14:paraId="37FBB38F" w14:textId="77777777" w:rsidR="00FB2E7E" w:rsidRPr="00B5727C" w:rsidRDefault="00FB2E7E" w:rsidP="003E0EF3">
            <w:pPr>
              <w:rPr>
                <w:rFonts w:ascii="Times New Roman" w:hAnsi="Times New Roman" w:cs="Times New Roman"/>
                <w:color w:val="000000"/>
              </w:rPr>
            </w:pPr>
          </w:p>
        </w:tc>
        <w:tc>
          <w:tcPr>
            <w:tcW w:w="2430" w:type="dxa"/>
          </w:tcPr>
          <w:p w14:paraId="4E244FB0" w14:textId="3241FC42" w:rsidR="00FB2E7E" w:rsidRDefault="00E50D66" w:rsidP="003E0EF3">
            <w:pPr>
              <w:rPr>
                <w:rFonts w:ascii="Times New Roman" w:hAnsi="Times New Roman" w:cs="Times New Roman"/>
                <w:color w:val="000000"/>
              </w:rPr>
            </w:pPr>
            <w:r>
              <w:rPr>
                <w:rFonts w:ascii="Times New Roman" w:hAnsi="Times New Roman" w:cs="Times New Roman"/>
                <w:color w:val="000000"/>
              </w:rPr>
              <w:t>ICNU: Clarify reasons for eliminating existing subsection on revising prefiled testimony to correct mistakes of fact</w:t>
            </w:r>
          </w:p>
        </w:tc>
        <w:tc>
          <w:tcPr>
            <w:tcW w:w="5130" w:type="dxa"/>
          </w:tcPr>
          <w:p w14:paraId="6211EB80" w14:textId="0C4C4497" w:rsidR="00FB2E7E" w:rsidRDefault="0024562E" w:rsidP="003143B2">
            <w:pPr>
              <w:rPr>
                <w:rFonts w:ascii="Times New Roman" w:hAnsi="Times New Roman" w:cs="Times New Roman"/>
                <w:color w:val="000000"/>
              </w:rPr>
            </w:pPr>
            <w:r>
              <w:rPr>
                <w:rFonts w:ascii="Times New Roman" w:hAnsi="Times New Roman" w:cs="Times New Roman"/>
                <w:color w:val="000000"/>
              </w:rPr>
              <w:t xml:space="preserve">Staff proposes to distinguish only between </w:t>
            </w:r>
            <w:r w:rsidR="003501DC">
              <w:rPr>
                <w:rFonts w:ascii="Times New Roman" w:hAnsi="Times New Roman" w:cs="Times New Roman"/>
                <w:color w:val="000000"/>
              </w:rPr>
              <w:t xml:space="preserve">corrections that are </w:t>
            </w:r>
            <w:r>
              <w:rPr>
                <w:rFonts w:ascii="Times New Roman" w:hAnsi="Times New Roman" w:cs="Times New Roman"/>
                <w:color w:val="000000"/>
              </w:rPr>
              <w:t xml:space="preserve">substantive </w:t>
            </w:r>
            <w:r w:rsidR="00A74B53">
              <w:rPr>
                <w:rFonts w:ascii="Times New Roman" w:hAnsi="Times New Roman" w:cs="Times New Roman"/>
                <w:color w:val="000000"/>
              </w:rPr>
              <w:t>and corrections that are</w:t>
            </w:r>
            <w:r>
              <w:rPr>
                <w:rFonts w:ascii="Times New Roman" w:hAnsi="Times New Roman" w:cs="Times New Roman"/>
                <w:color w:val="000000"/>
              </w:rPr>
              <w:t xml:space="preserve"> minor (</w:t>
            </w:r>
            <w:r w:rsidRPr="0024562E">
              <w:rPr>
                <w:rFonts w:ascii="Times New Roman" w:hAnsi="Times New Roman" w:cs="Times New Roman"/>
                <w:i/>
                <w:color w:val="000000"/>
              </w:rPr>
              <w:t>i.e</w:t>
            </w:r>
            <w:r>
              <w:rPr>
                <w:rFonts w:ascii="Times New Roman" w:hAnsi="Times New Roman" w:cs="Times New Roman"/>
                <w:color w:val="000000"/>
              </w:rPr>
              <w:t>., nonsubstantive)</w:t>
            </w:r>
            <w:r w:rsidR="003143B2">
              <w:rPr>
                <w:rFonts w:ascii="Times New Roman" w:hAnsi="Times New Roman" w:cs="Times New Roman"/>
                <w:color w:val="000000"/>
              </w:rPr>
              <w:t>. C</w:t>
            </w:r>
            <w:r w:rsidR="00A74B53">
              <w:rPr>
                <w:rFonts w:ascii="Times New Roman" w:hAnsi="Times New Roman" w:cs="Times New Roman"/>
                <w:color w:val="000000"/>
              </w:rPr>
              <w:t>orrections to</w:t>
            </w:r>
            <w:r>
              <w:rPr>
                <w:rFonts w:ascii="Times New Roman" w:hAnsi="Times New Roman" w:cs="Times New Roman"/>
                <w:color w:val="000000"/>
              </w:rPr>
              <w:t xml:space="preserve"> mistakes of fact could be either. Accordingly, Staff proposes to delete the existing subsection on correcting mistakes of fact as redundant and potentially confusing.</w:t>
            </w:r>
          </w:p>
        </w:tc>
      </w:tr>
      <w:tr w:rsidR="00FB2E7E" w:rsidRPr="00B5727C" w14:paraId="4E9370E8" w14:textId="77777777" w:rsidTr="00D1070E">
        <w:trPr>
          <w:cantSplit/>
        </w:trPr>
        <w:tc>
          <w:tcPr>
            <w:tcW w:w="1328" w:type="dxa"/>
          </w:tcPr>
          <w:p w14:paraId="4BD37619" w14:textId="77777777" w:rsidR="00FB2E7E" w:rsidRDefault="00FB2E7E" w:rsidP="003E0EF3">
            <w:pPr>
              <w:rPr>
                <w:rFonts w:ascii="Times New Roman" w:hAnsi="Times New Roman" w:cs="Times New Roman"/>
              </w:rPr>
            </w:pPr>
            <w:r>
              <w:rPr>
                <w:rFonts w:ascii="Times New Roman" w:hAnsi="Times New Roman" w:cs="Times New Roman"/>
              </w:rPr>
              <w:t>Commenter Acronyms</w:t>
            </w:r>
          </w:p>
        </w:tc>
        <w:tc>
          <w:tcPr>
            <w:tcW w:w="2717" w:type="dxa"/>
          </w:tcPr>
          <w:p w14:paraId="0A668383" w14:textId="77777777" w:rsidR="00FB2E7E" w:rsidRDefault="00FB2E7E" w:rsidP="003E0EF3">
            <w:pPr>
              <w:rPr>
                <w:rFonts w:ascii="Times New Roman" w:hAnsi="Times New Roman" w:cs="Times New Roman"/>
              </w:rPr>
            </w:pPr>
            <w:r>
              <w:rPr>
                <w:rFonts w:ascii="Times New Roman" w:hAnsi="Times New Roman" w:cs="Times New Roman"/>
              </w:rPr>
              <w:t>PSE – Puget Sound Energy</w:t>
            </w:r>
          </w:p>
          <w:p w14:paraId="19CFF7AF" w14:textId="77777777" w:rsidR="00FB2E7E" w:rsidRDefault="00FB2E7E" w:rsidP="003E0EF3">
            <w:pPr>
              <w:rPr>
                <w:rFonts w:ascii="Times New Roman" w:hAnsi="Times New Roman" w:cs="Times New Roman"/>
              </w:rPr>
            </w:pPr>
            <w:r>
              <w:rPr>
                <w:rFonts w:ascii="Times New Roman" w:hAnsi="Times New Roman" w:cs="Times New Roman"/>
              </w:rPr>
              <w:t>PPL – Pacific Power and Light Company</w:t>
            </w:r>
          </w:p>
          <w:p w14:paraId="7BA968A3" w14:textId="77777777" w:rsidR="00FB2E7E" w:rsidRDefault="00FB2E7E" w:rsidP="003E0EF3">
            <w:pPr>
              <w:rPr>
                <w:rFonts w:ascii="Times New Roman" w:hAnsi="Times New Roman" w:cs="Times New Roman"/>
              </w:rPr>
            </w:pPr>
            <w:r>
              <w:rPr>
                <w:rFonts w:ascii="Times New Roman" w:hAnsi="Times New Roman" w:cs="Times New Roman"/>
              </w:rPr>
              <w:t>NWN – Northwest Natural Gas Company</w:t>
            </w:r>
          </w:p>
          <w:p w14:paraId="55AE9046" w14:textId="3FBED618" w:rsidR="00BB032D" w:rsidRDefault="00BB032D" w:rsidP="003E0EF3">
            <w:pPr>
              <w:rPr>
                <w:rFonts w:ascii="Times New Roman" w:hAnsi="Times New Roman" w:cs="Times New Roman"/>
              </w:rPr>
            </w:pPr>
            <w:r>
              <w:rPr>
                <w:rFonts w:ascii="Times New Roman" w:hAnsi="Times New Roman" w:cs="Times New Roman"/>
              </w:rPr>
              <w:t xml:space="preserve">CL – CenturyLink </w:t>
            </w:r>
          </w:p>
        </w:tc>
        <w:tc>
          <w:tcPr>
            <w:tcW w:w="2610" w:type="dxa"/>
          </w:tcPr>
          <w:p w14:paraId="24E1AF5D" w14:textId="77777777" w:rsidR="00FB2E7E" w:rsidRPr="00B5727C" w:rsidRDefault="00FB2E7E" w:rsidP="003E0EF3">
            <w:pPr>
              <w:rPr>
                <w:rFonts w:ascii="Times New Roman" w:hAnsi="Times New Roman" w:cs="Times New Roman"/>
                <w:color w:val="000000"/>
              </w:rPr>
            </w:pPr>
            <w:r>
              <w:rPr>
                <w:rFonts w:ascii="Times New Roman" w:hAnsi="Times New Roman" w:cs="Times New Roman"/>
                <w:color w:val="000000"/>
              </w:rPr>
              <w:t>UP – Union Pacific Railroad Company</w:t>
            </w:r>
          </w:p>
        </w:tc>
        <w:tc>
          <w:tcPr>
            <w:tcW w:w="2970" w:type="dxa"/>
          </w:tcPr>
          <w:p w14:paraId="011145C6" w14:textId="77777777" w:rsidR="00FB2E7E" w:rsidRDefault="00FB2E7E" w:rsidP="003E0EF3">
            <w:pPr>
              <w:rPr>
                <w:rFonts w:ascii="Times New Roman" w:hAnsi="Times New Roman" w:cs="Times New Roman"/>
                <w:color w:val="000000"/>
              </w:rPr>
            </w:pPr>
            <w:r>
              <w:rPr>
                <w:rFonts w:ascii="Times New Roman" w:hAnsi="Times New Roman" w:cs="Times New Roman"/>
                <w:color w:val="000000"/>
              </w:rPr>
              <w:t>SLG – Summit Law Group</w:t>
            </w:r>
          </w:p>
          <w:p w14:paraId="0EAE7F3F" w14:textId="77777777" w:rsidR="00FB2E7E" w:rsidRDefault="00FB2E7E" w:rsidP="003E0EF3">
            <w:pPr>
              <w:rPr>
                <w:rFonts w:ascii="Times New Roman" w:hAnsi="Times New Roman" w:cs="Times New Roman"/>
                <w:color w:val="000000"/>
              </w:rPr>
            </w:pPr>
            <w:r>
              <w:rPr>
                <w:rFonts w:ascii="Times New Roman" w:hAnsi="Times New Roman" w:cs="Times New Roman"/>
                <w:color w:val="000000"/>
              </w:rPr>
              <w:t>WRRA – Washington Refuse &amp; Recycling Association</w:t>
            </w:r>
          </w:p>
          <w:p w14:paraId="57543DD9" w14:textId="7A64113A" w:rsidR="00FB2E7E" w:rsidRPr="00B5727C" w:rsidRDefault="00FB2E7E" w:rsidP="003E0EF3">
            <w:pPr>
              <w:rPr>
                <w:rFonts w:ascii="Times New Roman" w:hAnsi="Times New Roman" w:cs="Times New Roman"/>
                <w:color w:val="000000"/>
              </w:rPr>
            </w:pPr>
          </w:p>
        </w:tc>
        <w:tc>
          <w:tcPr>
            <w:tcW w:w="2430" w:type="dxa"/>
          </w:tcPr>
          <w:p w14:paraId="55D58862" w14:textId="77777777" w:rsidR="00FB2E7E" w:rsidRDefault="00FB2E7E" w:rsidP="003E0EF3">
            <w:pPr>
              <w:rPr>
                <w:rFonts w:ascii="Times New Roman" w:hAnsi="Times New Roman" w:cs="Times New Roman"/>
                <w:color w:val="000000"/>
              </w:rPr>
            </w:pPr>
            <w:r>
              <w:rPr>
                <w:rFonts w:ascii="Times New Roman" w:hAnsi="Times New Roman" w:cs="Times New Roman"/>
                <w:color w:val="000000"/>
              </w:rPr>
              <w:t>ICNU – Industrial Customers of Northwest Utilities</w:t>
            </w:r>
          </w:p>
          <w:p w14:paraId="7BDDF1F6" w14:textId="6BF5D0C8" w:rsidR="00FB2E7E" w:rsidRPr="00B5727C" w:rsidRDefault="00FB2E7E" w:rsidP="003E0EF3">
            <w:pPr>
              <w:rPr>
                <w:rFonts w:ascii="Times New Roman" w:hAnsi="Times New Roman" w:cs="Times New Roman"/>
                <w:color w:val="000000"/>
              </w:rPr>
            </w:pPr>
          </w:p>
        </w:tc>
        <w:tc>
          <w:tcPr>
            <w:tcW w:w="5130" w:type="dxa"/>
          </w:tcPr>
          <w:p w14:paraId="0C986CD2" w14:textId="77777777" w:rsidR="00FB2E7E" w:rsidRPr="00B5727C" w:rsidRDefault="00FB2E7E" w:rsidP="003E0EF3">
            <w:pPr>
              <w:rPr>
                <w:rFonts w:ascii="Times New Roman" w:hAnsi="Times New Roman" w:cs="Times New Roman"/>
                <w:color w:val="000000"/>
              </w:rPr>
            </w:pPr>
          </w:p>
        </w:tc>
      </w:tr>
    </w:tbl>
    <w:p w14:paraId="1C3B16DB" w14:textId="5AE96EF4" w:rsidR="00814C7C" w:rsidRDefault="00814C7C" w:rsidP="007950F8">
      <w:pPr>
        <w:ind w:right="1440"/>
      </w:pPr>
    </w:p>
    <w:sectPr w:rsidR="00814C7C" w:rsidSect="001040FE">
      <w:headerReference w:type="default" r:id="rId12"/>
      <w:type w:val="continuous"/>
      <w:pgSz w:w="20160" w:h="12240" w:orient="landscape" w:code="5"/>
      <w:pgMar w:top="105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58682" w14:textId="77777777" w:rsidR="00DD63FF" w:rsidRDefault="00DD63FF" w:rsidP="00B5727C">
      <w:r>
        <w:separator/>
      </w:r>
    </w:p>
  </w:endnote>
  <w:endnote w:type="continuationSeparator" w:id="0">
    <w:p w14:paraId="30BA0D38" w14:textId="77777777" w:rsidR="00DD63FF" w:rsidRDefault="00DD63FF" w:rsidP="00B5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8755F" w14:textId="13A8D01E" w:rsidR="00480567" w:rsidRDefault="00480567">
    <w:pPr>
      <w:pStyle w:val="Footer"/>
      <w:jc w:val="right"/>
    </w:pPr>
    <w:r>
      <w:t xml:space="preserve">Page </w:t>
    </w:r>
    <w:sdt>
      <w:sdtPr>
        <w:id w:val="-168073010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A1ED7">
          <w:rPr>
            <w:noProof/>
          </w:rPr>
          <w:t>2</w:t>
        </w:r>
        <w:r>
          <w:rPr>
            <w:noProof/>
          </w:rPr>
          <w:fldChar w:fldCharType="end"/>
        </w:r>
      </w:sdtContent>
    </w:sdt>
  </w:p>
  <w:p w14:paraId="405AD25E" w14:textId="3DAD1FA2" w:rsidR="00480567" w:rsidRPr="001040FE" w:rsidRDefault="00480567" w:rsidP="001040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EA16D" w14:textId="77777777" w:rsidR="00DD63FF" w:rsidRDefault="00DD63FF" w:rsidP="00B5727C">
      <w:r>
        <w:separator/>
      </w:r>
    </w:p>
  </w:footnote>
  <w:footnote w:type="continuationSeparator" w:id="0">
    <w:p w14:paraId="7D29A579" w14:textId="77777777" w:rsidR="00DD63FF" w:rsidRDefault="00DD63FF" w:rsidP="00B572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7CE10" w14:textId="2EC634E8" w:rsidR="00480567" w:rsidRPr="001040FE" w:rsidRDefault="00480567" w:rsidP="001040FE">
    <w:pPr>
      <w:rPr>
        <w:sz w:val="20"/>
        <w:szCs w:val="20"/>
      </w:rPr>
    </w:pPr>
    <w:r w:rsidRPr="001040FE">
      <w:rPr>
        <w:rFonts w:ascii="Times New Roman" w:hAnsi="Times New Roman" w:cs="Times New Roman"/>
        <w:b/>
        <w:sz w:val="20"/>
        <w:szCs w:val="20"/>
      </w:rPr>
      <w:t>A-130355 Procedural Rules</w:t>
    </w:r>
    <w:r>
      <w:rPr>
        <w:rFonts w:ascii="Times New Roman" w:hAnsi="Times New Roman" w:cs="Times New Roman"/>
        <w:b/>
        <w:sz w:val="20"/>
        <w:szCs w:val="20"/>
      </w:rPr>
      <w:br/>
    </w:r>
    <w:r w:rsidRPr="001040FE">
      <w:rPr>
        <w:rFonts w:ascii="Times New Roman" w:hAnsi="Times New Roman" w:cs="Times New Roman"/>
        <w:b/>
        <w:sz w:val="20"/>
        <w:szCs w:val="20"/>
      </w:rPr>
      <w:t xml:space="preserve">Summary of Comments on </w:t>
    </w:r>
    <w:r>
      <w:rPr>
        <w:rFonts w:ascii="Times New Roman" w:hAnsi="Times New Roman" w:cs="Times New Roman"/>
        <w:b/>
        <w:sz w:val="20"/>
        <w:szCs w:val="20"/>
      </w:rPr>
      <w:t xml:space="preserve">CR 102 </w:t>
    </w:r>
    <w:r w:rsidRPr="001040FE">
      <w:rPr>
        <w:rFonts w:ascii="Times New Roman" w:hAnsi="Times New Roman" w:cs="Times New Roman"/>
        <w:b/>
        <w:sz w:val="20"/>
        <w:szCs w:val="20"/>
      </w:rPr>
      <w:t>Proposed Revisions to Rules in Parts I</w:t>
    </w:r>
    <w:r>
      <w:rPr>
        <w:rFonts w:ascii="Times New Roman" w:hAnsi="Times New Roman" w:cs="Times New Roman"/>
        <w:b/>
        <w:sz w:val="20"/>
        <w:szCs w:val="20"/>
      </w:rPr>
      <w:t>, II,</w:t>
    </w:r>
    <w:r w:rsidRPr="001040FE">
      <w:rPr>
        <w:rFonts w:ascii="Times New Roman" w:hAnsi="Times New Roman" w:cs="Times New Roman"/>
        <w:b/>
        <w:sz w:val="20"/>
        <w:szCs w:val="20"/>
      </w:rPr>
      <w:t xml:space="preserve"> and IIIA</w:t>
    </w:r>
    <w:r>
      <w:rPr>
        <w:rFonts w:ascii="Times New Roman" w:hAnsi="Times New Roman" w:cs="Times New Roman"/>
        <w:b/>
        <w:sz w:val="20"/>
        <w:szCs w:val="20"/>
      </w:rPr>
      <w:br/>
    </w:r>
    <w:r w:rsidRPr="001040FE">
      <w:rPr>
        <w:rFonts w:ascii="Times New Roman" w:hAnsi="Times New Roman" w:cs="Times New Roman"/>
        <w:b/>
        <w:sz w:val="20"/>
        <w:szCs w:val="20"/>
      </w:rPr>
      <w:t>J</w:t>
    </w:r>
    <w:r>
      <w:rPr>
        <w:rFonts w:ascii="Times New Roman" w:hAnsi="Times New Roman" w:cs="Times New Roman"/>
        <w:b/>
        <w:sz w:val="20"/>
        <w:szCs w:val="20"/>
      </w:rPr>
      <w:t>anuary 30,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815"/>
    <w:rsid w:val="00013D2B"/>
    <w:rsid w:val="000223EE"/>
    <w:rsid w:val="0003261D"/>
    <w:rsid w:val="00032CE1"/>
    <w:rsid w:val="0003348F"/>
    <w:rsid w:val="000467AB"/>
    <w:rsid w:val="000470EF"/>
    <w:rsid w:val="00047249"/>
    <w:rsid w:val="00060DB2"/>
    <w:rsid w:val="000616C7"/>
    <w:rsid w:val="00073CC5"/>
    <w:rsid w:val="000852F8"/>
    <w:rsid w:val="000853B4"/>
    <w:rsid w:val="0008766B"/>
    <w:rsid w:val="00090850"/>
    <w:rsid w:val="00091E07"/>
    <w:rsid w:val="00092281"/>
    <w:rsid w:val="000A24B8"/>
    <w:rsid w:val="000A622B"/>
    <w:rsid w:val="000B22B6"/>
    <w:rsid w:val="000B4892"/>
    <w:rsid w:val="000B6A4C"/>
    <w:rsid w:val="000C05A9"/>
    <w:rsid w:val="000D3D08"/>
    <w:rsid w:val="000D7ECE"/>
    <w:rsid w:val="000E640C"/>
    <w:rsid w:val="000E6E83"/>
    <w:rsid w:val="000E7537"/>
    <w:rsid w:val="001008B1"/>
    <w:rsid w:val="001040FE"/>
    <w:rsid w:val="00107BA7"/>
    <w:rsid w:val="00120EF4"/>
    <w:rsid w:val="00131732"/>
    <w:rsid w:val="00132150"/>
    <w:rsid w:val="00133E01"/>
    <w:rsid w:val="0013628B"/>
    <w:rsid w:val="001400A6"/>
    <w:rsid w:val="00140DE7"/>
    <w:rsid w:val="00151815"/>
    <w:rsid w:val="00156FED"/>
    <w:rsid w:val="001609C2"/>
    <w:rsid w:val="0016797A"/>
    <w:rsid w:val="00170C61"/>
    <w:rsid w:val="00170CD2"/>
    <w:rsid w:val="00173ECC"/>
    <w:rsid w:val="001754E6"/>
    <w:rsid w:val="00176287"/>
    <w:rsid w:val="001818F8"/>
    <w:rsid w:val="00187DAC"/>
    <w:rsid w:val="00192AE2"/>
    <w:rsid w:val="0019405B"/>
    <w:rsid w:val="00197FD5"/>
    <w:rsid w:val="001A0702"/>
    <w:rsid w:val="001A1AB4"/>
    <w:rsid w:val="001A35A9"/>
    <w:rsid w:val="001B75E9"/>
    <w:rsid w:val="001C5AB1"/>
    <w:rsid w:val="001D0624"/>
    <w:rsid w:val="001D1072"/>
    <w:rsid w:val="001D32CE"/>
    <w:rsid w:val="001D415D"/>
    <w:rsid w:val="001E1D7A"/>
    <w:rsid w:val="001E6C48"/>
    <w:rsid w:val="001F003A"/>
    <w:rsid w:val="001F2F92"/>
    <w:rsid w:val="001F5109"/>
    <w:rsid w:val="00207E56"/>
    <w:rsid w:val="00213FD8"/>
    <w:rsid w:val="00221728"/>
    <w:rsid w:val="00232931"/>
    <w:rsid w:val="002338B8"/>
    <w:rsid w:val="0024562E"/>
    <w:rsid w:val="0025236D"/>
    <w:rsid w:val="00264137"/>
    <w:rsid w:val="00271206"/>
    <w:rsid w:val="00272031"/>
    <w:rsid w:val="00272180"/>
    <w:rsid w:val="00274B6B"/>
    <w:rsid w:val="00284143"/>
    <w:rsid w:val="002918F0"/>
    <w:rsid w:val="00293D87"/>
    <w:rsid w:val="002B0534"/>
    <w:rsid w:val="002C039A"/>
    <w:rsid w:val="002C03E1"/>
    <w:rsid w:val="002C23DE"/>
    <w:rsid w:val="002C311C"/>
    <w:rsid w:val="002D4B6D"/>
    <w:rsid w:val="002D5B46"/>
    <w:rsid w:val="002E4B3E"/>
    <w:rsid w:val="002E57AF"/>
    <w:rsid w:val="002E7AEE"/>
    <w:rsid w:val="002F019A"/>
    <w:rsid w:val="002F04FE"/>
    <w:rsid w:val="002F0A25"/>
    <w:rsid w:val="002F0AC3"/>
    <w:rsid w:val="002F0F7D"/>
    <w:rsid w:val="002F2E76"/>
    <w:rsid w:val="002F6474"/>
    <w:rsid w:val="002F7D64"/>
    <w:rsid w:val="00300820"/>
    <w:rsid w:val="003016E7"/>
    <w:rsid w:val="003028BF"/>
    <w:rsid w:val="00303E2D"/>
    <w:rsid w:val="00306BE1"/>
    <w:rsid w:val="003107D2"/>
    <w:rsid w:val="003143B2"/>
    <w:rsid w:val="00316DE8"/>
    <w:rsid w:val="00320C03"/>
    <w:rsid w:val="00325E42"/>
    <w:rsid w:val="003318C1"/>
    <w:rsid w:val="00334490"/>
    <w:rsid w:val="00336969"/>
    <w:rsid w:val="00340455"/>
    <w:rsid w:val="003461DA"/>
    <w:rsid w:val="003501DC"/>
    <w:rsid w:val="00350F67"/>
    <w:rsid w:val="003512D1"/>
    <w:rsid w:val="0035553C"/>
    <w:rsid w:val="00360789"/>
    <w:rsid w:val="00362BEA"/>
    <w:rsid w:val="00363E57"/>
    <w:rsid w:val="00364357"/>
    <w:rsid w:val="00367D31"/>
    <w:rsid w:val="00380FB3"/>
    <w:rsid w:val="003843D3"/>
    <w:rsid w:val="00387C2F"/>
    <w:rsid w:val="00393129"/>
    <w:rsid w:val="003A2622"/>
    <w:rsid w:val="003A2720"/>
    <w:rsid w:val="003A4A7B"/>
    <w:rsid w:val="003A57E9"/>
    <w:rsid w:val="003A7B34"/>
    <w:rsid w:val="003B18C2"/>
    <w:rsid w:val="003B5C37"/>
    <w:rsid w:val="003B7C78"/>
    <w:rsid w:val="003C3FDA"/>
    <w:rsid w:val="003C4F4B"/>
    <w:rsid w:val="003D01EE"/>
    <w:rsid w:val="003D131B"/>
    <w:rsid w:val="003D1EB4"/>
    <w:rsid w:val="003D3EB2"/>
    <w:rsid w:val="003D79EF"/>
    <w:rsid w:val="003E0387"/>
    <w:rsid w:val="003E0EF3"/>
    <w:rsid w:val="003E3A5E"/>
    <w:rsid w:val="003F411A"/>
    <w:rsid w:val="003F41AA"/>
    <w:rsid w:val="0040196E"/>
    <w:rsid w:val="0040222E"/>
    <w:rsid w:val="0040225A"/>
    <w:rsid w:val="0040636C"/>
    <w:rsid w:val="0041373D"/>
    <w:rsid w:val="00425C2B"/>
    <w:rsid w:val="00425DFB"/>
    <w:rsid w:val="00426900"/>
    <w:rsid w:val="0042703D"/>
    <w:rsid w:val="00432959"/>
    <w:rsid w:val="00434762"/>
    <w:rsid w:val="00435F44"/>
    <w:rsid w:val="00442E49"/>
    <w:rsid w:val="00457D60"/>
    <w:rsid w:val="00461825"/>
    <w:rsid w:val="004638CE"/>
    <w:rsid w:val="00465C01"/>
    <w:rsid w:val="00466C2C"/>
    <w:rsid w:val="00473DC2"/>
    <w:rsid w:val="00475B87"/>
    <w:rsid w:val="00477006"/>
    <w:rsid w:val="004778D5"/>
    <w:rsid w:val="00480567"/>
    <w:rsid w:val="00480696"/>
    <w:rsid w:val="004824DD"/>
    <w:rsid w:val="0048414C"/>
    <w:rsid w:val="00494E2F"/>
    <w:rsid w:val="004B3E0D"/>
    <w:rsid w:val="004B5319"/>
    <w:rsid w:val="004B6B74"/>
    <w:rsid w:val="004C3DD1"/>
    <w:rsid w:val="004C672F"/>
    <w:rsid w:val="004E1BBA"/>
    <w:rsid w:val="00502422"/>
    <w:rsid w:val="00507BF2"/>
    <w:rsid w:val="00507C7F"/>
    <w:rsid w:val="00516AC2"/>
    <w:rsid w:val="00517D03"/>
    <w:rsid w:val="00525A45"/>
    <w:rsid w:val="00526282"/>
    <w:rsid w:val="00531427"/>
    <w:rsid w:val="00531977"/>
    <w:rsid w:val="0054364E"/>
    <w:rsid w:val="00544EB8"/>
    <w:rsid w:val="00545534"/>
    <w:rsid w:val="005466C0"/>
    <w:rsid w:val="00546B6E"/>
    <w:rsid w:val="00552600"/>
    <w:rsid w:val="00552D04"/>
    <w:rsid w:val="00573980"/>
    <w:rsid w:val="00573EE0"/>
    <w:rsid w:val="0057476B"/>
    <w:rsid w:val="00580E6E"/>
    <w:rsid w:val="00592B6C"/>
    <w:rsid w:val="005A4AFF"/>
    <w:rsid w:val="005A6C74"/>
    <w:rsid w:val="005A7223"/>
    <w:rsid w:val="005B040D"/>
    <w:rsid w:val="005C4710"/>
    <w:rsid w:val="005D06FB"/>
    <w:rsid w:val="005D638A"/>
    <w:rsid w:val="005D66A8"/>
    <w:rsid w:val="005D7AD0"/>
    <w:rsid w:val="005E0193"/>
    <w:rsid w:val="005F32AC"/>
    <w:rsid w:val="006010EE"/>
    <w:rsid w:val="006047E3"/>
    <w:rsid w:val="00604B31"/>
    <w:rsid w:val="0062057C"/>
    <w:rsid w:val="006222BA"/>
    <w:rsid w:val="00623FC5"/>
    <w:rsid w:val="00624944"/>
    <w:rsid w:val="00651966"/>
    <w:rsid w:val="0065688D"/>
    <w:rsid w:val="00660EFD"/>
    <w:rsid w:val="006709CB"/>
    <w:rsid w:val="00672C15"/>
    <w:rsid w:val="00672F7B"/>
    <w:rsid w:val="006932F5"/>
    <w:rsid w:val="00693995"/>
    <w:rsid w:val="0069739F"/>
    <w:rsid w:val="006A0419"/>
    <w:rsid w:val="006A41EE"/>
    <w:rsid w:val="006A443C"/>
    <w:rsid w:val="006A6B04"/>
    <w:rsid w:val="006B2FD1"/>
    <w:rsid w:val="006B4807"/>
    <w:rsid w:val="006B7D87"/>
    <w:rsid w:val="006C1BB9"/>
    <w:rsid w:val="006C7A1F"/>
    <w:rsid w:val="006D4BB5"/>
    <w:rsid w:val="006E09D9"/>
    <w:rsid w:val="006E2AB7"/>
    <w:rsid w:val="006E3F16"/>
    <w:rsid w:val="006E7094"/>
    <w:rsid w:val="006E779D"/>
    <w:rsid w:val="006F72F0"/>
    <w:rsid w:val="00703CDA"/>
    <w:rsid w:val="007105DE"/>
    <w:rsid w:val="00715E20"/>
    <w:rsid w:val="00723707"/>
    <w:rsid w:val="007240ED"/>
    <w:rsid w:val="007265EE"/>
    <w:rsid w:val="00736C02"/>
    <w:rsid w:val="00736E14"/>
    <w:rsid w:val="00740412"/>
    <w:rsid w:val="007427AF"/>
    <w:rsid w:val="0074288D"/>
    <w:rsid w:val="007437DD"/>
    <w:rsid w:val="00763478"/>
    <w:rsid w:val="0076647A"/>
    <w:rsid w:val="007673BD"/>
    <w:rsid w:val="007708FB"/>
    <w:rsid w:val="00782CFF"/>
    <w:rsid w:val="00782F0D"/>
    <w:rsid w:val="00792480"/>
    <w:rsid w:val="00794DD7"/>
    <w:rsid w:val="007950F8"/>
    <w:rsid w:val="007A138C"/>
    <w:rsid w:val="007A252D"/>
    <w:rsid w:val="007A2B0F"/>
    <w:rsid w:val="007A3D08"/>
    <w:rsid w:val="007A54E2"/>
    <w:rsid w:val="007B3289"/>
    <w:rsid w:val="007B3FD1"/>
    <w:rsid w:val="007C7642"/>
    <w:rsid w:val="007C7AF5"/>
    <w:rsid w:val="007C7B5F"/>
    <w:rsid w:val="007D3779"/>
    <w:rsid w:val="007E02EC"/>
    <w:rsid w:val="007E0843"/>
    <w:rsid w:val="007E1E6E"/>
    <w:rsid w:val="007E1EAF"/>
    <w:rsid w:val="007E43D1"/>
    <w:rsid w:val="007E64F7"/>
    <w:rsid w:val="007E6798"/>
    <w:rsid w:val="007F0D8E"/>
    <w:rsid w:val="007F195D"/>
    <w:rsid w:val="00804E4C"/>
    <w:rsid w:val="00814C7C"/>
    <w:rsid w:val="0081519E"/>
    <w:rsid w:val="008203F4"/>
    <w:rsid w:val="00823D96"/>
    <w:rsid w:val="00837E85"/>
    <w:rsid w:val="008403B6"/>
    <w:rsid w:val="0085506D"/>
    <w:rsid w:val="00856E31"/>
    <w:rsid w:val="0086081E"/>
    <w:rsid w:val="00860DBD"/>
    <w:rsid w:val="00864814"/>
    <w:rsid w:val="0086721E"/>
    <w:rsid w:val="008678A9"/>
    <w:rsid w:val="00871AF8"/>
    <w:rsid w:val="00872C1D"/>
    <w:rsid w:val="008754CC"/>
    <w:rsid w:val="0087663B"/>
    <w:rsid w:val="008819BE"/>
    <w:rsid w:val="00890141"/>
    <w:rsid w:val="00893941"/>
    <w:rsid w:val="00897BF2"/>
    <w:rsid w:val="008A40B0"/>
    <w:rsid w:val="008A5A10"/>
    <w:rsid w:val="008B1BCE"/>
    <w:rsid w:val="008B66E2"/>
    <w:rsid w:val="008C06D4"/>
    <w:rsid w:val="008D0D33"/>
    <w:rsid w:val="008D1F1E"/>
    <w:rsid w:val="008D6414"/>
    <w:rsid w:val="008D7C66"/>
    <w:rsid w:val="008E3AE0"/>
    <w:rsid w:val="008F22AD"/>
    <w:rsid w:val="008F2799"/>
    <w:rsid w:val="008F2EED"/>
    <w:rsid w:val="00900AC3"/>
    <w:rsid w:val="0090400E"/>
    <w:rsid w:val="00917C3D"/>
    <w:rsid w:val="00923619"/>
    <w:rsid w:val="00931CB4"/>
    <w:rsid w:val="00952B5A"/>
    <w:rsid w:val="00953711"/>
    <w:rsid w:val="00954450"/>
    <w:rsid w:val="00956CC9"/>
    <w:rsid w:val="009606FA"/>
    <w:rsid w:val="00973567"/>
    <w:rsid w:val="00975718"/>
    <w:rsid w:val="00981631"/>
    <w:rsid w:val="00981ED0"/>
    <w:rsid w:val="00984B6F"/>
    <w:rsid w:val="009A243E"/>
    <w:rsid w:val="009A281E"/>
    <w:rsid w:val="009B742E"/>
    <w:rsid w:val="009C0096"/>
    <w:rsid w:val="009C4630"/>
    <w:rsid w:val="009C5E34"/>
    <w:rsid w:val="009C6673"/>
    <w:rsid w:val="009C7DB8"/>
    <w:rsid w:val="009D2B87"/>
    <w:rsid w:val="009D5DD2"/>
    <w:rsid w:val="009E1E62"/>
    <w:rsid w:val="009E28FB"/>
    <w:rsid w:val="009E62DF"/>
    <w:rsid w:val="009E70B5"/>
    <w:rsid w:val="009F1861"/>
    <w:rsid w:val="009F3187"/>
    <w:rsid w:val="00A006CB"/>
    <w:rsid w:val="00A019F8"/>
    <w:rsid w:val="00A065C9"/>
    <w:rsid w:val="00A07C17"/>
    <w:rsid w:val="00A21397"/>
    <w:rsid w:val="00A26D24"/>
    <w:rsid w:val="00A35CDB"/>
    <w:rsid w:val="00A36ABD"/>
    <w:rsid w:val="00A5330A"/>
    <w:rsid w:val="00A54777"/>
    <w:rsid w:val="00A5751A"/>
    <w:rsid w:val="00A63F7C"/>
    <w:rsid w:val="00A72836"/>
    <w:rsid w:val="00A74B53"/>
    <w:rsid w:val="00A84C2A"/>
    <w:rsid w:val="00A851C0"/>
    <w:rsid w:val="00A903A3"/>
    <w:rsid w:val="00AA0B68"/>
    <w:rsid w:val="00AA34FA"/>
    <w:rsid w:val="00AA39A6"/>
    <w:rsid w:val="00AB515A"/>
    <w:rsid w:val="00AB5B4B"/>
    <w:rsid w:val="00AC4A92"/>
    <w:rsid w:val="00AC4AC7"/>
    <w:rsid w:val="00AC649F"/>
    <w:rsid w:val="00AD3312"/>
    <w:rsid w:val="00AE273E"/>
    <w:rsid w:val="00AE3EEF"/>
    <w:rsid w:val="00AE4DB6"/>
    <w:rsid w:val="00AE6109"/>
    <w:rsid w:val="00AF253E"/>
    <w:rsid w:val="00AF402E"/>
    <w:rsid w:val="00B0232C"/>
    <w:rsid w:val="00B036CE"/>
    <w:rsid w:val="00B07A91"/>
    <w:rsid w:val="00B11DC2"/>
    <w:rsid w:val="00B12333"/>
    <w:rsid w:val="00B13041"/>
    <w:rsid w:val="00B178D0"/>
    <w:rsid w:val="00B272E3"/>
    <w:rsid w:val="00B27CBC"/>
    <w:rsid w:val="00B27D0A"/>
    <w:rsid w:val="00B321A6"/>
    <w:rsid w:val="00B3282D"/>
    <w:rsid w:val="00B429E9"/>
    <w:rsid w:val="00B52ECB"/>
    <w:rsid w:val="00B539D0"/>
    <w:rsid w:val="00B53E5F"/>
    <w:rsid w:val="00B55F2D"/>
    <w:rsid w:val="00B5727C"/>
    <w:rsid w:val="00B61509"/>
    <w:rsid w:val="00B65F42"/>
    <w:rsid w:val="00B76DDC"/>
    <w:rsid w:val="00B804E6"/>
    <w:rsid w:val="00B819D7"/>
    <w:rsid w:val="00B829A9"/>
    <w:rsid w:val="00B9450E"/>
    <w:rsid w:val="00BA7DE0"/>
    <w:rsid w:val="00BB032D"/>
    <w:rsid w:val="00BB252A"/>
    <w:rsid w:val="00BB2952"/>
    <w:rsid w:val="00BB7136"/>
    <w:rsid w:val="00BC344D"/>
    <w:rsid w:val="00BD2946"/>
    <w:rsid w:val="00BD52AE"/>
    <w:rsid w:val="00BD7C3E"/>
    <w:rsid w:val="00BE2DEE"/>
    <w:rsid w:val="00BE7356"/>
    <w:rsid w:val="00BF063C"/>
    <w:rsid w:val="00BF37E0"/>
    <w:rsid w:val="00BF6A33"/>
    <w:rsid w:val="00BF72D5"/>
    <w:rsid w:val="00C025F7"/>
    <w:rsid w:val="00C055BF"/>
    <w:rsid w:val="00C07CE6"/>
    <w:rsid w:val="00C07D6F"/>
    <w:rsid w:val="00C12E64"/>
    <w:rsid w:val="00C13C3D"/>
    <w:rsid w:val="00C1606F"/>
    <w:rsid w:val="00C257F3"/>
    <w:rsid w:val="00C30389"/>
    <w:rsid w:val="00C309AB"/>
    <w:rsid w:val="00C4095C"/>
    <w:rsid w:val="00C45E4E"/>
    <w:rsid w:val="00C71353"/>
    <w:rsid w:val="00C76DE8"/>
    <w:rsid w:val="00C771DF"/>
    <w:rsid w:val="00C803D0"/>
    <w:rsid w:val="00C80420"/>
    <w:rsid w:val="00C80C4C"/>
    <w:rsid w:val="00C82995"/>
    <w:rsid w:val="00C83A39"/>
    <w:rsid w:val="00C94ACB"/>
    <w:rsid w:val="00C96B7C"/>
    <w:rsid w:val="00CA0EEA"/>
    <w:rsid w:val="00CA1ED7"/>
    <w:rsid w:val="00CA5020"/>
    <w:rsid w:val="00CA5A34"/>
    <w:rsid w:val="00CB2C14"/>
    <w:rsid w:val="00CC010B"/>
    <w:rsid w:val="00CC288A"/>
    <w:rsid w:val="00CC3467"/>
    <w:rsid w:val="00CC45D6"/>
    <w:rsid w:val="00CC717D"/>
    <w:rsid w:val="00CE0A76"/>
    <w:rsid w:val="00CE7B77"/>
    <w:rsid w:val="00D00027"/>
    <w:rsid w:val="00D03169"/>
    <w:rsid w:val="00D03846"/>
    <w:rsid w:val="00D1070E"/>
    <w:rsid w:val="00D14C5D"/>
    <w:rsid w:val="00D3047B"/>
    <w:rsid w:val="00D32E4D"/>
    <w:rsid w:val="00D43613"/>
    <w:rsid w:val="00D46C5B"/>
    <w:rsid w:val="00D47735"/>
    <w:rsid w:val="00D75DCB"/>
    <w:rsid w:val="00D83A21"/>
    <w:rsid w:val="00DA1B86"/>
    <w:rsid w:val="00DA6FEC"/>
    <w:rsid w:val="00DC5ACF"/>
    <w:rsid w:val="00DC6AB1"/>
    <w:rsid w:val="00DC764E"/>
    <w:rsid w:val="00DD2A47"/>
    <w:rsid w:val="00DD567E"/>
    <w:rsid w:val="00DD5E2E"/>
    <w:rsid w:val="00DD63FF"/>
    <w:rsid w:val="00DD71CA"/>
    <w:rsid w:val="00DD7DAD"/>
    <w:rsid w:val="00DE0FD0"/>
    <w:rsid w:val="00DE52A1"/>
    <w:rsid w:val="00DE7918"/>
    <w:rsid w:val="00DF045F"/>
    <w:rsid w:val="00E021D0"/>
    <w:rsid w:val="00E026CA"/>
    <w:rsid w:val="00E15C1E"/>
    <w:rsid w:val="00E207AF"/>
    <w:rsid w:val="00E23542"/>
    <w:rsid w:val="00E26584"/>
    <w:rsid w:val="00E310B8"/>
    <w:rsid w:val="00E357B0"/>
    <w:rsid w:val="00E446F1"/>
    <w:rsid w:val="00E47683"/>
    <w:rsid w:val="00E50D66"/>
    <w:rsid w:val="00E53F20"/>
    <w:rsid w:val="00E5639E"/>
    <w:rsid w:val="00E56A16"/>
    <w:rsid w:val="00E61191"/>
    <w:rsid w:val="00E716BE"/>
    <w:rsid w:val="00E71D66"/>
    <w:rsid w:val="00E72CBE"/>
    <w:rsid w:val="00E7516F"/>
    <w:rsid w:val="00E86322"/>
    <w:rsid w:val="00E86CD5"/>
    <w:rsid w:val="00E87C35"/>
    <w:rsid w:val="00E97A5A"/>
    <w:rsid w:val="00EA31C9"/>
    <w:rsid w:val="00EB2423"/>
    <w:rsid w:val="00EB413B"/>
    <w:rsid w:val="00EC4E42"/>
    <w:rsid w:val="00EC5D69"/>
    <w:rsid w:val="00EC7E4F"/>
    <w:rsid w:val="00ED15BD"/>
    <w:rsid w:val="00ED7DDE"/>
    <w:rsid w:val="00EE0C23"/>
    <w:rsid w:val="00EE6C41"/>
    <w:rsid w:val="00EF08A7"/>
    <w:rsid w:val="00EF54CF"/>
    <w:rsid w:val="00F0379E"/>
    <w:rsid w:val="00F146F6"/>
    <w:rsid w:val="00F21B68"/>
    <w:rsid w:val="00F25EE9"/>
    <w:rsid w:val="00F313B4"/>
    <w:rsid w:val="00F36400"/>
    <w:rsid w:val="00F372F8"/>
    <w:rsid w:val="00F37D5A"/>
    <w:rsid w:val="00F4466B"/>
    <w:rsid w:val="00F5389A"/>
    <w:rsid w:val="00F554FB"/>
    <w:rsid w:val="00F55BB5"/>
    <w:rsid w:val="00F5745E"/>
    <w:rsid w:val="00F60A7C"/>
    <w:rsid w:val="00F63159"/>
    <w:rsid w:val="00F63900"/>
    <w:rsid w:val="00F72207"/>
    <w:rsid w:val="00F73AE9"/>
    <w:rsid w:val="00F778EB"/>
    <w:rsid w:val="00F81E84"/>
    <w:rsid w:val="00F83E70"/>
    <w:rsid w:val="00F867C7"/>
    <w:rsid w:val="00F8712A"/>
    <w:rsid w:val="00F929B5"/>
    <w:rsid w:val="00F97143"/>
    <w:rsid w:val="00FA3051"/>
    <w:rsid w:val="00FB12D0"/>
    <w:rsid w:val="00FB2E7E"/>
    <w:rsid w:val="00FC10A5"/>
    <w:rsid w:val="00FC142F"/>
    <w:rsid w:val="00FC2589"/>
    <w:rsid w:val="00FD3372"/>
    <w:rsid w:val="00FE1516"/>
    <w:rsid w:val="00FF2FF2"/>
    <w:rsid w:val="00FF3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6A0A5F"/>
  <w15:chartTrackingRefBased/>
  <w15:docId w15:val="{418C4A28-EC9F-442C-A0FD-325868C8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193"/>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151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1815"/>
    <w:pPr>
      <w:ind w:left="720"/>
      <w:contextualSpacing/>
    </w:pPr>
  </w:style>
  <w:style w:type="paragraph" w:styleId="Header">
    <w:name w:val="header"/>
    <w:basedOn w:val="Normal"/>
    <w:link w:val="HeaderChar"/>
    <w:uiPriority w:val="99"/>
    <w:unhideWhenUsed/>
    <w:rsid w:val="00B5727C"/>
    <w:pPr>
      <w:tabs>
        <w:tab w:val="center" w:pos="4680"/>
        <w:tab w:val="right" w:pos="9360"/>
      </w:tabs>
    </w:pPr>
  </w:style>
  <w:style w:type="character" w:customStyle="1" w:styleId="HeaderChar">
    <w:name w:val="Header Char"/>
    <w:basedOn w:val="DefaultParagraphFont"/>
    <w:link w:val="Header"/>
    <w:uiPriority w:val="99"/>
    <w:rsid w:val="00B5727C"/>
  </w:style>
  <w:style w:type="paragraph" w:styleId="Footer">
    <w:name w:val="footer"/>
    <w:basedOn w:val="Normal"/>
    <w:link w:val="FooterChar"/>
    <w:uiPriority w:val="99"/>
    <w:unhideWhenUsed/>
    <w:rsid w:val="00B5727C"/>
    <w:pPr>
      <w:tabs>
        <w:tab w:val="center" w:pos="4680"/>
        <w:tab w:val="right" w:pos="9360"/>
      </w:tabs>
    </w:pPr>
  </w:style>
  <w:style w:type="character" w:customStyle="1" w:styleId="FooterChar">
    <w:name w:val="Footer Char"/>
    <w:basedOn w:val="DefaultParagraphFont"/>
    <w:link w:val="Footer"/>
    <w:uiPriority w:val="99"/>
    <w:rsid w:val="00B57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5883">
      <w:bodyDiv w:val="1"/>
      <w:marLeft w:val="0"/>
      <w:marRight w:val="0"/>
      <w:marTop w:val="0"/>
      <w:marBottom w:val="0"/>
      <w:divBdr>
        <w:top w:val="none" w:sz="0" w:space="0" w:color="auto"/>
        <w:left w:val="none" w:sz="0" w:space="0" w:color="auto"/>
        <w:bottom w:val="none" w:sz="0" w:space="0" w:color="auto"/>
        <w:right w:val="none" w:sz="0" w:space="0" w:color="auto"/>
      </w:divBdr>
    </w:div>
    <w:div w:id="50273877">
      <w:bodyDiv w:val="1"/>
      <w:marLeft w:val="0"/>
      <w:marRight w:val="0"/>
      <w:marTop w:val="0"/>
      <w:marBottom w:val="0"/>
      <w:divBdr>
        <w:top w:val="none" w:sz="0" w:space="0" w:color="auto"/>
        <w:left w:val="none" w:sz="0" w:space="0" w:color="auto"/>
        <w:bottom w:val="none" w:sz="0" w:space="0" w:color="auto"/>
        <w:right w:val="none" w:sz="0" w:space="0" w:color="auto"/>
      </w:divBdr>
    </w:div>
    <w:div w:id="61492204">
      <w:bodyDiv w:val="1"/>
      <w:marLeft w:val="0"/>
      <w:marRight w:val="0"/>
      <w:marTop w:val="0"/>
      <w:marBottom w:val="0"/>
      <w:divBdr>
        <w:top w:val="none" w:sz="0" w:space="0" w:color="auto"/>
        <w:left w:val="none" w:sz="0" w:space="0" w:color="auto"/>
        <w:bottom w:val="none" w:sz="0" w:space="0" w:color="auto"/>
        <w:right w:val="none" w:sz="0" w:space="0" w:color="auto"/>
      </w:divBdr>
    </w:div>
    <w:div w:id="194005399">
      <w:bodyDiv w:val="1"/>
      <w:marLeft w:val="0"/>
      <w:marRight w:val="0"/>
      <w:marTop w:val="0"/>
      <w:marBottom w:val="0"/>
      <w:divBdr>
        <w:top w:val="none" w:sz="0" w:space="0" w:color="auto"/>
        <w:left w:val="none" w:sz="0" w:space="0" w:color="auto"/>
        <w:bottom w:val="none" w:sz="0" w:space="0" w:color="auto"/>
        <w:right w:val="none" w:sz="0" w:space="0" w:color="auto"/>
      </w:divBdr>
    </w:div>
    <w:div w:id="436217861">
      <w:bodyDiv w:val="1"/>
      <w:marLeft w:val="0"/>
      <w:marRight w:val="0"/>
      <w:marTop w:val="0"/>
      <w:marBottom w:val="0"/>
      <w:divBdr>
        <w:top w:val="none" w:sz="0" w:space="0" w:color="auto"/>
        <w:left w:val="none" w:sz="0" w:space="0" w:color="auto"/>
        <w:bottom w:val="none" w:sz="0" w:space="0" w:color="auto"/>
        <w:right w:val="none" w:sz="0" w:space="0" w:color="auto"/>
      </w:divBdr>
    </w:div>
    <w:div w:id="453058271">
      <w:bodyDiv w:val="1"/>
      <w:marLeft w:val="0"/>
      <w:marRight w:val="0"/>
      <w:marTop w:val="0"/>
      <w:marBottom w:val="0"/>
      <w:divBdr>
        <w:top w:val="none" w:sz="0" w:space="0" w:color="auto"/>
        <w:left w:val="none" w:sz="0" w:space="0" w:color="auto"/>
        <w:bottom w:val="none" w:sz="0" w:space="0" w:color="auto"/>
        <w:right w:val="none" w:sz="0" w:space="0" w:color="auto"/>
      </w:divBdr>
    </w:div>
    <w:div w:id="661393033">
      <w:bodyDiv w:val="1"/>
      <w:marLeft w:val="0"/>
      <w:marRight w:val="0"/>
      <w:marTop w:val="0"/>
      <w:marBottom w:val="0"/>
      <w:divBdr>
        <w:top w:val="none" w:sz="0" w:space="0" w:color="auto"/>
        <w:left w:val="none" w:sz="0" w:space="0" w:color="auto"/>
        <w:bottom w:val="none" w:sz="0" w:space="0" w:color="auto"/>
        <w:right w:val="none" w:sz="0" w:space="0" w:color="auto"/>
      </w:divBdr>
    </w:div>
    <w:div w:id="773087808">
      <w:bodyDiv w:val="1"/>
      <w:marLeft w:val="0"/>
      <w:marRight w:val="0"/>
      <w:marTop w:val="0"/>
      <w:marBottom w:val="0"/>
      <w:divBdr>
        <w:top w:val="none" w:sz="0" w:space="0" w:color="auto"/>
        <w:left w:val="none" w:sz="0" w:space="0" w:color="auto"/>
        <w:bottom w:val="none" w:sz="0" w:space="0" w:color="auto"/>
        <w:right w:val="none" w:sz="0" w:space="0" w:color="auto"/>
      </w:divBdr>
    </w:div>
    <w:div w:id="817263760">
      <w:bodyDiv w:val="1"/>
      <w:marLeft w:val="0"/>
      <w:marRight w:val="0"/>
      <w:marTop w:val="0"/>
      <w:marBottom w:val="0"/>
      <w:divBdr>
        <w:top w:val="none" w:sz="0" w:space="0" w:color="auto"/>
        <w:left w:val="none" w:sz="0" w:space="0" w:color="auto"/>
        <w:bottom w:val="none" w:sz="0" w:space="0" w:color="auto"/>
        <w:right w:val="none" w:sz="0" w:space="0" w:color="auto"/>
      </w:divBdr>
    </w:div>
    <w:div w:id="828134207">
      <w:bodyDiv w:val="1"/>
      <w:marLeft w:val="0"/>
      <w:marRight w:val="0"/>
      <w:marTop w:val="0"/>
      <w:marBottom w:val="0"/>
      <w:divBdr>
        <w:top w:val="none" w:sz="0" w:space="0" w:color="auto"/>
        <w:left w:val="none" w:sz="0" w:space="0" w:color="auto"/>
        <w:bottom w:val="none" w:sz="0" w:space="0" w:color="auto"/>
        <w:right w:val="none" w:sz="0" w:space="0" w:color="auto"/>
      </w:divBdr>
    </w:div>
    <w:div w:id="836924961">
      <w:bodyDiv w:val="1"/>
      <w:marLeft w:val="0"/>
      <w:marRight w:val="0"/>
      <w:marTop w:val="0"/>
      <w:marBottom w:val="0"/>
      <w:divBdr>
        <w:top w:val="none" w:sz="0" w:space="0" w:color="auto"/>
        <w:left w:val="none" w:sz="0" w:space="0" w:color="auto"/>
        <w:bottom w:val="none" w:sz="0" w:space="0" w:color="auto"/>
        <w:right w:val="none" w:sz="0" w:space="0" w:color="auto"/>
      </w:divBdr>
    </w:div>
    <w:div w:id="871236112">
      <w:bodyDiv w:val="1"/>
      <w:marLeft w:val="0"/>
      <w:marRight w:val="0"/>
      <w:marTop w:val="0"/>
      <w:marBottom w:val="0"/>
      <w:divBdr>
        <w:top w:val="none" w:sz="0" w:space="0" w:color="auto"/>
        <w:left w:val="none" w:sz="0" w:space="0" w:color="auto"/>
        <w:bottom w:val="none" w:sz="0" w:space="0" w:color="auto"/>
        <w:right w:val="none" w:sz="0" w:space="0" w:color="auto"/>
      </w:divBdr>
    </w:div>
    <w:div w:id="883446450">
      <w:bodyDiv w:val="1"/>
      <w:marLeft w:val="0"/>
      <w:marRight w:val="0"/>
      <w:marTop w:val="0"/>
      <w:marBottom w:val="0"/>
      <w:divBdr>
        <w:top w:val="none" w:sz="0" w:space="0" w:color="auto"/>
        <w:left w:val="none" w:sz="0" w:space="0" w:color="auto"/>
        <w:bottom w:val="none" w:sz="0" w:space="0" w:color="auto"/>
        <w:right w:val="none" w:sz="0" w:space="0" w:color="auto"/>
      </w:divBdr>
    </w:div>
    <w:div w:id="919604002">
      <w:bodyDiv w:val="1"/>
      <w:marLeft w:val="0"/>
      <w:marRight w:val="0"/>
      <w:marTop w:val="0"/>
      <w:marBottom w:val="0"/>
      <w:divBdr>
        <w:top w:val="none" w:sz="0" w:space="0" w:color="auto"/>
        <w:left w:val="none" w:sz="0" w:space="0" w:color="auto"/>
        <w:bottom w:val="none" w:sz="0" w:space="0" w:color="auto"/>
        <w:right w:val="none" w:sz="0" w:space="0" w:color="auto"/>
      </w:divBdr>
    </w:div>
    <w:div w:id="1062292661">
      <w:bodyDiv w:val="1"/>
      <w:marLeft w:val="0"/>
      <w:marRight w:val="0"/>
      <w:marTop w:val="0"/>
      <w:marBottom w:val="0"/>
      <w:divBdr>
        <w:top w:val="none" w:sz="0" w:space="0" w:color="auto"/>
        <w:left w:val="none" w:sz="0" w:space="0" w:color="auto"/>
        <w:bottom w:val="none" w:sz="0" w:space="0" w:color="auto"/>
        <w:right w:val="none" w:sz="0" w:space="0" w:color="auto"/>
      </w:divBdr>
    </w:div>
    <w:div w:id="1117874993">
      <w:bodyDiv w:val="1"/>
      <w:marLeft w:val="0"/>
      <w:marRight w:val="0"/>
      <w:marTop w:val="0"/>
      <w:marBottom w:val="0"/>
      <w:divBdr>
        <w:top w:val="none" w:sz="0" w:space="0" w:color="auto"/>
        <w:left w:val="none" w:sz="0" w:space="0" w:color="auto"/>
        <w:bottom w:val="none" w:sz="0" w:space="0" w:color="auto"/>
        <w:right w:val="none" w:sz="0" w:space="0" w:color="auto"/>
      </w:divBdr>
    </w:div>
    <w:div w:id="1145319897">
      <w:bodyDiv w:val="1"/>
      <w:marLeft w:val="0"/>
      <w:marRight w:val="0"/>
      <w:marTop w:val="0"/>
      <w:marBottom w:val="0"/>
      <w:divBdr>
        <w:top w:val="none" w:sz="0" w:space="0" w:color="auto"/>
        <w:left w:val="none" w:sz="0" w:space="0" w:color="auto"/>
        <w:bottom w:val="none" w:sz="0" w:space="0" w:color="auto"/>
        <w:right w:val="none" w:sz="0" w:space="0" w:color="auto"/>
      </w:divBdr>
    </w:div>
    <w:div w:id="1159807745">
      <w:bodyDiv w:val="1"/>
      <w:marLeft w:val="0"/>
      <w:marRight w:val="0"/>
      <w:marTop w:val="0"/>
      <w:marBottom w:val="0"/>
      <w:divBdr>
        <w:top w:val="none" w:sz="0" w:space="0" w:color="auto"/>
        <w:left w:val="none" w:sz="0" w:space="0" w:color="auto"/>
        <w:bottom w:val="none" w:sz="0" w:space="0" w:color="auto"/>
        <w:right w:val="none" w:sz="0" w:space="0" w:color="auto"/>
      </w:divBdr>
    </w:div>
    <w:div w:id="1232933425">
      <w:bodyDiv w:val="1"/>
      <w:marLeft w:val="0"/>
      <w:marRight w:val="0"/>
      <w:marTop w:val="0"/>
      <w:marBottom w:val="0"/>
      <w:divBdr>
        <w:top w:val="none" w:sz="0" w:space="0" w:color="auto"/>
        <w:left w:val="none" w:sz="0" w:space="0" w:color="auto"/>
        <w:bottom w:val="none" w:sz="0" w:space="0" w:color="auto"/>
        <w:right w:val="none" w:sz="0" w:space="0" w:color="auto"/>
      </w:divBdr>
    </w:div>
    <w:div w:id="1246571329">
      <w:bodyDiv w:val="1"/>
      <w:marLeft w:val="0"/>
      <w:marRight w:val="0"/>
      <w:marTop w:val="0"/>
      <w:marBottom w:val="0"/>
      <w:divBdr>
        <w:top w:val="none" w:sz="0" w:space="0" w:color="auto"/>
        <w:left w:val="none" w:sz="0" w:space="0" w:color="auto"/>
        <w:bottom w:val="none" w:sz="0" w:space="0" w:color="auto"/>
        <w:right w:val="none" w:sz="0" w:space="0" w:color="auto"/>
      </w:divBdr>
    </w:div>
    <w:div w:id="1270894073">
      <w:bodyDiv w:val="1"/>
      <w:marLeft w:val="0"/>
      <w:marRight w:val="0"/>
      <w:marTop w:val="0"/>
      <w:marBottom w:val="0"/>
      <w:divBdr>
        <w:top w:val="none" w:sz="0" w:space="0" w:color="auto"/>
        <w:left w:val="none" w:sz="0" w:space="0" w:color="auto"/>
        <w:bottom w:val="none" w:sz="0" w:space="0" w:color="auto"/>
        <w:right w:val="none" w:sz="0" w:space="0" w:color="auto"/>
      </w:divBdr>
    </w:div>
    <w:div w:id="1275211003">
      <w:bodyDiv w:val="1"/>
      <w:marLeft w:val="0"/>
      <w:marRight w:val="0"/>
      <w:marTop w:val="0"/>
      <w:marBottom w:val="0"/>
      <w:divBdr>
        <w:top w:val="none" w:sz="0" w:space="0" w:color="auto"/>
        <w:left w:val="none" w:sz="0" w:space="0" w:color="auto"/>
        <w:bottom w:val="none" w:sz="0" w:space="0" w:color="auto"/>
        <w:right w:val="none" w:sz="0" w:space="0" w:color="auto"/>
      </w:divBdr>
    </w:div>
    <w:div w:id="1305814398">
      <w:bodyDiv w:val="1"/>
      <w:marLeft w:val="0"/>
      <w:marRight w:val="0"/>
      <w:marTop w:val="0"/>
      <w:marBottom w:val="0"/>
      <w:divBdr>
        <w:top w:val="none" w:sz="0" w:space="0" w:color="auto"/>
        <w:left w:val="none" w:sz="0" w:space="0" w:color="auto"/>
        <w:bottom w:val="none" w:sz="0" w:space="0" w:color="auto"/>
        <w:right w:val="none" w:sz="0" w:space="0" w:color="auto"/>
      </w:divBdr>
    </w:div>
    <w:div w:id="1387532846">
      <w:bodyDiv w:val="1"/>
      <w:marLeft w:val="0"/>
      <w:marRight w:val="0"/>
      <w:marTop w:val="0"/>
      <w:marBottom w:val="0"/>
      <w:divBdr>
        <w:top w:val="none" w:sz="0" w:space="0" w:color="auto"/>
        <w:left w:val="none" w:sz="0" w:space="0" w:color="auto"/>
        <w:bottom w:val="none" w:sz="0" w:space="0" w:color="auto"/>
        <w:right w:val="none" w:sz="0" w:space="0" w:color="auto"/>
      </w:divBdr>
    </w:div>
    <w:div w:id="1439059441">
      <w:bodyDiv w:val="1"/>
      <w:marLeft w:val="0"/>
      <w:marRight w:val="0"/>
      <w:marTop w:val="0"/>
      <w:marBottom w:val="0"/>
      <w:divBdr>
        <w:top w:val="none" w:sz="0" w:space="0" w:color="auto"/>
        <w:left w:val="none" w:sz="0" w:space="0" w:color="auto"/>
        <w:bottom w:val="none" w:sz="0" w:space="0" w:color="auto"/>
        <w:right w:val="none" w:sz="0" w:space="0" w:color="auto"/>
      </w:divBdr>
    </w:div>
    <w:div w:id="1484615966">
      <w:bodyDiv w:val="1"/>
      <w:marLeft w:val="0"/>
      <w:marRight w:val="0"/>
      <w:marTop w:val="0"/>
      <w:marBottom w:val="0"/>
      <w:divBdr>
        <w:top w:val="none" w:sz="0" w:space="0" w:color="auto"/>
        <w:left w:val="none" w:sz="0" w:space="0" w:color="auto"/>
        <w:bottom w:val="none" w:sz="0" w:space="0" w:color="auto"/>
        <w:right w:val="none" w:sz="0" w:space="0" w:color="auto"/>
      </w:divBdr>
    </w:div>
    <w:div w:id="1494637080">
      <w:bodyDiv w:val="1"/>
      <w:marLeft w:val="0"/>
      <w:marRight w:val="0"/>
      <w:marTop w:val="0"/>
      <w:marBottom w:val="0"/>
      <w:divBdr>
        <w:top w:val="none" w:sz="0" w:space="0" w:color="auto"/>
        <w:left w:val="none" w:sz="0" w:space="0" w:color="auto"/>
        <w:bottom w:val="none" w:sz="0" w:space="0" w:color="auto"/>
        <w:right w:val="none" w:sz="0" w:space="0" w:color="auto"/>
      </w:divBdr>
    </w:div>
    <w:div w:id="1580560914">
      <w:bodyDiv w:val="1"/>
      <w:marLeft w:val="0"/>
      <w:marRight w:val="0"/>
      <w:marTop w:val="0"/>
      <w:marBottom w:val="0"/>
      <w:divBdr>
        <w:top w:val="none" w:sz="0" w:space="0" w:color="auto"/>
        <w:left w:val="none" w:sz="0" w:space="0" w:color="auto"/>
        <w:bottom w:val="none" w:sz="0" w:space="0" w:color="auto"/>
        <w:right w:val="none" w:sz="0" w:space="0" w:color="auto"/>
      </w:divBdr>
    </w:div>
    <w:div w:id="1632050188">
      <w:bodyDiv w:val="1"/>
      <w:marLeft w:val="0"/>
      <w:marRight w:val="0"/>
      <w:marTop w:val="0"/>
      <w:marBottom w:val="0"/>
      <w:divBdr>
        <w:top w:val="none" w:sz="0" w:space="0" w:color="auto"/>
        <w:left w:val="none" w:sz="0" w:space="0" w:color="auto"/>
        <w:bottom w:val="none" w:sz="0" w:space="0" w:color="auto"/>
        <w:right w:val="none" w:sz="0" w:space="0" w:color="auto"/>
      </w:divBdr>
    </w:div>
    <w:div w:id="1701785878">
      <w:bodyDiv w:val="1"/>
      <w:marLeft w:val="0"/>
      <w:marRight w:val="0"/>
      <w:marTop w:val="0"/>
      <w:marBottom w:val="0"/>
      <w:divBdr>
        <w:top w:val="none" w:sz="0" w:space="0" w:color="auto"/>
        <w:left w:val="none" w:sz="0" w:space="0" w:color="auto"/>
        <w:bottom w:val="none" w:sz="0" w:space="0" w:color="auto"/>
        <w:right w:val="none" w:sz="0" w:space="0" w:color="auto"/>
      </w:divBdr>
    </w:div>
    <w:div w:id="1838686928">
      <w:bodyDiv w:val="1"/>
      <w:marLeft w:val="0"/>
      <w:marRight w:val="0"/>
      <w:marTop w:val="0"/>
      <w:marBottom w:val="0"/>
      <w:divBdr>
        <w:top w:val="none" w:sz="0" w:space="0" w:color="auto"/>
        <w:left w:val="none" w:sz="0" w:space="0" w:color="auto"/>
        <w:bottom w:val="none" w:sz="0" w:space="0" w:color="auto"/>
        <w:right w:val="none" w:sz="0" w:space="0" w:color="auto"/>
      </w:divBdr>
    </w:div>
    <w:div w:id="1901284614">
      <w:bodyDiv w:val="1"/>
      <w:marLeft w:val="0"/>
      <w:marRight w:val="0"/>
      <w:marTop w:val="0"/>
      <w:marBottom w:val="0"/>
      <w:divBdr>
        <w:top w:val="none" w:sz="0" w:space="0" w:color="auto"/>
        <w:left w:val="none" w:sz="0" w:space="0" w:color="auto"/>
        <w:bottom w:val="none" w:sz="0" w:space="0" w:color="auto"/>
        <w:right w:val="none" w:sz="0" w:space="0" w:color="auto"/>
      </w:divBdr>
    </w:div>
    <w:div w:id="1911383548">
      <w:bodyDiv w:val="1"/>
      <w:marLeft w:val="0"/>
      <w:marRight w:val="0"/>
      <w:marTop w:val="0"/>
      <w:marBottom w:val="0"/>
      <w:divBdr>
        <w:top w:val="none" w:sz="0" w:space="0" w:color="auto"/>
        <w:left w:val="none" w:sz="0" w:space="0" w:color="auto"/>
        <w:bottom w:val="none" w:sz="0" w:space="0" w:color="auto"/>
        <w:right w:val="none" w:sz="0" w:space="0" w:color="auto"/>
      </w:divBdr>
    </w:div>
    <w:div w:id="1915772770">
      <w:bodyDiv w:val="1"/>
      <w:marLeft w:val="0"/>
      <w:marRight w:val="0"/>
      <w:marTop w:val="0"/>
      <w:marBottom w:val="0"/>
      <w:divBdr>
        <w:top w:val="none" w:sz="0" w:space="0" w:color="auto"/>
        <w:left w:val="none" w:sz="0" w:space="0" w:color="auto"/>
        <w:bottom w:val="none" w:sz="0" w:space="0" w:color="auto"/>
        <w:right w:val="none" w:sz="0" w:space="0" w:color="auto"/>
      </w:divBdr>
    </w:div>
    <w:div w:id="1939830425">
      <w:bodyDiv w:val="1"/>
      <w:marLeft w:val="0"/>
      <w:marRight w:val="0"/>
      <w:marTop w:val="0"/>
      <w:marBottom w:val="0"/>
      <w:divBdr>
        <w:top w:val="none" w:sz="0" w:space="0" w:color="auto"/>
        <w:left w:val="none" w:sz="0" w:space="0" w:color="auto"/>
        <w:bottom w:val="none" w:sz="0" w:space="0" w:color="auto"/>
        <w:right w:val="none" w:sz="0" w:space="0" w:color="auto"/>
      </w:divBdr>
    </w:div>
    <w:div w:id="2013409947">
      <w:bodyDiv w:val="1"/>
      <w:marLeft w:val="0"/>
      <w:marRight w:val="0"/>
      <w:marTop w:val="0"/>
      <w:marBottom w:val="0"/>
      <w:divBdr>
        <w:top w:val="none" w:sz="0" w:space="0" w:color="auto"/>
        <w:left w:val="none" w:sz="0" w:space="0" w:color="auto"/>
        <w:bottom w:val="none" w:sz="0" w:space="0" w:color="auto"/>
        <w:right w:val="none" w:sz="0" w:space="0" w:color="auto"/>
      </w:divBdr>
    </w:div>
    <w:div w:id="203865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ketNumber xmlns="dc463f71-b30c-4ab2-9473-d307f9d35888">130355</DocketNumber>
    <IndustryCode xmlns="dc463f71-b30c-4ab2-9473-d307f9d35888">499</IndustryCode>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2013-03-12T07:00:00+00:00</OpenedDate>
    <Date1 xmlns="dc463f71-b30c-4ab2-9473-d307f9d35888">2017-01-25T08:00:00+00:00</Date1>
    <IsDocumentOrder xmlns="dc463f71-b30c-4ab2-9473-d307f9d35888" xsi:nil="true"/>
    <IsHighlyConfidential xmlns="dc463f71-b30c-4ab2-9473-d307f9d35888">false</IsHighlyConfidential>
    <CaseCompanyNames xmlns="dc463f71-b30c-4ab2-9473-d307f9d35888" xsi:nil="true"/>
    <DelegatedOrder xmlns="dc463f71-b30c-4ab2-9473-d307f9d35888">false</DelegatedOrder>
    <Visibility xmlns="dc463f71-b30c-4ab2-9473-d307f9d35888">Full Visibility</Visibility>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646EE6BD3DCD449D83A8777965FB75" ma:contentTypeVersion="135" ma:contentTypeDescription="" ma:contentTypeScope="" ma:versionID="06b914707586abd0f1efeab881c4b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6885-E750-433B-AA50-5A4C604C7942}">
  <ds:schemaRefs>
    <ds:schemaRef ds:uri="http://purl.org/dc/elements/1.1/"/>
    <ds:schemaRef ds:uri="http://schemas.microsoft.com/sharepoint/v3"/>
    <ds:schemaRef ds:uri="http://schemas.microsoft.com/office/2006/metadata/properties"/>
    <ds:schemaRef ds:uri="dc463f71-b30c-4ab2-9473-d307f9d35888"/>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4E7D2BA-10EB-4090-8C08-1FA8D52AA02F}">
  <ds:schemaRefs>
    <ds:schemaRef ds:uri="http://schemas.microsoft.com/sharepoint/v3/contenttype/forms"/>
  </ds:schemaRefs>
</ds:datastoreItem>
</file>

<file path=customXml/itemProps3.xml><?xml version="1.0" encoding="utf-8"?>
<ds:datastoreItem xmlns:ds="http://schemas.openxmlformats.org/officeDocument/2006/customXml" ds:itemID="{70C12FDE-ECEB-424A-9220-A994814AB401}"/>
</file>

<file path=customXml/itemProps4.xml><?xml version="1.0" encoding="utf-8"?>
<ds:datastoreItem xmlns:ds="http://schemas.openxmlformats.org/officeDocument/2006/customXml" ds:itemID="{C17C8788-2CC0-4538-A1D8-0A4421F7D631}"/>
</file>

<file path=customXml/itemProps5.xml><?xml version="1.0" encoding="utf-8"?>
<ds:datastoreItem xmlns:ds="http://schemas.openxmlformats.org/officeDocument/2006/customXml" ds:itemID="{8CA61015-26D9-40B7-8CCB-84DEA3BF2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1978</Words>
  <Characters>11277</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Kippi (UTC)</dc:creator>
  <cp:keywords/>
  <dc:description/>
  <cp:lastModifiedBy>Doyle, Paige (UTC)</cp:lastModifiedBy>
  <cp:revision>2</cp:revision>
  <cp:lastPrinted>2015-02-02T23:25:00Z</cp:lastPrinted>
  <dcterms:created xsi:type="dcterms:W3CDTF">2017-01-25T21:15:00Z</dcterms:created>
  <dcterms:modified xsi:type="dcterms:W3CDTF">2017-01-25T21:15:00Z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0x0101006E56B4D1795A2E4DB2F0B01679ED314A00BF646EE6BD3DCD449D83A8777965FB75</vt:lpwstr>
  </property>
  <property fmtid="{D5CDD505-2E9C-101B-9397-08002B2CF9AE}" pid="3" name="_docset_NoMedatataSyncRequired">
    <vt:lpwstr>False</vt:lpwstr>
  </property>
  <property fmtid="{D5CDD505-2E9C-101B-9397-08002B2CF9AE}" pid="4" name="IsEFSEC">
    <vt:bool>false</vt:bool>
  </property>
</Properties>
</file>